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20BDE">
      <w:pPr>
        <w:pageBreakBefore w:val="0"/>
        <w:widowControl/>
        <w:tabs>
          <w:tab w:val="left" w:pos="851"/>
        </w:tabs>
        <w:spacing w:line="360" w:lineRule="auto"/>
        <w:ind w:left="482"/>
        <w:jc w:val="both"/>
        <w:rPr>
          <w:rFonts w:hint="eastAsia" w:ascii="宋体" w:hAnsi="宋体"/>
          <w:color w:val="auto"/>
          <w:sz w:val="24"/>
          <w:highlight w:val="none"/>
        </w:rPr>
      </w:pPr>
    </w:p>
    <w:p w14:paraId="711D8EE1">
      <w:pPr>
        <w:pStyle w:val="14"/>
        <w:spacing w:line="360" w:lineRule="auto"/>
        <w:jc w:val="center"/>
        <w:rPr>
          <w:rFonts w:ascii="仿宋" w:hAnsi="仿宋" w:eastAsia="仿宋"/>
          <w:b/>
          <w:color w:val="auto"/>
          <w:sz w:val="44"/>
          <w:szCs w:val="44"/>
          <w:highlight w:val="none"/>
          <w:u w:val="none"/>
        </w:rPr>
      </w:pPr>
    </w:p>
    <w:p w14:paraId="69327BEC">
      <w:pPr>
        <w:pStyle w:val="14"/>
        <w:spacing w:line="360" w:lineRule="auto"/>
        <w:ind w:left="0" w:leftChars="0" w:right="332" w:rightChars="158" w:firstLine="419" w:firstLineChars="87"/>
        <w:jc w:val="center"/>
        <w:rPr>
          <w:rFonts w:hint="eastAsia" w:ascii="宋体" w:hAnsi="宋体" w:eastAsia="宋体" w:cs="宋体"/>
          <w:b/>
          <w:color w:val="auto"/>
          <w:sz w:val="48"/>
          <w:szCs w:val="48"/>
          <w:highlight w:val="none"/>
          <w:u w:val="none"/>
          <w:lang w:eastAsia="zh-CN"/>
        </w:rPr>
      </w:pPr>
      <w:r>
        <w:rPr>
          <w:rFonts w:hint="eastAsia" w:ascii="宋体" w:hAnsi="宋体" w:eastAsia="宋体" w:cs="宋体"/>
          <w:b/>
          <w:color w:val="auto"/>
          <w:sz w:val="48"/>
          <w:szCs w:val="48"/>
          <w:highlight w:val="none"/>
          <w:u w:val="none"/>
          <w:lang w:eastAsia="zh-CN"/>
        </w:rPr>
        <w:t>车陂加压站复建工程第二阶段(附属设施用房)施工总承包</w:t>
      </w:r>
    </w:p>
    <w:p w14:paraId="5F50AB88">
      <w:pPr>
        <w:pStyle w:val="14"/>
        <w:spacing w:line="360" w:lineRule="auto"/>
        <w:jc w:val="center"/>
        <w:rPr>
          <w:rFonts w:ascii="仿宋" w:hAnsi="仿宋" w:eastAsia="仿宋"/>
          <w:b/>
          <w:color w:val="auto"/>
          <w:sz w:val="44"/>
          <w:szCs w:val="44"/>
          <w:highlight w:val="none"/>
        </w:rPr>
      </w:pPr>
    </w:p>
    <w:p w14:paraId="5EAAA19F">
      <w:pPr>
        <w:pStyle w:val="14"/>
        <w:spacing w:line="360" w:lineRule="auto"/>
        <w:jc w:val="center"/>
        <w:rPr>
          <w:rFonts w:ascii="仿宋" w:hAnsi="仿宋" w:eastAsia="仿宋"/>
          <w:b/>
          <w:color w:val="auto"/>
          <w:sz w:val="44"/>
          <w:szCs w:val="44"/>
          <w:highlight w:val="none"/>
        </w:rPr>
      </w:pPr>
    </w:p>
    <w:p w14:paraId="2EC8EDEA">
      <w:pPr>
        <w:spacing w:line="360" w:lineRule="auto"/>
        <w:jc w:val="center"/>
        <w:rPr>
          <w:rFonts w:ascii="仿宋_GB2312" w:hAnsi="宋体" w:eastAsia="仿宋_GB2312"/>
          <w:b/>
          <w:bCs/>
          <w:color w:val="auto"/>
          <w:spacing w:val="26"/>
          <w:sz w:val="110"/>
          <w:szCs w:val="110"/>
          <w:highlight w:val="none"/>
        </w:rPr>
      </w:pPr>
      <w:r>
        <w:rPr>
          <w:rFonts w:hint="eastAsia" w:ascii="仿宋_GB2312" w:hAnsi="宋体" w:eastAsia="仿宋_GB2312"/>
          <w:b/>
          <w:bCs/>
          <w:color w:val="auto"/>
          <w:spacing w:val="26"/>
          <w:sz w:val="110"/>
          <w:szCs w:val="110"/>
          <w:highlight w:val="none"/>
        </w:rPr>
        <w:t>招标文件</w:t>
      </w:r>
    </w:p>
    <w:p w14:paraId="2357D36E">
      <w:pPr>
        <w:pStyle w:val="14"/>
        <w:spacing w:line="360" w:lineRule="auto"/>
        <w:jc w:val="center"/>
        <w:rPr>
          <w:rFonts w:ascii="仿宋" w:hAnsi="仿宋" w:eastAsia="仿宋"/>
          <w:b/>
          <w:color w:val="auto"/>
          <w:sz w:val="44"/>
          <w:szCs w:val="44"/>
          <w:highlight w:val="none"/>
        </w:rPr>
      </w:pPr>
    </w:p>
    <w:p w14:paraId="150B2F79">
      <w:pPr>
        <w:pStyle w:val="14"/>
        <w:spacing w:line="360" w:lineRule="auto"/>
        <w:jc w:val="center"/>
        <w:rPr>
          <w:rFonts w:ascii="仿宋" w:hAnsi="仿宋" w:eastAsia="仿宋"/>
          <w:b/>
          <w:color w:val="auto"/>
          <w:sz w:val="44"/>
          <w:szCs w:val="44"/>
          <w:highlight w:val="none"/>
        </w:rPr>
      </w:pPr>
    </w:p>
    <w:p w14:paraId="1189242F">
      <w:pPr>
        <w:pStyle w:val="14"/>
        <w:spacing w:line="360" w:lineRule="auto"/>
        <w:jc w:val="center"/>
        <w:rPr>
          <w:rFonts w:hint="eastAsia" w:ascii="仿宋" w:hAnsi="仿宋" w:eastAsia="仿宋"/>
          <w:b/>
          <w:color w:val="auto"/>
          <w:sz w:val="44"/>
          <w:szCs w:val="44"/>
          <w:highlight w:val="none"/>
        </w:rPr>
      </w:pPr>
    </w:p>
    <w:p w14:paraId="7CE16B43">
      <w:pPr>
        <w:widowControl/>
        <w:ind w:firstLine="600" w:firstLineChars="200"/>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招标人：</w:t>
      </w:r>
      <w:r>
        <w:rPr>
          <w:rFonts w:hint="eastAsia" w:ascii="宋体" w:hAnsi="宋体" w:eastAsia="宋体" w:cs="宋体"/>
          <w:color w:val="auto"/>
          <w:sz w:val="30"/>
          <w:szCs w:val="30"/>
          <w:highlight w:val="none"/>
          <w:u w:val="single"/>
        </w:rPr>
        <w:t>广州市自来水有限公司</w:t>
      </w:r>
      <w:r>
        <w:rPr>
          <w:rFonts w:hint="eastAsia" w:ascii="宋体" w:hAnsi="宋体" w:eastAsia="宋体" w:cs="宋体"/>
          <w:color w:val="auto"/>
          <w:sz w:val="30"/>
          <w:szCs w:val="30"/>
          <w:highlight w:val="none"/>
        </w:rPr>
        <w:t>（盖单位章）</w:t>
      </w:r>
    </w:p>
    <w:p w14:paraId="4EFBE0D8">
      <w:pPr>
        <w:pStyle w:val="17"/>
        <w:rPr>
          <w:rFonts w:hint="eastAsia" w:ascii="宋体" w:hAnsi="宋体" w:eastAsia="宋体" w:cs="宋体"/>
          <w:color w:val="auto"/>
          <w:sz w:val="30"/>
          <w:szCs w:val="30"/>
          <w:highlight w:val="none"/>
        </w:rPr>
      </w:pPr>
    </w:p>
    <w:p w14:paraId="46B870F3">
      <w:pPr>
        <w:widowControl/>
        <w:jc w:val="center"/>
        <w:rPr>
          <w:rFonts w:ascii="宋体" w:hAnsi="宋体"/>
          <w:color w:val="auto"/>
          <w:sz w:val="30"/>
          <w:szCs w:val="30"/>
          <w:highlight w:val="none"/>
        </w:rPr>
      </w:pPr>
      <w:r>
        <w:rPr>
          <w:rFonts w:hint="eastAsia" w:ascii="宋体" w:hAnsi="宋体" w:eastAsia="宋体" w:cs="宋体"/>
          <w:color w:val="auto"/>
          <w:sz w:val="30"/>
          <w:szCs w:val="30"/>
          <w:highlight w:val="none"/>
        </w:rPr>
        <w:t>招标代理机构：</w:t>
      </w:r>
      <w:r>
        <w:rPr>
          <w:rFonts w:hint="eastAsia" w:ascii="宋体" w:hAnsi="宋体" w:cs="宋体"/>
          <w:color w:val="auto"/>
          <w:sz w:val="30"/>
          <w:szCs w:val="30"/>
          <w:highlight w:val="none"/>
          <w:u w:val="single"/>
          <w:lang w:val="en-US" w:eastAsia="zh-CN"/>
        </w:rPr>
        <w:t>国义招标股份有限公司</w:t>
      </w:r>
      <w:r>
        <w:rPr>
          <w:rFonts w:hint="eastAsia" w:ascii="宋体" w:hAnsi="宋体" w:eastAsia="宋体" w:cs="宋体"/>
          <w:color w:val="auto"/>
          <w:sz w:val="30"/>
          <w:szCs w:val="30"/>
          <w:highlight w:val="none"/>
        </w:rPr>
        <w:t>（盖单位章）</w:t>
      </w:r>
    </w:p>
    <w:p w14:paraId="17004735">
      <w:pPr>
        <w:spacing w:line="360" w:lineRule="auto"/>
        <w:ind w:firstLine="900" w:firstLineChars="300"/>
        <w:jc w:val="center"/>
        <w:rPr>
          <w:rFonts w:hint="eastAsia" w:ascii="宋体" w:hAnsi="宋体"/>
          <w:color w:val="auto"/>
          <w:sz w:val="30"/>
          <w:szCs w:val="30"/>
          <w:highlight w:val="none"/>
          <w:u w:val="single"/>
        </w:rPr>
      </w:pPr>
    </w:p>
    <w:p w14:paraId="121D5BEB">
      <w:pPr>
        <w:spacing w:line="360" w:lineRule="auto"/>
        <w:ind w:firstLine="0" w:firstLineChars="0"/>
        <w:jc w:val="center"/>
        <w:rPr>
          <w:rFonts w:ascii="仿宋_GB2312" w:hAnsi="宋体" w:eastAsia="仿宋_GB2312"/>
          <w:b/>
          <w:color w:val="auto"/>
          <w:sz w:val="30"/>
          <w:szCs w:val="30"/>
          <w:highlight w:val="none"/>
        </w:rPr>
      </w:pPr>
      <w:r>
        <w:rPr>
          <w:rFonts w:hint="eastAsia" w:ascii="宋体" w:hAnsi="宋体"/>
          <w:color w:val="auto"/>
          <w:sz w:val="30"/>
          <w:szCs w:val="30"/>
          <w:highlight w:val="none"/>
          <w:u w:val="single"/>
          <w:lang w:val="en-US" w:eastAsia="zh-CN"/>
        </w:rPr>
        <w:t>2025</w:t>
      </w:r>
      <w:r>
        <w:rPr>
          <w:rFonts w:hint="eastAsia" w:ascii="宋体" w:hAnsi="宋体"/>
          <w:color w:val="auto"/>
          <w:sz w:val="30"/>
          <w:szCs w:val="30"/>
          <w:highlight w:val="none"/>
        </w:rPr>
        <w:t>年</w:t>
      </w:r>
      <w:r>
        <w:rPr>
          <w:rFonts w:hint="eastAsia" w:ascii="宋体" w:hAnsi="宋体"/>
          <w:color w:val="auto"/>
          <w:sz w:val="30"/>
          <w:szCs w:val="30"/>
          <w:highlight w:val="none"/>
          <w:u w:val="single"/>
          <w:lang w:val="en-US" w:eastAsia="zh-CN"/>
        </w:rPr>
        <w:t xml:space="preserve"> 2 </w:t>
      </w:r>
      <w:r>
        <w:rPr>
          <w:rFonts w:hint="eastAsia" w:ascii="宋体" w:hAnsi="宋体"/>
          <w:color w:val="auto"/>
          <w:sz w:val="30"/>
          <w:szCs w:val="30"/>
          <w:highlight w:val="none"/>
        </w:rPr>
        <w:t>月</w:t>
      </w:r>
    </w:p>
    <w:p w14:paraId="65EC64FC">
      <w:pPr>
        <w:widowControl/>
        <w:tabs>
          <w:tab w:val="left" w:pos="851"/>
        </w:tabs>
        <w:spacing w:line="360" w:lineRule="auto"/>
        <w:ind w:left="480"/>
        <w:jc w:val="left"/>
        <w:rPr>
          <w:rFonts w:hint="eastAsia" w:ascii="宋体" w:hAnsi="宋体"/>
          <w:color w:val="auto"/>
          <w:sz w:val="24"/>
          <w:highlight w:val="none"/>
        </w:rPr>
      </w:pPr>
    </w:p>
    <w:p w14:paraId="00739228">
      <w:pPr>
        <w:widowControl/>
        <w:tabs>
          <w:tab w:val="left" w:pos="851"/>
        </w:tabs>
        <w:spacing w:line="360" w:lineRule="auto"/>
        <w:ind w:left="480"/>
        <w:jc w:val="left"/>
        <w:rPr>
          <w:rFonts w:hint="eastAsia" w:ascii="宋体" w:hAnsi="宋体"/>
          <w:color w:val="auto"/>
          <w:sz w:val="24"/>
          <w:szCs w:val="24"/>
          <w:highlight w:val="none"/>
        </w:rPr>
      </w:pPr>
    </w:p>
    <w:p w14:paraId="76175F18">
      <w:pPr>
        <w:widowControl/>
        <w:tabs>
          <w:tab w:val="left" w:pos="851"/>
        </w:tabs>
        <w:spacing w:line="360" w:lineRule="auto"/>
        <w:ind w:left="482"/>
        <w:jc w:val="left"/>
        <w:rPr>
          <w:rFonts w:ascii="宋体" w:hAnsi="宋体"/>
          <w:color w:val="auto"/>
          <w:sz w:val="24"/>
          <w:szCs w:val="24"/>
          <w:highlight w:val="none"/>
        </w:rPr>
      </w:pPr>
    </w:p>
    <w:p w14:paraId="1E65D13A">
      <w:pPr>
        <w:pStyle w:val="24"/>
        <w:pageBreakBefore/>
        <w:jc w:val="center"/>
        <w:rPr>
          <w:color w:val="auto"/>
          <w:highlight w:val="none"/>
          <w:lang w:val="zh-CN"/>
        </w:rPr>
        <w:sectPr>
          <w:footerReference r:id="rId3" w:type="default"/>
          <w:pgSz w:w="11906" w:h="16838"/>
          <w:pgMar w:top="1440" w:right="1797" w:bottom="1440" w:left="1797" w:header="851" w:footer="992" w:gutter="0"/>
          <w:cols w:space="720" w:num="1"/>
          <w:docGrid w:linePitch="312" w:charSpace="0"/>
        </w:sectPr>
      </w:pPr>
      <w:bookmarkStart w:id="0" w:name="_Toc27966"/>
    </w:p>
    <w:p w14:paraId="177E48A5">
      <w:pPr>
        <w:pStyle w:val="24"/>
        <w:pageBreakBefore/>
        <w:jc w:val="center"/>
        <w:rPr>
          <w:color w:val="auto"/>
          <w:highlight w:val="none"/>
        </w:rPr>
      </w:pPr>
      <w:r>
        <w:rPr>
          <w:color w:val="auto"/>
          <w:highlight w:val="none"/>
          <w:lang w:val="zh-CN"/>
        </w:rPr>
        <w:t>目录</w:t>
      </w:r>
      <w:bookmarkEnd w:id="0"/>
    </w:p>
    <w:p w14:paraId="07A81428">
      <w:pPr>
        <w:pStyle w:val="12"/>
        <w:keepNext w:val="0"/>
        <w:keepLines w:val="0"/>
        <w:pageBreakBefore w:val="0"/>
        <w:widowControl w:val="0"/>
        <w:tabs>
          <w:tab w:val="right" w:leader="dot" w:pos="8312"/>
          <w:tab w:val="clear" w:pos="9060"/>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TOC \o "1-3" \h \z \u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_Toc9433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第一章 招标公告</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_Toc9433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6354D54F">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_Toc2870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第二章 </w:t>
      </w:r>
      <w:r>
        <w:rPr>
          <w:rFonts w:hint="eastAsia" w:ascii="宋体" w:hAnsi="宋体" w:cs="宋体"/>
          <w:b w:val="0"/>
          <w:bCs w:val="0"/>
          <w:color w:val="auto"/>
          <w:sz w:val="24"/>
          <w:szCs w:val="24"/>
          <w:highlight w:val="none"/>
          <w:lang w:eastAsia="zh-CN"/>
        </w:rPr>
        <w:t>投标人须知</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_Toc2870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2A500884">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_Toc124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第三章 评标及定标办法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_Toc124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54BAD8FB">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_Toc25028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第四章 合同条款</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_Toc25028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59</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722BF325">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_Toc23322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第五章 工程量清单</w:t>
      </w:r>
      <w:r>
        <w:rPr>
          <w:rFonts w:hint="eastAsia" w:ascii="宋体" w:hAnsi="宋体" w:eastAsia="宋体" w:cs="宋体"/>
          <w:b w:val="0"/>
          <w:bCs w:val="0"/>
          <w:color w:val="auto"/>
          <w:sz w:val="24"/>
          <w:szCs w:val="24"/>
          <w:highlight w:val="none"/>
        </w:rPr>
        <w:tab/>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cs="宋体"/>
          <w:b w:val="0"/>
          <w:bCs w:val="0"/>
          <w:color w:val="auto"/>
          <w:sz w:val="24"/>
          <w:szCs w:val="24"/>
          <w:highlight w:val="none"/>
          <w:lang w:val="en-US" w:eastAsia="zh-CN"/>
        </w:rPr>
        <w:t>13</w:t>
      </w:r>
    </w:p>
    <w:p w14:paraId="51820ABA">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_Toc22625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第六章 图纸（招标图纸）</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_Toc22625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326</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62C7BE2E">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_Toc18239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第七章 技术标准和要求（合同技术条款）</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_Toc18239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327</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3755CEE9">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_Toc15066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第八章 投标文件格式</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_Toc15066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328</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2C820ABC">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_Toc10968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第九章 否决性条款汇总</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_Toc10968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358</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32300632">
      <w:pPr>
        <w:pStyle w:val="13"/>
        <w:keepNext w:val="0"/>
        <w:keepLines w:val="0"/>
        <w:pageBreakBefore w:val="0"/>
        <w:widowControl w:val="0"/>
        <w:tabs>
          <w:tab w:val="right" w:leader="dot" w:pos="8312"/>
          <w:tab w:val="clear" w:pos="8302"/>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_Toc31743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第十章</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最高投标限价（招标控制价）</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_Toc31743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364</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14:paraId="2228F2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end"/>
      </w:r>
    </w:p>
    <w:p w14:paraId="05F342B7">
      <w:pPr>
        <w:rPr>
          <w:color w:val="auto"/>
          <w:highlight w:val="none"/>
        </w:rPr>
      </w:pPr>
    </w:p>
    <w:p w14:paraId="59359198">
      <w:pPr>
        <w:pStyle w:val="3"/>
        <w:rPr>
          <w:color w:val="auto"/>
          <w:highlight w:val="none"/>
        </w:rPr>
      </w:pPr>
      <w:bookmarkStart w:id="1261" w:name="_GoBack"/>
      <w:bookmarkEnd w:id="1261"/>
      <w:bookmarkStart w:id="1" w:name="_Toc17450712"/>
      <w:bookmarkEnd w:id="1"/>
      <w:bookmarkStart w:id="2" w:name="_Toc17451091"/>
      <w:bookmarkEnd w:id="2"/>
      <w:bookmarkStart w:id="3" w:name="_Toc17556866"/>
      <w:bookmarkEnd w:id="3"/>
      <w:bookmarkStart w:id="4" w:name="_Toc17450792"/>
      <w:bookmarkEnd w:id="4"/>
      <w:bookmarkStart w:id="5" w:name="_Toc17556774"/>
      <w:bookmarkEnd w:id="5"/>
      <w:bookmarkStart w:id="6" w:name="_Toc17556867"/>
      <w:bookmarkEnd w:id="6"/>
      <w:bookmarkStart w:id="7" w:name="_Toc17451196"/>
      <w:bookmarkEnd w:id="7"/>
      <w:bookmarkStart w:id="8" w:name="_Toc17450791"/>
      <w:bookmarkEnd w:id="8"/>
      <w:bookmarkStart w:id="9" w:name="_Toc17451092"/>
      <w:bookmarkEnd w:id="9"/>
      <w:bookmarkStart w:id="10" w:name="_Toc17556865"/>
      <w:bookmarkEnd w:id="10"/>
      <w:bookmarkStart w:id="11" w:name="_Toc17451090"/>
      <w:bookmarkEnd w:id="11"/>
      <w:bookmarkStart w:id="12" w:name="_Toc17451194"/>
      <w:bookmarkEnd w:id="12"/>
      <w:bookmarkStart w:id="13" w:name="_Toc17450710"/>
      <w:bookmarkEnd w:id="13"/>
      <w:bookmarkStart w:id="14" w:name="_Toc17450711"/>
      <w:bookmarkEnd w:id="14"/>
      <w:bookmarkStart w:id="15" w:name="_Toc17450790"/>
      <w:bookmarkEnd w:id="15"/>
      <w:bookmarkStart w:id="16" w:name="_Toc17451195"/>
      <w:bookmarkEnd w:id="16"/>
      <w:r>
        <w:rPr>
          <w:color w:val="auto"/>
          <w:highlight w:val="none"/>
        </w:rPr>
        <w:br w:type="page"/>
      </w:r>
      <w:bookmarkStart w:id="17" w:name="_Toc17450714"/>
      <w:bookmarkEnd w:id="17"/>
      <w:bookmarkStart w:id="18" w:name="_Toc17451096"/>
      <w:bookmarkEnd w:id="18"/>
      <w:bookmarkStart w:id="19" w:name="_Toc17450717"/>
      <w:bookmarkEnd w:id="19"/>
      <w:bookmarkStart w:id="20" w:name="_Toc17556869"/>
      <w:bookmarkEnd w:id="20"/>
      <w:bookmarkStart w:id="21" w:name="_Toc17450794"/>
      <w:bookmarkEnd w:id="21"/>
      <w:bookmarkStart w:id="22" w:name="_Toc17556872"/>
      <w:bookmarkEnd w:id="22"/>
      <w:bookmarkStart w:id="23" w:name="_Toc17556871"/>
      <w:bookmarkEnd w:id="23"/>
      <w:bookmarkStart w:id="24" w:name="_Toc17450796"/>
      <w:bookmarkEnd w:id="24"/>
      <w:bookmarkStart w:id="25" w:name="_Toc17450797"/>
      <w:bookmarkEnd w:id="25"/>
      <w:bookmarkStart w:id="26" w:name="_Toc17451095"/>
      <w:bookmarkEnd w:id="26"/>
      <w:bookmarkStart w:id="27" w:name="_Toc17450716"/>
      <w:bookmarkEnd w:id="27"/>
      <w:bookmarkStart w:id="28" w:name="_Toc17450715"/>
      <w:bookmarkEnd w:id="28"/>
      <w:bookmarkStart w:id="29" w:name="_Toc17556870"/>
      <w:bookmarkEnd w:id="29"/>
      <w:bookmarkStart w:id="30" w:name="_Toc17451094"/>
      <w:bookmarkEnd w:id="30"/>
      <w:bookmarkStart w:id="31" w:name="_Toc17451097"/>
      <w:bookmarkEnd w:id="31"/>
      <w:bookmarkStart w:id="32" w:name="_Toc17451201"/>
      <w:bookmarkEnd w:id="32"/>
      <w:bookmarkStart w:id="33" w:name="_Toc17451198"/>
      <w:bookmarkEnd w:id="33"/>
      <w:bookmarkStart w:id="34" w:name="_Toc17450795"/>
      <w:bookmarkEnd w:id="34"/>
      <w:bookmarkStart w:id="35" w:name="_Toc17556868"/>
      <w:bookmarkEnd w:id="35"/>
      <w:bookmarkStart w:id="36" w:name="_Toc17451200"/>
      <w:bookmarkEnd w:id="36"/>
      <w:bookmarkStart w:id="37" w:name="_Toc17450713"/>
      <w:bookmarkEnd w:id="37"/>
      <w:bookmarkStart w:id="38" w:name="_Toc17450793"/>
      <w:bookmarkEnd w:id="38"/>
      <w:bookmarkStart w:id="39" w:name="_Toc17451199"/>
      <w:bookmarkEnd w:id="39"/>
      <w:bookmarkStart w:id="40" w:name="_Toc17451197"/>
      <w:bookmarkEnd w:id="40"/>
      <w:bookmarkStart w:id="41" w:name="_Toc17451093"/>
      <w:bookmarkEnd w:id="41"/>
      <w:bookmarkStart w:id="42" w:name="_Toc17454919"/>
      <w:bookmarkStart w:id="43" w:name="_Toc17452661"/>
      <w:bookmarkStart w:id="44" w:name="_Toc9433"/>
      <w:bookmarkStart w:id="45" w:name="_Toc17451620"/>
      <w:bookmarkStart w:id="46" w:name="_Toc17451575"/>
      <w:bookmarkStart w:id="47" w:name="_Toc17451098"/>
      <w:bookmarkStart w:id="48" w:name="_Toc17454868"/>
      <w:bookmarkStart w:id="49" w:name="_Toc17556873"/>
      <w:r>
        <w:rPr>
          <w:rFonts w:hint="eastAsia"/>
          <w:color w:val="auto"/>
          <w:highlight w:val="none"/>
        </w:rPr>
        <w:t>第一章 招标公告</w:t>
      </w:r>
      <w:bookmarkEnd w:id="42"/>
      <w:bookmarkEnd w:id="43"/>
      <w:bookmarkEnd w:id="44"/>
      <w:bookmarkEnd w:id="45"/>
      <w:bookmarkEnd w:id="46"/>
      <w:bookmarkEnd w:id="47"/>
      <w:bookmarkEnd w:id="48"/>
      <w:bookmarkEnd w:id="49"/>
    </w:p>
    <w:p w14:paraId="1F227970">
      <w:pPr>
        <w:pStyle w:val="14"/>
        <w:spacing w:line="360" w:lineRule="auto"/>
        <w:jc w:val="center"/>
        <w:rPr>
          <w:rFonts w:hint="eastAsia" w:eastAsia="宋体"/>
          <w:b/>
          <w:color w:val="auto"/>
          <w:sz w:val="32"/>
          <w:szCs w:val="32"/>
          <w:highlight w:val="none"/>
          <w:u w:val="none"/>
          <w:lang w:eastAsia="zh-CN"/>
        </w:rPr>
      </w:pPr>
      <w:r>
        <w:rPr>
          <w:rFonts w:hint="eastAsia" w:eastAsia="宋体"/>
          <w:b/>
          <w:color w:val="auto"/>
          <w:sz w:val="32"/>
          <w:szCs w:val="32"/>
          <w:highlight w:val="none"/>
          <w:u w:val="none"/>
          <w:lang w:eastAsia="zh-CN"/>
        </w:rPr>
        <w:t>车陂加压站复建工程第二阶段(附属设施用房)施工总承包</w:t>
      </w:r>
    </w:p>
    <w:p w14:paraId="0A78942F">
      <w:pPr>
        <w:pStyle w:val="14"/>
        <w:spacing w:line="360" w:lineRule="auto"/>
        <w:jc w:val="center"/>
        <w:rPr>
          <w:rFonts w:eastAsia="宋体"/>
          <w:b/>
          <w:color w:val="auto"/>
          <w:sz w:val="32"/>
          <w:szCs w:val="32"/>
          <w:highlight w:val="none"/>
          <w:u w:val="none"/>
        </w:rPr>
      </w:pPr>
      <w:r>
        <w:rPr>
          <w:rFonts w:hint="eastAsia" w:eastAsia="宋体"/>
          <w:b/>
          <w:color w:val="auto"/>
          <w:sz w:val="32"/>
          <w:szCs w:val="32"/>
          <w:highlight w:val="none"/>
          <w:u w:val="none"/>
        </w:rPr>
        <w:t>招标公告</w:t>
      </w:r>
    </w:p>
    <w:p w14:paraId="37A02462">
      <w:pPr>
        <w:spacing w:line="360" w:lineRule="auto"/>
        <w:ind w:firstLine="542" w:firstLineChars="225"/>
        <w:rPr>
          <w:rFonts w:ascii="宋体" w:hAnsi="宋体"/>
          <w:b/>
          <w:color w:val="auto"/>
          <w:sz w:val="24"/>
          <w:szCs w:val="24"/>
          <w:highlight w:val="none"/>
        </w:rPr>
      </w:pPr>
      <w:bookmarkStart w:id="50" w:name="_Toc221949923"/>
      <w:r>
        <w:rPr>
          <w:rFonts w:hint="eastAsia" w:ascii="宋体" w:hAnsi="宋体"/>
          <w:b/>
          <w:color w:val="auto"/>
          <w:sz w:val="24"/>
          <w:szCs w:val="24"/>
          <w:highlight w:val="none"/>
        </w:rPr>
        <w:t>1</w:t>
      </w:r>
      <w:r>
        <w:rPr>
          <w:rFonts w:ascii="宋体" w:hAnsi="宋体"/>
          <w:b/>
          <w:color w:val="auto"/>
          <w:sz w:val="24"/>
          <w:szCs w:val="24"/>
          <w:highlight w:val="none"/>
        </w:rPr>
        <w:t>.招标</w:t>
      </w:r>
      <w:r>
        <w:rPr>
          <w:rFonts w:hint="eastAsia" w:ascii="宋体" w:hAnsi="宋体"/>
          <w:b/>
          <w:color w:val="auto"/>
          <w:sz w:val="24"/>
          <w:szCs w:val="24"/>
          <w:highlight w:val="none"/>
        </w:rPr>
        <w:t>条件</w:t>
      </w:r>
    </w:p>
    <w:p w14:paraId="6C28EF33">
      <w:pPr>
        <w:spacing w:line="360" w:lineRule="auto"/>
        <w:ind w:firstLine="540" w:firstLineChars="225"/>
        <w:rPr>
          <w:rFonts w:ascii="宋体" w:hAnsi="宋体"/>
          <w:color w:val="auto"/>
          <w:sz w:val="24"/>
          <w:szCs w:val="24"/>
          <w:highlight w:val="none"/>
        </w:rPr>
      </w:pPr>
      <w:r>
        <w:rPr>
          <w:rFonts w:ascii="宋体" w:hAnsi="宋体"/>
          <w:color w:val="auto"/>
          <w:sz w:val="24"/>
          <w:szCs w:val="24"/>
          <w:highlight w:val="none"/>
        </w:rPr>
        <w:t>本招标项目</w:t>
      </w:r>
      <w:r>
        <w:rPr>
          <w:rFonts w:hint="eastAsia" w:ascii="宋体" w:hAnsi="宋体"/>
          <w:color w:val="auto"/>
          <w:sz w:val="24"/>
          <w:szCs w:val="24"/>
          <w:highlight w:val="none"/>
          <w:u w:val="single"/>
          <w:lang w:eastAsia="zh-CN"/>
        </w:rPr>
        <w:t>车陂加压站复建工程第二阶段(附属设施用房)施工总承包</w:t>
      </w:r>
      <w:r>
        <w:rPr>
          <w:rFonts w:ascii="宋体" w:hAnsi="宋体"/>
          <w:color w:val="auto"/>
          <w:sz w:val="24"/>
          <w:szCs w:val="24"/>
          <w:highlight w:val="none"/>
        </w:rPr>
        <w:t>已由</w:t>
      </w:r>
      <w:r>
        <w:rPr>
          <w:rFonts w:hint="eastAsia" w:ascii="宋体" w:hAnsi="宋体"/>
          <w:color w:val="auto"/>
          <w:sz w:val="24"/>
          <w:szCs w:val="24"/>
          <w:highlight w:val="none"/>
          <w:u w:val="single"/>
        </w:rPr>
        <w:t>广州市发展和改革委员会</w:t>
      </w:r>
      <w:r>
        <w:rPr>
          <w:rFonts w:ascii="宋体" w:hAnsi="宋体"/>
          <w:color w:val="auto"/>
          <w:sz w:val="24"/>
          <w:szCs w:val="24"/>
          <w:highlight w:val="none"/>
        </w:rPr>
        <w:t>以</w:t>
      </w:r>
      <w:r>
        <w:rPr>
          <w:rFonts w:hint="eastAsia" w:ascii="宋体" w:hAnsi="宋体"/>
          <w:color w:val="auto"/>
          <w:sz w:val="24"/>
          <w:highlight w:val="none"/>
          <w:u w:val="single"/>
        </w:rPr>
        <w:t>穗发改〔2014〕366号</w:t>
      </w:r>
      <w:r>
        <w:rPr>
          <w:rFonts w:ascii="宋体" w:hAnsi="宋体"/>
          <w:color w:val="auto"/>
          <w:sz w:val="24"/>
          <w:szCs w:val="24"/>
          <w:highlight w:val="none"/>
        </w:rPr>
        <w:t>批准建设</w:t>
      </w:r>
      <w:r>
        <w:rPr>
          <w:rFonts w:hint="eastAsia" w:ascii="宋体" w:hAnsi="宋体"/>
          <w:color w:val="auto"/>
          <w:sz w:val="24"/>
          <w:szCs w:val="24"/>
          <w:highlight w:val="none"/>
        </w:rPr>
        <w:t>，</w:t>
      </w:r>
      <w:r>
        <w:rPr>
          <w:color w:val="auto"/>
          <w:sz w:val="24"/>
          <w:szCs w:val="24"/>
          <w:highlight w:val="none"/>
        </w:rPr>
        <w:t>项目业主为</w:t>
      </w:r>
      <w:r>
        <w:rPr>
          <w:rFonts w:hint="eastAsia"/>
          <w:color w:val="auto"/>
          <w:sz w:val="24"/>
          <w:szCs w:val="24"/>
          <w:highlight w:val="none"/>
          <w:u w:val="single"/>
        </w:rPr>
        <w:t>广州市自来水有限公司</w:t>
      </w:r>
      <w:r>
        <w:rPr>
          <w:color w:val="auto"/>
          <w:sz w:val="24"/>
          <w:szCs w:val="24"/>
          <w:highlight w:val="none"/>
        </w:rPr>
        <w:t>，</w:t>
      </w:r>
      <w:r>
        <w:rPr>
          <w:rFonts w:ascii="宋体" w:hAnsi="宋体"/>
          <w:color w:val="auto"/>
          <w:sz w:val="24"/>
          <w:szCs w:val="24"/>
          <w:highlight w:val="none"/>
        </w:rPr>
        <w:t>建设资金来自</w:t>
      </w:r>
      <w:r>
        <w:rPr>
          <w:rFonts w:hint="eastAsia" w:ascii="宋体" w:hAnsi="宋体"/>
          <w:color w:val="auto"/>
          <w:sz w:val="24"/>
          <w:szCs w:val="24"/>
          <w:highlight w:val="none"/>
          <w:u w:val="single"/>
        </w:rPr>
        <w:t>自筹资金</w:t>
      </w:r>
      <w:r>
        <w:rPr>
          <w:rFonts w:ascii="宋体" w:hAnsi="宋体"/>
          <w:color w:val="auto"/>
          <w:sz w:val="24"/>
          <w:szCs w:val="24"/>
          <w:highlight w:val="none"/>
        </w:rPr>
        <w:t>，</w:t>
      </w:r>
      <w:r>
        <w:rPr>
          <w:rFonts w:hint="eastAsia" w:ascii="宋体" w:hAnsi="宋体"/>
          <w:color w:val="auto"/>
          <w:sz w:val="24"/>
          <w:szCs w:val="24"/>
          <w:highlight w:val="none"/>
          <w:lang w:eastAsia="zh-CN"/>
        </w:rPr>
        <w:t>资金来源已落实，</w:t>
      </w:r>
      <w:r>
        <w:rPr>
          <w:rFonts w:ascii="宋体" w:hAnsi="宋体"/>
          <w:color w:val="auto"/>
          <w:sz w:val="24"/>
          <w:szCs w:val="24"/>
          <w:highlight w:val="none"/>
        </w:rPr>
        <w:t>项目出资比例为</w:t>
      </w:r>
      <w:r>
        <w:rPr>
          <w:rFonts w:hint="eastAsia" w:ascii="宋体" w:hAnsi="宋体"/>
          <w:color w:val="auto"/>
          <w:sz w:val="24"/>
          <w:szCs w:val="24"/>
          <w:highlight w:val="none"/>
          <w:u w:val="single"/>
        </w:rPr>
        <w:t>100%</w:t>
      </w:r>
      <w:r>
        <w:rPr>
          <w:rFonts w:ascii="宋体" w:hAnsi="宋体"/>
          <w:color w:val="auto"/>
          <w:sz w:val="24"/>
          <w:szCs w:val="24"/>
          <w:highlight w:val="none"/>
        </w:rPr>
        <w:t>,</w:t>
      </w:r>
      <w:r>
        <w:rPr>
          <w:color w:val="auto"/>
          <w:sz w:val="24"/>
          <w:szCs w:val="24"/>
          <w:highlight w:val="none"/>
        </w:rPr>
        <w:t xml:space="preserve"> 招标人为</w:t>
      </w:r>
      <w:r>
        <w:rPr>
          <w:rFonts w:hint="eastAsia"/>
          <w:color w:val="auto"/>
          <w:sz w:val="24"/>
          <w:szCs w:val="24"/>
          <w:highlight w:val="none"/>
          <w:u w:val="single"/>
        </w:rPr>
        <w:t>广州市自来水有限公司</w:t>
      </w:r>
      <w:r>
        <w:rPr>
          <w:rFonts w:ascii="宋体" w:hAnsi="宋体"/>
          <w:color w:val="auto"/>
          <w:sz w:val="24"/>
          <w:szCs w:val="24"/>
          <w:highlight w:val="none"/>
        </w:rPr>
        <w:t>。项目已具备招标条件，现对该项目施工进行公开招标。</w:t>
      </w:r>
      <w:bookmarkEnd w:id="50"/>
    </w:p>
    <w:p w14:paraId="16C02453">
      <w:pPr>
        <w:spacing w:line="360" w:lineRule="auto"/>
        <w:ind w:firstLine="542" w:firstLineChars="225"/>
        <w:rPr>
          <w:rFonts w:ascii="宋体" w:hAnsi="宋体"/>
          <w:b/>
          <w:color w:val="auto"/>
          <w:sz w:val="24"/>
          <w:szCs w:val="24"/>
          <w:highlight w:val="none"/>
        </w:rPr>
      </w:pPr>
      <w:bookmarkStart w:id="51" w:name="_Toc144974481"/>
      <w:bookmarkStart w:id="52" w:name="_Toc222029464"/>
      <w:bookmarkStart w:id="53" w:name="_Toc168475627"/>
      <w:bookmarkStart w:id="54" w:name="_Toc222032633"/>
      <w:bookmarkStart w:id="55" w:name="_Toc222033815"/>
      <w:bookmarkStart w:id="56" w:name="_Toc168476030"/>
      <w:bookmarkStart w:id="57" w:name="_Toc229305324"/>
      <w:bookmarkStart w:id="58" w:name="_Toc221949924"/>
      <w:bookmarkStart w:id="59" w:name="_Toc259524297"/>
      <w:bookmarkStart w:id="60" w:name="_Toc222030966"/>
      <w:r>
        <w:rPr>
          <w:rFonts w:hint="eastAsia" w:ascii="宋体" w:hAnsi="宋体"/>
          <w:b/>
          <w:color w:val="auto"/>
          <w:sz w:val="24"/>
          <w:szCs w:val="24"/>
          <w:highlight w:val="none"/>
        </w:rPr>
        <w:t>2</w:t>
      </w:r>
      <w:r>
        <w:rPr>
          <w:rFonts w:ascii="宋体" w:hAnsi="宋体"/>
          <w:b/>
          <w:color w:val="auto"/>
          <w:sz w:val="24"/>
          <w:szCs w:val="24"/>
          <w:highlight w:val="none"/>
        </w:rPr>
        <w:t>. 项目概况与招标范围</w:t>
      </w:r>
      <w:bookmarkEnd w:id="51"/>
      <w:bookmarkEnd w:id="52"/>
      <w:bookmarkEnd w:id="53"/>
      <w:bookmarkEnd w:id="54"/>
      <w:bookmarkEnd w:id="55"/>
      <w:bookmarkEnd w:id="56"/>
      <w:bookmarkEnd w:id="57"/>
      <w:bookmarkEnd w:id="58"/>
      <w:bookmarkEnd w:id="59"/>
      <w:bookmarkEnd w:id="60"/>
    </w:p>
    <w:p w14:paraId="1FC51716">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2.1建设地点：</w:t>
      </w:r>
      <w:r>
        <w:rPr>
          <w:rFonts w:hint="eastAsia" w:ascii="宋体" w:hAnsi="宋体"/>
          <w:color w:val="auto"/>
          <w:sz w:val="24"/>
          <w:highlight w:val="none"/>
          <w:u w:val="single"/>
        </w:rPr>
        <w:t>广州市天河区黄埔大道金融城ATO91003地块</w:t>
      </w:r>
      <w:r>
        <w:rPr>
          <w:rFonts w:hint="eastAsia" w:ascii="宋体" w:hAnsi="宋体"/>
          <w:color w:val="auto"/>
          <w:sz w:val="24"/>
          <w:szCs w:val="24"/>
          <w:highlight w:val="none"/>
        </w:rPr>
        <w:t>。</w:t>
      </w:r>
    </w:p>
    <w:p w14:paraId="4E121E19">
      <w:pPr>
        <w:spacing w:line="360" w:lineRule="auto"/>
        <w:ind w:firstLine="540" w:firstLineChars="225"/>
        <w:rPr>
          <w:rFonts w:hint="eastAsia" w:ascii="宋体" w:hAnsi="宋体"/>
          <w:color w:val="auto"/>
          <w:sz w:val="24"/>
          <w:highlight w:val="none"/>
          <w:u w:val="single"/>
          <w:lang w:val="en-US" w:eastAsia="zh-CN"/>
        </w:rPr>
      </w:pPr>
      <w:r>
        <w:rPr>
          <w:rFonts w:hint="eastAsia" w:ascii="宋体" w:hAnsi="宋体"/>
          <w:color w:val="auto"/>
          <w:sz w:val="24"/>
          <w:szCs w:val="24"/>
          <w:highlight w:val="none"/>
        </w:rPr>
        <w:t>2.2项目规模：</w:t>
      </w:r>
      <w:r>
        <w:rPr>
          <w:rFonts w:hint="eastAsia" w:ascii="宋体" w:hAnsi="宋体"/>
          <w:color w:val="auto"/>
          <w:sz w:val="24"/>
          <w:highlight w:val="none"/>
          <w:u w:val="single"/>
          <w:lang w:val="en-US" w:eastAsia="zh-CN"/>
        </w:rPr>
        <w:t>共2栋单体建筑，包含1号楼、2号楼以及连廊，总建筑面积5559.31㎡。其中地面建筑为3层，建筑面积为4525.16㎡；地下建筑为1层，建筑面积为1034.15㎡。主要建设内容包括：（1）地下建筑包含地下车库、消防水池、消防水泵房以及排风机房等设备用房；（2）地面建筑1号楼包含门厅、低压配电室、消控室、调度中心以及生产调度室等生产配套用房；（3）地面建筑2号楼包含维修间、工具间、报废材料间、工具间、水质化验室、厨房、值班室、500.73㎡的环卫加水站以及507.27㎡的环卫站及消毒站。</w:t>
      </w:r>
    </w:p>
    <w:p w14:paraId="707D7E34">
      <w:pPr>
        <w:spacing w:line="360" w:lineRule="auto"/>
        <w:ind w:firstLine="540" w:firstLineChars="225"/>
        <w:rPr>
          <w:rFonts w:ascii="宋体" w:hAnsi="宋体"/>
          <w:color w:val="auto"/>
          <w:sz w:val="24"/>
          <w:szCs w:val="24"/>
          <w:highlight w:val="none"/>
        </w:rPr>
      </w:pPr>
    </w:p>
    <w:p w14:paraId="4C324CB5">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2.3本次最高投标限价（招标控制价）：</w:t>
      </w:r>
      <w:r>
        <w:rPr>
          <w:rFonts w:hint="eastAsia" w:ascii="宋体" w:hAnsi="宋体"/>
          <w:color w:val="auto"/>
          <w:sz w:val="24"/>
          <w:szCs w:val="24"/>
          <w:highlight w:val="none"/>
          <w:u w:val="single"/>
          <w:lang w:val="en-US" w:eastAsia="zh-CN"/>
        </w:rPr>
        <w:t xml:space="preserve">    2540.579561    </w:t>
      </w:r>
      <w:r>
        <w:rPr>
          <w:rFonts w:hint="eastAsia" w:ascii="宋体" w:hAnsi="宋体"/>
          <w:color w:val="auto"/>
          <w:sz w:val="24"/>
          <w:szCs w:val="24"/>
          <w:highlight w:val="none"/>
        </w:rPr>
        <w:t>万元。</w:t>
      </w:r>
    </w:p>
    <w:p w14:paraId="6D91F819">
      <w:pPr>
        <w:spacing w:line="360" w:lineRule="auto"/>
        <w:ind w:firstLine="540" w:firstLineChars="225"/>
        <w:rPr>
          <w:rFonts w:hint="eastAsia" w:ascii="宋体" w:hAnsi="宋体"/>
          <w:color w:val="auto"/>
          <w:sz w:val="24"/>
          <w:szCs w:val="24"/>
          <w:highlight w:val="none"/>
          <w:u w:val="single"/>
        </w:rPr>
      </w:pPr>
      <w:r>
        <w:rPr>
          <w:rFonts w:hint="eastAsia" w:ascii="宋体" w:hAnsi="宋体"/>
          <w:color w:val="auto"/>
          <w:sz w:val="24"/>
          <w:szCs w:val="24"/>
          <w:highlight w:val="none"/>
        </w:rPr>
        <w:t>2.4计划工期：</w:t>
      </w:r>
      <w:r>
        <w:rPr>
          <w:rFonts w:hint="eastAsia" w:ascii="宋体" w:hAnsi="宋体"/>
          <w:color w:val="auto"/>
          <w:sz w:val="24"/>
          <w:szCs w:val="24"/>
          <w:highlight w:val="none"/>
          <w:u w:val="single"/>
        </w:rPr>
        <w:t>总工期为:</w:t>
      </w:r>
      <w:r>
        <w:rPr>
          <w:rFonts w:hint="eastAsia" w:ascii="宋体" w:hAnsi="宋体"/>
          <w:color w:val="auto"/>
          <w:sz w:val="24"/>
          <w:szCs w:val="24"/>
          <w:highlight w:val="none"/>
          <w:u w:val="single"/>
          <w:lang w:val="en-US" w:eastAsia="zh-CN"/>
        </w:rPr>
        <w:t>517</w:t>
      </w:r>
      <w:r>
        <w:rPr>
          <w:rFonts w:hint="eastAsia" w:ascii="宋体" w:hAnsi="宋体"/>
          <w:color w:val="auto"/>
          <w:sz w:val="24"/>
          <w:szCs w:val="24"/>
          <w:highlight w:val="none"/>
          <w:u w:val="single"/>
        </w:rPr>
        <w:t>日历天</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rPr>
        <w:t>施工工期:暂定从2025年</w:t>
      </w:r>
      <w:r>
        <w:rPr>
          <w:rFonts w:hint="eastAsia" w:ascii="宋体" w:hAnsi="宋体"/>
          <w:color w:val="auto"/>
          <w:sz w:val="24"/>
          <w:szCs w:val="24"/>
          <w:highlight w:val="none"/>
          <w:u w:val="single"/>
          <w:lang w:val="en-US" w:eastAsia="zh-CN"/>
        </w:rPr>
        <w:t>5</w:t>
      </w:r>
      <w:r>
        <w:rPr>
          <w:rFonts w:hint="eastAsia" w:ascii="宋体" w:hAnsi="宋体"/>
          <w:color w:val="auto"/>
          <w:sz w:val="24"/>
          <w:szCs w:val="24"/>
          <w:highlight w:val="none"/>
          <w:u w:val="single"/>
        </w:rPr>
        <w:t>月</w:t>
      </w:r>
      <w:r>
        <w:rPr>
          <w:rFonts w:hint="eastAsia" w:ascii="宋体" w:hAnsi="宋体"/>
          <w:color w:val="auto"/>
          <w:sz w:val="24"/>
          <w:szCs w:val="24"/>
          <w:highlight w:val="none"/>
          <w:u w:val="single"/>
          <w:lang w:val="en-US" w:eastAsia="zh-CN"/>
        </w:rPr>
        <w:t>1</w:t>
      </w:r>
      <w:r>
        <w:rPr>
          <w:rFonts w:hint="eastAsia" w:ascii="宋体" w:hAnsi="宋体"/>
          <w:color w:val="auto"/>
          <w:sz w:val="24"/>
          <w:szCs w:val="24"/>
          <w:highlight w:val="none"/>
          <w:u w:val="single"/>
        </w:rPr>
        <w:t>日开始施工，至2026年</w:t>
      </w:r>
      <w:r>
        <w:rPr>
          <w:rFonts w:hint="eastAsia" w:ascii="宋体" w:hAnsi="宋体"/>
          <w:color w:val="auto"/>
          <w:sz w:val="24"/>
          <w:szCs w:val="24"/>
          <w:highlight w:val="none"/>
          <w:u w:val="single"/>
          <w:lang w:val="en-US" w:eastAsia="zh-CN"/>
        </w:rPr>
        <w:t>9</w:t>
      </w:r>
      <w:r>
        <w:rPr>
          <w:rFonts w:hint="eastAsia" w:ascii="宋体" w:hAnsi="宋体"/>
          <w:color w:val="auto"/>
          <w:sz w:val="24"/>
          <w:szCs w:val="24"/>
          <w:highlight w:val="none"/>
          <w:u w:val="single"/>
        </w:rPr>
        <w:t>月30日竣工完成，具体开工日期以现场具备施工条件且在项目依法领取施工许可证后，以经发包人批准、监理工程师签发的开工令日期为准。</w:t>
      </w:r>
    </w:p>
    <w:p w14:paraId="7402D802">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u w:val="single"/>
        </w:rPr>
        <w:t>质量保修服务期：自工程竣工验收合格之日起两年。</w:t>
      </w:r>
    </w:p>
    <w:p w14:paraId="5E2B7EC1">
      <w:pPr>
        <w:snapToGrid w:val="0"/>
        <w:spacing w:line="400" w:lineRule="exact"/>
        <w:ind w:firstLine="480" w:firstLineChars="200"/>
        <w:rPr>
          <w:rFonts w:hint="eastAsia" w:ascii="宋体" w:hAnsi="宋体" w:eastAsia="宋体" w:cs="宋体"/>
          <w:color w:val="auto"/>
          <w:sz w:val="24"/>
          <w:szCs w:val="24"/>
          <w:highlight w:val="none"/>
          <w:u w:val="single"/>
          <w:lang w:bidi="ar"/>
        </w:rPr>
      </w:pPr>
      <w:r>
        <w:rPr>
          <w:rFonts w:hint="eastAsia" w:ascii="宋体" w:hAnsi="宋体"/>
          <w:color w:val="auto"/>
          <w:sz w:val="24"/>
          <w:szCs w:val="24"/>
          <w:highlight w:val="none"/>
        </w:rPr>
        <w:t>2.5招标内容：</w:t>
      </w:r>
      <w:r>
        <w:rPr>
          <w:rFonts w:hint="eastAsia" w:ascii="宋体" w:hAnsi="宋体"/>
          <w:color w:val="auto"/>
          <w:sz w:val="24"/>
          <w:highlight w:val="none"/>
          <w:u w:val="single"/>
          <w:lang w:val="en-US" w:eastAsia="zh-CN"/>
        </w:rPr>
        <w:t>包括车陂加压站复建工程第二阶段(附属设施用房)的</w:t>
      </w:r>
      <w:r>
        <w:rPr>
          <w:rFonts w:hint="eastAsia" w:ascii="宋体" w:hAnsi="宋体"/>
          <w:color w:val="auto"/>
          <w:sz w:val="24"/>
          <w:highlight w:val="none"/>
          <w:u w:val="single"/>
        </w:rPr>
        <w:t>2栋单体建筑</w:t>
      </w:r>
      <w:r>
        <w:rPr>
          <w:rFonts w:hint="eastAsia" w:ascii="宋体" w:hAnsi="宋体"/>
          <w:color w:val="auto"/>
          <w:sz w:val="24"/>
          <w:highlight w:val="none"/>
          <w:u w:val="single"/>
          <w:lang w:eastAsia="zh-CN"/>
        </w:rPr>
        <w:t>、</w:t>
      </w:r>
      <w:r>
        <w:rPr>
          <w:rFonts w:hint="eastAsia" w:ascii="宋体" w:hAnsi="宋体"/>
          <w:color w:val="auto"/>
          <w:sz w:val="24"/>
          <w:highlight w:val="none"/>
          <w:u w:val="single"/>
          <w:lang w:val="en-US" w:eastAsia="zh-CN"/>
        </w:rPr>
        <w:t>给水排水等管道系统、小型给水排水构筑物、道路及绿化、变配电及应急电源系统、配电系统、照明系统、防雷、接地及安全措施、通风空调及防排烟系统等，</w:t>
      </w:r>
      <w:r>
        <w:rPr>
          <w:rFonts w:hint="eastAsia" w:ascii="宋体" w:hAnsi="宋体" w:eastAsia="宋体" w:cs="宋体"/>
          <w:color w:val="auto"/>
          <w:sz w:val="24"/>
          <w:szCs w:val="24"/>
          <w:highlight w:val="none"/>
          <w:u w:val="single"/>
          <w:lang w:bidi="ar"/>
        </w:rPr>
        <w:t>具体以招标文件、招标图纸、工程量清单及有关资料说明为准。</w:t>
      </w:r>
    </w:p>
    <w:p w14:paraId="32B2607B">
      <w:pPr>
        <w:snapToGrid w:val="0"/>
        <w:spacing w:line="400" w:lineRule="exact"/>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包括但不限于以下内容：</w:t>
      </w:r>
    </w:p>
    <w:p w14:paraId="6A1371CE">
      <w:pPr>
        <w:snapToGrid w:val="0"/>
        <w:spacing w:line="400" w:lineRule="exact"/>
        <w:ind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1）负责全过程施工、竣工验收、竣工结算及智慧工地管理等承包工作，包括但不限于:站内三通一平、临水临电、临设建设，附属设施用房的土建、电气安装、电源接驳、室内外给排水;白蚁防治、临时及永久路面修复、管线保护与迁改、防雷专项验收消防专项验收、海绵城市专项验收。</w:t>
      </w:r>
    </w:p>
    <w:p w14:paraId="18E2FC73">
      <w:pPr>
        <w:snapToGrid w:val="0"/>
        <w:spacing w:line="400" w:lineRule="exact"/>
        <w:ind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2）负责全部施工范围内施工放线、地下管线会签交底工作;办理本项目安全质量登记监督备案、办理取得项目监管部门的开工批复;项目涉及城市绿化、燃气、石油、国防光缆及其他相关设施范围的，应编制专项评估及保护方案，组织专家评审，报相应权属单位审批，负责满足项目施工影响范围内相关权属管理单位要求实施的施工前相关前置报批及其他相关工作，完善开工前准备工作。负责各项水务质监、水投集团、市自来水公司和属地监管部门要求的在建工地视频监控等信息化建设。</w:t>
      </w:r>
    </w:p>
    <w:p w14:paraId="7FB0F860">
      <w:pPr>
        <w:snapToGrid w:val="0"/>
        <w:spacing w:line="400" w:lineRule="exact"/>
        <w:ind w:firstLine="480" w:firstLineChars="200"/>
        <w:rPr>
          <w:rFonts w:hint="eastAsia" w:ascii="宋体" w:hAnsi="宋体"/>
          <w:color w:val="auto"/>
          <w:sz w:val="24"/>
          <w:highlight w:val="none"/>
          <w:u w:val="single"/>
          <w:lang w:eastAsia="zh-CN"/>
        </w:rPr>
      </w:pPr>
      <w:r>
        <w:rPr>
          <w:rFonts w:hint="eastAsia" w:ascii="宋体" w:hAnsi="宋体"/>
          <w:color w:val="auto"/>
          <w:sz w:val="24"/>
          <w:highlight w:val="none"/>
          <w:u w:val="single"/>
        </w:rPr>
        <w:t>（3）负责全部施工范围内安全文明措施、临时及永久路面修复、现状设施查探及地下管线保护、拆除或废除旧管、迁移相关管线的土建和管道安装施工。负责编制深基坑、高支模等超过一定规模的危险性较大分部分项工程的安全专项施工方案和组织专家论证。在施工过程中，如遇燃气、电力通信等重点设施，应积极协调对应的管理部门，开展安全评估及施工过程中的监测等工作相关费用已包含在投标报价中</w:t>
      </w:r>
      <w:r>
        <w:rPr>
          <w:rFonts w:hint="eastAsia" w:ascii="宋体" w:hAnsi="宋体"/>
          <w:color w:val="auto"/>
          <w:sz w:val="24"/>
          <w:highlight w:val="none"/>
          <w:u w:val="single"/>
          <w:lang w:eastAsia="zh-CN"/>
        </w:rPr>
        <w:t>。</w:t>
      </w:r>
    </w:p>
    <w:p w14:paraId="4F2737F7">
      <w:pPr>
        <w:snapToGrid w:val="0"/>
        <w:spacing w:line="400" w:lineRule="exact"/>
        <w:ind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w:t>
      </w:r>
      <w:r>
        <w:rPr>
          <w:rFonts w:hint="eastAsia" w:ascii="宋体" w:hAnsi="宋体"/>
          <w:color w:val="auto"/>
          <w:sz w:val="24"/>
          <w:highlight w:val="none"/>
          <w:u w:val="single"/>
          <w:lang w:val="en-US" w:eastAsia="zh-CN"/>
        </w:rPr>
        <w:t>4</w:t>
      </w:r>
      <w:r>
        <w:rPr>
          <w:rFonts w:hint="eastAsia" w:ascii="宋体" w:hAnsi="宋体"/>
          <w:color w:val="auto"/>
          <w:sz w:val="24"/>
          <w:highlight w:val="none"/>
          <w:u w:val="single"/>
        </w:rPr>
        <w:t>）落实海绵城市、环境保护、工程验收、移交、耗水费代缴、工程结算、档案资料移交等施工过程管理，竣工图编制 (竣工图必须是根据工程实际完成情况重新绘制的图纸)，</w:t>
      </w:r>
      <w:r>
        <w:rPr>
          <w:rFonts w:hint="eastAsia" w:ascii="宋体" w:hAnsi="宋体"/>
          <w:color w:val="auto"/>
          <w:sz w:val="24"/>
          <w:highlight w:val="none"/>
          <w:u w:val="single"/>
          <w:lang w:eastAsia="zh-CN"/>
        </w:rPr>
        <w:t>负责</w:t>
      </w:r>
      <w:r>
        <w:rPr>
          <w:rFonts w:hint="eastAsia" w:ascii="宋体" w:hAnsi="宋体"/>
          <w:color w:val="auto"/>
          <w:sz w:val="24"/>
          <w:highlight w:val="none"/>
          <w:u w:val="single"/>
        </w:rPr>
        <w:t>树木迁移及保护。</w:t>
      </w:r>
    </w:p>
    <w:p w14:paraId="59166F3A">
      <w:pPr>
        <w:spacing w:line="360" w:lineRule="auto"/>
        <w:ind w:firstLine="540" w:firstLineChars="225"/>
        <w:rPr>
          <w:rFonts w:hint="eastAsia" w:ascii="宋体" w:hAnsi="宋体"/>
          <w:color w:val="auto"/>
          <w:sz w:val="24"/>
          <w:szCs w:val="24"/>
          <w:highlight w:val="none"/>
          <w:u w:val="single"/>
        </w:rPr>
      </w:pPr>
      <w:r>
        <w:rPr>
          <w:rFonts w:hint="eastAsia" w:ascii="宋体" w:hAnsi="宋体"/>
          <w:color w:val="auto"/>
          <w:sz w:val="24"/>
          <w:highlight w:val="none"/>
          <w:u w:val="single"/>
        </w:rPr>
        <w:t>（</w:t>
      </w:r>
      <w:r>
        <w:rPr>
          <w:rFonts w:hint="eastAsia" w:ascii="宋体" w:hAnsi="宋体"/>
          <w:color w:val="auto"/>
          <w:sz w:val="24"/>
          <w:highlight w:val="none"/>
          <w:u w:val="single"/>
          <w:lang w:val="en-US" w:eastAsia="zh-CN"/>
        </w:rPr>
        <w:t>5</w:t>
      </w:r>
      <w:r>
        <w:rPr>
          <w:rFonts w:hint="eastAsia" w:ascii="宋体" w:hAnsi="宋体"/>
          <w:color w:val="auto"/>
          <w:sz w:val="24"/>
          <w:highlight w:val="none"/>
          <w:u w:val="single"/>
        </w:rPr>
        <w:t>）本工程所有设备和材料均采用乙供</w:t>
      </w:r>
      <w:r>
        <w:rPr>
          <w:rFonts w:hint="eastAsia" w:ascii="宋体" w:hAnsi="宋体"/>
          <w:color w:val="auto"/>
          <w:sz w:val="24"/>
          <w:highlight w:val="none"/>
          <w:u w:val="single"/>
          <w:lang w:eastAsia="zh-CN"/>
        </w:rPr>
        <w:t>。</w:t>
      </w:r>
    </w:p>
    <w:p w14:paraId="65C43415">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u w:val="single"/>
        </w:rPr>
        <w:t>（具体工作内容详见施工设计图纸和工程量清单）。</w:t>
      </w:r>
    </w:p>
    <w:p w14:paraId="4613E975">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2.6标段划分：</w:t>
      </w:r>
      <w:r>
        <w:rPr>
          <w:rFonts w:hint="eastAsia" w:ascii="宋体" w:hAnsi="宋体"/>
          <w:color w:val="auto"/>
          <w:sz w:val="24"/>
          <w:szCs w:val="24"/>
          <w:highlight w:val="none"/>
          <w:u w:val="single"/>
          <w:lang w:val="en-US" w:eastAsia="zh-CN"/>
        </w:rPr>
        <w:t>1</w:t>
      </w:r>
      <w:r>
        <w:rPr>
          <w:rFonts w:hint="eastAsia" w:ascii="宋体" w:hAnsi="宋体"/>
          <w:color w:val="auto"/>
          <w:sz w:val="24"/>
          <w:szCs w:val="24"/>
          <w:highlight w:val="none"/>
        </w:rPr>
        <w:t>个标段。</w:t>
      </w:r>
    </w:p>
    <w:p w14:paraId="598D33FC">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2.7承包方式：</w:t>
      </w:r>
      <w:r>
        <w:rPr>
          <w:rFonts w:hint="eastAsia" w:ascii="宋体" w:hAnsi="宋体"/>
          <w:i w:val="0"/>
          <w:iCs w:val="0"/>
          <w:color w:val="auto"/>
          <w:sz w:val="24"/>
          <w:szCs w:val="24"/>
          <w:highlight w:val="none"/>
          <w:u w:val="single"/>
        </w:rPr>
        <w:t>包工、包料、包安装、包工期、包质量、采取有效措施，不发生安全事故、包文明施工、包保修、包劳保、包承包范围内工程验收通过、包移交、包结算、包资料整理、包施工承包管理和现场整体组织、包专业协调及配合等、包各系统调试及配合业主联合运转调试。分部分项工程和单项措施项目综合单价包干，按系数计算的绿色施工安全防护措施费按实结算，其他总价措施费预算包干费、总承包服务费以审定的施工预算对应金额总价包于；建筑垃圾消纳费以现场签证资料、消纳合同及有效的发票按实进行结算;耗水费结算时凭计算依据及有效增值税普通发票按实支付。</w:t>
      </w:r>
    </w:p>
    <w:p w14:paraId="498BAF90">
      <w:pPr>
        <w:pStyle w:val="25"/>
        <w:spacing w:before="0" w:after="0" w:line="360" w:lineRule="auto"/>
        <w:ind w:firstLine="540"/>
        <w:rPr>
          <w:rFonts w:hint="eastAsia"/>
          <w:color w:val="auto"/>
          <w:sz w:val="21"/>
          <w:szCs w:val="21"/>
          <w:highlight w:val="none"/>
        </w:rPr>
      </w:pPr>
      <w:bookmarkStart w:id="61" w:name="_Toc221949926"/>
      <w:bookmarkStart w:id="62" w:name="_Toc144974482"/>
      <w:bookmarkStart w:id="63" w:name="_Toc222033816"/>
      <w:bookmarkStart w:id="64" w:name="_Toc222030967"/>
      <w:bookmarkStart w:id="65" w:name="_Toc259524298"/>
      <w:bookmarkStart w:id="66" w:name="_Toc168475628"/>
      <w:bookmarkStart w:id="67" w:name="_Toc222032634"/>
      <w:bookmarkStart w:id="68" w:name="_Toc168476031"/>
      <w:bookmarkStart w:id="69" w:name="_Toc229305325"/>
      <w:bookmarkStart w:id="70" w:name="_Toc222029465"/>
      <w:r>
        <w:rPr>
          <w:rFonts w:hint="eastAsia"/>
          <w:b/>
          <w:color w:val="auto"/>
          <w:highlight w:val="none"/>
        </w:rPr>
        <w:t>3</w:t>
      </w:r>
      <w:r>
        <w:rPr>
          <w:b/>
          <w:color w:val="auto"/>
          <w:highlight w:val="none"/>
        </w:rPr>
        <w:t>. 投标人资格要求</w:t>
      </w:r>
      <w:bookmarkEnd w:id="61"/>
      <w:bookmarkEnd w:id="62"/>
      <w:bookmarkEnd w:id="63"/>
      <w:bookmarkEnd w:id="64"/>
      <w:bookmarkEnd w:id="65"/>
      <w:bookmarkEnd w:id="66"/>
      <w:bookmarkEnd w:id="67"/>
      <w:bookmarkEnd w:id="68"/>
      <w:bookmarkEnd w:id="69"/>
      <w:bookmarkEnd w:id="70"/>
    </w:p>
    <w:p w14:paraId="64BCC7B3">
      <w:pPr>
        <w:spacing w:line="360" w:lineRule="auto"/>
        <w:ind w:firstLine="480" w:firstLineChars="200"/>
        <w:rPr>
          <w:rFonts w:ascii="宋体" w:hAnsi="宋体"/>
          <w:bCs/>
          <w:color w:val="auto"/>
          <w:sz w:val="24"/>
          <w:highlight w:val="none"/>
        </w:rPr>
      </w:pPr>
      <w:r>
        <w:rPr>
          <w:rFonts w:hint="eastAsia" w:ascii="宋体" w:hAnsi="宋体"/>
          <w:color w:val="auto"/>
          <w:sz w:val="24"/>
          <w:szCs w:val="24"/>
          <w:highlight w:val="none"/>
        </w:rPr>
        <w:t>3.1</w:t>
      </w:r>
      <w:r>
        <w:rPr>
          <w:rFonts w:hint="eastAsia" w:ascii="宋体" w:hAnsi="宋体"/>
          <w:bCs/>
          <w:color w:val="auto"/>
          <w:sz w:val="24"/>
          <w:highlight w:val="none"/>
        </w:rPr>
        <w:t>投标人应具备承担本项目施工的资质条件、能力和信誉。</w:t>
      </w:r>
    </w:p>
    <w:p w14:paraId="6B80E877">
      <w:pPr>
        <w:pStyle w:val="25"/>
        <w:spacing w:before="0" w:after="0" w:line="360" w:lineRule="auto"/>
        <w:ind w:firstLine="540"/>
        <w:rPr>
          <w:rFonts w:hint="eastAsia"/>
          <w:color w:val="auto"/>
          <w:highlight w:val="none"/>
        </w:rPr>
      </w:pPr>
      <w:r>
        <w:rPr>
          <w:rFonts w:hint="eastAsia"/>
          <w:color w:val="auto"/>
          <w:highlight w:val="none"/>
        </w:rPr>
        <w:t>3.1.1</w:t>
      </w:r>
      <w:r>
        <w:rPr>
          <w:rFonts w:ascii="宋体" w:hAnsi="宋体" w:eastAsia="宋体" w:cs="宋体"/>
          <w:color w:val="auto"/>
          <w:sz w:val="24"/>
          <w:szCs w:val="24"/>
          <w:highlight w:val="none"/>
        </w:rPr>
        <w:t>投标人是法人或其他组织，按国家法律经营</w:t>
      </w:r>
      <w:r>
        <w:rPr>
          <w:rFonts w:hint="eastAsia"/>
          <w:color w:val="auto"/>
          <w:highlight w:val="none"/>
        </w:rPr>
        <w:t>，投标人具有承接本工程所需的</w:t>
      </w:r>
      <w:r>
        <w:rPr>
          <w:rFonts w:hint="eastAsia" w:ascii="宋体" w:hAnsi="宋体" w:eastAsia="宋体"/>
          <w:color w:val="auto"/>
          <w:sz w:val="24"/>
          <w:szCs w:val="24"/>
          <w:highlight w:val="none"/>
          <w:u w:val="single"/>
        </w:rPr>
        <w:t>建筑工程施工总承包三级（或以上）</w:t>
      </w:r>
      <w:r>
        <w:rPr>
          <w:rFonts w:hint="eastAsia"/>
          <w:color w:val="auto"/>
          <w:highlight w:val="none"/>
        </w:rPr>
        <w:t>级别施工总承包资质。</w:t>
      </w:r>
    </w:p>
    <w:p w14:paraId="62E49A5A">
      <w:pPr>
        <w:pStyle w:val="22"/>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eastAsia="宋体" w:cs="宋体"/>
          <w:bCs w:val="0"/>
          <w:color w:val="auto"/>
          <w:kern w:val="0"/>
          <w:sz w:val="24"/>
          <w:szCs w:val="24"/>
          <w:highlight w:val="none"/>
          <w:lang w:val="en-US" w:eastAsia="zh-CN" w:bidi="ar-SA"/>
        </w:rPr>
      </w:pPr>
      <w:r>
        <w:rPr>
          <w:rFonts w:hint="eastAsia" w:ascii="宋体" w:hAnsi="宋体" w:eastAsia="宋体" w:cs="宋体"/>
          <w:bCs w:val="0"/>
          <w:color w:val="auto"/>
          <w:kern w:val="0"/>
          <w:sz w:val="24"/>
          <w:szCs w:val="24"/>
          <w:highlight w:val="none"/>
          <w:lang w:val="en-US" w:eastAsia="zh-CN" w:bidi="ar-SA"/>
        </w:rPr>
        <w:t>注：资质内容按照建市〔2014〕159号文颁布的新版《建筑业企业资质标准》中对应的资质类别及等级的承包工程范围和《住房城乡建设部关于建筑业企业资质管理有关问题的通知》（建市〔2015〕154号）、《住房城乡建设部关于简化建筑业企业资质标准部分指标的通知》(建市〔2016〕226号)、《住房和城乡建设部关于印发建设工程企业资质管理制度改革方案的通知》（建市〔2020〕94号）、《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广东省住房和城乡建设厅关于建设工程企业资质延续有关事项的通知》（粤建许函〔2023〕820号）、广东省住房和城乡建设厅关于做好有关建设工程企业资质证书换领工作的通知（粤建许函〔2024〕124号）的要求设置。</w:t>
      </w:r>
    </w:p>
    <w:p w14:paraId="02D3C434">
      <w:pPr>
        <w:pStyle w:val="25"/>
        <w:spacing w:before="0" w:after="0" w:line="360" w:lineRule="auto"/>
        <w:ind w:firstLine="540"/>
        <w:rPr>
          <w:rFonts w:hint="eastAsia"/>
          <w:color w:val="auto"/>
          <w:sz w:val="24"/>
          <w:szCs w:val="24"/>
          <w:highlight w:val="none"/>
        </w:rPr>
      </w:pPr>
      <w:r>
        <w:rPr>
          <w:rFonts w:hint="eastAsia"/>
          <w:color w:val="auto"/>
          <w:sz w:val="24"/>
          <w:szCs w:val="24"/>
          <w:highlight w:val="none"/>
        </w:rPr>
        <w:t>3.1.2安全生产许可证：投标人需具有有效的建设行政主管部门颁发的安全生产许可证。</w:t>
      </w:r>
    </w:p>
    <w:p w14:paraId="138092E1">
      <w:pPr>
        <w:spacing w:line="360" w:lineRule="auto"/>
        <w:ind w:firstLine="480" w:firstLineChars="200"/>
        <w:rPr>
          <w:color w:val="auto"/>
          <w:sz w:val="24"/>
          <w:szCs w:val="24"/>
          <w:highlight w:val="none"/>
        </w:rPr>
      </w:pPr>
      <w:r>
        <w:rPr>
          <w:rFonts w:hint="eastAsia" w:ascii="宋体" w:hAnsi="宋体" w:eastAsia="宋体" w:cs="宋体"/>
          <w:color w:val="auto"/>
          <w:kern w:val="0"/>
          <w:sz w:val="24"/>
          <w:szCs w:val="24"/>
          <w:highlight w:val="none"/>
        </w:rPr>
        <w:t>3.1.3</w:t>
      </w:r>
      <w:r>
        <w:rPr>
          <w:rFonts w:hint="eastAsia" w:ascii="宋体" w:hAnsi="宋体"/>
          <w:bCs/>
          <w:color w:val="auto"/>
          <w:sz w:val="24"/>
          <w:szCs w:val="24"/>
          <w:highlight w:val="none"/>
        </w:rPr>
        <w:t>投标人拟担任本工程项目负责人的人员须具有</w:t>
      </w:r>
      <w:r>
        <w:rPr>
          <w:rFonts w:hint="eastAsia" w:ascii="宋体" w:hAnsi="宋体" w:eastAsia="宋体"/>
          <w:color w:val="auto"/>
          <w:sz w:val="24"/>
          <w:szCs w:val="24"/>
          <w:highlight w:val="none"/>
          <w:u w:val="single"/>
        </w:rPr>
        <w:t>建筑工程</w:t>
      </w:r>
      <w:r>
        <w:rPr>
          <w:rFonts w:hint="eastAsia" w:ascii="宋体" w:hAnsi="宋体" w:eastAsia="宋体"/>
          <w:color w:val="auto"/>
          <w:sz w:val="24"/>
          <w:szCs w:val="24"/>
          <w:highlight w:val="none"/>
        </w:rPr>
        <w:t>专业二级</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或以上</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级别的注册建造师</w:t>
      </w:r>
      <w:r>
        <w:rPr>
          <w:color w:val="auto"/>
          <w:sz w:val="24"/>
          <w:szCs w:val="24"/>
          <w:highlight w:val="none"/>
        </w:rPr>
        <w:t>。</w:t>
      </w:r>
    </w:p>
    <w:p w14:paraId="62844405">
      <w:pPr>
        <w:spacing w:line="360" w:lineRule="auto"/>
        <w:ind w:firstLine="480" w:firstLineChars="200"/>
        <w:rPr>
          <w:color w:val="auto"/>
          <w:sz w:val="24"/>
          <w:szCs w:val="24"/>
          <w:highlight w:val="none"/>
        </w:rPr>
      </w:pPr>
      <w:r>
        <w:rPr>
          <w:rFonts w:hint="eastAsia"/>
          <w:color w:val="auto"/>
          <w:sz w:val="24"/>
          <w:szCs w:val="24"/>
          <w:highlight w:val="none"/>
        </w:rPr>
        <w:t>项目负责人持有</w:t>
      </w:r>
      <w:r>
        <w:rPr>
          <w:rFonts w:hint="eastAsia"/>
          <w:color w:val="auto"/>
          <w:sz w:val="24"/>
          <w:szCs w:val="24"/>
          <w:highlight w:val="none"/>
          <w:lang w:eastAsia="zh-CN"/>
        </w:rPr>
        <w:t>安全生产考核合格证</w:t>
      </w:r>
      <w:r>
        <w:rPr>
          <w:rFonts w:hint="eastAsia"/>
          <w:color w:val="auto"/>
          <w:sz w:val="24"/>
          <w:szCs w:val="24"/>
          <w:highlight w:val="none"/>
        </w:rPr>
        <w:t>（B 类）或建筑施工企业项目负责人安全生产考核合格证书</w:t>
      </w:r>
      <w:r>
        <w:rPr>
          <w:color w:val="auto"/>
          <w:sz w:val="24"/>
          <w:szCs w:val="24"/>
          <w:highlight w:val="none"/>
        </w:rPr>
        <w:t xml:space="preserve">。 </w:t>
      </w:r>
    </w:p>
    <w:p w14:paraId="1E8A03D2">
      <w:pPr>
        <w:snapToGrid w:val="0"/>
        <w:spacing w:before="0" w:line="360" w:lineRule="auto"/>
        <w:ind w:left="19" w:right="105" w:firstLine="48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根据广东省住建厅《关于明确二级建造师注册执业有关问题的通知》（粤建市函〔2023〕469号），二级建造师应在考试取得执业资格的省、自治区、直辖市申请注册，二级注册建造师可随注册企业在全国范围内执业。项目负责人在任职期间不得担任专职安全员，项目专职安全员在任职期间也不得担任项目负责人，项目负责人和专职安全员不为同一人。</w:t>
      </w:r>
    </w:p>
    <w:p w14:paraId="0E3525D4">
      <w:pPr>
        <w:snapToGrid w:val="0"/>
        <w:spacing w:before="0" w:line="360" w:lineRule="auto"/>
        <w:ind w:left="19" w:right="105" w:firstLine="48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14:paraId="5D1295A5">
      <w:pPr>
        <w:snapToGrid w:val="0"/>
        <w:spacing w:before="0" w:line="360" w:lineRule="auto"/>
        <w:ind w:left="19" w:right="105" w:firstLine="48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14:paraId="5B084252">
      <w:pPr>
        <w:numPr>
          <w:ilvl w:val="0"/>
          <w:numId w:val="2"/>
        </w:numPr>
        <w:snapToGrid w:val="0"/>
        <w:spacing w:before="0" w:line="360" w:lineRule="auto"/>
        <w:ind w:left="19" w:right="105" w:firstLine="48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投标人拟派的项目负责人应未被广州公共资源交易中心锁定，投标人办理网上投标登记时，拟派项目负责人将被锁定。若在评标时发现该项目负责人已被其他项目锁定，则投标人将不可被推荐为中标候选人。</w:t>
      </w:r>
    </w:p>
    <w:p w14:paraId="53839502">
      <w:pPr>
        <w:snapToGrid w:val="0"/>
        <w:spacing w:line="360" w:lineRule="auto"/>
        <w:ind w:left="19" w:right="105" w:firstLine="481"/>
        <w:rPr>
          <w:rFonts w:hint="default" w:eastAsia="宋体"/>
          <w:color w:val="auto"/>
          <w:highlight w:val="none"/>
          <w:lang w:val="en-US" w:eastAsia="zh-CN"/>
        </w:rPr>
      </w:pPr>
      <w:r>
        <w:rPr>
          <w:rFonts w:hint="eastAsia" w:ascii="宋体" w:hAnsi="宋体" w:eastAsia="宋体" w:cs="宋体"/>
          <w:color w:val="auto"/>
          <w:kern w:val="0"/>
          <w:sz w:val="24"/>
          <w:szCs w:val="24"/>
          <w:highlight w:val="none"/>
          <w:lang w:val="en-US" w:eastAsia="zh-CN"/>
        </w:rPr>
        <w:t>3.1.4</w:t>
      </w:r>
      <w:r>
        <w:rPr>
          <w:rFonts w:ascii="宋体" w:hAnsi="宋体" w:eastAsia="宋体" w:cs="宋体"/>
          <w:color w:val="auto"/>
          <w:kern w:val="0"/>
          <w:sz w:val="24"/>
          <w:szCs w:val="24"/>
          <w:highlight w:val="none"/>
        </w:rPr>
        <w:t>投标人拟担任本工程技术负责人的资格要求为：</w:t>
      </w:r>
      <w:r>
        <w:rPr>
          <w:rFonts w:ascii="宋体" w:hAnsi="宋体" w:eastAsia="宋体" w:cs="宋体"/>
          <w:color w:val="auto"/>
          <w:kern w:val="0"/>
          <w:sz w:val="24"/>
          <w:szCs w:val="24"/>
          <w:highlight w:val="none"/>
          <w:u w:val="single"/>
        </w:rPr>
        <w:t>具有</w:t>
      </w:r>
      <w:r>
        <w:rPr>
          <w:rFonts w:ascii="宋体" w:hAnsi="宋体" w:eastAsia="宋体" w:cs="宋体"/>
          <w:b/>
          <w:color w:val="auto"/>
          <w:kern w:val="0"/>
          <w:sz w:val="24"/>
          <w:szCs w:val="24"/>
          <w:highlight w:val="none"/>
          <w:u w:val="single"/>
        </w:rPr>
        <w:t>建筑工程</w:t>
      </w:r>
      <w:r>
        <w:rPr>
          <w:rFonts w:ascii="宋体" w:hAnsi="宋体" w:eastAsia="宋体" w:cs="宋体"/>
          <w:color w:val="auto"/>
          <w:kern w:val="0"/>
          <w:sz w:val="24"/>
          <w:szCs w:val="24"/>
          <w:highlight w:val="none"/>
          <w:u w:val="single"/>
        </w:rPr>
        <w:t>相关专业</w:t>
      </w:r>
      <w:r>
        <w:rPr>
          <w:rFonts w:ascii="宋体" w:hAnsi="宋体" w:eastAsia="宋体" w:cs="宋体"/>
          <w:b/>
          <w:color w:val="auto"/>
          <w:kern w:val="0"/>
          <w:sz w:val="24"/>
          <w:szCs w:val="24"/>
          <w:highlight w:val="none"/>
          <w:u w:val="single"/>
        </w:rPr>
        <w:t>中级</w:t>
      </w:r>
      <w:r>
        <w:rPr>
          <w:rFonts w:ascii="宋体" w:hAnsi="宋体" w:eastAsia="宋体" w:cs="宋体"/>
          <w:color w:val="auto"/>
          <w:kern w:val="0"/>
          <w:sz w:val="24"/>
          <w:szCs w:val="24"/>
          <w:highlight w:val="none"/>
          <w:u w:val="single"/>
        </w:rPr>
        <w:t>或以上技术职称。</w:t>
      </w:r>
    </w:p>
    <w:p w14:paraId="44D1F095">
      <w:pPr>
        <w:pStyle w:val="25"/>
        <w:spacing w:before="0" w:after="0" w:line="360" w:lineRule="auto"/>
        <w:ind w:firstLine="540"/>
        <w:rPr>
          <w:rFonts w:hint="eastAsia"/>
          <w:i/>
          <w:color w:val="auto"/>
          <w:sz w:val="21"/>
          <w:szCs w:val="21"/>
          <w:highlight w:val="none"/>
        </w:rPr>
      </w:pPr>
      <w:r>
        <w:rPr>
          <w:rFonts w:hint="eastAsia"/>
          <w:color w:val="auto"/>
          <w:highlight w:val="none"/>
        </w:rPr>
        <w:t>3.1.</w:t>
      </w:r>
      <w:r>
        <w:rPr>
          <w:rFonts w:hint="eastAsia"/>
          <w:color w:val="auto"/>
          <w:highlight w:val="none"/>
          <w:lang w:val="en-US" w:eastAsia="zh-CN"/>
        </w:rPr>
        <w:t>5</w:t>
      </w:r>
      <w:r>
        <w:rPr>
          <w:rFonts w:hint="eastAsia"/>
          <w:color w:val="auto"/>
          <w:highlight w:val="none"/>
        </w:rPr>
        <w:t>专职安全员资格要求：</w:t>
      </w:r>
      <w:r>
        <w:rPr>
          <w:rFonts w:hint="eastAsia" w:ascii="宋体" w:hAnsi="宋体" w:eastAsia="宋体" w:cs="宋体"/>
          <w:color w:val="auto"/>
          <w:spacing w:val="0"/>
          <w:sz w:val="24"/>
          <w:szCs w:val="24"/>
          <w:highlight w:val="none"/>
        </w:rPr>
        <w:t>应具有有效的建设行政主管部门颁发的安全考核合格证(</w:t>
      </w:r>
      <w:r>
        <w:rPr>
          <w:rFonts w:hint="eastAsia" w:ascii="宋体" w:hAnsi="宋体" w:eastAsia="宋体" w:cs="宋体"/>
          <w:color w:val="auto"/>
          <w:sz w:val="24"/>
          <w:szCs w:val="24"/>
          <w:highlight w:val="none"/>
        </w:rPr>
        <w:t>C</w:t>
      </w:r>
      <w:r>
        <w:rPr>
          <w:rFonts w:hint="eastAsia" w:ascii="宋体" w:hAnsi="宋体" w:eastAsia="宋体" w:cs="宋体"/>
          <w:color w:val="auto"/>
          <w:spacing w:val="0"/>
          <w:sz w:val="24"/>
          <w:szCs w:val="24"/>
          <w:highlight w:val="none"/>
        </w:rPr>
        <w:t>类)或建筑施工企业专职安全生产管理人员安全生产考核合格证书(</w:t>
      </w:r>
      <w:r>
        <w:rPr>
          <w:rFonts w:hint="eastAsia" w:ascii="宋体" w:hAnsi="宋体" w:eastAsia="宋体" w:cs="宋体"/>
          <w:color w:val="auto"/>
          <w:sz w:val="24"/>
          <w:szCs w:val="24"/>
          <w:highlight w:val="none"/>
        </w:rPr>
        <w:t>C</w:t>
      </w:r>
      <w:r>
        <w:rPr>
          <w:rFonts w:hint="eastAsia" w:ascii="宋体" w:hAnsi="宋体" w:eastAsia="宋体" w:cs="宋体"/>
          <w:color w:val="auto"/>
          <w:spacing w:val="0"/>
          <w:sz w:val="24"/>
          <w:szCs w:val="24"/>
          <w:highlight w:val="none"/>
        </w:rPr>
        <w:t>3类)，专职安全员和项目负责人不得为同一人。</w:t>
      </w:r>
    </w:p>
    <w:p w14:paraId="5E963A99">
      <w:pPr>
        <w:spacing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pacing w:val="0"/>
          <w:kern w:val="0"/>
          <w:sz w:val="24"/>
          <w:szCs w:val="24"/>
          <w:highlight w:val="none"/>
          <w:lang w:val="en-US" w:eastAsia="zh-CN" w:bidi="ar-SA"/>
        </w:rPr>
        <w:t>3.1.6类似项目业绩要求：</w:t>
      </w:r>
      <w:r>
        <w:rPr>
          <w:rFonts w:hint="eastAsia" w:ascii="宋体" w:hAnsi="宋体" w:eastAsia="宋体" w:cs="宋体"/>
          <w:color w:val="auto"/>
          <w:sz w:val="24"/>
          <w:szCs w:val="24"/>
          <w:highlight w:val="none"/>
        </w:rPr>
        <w:t>投标人具有自2022年1月1日至今完成过质量合格的类似工程业绩。</w:t>
      </w:r>
    </w:p>
    <w:p w14:paraId="3E692812">
      <w:pPr>
        <w:spacing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注：1）项目完成时间以竣工验收时间为准。</w:t>
      </w:r>
    </w:p>
    <w:p w14:paraId="0ACB5B03">
      <w:pPr>
        <w:spacing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2）类似业绩指采用的资质类别与本招标项目采用的资质类别相同的，单项合同造价为1600万元或以上的建筑工程业绩。</w:t>
      </w:r>
    </w:p>
    <w:p w14:paraId="770FE0CF">
      <w:pPr>
        <w:spacing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需同时提供中标通知书或免招标的相关证明、施工合同、竣工验收报告或竣工验收证明。类似业绩证明的信息须明确显示该业绩项目名称、中标价、规模（金额）等信息。如以上资料不能证明业绩规模的技术指标（指金额）的，须另提供可证明业绩技术指标的其他资料。</w:t>
      </w:r>
    </w:p>
    <w:p w14:paraId="3904216C">
      <w:pPr>
        <w:spacing w:line="360" w:lineRule="auto"/>
        <w:ind w:firstLine="537" w:firstLineChars="2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4）由总承包单位依法分包的专业工程业绩，不作为业绩证明。</w:t>
      </w:r>
    </w:p>
    <w:p w14:paraId="33F41922">
      <w:pPr>
        <w:spacing w:line="360" w:lineRule="auto"/>
        <w:ind w:firstLine="537" w:firstLineChars="224"/>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rPr>
        <w:t>5）类似业绩在中标候选人公示期间一并进行公示。</w:t>
      </w:r>
    </w:p>
    <w:p w14:paraId="3C1EBB7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3.1.</w:t>
      </w: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提交社保文件的要求：投标申请人须保证授权的委托代理人及项目部主要组成人员（项目负责人、专职安全员）均为本单位的正式职工，必须具有离投标截止时间最近</w:t>
      </w:r>
      <w:r>
        <w:rPr>
          <w:rFonts w:hint="eastAsia" w:ascii="宋体" w:hAnsi="宋体" w:cs="宋体"/>
          <w:color w:val="auto"/>
          <w:kern w:val="0"/>
          <w:sz w:val="24"/>
          <w:szCs w:val="24"/>
          <w:highlight w:val="none"/>
          <w:lang w:val="en-US" w:eastAsia="zh-CN"/>
        </w:rPr>
        <w:t>的至少1</w:t>
      </w:r>
      <w:r>
        <w:rPr>
          <w:rFonts w:hint="eastAsia" w:ascii="宋体" w:hAnsi="宋体" w:cs="宋体"/>
          <w:color w:val="auto"/>
          <w:kern w:val="0"/>
          <w:sz w:val="24"/>
          <w:szCs w:val="24"/>
          <w:highlight w:val="none"/>
        </w:rPr>
        <w:t>个月</w:t>
      </w:r>
      <w:r>
        <w:rPr>
          <w:rFonts w:hint="eastAsia" w:ascii="宋体" w:hAnsi="宋体" w:eastAsia="宋体" w:cs="宋体"/>
          <w:color w:val="auto"/>
          <w:spacing w:val="0"/>
          <w:kern w:val="0"/>
          <w:sz w:val="24"/>
          <w:szCs w:val="24"/>
          <w:highlight w:val="none"/>
        </w:rPr>
        <w:t>(时间为：</w:t>
      </w:r>
      <w:r>
        <w:rPr>
          <w:rFonts w:hint="eastAsia" w:ascii="宋体" w:hAnsi="宋体" w:eastAsia="宋体" w:cs="宋体"/>
          <w:color w:val="auto"/>
          <w:spacing w:val="0"/>
          <w:kern w:val="0"/>
          <w:sz w:val="24"/>
          <w:szCs w:val="24"/>
          <w:highlight w:val="none"/>
          <w:lang w:val="en-US" w:eastAsia="zh-CN"/>
        </w:rPr>
        <w:t>202</w:t>
      </w:r>
      <w:r>
        <w:rPr>
          <w:rFonts w:hint="eastAsia" w:ascii="宋体" w:hAnsi="宋体" w:cs="宋体"/>
          <w:color w:val="auto"/>
          <w:spacing w:val="0"/>
          <w:kern w:val="0"/>
          <w:sz w:val="24"/>
          <w:szCs w:val="24"/>
          <w:highlight w:val="none"/>
          <w:lang w:val="en-US" w:eastAsia="zh-CN"/>
        </w:rPr>
        <w:t>5</w:t>
      </w:r>
      <w:r>
        <w:rPr>
          <w:rFonts w:hint="eastAsia" w:ascii="宋体" w:hAnsi="宋体" w:eastAsia="宋体" w:cs="宋体"/>
          <w:color w:val="auto"/>
          <w:spacing w:val="0"/>
          <w:kern w:val="0"/>
          <w:sz w:val="24"/>
          <w:szCs w:val="24"/>
          <w:highlight w:val="none"/>
          <w:lang w:val="en-US" w:eastAsia="zh-CN"/>
        </w:rPr>
        <w:t>年</w:t>
      </w:r>
      <w:r>
        <w:rPr>
          <w:rFonts w:hint="eastAsia" w:ascii="宋体" w:hAnsi="宋体" w:cs="宋体"/>
          <w:color w:val="auto"/>
          <w:spacing w:val="0"/>
          <w:kern w:val="0"/>
          <w:sz w:val="24"/>
          <w:szCs w:val="24"/>
          <w:highlight w:val="none"/>
          <w:lang w:val="en-US" w:eastAsia="zh-CN"/>
        </w:rPr>
        <w:t>1</w:t>
      </w:r>
      <w:r>
        <w:rPr>
          <w:rFonts w:hint="eastAsia" w:ascii="宋体" w:hAnsi="宋体" w:eastAsia="宋体" w:cs="宋体"/>
          <w:color w:val="auto"/>
          <w:spacing w:val="0"/>
          <w:kern w:val="0"/>
          <w:sz w:val="24"/>
          <w:szCs w:val="24"/>
          <w:highlight w:val="none"/>
          <w:lang w:val="en-US" w:eastAsia="zh-CN"/>
        </w:rPr>
        <w:t>月</w:t>
      </w:r>
      <w:r>
        <w:rPr>
          <w:rFonts w:hint="eastAsia" w:ascii="宋体" w:hAnsi="宋体" w:eastAsia="宋体" w:cs="宋体"/>
          <w:color w:val="auto"/>
          <w:spacing w:val="0"/>
          <w:kern w:val="0"/>
          <w:sz w:val="24"/>
          <w:szCs w:val="24"/>
          <w:highlight w:val="none"/>
        </w:rPr>
        <w:t>)</w:t>
      </w:r>
      <w:r>
        <w:rPr>
          <w:rFonts w:hint="eastAsia" w:ascii="宋体" w:hAnsi="宋体" w:cs="宋体"/>
          <w:color w:val="auto"/>
          <w:kern w:val="0"/>
          <w:sz w:val="24"/>
          <w:szCs w:val="24"/>
          <w:highlight w:val="none"/>
        </w:rPr>
        <w:t>在本单位缴纳的社保证明文件</w:t>
      </w:r>
      <w:r>
        <w:rPr>
          <w:rFonts w:hint="eastAsia" w:ascii="宋体" w:hAnsi="宋体" w:eastAsia="宋体" w:cs="宋体"/>
          <w:color w:val="auto"/>
          <w:spacing w:val="0"/>
          <w:kern w:val="0"/>
          <w:sz w:val="24"/>
          <w:szCs w:val="24"/>
          <w:highlight w:val="none"/>
        </w:rPr>
        <w:t>(以加盖社会保险基金管理中心印章的《投保单》或《社会保险参保人员证明》资料为准)</w:t>
      </w:r>
      <w:r>
        <w:rPr>
          <w:rFonts w:hint="eastAsia" w:ascii="宋体" w:hAnsi="宋体" w:cs="宋体"/>
          <w:color w:val="auto"/>
          <w:kern w:val="0"/>
          <w:sz w:val="24"/>
          <w:szCs w:val="24"/>
          <w:highlight w:val="none"/>
        </w:rPr>
        <w:t>。</w:t>
      </w:r>
    </w:p>
    <w:p w14:paraId="00630F05">
      <w:pPr>
        <w:pStyle w:val="25"/>
        <w:spacing w:before="0" w:after="0" w:line="360" w:lineRule="auto"/>
        <w:ind w:firstLine="540"/>
        <w:rPr>
          <w:rFonts w:hint="eastAsia" w:ascii="宋体" w:hAnsi="宋体" w:eastAsia="宋体" w:cs="宋体"/>
          <w:color w:val="auto"/>
          <w:highlight w:val="none"/>
        </w:rPr>
      </w:pPr>
      <w:r>
        <w:rPr>
          <w:rFonts w:hint="eastAsia" w:ascii="宋体" w:hAnsi="宋体" w:eastAsia="宋体" w:cs="宋体"/>
          <w:color w:val="auto"/>
          <w:highlight w:val="none"/>
        </w:rPr>
        <w:t>3.1.</w:t>
      </w:r>
      <w:r>
        <w:rPr>
          <w:rFonts w:hint="eastAsia" w:cs="宋体"/>
          <w:color w:val="auto"/>
          <w:highlight w:val="none"/>
          <w:lang w:val="en-US" w:eastAsia="zh-CN"/>
        </w:rPr>
        <w:t>8</w:t>
      </w:r>
      <w:r>
        <w:rPr>
          <w:rFonts w:hint="eastAsia" w:ascii="宋体" w:hAnsi="宋体" w:eastAsia="宋体" w:cs="宋体"/>
          <w:color w:val="auto"/>
          <w:kern w:val="0"/>
          <w:sz w:val="24"/>
          <w:szCs w:val="24"/>
          <w:highlight w:val="none"/>
          <w:lang w:val="en-US" w:eastAsia="zh-CN" w:bidi="ar-SA"/>
        </w:rPr>
        <w:t>投标人提交的《投标人声明》（格式见本公告附件一）内容及签署盖章与招标文件要求一致，</w:t>
      </w:r>
      <w:r>
        <w:rPr>
          <w:rFonts w:hint="eastAsia" w:ascii="宋体" w:hAnsi="宋体" w:eastAsia="宋体" w:cs="宋体"/>
          <w:b w:val="0"/>
          <w:bCs w:val="0"/>
          <w:color w:val="auto"/>
          <w:kern w:val="0"/>
          <w:sz w:val="24"/>
          <w:szCs w:val="24"/>
          <w:highlight w:val="none"/>
          <w:lang w:val="en-US" w:eastAsia="zh-CN" w:bidi="ar-SA"/>
        </w:rPr>
        <w:t>法定代表人、项目负责人、技术负责人</w:t>
      </w:r>
      <w:r>
        <w:rPr>
          <w:rFonts w:hint="eastAsia" w:ascii="宋体" w:hAnsi="宋体" w:eastAsia="宋体" w:cs="宋体"/>
          <w:color w:val="auto"/>
          <w:kern w:val="0"/>
          <w:sz w:val="24"/>
          <w:szCs w:val="24"/>
          <w:highlight w:val="none"/>
          <w:lang w:val="en-US" w:eastAsia="zh-CN" w:bidi="ar-SA"/>
        </w:rPr>
        <w:t>均必须签字，没有签字不予通过资格审查。</w:t>
      </w:r>
    </w:p>
    <w:p w14:paraId="5DCA3A04">
      <w:pPr>
        <w:snapToGrid w:val="0"/>
        <w:spacing w:line="360" w:lineRule="auto"/>
        <w:ind w:firstLine="480" w:firstLineChars="200"/>
        <w:rPr>
          <w:rFonts w:hint="default" w:ascii="宋体" w:hAnsi="宋体" w:eastAsia="宋体" w:cs="Times New Roman"/>
          <w:color w:val="auto"/>
          <w:sz w:val="24"/>
          <w:szCs w:val="24"/>
          <w:highlight w:val="none"/>
          <w:u w:val="none"/>
        </w:rPr>
      </w:pPr>
      <w:r>
        <w:rPr>
          <w:rFonts w:hint="default" w:ascii="宋体" w:hAnsi="宋体" w:eastAsia="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1.</w:t>
      </w:r>
      <w:r>
        <w:rPr>
          <w:rFonts w:hint="eastAsia" w:ascii="宋体" w:hAnsi="宋体" w:cs="Times New Roman"/>
          <w:color w:val="auto"/>
          <w:sz w:val="24"/>
          <w:szCs w:val="24"/>
          <w:highlight w:val="none"/>
          <w:u w:val="none"/>
          <w:lang w:val="en-US" w:eastAsia="zh-CN"/>
        </w:rPr>
        <w:t>9</w:t>
      </w:r>
      <w:r>
        <w:rPr>
          <w:rFonts w:hint="default" w:ascii="宋体" w:hAnsi="宋体" w:eastAsia="宋体" w:cs="Times New Roman"/>
          <w:color w:val="auto"/>
          <w:sz w:val="24"/>
          <w:szCs w:val="24"/>
          <w:highlight w:val="none"/>
          <w:u w:val="none"/>
        </w:rPr>
        <w:t>投标人未被列入“在一定期限内依法取消参加依法必须进行招标的项目的投标资格”，具体名单以递交投标文件截止时间“信用广州”公布的“黑名单”为准。</w:t>
      </w:r>
    </w:p>
    <w:p w14:paraId="600ACC71">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3.2本次招标不接受联合体投标。</w:t>
      </w:r>
    </w:p>
    <w:p w14:paraId="259ADB4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本次招标实行资格后审,资格审查不合格的投标人投标文件将按无效投标处理被否决。</w:t>
      </w:r>
    </w:p>
    <w:p w14:paraId="49119A85">
      <w:pPr>
        <w:spacing w:line="360" w:lineRule="auto"/>
        <w:ind w:firstLine="542" w:firstLineChars="225"/>
        <w:rPr>
          <w:rFonts w:ascii="宋体" w:hAnsi="宋体"/>
          <w:b/>
          <w:color w:val="auto"/>
          <w:sz w:val="24"/>
          <w:szCs w:val="24"/>
          <w:highlight w:val="none"/>
        </w:rPr>
      </w:pPr>
      <w:bookmarkStart w:id="71" w:name="_Toc168476032"/>
      <w:bookmarkStart w:id="72" w:name="_Toc168475629"/>
      <w:bookmarkStart w:id="73" w:name="_Toc222032635"/>
      <w:bookmarkStart w:id="74" w:name="_Toc229305326"/>
      <w:bookmarkStart w:id="75" w:name="_Toc222030968"/>
      <w:bookmarkStart w:id="76" w:name="_Toc259524299"/>
      <w:bookmarkStart w:id="77" w:name="_Toc222033817"/>
      <w:bookmarkStart w:id="78" w:name="_Toc221949930"/>
      <w:bookmarkStart w:id="79" w:name="_Toc222029466"/>
      <w:bookmarkStart w:id="80" w:name="_Toc144974483"/>
      <w:r>
        <w:rPr>
          <w:rFonts w:hint="eastAsia" w:ascii="宋体" w:hAnsi="宋体"/>
          <w:b/>
          <w:color w:val="auto"/>
          <w:sz w:val="24"/>
          <w:szCs w:val="24"/>
          <w:highlight w:val="none"/>
        </w:rPr>
        <w:t>4</w:t>
      </w:r>
      <w:r>
        <w:rPr>
          <w:rFonts w:ascii="宋体" w:hAnsi="宋体"/>
          <w:b/>
          <w:color w:val="auto"/>
          <w:sz w:val="24"/>
          <w:szCs w:val="24"/>
          <w:highlight w:val="none"/>
        </w:rPr>
        <w:t xml:space="preserve">. </w:t>
      </w:r>
      <w:r>
        <w:rPr>
          <w:rFonts w:hint="eastAsia" w:ascii="宋体" w:hAnsi="宋体"/>
          <w:b/>
          <w:color w:val="auto"/>
          <w:sz w:val="24"/>
          <w:szCs w:val="24"/>
          <w:highlight w:val="none"/>
          <w:lang w:eastAsia="zh-CN"/>
        </w:rPr>
        <w:t>招标公告发布和</w:t>
      </w:r>
      <w:r>
        <w:rPr>
          <w:rFonts w:ascii="宋体" w:hAnsi="宋体"/>
          <w:b/>
          <w:color w:val="auto"/>
          <w:sz w:val="24"/>
          <w:szCs w:val="24"/>
          <w:highlight w:val="none"/>
        </w:rPr>
        <w:t>招标文件的获取</w:t>
      </w:r>
      <w:bookmarkEnd w:id="71"/>
      <w:bookmarkEnd w:id="72"/>
      <w:bookmarkEnd w:id="73"/>
      <w:bookmarkEnd w:id="74"/>
      <w:bookmarkEnd w:id="75"/>
      <w:bookmarkEnd w:id="76"/>
      <w:bookmarkEnd w:id="77"/>
      <w:bookmarkEnd w:id="78"/>
      <w:bookmarkEnd w:id="79"/>
      <w:bookmarkEnd w:id="80"/>
    </w:p>
    <w:p w14:paraId="5CCC6CC5">
      <w:pPr>
        <w:widowControl/>
        <w:numPr>
          <w:ilvl w:val="0"/>
          <w:numId w:val="0"/>
        </w:numPr>
        <w:shd w:val="clear" w:color="auto" w:fill="FFFFFF"/>
        <w:snapToGrid w:val="0"/>
        <w:spacing w:line="360" w:lineRule="auto"/>
        <w:ind w:left="0" w:firstLine="480" w:firstLineChars="200"/>
        <w:rPr>
          <w:rFonts w:ascii="宋体" w:hAnsi="宋体"/>
          <w:bCs/>
          <w:color w:val="auto"/>
          <w:sz w:val="24"/>
          <w:highlight w:val="none"/>
        </w:rPr>
      </w:pPr>
      <w:bookmarkStart w:id="81" w:name="_Toc221949931"/>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bCs/>
          <w:color w:val="auto"/>
          <w:sz w:val="24"/>
          <w:highlight w:val="none"/>
        </w:rPr>
        <w:t>招标公告发布时间</w:t>
      </w:r>
    </w:p>
    <w:p w14:paraId="34EA6BB7">
      <w:pPr>
        <w:spacing w:line="360" w:lineRule="auto"/>
        <w:ind w:firstLine="540" w:firstLineChars="225"/>
        <w:rPr>
          <w:rFonts w:hint="eastAsia" w:ascii="宋体" w:hAnsi="宋体"/>
          <w:bCs/>
          <w:color w:val="auto"/>
          <w:sz w:val="24"/>
          <w:highlight w:val="none"/>
        </w:rPr>
      </w:pPr>
      <w:r>
        <w:rPr>
          <w:rFonts w:hint="eastAsia" w:ascii="宋体" w:hAnsi="宋体"/>
          <w:bCs/>
          <w:color w:val="auto"/>
          <w:sz w:val="24"/>
          <w:highlight w:val="none"/>
        </w:rPr>
        <w:t>从</w:t>
      </w:r>
      <w:r>
        <w:rPr>
          <w:rFonts w:hint="eastAsia" w:ascii="宋体" w:hAnsi="宋体"/>
          <w:bCs/>
          <w:color w:val="auto"/>
          <w:sz w:val="24"/>
          <w:highlight w:val="none"/>
          <w:u w:val="single"/>
          <w:lang w:val="en-US" w:eastAsia="zh-CN"/>
        </w:rPr>
        <w:t>2025</w:t>
      </w:r>
      <w:r>
        <w:rPr>
          <w:rFonts w:hint="eastAsia" w:ascii="宋体" w:hAnsi="宋体"/>
          <w:bCs/>
          <w:color w:val="auto"/>
          <w:sz w:val="24"/>
          <w:highlight w:val="none"/>
        </w:rPr>
        <w:t>年</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月</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日</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时</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分至</w:t>
      </w:r>
      <w:r>
        <w:rPr>
          <w:rFonts w:hint="eastAsia" w:ascii="宋体" w:hAnsi="宋体"/>
          <w:bCs/>
          <w:color w:val="auto"/>
          <w:sz w:val="24"/>
          <w:highlight w:val="none"/>
          <w:u w:val="single"/>
          <w:lang w:val="en-US" w:eastAsia="zh-CN"/>
        </w:rPr>
        <w:t>2025</w:t>
      </w:r>
      <w:r>
        <w:rPr>
          <w:rFonts w:hint="eastAsia" w:ascii="宋体" w:hAnsi="宋体"/>
          <w:bCs/>
          <w:color w:val="auto"/>
          <w:sz w:val="24"/>
          <w:highlight w:val="none"/>
        </w:rPr>
        <w:t>年</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月</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日</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时</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分</w:t>
      </w:r>
      <w:r>
        <w:rPr>
          <w:rFonts w:hint="eastAsia" w:ascii="宋体" w:hAnsi="宋体"/>
          <w:bCs/>
          <w:color w:val="auto"/>
          <w:sz w:val="24"/>
          <w:highlight w:val="none"/>
          <w:lang w:eastAsia="zh-CN"/>
        </w:rPr>
        <w:t>，凡有意参加投标者，请登录</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lang w:eastAsia="zh-CN"/>
        </w:rPr>
        <w:t>下载电子招标文件。</w:t>
      </w:r>
      <w:r>
        <w:rPr>
          <w:rFonts w:hint="eastAsia" w:ascii="宋体" w:hAnsi="宋体"/>
          <w:bCs/>
          <w:color w:val="auto"/>
          <w:sz w:val="24"/>
          <w:highlight w:val="none"/>
        </w:rPr>
        <w:t>（注：发布招标公告的时间为招标公告发出之日起至投标截止时间止）。</w:t>
      </w:r>
    </w:p>
    <w:p w14:paraId="6699A395">
      <w:pPr>
        <w:widowControl/>
        <w:numPr>
          <w:ilvl w:val="0"/>
          <w:numId w:val="0"/>
        </w:numPr>
        <w:shd w:val="clear" w:color="auto" w:fill="FFFFFF"/>
        <w:snapToGrid w:val="0"/>
        <w:spacing w:line="360" w:lineRule="auto"/>
        <w:ind w:left="0" w:firstLine="480" w:firstLineChars="200"/>
        <w:rPr>
          <w:rFonts w:ascii="宋体" w:hAnsi="宋体"/>
          <w:bCs/>
          <w:color w:val="auto"/>
          <w:sz w:val="24"/>
          <w:highlight w:val="none"/>
        </w:rPr>
      </w:pPr>
      <w:r>
        <w:rPr>
          <w:rFonts w:hint="eastAsia" w:ascii="宋体" w:hAnsi="宋体"/>
          <w:bCs/>
          <w:color w:val="auto"/>
          <w:sz w:val="24"/>
          <w:highlight w:val="none"/>
          <w:lang w:val="en-US" w:eastAsia="zh-CN"/>
        </w:rPr>
        <w:t>4.2</w:t>
      </w:r>
      <w:r>
        <w:rPr>
          <w:rFonts w:hint="eastAsia" w:ascii="宋体" w:hAnsi="宋体"/>
          <w:bCs/>
          <w:color w:val="auto"/>
          <w:sz w:val="24"/>
          <w:highlight w:val="none"/>
        </w:rPr>
        <w:t>招标文件获取方式</w:t>
      </w:r>
    </w:p>
    <w:p w14:paraId="1D678875">
      <w:pPr>
        <w:spacing w:line="360" w:lineRule="auto"/>
        <w:ind w:firstLine="540" w:firstLineChars="225"/>
        <w:rPr>
          <w:rFonts w:hint="eastAsia" w:ascii="宋体" w:hAnsi="宋体"/>
          <w:color w:val="auto"/>
          <w:sz w:val="24"/>
          <w:szCs w:val="24"/>
          <w:highlight w:val="none"/>
        </w:rPr>
      </w:pPr>
      <w:r>
        <w:rPr>
          <w:rFonts w:hint="eastAsia" w:ascii="宋体" w:hAnsi="宋体" w:cs="宋体"/>
          <w:color w:val="auto"/>
          <w:kern w:val="0"/>
          <w:sz w:val="24"/>
          <w:szCs w:val="24"/>
          <w:highlight w:val="none"/>
        </w:rPr>
        <w:t>本项</w:t>
      </w:r>
      <w:r>
        <w:rPr>
          <w:rFonts w:hint="eastAsia" w:ascii="宋体" w:hAnsi="宋体" w:eastAsia="宋体" w:cs="Times New Roman"/>
          <w:color w:val="auto"/>
          <w:kern w:val="2"/>
          <w:sz w:val="24"/>
          <w:szCs w:val="24"/>
          <w:highlight w:val="none"/>
        </w:rPr>
        <w:t>目招标文件随招标公告一并在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eastAsia="宋体"/>
          <w:color w:val="auto"/>
          <w:sz w:val="24"/>
          <w:szCs w:val="24"/>
          <w:highlight w:val="none"/>
        </w:rPr>
        <w:t>发布</w:t>
      </w:r>
      <w:r>
        <w:rPr>
          <w:rFonts w:hint="eastAsia" w:ascii="宋体" w:hAnsi="宋体" w:eastAsia="宋体" w:cs="Times New Roman"/>
          <w:color w:val="auto"/>
          <w:kern w:val="2"/>
          <w:sz w:val="24"/>
          <w:szCs w:val="24"/>
          <w:highlight w:val="none"/>
        </w:rPr>
        <w:t>，由投标人自行下载。</w:t>
      </w:r>
    </w:p>
    <w:bookmarkEnd w:id="81"/>
    <w:p w14:paraId="0D4C9EC0">
      <w:pPr>
        <w:spacing w:line="360" w:lineRule="auto"/>
        <w:ind w:firstLine="540" w:firstLineChars="225"/>
        <w:rPr>
          <w:rFonts w:ascii="宋体" w:hAnsi="宋体"/>
          <w:color w:val="auto"/>
          <w:sz w:val="24"/>
          <w:szCs w:val="24"/>
          <w:highlight w:val="none"/>
        </w:rPr>
      </w:pPr>
      <w:bookmarkStart w:id="82" w:name="_Toc221949933"/>
      <w:r>
        <w:rPr>
          <w:rFonts w:hint="eastAsia" w:ascii="宋体" w:hAnsi="宋体"/>
          <w:color w:val="auto"/>
          <w:sz w:val="24"/>
          <w:szCs w:val="24"/>
          <w:highlight w:val="none"/>
          <w:lang w:val="en-US" w:eastAsia="zh-CN"/>
        </w:rPr>
        <w:t>4.3</w:t>
      </w:r>
      <w:r>
        <w:rPr>
          <w:rFonts w:hint="eastAsia" w:ascii="宋体" w:hAnsi="宋体"/>
          <w:color w:val="auto"/>
          <w:sz w:val="24"/>
          <w:szCs w:val="24"/>
          <w:highlight w:val="none"/>
        </w:rPr>
        <w:t>招标公告网上发布时，</w:t>
      </w:r>
      <w:r>
        <w:rPr>
          <w:rFonts w:hint="eastAsia" w:ascii="宋体" w:hAnsi="宋体"/>
          <w:bCs/>
          <w:color w:val="auto"/>
          <w:sz w:val="24"/>
          <w:highlight w:val="none"/>
        </w:rPr>
        <w:t>同时</w:t>
      </w:r>
      <w:r>
        <w:rPr>
          <w:rFonts w:hint="eastAsia" w:ascii="宋体" w:hAnsi="宋体" w:eastAsia="宋体" w:cs="Times New Roman"/>
          <w:color w:val="auto"/>
          <w:kern w:val="2"/>
          <w:sz w:val="24"/>
          <w:szCs w:val="24"/>
          <w:highlight w:val="none"/>
        </w:rPr>
        <w:t>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rPr>
        <w:t>发布招标文件、施工图纸、</w:t>
      </w:r>
      <w:r>
        <w:rPr>
          <w:rFonts w:hint="eastAsia" w:ascii="宋体" w:hAnsi="宋体"/>
          <w:bCs/>
          <w:color w:val="auto"/>
          <w:sz w:val="24"/>
          <w:highlight w:val="none"/>
          <w:lang w:eastAsia="zh-CN"/>
        </w:rPr>
        <w:t>最高投标限价</w:t>
      </w:r>
      <w:r>
        <w:rPr>
          <w:rFonts w:hint="eastAsia" w:ascii="宋体" w:hAnsi="宋体"/>
          <w:color w:val="auto"/>
          <w:sz w:val="24"/>
          <w:szCs w:val="24"/>
          <w:highlight w:val="none"/>
        </w:rPr>
        <w:t>。</w:t>
      </w:r>
    </w:p>
    <w:p w14:paraId="5EEE4695">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如招标人需发布补充公告的，以最后发布的补充公告的时间起计算编制投标文件时间，并需在招标答疑中明确说明。</w:t>
      </w:r>
      <w:bookmarkEnd w:id="82"/>
    </w:p>
    <w:p w14:paraId="1C498F0A">
      <w:pPr>
        <w:spacing w:line="360" w:lineRule="auto"/>
        <w:ind w:firstLine="542" w:firstLineChars="225"/>
        <w:rPr>
          <w:rFonts w:ascii="宋体" w:hAnsi="宋体"/>
          <w:b/>
          <w:color w:val="auto"/>
          <w:sz w:val="24"/>
          <w:szCs w:val="24"/>
          <w:highlight w:val="none"/>
        </w:rPr>
      </w:pPr>
      <w:bookmarkStart w:id="83" w:name="_Toc168475630"/>
      <w:bookmarkStart w:id="84" w:name="_Toc222032636"/>
      <w:bookmarkStart w:id="85" w:name="_Toc222030969"/>
      <w:bookmarkStart w:id="86" w:name="_Toc222029467"/>
      <w:bookmarkStart w:id="87" w:name="_Toc229305327"/>
      <w:bookmarkStart w:id="88" w:name="_Toc259524300"/>
      <w:bookmarkStart w:id="89" w:name="_Toc168476033"/>
      <w:bookmarkStart w:id="90" w:name="_Toc221949934"/>
      <w:bookmarkStart w:id="91" w:name="_Toc144974484"/>
      <w:bookmarkStart w:id="92" w:name="_Toc222033818"/>
      <w:r>
        <w:rPr>
          <w:rFonts w:hint="eastAsia" w:ascii="宋体" w:hAnsi="宋体"/>
          <w:b/>
          <w:color w:val="auto"/>
          <w:sz w:val="24"/>
          <w:szCs w:val="24"/>
          <w:highlight w:val="none"/>
        </w:rPr>
        <w:t>5</w:t>
      </w:r>
      <w:r>
        <w:rPr>
          <w:rFonts w:ascii="宋体" w:hAnsi="宋体"/>
          <w:b/>
          <w:color w:val="auto"/>
          <w:sz w:val="24"/>
          <w:szCs w:val="24"/>
          <w:highlight w:val="none"/>
        </w:rPr>
        <w:t>. 投标文件的递交</w:t>
      </w:r>
      <w:bookmarkEnd w:id="83"/>
      <w:bookmarkEnd w:id="84"/>
      <w:bookmarkEnd w:id="85"/>
      <w:bookmarkEnd w:id="86"/>
      <w:bookmarkEnd w:id="87"/>
      <w:bookmarkEnd w:id="88"/>
      <w:bookmarkEnd w:id="89"/>
      <w:bookmarkEnd w:id="90"/>
      <w:bookmarkEnd w:id="91"/>
      <w:bookmarkEnd w:id="92"/>
    </w:p>
    <w:p w14:paraId="005BCBD2">
      <w:pPr>
        <w:numPr>
          <w:ilvl w:val="0"/>
          <w:numId w:val="3"/>
        </w:numPr>
        <w:spacing w:line="360" w:lineRule="auto"/>
        <w:ind w:left="420" w:firstLine="0"/>
        <w:jc w:val="left"/>
        <w:rPr>
          <w:rFonts w:ascii="宋体" w:hAnsi="宋体"/>
          <w:color w:val="auto"/>
          <w:sz w:val="24"/>
          <w:szCs w:val="24"/>
          <w:highlight w:val="none"/>
        </w:rPr>
      </w:pPr>
      <w:r>
        <w:rPr>
          <w:rFonts w:hint="eastAsia" w:ascii="宋体" w:hAnsi="宋体"/>
          <w:color w:val="auto"/>
          <w:sz w:val="24"/>
          <w:szCs w:val="24"/>
          <w:highlight w:val="none"/>
        </w:rPr>
        <w:t>递交投标文件</w:t>
      </w:r>
      <w:r>
        <w:rPr>
          <w:rFonts w:hint="eastAsia" w:ascii="宋体" w:hAnsi="宋体"/>
          <w:color w:val="auto"/>
          <w:sz w:val="24"/>
          <w:szCs w:val="24"/>
          <w:highlight w:val="none"/>
          <w:lang w:eastAsia="zh-CN"/>
        </w:rPr>
        <w:t>起始时间：</w:t>
      </w:r>
      <w:r>
        <w:rPr>
          <w:rFonts w:hint="eastAsia" w:ascii="宋体" w:hAnsi="宋体"/>
          <w:color w:val="auto"/>
          <w:sz w:val="24"/>
          <w:szCs w:val="24"/>
          <w:highlight w:val="none"/>
          <w:u w:val="single"/>
          <w:lang w:val="en-US" w:eastAsia="zh-CN"/>
        </w:rPr>
        <w:t>2025</w:t>
      </w:r>
      <w:r>
        <w:rPr>
          <w:rFonts w:hint="eastAsia" w:ascii="宋体" w:hAnsi="宋体"/>
          <w:color w:val="auto"/>
          <w:sz w:val="24"/>
          <w:szCs w:val="24"/>
          <w:highlight w:val="none"/>
        </w:rPr>
        <w:t>年</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月</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日</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时</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分</w:t>
      </w:r>
    </w:p>
    <w:p w14:paraId="012B328A">
      <w:pPr>
        <w:numPr>
          <w:ilvl w:val="0"/>
          <w:numId w:val="0"/>
        </w:numPr>
        <w:spacing w:line="360" w:lineRule="auto"/>
        <w:ind w:left="0" w:firstLine="2160" w:firstLineChars="900"/>
        <w:jc w:val="left"/>
        <w:rPr>
          <w:rFonts w:ascii="宋体" w:hAnsi="宋体"/>
          <w:color w:val="auto"/>
          <w:sz w:val="24"/>
          <w:szCs w:val="24"/>
          <w:highlight w:val="none"/>
        </w:rPr>
      </w:pPr>
      <w:r>
        <w:rPr>
          <w:rFonts w:hint="eastAsia" w:ascii="宋体" w:hAnsi="宋体"/>
          <w:color w:val="auto"/>
          <w:sz w:val="24"/>
          <w:szCs w:val="24"/>
          <w:highlight w:val="none"/>
        </w:rPr>
        <w:t>截止时间</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2025</w:t>
      </w:r>
      <w:r>
        <w:rPr>
          <w:rFonts w:hint="eastAsia" w:ascii="宋体" w:hAnsi="宋体"/>
          <w:color w:val="auto"/>
          <w:sz w:val="24"/>
          <w:szCs w:val="24"/>
          <w:highlight w:val="none"/>
        </w:rPr>
        <w:t>年</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月</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日</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时</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分</w:t>
      </w:r>
    </w:p>
    <w:p w14:paraId="7C369BAE">
      <w:pPr>
        <w:spacing w:line="360" w:lineRule="auto"/>
        <w:ind w:firstLine="540" w:firstLineChars="225"/>
        <w:rPr>
          <w:rFonts w:ascii="宋体" w:hAnsi="宋体"/>
          <w:color w:val="auto"/>
          <w:sz w:val="24"/>
          <w:szCs w:val="24"/>
          <w:highlight w:val="none"/>
        </w:rPr>
      </w:pPr>
      <w:r>
        <w:rPr>
          <w:rFonts w:hint="eastAsia" w:ascii="宋体" w:hAnsi="宋体" w:cs="宋体"/>
          <w:color w:val="auto"/>
          <w:sz w:val="24"/>
          <w:szCs w:val="24"/>
          <w:highlight w:val="none"/>
        </w:rPr>
        <w:t>在投标截止时间后半小时内，投标人通过</w:t>
      </w:r>
      <w:r>
        <w:rPr>
          <w:rFonts w:hint="eastAsia" w:ascii="宋体" w:hAnsi="宋体" w:cs="宋体"/>
          <w:color w:val="auto"/>
          <w:sz w:val="24"/>
          <w:szCs w:val="24"/>
          <w:highlight w:val="none"/>
          <w:u w:val="single"/>
          <w:lang w:eastAsia="zh-CN"/>
        </w:rPr>
        <w:t>广州交易集团有限公司（广州公共资源交易中心）</w:t>
      </w:r>
      <w:r>
        <w:rPr>
          <w:rFonts w:hint="eastAsia" w:ascii="宋体" w:hAnsi="宋体" w:cs="宋体"/>
          <w:color w:val="auto"/>
          <w:sz w:val="24"/>
          <w:szCs w:val="24"/>
          <w:highlight w:val="none"/>
          <w:lang w:eastAsia="zh-CN"/>
        </w:rPr>
        <w:t>网站</w:t>
      </w:r>
      <w:r>
        <w:rPr>
          <w:rFonts w:hint="eastAsia" w:ascii="宋体" w:hAnsi="宋体" w:cs="宋体"/>
          <w:color w:val="auto"/>
          <w:sz w:val="24"/>
          <w:szCs w:val="24"/>
          <w:highlight w:val="none"/>
        </w:rPr>
        <w:t>对已递交的电子投标文件进行解密。</w:t>
      </w:r>
    </w:p>
    <w:p w14:paraId="2479B2B2">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5.2开标</w:t>
      </w:r>
      <w:r>
        <w:rPr>
          <w:rFonts w:hint="eastAsia" w:ascii="宋体" w:hAnsi="宋体"/>
          <w:color w:val="auto"/>
          <w:sz w:val="24"/>
          <w:szCs w:val="24"/>
          <w:highlight w:val="none"/>
          <w:lang w:eastAsia="zh-CN"/>
        </w:rPr>
        <w:t>开始</w:t>
      </w:r>
      <w:r>
        <w:rPr>
          <w:rFonts w:hint="eastAsia" w:ascii="宋体" w:hAnsi="宋体"/>
          <w:color w:val="auto"/>
          <w:sz w:val="24"/>
          <w:szCs w:val="24"/>
          <w:highlight w:val="none"/>
        </w:rPr>
        <w:t>时间：</w:t>
      </w:r>
      <w:r>
        <w:rPr>
          <w:rFonts w:hint="eastAsia" w:ascii="宋体" w:hAnsi="宋体"/>
          <w:color w:val="auto"/>
          <w:sz w:val="24"/>
          <w:szCs w:val="24"/>
          <w:highlight w:val="none"/>
          <w:u w:val="single"/>
          <w:lang w:val="en-US" w:eastAsia="zh-CN"/>
        </w:rPr>
        <w:t>2025</w:t>
      </w:r>
      <w:r>
        <w:rPr>
          <w:rFonts w:hint="eastAsia" w:ascii="宋体" w:hAnsi="宋体"/>
          <w:color w:val="auto"/>
          <w:sz w:val="24"/>
          <w:szCs w:val="24"/>
          <w:highlight w:val="none"/>
        </w:rPr>
        <w:t>年</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月</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日</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时</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分</w:t>
      </w:r>
    </w:p>
    <w:p w14:paraId="599BDA38">
      <w:pPr>
        <w:spacing w:line="360" w:lineRule="auto"/>
        <w:ind w:firstLine="540" w:firstLineChars="225"/>
        <w:rPr>
          <w:rFonts w:ascii="宋体" w:hAnsi="宋体"/>
          <w:color w:val="auto"/>
          <w:sz w:val="24"/>
          <w:szCs w:val="24"/>
          <w:highlight w:val="none"/>
        </w:rPr>
      </w:pPr>
      <w:r>
        <w:rPr>
          <w:rFonts w:hint="eastAsia" w:ascii="宋体" w:hAnsi="宋体"/>
          <w:color w:val="auto"/>
          <w:sz w:val="24"/>
          <w:szCs w:val="24"/>
          <w:highlight w:val="none"/>
        </w:rPr>
        <w:t>5.3递交投标文件截止时间与开标开始时间是否有变化，请密切留意招标答疑中的相关信息。递交投标文件截止时间后，开标开始时间因故推迟的，相关评标信息仍以原递交投标文件截止时间的信息为准。</w:t>
      </w:r>
    </w:p>
    <w:p w14:paraId="114B5BB4">
      <w:pPr>
        <w:widowControl/>
        <w:spacing w:line="360" w:lineRule="auto"/>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5.4</w:t>
      </w:r>
      <w:r>
        <w:rPr>
          <w:rFonts w:hint="eastAsia" w:ascii="宋体" w:hAnsi="宋体"/>
          <w:color w:val="auto"/>
          <w:sz w:val="24"/>
          <w:szCs w:val="24"/>
          <w:highlight w:val="none"/>
        </w:rPr>
        <w:t>投标人通过</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rPr>
        <w:t>递交电子投标文件。投标人应在递交投标文件截止时间前，登录</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rPr>
        <w:t>办理网上投标登记手续</w:t>
      </w:r>
      <w:r>
        <w:rPr>
          <w:rFonts w:hint="eastAsia" w:ascii="宋体" w:hAnsi="宋体"/>
          <w:color w:val="auto"/>
          <w:sz w:val="24"/>
          <w:szCs w:val="24"/>
          <w:highlight w:val="none"/>
          <w:lang w:eastAsia="zh-CN"/>
        </w:rPr>
        <w:t>。按照</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olor w:val="auto"/>
          <w:sz w:val="24"/>
          <w:szCs w:val="24"/>
          <w:highlight w:val="none"/>
          <w:lang w:eastAsia="zh-CN"/>
        </w:rPr>
        <w:t>关于全流程电子化项目的相关指南进行操作</w:t>
      </w:r>
      <w:r>
        <w:rPr>
          <w:rFonts w:hint="eastAsia" w:ascii="宋体" w:hAnsi="宋体"/>
          <w:color w:val="auto"/>
          <w:sz w:val="24"/>
          <w:szCs w:val="24"/>
          <w:highlight w:val="none"/>
        </w:rPr>
        <w:t>。</w:t>
      </w:r>
    </w:p>
    <w:p w14:paraId="46FE0D25">
      <w:pPr>
        <w:widowControl/>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投标人应自行检查</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信息登记中的企业基础信息扫描件（包括企业资质证书、企业营业执照、企业安全生产许可证、项目负责人相关证书、</w:t>
      </w:r>
      <w:r>
        <w:rPr>
          <w:rFonts w:hint="eastAsia" w:ascii="宋体" w:hAnsi="宋体"/>
          <w:color w:val="auto"/>
          <w:sz w:val="24"/>
          <w:szCs w:val="24"/>
          <w:highlight w:val="none"/>
          <w:lang w:val="en-US" w:eastAsia="zh-CN"/>
        </w:rPr>
        <w:t>专职</w:t>
      </w:r>
      <w:r>
        <w:rPr>
          <w:rFonts w:hint="eastAsia" w:ascii="宋体" w:hAnsi="宋体"/>
          <w:color w:val="auto"/>
          <w:sz w:val="24"/>
          <w:szCs w:val="24"/>
          <w:highlight w:val="none"/>
        </w:rPr>
        <w:t>安全员</w:t>
      </w:r>
      <w:r>
        <w:rPr>
          <w:rFonts w:hint="eastAsia" w:ascii="宋体" w:hAnsi="宋体"/>
          <w:color w:val="auto"/>
          <w:sz w:val="24"/>
          <w:szCs w:val="24"/>
          <w:highlight w:val="none"/>
          <w:lang w:eastAsia="zh-CN"/>
        </w:rPr>
        <w:t>安全生产考核合格证</w:t>
      </w:r>
      <w:r>
        <w:rPr>
          <w:rFonts w:hint="eastAsia" w:ascii="宋体" w:hAnsi="宋体"/>
          <w:color w:val="auto"/>
          <w:sz w:val="24"/>
          <w:szCs w:val="24"/>
          <w:highlight w:val="none"/>
        </w:rPr>
        <w:t>等），评标委员会对上述资料的审查将以递交投标文件截止时间在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信息登记的信息为依据。投标人应及时维护其在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rPr>
        <w:t>信息登记的信息，确保各项信息在有效期内。如因投标单位资料缺失导致资格审查不通过，责任由投标单位自行承担。</w:t>
      </w:r>
    </w:p>
    <w:p w14:paraId="0450C61D">
      <w:pPr>
        <w:spacing w:line="360" w:lineRule="auto"/>
        <w:ind w:firstLine="542" w:firstLineChars="225"/>
        <w:rPr>
          <w:rFonts w:hint="eastAsia" w:ascii="宋体" w:hAnsi="宋体" w:eastAsia="宋体"/>
          <w:b/>
          <w:color w:val="auto"/>
          <w:sz w:val="24"/>
          <w:szCs w:val="24"/>
          <w:highlight w:val="none"/>
          <w:lang w:eastAsia="zh-CN"/>
        </w:rPr>
      </w:pPr>
      <w:bookmarkStart w:id="93" w:name="_Toc222032637"/>
      <w:bookmarkStart w:id="94" w:name="_Toc229305328"/>
      <w:bookmarkStart w:id="95" w:name="_Toc222029468"/>
      <w:bookmarkStart w:id="96" w:name="_Toc222033819"/>
      <w:bookmarkStart w:id="97" w:name="_Toc221949937"/>
      <w:bookmarkStart w:id="98" w:name="_Toc259524301"/>
      <w:bookmarkStart w:id="99" w:name="_Toc222030970"/>
      <w:r>
        <w:rPr>
          <w:rFonts w:hint="eastAsia" w:ascii="宋体" w:hAnsi="宋体"/>
          <w:b/>
          <w:color w:val="auto"/>
          <w:sz w:val="24"/>
          <w:szCs w:val="24"/>
          <w:highlight w:val="none"/>
        </w:rPr>
        <w:t>6、办理</w:t>
      </w:r>
      <w:r>
        <w:rPr>
          <w:rFonts w:hint="eastAsia" w:ascii="宋体" w:hAnsi="宋体"/>
          <w:b/>
          <w:color w:val="auto"/>
          <w:sz w:val="24"/>
          <w:szCs w:val="24"/>
          <w:highlight w:val="none"/>
          <w:lang w:eastAsia="zh-CN"/>
        </w:rPr>
        <w:t>企业信息登记</w:t>
      </w:r>
    </w:p>
    <w:p w14:paraId="73E2D54E">
      <w:pPr>
        <w:spacing w:line="360" w:lineRule="auto"/>
        <w:ind w:firstLine="480" w:firstLineChars="200"/>
        <w:rPr>
          <w:rFonts w:hint="eastAsia" w:ascii="宋体" w:hAnsi="宋体"/>
          <w:color w:val="auto"/>
          <w:sz w:val="24"/>
          <w:szCs w:val="24"/>
          <w:highlight w:val="none"/>
        </w:rPr>
      </w:pPr>
      <w:r>
        <w:rPr>
          <w:rFonts w:hint="eastAsia"/>
          <w:color w:val="auto"/>
          <w:sz w:val="24"/>
          <w:highlight w:val="none"/>
        </w:rPr>
        <w:t>本次招标要求投标人办理网上投标登记前，须在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color w:val="auto"/>
          <w:sz w:val="24"/>
          <w:highlight w:val="none"/>
        </w:rPr>
        <w:t>完成企业信息登记，及拟担任本工程项目负责人、专职安全员须是本企业信息登记中的在册人员。</w:t>
      </w:r>
      <w:r>
        <w:rPr>
          <w:rFonts w:hint="eastAsia" w:ascii="宋体" w:hAnsi="宋体" w:cs="宋体"/>
          <w:color w:val="auto"/>
          <w:kern w:val="0"/>
          <w:sz w:val="24"/>
          <w:szCs w:val="24"/>
          <w:highlight w:val="none"/>
        </w:rPr>
        <w:t>企业信息登记应按照</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cs="宋体"/>
          <w:color w:val="auto"/>
          <w:kern w:val="0"/>
          <w:sz w:val="24"/>
          <w:szCs w:val="24"/>
          <w:highlight w:val="none"/>
        </w:rPr>
        <w:t>关于企业信息登记的相关指南进行操作。</w:t>
      </w:r>
    </w:p>
    <w:p w14:paraId="5D4C95C5">
      <w:pPr>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7</w:t>
      </w:r>
      <w:r>
        <w:rPr>
          <w:rFonts w:hint="eastAsia" w:ascii="宋体" w:hAnsi="宋体" w:cs="宋体"/>
          <w:b/>
          <w:color w:val="auto"/>
          <w:kern w:val="0"/>
          <w:sz w:val="24"/>
          <w:szCs w:val="24"/>
          <w:highlight w:val="none"/>
        </w:rPr>
        <w:t>. 疑问、异议和投诉处理</w:t>
      </w:r>
    </w:p>
    <w:p w14:paraId="02C51260">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.1</w:t>
      </w:r>
      <w:r>
        <w:rPr>
          <w:rFonts w:hint="eastAsia"/>
          <w:color w:val="auto"/>
          <w:sz w:val="24"/>
          <w:highlight w:val="none"/>
        </w:rPr>
        <w:t>关于疑问、异议、投诉的基本概念和处理程序详见</w:t>
      </w:r>
      <w:r>
        <w:rPr>
          <w:rFonts w:hint="eastAsia"/>
          <w:color w:val="auto"/>
          <w:sz w:val="24"/>
          <w:highlight w:val="none"/>
          <w:lang w:eastAsia="zh-CN"/>
        </w:rPr>
        <w:t>《中华人民共和国招标投标法》、《中华人民共和国招标投标法实施条例》、《工程建设项目招标投标活动投诉处理办法》</w:t>
      </w:r>
      <w:r>
        <w:rPr>
          <w:rFonts w:hint="eastAsia"/>
          <w:color w:val="auto"/>
          <w:sz w:val="24"/>
          <w:szCs w:val="24"/>
          <w:highlight w:val="none"/>
          <w:lang w:eastAsia="zh-CN"/>
        </w:rPr>
        <w:t>和</w:t>
      </w:r>
      <w:r>
        <w:rPr>
          <w:rFonts w:hint="eastAsia" w:ascii="宋体" w:hAnsi="宋体" w:eastAsia="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w:t>
      </w:r>
    </w:p>
    <w:p w14:paraId="7CE1B803">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2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51FE8E67">
      <w:pPr>
        <w:widowControl/>
        <w:spacing w:before="94" w:after="94"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rPr>
        <w:t>.3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5B208481">
      <w:pPr>
        <w:widowControl/>
        <w:spacing w:before="94" w:after="94" w:line="360" w:lineRule="auto"/>
        <w:ind w:firstLine="598"/>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231D5366">
      <w:pPr>
        <w:widowControl/>
        <w:spacing w:before="94" w:after="94" w:line="360" w:lineRule="auto"/>
        <w:ind w:firstLine="598"/>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bookmarkEnd w:id="93"/>
    <w:bookmarkEnd w:id="94"/>
    <w:bookmarkEnd w:id="95"/>
    <w:bookmarkEnd w:id="96"/>
    <w:bookmarkEnd w:id="97"/>
    <w:bookmarkEnd w:id="98"/>
    <w:bookmarkEnd w:id="99"/>
    <w:p w14:paraId="35A197EC">
      <w:pPr>
        <w:spacing w:line="360" w:lineRule="auto"/>
        <w:ind w:firstLine="542" w:firstLineChars="225"/>
        <w:rPr>
          <w:rFonts w:ascii="宋体" w:hAnsi="宋体"/>
          <w:b/>
          <w:color w:val="auto"/>
          <w:sz w:val="24"/>
          <w:szCs w:val="24"/>
          <w:highlight w:val="none"/>
        </w:rPr>
      </w:pPr>
      <w:bookmarkStart w:id="100" w:name="_Toc221949939"/>
      <w:bookmarkStart w:id="101" w:name="_Toc222032638"/>
      <w:bookmarkStart w:id="102" w:name="_Toc222030971"/>
      <w:bookmarkStart w:id="103" w:name="_Toc229305329"/>
      <w:bookmarkStart w:id="104" w:name="_Toc259524302"/>
      <w:bookmarkStart w:id="105" w:name="_Toc168476034"/>
      <w:bookmarkStart w:id="106" w:name="_Toc222029469"/>
      <w:bookmarkStart w:id="107" w:name="_Toc168475631"/>
      <w:bookmarkStart w:id="108" w:name="_Toc222033820"/>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w:t>
      </w:r>
      <w:r>
        <w:rPr>
          <w:rFonts w:hint="eastAsia" w:ascii="宋体" w:hAnsi="宋体"/>
          <w:b/>
          <w:color w:val="auto"/>
          <w:sz w:val="24"/>
          <w:szCs w:val="24"/>
          <w:highlight w:val="none"/>
        </w:rPr>
        <w:t>发布公告的媒介</w:t>
      </w:r>
      <w:bookmarkEnd w:id="100"/>
      <w:bookmarkEnd w:id="101"/>
      <w:bookmarkEnd w:id="102"/>
      <w:bookmarkEnd w:id="103"/>
      <w:bookmarkEnd w:id="104"/>
      <w:bookmarkEnd w:id="105"/>
      <w:bookmarkEnd w:id="106"/>
      <w:bookmarkEnd w:id="107"/>
      <w:bookmarkEnd w:id="108"/>
    </w:p>
    <w:p w14:paraId="564A5016">
      <w:pPr>
        <w:spacing w:line="360" w:lineRule="auto"/>
        <w:ind w:firstLine="480" w:firstLineChars="200"/>
        <w:rPr>
          <w:rFonts w:ascii="宋体" w:hAnsi="宋体"/>
          <w:color w:val="auto"/>
          <w:sz w:val="24"/>
          <w:szCs w:val="24"/>
          <w:highlight w:val="none"/>
        </w:rPr>
      </w:pPr>
      <w:bookmarkStart w:id="109" w:name="_Toc221949940"/>
      <w:r>
        <w:rPr>
          <w:rFonts w:hint="eastAsia" w:ascii="宋体" w:hAnsi="宋体"/>
          <w:bCs/>
          <w:color w:val="auto"/>
          <w:sz w:val="24"/>
          <w:highlight w:val="none"/>
        </w:rPr>
        <w:t>本公告在</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网（网址：http://www.gzggzy.cn）、广东省招标投标监管网（网址：</w:t>
      </w:r>
      <w:r>
        <w:rPr>
          <w:rFonts w:ascii="宋体" w:hAnsi="宋体"/>
          <w:bCs/>
          <w:color w:val="auto"/>
          <w:sz w:val="24"/>
          <w:highlight w:val="none"/>
        </w:rPr>
        <w:t xml:space="preserve"> http://zbtb.gd.gov.cn/login</w:t>
      </w:r>
      <w:r>
        <w:rPr>
          <w:rFonts w:hint="eastAsia" w:ascii="宋体" w:hAnsi="宋体"/>
          <w:bCs/>
          <w:color w:val="auto"/>
          <w:sz w:val="24"/>
          <w:highlight w:val="none"/>
        </w:rPr>
        <w:t>）和中国招标投标公共服务平台（网址：http://www.cebpubservice.com/）发布，本公告的修改、补充，在</w:t>
      </w:r>
      <w:r>
        <w:rPr>
          <w:rFonts w:hint="eastAsia" w:ascii="宋体" w:hAnsi="宋体" w:eastAsia="宋体"/>
          <w:color w:val="auto"/>
          <w:sz w:val="24"/>
          <w:szCs w:val="24"/>
          <w:highlight w:val="none"/>
          <w:lang w:eastAsia="zh-CN"/>
        </w:rPr>
        <w:t>广州交易集团有限公司（广州公共资源交易中心）</w:t>
      </w:r>
      <w:r>
        <w:rPr>
          <w:rFonts w:hint="eastAsia" w:ascii="宋体" w:hAnsi="宋体" w:eastAsia="宋体"/>
          <w:color w:val="auto"/>
          <w:sz w:val="24"/>
          <w:szCs w:val="24"/>
          <w:highlight w:val="none"/>
          <w:u w:val="none"/>
          <w:lang w:eastAsia="zh-CN"/>
        </w:rPr>
        <w:t>网站</w:t>
      </w:r>
      <w:r>
        <w:rPr>
          <w:rFonts w:hint="eastAsia" w:ascii="宋体" w:hAnsi="宋体"/>
          <w:bCs/>
          <w:color w:val="auto"/>
          <w:sz w:val="24"/>
          <w:highlight w:val="none"/>
        </w:rPr>
        <w:t>发布</w:t>
      </w:r>
      <w:r>
        <w:rPr>
          <w:rFonts w:hint="eastAsia" w:ascii="宋体" w:hAnsi="宋体"/>
          <w:color w:val="auto"/>
          <w:sz w:val="24"/>
          <w:szCs w:val="24"/>
          <w:highlight w:val="none"/>
        </w:rPr>
        <w:t>。</w:t>
      </w:r>
      <w:bookmarkEnd w:id="109"/>
    </w:p>
    <w:p w14:paraId="38EC40B1">
      <w:pPr>
        <w:spacing w:line="360" w:lineRule="auto"/>
        <w:ind w:firstLine="542" w:firstLineChars="225"/>
        <w:rPr>
          <w:rFonts w:hint="eastAsia" w:ascii="宋体" w:hAnsi="宋体" w:eastAsia="宋体" w:cs="宋体"/>
          <w:b w:val="0"/>
          <w:bCs w:val="0"/>
          <w:color w:val="auto"/>
          <w:sz w:val="24"/>
          <w:szCs w:val="24"/>
          <w:highlight w:val="none"/>
          <w:lang w:val="en-US" w:eastAsia="zh-CN"/>
        </w:rPr>
      </w:pPr>
      <w:bookmarkStart w:id="110" w:name="_Toc144974485"/>
      <w:bookmarkStart w:id="111" w:name="_Toc222033821"/>
      <w:bookmarkStart w:id="112" w:name="_Toc222032639"/>
      <w:bookmarkStart w:id="113" w:name="_Toc168475632"/>
      <w:bookmarkStart w:id="114" w:name="_Toc259524303"/>
      <w:bookmarkStart w:id="115" w:name="_Toc229305330"/>
      <w:bookmarkStart w:id="116" w:name="_Toc168476035"/>
      <w:bookmarkStart w:id="117" w:name="_Toc222030972"/>
      <w:bookmarkStart w:id="118" w:name="_Toc222029470"/>
      <w:bookmarkStart w:id="119" w:name="_Toc221949941"/>
      <w:r>
        <w:rPr>
          <w:rFonts w:hint="eastAsia" w:ascii="宋体" w:hAnsi="宋体"/>
          <w:b/>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eastAsia="zh-CN"/>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14:paraId="41479C86">
      <w:pPr>
        <w:spacing w:line="360" w:lineRule="auto"/>
        <w:ind w:firstLine="542" w:firstLineChars="225"/>
        <w:rPr>
          <w:rFonts w:ascii="宋体" w:hAnsi="宋体"/>
          <w:b/>
          <w:color w:val="auto"/>
          <w:sz w:val="24"/>
          <w:szCs w:val="24"/>
          <w:highlight w:val="none"/>
        </w:rPr>
      </w:pPr>
      <w:r>
        <w:rPr>
          <w:rFonts w:hint="eastAsia" w:ascii="宋体" w:hAnsi="宋体"/>
          <w:b/>
          <w:color w:val="auto"/>
          <w:sz w:val="24"/>
          <w:szCs w:val="24"/>
          <w:highlight w:val="none"/>
          <w:lang w:val="en-US" w:eastAsia="zh-CN"/>
        </w:rPr>
        <w:t>10</w:t>
      </w:r>
      <w:r>
        <w:rPr>
          <w:rFonts w:ascii="宋体" w:hAnsi="宋体"/>
          <w:b/>
          <w:color w:val="auto"/>
          <w:sz w:val="24"/>
          <w:szCs w:val="24"/>
          <w:highlight w:val="none"/>
        </w:rPr>
        <w:t>. 联系方式</w:t>
      </w:r>
      <w:bookmarkEnd w:id="110"/>
      <w:bookmarkEnd w:id="111"/>
      <w:bookmarkEnd w:id="112"/>
      <w:bookmarkEnd w:id="113"/>
      <w:bookmarkEnd w:id="114"/>
      <w:bookmarkEnd w:id="115"/>
      <w:bookmarkEnd w:id="116"/>
      <w:bookmarkEnd w:id="117"/>
      <w:bookmarkEnd w:id="118"/>
      <w:bookmarkEnd w:id="119"/>
    </w:p>
    <w:p w14:paraId="02F8E2DD">
      <w:pPr>
        <w:topLinePunct/>
        <w:snapToGrid w:val="0"/>
        <w:spacing w:line="440" w:lineRule="exact"/>
        <w:ind w:left="6240" w:hanging="6240" w:hangingChars="26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u w:val="single"/>
        </w:rPr>
        <w:t>广州市自来水有限公司</w:t>
      </w:r>
      <w:r>
        <w:rPr>
          <w:rFonts w:hint="eastAsia" w:ascii="宋体" w:hAnsi="宋体" w:eastAsia="宋体" w:cs="宋体"/>
          <w:color w:val="auto"/>
          <w:sz w:val="24"/>
          <w:szCs w:val="24"/>
          <w:highlight w:val="none"/>
        </w:rPr>
        <w:t xml:space="preserve">        招标代理机构：</w:t>
      </w:r>
      <w:r>
        <w:rPr>
          <w:rFonts w:hint="eastAsia" w:ascii="宋体" w:hAnsi="宋体" w:cs="宋体"/>
          <w:color w:val="auto"/>
          <w:sz w:val="24"/>
          <w:szCs w:val="24"/>
          <w:highlight w:val="none"/>
          <w:u w:val="single"/>
          <w:lang w:val="en-US" w:eastAsia="zh-CN"/>
        </w:rPr>
        <w:t>国义招标股份有限公司</w:t>
      </w:r>
    </w:p>
    <w:p w14:paraId="16A33527">
      <w:pPr>
        <w:topLinePunct/>
        <w:snapToGrid w:val="0"/>
        <w:spacing w:line="440" w:lineRule="exact"/>
        <w:ind w:left="5280" w:hanging="5280" w:hangingChars="2200"/>
        <w:jc w:val="lef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广州市越秀区中山一路12号</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地址：</w:t>
      </w:r>
      <w:r>
        <w:rPr>
          <w:rFonts w:hint="eastAsia" w:ascii="宋体" w:hAnsi="宋体" w:eastAsia="宋体" w:cs="宋体"/>
          <w:color w:val="auto"/>
          <w:sz w:val="24"/>
          <w:szCs w:val="24"/>
          <w:highlight w:val="none"/>
          <w:u w:val="single"/>
          <w:lang w:val="en-US" w:eastAsia="zh-CN"/>
        </w:rPr>
        <w:t>广州市越秀区</w:t>
      </w:r>
      <w:r>
        <w:rPr>
          <w:rFonts w:hint="eastAsia" w:ascii="宋体" w:hAnsi="宋体" w:cs="宋体"/>
          <w:color w:val="auto"/>
          <w:sz w:val="24"/>
          <w:szCs w:val="24"/>
          <w:highlight w:val="none"/>
          <w:u w:val="single"/>
          <w:lang w:val="en-US" w:eastAsia="zh-CN"/>
        </w:rPr>
        <w:t>东风东路726号</w:t>
      </w:r>
    </w:p>
    <w:p w14:paraId="6ABA6D3C">
      <w:pPr>
        <w:topLinePunct/>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510000</w:t>
      </w:r>
      <w:r>
        <w:rPr>
          <w:rFonts w:hint="eastAsia" w:ascii="宋体" w:hAnsi="宋体" w:eastAsia="宋体" w:cs="宋体"/>
          <w:color w:val="auto"/>
          <w:sz w:val="24"/>
          <w:szCs w:val="24"/>
          <w:highlight w:val="none"/>
        </w:rPr>
        <w:t xml:space="preserve">                        邮编：</w:t>
      </w:r>
      <w:r>
        <w:rPr>
          <w:rFonts w:hint="eastAsia" w:ascii="宋体" w:hAnsi="宋体" w:eastAsia="宋体" w:cs="宋体"/>
          <w:color w:val="auto"/>
          <w:sz w:val="24"/>
          <w:szCs w:val="24"/>
          <w:highlight w:val="none"/>
          <w:u w:val="single"/>
        </w:rPr>
        <w:t>5100</w:t>
      </w:r>
      <w:r>
        <w:rPr>
          <w:rFonts w:hint="eastAsia" w:ascii="宋体" w:hAnsi="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rPr>
        <w:t>0</w:t>
      </w:r>
    </w:p>
    <w:p w14:paraId="5B235C57">
      <w:pPr>
        <w:topLinePunct/>
        <w:snapToGrid w:val="0"/>
        <w:spacing w:line="44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何工</w:t>
      </w:r>
      <w:r>
        <w:rPr>
          <w:rFonts w:hint="eastAsia" w:ascii="宋体" w:hAnsi="宋体" w:eastAsia="宋体" w:cs="宋体"/>
          <w:color w:val="auto"/>
          <w:sz w:val="24"/>
          <w:szCs w:val="24"/>
          <w:highlight w:val="none"/>
        </w:rPr>
        <w:t xml:space="preserve">                        联系人：</w:t>
      </w:r>
      <w:r>
        <w:rPr>
          <w:rFonts w:hint="eastAsia" w:ascii="宋体" w:hAnsi="宋体" w:cs="宋体"/>
          <w:color w:val="auto"/>
          <w:sz w:val="24"/>
          <w:szCs w:val="24"/>
          <w:highlight w:val="none"/>
          <w:u w:val="single"/>
          <w:lang w:val="en-US" w:eastAsia="zh-CN"/>
        </w:rPr>
        <w:t>梁工、林工、刘工</w:t>
      </w:r>
    </w:p>
    <w:p w14:paraId="51DC6C3F">
      <w:pPr>
        <w:topLinePunct/>
        <w:snapToGrid w:val="0"/>
        <w:spacing w:line="440" w:lineRule="exac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lang w:eastAsia="zh-CN"/>
        </w:rPr>
        <w:t>020-871590</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rPr>
        <w:t xml:space="preserve">                  电话：</w:t>
      </w:r>
      <w:r>
        <w:rPr>
          <w:rFonts w:hint="eastAsia" w:ascii="宋体" w:hAnsi="宋体" w:eastAsia="宋体" w:cs="宋体"/>
          <w:color w:val="auto"/>
          <w:sz w:val="24"/>
          <w:szCs w:val="24"/>
          <w:highlight w:val="none"/>
          <w:u w:val="single"/>
          <w:lang w:eastAsia="zh-CN"/>
        </w:rPr>
        <w:t>020-</w:t>
      </w:r>
      <w:r>
        <w:rPr>
          <w:rFonts w:hint="eastAsia" w:ascii="宋体" w:hAnsi="宋体" w:cs="宋体"/>
          <w:color w:val="auto"/>
          <w:sz w:val="24"/>
          <w:szCs w:val="24"/>
          <w:highlight w:val="none"/>
          <w:u w:val="single"/>
          <w:lang w:val="en-US" w:eastAsia="zh-CN"/>
        </w:rPr>
        <w:t>37860752</w:t>
      </w:r>
    </w:p>
    <w:p w14:paraId="0403D66A">
      <w:pPr>
        <w:topLinePunct/>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 xml:space="preserve">                   传真：</w:t>
      </w:r>
      <w:r>
        <w:rPr>
          <w:rFonts w:hint="eastAsia" w:ascii="宋体" w:hAnsi="宋体" w:cs="宋体"/>
          <w:color w:val="auto"/>
          <w:sz w:val="24"/>
          <w:szCs w:val="24"/>
          <w:highlight w:val="none"/>
          <w:u w:val="single"/>
          <w:lang w:val="en-US" w:eastAsia="zh-CN"/>
        </w:rPr>
        <w:t>/</w:t>
      </w:r>
    </w:p>
    <w:p w14:paraId="7E087081">
      <w:pPr>
        <w:topLinePunct/>
        <w:snapToGrid w:val="0"/>
        <w:spacing w:line="440" w:lineRule="exac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电子邮件：</w:t>
      </w:r>
      <w:r>
        <w:rPr>
          <w:rFonts w:hint="eastAsia" w:ascii="宋体" w:hAnsi="宋体" w:cs="宋体"/>
          <w:color w:val="auto"/>
          <w:sz w:val="24"/>
          <w:szCs w:val="24"/>
          <w:highlight w:val="none"/>
          <w:u w:val="single"/>
          <w:lang w:val="en-US" w:eastAsia="zh-CN"/>
        </w:rPr>
        <w:t>liangyongyu@ebidding.com</w:t>
      </w:r>
    </w:p>
    <w:p w14:paraId="775AA35B">
      <w:pPr>
        <w:snapToGrid w:val="0"/>
        <w:spacing w:line="440" w:lineRule="exact"/>
        <w:rPr>
          <w:rFonts w:hint="eastAsia" w:ascii="宋体" w:hAnsi="宋体" w:eastAsia="宋体" w:cs="宋体"/>
          <w:color w:val="auto"/>
          <w:kern w:val="0"/>
          <w:sz w:val="24"/>
          <w:szCs w:val="24"/>
          <w:highlight w:val="none"/>
        </w:rPr>
      </w:pPr>
    </w:p>
    <w:p w14:paraId="02F75A42">
      <w:pPr>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rPr>
        <w:t>招标监管部门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1"/>
          <w:highlight w:val="none"/>
          <w:u w:val="single"/>
        </w:rPr>
        <w:t>广州市水务工程招标投标管理中心</w:t>
      </w:r>
    </w:p>
    <w:p w14:paraId="3EA73099">
      <w:pPr>
        <w:snapToGrid w:val="0"/>
        <w:spacing w:line="440" w:lineRule="exact"/>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1"/>
          <w:highlight w:val="none"/>
          <w:u w:val="single"/>
        </w:rPr>
        <w:t>020-</w:t>
      </w:r>
      <w:r>
        <w:rPr>
          <w:rFonts w:hint="eastAsia" w:ascii="宋体" w:hAnsi="宋体" w:eastAsia="宋体" w:cs="宋体"/>
          <w:color w:val="auto"/>
          <w:sz w:val="24"/>
          <w:highlight w:val="none"/>
          <w:u w:val="single"/>
        </w:rPr>
        <w:t>88521061</w:t>
      </w:r>
    </w:p>
    <w:p w14:paraId="69FD2747">
      <w:pPr>
        <w:snapToGrid w:val="0"/>
        <w:spacing w:line="440" w:lineRule="exact"/>
        <w:rPr>
          <w:rFonts w:hint="default" w:ascii="宋体" w:hAnsi="宋体" w:eastAsia="宋体" w:cs="宋体"/>
          <w:color w:val="auto"/>
          <w:sz w:val="24"/>
          <w:highlight w:val="none"/>
          <w:lang w:val="en-US"/>
        </w:rPr>
      </w:pPr>
      <w:r>
        <w:rPr>
          <w:rFonts w:hint="eastAsia" w:ascii="宋体" w:hAnsi="宋体" w:eastAsia="宋体" w:cs="宋体"/>
          <w:color w:val="auto"/>
          <w:sz w:val="24"/>
          <w:szCs w:val="24"/>
          <w:highlight w:val="none"/>
          <w:u w:val="single"/>
        </w:rPr>
        <w:t>地址：</w:t>
      </w:r>
      <w:r>
        <w:rPr>
          <w:rFonts w:hint="eastAsia" w:ascii="宋体" w:hAnsi="宋体" w:eastAsia="宋体" w:cs="宋体"/>
          <w:color w:val="auto"/>
          <w:sz w:val="24"/>
          <w:szCs w:val="21"/>
          <w:highlight w:val="none"/>
          <w:u w:val="single"/>
        </w:rPr>
        <w:t>广州市天河区瘦狗岭路555号</w:t>
      </w:r>
      <w:r>
        <w:rPr>
          <w:rFonts w:hint="eastAsia" w:ascii="宋体" w:hAnsi="宋体" w:eastAsia="宋体" w:cs="宋体"/>
          <w:color w:val="auto"/>
          <w:sz w:val="24"/>
          <w:szCs w:val="21"/>
          <w:highlight w:val="none"/>
          <w:u w:val="single"/>
          <w:lang w:val="en-US" w:eastAsia="zh-CN"/>
        </w:rPr>
        <w:t>9楼</w:t>
      </w:r>
    </w:p>
    <w:p w14:paraId="149925B6">
      <w:pPr>
        <w:spacing w:line="360" w:lineRule="auto"/>
        <w:rPr>
          <w:rFonts w:ascii="宋体" w:hAnsi="宋体"/>
          <w:color w:val="auto"/>
          <w:sz w:val="24"/>
          <w:szCs w:val="24"/>
          <w:highlight w:val="none"/>
        </w:rPr>
      </w:pPr>
    </w:p>
    <w:p w14:paraId="1079B7DD">
      <w:pPr>
        <w:spacing w:line="480" w:lineRule="auto"/>
        <w:jc w:val="right"/>
        <w:rPr>
          <w:rFonts w:hint="eastAsia" w:ascii="宋体" w:hAnsi="宋体"/>
          <w:color w:val="auto"/>
          <w:sz w:val="24"/>
          <w:highlight w:val="none"/>
        </w:rPr>
      </w:pPr>
      <w:r>
        <w:rPr>
          <w:rFonts w:hint="eastAsia" w:ascii="宋体" w:hAnsi="宋体"/>
          <w:color w:val="auto"/>
          <w:sz w:val="24"/>
          <w:highlight w:val="none"/>
          <w:lang w:val="en-US" w:eastAsia="zh-CN"/>
        </w:rPr>
        <w:t>2025</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2</w:t>
      </w:r>
      <w:r>
        <w:rPr>
          <w:rFonts w:hint="eastAsia" w:ascii="宋体" w:hAnsi="宋体"/>
          <w:color w:val="auto"/>
          <w:sz w:val="24"/>
          <w:highlight w:val="none"/>
        </w:rPr>
        <w:t>月____日</w:t>
      </w:r>
    </w:p>
    <w:p w14:paraId="2457BF89">
      <w:pPr>
        <w:spacing w:line="480" w:lineRule="auto"/>
        <w:jc w:val="right"/>
        <w:rPr>
          <w:rFonts w:hint="eastAsia" w:ascii="宋体" w:hAnsi="宋体"/>
          <w:color w:val="auto"/>
          <w:sz w:val="24"/>
          <w:highlight w:val="none"/>
        </w:rPr>
      </w:pPr>
    </w:p>
    <w:p w14:paraId="43E2A5B2">
      <w:pPr>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附件一：</w:t>
      </w:r>
    </w:p>
    <w:p w14:paraId="19CF10A0">
      <w:pPr>
        <w:spacing w:line="36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color w:val="auto"/>
          <w:kern w:val="0"/>
          <w:sz w:val="44"/>
          <w:szCs w:val="44"/>
          <w:highlight w:val="none"/>
        </w:rPr>
        <w:t>投标人</w:t>
      </w:r>
      <w:r>
        <w:rPr>
          <w:rFonts w:hint="eastAsia" w:ascii="宋体" w:hAnsi="宋体" w:eastAsia="宋体" w:cs="宋体"/>
          <w:b/>
          <w:color w:val="auto"/>
          <w:sz w:val="44"/>
          <w:szCs w:val="44"/>
          <w:highlight w:val="none"/>
        </w:rPr>
        <w:t>声明</w:t>
      </w:r>
      <w:r>
        <w:rPr>
          <w:rFonts w:hint="eastAsia" w:ascii="宋体" w:hAnsi="宋体" w:eastAsia="宋体" w:cs="宋体"/>
          <w:b/>
          <w:bCs w:val="0"/>
          <w:color w:val="auto"/>
          <w:kern w:val="0"/>
          <w:sz w:val="44"/>
          <w:szCs w:val="44"/>
          <w:highlight w:val="none"/>
        </w:rPr>
        <w:t>（参考格式）</w:t>
      </w:r>
    </w:p>
    <w:p w14:paraId="2BD56FA8">
      <w:pPr>
        <w:pStyle w:val="26"/>
        <w:ind w:firstLine="0"/>
        <w:rPr>
          <w:rFonts w:hint="eastAsia" w:ascii="宋体" w:hAnsi="宋体" w:eastAsia="宋体" w:cs="宋体"/>
          <w:color w:val="auto"/>
          <w:sz w:val="24"/>
          <w:szCs w:val="24"/>
          <w:highlight w:val="none"/>
          <w:lang w:eastAsia="zh-CN"/>
        </w:rPr>
      </w:pPr>
    </w:p>
    <w:p w14:paraId="61899AD8">
      <w:pPr>
        <w:pStyle w:val="26"/>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广州市水务局</w:t>
      </w:r>
      <w:r>
        <w:rPr>
          <w:rFonts w:hint="eastAsia" w:ascii="宋体" w:hAnsi="宋体" w:eastAsia="宋体" w:cs="宋体"/>
          <w:color w:val="auto"/>
          <w:sz w:val="24"/>
          <w:szCs w:val="24"/>
          <w:highlight w:val="none"/>
        </w:rPr>
        <w:t>、本招标项目招标人及招标监管机构：</w:t>
      </w:r>
    </w:p>
    <w:p w14:paraId="6E178505">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投标工作，作出郑重声明：</w:t>
      </w:r>
    </w:p>
    <w:p w14:paraId="25FD4D2E">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14:paraId="1490C6F6">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5D82A1D5">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三、本公司不存在下列情形之一：</w:t>
      </w:r>
    </w:p>
    <w:p w14:paraId="7965C1A2">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14:paraId="2DA2C6EA">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14:paraId="407DF54D">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14:paraId="6D5B39FC">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14:paraId="5F66B03A">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14:paraId="6804D3F4">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14:paraId="68D917C7">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14:paraId="3E2BC1C9">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14:paraId="12E6E5A3">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w:t>
      </w:r>
      <w:r>
        <w:rPr>
          <w:rFonts w:hint="eastAsia" w:ascii="宋体" w:hAnsi="宋体" w:eastAsia="宋体"/>
          <w:color w:val="auto"/>
          <w:sz w:val="24"/>
          <w:szCs w:val="24"/>
          <w:highlight w:val="none"/>
          <w:lang w:eastAsia="zh-CN"/>
        </w:rPr>
        <w:t>标段</w:t>
      </w:r>
      <w:r>
        <w:rPr>
          <w:rFonts w:hint="eastAsia" w:ascii="宋体" w:hAnsi="宋体" w:eastAsia="宋体"/>
          <w:color w:val="auto"/>
          <w:sz w:val="24"/>
          <w:szCs w:val="24"/>
          <w:highlight w:val="none"/>
        </w:rPr>
        <w:t>的检测机构、建设、监理单位以及建筑材料、建筑构配件和设备供应商有隶属关系或者其他利害关系有隶属关系或者其他利害关系；</w:t>
      </w:r>
    </w:p>
    <w:p w14:paraId="51A100D0">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14:paraId="103BB4BF">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6F333F7B">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14:paraId="288EFE56">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14:paraId="35AE40B7">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16455F5E">
      <w:pPr>
        <w:pStyle w:val="26"/>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rPr>
        <w:t>（15）法律法规规定的其他情形</w:t>
      </w:r>
      <w:r>
        <w:rPr>
          <w:rFonts w:hint="eastAsia" w:ascii="宋体" w:hAnsi="宋体" w:eastAsia="宋体" w:cs="Times New Roman"/>
          <w:color w:val="auto"/>
          <w:sz w:val="24"/>
          <w:szCs w:val="24"/>
          <w:highlight w:val="none"/>
        </w:rPr>
        <w:t>。</w:t>
      </w:r>
    </w:p>
    <w:p w14:paraId="0765A4AE">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四、本公司保证：本项目拟派的项目负责人没有在其他在建项目中任施工单位项目负责人，本项目拟派的专职安全员没有在其他在建项目中任职。</w:t>
      </w:r>
    </w:p>
    <w:p w14:paraId="55846F2D">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14:paraId="531EF5BB">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39FB97C1">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七、本公司承诺，切实落实</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b w:val="0"/>
          <w:bCs w:val="0"/>
          <w:i w:val="0"/>
          <w:iCs w:val="0"/>
          <w:caps w:val="0"/>
          <w:color w:val="auto"/>
          <w:spacing w:val="0"/>
          <w:sz w:val="24"/>
          <w:szCs w:val="24"/>
          <w:highlight w:val="none"/>
          <w:shd w:val="clear" w:color="auto" w:fill="auto"/>
        </w:rPr>
        <w:t>住房和城乡建设部人力资源社会保障部关于修改</w:t>
      </w:r>
      <w:r>
        <w:rPr>
          <w:rFonts w:hint="eastAsia" w:ascii="宋体" w:hAnsi="宋体" w:eastAsia="宋体"/>
          <w:color w:val="auto"/>
          <w:sz w:val="24"/>
          <w:szCs w:val="24"/>
          <w:highlight w:val="none"/>
        </w:rPr>
        <w:t>&lt;</w:t>
      </w:r>
      <w:r>
        <w:rPr>
          <w:rFonts w:hint="eastAsia" w:ascii="宋体" w:hAnsi="宋体" w:eastAsia="宋体" w:cs="Times New Roman"/>
          <w:b w:val="0"/>
          <w:bCs w:val="0"/>
          <w:i w:val="0"/>
          <w:iCs w:val="0"/>
          <w:caps w:val="0"/>
          <w:color w:val="auto"/>
          <w:spacing w:val="0"/>
          <w:sz w:val="24"/>
          <w:szCs w:val="24"/>
          <w:highlight w:val="none"/>
          <w:shd w:val="clear" w:color="auto" w:fill="auto"/>
        </w:rPr>
        <w:t>建筑工人实名制管理办法（试行）</w:t>
      </w:r>
      <w:r>
        <w:rPr>
          <w:rFonts w:hint="eastAsia" w:ascii="宋体" w:hAnsi="宋体" w:eastAsia="宋体"/>
          <w:color w:val="auto"/>
          <w:sz w:val="24"/>
          <w:szCs w:val="24"/>
          <w:highlight w:val="none"/>
        </w:rPr>
        <w:t>&gt;</w:t>
      </w:r>
      <w:r>
        <w:rPr>
          <w:rFonts w:hint="eastAsia" w:ascii="宋体" w:hAnsi="宋体" w:eastAsia="宋体" w:cs="Times New Roman"/>
          <w:b w:val="0"/>
          <w:bCs w:val="0"/>
          <w:i w:val="0"/>
          <w:iCs w:val="0"/>
          <w:caps w:val="0"/>
          <w:color w:val="auto"/>
          <w:spacing w:val="0"/>
          <w:sz w:val="24"/>
          <w:szCs w:val="24"/>
          <w:highlight w:val="none"/>
          <w:shd w:val="clear" w:color="auto" w:fill="auto"/>
        </w:rPr>
        <w:t>的通知</w:t>
      </w:r>
      <w:r>
        <w:rPr>
          <w:rFonts w:hint="eastAsia" w:ascii="宋体" w:hAnsi="宋体" w:eastAsia="宋体" w:cs="Times New Roman"/>
          <w:b w:val="0"/>
          <w:bCs w:val="0"/>
          <w:i w:val="0"/>
          <w:iCs w:val="0"/>
          <w:caps w:val="0"/>
          <w:color w:val="auto"/>
          <w:spacing w:val="0"/>
          <w:sz w:val="24"/>
          <w:szCs w:val="24"/>
          <w:highlight w:val="none"/>
          <w:shd w:val="clear" w:color="auto" w:fill="auto"/>
          <w:lang w:eastAsia="zh-CN"/>
        </w:rPr>
        <w:t>》</w:t>
      </w:r>
      <w:r>
        <w:rPr>
          <w:rFonts w:hint="eastAsia" w:ascii="宋体" w:hAnsi="宋体" w:eastAsia="宋体" w:cs="Times New Roman"/>
          <w:i w:val="0"/>
          <w:iCs w:val="0"/>
          <w:caps w:val="0"/>
          <w:color w:val="auto"/>
          <w:spacing w:val="0"/>
          <w:sz w:val="24"/>
          <w:szCs w:val="24"/>
          <w:highlight w:val="none"/>
          <w:shd w:val="clear" w:color="auto" w:fill="auto"/>
        </w:rPr>
        <w:t>建市〔2022〕59号</w:t>
      </w:r>
      <w:r>
        <w:rPr>
          <w:rFonts w:hint="eastAsia" w:ascii="宋体" w:hAnsi="宋体" w:eastAsia="宋体" w:cs="Times New Roman"/>
          <w:i w:val="0"/>
          <w:iCs w:val="0"/>
          <w:caps w:val="0"/>
          <w:color w:val="auto"/>
          <w:spacing w:val="0"/>
          <w:sz w:val="24"/>
          <w:szCs w:val="24"/>
          <w:highlight w:val="none"/>
          <w:shd w:val="clear" w:color="auto" w:fill="auto"/>
          <w:lang w:eastAsia="zh-CN"/>
        </w:rPr>
        <w:t>、</w:t>
      </w:r>
      <w:r>
        <w:rPr>
          <w:rFonts w:hint="eastAsia" w:ascii="宋体" w:hAnsi="宋体" w:eastAsia="宋体"/>
          <w:color w:val="auto"/>
          <w:sz w:val="24"/>
          <w:szCs w:val="24"/>
          <w:highlight w:val="none"/>
        </w:rPr>
        <w:t>《住房城乡建设部 人力资源社会保障部关于印发建筑工人实名管理办法（试行）的通知》（建市〔2019〕18号）、《工程建设领域农民工工资专用账户管理暂行办法）（人社部发〔2021〕53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w:t>
      </w:r>
      <w:r>
        <w:rPr>
          <w:rFonts w:hint="eastAsia" w:ascii="宋体" w:hAnsi="宋体" w:eastAsia="宋体"/>
          <w:color w:val="auto"/>
          <w:sz w:val="24"/>
          <w:szCs w:val="24"/>
          <w:highlight w:val="none"/>
          <w:lang w:eastAsia="zh-CN"/>
        </w:rPr>
        <w:t>水</w:t>
      </w:r>
      <w:r>
        <w:rPr>
          <w:rFonts w:hint="eastAsia" w:ascii="宋体" w:hAnsi="宋体" w:eastAsia="宋体"/>
          <w:color w:val="auto"/>
          <w:sz w:val="24"/>
          <w:szCs w:val="24"/>
          <w:highlight w:val="none"/>
        </w:rPr>
        <w:t>行政主管部门的监督、检查。</w:t>
      </w:r>
    </w:p>
    <w:p w14:paraId="568F8FB7">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八、与本公司单位负责人为同一人或者与本公司存在控股、管理关系的其他单位包括：</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。（注：本条由投标人如实填写，如有，应列出全部满足招标公告资质要求的相关单位的名称；如无，则填写“无”。）</w:t>
      </w:r>
    </w:p>
    <w:p w14:paraId="00E63F6D">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14:paraId="24906BC1">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14:paraId="44C97490">
      <w:pPr>
        <w:pStyle w:val="26"/>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olor w:val="auto"/>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14:paraId="40859603">
      <w:pPr>
        <w:pStyle w:val="26"/>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十二</w:t>
      </w:r>
      <w:r>
        <w:rPr>
          <w:rFonts w:hint="eastAsia" w:ascii="宋体" w:hAnsi="宋体" w:eastAsia="宋体"/>
          <w:color w:val="auto"/>
          <w:sz w:val="24"/>
          <w:szCs w:val="24"/>
          <w:highlight w:val="none"/>
          <w:lang w:val="en-US" w:eastAsia="zh-CN"/>
        </w:rPr>
        <w:t>、本公司积极响应广州市关于投身“百千万工程”的号召，主动参与政府投资类建设工程施工项目的建筑业结对帮扶等活动（市属国有企业投资项目参照执行）。</w:t>
      </w:r>
    </w:p>
    <w:p w14:paraId="072A31CA">
      <w:pPr>
        <w:spacing w:line="360" w:lineRule="auto"/>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4AB0062B">
      <w:pPr>
        <w:spacing w:line="360" w:lineRule="auto"/>
        <w:ind w:firstLine="240" w:firstLineChars="100"/>
        <w:jc w:val="left"/>
        <w:rPr>
          <w:rFonts w:hint="eastAsia" w:ascii="宋体" w:hAnsi="宋体" w:eastAsia="宋体" w:cs="宋体"/>
          <w:color w:val="auto"/>
          <w:sz w:val="24"/>
          <w:szCs w:val="24"/>
          <w:highlight w:val="none"/>
        </w:rPr>
      </w:pPr>
    </w:p>
    <w:p w14:paraId="360C21F0">
      <w:pPr>
        <w:pStyle w:val="27"/>
        <w:ind w:left="629" w:right="144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声明企业：</w:t>
      </w:r>
    </w:p>
    <w:p w14:paraId="06673D6D">
      <w:pPr>
        <w:pStyle w:val="26"/>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p>
    <w:p w14:paraId="35B866AD">
      <w:pPr>
        <w:pStyle w:val="26"/>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项目负责人签字:</w:t>
      </w:r>
    </w:p>
    <w:p w14:paraId="5AD39BDE">
      <w:pPr>
        <w:pStyle w:val="26"/>
        <w:ind w:right="879" w:firstLine="2160" w:firstLineChars="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技术负责人签字：</w:t>
      </w:r>
    </w:p>
    <w:p w14:paraId="256ABD83">
      <w:pPr>
        <w:pStyle w:val="26"/>
        <w:ind w:right="879"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2BDDC40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（企业公章）</w:t>
      </w:r>
    </w:p>
    <w:p w14:paraId="57E7604D">
      <w:pPr>
        <w:widowControl/>
        <w:spacing w:line="360" w:lineRule="auto"/>
        <w:jc w:val="left"/>
        <w:rPr>
          <w:rFonts w:ascii="宋体" w:hAnsi="宋体"/>
          <w:b/>
          <w:color w:val="auto"/>
          <w:sz w:val="24"/>
          <w:szCs w:val="24"/>
          <w:highlight w:val="none"/>
          <w:u w:val="single"/>
        </w:rPr>
      </w:pPr>
      <w:r>
        <w:rPr>
          <w:rFonts w:hint="eastAsia" w:ascii="宋体" w:hAnsi="宋体" w:eastAsia="宋体" w:cs="宋体"/>
          <w:color w:val="auto"/>
          <w:sz w:val="24"/>
          <w:szCs w:val="24"/>
          <w:highlight w:val="none"/>
        </w:rPr>
        <w:t>注：招标人应当要求投标人的项目负责人和技术负责人签字。</w:t>
      </w:r>
      <w:r>
        <w:rPr>
          <w:rFonts w:ascii="宋体" w:hAnsi="宋体"/>
          <w:b/>
          <w:color w:val="auto"/>
          <w:sz w:val="24"/>
          <w:highlight w:val="none"/>
        </w:rPr>
        <w:br w:type="page"/>
      </w:r>
    </w:p>
    <w:p w14:paraId="6D0BDD00">
      <w:pPr>
        <w:spacing w:line="360" w:lineRule="auto"/>
        <w:jc w:val="center"/>
        <w:outlineLvl w:val="1"/>
        <w:rPr>
          <w:rFonts w:ascii="黑体" w:hAnsi="黑体" w:eastAsia="黑体"/>
          <w:color w:val="auto"/>
          <w:sz w:val="32"/>
          <w:szCs w:val="27"/>
          <w:highlight w:val="none"/>
        </w:rPr>
      </w:pPr>
      <w:bookmarkStart w:id="120" w:name="_Toc17556874"/>
      <w:bookmarkStart w:id="121" w:name="_Toc17451099"/>
      <w:bookmarkStart w:id="122" w:name="_Toc17451621"/>
      <w:bookmarkStart w:id="123" w:name="_Toc2870"/>
      <w:bookmarkStart w:id="124" w:name="_Toc17451576"/>
      <w:bookmarkStart w:id="125" w:name="_Toc17454869"/>
      <w:bookmarkStart w:id="126" w:name="_Toc17452662"/>
      <w:bookmarkStart w:id="127" w:name="_Toc17454920"/>
      <w:bookmarkStart w:id="128" w:name="_Toc221950008"/>
      <w:r>
        <w:rPr>
          <w:rFonts w:hint="eastAsia" w:ascii="黑体" w:hAnsi="黑体" w:eastAsia="黑体"/>
          <w:color w:val="auto"/>
          <w:sz w:val="32"/>
          <w:szCs w:val="27"/>
          <w:highlight w:val="none"/>
        </w:rPr>
        <w:t>第二章 投标</w:t>
      </w:r>
      <w:r>
        <w:rPr>
          <w:rFonts w:hint="eastAsia" w:ascii="黑体" w:hAnsi="黑体" w:eastAsia="黑体"/>
          <w:color w:val="auto"/>
          <w:sz w:val="32"/>
          <w:szCs w:val="27"/>
          <w:highlight w:val="none"/>
          <w:lang w:val="en-US" w:eastAsia="zh-CN"/>
        </w:rPr>
        <w:t>人</w:t>
      </w:r>
      <w:r>
        <w:rPr>
          <w:rFonts w:hint="eastAsia" w:ascii="黑体" w:hAnsi="黑体" w:eastAsia="黑体"/>
          <w:color w:val="auto"/>
          <w:sz w:val="32"/>
          <w:szCs w:val="27"/>
          <w:highlight w:val="none"/>
        </w:rPr>
        <w:t>须知</w:t>
      </w:r>
      <w:bookmarkEnd w:id="120"/>
      <w:bookmarkEnd w:id="121"/>
      <w:bookmarkEnd w:id="122"/>
      <w:bookmarkEnd w:id="123"/>
      <w:bookmarkEnd w:id="124"/>
      <w:bookmarkEnd w:id="125"/>
      <w:bookmarkEnd w:id="126"/>
      <w:bookmarkEnd w:id="127"/>
    </w:p>
    <w:p w14:paraId="354C96CC">
      <w:pPr>
        <w:spacing w:line="360" w:lineRule="auto"/>
        <w:jc w:val="center"/>
        <w:outlineLvl w:val="2"/>
        <w:rPr>
          <w:rFonts w:ascii="黑体" w:hAnsi="黑体" w:eastAsia="黑体"/>
          <w:color w:val="auto"/>
          <w:sz w:val="28"/>
          <w:szCs w:val="27"/>
          <w:highlight w:val="none"/>
        </w:rPr>
      </w:pPr>
      <w:bookmarkStart w:id="129" w:name="_Toc17451577"/>
      <w:bookmarkStart w:id="130" w:name="_Toc17556875"/>
      <w:bookmarkStart w:id="131" w:name="_Toc22785"/>
      <w:bookmarkStart w:id="132" w:name="_Toc17452663"/>
      <w:bookmarkStart w:id="133" w:name="_Toc17451100"/>
      <w:bookmarkStart w:id="134" w:name="_Toc17454921"/>
      <w:bookmarkStart w:id="135" w:name="_Toc17454870"/>
      <w:bookmarkStart w:id="136" w:name="_Toc17451622"/>
      <w:r>
        <w:rPr>
          <w:rFonts w:hint="eastAsia" w:ascii="黑体" w:hAnsi="黑体" w:eastAsia="黑体"/>
          <w:color w:val="auto"/>
          <w:sz w:val="28"/>
          <w:szCs w:val="27"/>
          <w:highlight w:val="none"/>
        </w:rPr>
        <w:t>一、投标人须知前附表</w:t>
      </w:r>
      <w:bookmarkEnd w:id="128"/>
      <w:bookmarkEnd w:id="129"/>
      <w:bookmarkEnd w:id="130"/>
      <w:bookmarkEnd w:id="131"/>
      <w:bookmarkEnd w:id="132"/>
      <w:bookmarkEnd w:id="133"/>
      <w:bookmarkEnd w:id="134"/>
      <w:bookmarkEnd w:id="135"/>
      <w:bookmarkEnd w:id="136"/>
    </w:p>
    <w:tbl>
      <w:tblPr>
        <w:tblStyle w:val="18"/>
        <w:tblW w:w="8857" w:type="dxa"/>
        <w:tblInd w:w="-229" w:type="dxa"/>
        <w:tblLayout w:type="fixed"/>
        <w:tblCellMar>
          <w:top w:w="0" w:type="dxa"/>
          <w:left w:w="108" w:type="dxa"/>
          <w:bottom w:w="0" w:type="dxa"/>
          <w:right w:w="108" w:type="dxa"/>
        </w:tblCellMar>
      </w:tblPr>
      <w:tblGrid>
        <w:gridCol w:w="1090"/>
        <w:gridCol w:w="2400"/>
        <w:gridCol w:w="5367"/>
      </w:tblGrid>
      <w:tr w14:paraId="50E80AB5">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455065C4">
            <w:pPr>
              <w:pageBreakBefore w:val="0"/>
              <w:widowControl w:val="0"/>
              <w:kinsoku/>
              <w:wordWrap/>
              <w:overflowPunct/>
              <w:autoSpaceDE/>
              <w:autoSpaceDN/>
              <w:bidi w:val="0"/>
              <w:snapToGrid w:val="0"/>
              <w:spacing w:line="300" w:lineRule="atLeast"/>
              <w:contextualSpacing/>
              <w:jc w:val="center"/>
              <w:textAlignment w:val="auto"/>
              <w:rPr>
                <w:b/>
                <w:color w:val="auto"/>
                <w:szCs w:val="21"/>
                <w:highlight w:val="none"/>
              </w:rPr>
            </w:pPr>
            <w:bookmarkStart w:id="137" w:name="_Toc221950009"/>
            <w:r>
              <w:rPr>
                <w:b/>
                <w:color w:val="auto"/>
                <w:szCs w:val="21"/>
                <w:highlight w:val="none"/>
              </w:rPr>
              <w:t>条款号</w:t>
            </w:r>
            <w:bookmarkEnd w:id="137"/>
          </w:p>
        </w:tc>
        <w:tc>
          <w:tcPr>
            <w:tcW w:w="2400" w:type="dxa"/>
            <w:tcBorders>
              <w:top w:val="single" w:color="auto" w:sz="4" w:space="0"/>
              <w:left w:val="single" w:color="auto" w:sz="4" w:space="0"/>
              <w:bottom w:val="single" w:color="auto" w:sz="4" w:space="0"/>
              <w:right w:val="single" w:color="auto" w:sz="4" w:space="0"/>
            </w:tcBorders>
            <w:noWrap w:val="0"/>
            <w:vAlign w:val="center"/>
          </w:tcPr>
          <w:p w14:paraId="60D88289">
            <w:pPr>
              <w:pageBreakBefore w:val="0"/>
              <w:widowControl w:val="0"/>
              <w:kinsoku/>
              <w:wordWrap/>
              <w:overflowPunct/>
              <w:autoSpaceDE/>
              <w:autoSpaceDN/>
              <w:bidi w:val="0"/>
              <w:snapToGrid w:val="0"/>
              <w:spacing w:line="300" w:lineRule="atLeast"/>
              <w:contextualSpacing/>
              <w:jc w:val="center"/>
              <w:textAlignment w:val="auto"/>
              <w:rPr>
                <w:b/>
                <w:color w:val="auto"/>
                <w:szCs w:val="21"/>
                <w:highlight w:val="none"/>
              </w:rPr>
            </w:pPr>
            <w:bookmarkStart w:id="138" w:name="_Toc221950010"/>
            <w:r>
              <w:rPr>
                <w:b/>
                <w:color w:val="auto"/>
                <w:szCs w:val="21"/>
                <w:highlight w:val="none"/>
              </w:rPr>
              <w:t>条款名称</w:t>
            </w:r>
            <w:bookmarkEnd w:id="138"/>
          </w:p>
        </w:tc>
        <w:tc>
          <w:tcPr>
            <w:tcW w:w="5367" w:type="dxa"/>
            <w:tcBorders>
              <w:top w:val="single" w:color="auto" w:sz="4" w:space="0"/>
              <w:left w:val="single" w:color="auto" w:sz="4" w:space="0"/>
              <w:bottom w:val="single" w:color="auto" w:sz="4" w:space="0"/>
              <w:right w:val="single" w:color="auto" w:sz="4" w:space="0"/>
            </w:tcBorders>
            <w:noWrap w:val="0"/>
            <w:vAlign w:val="center"/>
          </w:tcPr>
          <w:p w14:paraId="31F562BA">
            <w:pPr>
              <w:pageBreakBefore w:val="0"/>
              <w:widowControl w:val="0"/>
              <w:kinsoku/>
              <w:wordWrap/>
              <w:overflowPunct/>
              <w:autoSpaceDE/>
              <w:autoSpaceDN/>
              <w:bidi w:val="0"/>
              <w:snapToGrid w:val="0"/>
              <w:spacing w:line="300" w:lineRule="atLeast"/>
              <w:contextualSpacing/>
              <w:jc w:val="center"/>
              <w:textAlignment w:val="auto"/>
              <w:rPr>
                <w:b/>
                <w:color w:val="auto"/>
                <w:szCs w:val="21"/>
                <w:highlight w:val="none"/>
              </w:rPr>
            </w:pPr>
            <w:bookmarkStart w:id="139" w:name="_Toc221950011"/>
            <w:r>
              <w:rPr>
                <w:b/>
                <w:color w:val="auto"/>
                <w:szCs w:val="21"/>
                <w:highlight w:val="none"/>
              </w:rPr>
              <w:t>编列内容</w:t>
            </w:r>
            <w:bookmarkEnd w:id="139"/>
          </w:p>
        </w:tc>
      </w:tr>
      <w:tr w14:paraId="1DEE0677">
        <w:tblPrEx>
          <w:tblCellMar>
            <w:top w:w="0" w:type="dxa"/>
            <w:left w:w="108" w:type="dxa"/>
            <w:bottom w:w="0" w:type="dxa"/>
            <w:right w:w="108" w:type="dxa"/>
          </w:tblCellMar>
        </w:tblPrEx>
        <w:trPr>
          <w:trHeight w:val="315"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6CE31165">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40" w:name="_Toc221950012"/>
            <w:r>
              <w:rPr>
                <w:color w:val="auto"/>
                <w:szCs w:val="21"/>
                <w:highlight w:val="none"/>
              </w:rPr>
              <w:t>1.1.2</w:t>
            </w:r>
            <w:bookmarkEnd w:id="140"/>
          </w:p>
        </w:tc>
        <w:tc>
          <w:tcPr>
            <w:tcW w:w="2400" w:type="dxa"/>
            <w:tcBorders>
              <w:top w:val="single" w:color="auto" w:sz="4" w:space="0"/>
              <w:left w:val="single" w:color="auto" w:sz="4" w:space="0"/>
              <w:bottom w:val="single" w:color="auto" w:sz="4" w:space="0"/>
              <w:right w:val="single" w:color="auto" w:sz="4" w:space="0"/>
            </w:tcBorders>
            <w:noWrap w:val="0"/>
            <w:vAlign w:val="center"/>
          </w:tcPr>
          <w:p w14:paraId="673246B9">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41" w:name="_Toc221950013"/>
            <w:r>
              <w:rPr>
                <w:color w:val="auto"/>
                <w:szCs w:val="21"/>
                <w:highlight w:val="none"/>
              </w:rPr>
              <w:t>招标人</w:t>
            </w:r>
            <w:bookmarkEnd w:id="141"/>
            <w:r>
              <w:rPr>
                <w:rFonts w:hint="eastAsia"/>
                <w:color w:val="auto"/>
                <w:szCs w:val="21"/>
                <w:highlight w:val="none"/>
              </w:rPr>
              <w:t xml:space="preserve"> </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00F32D43">
            <w:pPr>
              <w:pageBreakBefore w:val="0"/>
              <w:widowControl w:val="0"/>
              <w:kinsoku/>
              <w:wordWrap/>
              <w:overflowPunct/>
              <w:autoSpaceDE/>
              <w:autoSpaceDN/>
              <w:bidi w:val="0"/>
              <w:adjustRightInd w:val="0"/>
              <w:snapToGrid w:val="0"/>
              <w:spacing w:line="300" w:lineRule="atLeast"/>
              <w:ind w:firstLine="0" w:firstLineChars="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广州市自来水有限公司</w:t>
            </w:r>
          </w:p>
          <w:p w14:paraId="27A0E67A">
            <w:pPr>
              <w:pageBreakBefore w:val="0"/>
              <w:widowControl w:val="0"/>
              <w:kinsoku/>
              <w:wordWrap/>
              <w:overflowPunct/>
              <w:autoSpaceDE/>
              <w:autoSpaceDN/>
              <w:bidi w:val="0"/>
              <w:adjustRightInd w:val="0"/>
              <w:snapToGrid w:val="0"/>
              <w:spacing w:line="300" w:lineRule="atLeast"/>
              <w:ind w:firstLine="0" w:firstLineChars="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广州市越秀区中山一路12号</w:t>
            </w:r>
          </w:p>
          <w:p w14:paraId="43D41DCE">
            <w:pPr>
              <w:pageBreakBefore w:val="0"/>
              <w:widowControl w:val="0"/>
              <w:kinsoku/>
              <w:wordWrap/>
              <w:overflowPunct/>
              <w:autoSpaceDE/>
              <w:autoSpaceDN/>
              <w:bidi w:val="0"/>
              <w:adjustRightInd w:val="0"/>
              <w:snapToGrid w:val="0"/>
              <w:spacing w:line="300" w:lineRule="atLeast"/>
              <w:ind w:firstLine="0" w:firstLineChars="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lang w:val="en-US" w:eastAsia="zh-CN"/>
              </w:rPr>
              <w:t>何工</w:t>
            </w:r>
          </w:p>
          <w:p w14:paraId="628E8A37">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020-871590</w:t>
            </w:r>
            <w:r>
              <w:rPr>
                <w:rFonts w:hint="eastAsia" w:ascii="宋体" w:hAnsi="宋体" w:eastAsia="宋体" w:cs="宋体"/>
                <w:color w:val="auto"/>
                <w:szCs w:val="21"/>
                <w:highlight w:val="none"/>
                <w:u w:val="single"/>
                <w:lang w:val="en-US" w:eastAsia="zh-CN"/>
              </w:rPr>
              <w:t>14</w:t>
            </w:r>
          </w:p>
        </w:tc>
      </w:tr>
      <w:tr w14:paraId="2FC0B90D">
        <w:tblPrEx>
          <w:tblCellMar>
            <w:top w:w="0" w:type="dxa"/>
            <w:left w:w="108" w:type="dxa"/>
            <w:bottom w:w="0" w:type="dxa"/>
            <w:right w:w="108" w:type="dxa"/>
          </w:tblCellMar>
        </w:tblPrEx>
        <w:trPr>
          <w:trHeight w:val="495"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3E8E7E28">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42" w:name="_Toc221950014"/>
            <w:r>
              <w:rPr>
                <w:color w:val="auto"/>
                <w:szCs w:val="21"/>
                <w:highlight w:val="none"/>
              </w:rPr>
              <w:t>1.1.3</w:t>
            </w:r>
            <w:bookmarkEnd w:id="142"/>
          </w:p>
        </w:tc>
        <w:tc>
          <w:tcPr>
            <w:tcW w:w="2400" w:type="dxa"/>
            <w:tcBorders>
              <w:top w:val="single" w:color="auto" w:sz="4" w:space="0"/>
              <w:left w:val="single" w:color="auto" w:sz="4" w:space="0"/>
              <w:bottom w:val="single" w:color="auto" w:sz="4" w:space="0"/>
              <w:right w:val="single" w:color="auto" w:sz="4" w:space="0"/>
            </w:tcBorders>
            <w:noWrap w:val="0"/>
            <w:vAlign w:val="center"/>
          </w:tcPr>
          <w:p w14:paraId="699B53F4">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43" w:name="_Toc221950015"/>
            <w:r>
              <w:rPr>
                <w:color w:val="auto"/>
                <w:szCs w:val="21"/>
                <w:highlight w:val="none"/>
              </w:rPr>
              <w:t>招标代理机构</w:t>
            </w:r>
            <w:bookmarkEnd w:id="143"/>
            <w:r>
              <w:rPr>
                <w:rFonts w:hint="eastAsia"/>
                <w:color w:val="auto"/>
                <w:szCs w:val="21"/>
                <w:highlight w:val="none"/>
              </w:rPr>
              <w:t xml:space="preserve"> </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1AAEABD8">
            <w:pPr>
              <w:pageBreakBefore w:val="0"/>
              <w:widowControl w:val="0"/>
              <w:kinsoku/>
              <w:wordWrap/>
              <w:overflowPunct/>
              <w:autoSpaceDE/>
              <w:autoSpaceDN/>
              <w:bidi w:val="0"/>
              <w:adjustRightInd w:val="0"/>
              <w:snapToGrid w:val="0"/>
              <w:spacing w:line="300" w:lineRule="atLeast"/>
              <w:ind w:firstLine="0" w:firstLineChars="0"/>
              <w:contextualSpacing/>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u w:val="single"/>
                <w:lang w:val="en-US" w:eastAsia="zh-CN"/>
              </w:rPr>
              <w:t>国义招标股份有限公司</w:t>
            </w:r>
          </w:p>
          <w:p w14:paraId="6B1F4AC3">
            <w:pPr>
              <w:pageBreakBefore w:val="0"/>
              <w:widowControl w:val="0"/>
              <w:kinsoku/>
              <w:wordWrap/>
              <w:overflowPunct/>
              <w:autoSpaceDE/>
              <w:autoSpaceDN/>
              <w:bidi w:val="0"/>
              <w:adjustRightInd w:val="0"/>
              <w:snapToGrid w:val="0"/>
              <w:spacing w:line="300" w:lineRule="atLeast"/>
              <w:ind w:firstLine="0" w:firstLineChars="0"/>
              <w:contextualSpacing/>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lang w:eastAsia="zh-CN"/>
              </w:rPr>
              <w:t>广州市越秀区</w:t>
            </w:r>
            <w:r>
              <w:rPr>
                <w:rFonts w:hint="eastAsia" w:ascii="宋体" w:hAnsi="宋体" w:cs="宋体"/>
                <w:color w:val="auto"/>
                <w:szCs w:val="21"/>
                <w:highlight w:val="none"/>
                <w:u w:val="single"/>
                <w:lang w:val="en-US" w:eastAsia="zh-CN"/>
              </w:rPr>
              <w:t>东风东路726号</w:t>
            </w:r>
          </w:p>
          <w:p w14:paraId="69826AEB">
            <w:pPr>
              <w:pageBreakBefore w:val="0"/>
              <w:widowControl w:val="0"/>
              <w:kinsoku/>
              <w:wordWrap/>
              <w:overflowPunct/>
              <w:autoSpaceDE/>
              <w:autoSpaceDN/>
              <w:bidi w:val="0"/>
              <w:adjustRightInd w:val="0"/>
              <w:snapToGrid w:val="0"/>
              <w:spacing w:line="300" w:lineRule="atLeast"/>
              <w:ind w:firstLine="0" w:firstLineChars="0"/>
              <w:contextualSpacing/>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联系人：</w:t>
            </w:r>
            <w:r>
              <w:rPr>
                <w:rFonts w:hint="eastAsia" w:ascii="宋体" w:hAnsi="宋体" w:cs="宋体"/>
                <w:color w:val="auto"/>
                <w:szCs w:val="21"/>
                <w:highlight w:val="none"/>
                <w:u w:val="single"/>
                <w:lang w:val="en-US" w:eastAsia="zh-CN"/>
              </w:rPr>
              <w:t>梁工、林工、刘工</w:t>
            </w:r>
          </w:p>
          <w:p w14:paraId="60BF3608">
            <w:pPr>
              <w:pageBreakBefore w:val="0"/>
              <w:widowControl w:val="0"/>
              <w:kinsoku/>
              <w:wordWrap/>
              <w:overflowPunct/>
              <w:autoSpaceDE/>
              <w:autoSpaceDN/>
              <w:bidi w:val="0"/>
              <w:snapToGrid w:val="0"/>
              <w:spacing w:line="300" w:lineRule="atLeast"/>
              <w:contextualSpacing/>
              <w:textAlignment w:val="auto"/>
              <w:rPr>
                <w:rFonts w:hint="default" w:eastAsia="宋体"/>
                <w:color w:val="auto"/>
                <w:szCs w:val="21"/>
                <w:highlight w:val="none"/>
                <w:lang w:val="en-US"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u w:val="single"/>
                <w:lang w:val="en-US" w:eastAsia="zh-CN"/>
              </w:rPr>
              <w:t>020-37860752</w:t>
            </w:r>
          </w:p>
        </w:tc>
      </w:tr>
      <w:tr w14:paraId="1DEAE123">
        <w:tblPrEx>
          <w:tblCellMar>
            <w:top w:w="0" w:type="dxa"/>
            <w:left w:w="108" w:type="dxa"/>
            <w:bottom w:w="0" w:type="dxa"/>
            <w:right w:w="108" w:type="dxa"/>
          </w:tblCellMar>
        </w:tblPrEx>
        <w:trPr>
          <w:trHeight w:val="45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6DE76EEA">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44" w:name="_Toc221950016"/>
            <w:r>
              <w:rPr>
                <w:color w:val="auto"/>
                <w:szCs w:val="21"/>
                <w:highlight w:val="none"/>
              </w:rPr>
              <w:t>1.1.4</w:t>
            </w:r>
            <w:bookmarkEnd w:id="144"/>
          </w:p>
        </w:tc>
        <w:tc>
          <w:tcPr>
            <w:tcW w:w="2400" w:type="dxa"/>
            <w:tcBorders>
              <w:top w:val="single" w:color="auto" w:sz="4" w:space="0"/>
              <w:left w:val="single" w:color="auto" w:sz="4" w:space="0"/>
              <w:bottom w:val="single" w:color="auto" w:sz="4" w:space="0"/>
              <w:right w:val="single" w:color="auto" w:sz="4" w:space="0"/>
            </w:tcBorders>
            <w:noWrap w:val="0"/>
            <w:vAlign w:val="center"/>
          </w:tcPr>
          <w:p w14:paraId="7C12F833">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45" w:name="_Toc221950017"/>
            <w:r>
              <w:rPr>
                <w:color w:val="auto"/>
                <w:szCs w:val="21"/>
                <w:highlight w:val="none"/>
              </w:rPr>
              <w:t>项目名称</w:t>
            </w:r>
            <w:bookmarkEnd w:id="145"/>
          </w:p>
        </w:tc>
        <w:tc>
          <w:tcPr>
            <w:tcW w:w="5367" w:type="dxa"/>
            <w:tcBorders>
              <w:top w:val="single" w:color="auto" w:sz="4" w:space="0"/>
              <w:left w:val="single" w:color="auto" w:sz="4" w:space="0"/>
              <w:bottom w:val="single" w:color="auto" w:sz="4" w:space="0"/>
              <w:right w:val="single" w:color="auto" w:sz="4" w:space="0"/>
            </w:tcBorders>
            <w:noWrap w:val="0"/>
            <w:vAlign w:val="center"/>
          </w:tcPr>
          <w:p w14:paraId="54F8DC8B">
            <w:pPr>
              <w:pageBreakBefore w:val="0"/>
              <w:widowControl w:val="0"/>
              <w:kinsoku/>
              <w:wordWrap/>
              <w:overflowPunct/>
              <w:autoSpaceDE/>
              <w:autoSpaceDN/>
              <w:bidi w:val="0"/>
              <w:snapToGrid w:val="0"/>
              <w:spacing w:line="300" w:lineRule="atLeast"/>
              <w:contextualSpacing/>
              <w:textAlignment w:val="auto"/>
              <w:rPr>
                <w:rFonts w:hint="eastAsia" w:eastAsia="宋体"/>
                <w:color w:val="auto"/>
                <w:szCs w:val="21"/>
                <w:highlight w:val="none"/>
                <w:lang w:eastAsia="zh-CN"/>
              </w:rPr>
            </w:pPr>
            <w:r>
              <w:rPr>
                <w:rFonts w:hint="eastAsia"/>
                <w:color w:val="auto"/>
                <w:szCs w:val="21"/>
                <w:highlight w:val="none"/>
                <w:lang w:eastAsia="zh-CN"/>
              </w:rPr>
              <w:t>车陂加压站复建工程第二阶段(附属设施用房)施工总承包</w:t>
            </w:r>
          </w:p>
        </w:tc>
      </w:tr>
      <w:tr w14:paraId="4F99EE0A">
        <w:tblPrEx>
          <w:tblCellMar>
            <w:top w:w="0" w:type="dxa"/>
            <w:left w:w="108" w:type="dxa"/>
            <w:bottom w:w="0" w:type="dxa"/>
            <w:right w:w="108" w:type="dxa"/>
          </w:tblCellMar>
        </w:tblPrEx>
        <w:trPr>
          <w:trHeight w:val="465"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3AA2712C">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46" w:name="_Toc221950018"/>
            <w:r>
              <w:rPr>
                <w:color w:val="auto"/>
                <w:szCs w:val="21"/>
                <w:highlight w:val="none"/>
              </w:rPr>
              <w:t>1.1.5</w:t>
            </w:r>
            <w:bookmarkEnd w:id="146"/>
          </w:p>
        </w:tc>
        <w:tc>
          <w:tcPr>
            <w:tcW w:w="2400" w:type="dxa"/>
            <w:tcBorders>
              <w:top w:val="single" w:color="auto" w:sz="4" w:space="0"/>
              <w:left w:val="single" w:color="auto" w:sz="4" w:space="0"/>
              <w:bottom w:val="single" w:color="auto" w:sz="4" w:space="0"/>
              <w:right w:val="single" w:color="auto" w:sz="4" w:space="0"/>
            </w:tcBorders>
            <w:noWrap w:val="0"/>
            <w:vAlign w:val="center"/>
          </w:tcPr>
          <w:p w14:paraId="49DAF8D1">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47" w:name="_Toc221950019"/>
            <w:r>
              <w:rPr>
                <w:color w:val="auto"/>
                <w:szCs w:val="21"/>
                <w:highlight w:val="none"/>
              </w:rPr>
              <w:t>建设地点</w:t>
            </w:r>
            <w:bookmarkEnd w:id="147"/>
          </w:p>
        </w:tc>
        <w:tc>
          <w:tcPr>
            <w:tcW w:w="5367" w:type="dxa"/>
            <w:tcBorders>
              <w:top w:val="single" w:color="auto" w:sz="4" w:space="0"/>
              <w:left w:val="single" w:color="auto" w:sz="4" w:space="0"/>
              <w:bottom w:val="single" w:color="auto" w:sz="4" w:space="0"/>
              <w:right w:val="single" w:color="auto" w:sz="4" w:space="0"/>
            </w:tcBorders>
            <w:noWrap w:val="0"/>
            <w:vAlign w:val="center"/>
          </w:tcPr>
          <w:p w14:paraId="1571AB4A">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eastAsia="宋体" w:cs="宋体"/>
                <w:color w:val="auto"/>
                <w:highlight w:val="none"/>
              </w:rPr>
              <w:t>详见本项目招标公告。</w:t>
            </w:r>
          </w:p>
        </w:tc>
      </w:tr>
      <w:tr w14:paraId="3792E1CD">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1EA8C0F2">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48" w:name="_Toc221950030"/>
            <w:r>
              <w:rPr>
                <w:color w:val="auto"/>
                <w:szCs w:val="21"/>
                <w:highlight w:val="none"/>
              </w:rPr>
              <w:t>1.2.1</w:t>
            </w:r>
            <w:bookmarkEnd w:id="148"/>
          </w:p>
        </w:tc>
        <w:tc>
          <w:tcPr>
            <w:tcW w:w="2400" w:type="dxa"/>
            <w:tcBorders>
              <w:top w:val="single" w:color="auto" w:sz="4" w:space="0"/>
              <w:left w:val="single" w:color="auto" w:sz="4" w:space="0"/>
              <w:bottom w:val="single" w:color="auto" w:sz="4" w:space="0"/>
              <w:right w:val="single" w:color="auto" w:sz="4" w:space="0"/>
            </w:tcBorders>
            <w:noWrap w:val="0"/>
            <w:vAlign w:val="center"/>
          </w:tcPr>
          <w:p w14:paraId="4B2FE5FE">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49" w:name="_Toc221950031"/>
            <w:r>
              <w:rPr>
                <w:color w:val="auto"/>
                <w:szCs w:val="21"/>
                <w:highlight w:val="none"/>
              </w:rPr>
              <w:t>资金来源</w:t>
            </w:r>
            <w:bookmarkEnd w:id="149"/>
            <w:r>
              <w:rPr>
                <w:rFonts w:hint="eastAsia"/>
                <w:color w:val="auto"/>
                <w:szCs w:val="21"/>
                <w:highlight w:val="none"/>
              </w:rPr>
              <w:t>及比例</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3F82304D">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eastAsia="宋体" w:cs="宋体"/>
                <w:color w:val="auto"/>
                <w:szCs w:val="21"/>
                <w:highlight w:val="none"/>
                <w:u w:val="single"/>
              </w:rPr>
              <w:t>自筹资金100%</w:t>
            </w:r>
          </w:p>
        </w:tc>
      </w:tr>
      <w:tr w14:paraId="5B7902ED">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36673427">
            <w:pPr>
              <w:pageBreakBefore w:val="0"/>
              <w:widowControl w:val="0"/>
              <w:kinsoku/>
              <w:wordWrap/>
              <w:overflowPunct/>
              <w:autoSpaceDE/>
              <w:autoSpaceDN/>
              <w:bidi w:val="0"/>
              <w:snapToGrid w:val="0"/>
              <w:spacing w:line="300" w:lineRule="atLeast"/>
              <w:contextualSpacing/>
              <w:jc w:val="center"/>
              <w:textAlignment w:val="auto"/>
              <w:rPr>
                <w:color w:val="auto"/>
                <w:kern w:val="2"/>
                <w:sz w:val="21"/>
                <w:szCs w:val="21"/>
                <w:highlight w:val="none"/>
                <w:lang w:val="en-US" w:eastAsia="zh-CN" w:bidi="ar-SA"/>
              </w:rPr>
            </w:pPr>
            <w:bookmarkStart w:id="150" w:name="_Toc221950036"/>
            <w:r>
              <w:rPr>
                <w:rFonts w:hint="eastAsia"/>
                <w:color w:val="auto"/>
                <w:szCs w:val="21"/>
                <w:highlight w:val="none"/>
              </w:rPr>
              <w:t>1.2.2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F4B485D">
            <w:pPr>
              <w:pageBreakBefore w:val="0"/>
              <w:widowControl w:val="0"/>
              <w:kinsoku/>
              <w:wordWrap/>
              <w:overflowPunct/>
              <w:autoSpaceDE/>
              <w:autoSpaceDN/>
              <w:bidi w:val="0"/>
              <w:snapToGrid w:val="0"/>
              <w:spacing w:line="300" w:lineRule="atLeast"/>
              <w:contextualSpacing/>
              <w:jc w:val="left"/>
              <w:textAlignment w:val="auto"/>
              <w:rPr>
                <w:rFonts w:ascii="Times New Roman" w:hAnsi="Times New Roman"/>
                <w:color w:val="auto"/>
                <w:kern w:val="2"/>
                <w:sz w:val="21"/>
                <w:szCs w:val="21"/>
                <w:highlight w:val="none"/>
                <w:lang w:val="en-US" w:eastAsia="zh-CN" w:bidi="ar-SA"/>
              </w:rPr>
            </w:pPr>
            <w:r>
              <w:rPr>
                <w:rFonts w:hint="eastAsia"/>
                <w:color w:val="auto"/>
                <w:szCs w:val="21"/>
                <w:highlight w:val="none"/>
              </w:rPr>
              <w:t>资金落实情况</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41749E09">
            <w:pPr>
              <w:pageBreakBefore w:val="0"/>
              <w:widowControl w:val="0"/>
              <w:kinsoku/>
              <w:wordWrap/>
              <w:overflowPunct/>
              <w:autoSpaceDE/>
              <w:autoSpaceDN/>
              <w:bidi w:val="0"/>
              <w:snapToGrid w:val="0"/>
              <w:spacing w:line="300" w:lineRule="atLeast"/>
              <w:contextualSpacing/>
              <w:textAlignment w:val="auto"/>
              <w:rPr>
                <w:rFonts w:hint="default" w:eastAsia="宋体"/>
                <w:color w:val="auto"/>
                <w:kern w:val="2"/>
                <w:sz w:val="21"/>
                <w:szCs w:val="21"/>
                <w:highlight w:val="none"/>
                <w:lang w:val="en-US" w:eastAsia="zh-CN" w:bidi="ar-SA"/>
              </w:rPr>
            </w:pPr>
            <w:r>
              <w:rPr>
                <w:rFonts w:hint="eastAsia"/>
                <w:color w:val="auto"/>
                <w:szCs w:val="21"/>
                <w:highlight w:val="none"/>
                <w:lang w:eastAsia="zh-CN"/>
              </w:rPr>
              <w:t>资金来源已落实</w:t>
            </w:r>
          </w:p>
        </w:tc>
      </w:tr>
      <w:tr w14:paraId="6B51EAA7">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737404E8">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color w:val="auto"/>
                <w:szCs w:val="21"/>
                <w:highlight w:val="none"/>
              </w:rPr>
              <w:t>1.</w:t>
            </w:r>
            <w:r>
              <w:rPr>
                <w:rFonts w:hint="eastAsia"/>
                <w:color w:val="auto"/>
                <w:szCs w:val="21"/>
                <w:highlight w:val="none"/>
              </w:rPr>
              <w:t>3</w:t>
            </w:r>
            <w:r>
              <w:rPr>
                <w:color w:val="auto"/>
                <w:szCs w:val="21"/>
                <w:highlight w:val="none"/>
              </w:rPr>
              <w:t>.1</w:t>
            </w:r>
            <w:bookmarkEnd w:id="150"/>
          </w:p>
        </w:tc>
        <w:tc>
          <w:tcPr>
            <w:tcW w:w="2400" w:type="dxa"/>
            <w:tcBorders>
              <w:top w:val="single" w:color="auto" w:sz="4" w:space="0"/>
              <w:left w:val="single" w:color="auto" w:sz="4" w:space="0"/>
              <w:bottom w:val="single" w:color="auto" w:sz="4" w:space="0"/>
              <w:right w:val="single" w:color="auto" w:sz="4" w:space="0"/>
            </w:tcBorders>
            <w:noWrap w:val="0"/>
            <w:vAlign w:val="center"/>
          </w:tcPr>
          <w:p w14:paraId="21D00E85">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51" w:name="_Toc221950037"/>
            <w:r>
              <w:rPr>
                <w:color w:val="auto"/>
                <w:szCs w:val="21"/>
                <w:highlight w:val="none"/>
              </w:rPr>
              <w:t>招标范围</w:t>
            </w:r>
            <w:bookmarkEnd w:id="151"/>
          </w:p>
        </w:tc>
        <w:tc>
          <w:tcPr>
            <w:tcW w:w="5367" w:type="dxa"/>
            <w:tcBorders>
              <w:top w:val="single" w:color="auto" w:sz="4" w:space="0"/>
              <w:left w:val="single" w:color="auto" w:sz="4" w:space="0"/>
              <w:bottom w:val="single" w:color="auto" w:sz="4" w:space="0"/>
              <w:right w:val="single" w:color="auto" w:sz="4" w:space="0"/>
            </w:tcBorders>
            <w:noWrap w:val="0"/>
            <w:vAlign w:val="center"/>
          </w:tcPr>
          <w:p w14:paraId="419BEB23">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eastAsia="宋体" w:cs="宋体"/>
                <w:color w:val="auto"/>
                <w:highlight w:val="none"/>
              </w:rPr>
              <w:t>详见本项目招标公告。</w:t>
            </w:r>
          </w:p>
        </w:tc>
      </w:tr>
      <w:tr w14:paraId="7F8294DE">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310B80C1">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52" w:name="_Toc221950038"/>
            <w:r>
              <w:rPr>
                <w:color w:val="auto"/>
                <w:szCs w:val="21"/>
                <w:highlight w:val="none"/>
              </w:rPr>
              <w:t>1.3.2</w:t>
            </w:r>
            <w:bookmarkEnd w:id="152"/>
          </w:p>
        </w:tc>
        <w:tc>
          <w:tcPr>
            <w:tcW w:w="2400" w:type="dxa"/>
            <w:tcBorders>
              <w:top w:val="single" w:color="auto" w:sz="4" w:space="0"/>
              <w:left w:val="single" w:color="auto" w:sz="4" w:space="0"/>
              <w:bottom w:val="single" w:color="auto" w:sz="4" w:space="0"/>
              <w:right w:val="single" w:color="auto" w:sz="4" w:space="0"/>
            </w:tcBorders>
            <w:noWrap w:val="0"/>
            <w:vAlign w:val="center"/>
          </w:tcPr>
          <w:p w14:paraId="2332DF47">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53" w:name="_Toc221950039"/>
            <w:r>
              <w:rPr>
                <w:color w:val="auto"/>
                <w:szCs w:val="21"/>
                <w:highlight w:val="none"/>
              </w:rPr>
              <w:t>计划工期</w:t>
            </w:r>
            <w:bookmarkEnd w:id="153"/>
          </w:p>
        </w:tc>
        <w:tc>
          <w:tcPr>
            <w:tcW w:w="5367" w:type="dxa"/>
            <w:tcBorders>
              <w:top w:val="single" w:color="auto" w:sz="4" w:space="0"/>
              <w:left w:val="single" w:color="auto" w:sz="4" w:space="0"/>
              <w:bottom w:val="single" w:color="auto" w:sz="4" w:space="0"/>
              <w:right w:val="single" w:color="auto" w:sz="4" w:space="0"/>
            </w:tcBorders>
            <w:noWrap w:val="0"/>
            <w:vAlign w:val="center"/>
          </w:tcPr>
          <w:p w14:paraId="076DE2C5">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eastAsia="宋体" w:cs="宋体"/>
                <w:color w:val="auto"/>
                <w:highlight w:val="none"/>
              </w:rPr>
              <w:t>详见本项目招标公告。</w:t>
            </w:r>
          </w:p>
        </w:tc>
      </w:tr>
      <w:tr w14:paraId="1F267AF1">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4A1B2D02">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54" w:name="_Toc221950043"/>
            <w:r>
              <w:rPr>
                <w:color w:val="auto"/>
                <w:szCs w:val="21"/>
                <w:highlight w:val="none"/>
              </w:rPr>
              <w:t>1.3.3</w:t>
            </w:r>
            <w:bookmarkEnd w:id="154"/>
          </w:p>
        </w:tc>
        <w:tc>
          <w:tcPr>
            <w:tcW w:w="2400" w:type="dxa"/>
            <w:tcBorders>
              <w:top w:val="single" w:color="auto" w:sz="4" w:space="0"/>
              <w:left w:val="single" w:color="auto" w:sz="4" w:space="0"/>
              <w:bottom w:val="single" w:color="auto" w:sz="4" w:space="0"/>
              <w:right w:val="single" w:color="auto" w:sz="4" w:space="0"/>
            </w:tcBorders>
            <w:noWrap w:val="0"/>
            <w:vAlign w:val="center"/>
          </w:tcPr>
          <w:p w14:paraId="5DDB9B77">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55" w:name="_Toc221950044"/>
            <w:r>
              <w:rPr>
                <w:color w:val="auto"/>
                <w:szCs w:val="21"/>
                <w:highlight w:val="none"/>
              </w:rPr>
              <w:t>质量要求</w:t>
            </w:r>
            <w:bookmarkEnd w:id="155"/>
          </w:p>
        </w:tc>
        <w:tc>
          <w:tcPr>
            <w:tcW w:w="5367" w:type="dxa"/>
            <w:tcBorders>
              <w:top w:val="single" w:color="auto" w:sz="4" w:space="0"/>
              <w:left w:val="single" w:color="auto" w:sz="4" w:space="0"/>
              <w:bottom w:val="single" w:color="auto" w:sz="4" w:space="0"/>
              <w:right w:val="single" w:color="auto" w:sz="4" w:space="0"/>
            </w:tcBorders>
            <w:noWrap w:val="0"/>
            <w:vAlign w:val="center"/>
          </w:tcPr>
          <w:p w14:paraId="20AC3237">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color w:val="auto"/>
                <w:szCs w:val="21"/>
                <w:highlight w:val="none"/>
                <w:lang w:eastAsia="zh-CN"/>
              </w:rPr>
              <w:t>☑</w:t>
            </w:r>
            <w:r>
              <w:rPr>
                <w:rFonts w:hint="eastAsia"/>
                <w:color w:val="auto"/>
                <w:szCs w:val="21"/>
                <w:highlight w:val="none"/>
              </w:rPr>
              <w:t>合格</w:t>
            </w:r>
            <w:r>
              <w:rPr>
                <w:rFonts w:hint="eastAsia" w:ascii="宋体" w:hAnsi="宋体"/>
                <w:color w:val="auto"/>
                <w:szCs w:val="21"/>
                <w:highlight w:val="none"/>
              </w:rPr>
              <w:t>□</w:t>
            </w:r>
            <w:r>
              <w:rPr>
                <w:rFonts w:hint="eastAsia"/>
                <w:color w:val="auto"/>
                <w:szCs w:val="21"/>
                <w:highlight w:val="none"/>
              </w:rPr>
              <w:t>优良</w:t>
            </w:r>
          </w:p>
        </w:tc>
      </w:tr>
      <w:tr w14:paraId="2D654E39">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01292D80">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1.3.4</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4E7C9BE">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承包方式</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1FAF8BE1">
            <w:pPr>
              <w:pStyle w:val="7"/>
              <w:pageBreakBefore w:val="0"/>
              <w:widowControl w:val="0"/>
              <w:kinsoku/>
              <w:wordWrap/>
              <w:overflowPunct/>
              <w:topLinePunct/>
              <w:autoSpaceDE/>
              <w:autoSpaceDN/>
              <w:bidi w:val="0"/>
              <w:snapToGrid w:val="0"/>
              <w:spacing w:after="0" w:line="300" w:lineRule="atLeast"/>
              <w:textAlignment w:val="auto"/>
              <w:rPr>
                <w:color w:val="auto"/>
                <w:kern w:val="2"/>
                <w:sz w:val="21"/>
                <w:szCs w:val="21"/>
                <w:highlight w:val="none"/>
                <w:lang w:val="en-US" w:eastAsia="zh-CN"/>
              </w:rPr>
            </w:pPr>
            <w:r>
              <w:rPr>
                <w:rFonts w:hint="eastAsia" w:ascii="宋体" w:hAnsi="宋体"/>
                <w:color w:val="auto"/>
                <w:kern w:val="2"/>
                <w:sz w:val="21"/>
                <w:szCs w:val="21"/>
                <w:highlight w:val="none"/>
                <w:lang w:val="en-US" w:eastAsia="zh-CN"/>
              </w:rPr>
              <w:t>□</w:t>
            </w:r>
            <w:r>
              <w:rPr>
                <w:rFonts w:hint="eastAsia"/>
                <w:color w:val="auto"/>
                <w:kern w:val="2"/>
                <w:sz w:val="21"/>
                <w:szCs w:val="21"/>
                <w:highlight w:val="none"/>
                <w:lang w:val="en-US" w:eastAsia="zh-CN"/>
              </w:rPr>
              <w:t>固定总价</w:t>
            </w:r>
          </w:p>
          <w:p w14:paraId="5E302D47">
            <w:pPr>
              <w:pStyle w:val="7"/>
              <w:pageBreakBefore w:val="0"/>
              <w:widowControl w:val="0"/>
              <w:kinsoku/>
              <w:wordWrap/>
              <w:overflowPunct/>
              <w:topLinePunct/>
              <w:autoSpaceDE/>
              <w:autoSpaceDN/>
              <w:bidi w:val="0"/>
              <w:snapToGrid w:val="0"/>
              <w:spacing w:after="0" w:line="300" w:lineRule="atLeast"/>
              <w:textAlignment w:val="auto"/>
              <w:rPr>
                <w:color w:val="auto"/>
                <w:kern w:val="2"/>
                <w:sz w:val="21"/>
                <w:szCs w:val="21"/>
                <w:highlight w:val="none"/>
                <w:lang w:val="en-US" w:eastAsia="zh-CN"/>
              </w:rPr>
            </w:pPr>
            <w:r>
              <w:rPr>
                <w:rFonts w:hint="eastAsia" w:ascii="宋体" w:hAnsi="宋体"/>
                <w:color w:val="auto"/>
                <w:kern w:val="2"/>
                <w:sz w:val="21"/>
                <w:szCs w:val="21"/>
                <w:highlight w:val="none"/>
                <w:lang w:val="en-US" w:eastAsia="zh-CN"/>
              </w:rPr>
              <w:t>□</w:t>
            </w:r>
            <w:r>
              <w:rPr>
                <w:rFonts w:hint="eastAsia"/>
                <w:color w:val="auto"/>
                <w:kern w:val="2"/>
                <w:sz w:val="21"/>
                <w:szCs w:val="21"/>
                <w:highlight w:val="none"/>
                <w:lang w:val="en-US" w:eastAsia="zh-CN"/>
              </w:rPr>
              <w:t>综合单价</w:t>
            </w:r>
          </w:p>
          <w:p w14:paraId="001B3E6A">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color w:val="auto"/>
                <w:szCs w:val="21"/>
                <w:highlight w:val="none"/>
                <w:lang w:eastAsia="zh-CN"/>
              </w:rPr>
              <w:t>☑</w:t>
            </w:r>
            <w:r>
              <w:rPr>
                <w:rFonts w:hint="eastAsia"/>
                <w:color w:val="auto"/>
                <w:szCs w:val="21"/>
                <w:highlight w:val="none"/>
              </w:rPr>
              <w:t>其他：</w:t>
            </w:r>
            <w:r>
              <w:rPr>
                <w:rFonts w:hint="eastAsia" w:ascii="宋体" w:hAnsi="宋体" w:eastAsia="宋体" w:cs="宋体"/>
                <w:color w:val="auto"/>
                <w:kern w:val="0"/>
                <w:szCs w:val="21"/>
                <w:highlight w:val="none"/>
                <w:u w:val="single"/>
                <w:lang w:bidi="ar"/>
              </w:rPr>
              <w:t>包工、包料、包安装、包工期、包质量、采取有效措施，不发生安全事故、包文明施工、包保修、包劳保、包承包范围内工程验收通过、包移交、包结算、包资料整理、包施工承包管理和现场整体组织、包专业协调及配合等、包各系统调试及配合业主联合运转调试。</w:t>
            </w:r>
            <w:r>
              <w:rPr>
                <w:rFonts w:hint="eastAsia" w:ascii="宋体" w:hAnsi="宋体" w:cs="宋体"/>
                <w:strike w:val="0"/>
                <w:color w:val="auto"/>
                <w:kern w:val="0"/>
                <w:szCs w:val="21"/>
                <w:highlight w:val="none"/>
                <w:u w:val="single"/>
                <w:lang w:bidi="ar"/>
              </w:rPr>
              <w:t>本工程采用的计税方式为：</w:t>
            </w:r>
            <w:r>
              <w:rPr>
                <w:rFonts w:hint="eastAsia" w:ascii="宋体" w:hAnsi="宋体" w:cs="宋体"/>
                <w:strike w:val="0"/>
                <w:color w:val="auto"/>
                <w:kern w:val="0"/>
                <w:szCs w:val="21"/>
                <w:highlight w:val="none"/>
                <w:u w:val="single"/>
                <w:lang w:val="en-US" w:eastAsia="zh-CN" w:bidi="ar"/>
              </w:rPr>
              <w:t>一般</w:t>
            </w:r>
            <w:r>
              <w:rPr>
                <w:rFonts w:hint="eastAsia" w:ascii="宋体" w:hAnsi="宋体" w:cs="宋体"/>
                <w:strike w:val="0"/>
                <w:color w:val="auto"/>
                <w:kern w:val="0"/>
                <w:szCs w:val="21"/>
                <w:highlight w:val="none"/>
                <w:u w:val="single"/>
                <w:lang w:bidi="ar"/>
              </w:rPr>
              <w:t>计税。</w:t>
            </w:r>
          </w:p>
        </w:tc>
      </w:tr>
      <w:tr w14:paraId="108CB6D2">
        <w:tblPrEx>
          <w:tblCellMar>
            <w:top w:w="0" w:type="dxa"/>
            <w:left w:w="108" w:type="dxa"/>
            <w:bottom w:w="0" w:type="dxa"/>
            <w:right w:w="108" w:type="dxa"/>
          </w:tblCellMar>
        </w:tblPrEx>
        <w:trPr>
          <w:trHeight w:val="1109" w:hRule="atLeast"/>
        </w:trPr>
        <w:tc>
          <w:tcPr>
            <w:tcW w:w="1090" w:type="dxa"/>
            <w:tcBorders>
              <w:top w:val="single" w:color="auto" w:sz="4" w:space="0"/>
              <w:left w:val="single" w:color="auto" w:sz="4" w:space="0"/>
              <w:right w:val="single" w:color="auto" w:sz="4" w:space="0"/>
            </w:tcBorders>
            <w:noWrap w:val="0"/>
            <w:vAlign w:val="center"/>
          </w:tcPr>
          <w:p w14:paraId="1948025A">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56" w:name="_Toc221950045"/>
            <w:r>
              <w:rPr>
                <w:rFonts w:hint="eastAsia"/>
                <w:color w:val="auto"/>
                <w:szCs w:val="21"/>
                <w:highlight w:val="none"/>
              </w:rPr>
              <w:t>1.4.1</w:t>
            </w:r>
            <w:bookmarkEnd w:id="156"/>
          </w:p>
        </w:tc>
        <w:tc>
          <w:tcPr>
            <w:tcW w:w="2400" w:type="dxa"/>
            <w:tcBorders>
              <w:top w:val="single" w:color="auto" w:sz="4" w:space="0"/>
              <w:left w:val="single" w:color="auto" w:sz="4" w:space="0"/>
              <w:right w:val="single" w:color="auto" w:sz="4" w:space="0"/>
            </w:tcBorders>
            <w:noWrap w:val="0"/>
            <w:vAlign w:val="center"/>
          </w:tcPr>
          <w:p w14:paraId="000C04FD">
            <w:pPr>
              <w:pageBreakBefore w:val="0"/>
              <w:widowControl w:val="0"/>
              <w:kinsoku/>
              <w:wordWrap/>
              <w:overflowPunct/>
              <w:autoSpaceDE/>
              <w:autoSpaceDN/>
              <w:bidi w:val="0"/>
              <w:snapToGrid w:val="0"/>
              <w:spacing w:line="300" w:lineRule="atLeast"/>
              <w:contextualSpacing/>
              <w:jc w:val="left"/>
              <w:textAlignment w:val="auto"/>
              <w:rPr>
                <w:rFonts w:ascii="宋体" w:hAnsi="宋体"/>
                <w:color w:val="auto"/>
                <w:szCs w:val="21"/>
                <w:highlight w:val="none"/>
              </w:rPr>
            </w:pPr>
            <w:bookmarkStart w:id="157" w:name="_Toc221950046"/>
            <w:r>
              <w:rPr>
                <w:rFonts w:hint="eastAsia" w:ascii="宋体" w:hAnsi="宋体"/>
                <w:color w:val="auto"/>
                <w:szCs w:val="21"/>
                <w:highlight w:val="none"/>
              </w:rPr>
              <w:t>投标人资质条件、能力、信誉</w:t>
            </w:r>
            <w:bookmarkEnd w:id="157"/>
            <w:r>
              <w:rPr>
                <w:rFonts w:hint="eastAsia" w:ascii="宋体" w:hAnsi="宋体"/>
                <w:color w:val="auto"/>
                <w:szCs w:val="21"/>
                <w:highlight w:val="none"/>
              </w:rPr>
              <w:t>（须同招标公告一致）</w:t>
            </w:r>
          </w:p>
        </w:tc>
        <w:tc>
          <w:tcPr>
            <w:tcW w:w="5367" w:type="dxa"/>
            <w:tcBorders>
              <w:top w:val="single" w:color="auto" w:sz="4" w:space="0"/>
              <w:left w:val="single" w:color="auto" w:sz="4" w:space="0"/>
              <w:right w:val="single" w:color="auto" w:sz="4" w:space="0"/>
            </w:tcBorders>
            <w:noWrap w:val="0"/>
            <w:vAlign w:val="center"/>
          </w:tcPr>
          <w:p w14:paraId="534CF220">
            <w:pPr>
              <w:pStyle w:val="4"/>
              <w:pageBreakBefore w:val="0"/>
              <w:widowControl w:val="0"/>
              <w:kinsoku/>
              <w:wordWrap/>
              <w:overflowPunct/>
              <w:autoSpaceDE/>
              <w:autoSpaceDN/>
              <w:bidi w:val="0"/>
              <w:snapToGrid w:val="0"/>
              <w:spacing w:before="0" w:after="0" w:line="300" w:lineRule="atLeast"/>
              <w:ind w:firstLine="420"/>
              <w:textAlignment w:val="auto"/>
              <w:rPr>
                <w:b w:val="0"/>
                <w:bCs/>
                <w:color w:val="auto"/>
                <w:sz w:val="21"/>
                <w:szCs w:val="21"/>
                <w:highlight w:val="none"/>
              </w:rPr>
            </w:pPr>
            <w:r>
              <w:rPr>
                <w:rFonts w:hint="eastAsia"/>
                <w:color w:val="auto"/>
                <w:sz w:val="21"/>
                <w:szCs w:val="21"/>
                <w:highlight w:val="none"/>
              </w:rPr>
              <w:t>详见</w:t>
            </w:r>
            <w:r>
              <w:rPr>
                <w:rFonts w:hint="eastAsia"/>
                <w:color w:val="auto"/>
                <w:sz w:val="21"/>
                <w:szCs w:val="21"/>
                <w:highlight w:val="none"/>
                <w:lang w:eastAsia="zh-CN"/>
              </w:rPr>
              <w:t>本项目</w:t>
            </w:r>
            <w:r>
              <w:rPr>
                <w:rFonts w:hint="eastAsia"/>
                <w:color w:val="auto"/>
                <w:sz w:val="21"/>
                <w:szCs w:val="21"/>
                <w:highlight w:val="none"/>
              </w:rPr>
              <w:t>招标公告</w:t>
            </w:r>
          </w:p>
        </w:tc>
      </w:tr>
      <w:tr w14:paraId="7F2163C0">
        <w:tblPrEx>
          <w:tblCellMar>
            <w:top w:w="0" w:type="dxa"/>
            <w:left w:w="108" w:type="dxa"/>
            <w:bottom w:w="0" w:type="dxa"/>
            <w:right w:w="108" w:type="dxa"/>
          </w:tblCellMar>
        </w:tblPrEx>
        <w:trPr>
          <w:trHeight w:val="45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6915B2E9">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1.4.2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76513DB">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是否接受联合体投标</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24A2A136">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不接受</w:t>
            </w:r>
          </w:p>
          <w:p w14:paraId="121771BD">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color w:val="auto"/>
                <w:szCs w:val="21"/>
                <w:highlight w:val="none"/>
              </w:rPr>
              <w:t>□接受，应满足下列要求：_________________</w:t>
            </w:r>
          </w:p>
        </w:tc>
      </w:tr>
      <w:tr w14:paraId="641D935A">
        <w:tblPrEx>
          <w:tblCellMar>
            <w:top w:w="0" w:type="dxa"/>
            <w:left w:w="108" w:type="dxa"/>
            <w:bottom w:w="0" w:type="dxa"/>
            <w:right w:w="108" w:type="dxa"/>
          </w:tblCellMar>
        </w:tblPrEx>
        <w:trPr>
          <w:trHeight w:val="70" w:hRule="atLeast"/>
        </w:trPr>
        <w:tc>
          <w:tcPr>
            <w:tcW w:w="1090" w:type="dxa"/>
            <w:tcBorders>
              <w:top w:val="single" w:color="auto" w:sz="4" w:space="0"/>
              <w:left w:val="single" w:color="auto" w:sz="4" w:space="0"/>
              <w:right w:val="single" w:color="auto" w:sz="4" w:space="0"/>
            </w:tcBorders>
            <w:noWrap w:val="0"/>
            <w:vAlign w:val="center"/>
          </w:tcPr>
          <w:p w14:paraId="386F4556">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p>
        </w:tc>
        <w:tc>
          <w:tcPr>
            <w:tcW w:w="2400" w:type="dxa"/>
            <w:tcBorders>
              <w:top w:val="single" w:color="auto" w:sz="4" w:space="0"/>
              <w:left w:val="single" w:color="auto" w:sz="4" w:space="0"/>
              <w:right w:val="single" w:color="auto" w:sz="4" w:space="0"/>
            </w:tcBorders>
            <w:noWrap w:val="0"/>
            <w:vAlign w:val="center"/>
          </w:tcPr>
          <w:p w14:paraId="3AF0E1C1">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资格审查方式</w:t>
            </w:r>
          </w:p>
        </w:tc>
        <w:tc>
          <w:tcPr>
            <w:tcW w:w="5367" w:type="dxa"/>
            <w:tcBorders>
              <w:top w:val="single" w:color="auto" w:sz="4" w:space="0"/>
              <w:left w:val="single" w:color="auto" w:sz="4" w:space="0"/>
              <w:right w:val="single" w:color="auto" w:sz="4" w:space="0"/>
            </w:tcBorders>
            <w:noWrap w:val="0"/>
            <w:vAlign w:val="center"/>
          </w:tcPr>
          <w:p w14:paraId="5C97FD30">
            <w:pPr>
              <w:pStyle w:val="7"/>
              <w:pageBreakBefore w:val="0"/>
              <w:widowControl w:val="0"/>
              <w:kinsoku/>
              <w:wordWrap/>
              <w:overflowPunct/>
              <w:topLinePunct/>
              <w:autoSpaceDE/>
              <w:autoSpaceDN/>
              <w:bidi w:val="0"/>
              <w:snapToGrid w:val="0"/>
              <w:spacing w:after="0" w:line="300" w:lineRule="atLeast"/>
              <w:contextualSpacing/>
              <w:textAlignment w:val="auto"/>
              <w:rPr>
                <w:color w:val="auto"/>
                <w:kern w:val="2"/>
                <w:sz w:val="21"/>
                <w:szCs w:val="21"/>
                <w:highlight w:val="none"/>
                <w:lang w:val="en-US" w:eastAsia="zh-CN"/>
              </w:rPr>
            </w:pPr>
            <w:r>
              <w:rPr>
                <w:rFonts w:hint="eastAsia"/>
                <w:color w:val="auto"/>
                <w:kern w:val="2"/>
                <w:sz w:val="21"/>
                <w:szCs w:val="21"/>
                <w:highlight w:val="none"/>
                <w:lang w:val="en-US" w:eastAsia="zh-CN"/>
              </w:rPr>
              <w:t>资格后审</w:t>
            </w:r>
          </w:p>
        </w:tc>
      </w:tr>
      <w:tr w14:paraId="04B5B463">
        <w:tblPrEx>
          <w:tblCellMar>
            <w:top w:w="0" w:type="dxa"/>
            <w:left w:w="108" w:type="dxa"/>
            <w:bottom w:w="0" w:type="dxa"/>
            <w:right w:w="108" w:type="dxa"/>
          </w:tblCellMar>
        </w:tblPrEx>
        <w:trPr>
          <w:trHeight w:val="70" w:hRule="atLeast"/>
        </w:trPr>
        <w:tc>
          <w:tcPr>
            <w:tcW w:w="1090" w:type="dxa"/>
            <w:tcBorders>
              <w:top w:val="single" w:color="auto" w:sz="4" w:space="0"/>
              <w:left w:val="single" w:color="auto" w:sz="4" w:space="0"/>
              <w:right w:val="single" w:color="auto" w:sz="4" w:space="0"/>
            </w:tcBorders>
            <w:noWrap w:val="0"/>
            <w:vAlign w:val="center"/>
          </w:tcPr>
          <w:p w14:paraId="169ED5DD">
            <w:pPr>
              <w:pageBreakBefore w:val="0"/>
              <w:widowControl w:val="0"/>
              <w:kinsoku/>
              <w:wordWrap/>
              <w:overflowPunct/>
              <w:autoSpaceDE/>
              <w:autoSpaceDN/>
              <w:bidi w:val="0"/>
              <w:snapToGrid w:val="0"/>
              <w:spacing w:line="300" w:lineRule="atLeast"/>
              <w:jc w:val="center"/>
              <w:textAlignment w:val="auto"/>
              <w:rPr>
                <w:color w:val="auto"/>
                <w:szCs w:val="21"/>
                <w:highlight w:val="none"/>
              </w:rPr>
            </w:pPr>
            <w:r>
              <w:rPr>
                <w:color w:val="auto"/>
                <w:szCs w:val="21"/>
                <w:highlight w:val="none"/>
              </w:rPr>
              <w:t>1.</w:t>
            </w:r>
            <w:r>
              <w:rPr>
                <w:rFonts w:hint="eastAsia"/>
                <w:color w:val="auto"/>
                <w:szCs w:val="21"/>
                <w:highlight w:val="none"/>
              </w:rPr>
              <w:t>9</w:t>
            </w:r>
            <w:r>
              <w:rPr>
                <w:color w:val="auto"/>
                <w:szCs w:val="21"/>
                <w:highlight w:val="none"/>
              </w:rPr>
              <w:t>.1</w:t>
            </w:r>
          </w:p>
        </w:tc>
        <w:tc>
          <w:tcPr>
            <w:tcW w:w="2400" w:type="dxa"/>
            <w:tcBorders>
              <w:top w:val="single" w:color="auto" w:sz="4" w:space="0"/>
              <w:left w:val="single" w:color="auto" w:sz="4" w:space="0"/>
              <w:right w:val="single" w:color="auto" w:sz="4" w:space="0"/>
            </w:tcBorders>
            <w:noWrap w:val="0"/>
            <w:vAlign w:val="center"/>
          </w:tcPr>
          <w:p w14:paraId="5E1EBF0B">
            <w:pPr>
              <w:pageBreakBefore w:val="0"/>
              <w:widowControl w:val="0"/>
              <w:kinsoku/>
              <w:wordWrap/>
              <w:overflowPunct/>
              <w:autoSpaceDE/>
              <w:autoSpaceDN/>
              <w:bidi w:val="0"/>
              <w:snapToGrid w:val="0"/>
              <w:spacing w:line="300" w:lineRule="atLeast"/>
              <w:textAlignment w:val="auto"/>
              <w:rPr>
                <w:color w:val="auto"/>
                <w:szCs w:val="21"/>
                <w:highlight w:val="none"/>
              </w:rPr>
            </w:pPr>
            <w:r>
              <w:rPr>
                <w:rFonts w:hint="eastAsia"/>
                <w:color w:val="auto"/>
                <w:szCs w:val="21"/>
                <w:highlight w:val="none"/>
              </w:rPr>
              <w:t>踏勘现场</w:t>
            </w:r>
          </w:p>
        </w:tc>
        <w:tc>
          <w:tcPr>
            <w:tcW w:w="5367" w:type="dxa"/>
            <w:tcBorders>
              <w:top w:val="single" w:color="auto" w:sz="4" w:space="0"/>
              <w:left w:val="single" w:color="auto" w:sz="4" w:space="0"/>
              <w:right w:val="single" w:color="auto" w:sz="4" w:space="0"/>
            </w:tcBorders>
            <w:noWrap w:val="0"/>
            <w:vAlign w:val="center"/>
          </w:tcPr>
          <w:p w14:paraId="3D5A8943">
            <w:pPr>
              <w:pageBreakBefore w:val="0"/>
              <w:widowControl w:val="0"/>
              <w:kinsoku/>
              <w:wordWrap/>
              <w:overflowPunct/>
              <w:autoSpaceDE/>
              <w:autoSpaceDN/>
              <w:bidi w:val="0"/>
              <w:snapToGrid w:val="0"/>
              <w:spacing w:line="300" w:lineRule="atLeast"/>
              <w:textAlignment w:val="auto"/>
              <w:rPr>
                <w:color w:val="auto"/>
                <w:szCs w:val="21"/>
                <w:highlight w:val="none"/>
              </w:rPr>
            </w:pPr>
            <w:r>
              <w:rPr>
                <w:rFonts w:hint="eastAsia"/>
                <w:color w:val="auto"/>
                <w:szCs w:val="21"/>
                <w:highlight w:val="none"/>
              </w:rPr>
              <w:t>招标人不集中组织，由投标人自行踏勘；</w:t>
            </w:r>
          </w:p>
          <w:p w14:paraId="26736D14">
            <w:pPr>
              <w:pageBreakBefore w:val="0"/>
              <w:widowControl w:val="0"/>
              <w:kinsoku/>
              <w:wordWrap/>
              <w:overflowPunct/>
              <w:autoSpaceDE/>
              <w:autoSpaceDN/>
              <w:bidi w:val="0"/>
              <w:snapToGrid w:val="0"/>
              <w:spacing w:line="300" w:lineRule="atLeast"/>
              <w:textAlignment w:val="auto"/>
              <w:rPr>
                <w:color w:val="auto"/>
                <w:szCs w:val="21"/>
                <w:highlight w:val="none"/>
              </w:rPr>
            </w:pPr>
            <w:r>
              <w:rPr>
                <w:rFonts w:hint="eastAsia"/>
                <w:color w:val="auto"/>
                <w:szCs w:val="21"/>
                <w:highlight w:val="none"/>
              </w:rPr>
              <w:t>时间：自</w:t>
            </w:r>
            <w:r>
              <w:rPr>
                <w:rFonts w:hint="eastAsia" w:ascii="宋体" w:hAnsi="宋体" w:eastAsia="宋体" w:cs="宋体"/>
                <w:color w:val="auto"/>
                <w:szCs w:val="21"/>
                <w:highlight w:val="none"/>
                <w:u w:val="single"/>
              </w:rPr>
              <w:t>公告发布之</w:t>
            </w:r>
            <w:r>
              <w:rPr>
                <w:rFonts w:hint="eastAsia" w:ascii="宋体" w:hAnsi="宋体" w:eastAsia="宋体" w:cs="宋体"/>
                <w:color w:val="auto"/>
                <w:szCs w:val="21"/>
                <w:highlight w:val="none"/>
              </w:rPr>
              <w:t>日</w:t>
            </w:r>
            <w:r>
              <w:rPr>
                <w:rFonts w:hint="eastAsia"/>
                <w:color w:val="auto"/>
                <w:szCs w:val="21"/>
                <w:highlight w:val="none"/>
              </w:rPr>
              <w:t>起具备现场踏勘条件；</w:t>
            </w:r>
          </w:p>
          <w:p w14:paraId="61F07162">
            <w:pPr>
              <w:pageBreakBefore w:val="0"/>
              <w:widowControl w:val="0"/>
              <w:kinsoku/>
              <w:wordWrap/>
              <w:overflowPunct/>
              <w:autoSpaceDE/>
              <w:autoSpaceDN/>
              <w:bidi w:val="0"/>
              <w:snapToGrid w:val="0"/>
              <w:spacing w:line="300" w:lineRule="atLeast"/>
              <w:textAlignment w:val="auto"/>
              <w:rPr>
                <w:color w:val="auto"/>
                <w:szCs w:val="21"/>
                <w:highlight w:val="none"/>
              </w:rPr>
            </w:pPr>
            <w:r>
              <w:rPr>
                <w:rFonts w:hint="eastAsia"/>
                <w:color w:val="auto"/>
                <w:szCs w:val="21"/>
                <w:highlight w:val="none"/>
              </w:rPr>
              <w:t>现场详细地点：</w:t>
            </w:r>
            <w:r>
              <w:rPr>
                <w:rFonts w:hint="eastAsia"/>
                <w:color w:val="auto"/>
                <w:szCs w:val="21"/>
                <w:highlight w:val="none"/>
                <w:u w:val="single"/>
              </w:rPr>
              <w:t>广州市天河区黄埔大道金融城ATO91003地块；</w:t>
            </w:r>
          </w:p>
        </w:tc>
      </w:tr>
      <w:tr w14:paraId="4640A15A">
        <w:tblPrEx>
          <w:tblCellMar>
            <w:top w:w="0" w:type="dxa"/>
            <w:left w:w="108" w:type="dxa"/>
            <w:bottom w:w="0" w:type="dxa"/>
            <w:right w:w="108" w:type="dxa"/>
          </w:tblCellMar>
        </w:tblPrEx>
        <w:trPr>
          <w:trHeight w:val="465"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4A78E9F7">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1.11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3AB9219">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偏离</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772D3F19">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偏离允许幅度及其处理方法：不允许偏离。</w:t>
            </w:r>
          </w:p>
        </w:tc>
      </w:tr>
      <w:tr w14:paraId="2BE8F786">
        <w:tblPrEx>
          <w:tblCellMar>
            <w:top w:w="0" w:type="dxa"/>
            <w:left w:w="108" w:type="dxa"/>
            <w:bottom w:w="0" w:type="dxa"/>
            <w:right w:w="108" w:type="dxa"/>
          </w:tblCellMar>
        </w:tblPrEx>
        <w:trPr>
          <w:trHeight w:val="45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51754857">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2.2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A0341DB">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招标答疑</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60BB5534">
            <w:pPr>
              <w:pageBreakBefore w:val="0"/>
              <w:widowControl w:val="0"/>
              <w:kinsoku/>
              <w:wordWrap/>
              <w:overflowPunct/>
              <w:autoSpaceDE/>
              <w:autoSpaceDN/>
              <w:bidi w:val="0"/>
              <w:snapToGrid w:val="0"/>
              <w:spacing w:line="300" w:lineRule="atLeast"/>
              <w:contextualSpacing/>
              <w:textAlignment w:val="auto"/>
              <w:rPr>
                <w:rFonts w:ascii="宋体" w:hAnsi="宋体"/>
                <w:color w:val="auto"/>
                <w:szCs w:val="21"/>
                <w:highlight w:val="none"/>
              </w:rPr>
            </w:pPr>
            <w:r>
              <w:rPr>
                <w:rFonts w:hint="eastAsia" w:ascii="宋体" w:hAnsi="宋体"/>
                <w:color w:val="auto"/>
                <w:szCs w:val="21"/>
                <w:highlight w:val="none"/>
              </w:rPr>
              <w:t>疑问提交时间：在投标截止</w:t>
            </w:r>
            <w:r>
              <w:rPr>
                <w:rFonts w:hint="eastAsia" w:ascii="宋体" w:hAnsi="宋体"/>
                <w:color w:val="auto"/>
                <w:szCs w:val="21"/>
                <w:highlight w:val="none"/>
                <w:lang w:val="en-US" w:eastAsia="zh-CN"/>
              </w:rPr>
              <w:t>时间</w:t>
            </w:r>
            <w:r>
              <w:rPr>
                <w:rFonts w:hint="eastAsia" w:ascii="宋体" w:hAnsi="宋体"/>
                <w:color w:val="auto"/>
                <w:szCs w:val="21"/>
                <w:highlight w:val="none"/>
              </w:rPr>
              <w:t>15日前；</w:t>
            </w:r>
          </w:p>
          <w:p w14:paraId="3C7A5363">
            <w:pPr>
              <w:pageBreakBefore w:val="0"/>
              <w:widowControl w:val="0"/>
              <w:kinsoku/>
              <w:wordWrap/>
              <w:overflowPunct/>
              <w:autoSpaceDE/>
              <w:autoSpaceDN/>
              <w:bidi w:val="0"/>
              <w:snapToGrid w:val="0"/>
              <w:spacing w:line="300" w:lineRule="atLeast"/>
              <w:contextualSpacing/>
              <w:textAlignment w:val="auto"/>
              <w:rPr>
                <w:rFonts w:ascii="宋体" w:hAnsi="宋体"/>
                <w:color w:val="auto"/>
                <w:szCs w:val="21"/>
                <w:highlight w:val="none"/>
              </w:rPr>
            </w:pPr>
            <w:r>
              <w:rPr>
                <w:rFonts w:hint="eastAsia" w:ascii="宋体" w:hAnsi="宋体"/>
                <w:color w:val="auto"/>
                <w:szCs w:val="21"/>
                <w:highlight w:val="none"/>
              </w:rPr>
              <w:t>形式：投标人的疑问通过</w:t>
            </w:r>
            <w:r>
              <w:rPr>
                <w:rFonts w:hint="eastAsia" w:ascii="宋体" w:hAnsi="宋体"/>
                <w:color w:val="auto"/>
                <w:szCs w:val="21"/>
                <w:highlight w:val="none"/>
                <w:lang w:eastAsia="zh-CN"/>
              </w:rPr>
              <w:t>广州交易集团有限公司（广州公共资源交易中心）网站</w:t>
            </w:r>
            <w:r>
              <w:rPr>
                <w:rFonts w:hint="eastAsia" w:ascii="宋体" w:hAnsi="宋体"/>
                <w:color w:val="auto"/>
                <w:szCs w:val="21"/>
                <w:highlight w:val="none"/>
              </w:rPr>
              <w:t>提交。</w:t>
            </w:r>
          </w:p>
          <w:p w14:paraId="3C029C03">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ascii="宋体" w:hAnsi="宋体"/>
                <w:color w:val="auto"/>
                <w:szCs w:val="21"/>
                <w:highlight w:val="none"/>
              </w:rPr>
              <w:t>具体要求：按照</w:t>
            </w:r>
            <w:r>
              <w:rPr>
                <w:rFonts w:hint="eastAsia" w:ascii="宋体" w:hAnsi="宋体"/>
                <w:color w:val="auto"/>
                <w:szCs w:val="21"/>
                <w:highlight w:val="none"/>
                <w:lang w:eastAsia="zh-CN"/>
              </w:rPr>
              <w:t>广州交易集团有限公司（广州公共资源交易中心）网站</w:t>
            </w:r>
            <w:r>
              <w:rPr>
                <w:rFonts w:hint="eastAsia" w:ascii="宋体" w:hAnsi="宋体"/>
                <w:color w:val="auto"/>
                <w:szCs w:val="21"/>
                <w:highlight w:val="none"/>
              </w:rPr>
              <w:t>关于全流程电子化项目的相关指南进行操作，提问一律不得署名。</w:t>
            </w:r>
          </w:p>
        </w:tc>
      </w:tr>
      <w:tr w14:paraId="2131C19E">
        <w:tblPrEx>
          <w:tblCellMar>
            <w:top w:w="0" w:type="dxa"/>
            <w:left w:w="108" w:type="dxa"/>
            <w:bottom w:w="0" w:type="dxa"/>
            <w:right w:w="108" w:type="dxa"/>
          </w:tblCellMar>
        </w:tblPrEx>
        <w:trPr>
          <w:trHeight w:val="450"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01939E40">
            <w:pPr>
              <w:pageBreakBefore w:val="0"/>
              <w:widowControl w:val="0"/>
              <w:kinsoku/>
              <w:wordWrap/>
              <w:overflowPunct/>
              <w:autoSpaceDE/>
              <w:autoSpaceDN/>
              <w:bidi w:val="0"/>
              <w:snapToGrid w:val="0"/>
              <w:spacing w:line="300" w:lineRule="atLeast"/>
              <w:contextualSpacing/>
              <w:jc w:val="center"/>
              <w:textAlignment w:val="auto"/>
              <w:rPr>
                <w:rFonts w:hint="eastAsia"/>
                <w:color w:val="auto"/>
                <w:szCs w:val="21"/>
                <w:highlight w:val="none"/>
              </w:rPr>
            </w:pPr>
            <w:r>
              <w:rPr>
                <w:rFonts w:hint="eastAsia"/>
                <w:color w:val="auto"/>
                <w:szCs w:val="21"/>
                <w:highlight w:val="none"/>
              </w:rPr>
              <w:t>2.3</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2C48CBD">
            <w:pPr>
              <w:pageBreakBefore w:val="0"/>
              <w:widowControl w:val="0"/>
              <w:kinsoku/>
              <w:wordWrap/>
              <w:overflowPunct/>
              <w:autoSpaceDE/>
              <w:autoSpaceDN/>
              <w:bidi w:val="0"/>
              <w:snapToGrid w:val="0"/>
              <w:spacing w:line="300" w:lineRule="atLeast"/>
              <w:contextualSpacing/>
              <w:jc w:val="left"/>
              <w:textAlignment w:val="auto"/>
              <w:rPr>
                <w:rFonts w:hint="eastAsia"/>
                <w:color w:val="auto"/>
                <w:szCs w:val="21"/>
                <w:highlight w:val="none"/>
              </w:rPr>
            </w:pPr>
            <w:r>
              <w:rPr>
                <w:rFonts w:hint="eastAsia"/>
                <w:color w:val="auto"/>
                <w:szCs w:val="21"/>
                <w:highlight w:val="none"/>
              </w:rPr>
              <w:t>招标文件</w:t>
            </w:r>
            <w:r>
              <w:rPr>
                <w:rFonts w:hint="eastAsia"/>
                <w:color w:val="auto"/>
                <w:szCs w:val="21"/>
                <w:highlight w:val="none"/>
                <w:lang w:eastAsia="zh-CN"/>
              </w:rPr>
              <w:t>的</w:t>
            </w:r>
            <w:r>
              <w:rPr>
                <w:rFonts w:hint="eastAsia"/>
                <w:color w:val="auto"/>
                <w:szCs w:val="21"/>
                <w:highlight w:val="none"/>
              </w:rPr>
              <w:t>澄清和修改</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51DDE6BA">
            <w:pPr>
              <w:pageBreakBefore w:val="0"/>
              <w:widowControl w:val="0"/>
              <w:kinsoku/>
              <w:wordWrap/>
              <w:overflowPunct/>
              <w:autoSpaceDE/>
              <w:autoSpaceDN/>
              <w:bidi w:val="0"/>
              <w:snapToGrid w:val="0"/>
              <w:spacing w:line="300" w:lineRule="atLeast"/>
              <w:contextualSpacing/>
              <w:textAlignment w:val="auto"/>
              <w:rPr>
                <w:rFonts w:hint="eastAsia" w:ascii="宋体" w:hAnsi="宋体"/>
                <w:color w:val="auto"/>
                <w:szCs w:val="21"/>
                <w:highlight w:val="none"/>
              </w:rPr>
            </w:pPr>
            <w:r>
              <w:rPr>
                <w:rFonts w:hint="eastAsia" w:ascii="宋体" w:hAnsi="宋体"/>
                <w:color w:val="auto"/>
                <w:szCs w:val="21"/>
                <w:highlight w:val="none"/>
              </w:rPr>
              <w:t>招标文件的修改期限：在投标截止时间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15</w:t>
            </w:r>
            <w:r>
              <w:rPr>
                <w:rFonts w:hint="eastAsia" w:ascii="宋体" w:hAnsi="宋体"/>
                <w:color w:val="auto"/>
                <w:szCs w:val="21"/>
                <w:highlight w:val="none"/>
                <w:u w:val="single"/>
              </w:rPr>
              <w:t xml:space="preserve"> </w:t>
            </w:r>
            <w:r>
              <w:rPr>
                <w:rFonts w:hint="eastAsia" w:ascii="宋体" w:hAnsi="宋体"/>
                <w:color w:val="auto"/>
                <w:szCs w:val="21"/>
                <w:highlight w:val="none"/>
              </w:rPr>
              <w:t>天前</w:t>
            </w:r>
          </w:p>
        </w:tc>
      </w:tr>
      <w:tr w14:paraId="4956243D">
        <w:tblPrEx>
          <w:tblCellMar>
            <w:top w:w="0" w:type="dxa"/>
            <w:left w:w="108" w:type="dxa"/>
            <w:bottom w:w="0" w:type="dxa"/>
            <w:right w:w="108" w:type="dxa"/>
          </w:tblCellMar>
        </w:tblPrEx>
        <w:trPr>
          <w:trHeight w:val="465"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33F9D06E">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3.1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160A5FA">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投标文件的组成</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05F10FFE">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rPr>
            </w:pPr>
            <w:r>
              <w:rPr>
                <w:rFonts w:hint="eastAsia"/>
                <w:color w:val="auto"/>
                <w:szCs w:val="21"/>
                <w:highlight w:val="none"/>
              </w:rPr>
              <w:t>采用综合评估法一：投标文件由资格审查文件、商务文件和技术文件组成。</w:t>
            </w:r>
          </w:p>
        </w:tc>
      </w:tr>
      <w:tr w14:paraId="2E575935">
        <w:tblPrEx>
          <w:tblCellMar>
            <w:top w:w="0" w:type="dxa"/>
            <w:left w:w="108" w:type="dxa"/>
            <w:bottom w:w="0" w:type="dxa"/>
            <w:right w:w="108" w:type="dxa"/>
          </w:tblCellMar>
        </w:tblPrEx>
        <w:trPr>
          <w:trHeight w:val="42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2DC1EB5E">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3.2.3</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6EF6D10">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最高投标限价</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15451B49">
            <w:pPr>
              <w:pageBreakBefore w:val="0"/>
              <w:widowControl w:val="0"/>
              <w:kinsoku/>
              <w:wordWrap/>
              <w:overflowPunct/>
              <w:autoSpaceDE/>
              <w:autoSpaceDN/>
              <w:bidi w:val="0"/>
              <w:snapToGrid w:val="0"/>
              <w:spacing w:line="300" w:lineRule="atLeast"/>
              <w:ind w:firstLine="440" w:firstLineChars="0"/>
              <w:jc w:val="left"/>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u w:val="none"/>
                <w:lang w:val="en-US"/>
              </w:rPr>
              <w:t>本次最高投标限价（招标控制价）</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Cs w:val="21"/>
                <w:highlight w:val="none"/>
                <w:u w:val="single"/>
              </w:rPr>
              <w:t>25,405,795.61</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其中绿色施工安全防护措施费</w:t>
            </w:r>
            <w:r>
              <w:rPr>
                <w:rFonts w:hint="eastAsia" w:ascii="宋体" w:hAnsi="宋体" w:eastAsia="宋体" w:cs="宋体"/>
                <w:color w:val="auto"/>
                <w:sz w:val="21"/>
                <w:szCs w:val="21"/>
                <w:highlight w:val="none"/>
                <w:u w:val="single"/>
                <w:lang w:val="en-US" w:eastAsia="zh-CN"/>
              </w:rPr>
              <w:t>1,101,828.05</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sz w:val="21"/>
                <w:szCs w:val="21"/>
                <w:highlight w:val="none"/>
                <w:u w:val="none"/>
                <w:lang w:eastAsia="zh-CN"/>
              </w:rPr>
              <w:t>，暂列金额</w:t>
            </w:r>
            <w:r>
              <w:rPr>
                <w:rFonts w:hint="eastAsia" w:ascii="宋体" w:hAnsi="宋体" w:cs="宋体"/>
                <w:color w:val="auto"/>
                <w:sz w:val="21"/>
                <w:szCs w:val="21"/>
                <w:highlight w:val="none"/>
                <w:u w:val="single"/>
                <w:lang w:val="en-US" w:eastAsia="zh-CN"/>
              </w:rPr>
              <w:t xml:space="preserve"> 954,912.90</w:t>
            </w:r>
            <w:r>
              <w:rPr>
                <w:rFonts w:hint="eastAsia" w:ascii="宋体" w:hAnsi="宋体" w:eastAsia="宋体" w:cs="宋体"/>
                <w:color w:val="auto"/>
                <w:sz w:val="21"/>
                <w:szCs w:val="21"/>
                <w:highlight w:val="none"/>
                <w:u w:val="none"/>
                <w:lang w:eastAsia="zh-CN"/>
              </w:rPr>
              <w:t>元，</w:t>
            </w:r>
            <w:r>
              <w:rPr>
                <w:rFonts w:hint="eastAsia" w:ascii="宋体" w:hAnsi="宋体" w:eastAsia="宋体" w:cs="宋体"/>
                <w:color w:val="auto"/>
                <w:sz w:val="21"/>
                <w:szCs w:val="21"/>
                <w:highlight w:val="none"/>
                <w:u w:val="none"/>
                <w:lang w:val="en-US" w:eastAsia="zh-CN"/>
              </w:rPr>
              <w:t>建筑垃圾</w:t>
            </w:r>
            <w:r>
              <w:rPr>
                <w:rFonts w:hint="eastAsia" w:ascii="宋体" w:hAnsi="宋体" w:eastAsia="宋体" w:cs="宋体"/>
                <w:color w:val="auto"/>
                <w:sz w:val="21"/>
                <w:szCs w:val="21"/>
                <w:highlight w:val="none"/>
                <w:u w:val="none"/>
                <w:lang w:eastAsia="zh-CN"/>
              </w:rPr>
              <w:t>消纳费</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Cs w:val="21"/>
                <w:highlight w:val="none"/>
                <w:u w:val="single"/>
              </w:rPr>
              <w:t>68,885.15</w:t>
            </w:r>
            <w:r>
              <w:rPr>
                <w:rFonts w:hint="eastAsia" w:ascii="宋体" w:hAnsi="宋体" w:eastAsia="宋体" w:cs="宋体"/>
                <w:color w:val="auto"/>
                <w:sz w:val="21"/>
                <w:szCs w:val="21"/>
                <w:highlight w:val="none"/>
                <w:u w:val="none"/>
                <w:lang w:eastAsia="zh-CN"/>
              </w:rPr>
              <w:t>元</w:t>
            </w:r>
            <w:r>
              <w:rPr>
                <w:rFonts w:hint="eastAsia" w:ascii="宋体" w:hAnsi="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耗水费_/_元，甲供材料运输费_/_元，</w:t>
            </w:r>
            <w:r>
              <w:rPr>
                <w:rFonts w:hint="default" w:ascii="宋体" w:hAnsi="宋体" w:eastAsia="宋体" w:cs="宋体"/>
                <w:color w:val="auto"/>
                <w:sz w:val="21"/>
                <w:szCs w:val="21"/>
                <w:highlight w:val="none"/>
              </w:rPr>
              <w:t>专业工程暂估价</w:t>
            </w:r>
            <w:r>
              <w:rPr>
                <w:rFonts w:hint="eastAsia" w:ascii="宋体" w:hAnsi="宋体" w:cs="宋体"/>
                <w:color w:val="auto"/>
                <w:sz w:val="21"/>
                <w:szCs w:val="21"/>
                <w:highlight w:val="none"/>
                <w:u w:val="single"/>
                <w:lang w:val="en-US" w:eastAsia="zh-CN"/>
              </w:rPr>
              <w:t xml:space="preserve"> /</w:t>
            </w:r>
            <w:r>
              <w:rPr>
                <w:rFonts w:hint="default" w:ascii="宋体" w:hAnsi="宋体" w:eastAsia="宋体" w:cs="宋体"/>
                <w:color w:val="auto"/>
                <w:sz w:val="21"/>
                <w:szCs w:val="21"/>
                <w:highlight w:val="none"/>
              </w:rPr>
              <w:t>元。</w:t>
            </w:r>
          </w:p>
          <w:p w14:paraId="086106F3">
            <w:pPr>
              <w:pageBreakBefore w:val="0"/>
              <w:widowControl w:val="0"/>
              <w:kinsoku/>
              <w:wordWrap/>
              <w:overflowPunct/>
              <w:autoSpaceDE/>
              <w:autoSpaceDN/>
              <w:bidi w:val="0"/>
              <w:snapToGrid w:val="0"/>
              <w:spacing w:line="300" w:lineRule="atLeast"/>
              <w:ind w:firstLine="44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其他详见招标控制价公布函，非竞争费用不按招标人给定金额填报的，投标报价无效。</w:t>
            </w:r>
          </w:p>
          <w:p w14:paraId="77D589A9">
            <w:pPr>
              <w:pageBreakBefore w:val="0"/>
              <w:widowControl w:val="0"/>
              <w:kinsoku/>
              <w:wordWrap/>
              <w:overflowPunct/>
              <w:autoSpaceDE/>
              <w:autoSpaceDN/>
              <w:bidi w:val="0"/>
              <w:snapToGrid w:val="0"/>
              <w:spacing w:line="300" w:lineRule="atLeast"/>
              <w:ind w:firstLine="44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投标报价不得高于招标控制价。</w:t>
            </w:r>
          </w:p>
          <w:p w14:paraId="6AD02C07">
            <w:pPr>
              <w:pageBreakBefore w:val="0"/>
              <w:widowControl w:val="0"/>
              <w:kinsoku/>
              <w:wordWrap/>
              <w:overflowPunct/>
              <w:autoSpaceDE/>
              <w:autoSpaceDN/>
              <w:bidi w:val="0"/>
              <w:snapToGrid w:val="0"/>
              <w:spacing w:line="300" w:lineRule="atLeast"/>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各单项工程中相同的清单子目，中标的</w:t>
            </w:r>
            <w:r>
              <w:rPr>
                <w:rFonts w:hint="eastAsia" w:ascii="宋体" w:hAnsi="宋体" w:eastAsia="宋体" w:cs="宋体"/>
                <w:color w:val="auto"/>
                <w:sz w:val="21"/>
                <w:szCs w:val="21"/>
                <w:highlight w:val="none"/>
                <w:lang w:val="en-US" w:eastAsia="zh-CN"/>
              </w:rPr>
              <w:t>投标</w:t>
            </w:r>
            <w:r>
              <w:rPr>
                <w:rFonts w:hint="eastAsia" w:ascii="宋体" w:hAnsi="宋体" w:cs="宋体"/>
                <w:color w:val="auto"/>
                <w:kern w:val="0"/>
                <w:sz w:val="21"/>
                <w:szCs w:val="21"/>
                <w:highlight w:val="none"/>
              </w:rPr>
              <w:t>单价必须一致，若不一致，发包人有权在结算阶段按就低不就高的原则调整</w:t>
            </w:r>
            <w:r>
              <w:rPr>
                <w:rFonts w:hint="eastAsia" w:ascii="宋体" w:hAnsi="宋体" w:cs="宋体"/>
                <w:color w:val="auto"/>
                <w:kern w:val="0"/>
                <w:sz w:val="21"/>
                <w:szCs w:val="21"/>
                <w:highlight w:val="none"/>
                <w:lang w:eastAsia="zh-CN"/>
              </w:rPr>
              <w:t>，</w:t>
            </w:r>
            <w:r>
              <w:rPr>
                <w:rFonts w:hint="eastAsia" w:ascii="宋体" w:hAnsi="宋体" w:eastAsia="宋体" w:cs="宋体"/>
                <w:color w:val="auto"/>
                <w:sz w:val="21"/>
                <w:szCs w:val="21"/>
                <w:highlight w:val="none"/>
                <w:lang w:eastAsia="zh-CN"/>
              </w:rPr>
              <w:t>调整方式为：</w:t>
            </w:r>
            <w:r>
              <w:rPr>
                <w:rFonts w:hint="eastAsia" w:ascii="宋体" w:hAnsi="宋体" w:eastAsia="宋体" w:cs="宋体"/>
                <w:color w:val="auto"/>
                <w:kern w:val="0"/>
                <w:sz w:val="21"/>
                <w:szCs w:val="21"/>
                <w:highlight w:val="none"/>
                <w:lang w:eastAsia="zh-CN"/>
              </w:rPr>
              <w:t>结算综合单价＝</w:t>
            </w:r>
            <w:r>
              <w:rPr>
                <w:rFonts w:hint="eastAsia" w:ascii="宋体" w:hAnsi="宋体" w:eastAsia="宋体" w:cs="宋体"/>
                <w:color w:val="auto"/>
                <w:kern w:val="0"/>
                <w:sz w:val="21"/>
                <w:szCs w:val="21"/>
                <w:highlight w:val="none"/>
                <w:lang w:val="en-US" w:eastAsia="zh-CN"/>
              </w:rPr>
              <w:t>最高</w:t>
            </w:r>
            <w:r>
              <w:rPr>
                <w:rFonts w:hint="eastAsia" w:ascii="宋体" w:hAnsi="宋体" w:eastAsia="宋体" w:cs="宋体"/>
                <w:strike w:val="0"/>
                <w:color w:val="auto"/>
                <w:kern w:val="0"/>
                <w:sz w:val="21"/>
                <w:szCs w:val="21"/>
                <w:highlight w:val="none"/>
                <w:lang w:val="en-US" w:eastAsia="zh-CN"/>
              </w:rPr>
              <w:t>投标</w:t>
            </w:r>
            <w:r>
              <w:rPr>
                <w:rFonts w:hint="eastAsia" w:ascii="宋体" w:hAnsi="宋体" w:eastAsia="宋体" w:cs="宋体"/>
                <w:color w:val="auto"/>
                <w:kern w:val="0"/>
                <w:sz w:val="21"/>
                <w:szCs w:val="21"/>
                <w:highlight w:val="none"/>
                <w:lang w:val="en-US" w:eastAsia="zh-CN"/>
              </w:rPr>
              <w:t>限价</w:t>
            </w:r>
            <w:r>
              <w:rPr>
                <w:rFonts w:hint="eastAsia" w:ascii="宋体" w:hAnsi="宋体" w:eastAsia="宋体" w:cs="宋体"/>
                <w:color w:val="auto"/>
                <w:kern w:val="0"/>
                <w:sz w:val="21"/>
                <w:szCs w:val="21"/>
                <w:highlight w:val="none"/>
                <w:lang w:eastAsia="zh-CN"/>
              </w:rPr>
              <w:t>对应</w:t>
            </w:r>
            <w:r>
              <w:rPr>
                <w:rFonts w:hint="eastAsia" w:ascii="宋体" w:hAnsi="宋体" w:eastAsia="宋体" w:cs="宋体"/>
                <w:color w:val="auto"/>
                <w:kern w:val="0"/>
                <w:sz w:val="21"/>
                <w:szCs w:val="21"/>
                <w:highlight w:val="none"/>
                <w:lang w:val="en-US" w:eastAsia="zh-CN"/>
              </w:rPr>
              <w:t>清单子目</w:t>
            </w:r>
            <w:r>
              <w:rPr>
                <w:rFonts w:hint="eastAsia" w:ascii="宋体" w:hAnsi="宋体" w:eastAsia="宋体" w:cs="宋体"/>
                <w:color w:val="auto"/>
                <w:kern w:val="0"/>
                <w:sz w:val="21"/>
                <w:szCs w:val="21"/>
                <w:highlight w:val="none"/>
                <w:lang w:eastAsia="zh-CN"/>
              </w:rPr>
              <w:t>综合单价×（</w:t>
            </w:r>
            <w:r>
              <w:rPr>
                <w:rFonts w:hint="eastAsia" w:ascii="宋体" w:hAnsi="宋体" w:eastAsia="宋体" w:cs="宋体"/>
                <w:color w:val="auto"/>
                <w:kern w:val="0"/>
                <w:sz w:val="21"/>
                <w:szCs w:val="21"/>
                <w:highlight w:val="none"/>
                <w:lang w:val="en-US" w:eastAsia="zh-CN"/>
              </w:rPr>
              <w:t>1-投标下浮率）与中标的综合单价对比低值，</w:t>
            </w:r>
            <w:r>
              <w:rPr>
                <w:rFonts w:hint="eastAsia" w:ascii="宋体" w:hAnsi="宋体" w:eastAsia="宋体" w:cs="宋体"/>
                <w:color w:val="auto"/>
                <w:kern w:val="0"/>
                <w:sz w:val="21"/>
                <w:szCs w:val="21"/>
                <w:highlight w:val="none"/>
                <w:lang w:eastAsia="zh-CN"/>
              </w:rPr>
              <w:t>并按调整后的综合单价</w:t>
            </w:r>
            <w:r>
              <w:rPr>
                <w:rFonts w:hint="eastAsia" w:ascii="宋体" w:hAnsi="宋体" w:eastAsia="宋体" w:cs="宋体"/>
                <w:color w:val="auto"/>
                <w:kern w:val="0"/>
                <w:sz w:val="21"/>
                <w:szCs w:val="21"/>
                <w:highlight w:val="none"/>
              </w:rPr>
              <w:t>作为结算</w:t>
            </w:r>
            <w:r>
              <w:rPr>
                <w:rFonts w:hint="eastAsia" w:ascii="宋体" w:hAnsi="宋体" w:eastAsia="宋体" w:cs="宋体"/>
                <w:color w:val="auto"/>
                <w:kern w:val="0"/>
                <w:sz w:val="21"/>
                <w:szCs w:val="21"/>
                <w:highlight w:val="none"/>
                <w:lang w:val="en-US" w:eastAsia="zh-CN"/>
              </w:rPr>
              <w:t>综合</w:t>
            </w:r>
            <w:r>
              <w:rPr>
                <w:rFonts w:hint="eastAsia" w:ascii="宋体" w:hAnsi="宋体" w:eastAsia="宋体" w:cs="宋体"/>
                <w:color w:val="auto"/>
                <w:kern w:val="0"/>
                <w:sz w:val="21"/>
                <w:szCs w:val="21"/>
                <w:highlight w:val="none"/>
              </w:rPr>
              <w:t>单价</w:t>
            </w:r>
            <w:r>
              <w:rPr>
                <w:rFonts w:hint="eastAsia" w:ascii="宋体" w:hAnsi="宋体" w:eastAsia="宋体" w:cs="宋体"/>
                <w:color w:val="auto"/>
                <w:kern w:val="0"/>
                <w:sz w:val="21"/>
                <w:szCs w:val="21"/>
                <w:highlight w:val="none"/>
                <w:lang w:val="en-US" w:eastAsia="zh-CN"/>
              </w:rPr>
              <w:t>。</w:t>
            </w:r>
          </w:p>
          <w:p w14:paraId="596F9326">
            <w:pPr>
              <w:pageBreakBefore w:val="0"/>
              <w:widowControl w:val="0"/>
              <w:kinsoku/>
              <w:wordWrap/>
              <w:overflowPunct/>
              <w:autoSpaceDE/>
              <w:autoSpaceDN/>
              <w:bidi w:val="0"/>
              <w:snapToGrid w:val="0"/>
              <w:spacing w:line="300" w:lineRule="atLeast"/>
              <w:textAlignment w:val="auto"/>
              <w:rPr>
                <w:rFonts w:hint="eastAsia" w:ascii="宋体" w:hAnsi="宋体"/>
                <w:color w:val="auto"/>
                <w:szCs w:val="21"/>
                <w:highlight w:val="none"/>
              </w:rPr>
            </w:pPr>
            <w:r>
              <w:rPr>
                <w:rFonts w:hint="eastAsia" w:ascii="宋体" w:hAnsi="宋体" w:cs="宋体"/>
                <w:color w:val="auto"/>
                <w:kern w:val="0"/>
                <w:sz w:val="21"/>
                <w:szCs w:val="21"/>
                <w:highlight w:val="none"/>
              </w:rPr>
              <w:t>若中标的综合单价高于</w:t>
            </w:r>
            <w:r>
              <w:rPr>
                <w:rFonts w:hint="eastAsia" w:ascii="宋体" w:hAnsi="宋体" w:cs="宋体"/>
                <w:strike w:val="0"/>
                <w:color w:val="auto"/>
                <w:kern w:val="0"/>
                <w:sz w:val="21"/>
                <w:szCs w:val="21"/>
                <w:highlight w:val="none"/>
                <w:lang w:val="en-US" w:eastAsia="zh-CN"/>
              </w:rPr>
              <w:t>最高投标限价</w:t>
            </w:r>
            <w:r>
              <w:rPr>
                <w:rFonts w:hint="eastAsia" w:ascii="宋体" w:hAnsi="宋体" w:cs="宋体"/>
                <w:color w:val="auto"/>
                <w:kern w:val="0"/>
                <w:sz w:val="21"/>
                <w:szCs w:val="21"/>
                <w:highlight w:val="none"/>
              </w:rPr>
              <w:t>报告中对应</w:t>
            </w:r>
            <w:r>
              <w:rPr>
                <w:rFonts w:hint="eastAsia" w:ascii="宋体" w:hAnsi="宋体" w:eastAsia="宋体" w:cs="宋体"/>
                <w:color w:val="auto"/>
                <w:kern w:val="0"/>
                <w:sz w:val="21"/>
                <w:szCs w:val="21"/>
                <w:highlight w:val="none"/>
                <w:lang w:val="en-US" w:eastAsia="zh-CN"/>
              </w:rPr>
              <w:t>清单子目</w:t>
            </w:r>
            <w:r>
              <w:rPr>
                <w:rFonts w:hint="eastAsia" w:ascii="宋体" w:hAnsi="宋体" w:cs="宋体"/>
                <w:color w:val="auto"/>
                <w:kern w:val="0"/>
                <w:sz w:val="21"/>
                <w:szCs w:val="21"/>
                <w:highlight w:val="none"/>
              </w:rPr>
              <w:t>的综合单价，发包人有权在结算阶段调整该中标综合单价，调整方式为：结算综合单价＝</w:t>
            </w:r>
            <w:r>
              <w:rPr>
                <w:rFonts w:hint="eastAsia" w:ascii="宋体" w:hAnsi="宋体" w:eastAsia="宋体" w:cs="宋体"/>
                <w:strike w:val="0"/>
                <w:color w:val="auto"/>
                <w:sz w:val="21"/>
                <w:szCs w:val="21"/>
                <w:highlight w:val="none"/>
                <w:lang w:val="en-US" w:eastAsia="zh-CN"/>
              </w:rPr>
              <w:t>最高投标限价</w:t>
            </w:r>
            <w:r>
              <w:rPr>
                <w:rFonts w:hint="eastAsia" w:ascii="宋体" w:hAnsi="宋体" w:cs="宋体"/>
                <w:color w:val="auto"/>
                <w:kern w:val="0"/>
                <w:sz w:val="21"/>
                <w:szCs w:val="21"/>
                <w:highlight w:val="none"/>
              </w:rPr>
              <w:t>对应</w:t>
            </w:r>
            <w:r>
              <w:rPr>
                <w:rFonts w:hint="eastAsia" w:ascii="宋体" w:hAnsi="宋体" w:eastAsia="宋体" w:cs="宋体"/>
                <w:color w:val="auto"/>
                <w:kern w:val="0"/>
                <w:sz w:val="21"/>
                <w:szCs w:val="21"/>
                <w:highlight w:val="none"/>
                <w:lang w:val="en-US" w:eastAsia="zh-CN"/>
              </w:rPr>
              <w:t>清单子目</w:t>
            </w:r>
            <w:r>
              <w:rPr>
                <w:rFonts w:hint="eastAsia" w:ascii="宋体" w:hAnsi="宋体" w:cs="宋体"/>
                <w:color w:val="auto"/>
                <w:kern w:val="0"/>
                <w:sz w:val="21"/>
                <w:szCs w:val="21"/>
                <w:highlight w:val="none"/>
              </w:rPr>
              <w:t>的综合单价×（</w:t>
            </w:r>
            <w:r>
              <w:rPr>
                <w:rFonts w:ascii="宋体" w:hAnsi="宋体" w:cs="宋体"/>
                <w:color w:val="auto"/>
                <w:kern w:val="0"/>
                <w:sz w:val="21"/>
                <w:szCs w:val="21"/>
                <w:highlight w:val="none"/>
              </w:rPr>
              <w:t>1-</w:t>
            </w:r>
            <w:r>
              <w:rPr>
                <w:rFonts w:hint="eastAsia" w:ascii="宋体" w:hAnsi="宋体" w:cs="宋体"/>
                <w:color w:val="auto"/>
                <w:kern w:val="0"/>
                <w:sz w:val="21"/>
                <w:szCs w:val="21"/>
                <w:highlight w:val="none"/>
              </w:rPr>
              <w:t>投标下浮率），并按调整后的综</w:t>
            </w:r>
            <w:r>
              <w:rPr>
                <w:rFonts w:hint="eastAsia" w:ascii="宋体" w:hAnsi="宋体" w:eastAsia="宋体" w:cs="宋体"/>
                <w:color w:val="auto"/>
                <w:kern w:val="0"/>
                <w:sz w:val="21"/>
                <w:szCs w:val="21"/>
                <w:highlight w:val="none"/>
              </w:rPr>
              <w:t>合单价作为结算</w:t>
            </w:r>
            <w:r>
              <w:rPr>
                <w:rFonts w:hint="eastAsia" w:ascii="宋体" w:hAnsi="宋体" w:eastAsia="宋体" w:cs="宋体"/>
                <w:color w:val="auto"/>
                <w:kern w:val="0"/>
                <w:sz w:val="21"/>
                <w:szCs w:val="21"/>
                <w:highlight w:val="none"/>
                <w:lang w:val="en-US" w:eastAsia="zh-CN"/>
              </w:rPr>
              <w:t>综合</w:t>
            </w:r>
            <w:r>
              <w:rPr>
                <w:rFonts w:hint="eastAsia" w:ascii="宋体" w:hAnsi="宋体" w:eastAsia="宋体" w:cs="宋体"/>
                <w:color w:val="auto"/>
                <w:kern w:val="0"/>
                <w:sz w:val="21"/>
                <w:szCs w:val="21"/>
                <w:highlight w:val="none"/>
              </w:rPr>
              <w:t>单价</w:t>
            </w:r>
            <w:r>
              <w:rPr>
                <w:rFonts w:hint="eastAsia" w:ascii="宋体" w:hAnsi="宋体" w:cs="宋体"/>
                <w:color w:val="auto"/>
                <w:kern w:val="0"/>
                <w:sz w:val="21"/>
                <w:szCs w:val="21"/>
                <w:highlight w:val="none"/>
              </w:rPr>
              <w:t>。</w:t>
            </w:r>
          </w:p>
        </w:tc>
      </w:tr>
      <w:tr w14:paraId="2A091D5C">
        <w:tblPrEx>
          <w:tblCellMar>
            <w:top w:w="0" w:type="dxa"/>
            <w:left w:w="108" w:type="dxa"/>
            <w:bottom w:w="0" w:type="dxa"/>
            <w:right w:w="108" w:type="dxa"/>
          </w:tblCellMar>
        </w:tblPrEx>
        <w:trPr>
          <w:trHeight w:val="42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33048C12">
            <w:pPr>
              <w:pageBreakBefore w:val="0"/>
              <w:widowControl w:val="0"/>
              <w:kinsoku/>
              <w:wordWrap/>
              <w:overflowPunct/>
              <w:autoSpaceDE/>
              <w:autoSpaceDN/>
              <w:bidi w:val="0"/>
              <w:snapToGrid w:val="0"/>
              <w:spacing w:line="300" w:lineRule="atLeast"/>
              <w:contextualSpacing/>
              <w:jc w:val="center"/>
              <w:textAlignment w:val="auto"/>
              <w:rPr>
                <w:rFonts w:hint="eastAsia"/>
                <w:color w:val="auto"/>
                <w:szCs w:val="21"/>
                <w:highlight w:val="none"/>
              </w:rPr>
            </w:pPr>
            <w:r>
              <w:rPr>
                <w:rFonts w:hint="eastAsia"/>
                <w:color w:val="auto"/>
                <w:szCs w:val="21"/>
                <w:highlight w:val="none"/>
              </w:rPr>
              <w:t>3.2.4</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6EF4367">
            <w:pPr>
              <w:pageBreakBefore w:val="0"/>
              <w:widowControl w:val="0"/>
              <w:kinsoku/>
              <w:wordWrap/>
              <w:overflowPunct/>
              <w:autoSpaceDE/>
              <w:autoSpaceDN/>
              <w:bidi w:val="0"/>
              <w:snapToGrid w:val="0"/>
              <w:spacing w:line="300" w:lineRule="atLeast"/>
              <w:contextualSpacing/>
              <w:jc w:val="left"/>
              <w:textAlignment w:val="auto"/>
              <w:rPr>
                <w:rFonts w:hint="eastAsia"/>
                <w:color w:val="auto"/>
                <w:szCs w:val="21"/>
                <w:highlight w:val="none"/>
              </w:rPr>
            </w:pPr>
            <w:r>
              <w:rPr>
                <w:rFonts w:hint="eastAsia" w:ascii="宋体" w:hAnsi="宋体"/>
                <w:color w:val="auto"/>
                <w:szCs w:val="21"/>
                <w:highlight w:val="none"/>
              </w:rPr>
              <w:t>成本警示价</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3DF55594">
            <w:pPr>
              <w:pageBreakBefore w:val="0"/>
              <w:widowControl w:val="0"/>
              <w:kinsoku/>
              <w:wordWrap/>
              <w:overflowPunct/>
              <w:autoSpaceDE/>
              <w:autoSpaceDN/>
              <w:bidi w:val="0"/>
              <w:snapToGrid w:val="0"/>
              <w:spacing w:line="300" w:lineRule="atLeast"/>
              <w:ind w:firstLine="0" w:firstLineChars="0"/>
              <w:contextualSpacing/>
              <w:textAlignment w:val="auto"/>
              <w:rPr>
                <w:rFonts w:hint="eastAsia"/>
                <w:color w:val="auto"/>
                <w:highlight w:val="none"/>
                <w:u w:val="none"/>
                <w:lang w:eastAsia="zh-CN"/>
              </w:rPr>
            </w:pPr>
            <w:r>
              <w:rPr>
                <w:rFonts w:hint="eastAsia"/>
                <w:color w:val="auto"/>
                <w:highlight w:val="none"/>
                <w:u w:val="none"/>
                <w:lang w:eastAsia="zh-CN"/>
              </w:rPr>
              <w:t>□无</w:t>
            </w:r>
          </w:p>
          <w:p w14:paraId="0B9642F6">
            <w:pPr>
              <w:pageBreakBefore w:val="0"/>
              <w:widowControl w:val="0"/>
              <w:kinsoku/>
              <w:wordWrap/>
              <w:overflowPunct/>
              <w:autoSpaceDE/>
              <w:autoSpaceDN/>
              <w:bidi w:val="0"/>
              <w:snapToGrid w:val="0"/>
              <w:spacing w:line="300" w:lineRule="atLeast"/>
              <w:textAlignment w:val="auto"/>
              <w:rPr>
                <w:rFonts w:hint="eastAsia" w:ascii="宋体" w:hAnsi="宋体" w:eastAsia="宋体"/>
                <w:color w:val="auto"/>
                <w:szCs w:val="21"/>
                <w:highlight w:val="none"/>
                <w:lang w:eastAsia="zh-CN"/>
              </w:rPr>
            </w:pPr>
            <w:r>
              <w:rPr>
                <w:rFonts w:hint="eastAsia"/>
                <w:color w:val="auto"/>
                <w:highlight w:val="none"/>
                <w:u w:val="none"/>
                <w:lang w:eastAsia="zh-CN"/>
              </w:rPr>
              <w:t>☑有，</w:t>
            </w:r>
            <w:r>
              <w:rPr>
                <w:rFonts w:hint="eastAsia" w:ascii="宋体" w:hAnsi="宋体" w:cs="宋体"/>
                <w:color w:val="auto"/>
                <w:szCs w:val="21"/>
                <w:highlight w:val="none"/>
                <w:u w:val="none"/>
              </w:rPr>
              <w:t>成本警示价为</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578</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 xml:space="preserve">694.44 </w:t>
            </w:r>
            <w:r>
              <w:rPr>
                <w:rFonts w:hint="eastAsia" w:ascii="宋体" w:hAnsi="宋体" w:cs="宋体"/>
                <w:color w:val="auto"/>
                <w:szCs w:val="21"/>
                <w:highlight w:val="none"/>
                <w:u w:val="none"/>
              </w:rPr>
              <w:t>元。（最高投标限价的</w:t>
            </w:r>
            <w:r>
              <w:rPr>
                <w:rFonts w:hint="eastAsia" w:ascii="宋体" w:hAnsi="宋体" w:cs="宋体"/>
                <w:color w:val="auto"/>
                <w:szCs w:val="21"/>
                <w:highlight w:val="none"/>
                <w:u w:val="none"/>
                <w:lang w:val="en-US" w:eastAsia="zh-CN"/>
              </w:rPr>
              <w:t>81</w:t>
            </w:r>
            <w:r>
              <w:rPr>
                <w:rFonts w:hint="eastAsia" w:ascii="宋体" w:hAnsi="宋体" w:cs="宋体"/>
                <w:color w:val="auto"/>
                <w:szCs w:val="21"/>
                <w:highlight w:val="none"/>
                <w:u w:val="none"/>
              </w:rPr>
              <w:t>%设置为成本警示价）</w:t>
            </w:r>
          </w:p>
        </w:tc>
      </w:tr>
      <w:tr w14:paraId="191D52B1">
        <w:tblPrEx>
          <w:tblCellMar>
            <w:top w:w="0" w:type="dxa"/>
            <w:left w:w="108" w:type="dxa"/>
            <w:bottom w:w="0" w:type="dxa"/>
            <w:right w:w="108" w:type="dxa"/>
          </w:tblCellMar>
        </w:tblPrEx>
        <w:trPr>
          <w:trHeight w:val="70" w:hRule="atLeast"/>
        </w:trPr>
        <w:tc>
          <w:tcPr>
            <w:tcW w:w="1090" w:type="dxa"/>
            <w:tcBorders>
              <w:top w:val="single" w:color="auto" w:sz="4" w:space="0"/>
              <w:left w:val="single" w:color="auto" w:sz="4" w:space="0"/>
              <w:right w:val="single" w:color="auto" w:sz="4" w:space="0"/>
            </w:tcBorders>
            <w:noWrap w:val="0"/>
            <w:vAlign w:val="center"/>
          </w:tcPr>
          <w:p w14:paraId="4B1C12F0">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58" w:name="_Toc221950062"/>
            <w:r>
              <w:rPr>
                <w:color w:val="auto"/>
                <w:szCs w:val="21"/>
                <w:highlight w:val="none"/>
              </w:rPr>
              <w:t>3.3</w:t>
            </w:r>
            <w:r>
              <w:rPr>
                <w:rFonts w:hint="eastAsia"/>
                <w:color w:val="auto"/>
                <w:szCs w:val="21"/>
                <w:highlight w:val="none"/>
              </w:rPr>
              <w:t>.1</w:t>
            </w:r>
            <w:bookmarkEnd w:id="158"/>
          </w:p>
        </w:tc>
        <w:tc>
          <w:tcPr>
            <w:tcW w:w="2400" w:type="dxa"/>
            <w:tcBorders>
              <w:top w:val="single" w:color="auto" w:sz="4" w:space="0"/>
              <w:left w:val="single" w:color="auto" w:sz="4" w:space="0"/>
              <w:right w:val="single" w:color="auto" w:sz="4" w:space="0"/>
            </w:tcBorders>
            <w:noWrap w:val="0"/>
            <w:vAlign w:val="center"/>
          </w:tcPr>
          <w:p w14:paraId="6217A64F">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投标有效期</w:t>
            </w:r>
          </w:p>
        </w:tc>
        <w:tc>
          <w:tcPr>
            <w:tcW w:w="5367" w:type="dxa"/>
            <w:tcBorders>
              <w:top w:val="single" w:color="auto" w:sz="4" w:space="0"/>
              <w:left w:val="single" w:color="auto" w:sz="4" w:space="0"/>
              <w:right w:val="single" w:color="auto" w:sz="4" w:space="0"/>
            </w:tcBorders>
            <w:noWrap w:val="0"/>
            <w:vAlign w:val="center"/>
          </w:tcPr>
          <w:p w14:paraId="0D4CB8E2">
            <w:pPr>
              <w:pStyle w:val="7"/>
              <w:pageBreakBefore w:val="0"/>
              <w:widowControl w:val="0"/>
              <w:kinsoku/>
              <w:wordWrap/>
              <w:overflowPunct/>
              <w:topLinePunct/>
              <w:autoSpaceDE/>
              <w:autoSpaceDN/>
              <w:bidi w:val="0"/>
              <w:snapToGrid w:val="0"/>
              <w:spacing w:after="0" w:line="300" w:lineRule="atLeast"/>
              <w:contextualSpacing/>
              <w:textAlignment w:val="auto"/>
              <w:rPr>
                <w:color w:val="auto"/>
                <w:kern w:val="2"/>
                <w:sz w:val="21"/>
                <w:szCs w:val="21"/>
                <w:highlight w:val="none"/>
                <w:lang w:val="en-US" w:eastAsia="zh-CN"/>
              </w:rPr>
            </w:pPr>
            <w:r>
              <w:rPr>
                <w:rFonts w:hint="eastAsia"/>
                <w:color w:val="auto"/>
                <w:kern w:val="2"/>
                <w:sz w:val="21"/>
                <w:szCs w:val="21"/>
                <w:highlight w:val="none"/>
                <w:lang w:val="en-US" w:eastAsia="zh-CN"/>
              </w:rPr>
              <w:t>__90__日历天（从投标截止之日计起）</w:t>
            </w:r>
          </w:p>
        </w:tc>
      </w:tr>
      <w:tr w14:paraId="22D7E5C1">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163452DD">
            <w:pPr>
              <w:pageBreakBefore w:val="0"/>
              <w:widowControl w:val="0"/>
              <w:kinsoku/>
              <w:wordWrap/>
              <w:overflowPunct/>
              <w:autoSpaceDE/>
              <w:autoSpaceDN/>
              <w:bidi w:val="0"/>
              <w:snapToGrid w:val="0"/>
              <w:spacing w:line="300" w:lineRule="atLeast"/>
              <w:contextualSpacing/>
              <w:jc w:val="center"/>
              <w:textAlignment w:val="auto"/>
              <w:rPr>
                <w:rFonts w:hint="default" w:eastAsia="宋体"/>
                <w:color w:val="auto"/>
                <w:szCs w:val="21"/>
                <w:highlight w:val="none"/>
                <w:lang w:val="en-US" w:eastAsia="zh-CN"/>
              </w:rPr>
            </w:pPr>
            <w:bookmarkStart w:id="159" w:name="_Toc221950064"/>
            <w:r>
              <w:rPr>
                <w:color w:val="auto"/>
                <w:szCs w:val="21"/>
                <w:highlight w:val="none"/>
              </w:rPr>
              <w:t>3.4</w:t>
            </w:r>
            <w:bookmarkEnd w:id="159"/>
            <w:r>
              <w:rPr>
                <w:rFonts w:hint="eastAsia"/>
                <w:color w:val="auto"/>
                <w:szCs w:val="21"/>
                <w:highlight w:val="none"/>
                <w:lang w:val="en-US" w:eastAsia="zh-CN"/>
              </w:rPr>
              <w:t>.1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3213347">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60" w:name="_Toc221950065"/>
            <w:r>
              <w:rPr>
                <w:color w:val="auto"/>
                <w:szCs w:val="21"/>
                <w:highlight w:val="none"/>
              </w:rPr>
              <w:t>投标保证金</w:t>
            </w:r>
            <w:bookmarkEnd w:id="160"/>
          </w:p>
        </w:tc>
        <w:tc>
          <w:tcPr>
            <w:tcW w:w="5367" w:type="dxa"/>
            <w:tcBorders>
              <w:top w:val="single" w:color="auto" w:sz="4" w:space="0"/>
              <w:left w:val="single" w:color="auto" w:sz="4" w:space="0"/>
              <w:bottom w:val="single" w:color="auto" w:sz="4" w:space="0"/>
              <w:right w:val="single" w:color="auto" w:sz="4" w:space="0"/>
            </w:tcBorders>
            <w:noWrap w:val="0"/>
            <w:vAlign w:val="center"/>
          </w:tcPr>
          <w:p w14:paraId="38A4D1FA">
            <w:pPr>
              <w:pageBreakBefore w:val="0"/>
              <w:widowControl w:val="0"/>
              <w:kinsoku/>
              <w:wordWrap/>
              <w:overflowPunct/>
              <w:autoSpaceDE/>
              <w:autoSpaceDN/>
              <w:bidi w:val="0"/>
              <w:snapToGrid w:val="0"/>
              <w:spacing w:line="300" w:lineRule="atLeast"/>
              <w:contextualSpacing/>
              <w:textAlignment w:val="auto"/>
              <w:rPr>
                <w:rFonts w:hint="eastAsia" w:ascii="宋体" w:hAnsi="宋体"/>
                <w:color w:val="auto"/>
                <w:szCs w:val="21"/>
                <w:highlight w:val="none"/>
              </w:rPr>
            </w:pPr>
            <w:r>
              <w:rPr>
                <w:rFonts w:hint="eastAsia" w:ascii="宋体" w:hAnsi="宋体"/>
                <w:color w:val="auto"/>
                <w:szCs w:val="21"/>
                <w:highlight w:val="none"/>
              </w:rPr>
              <w:t>是否要求投标人递交投标保证金：</w:t>
            </w:r>
          </w:p>
          <w:p w14:paraId="228B67DB">
            <w:pPr>
              <w:pageBreakBefore w:val="0"/>
              <w:widowControl w:val="0"/>
              <w:kinsoku/>
              <w:wordWrap/>
              <w:overflowPunct/>
              <w:autoSpaceDE/>
              <w:autoSpaceDN/>
              <w:bidi w:val="0"/>
              <w:snapToGrid w:val="0"/>
              <w:spacing w:line="300" w:lineRule="atLeast"/>
              <w:contextualSpacing/>
              <w:textAlignment w:val="auto"/>
              <w:rPr>
                <w:rFonts w:hint="eastAsia" w:ascii="宋体" w:hAnsi="宋体" w:eastAsia="宋体"/>
                <w:color w:val="auto"/>
                <w:szCs w:val="21"/>
                <w:highlight w:val="none"/>
                <w:lang w:eastAsia="zh-CN"/>
              </w:rPr>
            </w:pPr>
            <w:r>
              <w:rPr>
                <w:rFonts w:hint="eastAsia"/>
                <w:color w:val="auto"/>
                <w:highlight w:val="none"/>
                <w:u w:val="none"/>
                <w:lang w:eastAsia="zh-CN"/>
              </w:rPr>
              <w:t>☑</w:t>
            </w:r>
            <w:r>
              <w:rPr>
                <w:rFonts w:hint="eastAsia" w:ascii="宋体" w:hAnsi="宋体"/>
                <w:color w:val="auto"/>
                <w:szCs w:val="21"/>
                <w:highlight w:val="none"/>
              </w:rPr>
              <w:t>要求，</w:t>
            </w:r>
            <w:r>
              <w:rPr>
                <w:rFonts w:hint="eastAsia" w:ascii="宋体" w:hAnsi="宋体" w:cs="宋体"/>
                <w:b/>
                <w:bCs/>
                <w:color w:val="auto"/>
                <w:highlight w:val="none"/>
                <w:u w:val="single"/>
                <w:lang w:val="en-US" w:eastAsia="zh-CN" w:bidi="ar"/>
              </w:rPr>
              <w:t xml:space="preserve"> 50 </w:t>
            </w:r>
            <w:r>
              <w:rPr>
                <w:rFonts w:hint="eastAsia" w:ascii="宋体" w:hAnsi="宋体" w:cs="宋体"/>
                <w:b/>
                <w:bCs/>
                <w:color w:val="auto"/>
                <w:highlight w:val="none"/>
                <w:lang w:bidi="ar"/>
              </w:rPr>
              <w:t>万元人民币</w:t>
            </w:r>
            <w:r>
              <w:rPr>
                <w:rFonts w:hint="eastAsia" w:ascii="宋体" w:hAnsi="宋体" w:cs="宋体"/>
                <w:color w:val="auto"/>
                <w:highlight w:val="none"/>
                <w:lang w:bidi="ar"/>
              </w:rPr>
              <w:t>，</w:t>
            </w:r>
            <w:r>
              <w:rPr>
                <w:rFonts w:hint="eastAsia" w:ascii="宋体" w:hAnsi="宋体" w:cs="宋体"/>
                <w:color w:val="auto"/>
                <w:szCs w:val="21"/>
                <w:highlight w:val="none"/>
                <w:u w:val="none"/>
                <w:lang w:bidi="ar"/>
              </w:rPr>
              <w:t>缴纳时间在递交投标文件截止时间前</w:t>
            </w:r>
            <w:r>
              <w:rPr>
                <w:rFonts w:hint="eastAsia" w:ascii="宋体" w:hAnsi="宋体" w:cs="宋体"/>
                <w:color w:val="auto"/>
                <w:szCs w:val="21"/>
                <w:highlight w:val="none"/>
                <w:u w:val="none"/>
                <w:lang w:eastAsia="zh-CN" w:bidi="ar"/>
              </w:rPr>
              <w:t>。</w:t>
            </w:r>
          </w:p>
          <w:p w14:paraId="6EA5CEDD">
            <w:pPr>
              <w:pageBreakBefore w:val="0"/>
              <w:widowControl w:val="0"/>
              <w:kinsoku/>
              <w:wordWrap/>
              <w:overflowPunct/>
              <w:autoSpaceDE/>
              <w:autoSpaceDN/>
              <w:bidi w:val="0"/>
              <w:snapToGrid w:val="0"/>
              <w:spacing w:line="300" w:lineRule="atLeast"/>
              <w:contextualSpacing/>
              <w:textAlignment w:val="auto"/>
              <w:rPr>
                <w:rFonts w:hint="eastAsia" w:hAnsi="宋体"/>
                <w:color w:val="auto"/>
                <w:szCs w:val="21"/>
                <w:highlight w:val="none"/>
              </w:rPr>
            </w:pPr>
            <w:r>
              <w:rPr>
                <w:rFonts w:hint="eastAsia" w:ascii="宋体" w:hAnsi="宋体" w:cs="宋体"/>
                <w:color w:val="auto"/>
                <w:szCs w:val="21"/>
                <w:highlight w:val="none"/>
                <w:u w:val="none"/>
                <w:lang w:bidi="ar"/>
              </w:rPr>
              <w:t>缴纳方式：投标保证金可采用现金、支票、投标保证保险、投标保函（银行或专业担保公司出具）</w:t>
            </w:r>
            <w:r>
              <w:rPr>
                <w:rFonts w:hint="eastAsia" w:ascii="宋体" w:hAnsi="宋体" w:cs="宋体"/>
                <w:color w:val="auto"/>
                <w:szCs w:val="21"/>
                <w:highlight w:val="none"/>
                <w:u w:val="none"/>
                <w:lang w:val="en-US" w:eastAsia="zh-CN" w:bidi="ar"/>
              </w:rPr>
              <w:t>等</w:t>
            </w:r>
            <w:r>
              <w:rPr>
                <w:rFonts w:hint="eastAsia" w:ascii="宋体" w:hAnsi="宋体" w:cs="宋体"/>
                <w:color w:val="auto"/>
                <w:szCs w:val="21"/>
                <w:highlight w:val="none"/>
                <w:u w:val="none"/>
                <w:lang w:bidi="ar"/>
              </w:rPr>
              <w:t>的形式，须在递交投标文件截止时间前完成缴纳。</w:t>
            </w:r>
          </w:p>
          <w:p w14:paraId="64320B6A">
            <w:pPr>
              <w:pageBreakBefore w:val="0"/>
              <w:widowControl w:val="0"/>
              <w:numPr>
                <w:ilvl w:val="0"/>
                <w:numId w:val="0"/>
              </w:numPr>
              <w:kinsoku/>
              <w:wordWrap/>
              <w:overflowPunct/>
              <w:autoSpaceDE/>
              <w:autoSpaceDN/>
              <w:bidi w:val="0"/>
              <w:snapToGrid w:val="0"/>
              <w:spacing w:line="300" w:lineRule="atLeast"/>
              <w:contextualSpacing/>
              <w:textAlignment w:val="auto"/>
              <w:rPr>
                <w:rFonts w:hint="eastAsia" w:ascii="宋体" w:hAnsi="宋体" w:cs="宋体"/>
                <w:color w:val="auto"/>
                <w:szCs w:val="21"/>
                <w:highlight w:val="none"/>
                <w:u w:val="none"/>
                <w:lang w:bidi="ar"/>
              </w:rPr>
            </w:pPr>
            <w:r>
              <w:rPr>
                <w:rFonts w:hint="eastAsia" w:ascii="宋体" w:hAnsi="宋体" w:cs="宋体"/>
                <w:color w:val="auto"/>
                <w:szCs w:val="21"/>
                <w:highlight w:val="none"/>
                <w:u w:val="none"/>
                <w:lang w:bidi="ar"/>
              </w:rPr>
              <w:t>如采用现金、支票形式提交的，投标保证金从投标人基本账户递交，由</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代收。具体操作要求详见</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有关指引，递交事宜请自行咨询交易中心；请各投标人在投标文件递交截止时间前按上述金额递交至</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，到账情况以开标时</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数据库查询的信息为准。</w:t>
            </w:r>
          </w:p>
          <w:p w14:paraId="414B4E80">
            <w:pPr>
              <w:pageBreakBefore w:val="0"/>
              <w:widowControl w:val="0"/>
              <w:kinsoku/>
              <w:wordWrap/>
              <w:overflowPunct/>
              <w:autoSpaceDE/>
              <w:autoSpaceDN/>
              <w:bidi w:val="0"/>
              <w:snapToGrid w:val="0"/>
              <w:spacing w:line="300" w:lineRule="atLeast"/>
              <w:textAlignment w:val="auto"/>
              <w:rPr>
                <w:color w:val="auto"/>
                <w:szCs w:val="21"/>
                <w:highlight w:val="none"/>
              </w:rPr>
            </w:pP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eastAsia="zh-CN" w:bidi="ar"/>
              </w:rPr>
              <w:t>）</w:t>
            </w:r>
            <w:r>
              <w:rPr>
                <w:rFonts w:hint="eastAsia" w:ascii="宋体" w:hAnsi="宋体" w:cs="宋体"/>
                <w:color w:val="auto"/>
                <w:szCs w:val="21"/>
                <w:highlight w:val="none"/>
                <w:u w:val="none"/>
                <w:lang w:bidi="ar"/>
              </w:rPr>
              <w:t>如采用投标保函、投标保证保险形式提交投标保证金的，投标保函或投标保证保险须开具给招标人（保险受益人须为招标人）。开标前可不提交纸质原件，但投标人应在投标文件中提交投标保函或投标保险的扫描件并加盖投标人电子印章，完成评标后，由中标候选人在中标候选人公示前向招标代理单位提交纸质原件并在网上公示。如投标人选择在开标前提交纸质原件的，可在投标截止时间前单独密封递交至开标室。若以交易系统支持的电子保函或电子投标保证保险递交的，到账情况以开标时</w:t>
            </w:r>
            <w:r>
              <w:rPr>
                <w:rFonts w:hint="eastAsia" w:ascii="宋体" w:hAnsi="宋体" w:cs="宋体"/>
                <w:color w:val="auto"/>
                <w:szCs w:val="21"/>
                <w:highlight w:val="none"/>
                <w:u w:val="none"/>
                <w:lang w:eastAsia="zh-CN" w:bidi="ar"/>
              </w:rPr>
              <w:t>广州交易集团有限公司（广州公共资源交易中心）</w:t>
            </w:r>
            <w:r>
              <w:rPr>
                <w:rFonts w:hint="eastAsia" w:ascii="宋体" w:hAnsi="宋体" w:cs="宋体"/>
                <w:color w:val="auto"/>
                <w:szCs w:val="21"/>
                <w:highlight w:val="none"/>
                <w:u w:val="none"/>
                <w:lang w:bidi="ar"/>
              </w:rPr>
              <w:t>数据库查询信息为准。</w:t>
            </w:r>
          </w:p>
        </w:tc>
      </w:tr>
      <w:tr w14:paraId="6B22AE2D">
        <w:tblPrEx>
          <w:tblCellMar>
            <w:top w:w="0" w:type="dxa"/>
            <w:left w:w="108" w:type="dxa"/>
            <w:bottom w:w="0" w:type="dxa"/>
            <w:right w:w="108" w:type="dxa"/>
          </w:tblCellMar>
        </w:tblPrEx>
        <w:trPr>
          <w:trHeight w:val="70" w:hRule="atLeast"/>
        </w:trPr>
        <w:tc>
          <w:tcPr>
            <w:tcW w:w="1090" w:type="dxa"/>
            <w:tcBorders>
              <w:top w:val="single" w:color="auto" w:sz="4" w:space="0"/>
              <w:left w:val="single" w:color="auto" w:sz="4" w:space="0"/>
              <w:right w:val="single" w:color="auto" w:sz="4" w:space="0"/>
            </w:tcBorders>
            <w:noWrap w:val="0"/>
            <w:vAlign w:val="center"/>
          </w:tcPr>
          <w:p w14:paraId="1C4E5505">
            <w:pPr>
              <w:pageBreakBefore w:val="0"/>
              <w:widowControl w:val="0"/>
              <w:kinsoku/>
              <w:wordWrap/>
              <w:overflowPunct/>
              <w:autoSpaceDE/>
              <w:autoSpaceDN/>
              <w:bidi w:val="0"/>
              <w:snapToGrid w:val="0"/>
              <w:spacing w:line="300" w:lineRule="atLeast"/>
              <w:contextualSpacing/>
              <w:jc w:val="center"/>
              <w:textAlignment w:val="auto"/>
              <w:rPr>
                <w:rFonts w:hint="eastAsia" w:eastAsia="宋体"/>
                <w:color w:val="auto"/>
                <w:szCs w:val="21"/>
                <w:highlight w:val="none"/>
                <w:lang w:eastAsia="zh-CN"/>
              </w:rPr>
            </w:pPr>
            <w:r>
              <w:rPr>
                <w:color w:val="auto"/>
                <w:szCs w:val="21"/>
                <w:highlight w:val="none"/>
              </w:rPr>
              <w:t>3.</w:t>
            </w:r>
            <w:r>
              <w:rPr>
                <w:rFonts w:hint="eastAsia"/>
                <w:color w:val="auto"/>
                <w:szCs w:val="21"/>
                <w:highlight w:val="none"/>
              </w:rPr>
              <w:t>6</w:t>
            </w:r>
            <w:r>
              <w:rPr>
                <w:color w:val="auto"/>
                <w:szCs w:val="21"/>
                <w:highlight w:val="none"/>
              </w:rPr>
              <w:t>.</w:t>
            </w:r>
            <w:r>
              <w:rPr>
                <w:rFonts w:hint="eastAsia"/>
                <w:color w:val="auto"/>
                <w:szCs w:val="21"/>
                <w:highlight w:val="none"/>
                <w:lang w:val="en-US" w:eastAsia="zh-CN"/>
              </w:rPr>
              <w:t>1</w:t>
            </w:r>
          </w:p>
        </w:tc>
        <w:tc>
          <w:tcPr>
            <w:tcW w:w="2400" w:type="dxa"/>
            <w:tcBorders>
              <w:top w:val="single" w:color="auto" w:sz="4" w:space="0"/>
              <w:left w:val="single" w:color="auto" w:sz="4" w:space="0"/>
              <w:right w:val="single" w:color="auto" w:sz="4" w:space="0"/>
            </w:tcBorders>
            <w:noWrap w:val="0"/>
            <w:vAlign w:val="center"/>
          </w:tcPr>
          <w:p w14:paraId="4130E9AE">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color w:val="auto"/>
                <w:szCs w:val="21"/>
                <w:highlight w:val="none"/>
              </w:rPr>
              <w:t>签字或盖章要求</w:t>
            </w:r>
          </w:p>
        </w:tc>
        <w:tc>
          <w:tcPr>
            <w:tcW w:w="5367" w:type="dxa"/>
            <w:tcBorders>
              <w:top w:val="single" w:color="auto" w:sz="4" w:space="0"/>
              <w:left w:val="single" w:color="auto" w:sz="4" w:space="0"/>
              <w:right w:val="single" w:color="auto" w:sz="4" w:space="0"/>
            </w:tcBorders>
            <w:noWrap w:val="0"/>
            <w:vAlign w:val="center"/>
          </w:tcPr>
          <w:p w14:paraId="6957F788">
            <w:pPr>
              <w:pStyle w:val="7"/>
              <w:pageBreakBefore w:val="0"/>
              <w:widowControl w:val="0"/>
              <w:kinsoku/>
              <w:wordWrap/>
              <w:overflowPunct/>
              <w:topLinePunct/>
              <w:autoSpaceDE/>
              <w:autoSpaceDN/>
              <w:bidi w:val="0"/>
              <w:snapToGrid w:val="0"/>
              <w:spacing w:after="0" w:line="300" w:lineRule="atLeast"/>
              <w:contextualSpacing/>
              <w:jc w:val="left"/>
              <w:textAlignment w:val="auto"/>
              <w:rPr>
                <w:color w:val="auto"/>
                <w:kern w:val="2"/>
                <w:sz w:val="21"/>
                <w:szCs w:val="21"/>
                <w:highlight w:val="none"/>
                <w:lang w:val="en-US" w:eastAsia="zh-CN"/>
              </w:rPr>
            </w:pPr>
            <w:r>
              <w:rPr>
                <w:rFonts w:hint="eastAsia"/>
                <w:color w:val="auto"/>
                <w:kern w:val="2"/>
                <w:sz w:val="21"/>
                <w:szCs w:val="21"/>
                <w:highlight w:val="none"/>
                <w:lang w:val="en-US" w:eastAsia="zh-CN"/>
              </w:rPr>
              <w:t>投标文件格式规定盖单位章的页面必须盖单位章，规定法定代表人或授权委托人、项目负责人和技术负责人签字的页面必须签字。签字必须由本人在规定页面手写签名</w:t>
            </w:r>
            <w:r>
              <w:rPr>
                <w:rFonts w:hint="eastAsia"/>
                <w:color w:val="auto"/>
                <w:sz w:val="21"/>
                <w:szCs w:val="21"/>
                <w:highlight w:val="none"/>
              </w:rPr>
              <w:t>或签章</w:t>
            </w:r>
            <w:r>
              <w:rPr>
                <w:rFonts w:hint="eastAsia"/>
                <w:color w:val="auto"/>
                <w:kern w:val="2"/>
                <w:sz w:val="21"/>
                <w:szCs w:val="21"/>
                <w:highlight w:val="none"/>
                <w:lang w:val="en-US" w:eastAsia="zh-CN"/>
              </w:rPr>
              <w:t>后扫描上传（</w:t>
            </w:r>
            <w:r>
              <w:rPr>
                <w:rFonts w:hint="default" w:ascii="Calibri" w:hAnsi="Calibri" w:eastAsia="宋体" w:cs="Times New Roman"/>
                <w:color w:val="auto"/>
                <w:kern w:val="2"/>
                <w:sz w:val="21"/>
                <w:szCs w:val="24"/>
                <w:highlight w:val="none"/>
                <w:lang w:val="en-US" w:eastAsia="zh-CN" w:bidi="ar-SA"/>
              </w:rPr>
              <w:t>可靠的电子签名与手写签名或者盖章具有同等的法律效力</w:t>
            </w:r>
            <w:r>
              <w:rPr>
                <w:rFonts w:hint="eastAsia"/>
                <w:color w:val="auto"/>
                <w:kern w:val="2"/>
                <w:sz w:val="21"/>
                <w:szCs w:val="21"/>
                <w:highlight w:val="none"/>
                <w:lang w:val="en-US" w:eastAsia="zh-CN"/>
              </w:rPr>
              <w:t>）。</w:t>
            </w:r>
          </w:p>
        </w:tc>
      </w:tr>
      <w:tr w14:paraId="33084726">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52C8A49A">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4.1.1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86DCA7D">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投标文件份数</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047D2243">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投标文件为含电子签章的加密电子投标文件</w:t>
            </w:r>
            <w:r>
              <w:rPr>
                <w:color w:val="auto"/>
                <w:szCs w:val="21"/>
                <w:highlight w:val="none"/>
              </w:rPr>
              <w:t>1</w:t>
            </w:r>
            <w:r>
              <w:rPr>
                <w:rFonts w:hint="eastAsia"/>
                <w:color w:val="auto"/>
                <w:szCs w:val="21"/>
                <w:highlight w:val="none"/>
              </w:rPr>
              <w:t>套。</w:t>
            </w:r>
          </w:p>
        </w:tc>
      </w:tr>
      <w:tr w14:paraId="5D6FCBA8">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07CE057B">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61" w:name="_Toc221950069"/>
            <w:r>
              <w:rPr>
                <w:color w:val="auto"/>
                <w:szCs w:val="21"/>
                <w:highlight w:val="none"/>
              </w:rPr>
              <w:t>4.2.</w:t>
            </w:r>
            <w:bookmarkEnd w:id="161"/>
            <w:r>
              <w:rPr>
                <w:rFonts w:hint="eastAsia"/>
                <w:color w:val="auto"/>
                <w:szCs w:val="21"/>
                <w:highlight w:val="none"/>
              </w:rPr>
              <w:t>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1B4EF7B">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投标文件的递交时间和地点</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1F439F49">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1、递交方式：网上递交投标文件</w:t>
            </w:r>
          </w:p>
          <w:p w14:paraId="7E4AACD3">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2、文件的递交截止时间：____年</w:t>
            </w:r>
            <w:r>
              <w:rPr>
                <w:color w:val="auto"/>
                <w:szCs w:val="21"/>
                <w:highlight w:val="none"/>
              </w:rPr>
              <w:t>__</w:t>
            </w:r>
            <w:r>
              <w:rPr>
                <w:rFonts w:hint="eastAsia"/>
                <w:color w:val="auto"/>
                <w:szCs w:val="21"/>
                <w:highlight w:val="none"/>
              </w:rPr>
              <w:t>月</w:t>
            </w:r>
            <w:r>
              <w:rPr>
                <w:color w:val="auto"/>
                <w:szCs w:val="21"/>
                <w:highlight w:val="none"/>
              </w:rPr>
              <w:t>__</w:t>
            </w:r>
            <w:r>
              <w:rPr>
                <w:rFonts w:hint="eastAsia"/>
                <w:color w:val="auto"/>
                <w:szCs w:val="21"/>
                <w:highlight w:val="none"/>
              </w:rPr>
              <w:t xml:space="preserve">日 </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14:paraId="12D69FAA">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lang w:val="en-US" w:eastAsia="zh-CN"/>
              </w:rPr>
              <w:t>3</w:t>
            </w:r>
            <w:r>
              <w:rPr>
                <w:rFonts w:hint="eastAsia"/>
                <w:color w:val="auto"/>
                <w:szCs w:val="21"/>
                <w:highlight w:val="none"/>
              </w:rPr>
              <w:t>、上述时间是否有改变，请密切留意招标答疑纪要的相关信息。</w:t>
            </w:r>
          </w:p>
        </w:tc>
      </w:tr>
      <w:tr w14:paraId="265550AA">
        <w:tblPrEx>
          <w:tblCellMar>
            <w:top w:w="0" w:type="dxa"/>
            <w:left w:w="108" w:type="dxa"/>
            <w:bottom w:w="0" w:type="dxa"/>
            <w:right w:w="108" w:type="dxa"/>
          </w:tblCellMar>
        </w:tblPrEx>
        <w:tc>
          <w:tcPr>
            <w:tcW w:w="1090" w:type="dxa"/>
            <w:tcBorders>
              <w:top w:val="single" w:color="auto" w:sz="4" w:space="0"/>
              <w:left w:val="single" w:color="auto" w:sz="4" w:space="0"/>
              <w:bottom w:val="single" w:color="auto" w:sz="4" w:space="0"/>
              <w:right w:val="single" w:color="auto" w:sz="4" w:space="0"/>
            </w:tcBorders>
            <w:noWrap w:val="0"/>
            <w:vAlign w:val="center"/>
          </w:tcPr>
          <w:p w14:paraId="6725867C">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4.7</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00E18EA">
            <w:pPr>
              <w:pageBreakBefore w:val="0"/>
              <w:widowControl w:val="0"/>
              <w:kinsoku/>
              <w:wordWrap/>
              <w:overflowPunct/>
              <w:autoSpaceDE/>
              <w:autoSpaceDN/>
              <w:bidi w:val="0"/>
              <w:snapToGrid w:val="0"/>
              <w:spacing w:line="300" w:lineRule="atLeast"/>
              <w:contextualSpacing/>
              <w:jc w:val="left"/>
              <w:textAlignment w:val="auto"/>
              <w:rPr>
                <w:rFonts w:hint="eastAsia"/>
                <w:color w:val="auto"/>
                <w:szCs w:val="21"/>
                <w:highlight w:val="none"/>
              </w:rPr>
            </w:pPr>
            <w:r>
              <w:rPr>
                <w:rFonts w:hint="eastAsia"/>
                <w:color w:val="auto"/>
                <w:szCs w:val="21"/>
                <w:highlight w:val="none"/>
              </w:rPr>
              <w:t>投标文件的解密</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4E4CF6A9">
            <w:pPr>
              <w:pageBreakBefore w:val="0"/>
              <w:widowControl w:val="0"/>
              <w:kinsoku/>
              <w:wordWrap/>
              <w:overflowPunct/>
              <w:autoSpaceDE/>
              <w:autoSpaceDN/>
              <w:bidi w:val="0"/>
              <w:snapToGrid w:val="0"/>
              <w:spacing w:line="300" w:lineRule="atLeast"/>
              <w:contextualSpacing/>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在投标截止时间后半小时内，投标人通过</w:t>
            </w:r>
            <w:r>
              <w:rPr>
                <w:rFonts w:hint="eastAsia" w:ascii="宋体" w:hAnsi="宋体" w:cs="宋体"/>
                <w:color w:val="auto"/>
                <w:sz w:val="21"/>
                <w:szCs w:val="21"/>
                <w:highlight w:val="none"/>
                <w:u w:val="single"/>
                <w:lang w:eastAsia="zh-CN"/>
              </w:rPr>
              <w:t>广州交易集团有限公司（广州公共资源交易中心）</w:t>
            </w:r>
            <w:r>
              <w:rPr>
                <w:rFonts w:hint="eastAsia" w:ascii="宋体" w:hAnsi="宋体" w:cs="宋体"/>
                <w:color w:val="auto"/>
                <w:sz w:val="21"/>
                <w:szCs w:val="21"/>
                <w:highlight w:val="none"/>
                <w:lang w:eastAsia="zh-CN"/>
              </w:rPr>
              <w:t>网站</w:t>
            </w:r>
            <w:r>
              <w:rPr>
                <w:rFonts w:hint="eastAsia" w:ascii="宋体" w:hAnsi="宋体" w:cs="宋体"/>
                <w:color w:val="auto"/>
                <w:sz w:val="21"/>
                <w:szCs w:val="21"/>
                <w:highlight w:val="none"/>
              </w:rPr>
              <w:t>对已递交的电子投标文件进行解密。</w:t>
            </w:r>
          </w:p>
        </w:tc>
      </w:tr>
      <w:tr w14:paraId="5A7F8B5F">
        <w:tblPrEx>
          <w:tblCellMar>
            <w:top w:w="0" w:type="dxa"/>
            <w:left w:w="108" w:type="dxa"/>
            <w:bottom w:w="0" w:type="dxa"/>
            <w:right w:w="108" w:type="dxa"/>
          </w:tblCellMar>
        </w:tblPrEx>
        <w:trPr>
          <w:trHeight w:val="880" w:hRule="atLeast"/>
        </w:trPr>
        <w:tc>
          <w:tcPr>
            <w:tcW w:w="1090" w:type="dxa"/>
            <w:tcBorders>
              <w:top w:val="single" w:color="auto" w:sz="4" w:space="0"/>
              <w:left w:val="single" w:color="auto" w:sz="4" w:space="0"/>
              <w:right w:val="single" w:color="auto" w:sz="4" w:space="0"/>
            </w:tcBorders>
            <w:noWrap w:val="0"/>
            <w:vAlign w:val="center"/>
          </w:tcPr>
          <w:p w14:paraId="2F7B8518">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62" w:name="_Toc221950071"/>
            <w:r>
              <w:rPr>
                <w:color w:val="auto"/>
                <w:szCs w:val="21"/>
                <w:highlight w:val="none"/>
              </w:rPr>
              <w:t>5.1</w:t>
            </w:r>
            <w:bookmarkEnd w:id="162"/>
          </w:p>
        </w:tc>
        <w:tc>
          <w:tcPr>
            <w:tcW w:w="2400" w:type="dxa"/>
            <w:tcBorders>
              <w:top w:val="single" w:color="auto" w:sz="4" w:space="0"/>
              <w:left w:val="single" w:color="auto" w:sz="4" w:space="0"/>
              <w:right w:val="single" w:color="auto" w:sz="4" w:space="0"/>
            </w:tcBorders>
            <w:noWrap w:val="0"/>
            <w:vAlign w:val="center"/>
          </w:tcPr>
          <w:p w14:paraId="6A43D4B5">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63" w:name="_Toc221950072"/>
            <w:r>
              <w:rPr>
                <w:rFonts w:hint="eastAsia"/>
                <w:color w:val="auto"/>
                <w:szCs w:val="21"/>
                <w:highlight w:val="none"/>
              </w:rPr>
              <w:t>开标时间和地点</w:t>
            </w:r>
            <w:bookmarkEnd w:id="163"/>
          </w:p>
        </w:tc>
        <w:tc>
          <w:tcPr>
            <w:tcW w:w="5367" w:type="dxa"/>
            <w:tcBorders>
              <w:top w:val="single" w:color="auto" w:sz="4" w:space="0"/>
              <w:left w:val="single" w:color="auto" w:sz="4" w:space="0"/>
              <w:right w:val="single" w:color="auto" w:sz="4" w:space="0"/>
            </w:tcBorders>
            <w:noWrap w:val="0"/>
            <w:vAlign w:val="center"/>
          </w:tcPr>
          <w:p w14:paraId="04776A07">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1、开标开始时间：____年__月</w:t>
            </w:r>
            <w:r>
              <w:rPr>
                <w:color w:val="auto"/>
                <w:szCs w:val="21"/>
                <w:highlight w:val="none"/>
              </w:rPr>
              <w:t>__</w:t>
            </w:r>
            <w:r>
              <w:rPr>
                <w:rFonts w:hint="eastAsia"/>
                <w:color w:val="auto"/>
                <w:szCs w:val="21"/>
                <w:highlight w:val="none"/>
              </w:rPr>
              <w:t xml:space="preserve">日 </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14:paraId="71488313">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rPr>
            </w:pPr>
            <w:r>
              <w:rPr>
                <w:rFonts w:hint="eastAsia"/>
                <w:color w:val="auto"/>
                <w:szCs w:val="21"/>
                <w:highlight w:val="none"/>
              </w:rPr>
              <w:t>2、地点：</w:t>
            </w:r>
            <w:r>
              <w:rPr>
                <w:rFonts w:hint="eastAsia"/>
                <w:color w:val="auto"/>
                <w:szCs w:val="21"/>
                <w:highlight w:val="none"/>
                <w:lang w:eastAsia="zh-CN"/>
              </w:rPr>
              <w:t>广州交易集团有限公司（广州公共资源交易中心）</w:t>
            </w:r>
            <w:r>
              <w:rPr>
                <w:rFonts w:hint="eastAsia"/>
                <w:color w:val="auto"/>
                <w:szCs w:val="21"/>
                <w:highlight w:val="none"/>
              </w:rPr>
              <w:t>开标室。</w:t>
            </w:r>
          </w:p>
          <w:p w14:paraId="390B0D7A">
            <w:pPr>
              <w:pageBreakBefore w:val="0"/>
              <w:widowControl w:val="0"/>
              <w:kinsoku/>
              <w:wordWrap/>
              <w:overflowPunct/>
              <w:autoSpaceDE/>
              <w:autoSpaceDN/>
              <w:bidi w:val="0"/>
              <w:snapToGrid w:val="0"/>
              <w:spacing w:line="300" w:lineRule="atLeast"/>
              <w:contextualSpacing/>
              <w:textAlignment w:val="auto"/>
              <w:rPr>
                <w:color w:val="auto"/>
                <w:highlight w:val="none"/>
              </w:rPr>
            </w:pPr>
            <w:r>
              <w:rPr>
                <w:rFonts w:hint="eastAsia" w:ascii="Calibri" w:hAnsi="Calibri" w:eastAsia="宋体" w:cs="Times New Roman"/>
                <w:bCs w:val="0"/>
                <w:color w:val="auto"/>
                <w:kern w:val="2"/>
                <w:sz w:val="21"/>
                <w:szCs w:val="21"/>
                <w:highlight w:val="none"/>
              </w:rPr>
              <w:t>开标时，投标人代表有权参加现场开标或</w:t>
            </w:r>
            <w:r>
              <w:rPr>
                <w:rFonts w:hint="eastAsia" w:ascii="Calibri" w:hAnsi="Calibri" w:eastAsia="宋体" w:cs="Times New Roman"/>
                <w:b w:val="0"/>
                <w:bCs w:val="0"/>
                <w:color w:val="auto"/>
                <w:kern w:val="2"/>
                <w:sz w:val="21"/>
                <w:szCs w:val="21"/>
                <w:highlight w:val="none"/>
              </w:rPr>
              <w:t>在线开标</w:t>
            </w:r>
            <w:r>
              <w:rPr>
                <w:rFonts w:hint="eastAsia" w:ascii="Calibri" w:hAnsi="Calibri" w:eastAsia="宋体" w:cs="Times New Roman"/>
                <w:bCs w:val="0"/>
                <w:color w:val="auto"/>
                <w:kern w:val="2"/>
                <w:sz w:val="21"/>
                <w:szCs w:val="21"/>
                <w:highlight w:val="none"/>
              </w:rPr>
              <w:t>，也可以自主决定不参加开标</w:t>
            </w:r>
            <w:r>
              <w:rPr>
                <w:rFonts w:hint="eastAsia" w:eastAsia="宋体" w:cs="Times New Roman"/>
                <w:bCs w:val="0"/>
                <w:color w:val="auto"/>
                <w:kern w:val="2"/>
                <w:sz w:val="21"/>
                <w:szCs w:val="21"/>
                <w:highlight w:val="none"/>
                <w:lang w:eastAsia="zh-CN"/>
              </w:rPr>
              <w:t>，</w:t>
            </w:r>
            <w:r>
              <w:rPr>
                <w:rFonts w:hint="eastAsia" w:eastAsia="宋体" w:cs="Times New Roman"/>
                <w:color w:val="auto"/>
                <w:sz w:val="21"/>
                <w:szCs w:val="21"/>
                <w:highlight w:val="none"/>
                <w:lang w:eastAsia="zh-CN"/>
              </w:rPr>
              <w:t>投标人选择参加在线开标的，具</w:t>
            </w:r>
            <w:r>
              <w:rPr>
                <w:rFonts w:hint="eastAsia"/>
                <w:color w:val="auto"/>
                <w:sz w:val="21"/>
                <w:szCs w:val="21"/>
                <w:highlight w:val="none"/>
                <w:lang w:eastAsia="zh-CN"/>
              </w:rPr>
              <w:t>体按照交易平台相关指南进行操作。</w:t>
            </w:r>
          </w:p>
          <w:p w14:paraId="19164240">
            <w:pPr>
              <w:pageBreakBefore w:val="0"/>
              <w:widowControl w:val="0"/>
              <w:kinsoku/>
              <w:wordWrap/>
              <w:overflowPunct/>
              <w:autoSpaceDE/>
              <w:autoSpaceDN/>
              <w:bidi w:val="0"/>
              <w:snapToGrid w:val="0"/>
              <w:spacing w:line="300" w:lineRule="atLeast"/>
              <w:contextualSpacing/>
              <w:textAlignment w:val="auto"/>
              <w:rPr>
                <w:color w:val="auto"/>
                <w:szCs w:val="21"/>
                <w:highlight w:val="none"/>
              </w:rPr>
            </w:pPr>
            <w:r>
              <w:rPr>
                <w:rFonts w:hint="eastAsia"/>
                <w:color w:val="auto"/>
                <w:szCs w:val="21"/>
                <w:highlight w:val="none"/>
              </w:rPr>
              <w:t>3、上述时间及地点是否有改变，请密切留意</w:t>
            </w:r>
            <w:r>
              <w:rPr>
                <w:rFonts w:hint="eastAsia"/>
                <w:color w:val="auto"/>
                <w:szCs w:val="21"/>
                <w:highlight w:val="none"/>
                <w:lang w:eastAsia="zh-CN"/>
              </w:rPr>
              <w:t>补充公告或</w:t>
            </w:r>
            <w:r>
              <w:rPr>
                <w:rFonts w:hint="eastAsia"/>
                <w:color w:val="auto"/>
                <w:szCs w:val="21"/>
                <w:highlight w:val="none"/>
              </w:rPr>
              <w:t>招标答疑纪要的相关信息。</w:t>
            </w:r>
          </w:p>
        </w:tc>
      </w:tr>
      <w:tr w14:paraId="720E1EB4">
        <w:tblPrEx>
          <w:tblCellMar>
            <w:top w:w="0" w:type="dxa"/>
            <w:left w:w="108" w:type="dxa"/>
            <w:bottom w:w="0" w:type="dxa"/>
            <w:right w:w="108" w:type="dxa"/>
          </w:tblCellMar>
        </w:tblPrEx>
        <w:trPr>
          <w:trHeight w:val="634" w:hRule="atLeast"/>
        </w:trPr>
        <w:tc>
          <w:tcPr>
            <w:tcW w:w="1090" w:type="dxa"/>
            <w:tcBorders>
              <w:top w:val="single" w:color="auto" w:sz="4" w:space="0"/>
              <w:left w:val="single" w:color="auto" w:sz="4" w:space="0"/>
              <w:right w:val="single" w:color="auto" w:sz="4" w:space="0"/>
            </w:tcBorders>
            <w:noWrap w:val="0"/>
            <w:vAlign w:val="center"/>
          </w:tcPr>
          <w:p w14:paraId="55FB6C5E">
            <w:pPr>
              <w:pageBreakBefore w:val="0"/>
              <w:widowControl w:val="0"/>
              <w:kinsoku/>
              <w:wordWrap/>
              <w:overflowPunct/>
              <w:autoSpaceDE/>
              <w:autoSpaceDN/>
              <w:bidi w:val="0"/>
              <w:snapToGrid w:val="0"/>
              <w:spacing w:line="300" w:lineRule="atLeast"/>
              <w:contextualSpacing/>
              <w:jc w:val="center"/>
              <w:textAlignment w:val="auto"/>
              <w:rPr>
                <w:rFonts w:hint="default"/>
                <w:color w:val="auto"/>
                <w:szCs w:val="21"/>
                <w:highlight w:val="none"/>
                <w:lang w:val="en-US"/>
              </w:rPr>
            </w:pPr>
            <w:r>
              <w:rPr>
                <w:rFonts w:hint="eastAsia"/>
                <w:color w:val="auto"/>
                <w:szCs w:val="21"/>
                <w:highlight w:val="none"/>
                <w:lang w:val="en-US" w:eastAsia="zh-CN"/>
              </w:rPr>
              <w:t>6.3</w:t>
            </w:r>
          </w:p>
        </w:tc>
        <w:tc>
          <w:tcPr>
            <w:tcW w:w="2400" w:type="dxa"/>
            <w:tcBorders>
              <w:top w:val="single" w:color="auto" w:sz="4" w:space="0"/>
              <w:left w:val="single" w:color="auto" w:sz="4" w:space="0"/>
              <w:right w:val="single" w:color="auto" w:sz="4" w:space="0"/>
            </w:tcBorders>
            <w:noWrap w:val="0"/>
            <w:vAlign w:val="center"/>
          </w:tcPr>
          <w:p w14:paraId="68BBBDD1">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开标评标办法</w:t>
            </w:r>
          </w:p>
        </w:tc>
        <w:tc>
          <w:tcPr>
            <w:tcW w:w="5367" w:type="dxa"/>
            <w:tcBorders>
              <w:top w:val="single" w:color="auto" w:sz="4" w:space="0"/>
              <w:left w:val="single" w:color="auto" w:sz="4" w:space="0"/>
              <w:right w:val="single" w:color="auto" w:sz="4" w:space="0"/>
            </w:tcBorders>
            <w:noWrap w:val="0"/>
            <w:vAlign w:val="center"/>
          </w:tcPr>
          <w:p w14:paraId="0C3E516D">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rPr>
            </w:pPr>
            <w:r>
              <w:rPr>
                <w:rFonts w:hint="eastAsia" w:ascii="宋体" w:hAnsi="宋体"/>
                <w:color w:val="auto"/>
                <w:szCs w:val="21"/>
                <w:highlight w:val="none"/>
                <w:lang w:eastAsia="zh-CN"/>
              </w:rPr>
              <w:t>☑</w:t>
            </w:r>
            <w:r>
              <w:rPr>
                <w:rFonts w:hint="eastAsia"/>
                <w:color w:val="auto"/>
                <w:szCs w:val="21"/>
                <w:highlight w:val="none"/>
              </w:rPr>
              <w:t>综合评估法一</w:t>
            </w:r>
          </w:p>
          <w:p w14:paraId="247CFB06">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rPr>
            </w:pPr>
            <w:r>
              <w:rPr>
                <w:rFonts w:hint="eastAsia" w:ascii="宋体" w:hAnsi="宋体"/>
                <w:color w:val="auto"/>
                <w:szCs w:val="21"/>
                <w:highlight w:val="none"/>
                <w:lang w:eastAsia="zh-CN"/>
              </w:rPr>
              <w:t>□</w:t>
            </w:r>
            <w:r>
              <w:rPr>
                <w:rFonts w:hint="eastAsia"/>
                <w:color w:val="auto"/>
                <w:szCs w:val="21"/>
                <w:highlight w:val="none"/>
              </w:rPr>
              <w:t>综合评估法二（以前叫：平均值法（一））</w:t>
            </w:r>
          </w:p>
          <w:p w14:paraId="49BBFDF9">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rPr>
            </w:pPr>
            <w:r>
              <w:rPr>
                <w:rFonts w:hint="eastAsia" w:ascii="宋体" w:hAnsi="宋体"/>
                <w:color w:val="auto"/>
                <w:szCs w:val="21"/>
                <w:highlight w:val="none"/>
                <w:lang w:eastAsia="zh-CN"/>
              </w:rPr>
              <w:t>□</w:t>
            </w:r>
            <w:r>
              <w:rPr>
                <w:rFonts w:hint="eastAsia"/>
                <w:color w:val="auto"/>
                <w:szCs w:val="21"/>
                <w:highlight w:val="none"/>
              </w:rPr>
              <w:t>综合评估法三（以前叫：平均值法（二））</w:t>
            </w:r>
          </w:p>
          <w:p w14:paraId="64BCC50A">
            <w:pPr>
              <w:pageBreakBefore w:val="0"/>
              <w:widowControl w:val="0"/>
              <w:kinsoku/>
              <w:wordWrap/>
              <w:overflowPunct/>
              <w:autoSpaceDE/>
              <w:autoSpaceDN/>
              <w:bidi w:val="0"/>
              <w:snapToGrid w:val="0"/>
              <w:spacing w:line="300" w:lineRule="atLeast"/>
              <w:contextualSpacing/>
              <w:textAlignment w:val="auto"/>
              <w:rPr>
                <w:rFonts w:hint="eastAsia" w:ascii="宋体" w:hAnsi="宋体"/>
                <w:color w:val="auto"/>
                <w:szCs w:val="21"/>
                <w:highlight w:val="none"/>
              </w:rPr>
            </w:pPr>
            <w:r>
              <w:rPr>
                <w:rFonts w:hint="eastAsia" w:ascii="宋体" w:hAnsi="宋体"/>
                <w:color w:val="auto"/>
                <w:szCs w:val="21"/>
                <w:highlight w:val="none"/>
              </w:rPr>
              <w:t>□经评审的最低投标价法</w:t>
            </w:r>
          </w:p>
          <w:p w14:paraId="3F630DD8">
            <w:pPr>
              <w:pageBreakBefore w:val="0"/>
              <w:widowControl w:val="0"/>
              <w:kinsoku/>
              <w:wordWrap/>
              <w:overflowPunct/>
              <w:autoSpaceDE/>
              <w:autoSpaceDN/>
              <w:bidi w:val="0"/>
              <w:snapToGrid w:val="0"/>
              <w:spacing w:line="300" w:lineRule="atLeast"/>
              <w:contextualSpacing/>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□经评审的最低投标价法（二）</w:t>
            </w:r>
            <w:r>
              <w:rPr>
                <w:rFonts w:hint="eastAsia"/>
                <w:color w:val="auto"/>
                <w:szCs w:val="21"/>
                <w:highlight w:val="none"/>
                <w:lang w:eastAsia="zh-CN"/>
              </w:rPr>
              <w:t>（由招标人自行制定）</w:t>
            </w:r>
          </w:p>
          <w:p w14:paraId="667ADBBA">
            <w:pPr>
              <w:pageBreakBefore w:val="0"/>
              <w:widowControl w:val="0"/>
              <w:kinsoku/>
              <w:wordWrap/>
              <w:overflowPunct/>
              <w:autoSpaceDE/>
              <w:autoSpaceDN/>
              <w:bidi w:val="0"/>
              <w:snapToGrid w:val="0"/>
              <w:spacing w:line="300" w:lineRule="atLeast"/>
              <w:contextualSpacing/>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color w:val="auto"/>
                <w:szCs w:val="21"/>
                <w:highlight w:val="none"/>
                <w:lang w:eastAsia="zh-CN"/>
              </w:rPr>
              <w:t>两阶段评标法（由招标人自行制定）</w:t>
            </w:r>
          </w:p>
        </w:tc>
      </w:tr>
      <w:tr w14:paraId="63A4E2AA">
        <w:tblPrEx>
          <w:tblCellMar>
            <w:top w:w="0" w:type="dxa"/>
            <w:left w:w="108" w:type="dxa"/>
            <w:bottom w:w="0" w:type="dxa"/>
            <w:right w:w="108" w:type="dxa"/>
          </w:tblCellMar>
        </w:tblPrEx>
        <w:trPr>
          <w:trHeight w:val="505" w:hRule="atLeast"/>
        </w:trPr>
        <w:tc>
          <w:tcPr>
            <w:tcW w:w="1090" w:type="dxa"/>
            <w:tcBorders>
              <w:top w:val="single" w:color="auto" w:sz="4" w:space="0"/>
              <w:left w:val="single" w:color="auto" w:sz="4" w:space="0"/>
              <w:right w:val="single" w:color="auto" w:sz="4" w:space="0"/>
            </w:tcBorders>
            <w:noWrap w:val="0"/>
            <w:vAlign w:val="center"/>
          </w:tcPr>
          <w:p w14:paraId="752ABAE7">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64" w:name="_Toc221950075"/>
            <w:r>
              <w:rPr>
                <w:color w:val="auto"/>
                <w:szCs w:val="21"/>
                <w:highlight w:val="none"/>
              </w:rPr>
              <w:t>6.1.1</w:t>
            </w:r>
            <w:bookmarkEnd w:id="164"/>
          </w:p>
        </w:tc>
        <w:tc>
          <w:tcPr>
            <w:tcW w:w="2400" w:type="dxa"/>
            <w:tcBorders>
              <w:top w:val="single" w:color="auto" w:sz="4" w:space="0"/>
              <w:left w:val="single" w:color="auto" w:sz="4" w:space="0"/>
              <w:right w:val="single" w:color="auto" w:sz="4" w:space="0"/>
            </w:tcBorders>
            <w:noWrap w:val="0"/>
            <w:vAlign w:val="center"/>
          </w:tcPr>
          <w:p w14:paraId="6BD58AF0">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65" w:name="_Toc221950076"/>
            <w:r>
              <w:rPr>
                <w:rFonts w:hint="eastAsia"/>
                <w:color w:val="auto"/>
                <w:szCs w:val="21"/>
                <w:highlight w:val="none"/>
              </w:rPr>
              <w:t>评标委员会的组建</w:t>
            </w:r>
            <w:bookmarkEnd w:id="165"/>
          </w:p>
        </w:tc>
        <w:tc>
          <w:tcPr>
            <w:tcW w:w="5367" w:type="dxa"/>
            <w:tcBorders>
              <w:top w:val="single" w:color="auto" w:sz="4" w:space="0"/>
              <w:left w:val="single" w:color="auto" w:sz="4" w:space="0"/>
              <w:right w:val="single" w:color="auto" w:sz="4" w:space="0"/>
            </w:tcBorders>
            <w:noWrap w:val="0"/>
            <w:vAlign w:val="center"/>
          </w:tcPr>
          <w:p w14:paraId="715EA864">
            <w:pPr>
              <w:pageBreakBefore w:val="0"/>
              <w:widowControl w:val="0"/>
              <w:kinsoku/>
              <w:wordWrap/>
              <w:overflowPunct/>
              <w:autoSpaceDE/>
              <w:autoSpaceDN/>
              <w:bidi w:val="0"/>
              <w:adjustRightInd w:val="0"/>
              <w:snapToGrid w:val="0"/>
              <w:spacing w:line="300" w:lineRule="atLeast"/>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评标委员会构成：由招标人依法组建；</w:t>
            </w:r>
          </w:p>
          <w:p w14:paraId="0C35CFBF">
            <w:pPr>
              <w:pageBreakBefore w:val="0"/>
              <w:widowControl w:val="0"/>
              <w:kinsoku/>
              <w:wordWrap/>
              <w:overflowPunct/>
              <w:autoSpaceDE/>
              <w:autoSpaceDN/>
              <w:bidi w:val="0"/>
              <w:snapToGrid w:val="0"/>
              <w:spacing w:line="300" w:lineRule="atLeast"/>
              <w:textAlignment w:val="auto"/>
              <w:rPr>
                <w:rFonts w:hint="default" w:eastAsia="宋体"/>
                <w:color w:val="auto"/>
                <w:szCs w:val="21"/>
                <w:highlight w:val="none"/>
                <w:lang w:val="en-US" w:eastAsia="zh-CN"/>
              </w:rPr>
            </w:pPr>
            <w:r>
              <w:rPr>
                <w:rFonts w:hint="eastAsia" w:ascii="宋体" w:hAnsi="宋体" w:eastAsia="宋体" w:cs="宋体"/>
                <w:color w:val="auto"/>
                <w:szCs w:val="21"/>
                <w:highlight w:val="none"/>
              </w:rPr>
              <w:t>评标专家确定方式：除招标人代表外，其余专家均从在广东省综合评标评审专家库中随机抽取</w:t>
            </w:r>
            <w:r>
              <w:rPr>
                <w:rFonts w:hint="eastAsia" w:ascii="宋体" w:hAnsi="宋体" w:eastAsia="宋体" w:cs="宋体"/>
                <w:color w:val="auto"/>
                <w:szCs w:val="21"/>
                <w:highlight w:val="none"/>
                <w:lang w:eastAsia="zh-CN"/>
              </w:rPr>
              <w:t>。</w:t>
            </w:r>
          </w:p>
        </w:tc>
      </w:tr>
      <w:tr w14:paraId="2A017719">
        <w:tblPrEx>
          <w:tblCellMar>
            <w:top w:w="0" w:type="dxa"/>
            <w:left w:w="108" w:type="dxa"/>
            <w:bottom w:w="0" w:type="dxa"/>
            <w:right w:w="108" w:type="dxa"/>
          </w:tblCellMar>
        </w:tblPrEx>
        <w:trPr>
          <w:trHeight w:val="90" w:hRule="atLeast"/>
        </w:trPr>
        <w:tc>
          <w:tcPr>
            <w:tcW w:w="1090" w:type="dxa"/>
            <w:tcBorders>
              <w:top w:val="single" w:color="auto" w:sz="4" w:space="0"/>
              <w:left w:val="single" w:color="auto" w:sz="4" w:space="0"/>
              <w:right w:val="single" w:color="auto" w:sz="4" w:space="0"/>
            </w:tcBorders>
            <w:noWrap w:val="0"/>
            <w:vAlign w:val="center"/>
          </w:tcPr>
          <w:p w14:paraId="5D0BF506">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r>
              <w:rPr>
                <w:rFonts w:hint="eastAsia"/>
                <w:color w:val="auto"/>
                <w:szCs w:val="21"/>
                <w:highlight w:val="none"/>
              </w:rPr>
              <w:t>7.2.1</w:t>
            </w:r>
          </w:p>
        </w:tc>
        <w:tc>
          <w:tcPr>
            <w:tcW w:w="2400" w:type="dxa"/>
            <w:tcBorders>
              <w:top w:val="single" w:color="auto" w:sz="4" w:space="0"/>
              <w:left w:val="single" w:color="auto" w:sz="4" w:space="0"/>
              <w:right w:val="single" w:color="auto" w:sz="4" w:space="0"/>
            </w:tcBorders>
            <w:noWrap w:val="0"/>
            <w:vAlign w:val="center"/>
          </w:tcPr>
          <w:p w14:paraId="6B557F25">
            <w:pPr>
              <w:pageBreakBefore w:val="0"/>
              <w:widowControl w:val="0"/>
              <w:kinsoku/>
              <w:wordWrap/>
              <w:overflowPunct/>
              <w:autoSpaceDE/>
              <w:autoSpaceDN/>
              <w:bidi w:val="0"/>
              <w:snapToGrid w:val="0"/>
              <w:spacing w:line="300" w:lineRule="atLeast"/>
              <w:contextualSpacing/>
              <w:jc w:val="left"/>
              <w:textAlignment w:val="auto"/>
              <w:rPr>
                <w:rFonts w:hint="eastAsia"/>
                <w:color w:val="auto"/>
                <w:szCs w:val="21"/>
                <w:highlight w:val="none"/>
              </w:rPr>
            </w:pPr>
            <w:r>
              <w:rPr>
                <w:rFonts w:hint="eastAsia"/>
                <w:color w:val="auto"/>
                <w:szCs w:val="21"/>
                <w:highlight w:val="none"/>
              </w:rPr>
              <w:t>中标候选人公示媒介</w:t>
            </w:r>
          </w:p>
        </w:tc>
        <w:tc>
          <w:tcPr>
            <w:tcW w:w="5367" w:type="dxa"/>
            <w:tcBorders>
              <w:top w:val="single" w:color="auto" w:sz="4" w:space="0"/>
              <w:left w:val="single" w:color="auto" w:sz="4" w:space="0"/>
              <w:right w:val="single" w:color="auto" w:sz="4" w:space="0"/>
            </w:tcBorders>
            <w:noWrap w:val="0"/>
            <w:vAlign w:val="center"/>
          </w:tcPr>
          <w:p w14:paraId="0790FEA6">
            <w:pPr>
              <w:pageBreakBefore w:val="0"/>
              <w:widowControl w:val="0"/>
              <w:kinsoku/>
              <w:wordWrap/>
              <w:overflowPunct/>
              <w:autoSpaceDE/>
              <w:autoSpaceDN/>
              <w:bidi w:val="0"/>
              <w:snapToGrid w:val="0"/>
              <w:spacing w:line="300" w:lineRule="atLeast"/>
              <w:contextualSpacing/>
              <w:textAlignment w:val="auto"/>
              <w:rPr>
                <w:rFonts w:hint="eastAsia" w:eastAsia="宋体"/>
                <w:color w:val="auto"/>
                <w:szCs w:val="21"/>
                <w:highlight w:val="none"/>
                <w:lang w:eastAsia="zh-CN"/>
              </w:rPr>
            </w:pPr>
            <w:r>
              <w:rPr>
                <w:rFonts w:hint="eastAsia" w:ascii="宋体" w:hAnsi="宋体"/>
                <w:color w:val="auto"/>
                <w:szCs w:val="21"/>
                <w:highlight w:val="none"/>
                <w:shd w:val="clear" w:color="auto" w:fill="FFFFFF"/>
              </w:rPr>
              <w:t>广东省招标投标监管网、</w:t>
            </w:r>
            <w:r>
              <w:rPr>
                <w:rFonts w:hint="eastAsia" w:ascii="宋体" w:hAnsi="宋体"/>
                <w:color w:val="auto"/>
                <w:szCs w:val="21"/>
                <w:highlight w:val="none"/>
                <w:shd w:val="clear" w:color="auto" w:fill="FFFFFF"/>
                <w:lang w:eastAsia="zh-CN"/>
              </w:rPr>
              <w:t>广州交易集团有限公司（广州公共资源交易中心）</w:t>
            </w:r>
            <w:r>
              <w:rPr>
                <w:rFonts w:hint="eastAsia" w:ascii="宋体" w:hAnsi="宋体"/>
                <w:color w:val="auto"/>
                <w:szCs w:val="21"/>
                <w:highlight w:val="none"/>
                <w:shd w:val="clear" w:color="auto" w:fill="FFFFFF"/>
              </w:rPr>
              <w:t>网站</w:t>
            </w:r>
            <w:r>
              <w:rPr>
                <w:rFonts w:hint="eastAsia" w:ascii="宋体" w:hAnsi="宋体"/>
                <w:color w:val="auto"/>
                <w:szCs w:val="21"/>
                <w:highlight w:val="none"/>
                <w:shd w:val="clear" w:color="auto" w:fill="FFFFFF"/>
                <w:lang w:eastAsia="zh-CN"/>
              </w:rPr>
              <w:t>、</w:t>
            </w:r>
            <w:r>
              <w:rPr>
                <w:rFonts w:hint="eastAsia" w:ascii="宋体" w:hAnsi="宋体"/>
                <w:color w:val="auto"/>
                <w:szCs w:val="21"/>
                <w:highlight w:val="none"/>
                <w:shd w:val="clear" w:color="auto" w:fill="FFFFFF"/>
              </w:rPr>
              <w:t>中国招标投标公共服务平台</w:t>
            </w:r>
          </w:p>
        </w:tc>
      </w:tr>
      <w:tr w14:paraId="3AD2D9D5">
        <w:tblPrEx>
          <w:tblCellMar>
            <w:top w:w="0" w:type="dxa"/>
            <w:left w:w="108" w:type="dxa"/>
            <w:bottom w:w="0" w:type="dxa"/>
            <w:right w:w="108" w:type="dxa"/>
          </w:tblCellMar>
        </w:tblPrEx>
        <w:trPr>
          <w:trHeight w:val="417"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31D9A7E6">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bookmarkStart w:id="166" w:name="_Toc221950079"/>
            <w:r>
              <w:rPr>
                <w:color w:val="auto"/>
                <w:szCs w:val="21"/>
                <w:highlight w:val="none"/>
              </w:rPr>
              <w:t>7.</w:t>
            </w:r>
            <w:r>
              <w:rPr>
                <w:rFonts w:hint="eastAsia"/>
                <w:color w:val="auto"/>
                <w:szCs w:val="21"/>
                <w:highlight w:val="none"/>
              </w:rPr>
              <w:t>4</w:t>
            </w:r>
            <w:r>
              <w:rPr>
                <w:color w:val="auto"/>
                <w:szCs w:val="21"/>
                <w:highlight w:val="none"/>
              </w:rPr>
              <w:t>.1</w:t>
            </w:r>
            <w:bookmarkEnd w:id="166"/>
          </w:p>
        </w:tc>
        <w:tc>
          <w:tcPr>
            <w:tcW w:w="2400" w:type="dxa"/>
            <w:tcBorders>
              <w:top w:val="single" w:color="auto" w:sz="4" w:space="0"/>
              <w:left w:val="single" w:color="auto" w:sz="4" w:space="0"/>
              <w:bottom w:val="single" w:color="auto" w:sz="4" w:space="0"/>
              <w:right w:val="single" w:color="auto" w:sz="4" w:space="0"/>
            </w:tcBorders>
            <w:noWrap w:val="0"/>
            <w:vAlign w:val="center"/>
          </w:tcPr>
          <w:p w14:paraId="1FD8732E">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bookmarkStart w:id="167" w:name="_Toc221950080"/>
            <w:r>
              <w:rPr>
                <w:color w:val="auto"/>
                <w:szCs w:val="21"/>
                <w:highlight w:val="none"/>
              </w:rPr>
              <w:t>履约担保</w:t>
            </w:r>
            <w:bookmarkEnd w:id="167"/>
          </w:p>
        </w:tc>
        <w:tc>
          <w:tcPr>
            <w:tcW w:w="5367" w:type="dxa"/>
            <w:tcBorders>
              <w:top w:val="single" w:color="auto" w:sz="4" w:space="0"/>
              <w:left w:val="single" w:color="auto" w:sz="4" w:space="0"/>
              <w:bottom w:val="single" w:color="auto" w:sz="4" w:space="0"/>
              <w:right w:val="single" w:color="auto" w:sz="4" w:space="0"/>
            </w:tcBorders>
            <w:noWrap w:val="0"/>
            <w:vAlign w:val="center"/>
          </w:tcPr>
          <w:p w14:paraId="07469C6F">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lang w:eastAsia="zh-CN"/>
              </w:rPr>
            </w:pPr>
            <w:r>
              <w:rPr>
                <w:rFonts w:hint="eastAsia"/>
                <w:color w:val="auto"/>
                <w:szCs w:val="21"/>
                <w:highlight w:val="none"/>
              </w:rPr>
              <w:t>履约保证金为中标价款的10%。</w:t>
            </w:r>
          </w:p>
          <w:p w14:paraId="510F43F7">
            <w:pPr>
              <w:pageBreakBefore w:val="0"/>
              <w:widowControl w:val="0"/>
              <w:kinsoku/>
              <w:wordWrap/>
              <w:overflowPunct/>
              <w:autoSpaceDE/>
              <w:autoSpaceDN/>
              <w:bidi w:val="0"/>
              <w:snapToGrid w:val="0"/>
              <w:spacing w:line="300" w:lineRule="atLeast"/>
              <w:contextualSpacing/>
              <w:textAlignment w:val="auto"/>
              <w:rPr>
                <w:rFonts w:hint="default" w:ascii="Calibri" w:hAnsi="Calibri" w:eastAsia="宋体" w:cs="Times New Roman"/>
                <w:b w:val="0"/>
                <w:bCs w:val="0"/>
                <w:color w:val="auto"/>
                <w:kern w:val="2"/>
                <w:sz w:val="21"/>
                <w:szCs w:val="24"/>
                <w:highlight w:val="none"/>
                <w:lang w:val="en-US" w:eastAsia="zh-CN" w:bidi="ar-SA"/>
              </w:rPr>
            </w:pPr>
            <w:r>
              <w:rPr>
                <w:rFonts w:hint="default" w:ascii="Calibri" w:hAnsi="Calibri" w:eastAsia="宋体" w:cs="Times New Roman"/>
                <w:b w:val="0"/>
                <w:bCs w:val="0"/>
                <w:color w:val="auto"/>
                <w:kern w:val="2"/>
                <w:sz w:val="21"/>
                <w:szCs w:val="24"/>
                <w:highlight w:val="none"/>
                <w:lang w:val="en-US" w:eastAsia="zh-CN" w:bidi="ar-SA"/>
              </w:rPr>
              <w:t>履约保证金的形式：</w:t>
            </w:r>
          </w:p>
          <w:p w14:paraId="6037E2B9">
            <w:pPr>
              <w:pageBreakBefore w:val="0"/>
              <w:widowControl w:val="0"/>
              <w:kinsoku/>
              <w:wordWrap/>
              <w:overflowPunct/>
              <w:autoSpaceDE/>
              <w:autoSpaceDN/>
              <w:bidi w:val="0"/>
              <w:snapToGrid w:val="0"/>
              <w:spacing w:line="300" w:lineRule="atLeast"/>
              <w:contextualSpacing/>
              <w:textAlignment w:val="auto"/>
              <w:rPr>
                <w:rFonts w:hint="default" w:ascii="Calibri" w:hAnsi="Calibri" w:eastAsia="宋体" w:cs="Times New Roman"/>
                <w:color w:val="auto"/>
                <w:szCs w:val="24"/>
                <w:highlight w:val="none"/>
              </w:rPr>
            </w:pPr>
            <w:r>
              <w:rPr>
                <w:rFonts w:hint="default" w:ascii="Calibri" w:hAnsi="Calibri" w:eastAsia="宋体" w:cs="Times New Roman"/>
                <w:color w:val="auto"/>
                <w:szCs w:val="24"/>
                <w:highlight w:val="none"/>
              </w:rPr>
              <w:t>1.提供银行保函</w:t>
            </w:r>
          </w:p>
          <w:p w14:paraId="131A9CBB">
            <w:pPr>
              <w:pageBreakBefore w:val="0"/>
              <w:widowControl w:val="0"/>
              <w:kinsoku/>
              <w:wordWrap/>
              <w:overflowPunct/>
              <w:autoSpaceDE/>
              <w:autoSpaceDN/>
              <w:bidi w:val="0"/>
              <w:snapToGrid w:val="0"/>
              <w:spacing w:line="300" w:lineRule="atLeast"/>
              <w:contextualSpacing/>
              <w:textAlignment w:val="auto"/>
              <w:rPr>
                <w:rFonts w:hint="default" w:ascii="Calibri" w:hAnsi="Calibri" w:eastAsia="宋体" w:cs="Times New Roman"/>
                <w:color w:val="auto"/>
                <w:szCs w:val="24"/>
                <w:highlight w:val="none"/>
              </w:rPr>
            </w:pPr>
            <w:r>
              <w:rPr>
                <w:rFonts w:hint="default" w:ascii="Calibri" w:hAnsi="Calibri" w:eastAsia="宋体" w:cs="Times New Roman"/>
                <w:color w:val="auto"/>
                <w:szCs w:val="24"/>
                <w:highlight w:val="none"/>
              </w:rPr>
              <w:t>2.提供担保保函</w:t>
            </w:r>
          </w:p>
          <w:p w14:paraId="70491B8A">
            <w:pPr>
              <w:pageBreakBefore w:val="0"/>
              <w:widowControl w:val="0"/>
              <w:kinsoku/>
              <w:wordWrap/>
              <w:overflowPunct/>
              <w:autoSpaceDE/>
              <w:autoSpaceDN/>
              <w:bidi w:val="0"/>
              <w:snapToGrid w:val="0"/>
              <w:spacing w:line="300" w:lineRule="atLeast"/>
              <w:contextualSpacing/>
              <w:textAlignment w:val="auto"/>
              <w:rPr>
                <w:rFonts w:hint="eastAsia"/>
                <w:color w:val="auto"/>
                <w:szCs w:val="21"/>
                <w:highlight w:val="none"/>
                <w:lang w:eastAsia="zh-CN"/>
              </w:rPr>
            </w:pPr>
            <w:r>
              <w:rPr>
                <w:rFonts w:hint="default" w:ascii="Calibri" w:hAnsi="Calibri" w:eastAsia="宋体" w:cs="Times New Roman"/>
                <w:color w:val="auto"/>
                <w:szCs w:val="24"/>
                <w:highlight w:val="none"/>
              </w:rPr>
              <w:t>3.提交保证保险</w:t>
            </w:r>
          </w:p>
        </w:tc>
      </w:tr>
      <w:tr w14:paraId="06B22DD1">
        <w:tblPrEx>
          <w:tblCellMar>
            <w:top w:w="0" w:type="dxa"/>
            <w:left w:w="108" w:type="dxa"/>
            <w:bottom w:w="0" w:type="dxa"/>
            <w:right w:w="108" w:type="dxa"/>
          </w:tblCellMar>
        </w:tblPrEx>
        <w:trPr>
          <w:trHeight w:val="417"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4EFEB67A">
            <w:pPr>
              <w:pageBreakBefore w:val="0"/>
              <w:widowControl w:val="0"/>
              <w:kinsoku/>
              <w:wordWrap/>
              <w:overflowPunct/>
              <w:autoSpaceDE/>
              <w:autoSpaceDN/>
              <w:bidi w:val="0"/>
              <w:snapToGrid w:val="0"/>
              <w:spacing w:line="300" w:lineRule="atLeast"/>
              <w:contextualSpacing/>
              <w:jc w:val="center"/>
              <w:textAlignment w:val="auto"/>
              <w:rPr>
                <w:color w:val="auto"/>
                <w:szCs w:val="21"/>
                <w:highlight w:val="none"/>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0C9DED0">
            <w:pPr>
              <w:pageBreakBefore w:val="0"/>
              <w:widowControl w:val="0"/>
              <w:kinsoku/>
              <w:wordWrap/>
              <w:overflowPunct/>
              <w:autoSpaceDE/>
              <w:autoSpaceDN/>
              <w:bidi w:val="0"/>
              <w:snapToGrid w:val="0"/>
              <w:spacing w:line="300" w:lineRule="atLeast"/>
              <w:contextualSpacing/>
              <w:jc w:val="left"/>
              <w:textAlignment w:val="auto"/>
              <w:rPr>
                <w:color w:val="auto"/>
                <w:szCs w:val="21"/>
                <w:highlight w:val="none"/>
              </w:rPr>
            </w:pPr>
            <w:r>
              <w:rPr>
                <w:rFonts w:hint="eastAsia"/>
                <w:color w:val="auto"/>
                <w:szCs w:val="21"/>
                <w:highlight w:val="none"/>
              </w:rPr>
              <w:t>分包</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2C729E78">
            <w:pPr>
              <w:pageBreakBefore w:val="0"/>
              <w:widowControl w:val="0"/>
              <w:kinsoku/>
              <w:wordWrap/>
              <w:overflowPunct/>
              <w:autoSpaceDE/>
              <w:autoSpaceDN/>
              <w:bidi w:val="0"/>
              <w:snapToGrid w:val="0"/>
              <w:spacing w:line="300" w:lineRule="atLeast"/>
              <w:textAlignment w:val="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□不允许；</w:t>
            </w:r>
          </w:p>
          <w:p w14:paraId="2092C9A0">
            <w:pPr>
              <w:pageBreakBefore w:val="0"/>
              <w:widowControl w:val="0"/>
              <w:kinsoku/>
              <w:wordWrap/>
              <w:overflowPunct/>
              <w:autoSpaceDE/>
              <w:autoSpaceDN/>
              <w:bidi w:val="0"/>
              <w:snapToGrid w:val="0"/>
              <w:spacing w:line="300" w:lineRule="atLeast"/>
              <w:textAlignment w:val="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☑允许：分包内容要要求：</w:t>
            </w:r>
            <w:r>
              <w:rPr>
                <w:rFonts w:hint="eastAsia" w:ascii="宋体" w:hAnsi="宋体" w:cs="宋体"/>
                <w:color w:val="auto"/>
                <w:kern w:val="0"/>
                <w:szCs w:val="21"/>
                <w:highlight w:val="none"/>
                <w:u w:val="single"/>
                <w:lang w:val="zh-CN"/>
              </w:rPr>
              <w:t>中标人按照合同约定或者经招标人同意，可以将中标项目的部分非主体、非关键性工作分包给具有相应资质的单位完成。</w:t>
            </w:r>
          </w:p>
          <w:p w14:paraId="7CD8E675">
            <w:pPr>
              <w:pageBreakBefore w:val="0"/>
              <w:widowControl w:val="0"/>
              <w:kinsoku/>
              <w:wordWrap/>
              <w:overflowPunct/>
              <w:autoSpaceDE/>
              <w:autoSpaceDN/>
              <w:bidi w:val="0"/>
              <w:snapToGrid w:val="0"/>
              <w:spacing w:line="300" w:lineRule="atLeast"/>
              <w:textAlignment w:val="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分包金额要求：</w:t>
            </w:r>
            <w:r>
              <w:rPr>
                <w:rFonts w:hint="eastAsia" w:ascii="宋体" w:hAnsi="宋体" w:cs="宋体"/>
                <w:color w:val="auto"/>
                <w:kern w:val="0"/>
                <w:szCs w:val="21"/>
                <w:highlight w:val="none"/>
                <w:u w:val="single"/>
                <w:lang w:val="zh-CN"/>
              </w:rPr>
              <w:t>根据实际情况确定。</w:t>
            </w:r>
          </w:p>
          <w:p w14:paraId="2D1BBD32">
            <w:pPr>
              <w:pageBreakBefore w:val="0"/>
              <w:widowControl w:val="0"/>
              <w:kinsoku/>
              <w:wordWrap/>
              <w:overflowPunct/>
              <w:autoSpaceDE/>
              <w:autoSpaceDN/>
              <w:bidi w:val="0"/>
              <w:snapToGrid w:val="0"/>
              <w:spacing w:line="300" w:lineRule="atLeast"/>
              <w:textAlignment w:val="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对分包人的资质要求：</w:t>
            </w:r>
            <w:r>
              <w:rPr>
                <w:rFonts w:hint="eastAsia" w:ascii="宋体" w:hAnsi="宋体" w:cs="宋体"/>
                <w:color w:val="auto"/>
                <w:kern w:val="0"/>
                <w:szCs w:val="21"/>
                <w:highlight w:val="none"/>
                <w:u w:val="single"/>
                <w:lang w:val="zh-CN"/>
              </w:rPr>
              <w:t>接受分包的人应当具备相应的资质条件，并不得再次分包。</w:t>
            </w:r>
          </w:p>
          <w:p w14:paraId="0A377D1B">
            <w:pPr>
              <w:pageBreakBefore w:val="0"/>
              <w:widowControl w:val="0"/>
              <w:kinsoku/>
              <w:wordWrap/>
              <w:overflowPunct/>
              <w:autoSpaceDE/>
              <w:autoSpaceDN/>
              <w:bidi w:val="0"/>
              <w:snapToGrid w:val="0"/>
              <w:spacing w:line="300" w:lineRule="atLeast"/>
              <w:contextualSpacing/>
              <w:textAlignment w:val="auto"/>
              <w:rPr>
                <w:rFonts w:hint="eastAsia" w:ascii="Calibri" w:hAnsi="Calibri" w:eastAsia="宋体" w:cs="Times New Roman"/>
                <w:b w:val="0"/>
                <w:bCs w:val="0"/>
                <w:color w:val="auto"/>
                <w:kern w:val="2"/>
                <w:sz w:val="21"/>
                <w:szCs w:val="24"/>
                <w:highlight w:val="none"/>
                <w:lang w:val="en-US" w:eastAsia="zh-CN" w:bidi="ar-SA"/>
              </w:rPr>
            </w:pPr>
            <w:r>
              <w:rPr>
                <w:rFonts w:hint="eastAsia" w:ascii="宋体" w:hAnsi="宋体" w:cs="宋体"/>
                <w:color w:val="auto"/>
                <w:kern w:val="0"/>
                <w:szCs w:val="21"/>
                <w:highlight w:val="none"/>
                <w:lang w:val="zh-CN"/>
              </w:rPr>
              <w:t>对分包人的其他要求：</w:t>
            </w:r>
            <w:r>
              <w:rPr>
                <w:rFonts w:hint="eastAsia" w:ascii="宋体" w:hAnsi="宋体" w:cs="宋体"/>
                <w:color w:val="auto"/>
                <w:kern w:val="0"/>
                <w:highlight w:val="none"/>
                <w:u w:val="single"/>
                <w:lang w:val="zh-CN"/>
              </w:rPr>
              <w:t>未在以往工程中因不诚信行为或不充分履约行为被本项目招标人书面拒绝投标的，或未被纳入联合惩戒范围的。</w:t>
            </w:r>
            <w:r>
              <w:rPr>
                <w:rFonts w:hint="eastAsia" w:ascii="宋体" w:hAnsi="宋体" w:cs="宋体"/>
                <w:color w:val="auto"/>
                <w:kern w:val="0"/>
                <w:szCs w:val="21"/>
                <w:highlight w:val="none"/>
                <w:lang w:val="zh-CN"/>
              </w:rPr>
              <w:t>。</w:t>
            </w:r>
          </w:p>
        </w:tc>
      </w:tr>
      <w:tr w14:paraId="60D5BCDF">
        <w:tblPrEx>
          <w:tblCellMar>
            <w:top w:w="0" w:type="dxa"/>
            <w:left w:w="108" w:type="dxa"/>
            <w:bottom w:w="0" w:type="dxa"/>
            <w:right w:w="108" w:type="dxa"/>
          </w:tblCellMar>
        </w:tblPrEx>
        <w:trPr>
          <w:trHeight w:val="37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0577902D">
            <w:pPr>
              <w:pageBreakBefore w:val="0"/>
              <w:widowControl w:val="0"/>
              <w:kinsoku/>
              <w:wordWrap/>
              <w:overflowPunct/>
              <w:autoSpaceDE/>
              <w:autoSpaceDN/>
              <w:bidi w:val="0"/>
              <w:snapToGrid w:val="0"/>
              <w:spacing w:line="300" w:lineRule="atLeast"/>
              <w:contextualSpacing/>
              <w:jc w:val="center"/>
              <w:textAlignment w:val="auto"/>
              <w:rPr>
                <w:rFonts w:hint="eastAsia" w:eastAsia="宋体"/>
                <w:color w:val="auto"/>
                <w:szCs w:val="21"/>
                <w:highlight w:val="none"/>
                <w:lang w:val="en-US" w:eastAsia="zh-CN"/>
              </w:rPr>
            </w:pPr>
            <w:r>
              <w:rPr>
                <w:rFonts w:hint="eastAsia"/>
                <w:color w:val="auto"/>
                <w:szCs w:val="21"/>
                <w:highlight w:val="none"/>
              </w:rPr>
              <w:t>10</w:t>
            </w:r>
            <w:r>
              <w:rPr>
                <w:rFonts w:hint="eastAsia"/>
                <w:color w:val="auto"/>
                <w:szCs w:val="21"/>
                <w:highlight w:val="none"/>
                <w:lang w:val="en-US" w:eastAsia="zh-CN"/>
              </w:rPr>
              <w:t>.1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09D53AB">
            <w:pPr>
              <w:pageBreakBefore w:val="0"/>
              <w:widowControl w:val="0"/>
              <w:kinsoku/>
              <w:wordWrap/>
              <w:overflowPunct/>
              <w:autoSpaceDE/>
              <w:autoSpaceDN/>
              <w:bidi w:val="0"/>
              <w:snapToGrid w:val="0"/>
              <w:spacing w:line="300" w:lineRule="atLeast"/>
              <w:contextualSpacing/>
              <w:jc w:val="left"/>
              <w:textAlignment w:val="auto"/>
              <w:rPr>
                <w:rFonts w:hint="eastAsia"/>
                <w:color w:val="auto"/>
                <w:szCs w:val="21"/>
                <w:highlight w:val="none"/>
              </w:rPr>
            </w:pPr>
            <w:r>
              <w:rPr>
                <w:rFonts w:hint="eastAsia" w:ascii="宋体" w:hAnsi="宋体" w:eastAsia="宋体" w:cs="宋体"/>
                <w:color w:val="auto"/>
                <w:szCs w:val="21"/>
                <w:highlight w:val="none"/>
              </w:rPr>
              <w:t>施工实名制及工人工资分账管理</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212A2B67">
            <w:pPr>
              <w:pageBreakBefore w:val="0"/>
              <w:widowControl w:val="0"/>
              <w:kinsoku/>
              <w:wordWrap/>
              <w:overflowPunct/>
              <w:autoSpaceDE/>
              <w:autoSpaceDN/>
              <w:bidi w:val="0"/>
              <w:adjustRightInd/>
              <w:snapToGrid w:val="0"/>
              <w:spacing w:line="300" w:lineRule="atLeast"/>
              <w:ind w:firstLine="0" w:firstLineChars="0"/>
              <w:contextualSpacing/>
              <w:textAlignment w:val="auto"/>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Cs w:val="21"/>
                <w:highlight w:val="none"/>
              </w:rPr>
              <w:t>施工实名制及工人工</w:t>
            </w:r>
            <w:r>
              <w:rPr>
                <w:rFonts w:hint="eastAsia" w:ascii="宋体" w:hAnsi="宋体" w:eastAsia="宋体" w:cs="宋体"/>
                <w:color w:val="auto"/>
                <w:szCs w:val="21"/>
                <w:highlight w:val="none"/>
                <w:shd w:val="clear" w:color="auto" w:fill="FFFFFF"/>
              </w:rPr>
              <w:t>资分账管理</w:t>
            </w:r>
            <w:r>
              <w:rPr>
                <w:rFonts w:hint="eastAsia" w:ascii="宋体" w:hAnsi="宋体" w:eastAsia="宋体" w:cs="宋体"/>
                <w:color w:val="auto"/>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承包人应根据</w:t>
            </w:r>
            <w:r>
              <w:rPr>
                <w:rFonts w:hint="eastAsia" w:ascii="宋体" w:hAnsi="宋体" w:eastAsia="宋体" w:cs="宋体"/>
                <w:color w:val="auto"/>
                <w:sz w:val="21"/>
                <w:szCs w:val="21"/>
                <w:highlight w:val="none"/>
                <w:shd w:val="clear" w:color="auto" w:fill="FFFFFF"/>
                <w:lang w:eastAsia="zh-CN"/>
              </w:rPr>
              <w:t>《住房和城乡建设部人力资源社会保障部关于修改&lt;建筑工人实名制管理办法（试行）&gt;的通知》（建市〔2022〕59号）、《住房城乡建设部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w:t>
            </w:r>
            <w:r>
              <w:rPr>
                <w:rFonts w:hint="eastAsia" w:ascii="宋体" w:hAnsi="宋体" w:eastAsia="宋体" w:cs="宋体"/>
                <w:color w:val="auto"/>
                <w:sz w:val="21"/>
                <w:szCs w:val="21"/>
                <w:highlight w:val="none"/>
                <w:shd w:val="clear" w:color="auto" w:fill="FFFFFF"/>
              </w:rPr>
              <w:t>等有关要求，做好农民工工资支付工作及落实实名制和工人工资支付分账制度。</w:t>
            </w:r>
          </w:p>
          <w:p w14:paraId="061ACD00">
            <w:pPr>
              <w:pageBreakBefore w:val="0"/>
              <w:widowControl w:val="0"/>
              <w:kinsoku/>
              <w:wordWrap/>
              <w:overflowPunct/>
              <w:autoSpaceDE/>
              <w:autoSpaceDN/>
              <w:bidi w:val="0"/>
              <w:snapToGrid w:val="0"/>
              <w:spacing w:line="300" w:lineRule="atLeast"/>
              <w:contextualSpacing/>
              <w:textAlignment w:val="auto"/>
              <w:rPr>
                <w:rFonts w:hint="default"/>
                <w:color w:val="auto"/>
                <w:szCs w:val="21"/>
                <w:highlight w:val="none"/>
                <w:lang w:val="en-US" w:eastAsia="zh-CN"/>
              </w:rPr>
            </w:pPr>
            <w:r>
              <w:rPr>
                <w:rFonts w:hint="eastAsia" w:ascii="宋体" w:hAnsi="宋体" w:eastAsia="宋体" w:cs="宋体"/>
                <w:color w:val="auto"/>
                <w:szCs w:val="21"/>
                <w:highlight w:val="none"/>
                <w:shd w:val="clear" w:color="auto" w:fill="FFFFFF"/>
              </w:rPr>
              <w:t>工程进度款中的工人工资款比例：参照施工招标的《中标通知书》中单列的人工费金额除以中标金额对应的工程价款计算。</w:t>
            </w:r>
          </w:p>
        </w:tc>
      </w:tr>
      <w:tr w14:paraId="6233F6C7">
        <w:tblPrEx>
          <w:tblCellMar>
            <w:top w:w="0" w:type="dxa"/>
            <w:left w:w="108" w:type="dxa"/>
            <w:bottom w:w="0" w:type="dxa"/>
            <w:right w:w="108" w:type="dxa"/>
          </w:tblCellMar>
        </w:tblPrEx>
        <w:trPr>
          <w:trHeight w:val="37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748C3EBB">
            <w:pPr>
              <w:pageBreakBefore w:val="0"/>
              <w:widowControl w:val="0"/>
              <w:kinsoku/>
              <w:wordWrap/>
              <w:overflowPunct/>
              <w:autoSpaceDE/>
              <w:autoSpaceDN/>
              <w:bidi w:val="0"/>
              <w:snapToGrid w:val="0"/>
              <w:spacing w:line="300" w:lineRule="atLeast"/>
              <w:contextualSpacing/>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75E9668">
            <w:pPr>
              <w:pageBreakBefore w:val="0"/>
              <w:widowControl w:val="0"/>
              <w:kinsoku/>
              <w:wordWrap/>
              <w:overflowPunct/>
              <w:autoSpaceDE/>
              <w:autoSpaceDN/>
              <w:bidi w:val="0"/>
              <w:adjustRightInd w:val="0"/>
              <w:snapToGrid w:val="0"/>
              <w:spacing w:line="300" w:lineRule="atLeast"/>
              <w:contextualSpacing/>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交易服务费</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1BEA79FF">
            <w:pPr>
              <w:pageBreakBefore w:val="0"/>
              <w:widowControl w:val="0"/>
              <w:kinsoku/>
              <w:wordWrap/>
              <w:overflowPunct/>
              <w:autoSpaceDE/>
              <w:autoSpaceDN/>
              <w:bidi w:val="0"/>
              <w:adjustRightInd w:val="0"/>
              <w:snapToGrid w:val="0"/>
              <w:spacing w:line="300" w:lineRule="atLeast"/>
              <w:contextualSpacing/>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中标候选公示后，由招标人向广州交易集团有限公司（广州公共资源交易中心）缴纳交易服务费、向广州交易集团有限公司（广州公共资源交易中心）索取发票，并在取得发票后及时告知招标代理。（该交易服务费为中标金额的0.9‰，具体收费标准招标人可以在广州交易集团有限公司（广州公共资源交易中心）网站查阅，如有变更以广州交易集团有限公司（广州公共资源交易中心）最新发布的标准为准）。</w:t>
            </w:r>
          </w:p>
        </w:tc>
      </w:tr>
      <w:tr w14:paraId="6EDD30EB">
        <w:tblPrEx>
          <w:tblCellMar>
            <w:top w:w="0" w:type="dxa"/>
            <w:left w:w="108" w:type="dxa"/>
            <w:bottom w:w="0" w:type="dxa"/>
            <w:right w:w="108" w:type="dxa"/>
          </w:tblCellMar>
        </w:tblPrEx>
        <w:trPr>
          <w:trHeight w:val="37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5E1EABEF">
            <w:pPr>
              <w:pageBreakBefore w:val="0"/>
              <w:widowControl w:val="0"/>
              <w:kinsoku/>
              <w:wordWrap/>
              <w:overflowPunct/>
              <w:autoSpaceDE/>
              <w:autoSpaceDN/>
              <w:bidi w:val="0"/>
              <w:snapToGrid w:val="0"/>
              <w:spacing w:line="300" w:lineRule="atLeast"/>
              <w:contextualSpacing/>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3</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2F3BB82">
            <w:pPr>
              <w:pageBreakBefore w:val="0"/>
              <w:widowControl w:val="0"/>
              <w:kinsoku/>
              <w:wordWrap/>
              <w:overflowPunct/>
              <w:autoSpaceDE/>
              <w:autoSpaceDN/>
              <w:bidi w:val="0"/>
              <w:adjustRightInd w:val="0"/>
              <w:snapToGrid w:val="0"/>
              <w:spacing w:line="300" w:lineRule="atLeast"/>
              <w:contextualSpacing/>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诚信评价管理</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38BBB87A">
            <w:pPr>
              <w:pageBreakBefore w:val="0"/>
              <w:widowControl w:val="0"/>
              <w:kinsoku/>
              <w:wordWrap/>
              <w:overflowPunct/>
              <w:autoSpaceDE/>
              <w:autoSpaceDN/>
              <w:bidi w:val="0"/>
              <w:adjustRightInd w:val="0"/>
              <w:snapToGrid w:val="0"/>
              <w:spacing w:line="300" w:lineRule="atLeast"/>
              <w:contextualSpacing/>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根据《广州市水务局关于印发广州市水务工程施工和监理企业诚信评价管理办法的通知》（穗水规字【2020】11号）等有关规定，针对广州市水务投资集团有限公司（以下简称“市水投集团”）全资子公司广州市自来水有限公司组织实施的建设项目，市水投集团对不充分履约或严重违反合同约定的企业，按诚信评价标准对其作出评价，且该评价结果由广州市自来水有限公司直接录入诚信评价信息系统，并运用于建设项目招投标活动中。</w:t>
            </w:r>
          </w:p>
        </w:tc>
      </w:tr>
      <w:tr w14:paraId="4F659CEE">
        <w:tblPrEx>
          <w:tblCellMar>
            <w:top w:w="0" w:type="dxa"/>
            <w:left w:w="108" w:type="dxa"/>
            <w:bottom w:w="0" w:type="dxa"/>
            <w:right w:w="108" w:type="dxa"/>
          </w:tblCellMar>
        </w:tblPrEx>
        <w:trPr>
          <w:trHeight w:val="37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03777BC8">
            <w:pPr>
              <w:pageBreakBefore w:val="0"/>
              <w:widowControl w:val="0"/>
              <w:kinsoku/>
              <w:wordWrap/>
              <w:overflowPunct/>
              <w:autoSpaceDE/>
              <w:autoSpaceDN/>
              <w:bidi w:val="0"/>
              <w:snapToGrid w:val="0"/>
              <w:spacing w:line="300" w:lineRule="atLeast"/>
              <w:contextualSpacing/>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default" w:ascii="宋体" w:hAnsi="宋体" w:eastAsia="宋体" w:cs="宋体"/>
                <w:color w:val="auto"/>
                <w:szCs w:val="21"/>
                <w:highlight w:val="none"/>
                <w:lang w:val="en-US" w:eastAsia="zh-CN"/>
              </w:rPr>
              <w:t>4</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A804BED">
            <w:pPr>
              <w:pageBreakBefore w:val="0"/>
              <w:widowControl w:val="0"/>
              <w:kinsoku/>
              <w:wordWrap/>
              <w:overflowPunct/>
              <w:autoSpaceDE/>
              <w:autoSpaceDN/>
              <w:bidi w:val="0"/>
              <w:adjustRightInd w:val="0"/>
              <w:snapToGrid w:val="0"/>
              <w:spacing w:line="300" w:lineRule="atLeast"/>
              <w:contextualSpacing/>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项目管理架构人员资料要求</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03219BFB">
            <w:pPr>
              <w:pageBreakBefore w:val="0"/>
              <w:widowControl w:val="0"/>
              <w:kinsoku/>
              <w:wordWrap/>
              <w:overflowPunct/>
              <w:autoSpaceDE/>
              <w:autoSpaceDN/>
              <w:bidi w:val="0"/>
              <w:adjustRightInd w:val="0"/>
              <w:snapToGrid w:val="0"/>
              <w:spacing w:line="300" w:lineRule="atLeast"/>
              <w:contextualSpacing/>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中标人在签订合同前须提供不低于其投标文件中所承诺的人员架构配置情况，填写合同附件中的《项目管理架构组成表》和《主要人员简历表》，并提供所配置人员的资格证书和本单位交纳的社保证明文件（以加盖社会保险基金管理中心印章的《投保单》或《社会保险参保人员证明》资料为准）原件予招标人核实。</w:t>
            </w:r>
          </w:p>
        </w:tc>
      </w:tr>
      <w:tr w14:paraId="2E3E787B">
        <w:tblPrEx>
          <w:tblCellMar>
            <w:top w:w="0" w:type="dxa"/>
            <w:left w:w="108" w:type="dxa"/>
            <w:bottom w:w="0" w:type="dxa"/>
            <w:right w:w="108" w:type="dxa"/>
          </w:tblCellMar>
        </w:tblPrEx>
        <w:trPr>
          <w:trHeight w:val="379" w:hRule="atLeast"/>
        </w:trPr>
        <w:tc>
          <w:tcPr>
            <w:tcW w:w="1090" w:type="dxa"/>
            <w:tcBorders>
              <w:top w:val="single" w:color="auto" w:sz="4" w:space="0"/>
              <w:left w:val="single" w:color="auto" w:sz="4" w:space="0"/>
              <w:bottom w:val="single" w:color="auto" w:sz="4" w:space="0"/>
              <w:right w:val="single" w:color="auto" w:sz="4" w:space="0"/>
            </w:tcBorders>
            <w:noWrap w:val="0"/>
            <w:vAlign w:val="center"/>
          </w:tcPr>
          <w:p w14:paraId="1AA5692C">
            <w:pPr>
              <w:pageBreakBefore w:val="0"/>
              <w:widowControl w:val="0"/>
              <w:kinsoku/>
              <w:wordWrap/>
              <w:overflowPunct/>
              <w:autoSpaceDE/>
              <w:autoSpaceDN/>
              <w:bidi w:val="0"/>
              <w:snapToGrid w:val="0"/>
              <w:spacing w:line="300" w:lineRule="atLeast"/>
              <w:contextualSpacing/>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10.</w:t>
            </w:r>
            <w:r>
              <w:rPr>
                <w:rFonts w:hint="default" w:ascii="宋体" w:hAnsi="宋体" w:eastAsia="宋体" w:cs="宋体"/>
                <w:color w:val="auto"/>
                <w:szCs w:val="21"/>
                <w:highlight w:val="none"/>
                <w:lang w:val="en-US" w:eastAsia="zh-CN"/>
              </w:rPr>
              <w:t>5</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6C66130">
            <w:pPr>
              <w:pageBreakBefore w:val="0"/>
              <w:widowControl w:val="0"/>
              <w:kinsoku/>
              <w:wordWrap/>
              <w:overflowPunct/>
              <w:autoSpaceDE/>
              <w:autoSpaceDN/>
              <w:bidi w:val="0"/>
              <w:adjustRightInd w:val="0"/>
              <w:snapToGrid w:val="0"/>
              <w:spacing w:line="300" w:lineRule="atLeast"/>
              <w:contextualSpacing/>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失信联合惩戒管理</w:t>
            </w:r>
          </w:p>
        </w:tc>
        <w:tc>
          <w:tcPr>
            <w:tcW w:w="5367" w:type="dxa"/>
            <w:tcBorders>
              <w:top w:val="single" w:color="auto" w:sz="4" w:space="0"/>
              <w:left w:val="single" w:color="auto" w:sz="4" w:space="0"/>
              <w:bottom w:val="single" w:color="auto" w:sz="4" w:space="0"/>
              <w:right w:val="single" w:color="auto" w:sz="4" w:space="0"/>
            </w:tcBorders>
            <w:noWrap w:val="0"/>
            <w:vAlign w:val="center"/>
          </w:tcPr>
          <w:p w14:paraId="1C71E72A">
            <w:pPr>
              <w:pageBreakBefore w:val="0"/>
              <w:widowControl w:val="0"/>
              <w:kinsoku/>
              <w:wordWrap/>
              <w:overflowPunct/>
              <w:autoSpaceDE/>
              <w:autoSpaceDN/>
              <w:bidi w:val="0"/>
              <w:adjustRightInd w:val="0"/>
              <w:snapToGrid w:val="0"/>
              <w:spacing w:line="300" w:lineRule="atLeast"/>
              <w:contextualSpacing/>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u w:val="none"/>
                <w:lang w:val="en-US" w:eastAsia="zh-CN"/>
              </w:rPr>
              <w:t>在</w:t>
            </w:r>
            <w:r>
              <w:rPr>
                <w:rFonts w:hint="eastAsia" w:ascii="宋体" w:hAnsi="宋体" w:eastAsia="宋体" w:cs="宋体"/>
                <w:color w:val="auto"/>
                <w:sz w:val="21"/>
                <w:szCs w:val="21"/>
                <w:highlight w:val="none"/>
                <w:u w:val="none"/>
              </w:rPr>
              <w:t>发出中标通知书前，中标人应</w:t>
            </w:r>
            <w:r>
              <w:rPr>
                <w:rFonts w:hint="eastAsia" w:ascii="宋体" w:hAnsi="宋体" w:eastAsia="宋体" w:cs="宋体"/>
                <w:color w:val="auto"/>
                <w:sz w:val="21"/>
                <w:szCs w:val="21"/>
                <w:highlight w:val="none"/>
                <w:u w:val="none"/>
                <w:lang w:val="en-US" w:eastAsia="zh-CN"/>
              </w:rPr>
              <w:t>未被</w:t>
            </w:r>
            <w:r>
              <w:rPr>
                <w:rFonts w:hint="eastAsia" w:ascii="宋体" w:hAnsi="宋体" w:eastAsia="宋体" w:cs="宋体"/>
                <w:color w:val="auto"/>
                <w:sz w:val="21"/>
                <w:szCs w:val="21"/>
                <w:highlight w:val="none"/>
                <w:u w:val="none"/>
              </w:rPr>
              <w:t>列入“在一定期限内依法取消参加依法必须进行招标的项目的投标资格”，具体名单以“信用广州”公布的“黑名单”为准</w:t>
            </w:r>
            <w:r>
              <w:rPr>
                <w:rFonts w:hint="eastAsia" w:ascii="宋体" w:hAnsi="宋体" w:eastAsia="宋体" w:cs="宋体"/>
                <w:color w:val="auto"/>
                <w:szCs w:val="21"/>
                <w:highlight w:val="none"/>
                <w:lang w:eastAsia="zh-CN"/>
              </w:rPr>
              <w:t>。</w:t>
            </w:r>
          </w:p>
        </w:tc>
      </w:tr>
    </w:tbl>
    <w:p w14:paraId="5950B145">
      <w:pPr>
        <w:pStyle w:val="14"/>
        <w:spacing w:line="360" w:lineRule="auto"/>
        <w:rPr>
          <w:rFonts w:eastAsia="宋体"/>
          <w:b/>
          <w:color w:val="auto"/>
          <w:sz w:val="24"/>
          <w:highlight w:val="none"/>
        </w:rPr>
      </w:pPr>
    </w:p>
    <w:p w14:paraId="13B287B8">
      <w:pPr>
        <w:widowControl/>
        <w:jc w:val="left"/>
        <w:rPr>
          <w:rFonts w:ascii="宋体" w:hAnsi="宋体"/>
          <w:b/>
          <w:color w:val="auto"/>
          <w:sz w:val="24"/>
          <w:szCs w:val="24"/>
          <w:highlight w:val="none"/>
          <w:u w:val="single"/>
        </w:rPr>
      </w:pPr>
      <w:r>
        <w:rPr>
          <w:rFonts w:ascii="宋体" w:hAnsi="宋体"/>
          <w:b/>
          <w:color w:val="auto"/>
          <w:sz w:val="24"/>
          <w:highlight w:val="none"/>
        </w:rPr>
        <w:br w:type="page"/>
      </w:r>
    </w:p>
    <w:p w14:paraId="59370937">
      <w:pPr>
        <w:spacing w:line="360" w:lineRule="auto"/>
        <w:jc w:val="center"/>
        <w:outlineLvl w:val="2"/>
        <w:rPr>
          <w:rFonts w:ascii="黑体" w:hAnsi="黑体" w:eastAsia="黑体"/>
          <w:color w:val="auto"/>
          <w:sz w:val="28"/>
          <w:szCs w:val="27"/>
          <w:highlight w:val="none"/>
        </w:rPr>
      </w:pPr>
      <w:bookmarkStart w:id="168" w:name="_Toc17452664"/>
      <w:bookmarkStart w:id="169" w:name="_Toc17454871"/>
      <w:bookmarkStart w:id="170" w:name="_Toc17451578"/>
      <w:bookmarkStart w:id="171" w:name="_Toc13227"/>
      <w:bookmarkStart w:id="172" w:name="_Toc17556876"/>
      <w:bookmarkStart w:id="173" w:name="_Toc262229161"/>
      <w:bookmarkStart w:id="174" w:name="_Toc17454922"/>
      <w:bookmarkStart w:id="175" w:name="_Toc17451101"/>
      <w:bookmarkStart w:id="176" w:name="_Toc17451623"/>
      <w:r>
        <w:rPr>
          <w:rFonts w:hint="eastAsia" w:ascii="黑体" w:hAnsi="黑体" w:eastAsia="黑体"/>
          <w:color w:val="auto"/>
          <w:sz w:val="28"/>
          <w:szCs w:val="27"/>
          <w:highlight w:val="none"/>
        </w:rPr>
        <w:t>二、</w:t>
      </w:r>
      <w:r>
        <w:rPr>
          <w:rFonts w:hint="eastAsia" w:ascii="黑体" w:hAnsi="黑体" w:eastAsia="黑体"/>
          <w:color w:val="auto"/>
          <w:sz w:val="28"/>
          <w:szCs w:val="27"/>
          <w:highlight w:val="none"/>
          <w:lang w:eastAsia="zh-CN"/>
        </w:rPr>
        <w:t>投标人须知</w:t>
      </w:r>
      <w:r>
        <w:rPr>
          <w:rFonts w:hint="eastAsia" w:ascii="黑体" w:hAnsi="黑体" w:eastAsia="黑体"/>
          <w:color w:val="auto"/>
          <w:sz w:val="28"/>
          <w:szCs w:val="27"/>
          <w:highlight w:val="none"/>
        </w:rPr>
        <w:t>修改表</w:t>
      </w:r>
      <w:bookmarkEnd w:id="168"/>
      <w:bookmarkEnd w:id="169"/>
      <w:bookmarkEnd w:id="170"/>
      <w:bookmarkEnd w:id="171"/>
      <w:bookmarkEnd w:id="172"/>
      <w:bookmarkEnd w:id="173"/>
      <w:bookmarkEnd w:id="174"/>
      <w:bookmarkEnd w:id="175"/>
      <w:bookmarkEnd w:id="176"/>
    </w:p>
    <w:p w14:paraId="1EE7D63F">
      <w:pPr>
        <w:pStyle w:val="16"/>
        <w:spacing w:line="360" w:lineRule="auto"/>
        <w:rPr>
          <w:rFonts w:ascii="宋体" w:hAnsi="宋体" w:eastAsia="宋体"/>
          <w:b/>
          <w:color w:val="auto"/>
          <w:sz w:val="24"/>
          <w:szCs w:val="24"/>
          <w:highlight w:val="none"/>
          <w:lang w:eastAsia="zh-CN"/>
        </w:rPr>
      </w:pPr>
      <w:r>
        <w:rPr>
          <w:rFonts w:hint="eastAsia" w:ascii="宋体" w:hAnsi="宋体" w:eastAsia="宋体"/>
          <w:b/>
          <w:color w:val="auto"/>
          <w:sz w:val="24"/>
          <w:szCs w:val="24"/>
          <w:highlight w:val="none"/>
        </w:rPr>
        <w:t>本</w:t>
      </w:r>
      <w:r>
        <w:rPr>
          <w:rFonts w:hint="eastAsia" w:ascii="宋体" w:hAnsi="宋体" w:eastAsia="宋体"/>
          <w:b/>
          <w:color w:val="auto"/>
          <w:sz w:val="24"/>
          <w:szCs w:val="24"/>
          <w:highlight w:val="none"/>
          <w:lang w:eastAsia="zh-CN"/>
        </w:rPr>
        <w:t>投标人须知</w:t>
      </w:r>
      <w:r>
        <w:rPr>
          <w:rFonts w:hint="eastAsia" w:ascii="宋体" w:hAnsi="宋体" w:eastAsia="宋体"/>
          <w:b/>
          <w:color w:val="auto"/>
          <w:sz w:val="24"/>
          <w:szCs w:val="24"/>
          <w:highlight w:val="none"/>
        </w:rPr>
        <w:t>使用</w:t>
      </w:r>
      <w:r>
        <w:rPr>
          <w:rFonts w:hint="eastAsia" w:ascii="宋体" w:hAnsi="宋体" w:eastAsia="宋体" w:cs="Times New Roman"/>
          <w:b/>
          <w:color w:val="auto"/>
          <w:sz w:val="24"/>
          <w:szCs w:val="24"/>
          <w:highlight w:val="none"/>
          <w:lang w:eastAsia="zh-CN"/>
        </w:rPr>
        <w:t>SWZB20</w:t>
      </w:r>
      <w:r>
        <w:rPr>
          <w:rFonts w:hint="eastAsia" w:ascii="宋体" w:hAnsi="宋体" w:eastAsia="宋体" w:cs="Times New Roman"/>
          <w:b/>
          <w:color w:val="auto"/>
          <w:sz w:val="24"/>
          <w:szCs w:val="24"/>
          <w:highlight w:val="none"/>
          <w:lang w:val="en-US" w:eastAsia="zh-CN"/>
        </w:rPr>
        <w:t>24</w:t>
      </w:r>
      <w:r>
        <w:rPr>
          <w:rFonts w:hint="eastAsia" w:ascii="宋体" w:hAnsi="宋体" w:eastAsia="宋体" w:cs="Times New Roman"/>
          <w:b/>
          <w:color w:val="auto"/>
          <w:sz w:val="24"/>
          <w:szCs w:val="24"/>
          <w:highlight w:val="none"/>
          <w:lang w:eastAsia="zh-CN"/>
        </w:rPr>
        <w:t>-01</w:t>
      </w:r>
      <w:r>
        <w:rPr>
          <w:rFonts w:hint="eastAsia" w:ascii="宋体" w:hAnsi="宋体" w:eastAsia="宋体"/>
          <w:b/>
          <w:color w:val="auto"/>
          <w:sz w:val="24"/>
          <w:szCs w:val="24"/>
          <w:highlight w:val="none"/>
        </w:rPr>
        <w:t>招标文件范本的</w:t>
      </w:r>
      <w:r>
        <w:rPr>
          <w:rFonts w:hint="eastAsia" w:ascii="宋体" w:hAnsi="宋体" w:eastAsia="宋体"/>
          <w:b/>
          <w:color w:val="auto"/>
          <w:sz w:val="24"/>
          <w:szCs w:val="24"/>
          <w:highlight w:val="none"/>
          <w:lang w:eastAsia="zh-CN"/>
        </w:rPr>
        <w:t>投标人须知</w:t>
      </w:r>
      <w:r>
        <w:rPr>
          <w:rFonts w:hint="eastAsia" w:ascii="宋体" w:hAnsi="宋体" w:eastAsia="宋体"/>
          <w:b/>
          <w:color w:val="auto"/>
          <w:sz w:val="24"/>
          <w:szCs w:val="24"/>
          <w:highlight w:val="none"/>
        </w:rPr>
        <w:t>通用条款，与该通用条款不同之处，均在本表中列明，并以现文为准，原文不再有效。</w:t>
      </w:r>
    </w:p>
    <w:p w14:paraId="57147353">
      <w:pPr>
        <w:adjustRightInd w:val="0"/>
        <w:snapToGrid w:val="0"/>
        <w:spacing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条款号：2.1.1                              </w:t>
      </w:r>
      <w:r>
        <w:rPr>
          <w:rFonts w:hint="eastAsia" w:ascii="宋体" w:hAnsi="宋体" w:eastAsia="宋体" w:cs="宋体"/>
          <w:color w:val="auto"/>
          <w:sz w:val="24"/>
          <w:highlight w:val="none"/>
        </w:rPr>
        <w:t>修改类型：修改</w:t>
      </w:r>
    </w:p>
    <w:p w14:paraId="720380CE">
      <w:pPr>
        <w:adjustRightInd w:val="0"/>
        <w:snapToGrid w:val="0"/>
        <w:spacing w:beforeLines="0" w:line="360" w:lineRule="auto"/>
        <w:ind w:firstLine="482" w:firstLineChars="200"/>
        <w:rPr>
          <w:rFonts w:hint="eastAsia" w:ascii="宋体" w:hAnsi="宋体" w:eastAsia="宋体" w:cs="宋体"/>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本招标文件包括下列文件，以及所有按本须知第7条发出的澄清或修改和按本须知第8条发出的招标答疑会会议纪要：</w:t>
      </w:r>
    </w:p>
    <w:p w14:paraId="09CED206">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现文：</w:t>
      </w:r>
      <w:r>
        <w:rPr>
          <w:rFonts w:hint="eastAsia" w:ascii="宋体" w:hAnsi="宋体" w:eastAsia="宋体" w:cs="宋体"/>
          <w:bCs/>
          <w:color w:val="auto"/>
          <w:sz w:val="24"/>
          <w:highlight w:val="none"/>
        </w:rPr>
        <w:t>2.1.1</w:t>
      </w:r>
      <w:r>
        <w:rPr>
          <w:rFonts w:hint="eastAsia" w:ascii="宋体" w:hAnsi="宋体" w:eastAsia="宋体" w:cs="宋体"/>
          <w:color w:val="auto"/>
          <w:sz w:val="24"/>
          <w:highlight w:val="none"/>
        </w:rPr>
        <w:t>本招标文件包括下列文件，以及所有按本须知第</w:t>
      </w:r>
      <w:r>
        <w:rPr>
          <w:rFonts w:hint="eastAsia" w:ascii="宋体" w:hAnsi="宋体" w:eastAsia="宋体" w:cs="宋体"/>
          <w:color w:val="auto"/>
          <w:sz w:val="24"/>
          <w:highlight w:val="none"/>
          <w:lang w:val="en-US" w:eastAsia="zh-CN"/>
        </w:rPr>
        <w:t>2.3</w:t>
      </w:r>
      <w:r>
        <w:rPr>
          <w:rFonts w:hint="eastAsia" w:ascii="宋体" w:hAnsi="宋体" w:eastAsia="宋体" w:cs="宋体"/>
          <w:color w:val="auto"/>
          <w:sz w:val="24"/>
          <w:highlight w:val="none"/>
        </w:rPr>
        <w:t>条发出的澄清或修改和按本须知第</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条发出的招标</w:t>
      </w:r>
    </w:p>
    <w:p w14:paraId="61A718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条款号：2.1.1                              </w:t>
      </w:r>
      <w:r>
        <w:rPr>
          <w:rFonts w:hint="eastAsia" w:ascii="宋体" w:hAnsi="宋体" w:eastAsia="宋体" w:cs="宋体"/>
          <w:color w:val="auto"/>
          <w:sz w:val="24"/>
          <w:highlight w:val="none"/>
        </w:rPr>
        <w:t>修改类型：修改</w:t>
      </w:r>
    </w:p>
    <w:p w14:paraId="52A10E4E">
      <w:pPr>
        <w:adjustRightInd w:val="0"/>
        <w:snapToGrid w:val="0"/>
        <w:spacing w:beforeLines="0"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highlight w:val="none"/>
        </w:rPr>
        <w:t>（5）工程量清单（采用综合评估法三的，应为与</w:t>
      </w:r>
      <w:r>
        <w:rPr>
          <w:rFonts w:hint="eastAsia" w:ascii="宋体" w:hAnsi="宋体" w:eastAsia="宋体" w:cs="宋体"/>
          <w:color w:val="auto"/>
          <w:sz w:val="24"/>
          <w:highlight w:val="none"/>
        </w:rPr>
        <w:t>最高投标限价相对应的</w:t>
      </w:r>
      <w:r>
        <w:rPr>
          <w:rFonts w:hint="eastAsia" w:ascii="宋体" w:hAnsi="宋体" w:eastAsia="宋体" w:cs="宋体"/>
          <w:bCs/>
          <w:color w:val="auto"/>
          <w:sz w:val="24"/>
          <w:highlight w:val="none"/>
        </w:rPr>
        <w:t>已标价工程量清单）；</w:t>
      </w:r>
    </w:p>
    <w:p w14:paraId="323F38ED">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eastAsia="宋体" w:cs="宋体"/>
          <w:b/>
          <w:bCs/>
          <w:color w:val="auto"/>
          <w:sz w:val="24"/>
          <w:highlight w:val="none"/>
        </w:rPr>
        <w:t>现文：</w:t>
      </w:r>
      <w:r>
        <w:rPr>
          <w:rFonts w:hint="eastAsia" w:ascii="宋体" w:hAnsi="宋体" w:eastAsia="宋体" w:cs="宋体"/>
          <w:bCs/>
          <w:color w:val="auto"/>
          <w:sz w:val="24"/>
          <w:highlight w:val="none"/>
        </w:rPr>
        <w:t>（5）工程量清单；</w:t>
      </w:r>
    </w:p>
    <w:p w14:paraId="3AE400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条款号：3.1.1                              修改类型：</w:t>
      </w:r>
      <w:r>
        <w:rPr>
          <w:rFonts w:hint="eastAsia" w:ascii="宋体" w:hAnsi="宋体" w:cs="宋体"/>
          <w:color w:val="auto"/>
          <w:sz w:val="24"/>
          <w:szCs w:val="24"/>
          <w:highlight w:val="none"/>
          <w:lang w:val="en-US" w:eastAsia="zh-CN"/>
        </w:rPr>
        <w:t>修改</w:t>
      </w:r>
    </w:p>
    <w:p w14:paraId="33BF62AD">
      <w:pPr>
        <w:spacing w:line="360" w:lineRule="auto"/>
        <w:ind w:firstLine="482" w:firstLineChars="200"/>
        <w:rPr>
          <w:rFonts w:ascii="宋体" w:hAnsi="宋体" w:eastAsia="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olor w:val="auto"/>
          <w:sz w:val="24"/>
          <w:highlight w:val="none"/>
        </w:rPr>
        <w:t>3.1.1投标文件应包括下列内容：</w:t>
      </w:r>
    </w:p>
    <w:p w14:paraId="47C27F9D">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14:paraId="2BA5BFD7">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14:paraId="216C5711">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（3）联合体协议书（非联合体不提交）；</w:t>
      </w:r>
    </w:p>
    <w:p w14:paraId="405F7AFC">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（4）投标保证金（</w:t>
      </w:r>
      <w:r>
        <w:rPr>
          <w:rFonts w:hint="eastAsia" w:ascii="宋体" w:hAnsi="宋体" w:eastAsia="宋体"/>
          <w:color w:val="auto"/>
          <w:sz w:val="24"/>
          <w:highlight w:val="none"/>
          <w:lang w:eastAsia="zh-CN"/>
        </w:rPr>
        <w:t>若有</w:t>
      </w:r>
      <w:r>
        <w:rPr>
          <w:rFonts w:hint="eastAsia" w:ascii="宋体" w:hAnsi="宋体" w:eastAsia="宋体"/>
          <w:color w:val="auto"/>
          <w:sz w:val="24"/>
          <w:highlight w:val="none"/>
        </w:rPr>
        <w:t>）；</w:t>
      </w:r>
    </w:p>
    <w:p w14:paraId="0BB0282B">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（5）已标价工程量清单（采用综合评估法三的，不用提交）；</w:t>
      </w:r>
    </w:p>
    <w:p w14:paraId="7E163DE9">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1389F370">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（7）项目管理机构；</w:t>
      </w:r>
    </w:p>
    <w:p w14:paraId="2ECC572B">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（8）资格审查资料；</w:t>
      </w:r>
    </w:p>
    <w:p w14:paraId="7174E22E">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（9）其他应提交的材料。</w:t>
      </w:r>
    </w:p>
    <w:p w14:paraId="6322C71A">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宋体" w:hAnsi="宋体" w:eastAsia="宋体"/>
          <w:color w:val="auto"/>
          <w:sz w:val="24"/>
          <w:highlight w:val="none"/>
        </w:rPr>
      </w:pPr>
      <w:r>
        <w:rPr>
          <w:rFonts w:hint="eastAsia" w:ascii="宋体" w:hAnsi="宋体" w:eastAsia="宋体" w:cs="宋体"/>
          <w:b/>
          <w:bCs/>
          <w:color w:val="auto"/>
          <w:sz w:val="24"/>
          <w:highlight w:val="none"/>
        </w:rPr>
        <w:t>现文：</w:t>
      </w:r>
      <w:r>
        <w:rPr>
          <w:rFonts w:hint="eastAsia" w:ascii="宋体" w:hAnsi="宋体" w:eastAsia="宋体"/>
          <w:color w:val="auto"/>
          <w:sz w:val="24"/>
          <w:highlight w:val="none"/>
        </w:rPr>
        <w:t>3.1.1投标文件应包括下列内容：</w:t>
      </w:r>
    </w:p>
    <w:p w14:paraId="34BC0A31">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14:paraId="6BD90533">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14:paraId="5FC945B5">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strike/>
          <w:color w:val="auto"/>
          <w:sz w:val="24"/>
          <w:highlight w:val="none"/>
        </w:rPr>
      </w:pPr>
      <w:r>
        <w:rPr>
          <w:rFonts w:hint="eastAsia" w:ascii="宋体" w:hAnsi="宋体" w:eastAsia="宋体"/>
          <w:strike/>
          <w:color w:val="auto"/>
          <w:sz w:val="24"/>
          <w:highlight w:val="none"/>
        </w:rPr>
        <w:t>（3）联合体协议书（非联合体不提交）；</w:t>
      </w:r>
    </w:p>
    <w:p w14:paraId="516CAF73">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）投标保证金；</w:t>
      </w:r>
    </w:p>
    <w:p w14:paraId="15F43689">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）已标价工程量清单；</w:t>
      </w:r>
    </w:p>
    <w:p w14:paraId="36BD49F7">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）施工组织设计（</w:t>
      </w:r>
      <w:r>
        <w:rPr>
          <w:rFonts w:hint="eastAsia" w:ascii="宋体" w:hAnsi="宋体" w:eastAsia="宋体" w:cs="宋体"/>
          <w:color w:val="auto"/>
          <w:sz w:val="24"/>
          <w:highlight w:val="none"/>
        </w:rPr>
        <w:t>本项目要求编制技术标，需要提交详细施工组织设计</w:t>
      </w:r>
      <w:r>
        <w:rPr>
          <w:rFonts w:hint="eastAsia" w:ascii="宋体" w:hAnsi="宋体" w:eastAsia="宋体" w:cs="宋体"/>
          <w:color w:val="auto"/>
          <w:sz w:val="24"/>
          <w:highlight w:val="none"/>
          <w:lang w:eastAsia="zh-CN"/>
        </w:rPr>
        <w:t>；</w:t>
      </w:r>
      <w:r>
        <w:rPr>
          <w:rFonts w:hint="eastAsia" w:ascii="宋体" w:hAnsi="宋体" w:eastAsia="宋体"/>
          <w:color w:val="auto"/>
          <w:sz w:val="24"/>
          <w:highlight w:val="none"/>
        </w:rPr>
        <w:t xml:space="preserve">投标人在编制施工组织设计或施工方案时应按照招标人提出的施工现场建筑垃圾源头减量的具体要求以及建筑垃圾综合利用产品的使用要求提供相应措施）； </w:t>
      </w:r>
    </w:p>
    <w:p w14:paraId="06ADA41E">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rPr>
        <w:t>）项目管理机构；</w:t>
      </w:r>
    </w:p>
    <w:p w14:paraId="280E5B45">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）资格审查资料；</w:t>
      </w:r>
    </w:p>
    <w:p w14:paraId="6582CC8A">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ascii="宋体" w:hAnsi="宋体"/>
          <w:color w:val="auto"/>
          <w:sz w:val="24"/>
          <w:szCs w:val="24"/>
          <w:highlight w:val="none"/>
        </w:rPr>
      </w:pP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9</w:t>
      </w:r>
      <w:r>
        <w:rPr>
          <w:rFonts w:hint="eastAsia" w:ascii="宋体" w:hAnsi="宋体" w:eastAsia="宋体"/>
          <w:color w:val="auto"/>
          <w:sz w:val="24"/>
          <w:highlight w:val="none"/>
        </w:rPr>
        <w:t>）其他应提交的材料。</w:t>
      </w:r>
    </w:p>
    <w:p w14:paraId="127AFEE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条款号：3.2.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 xml:space="preserve"> </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w:t>
      </w:r>
      <w:r>
        <w:rPr>
          <w:rFonts w:hint="eastAsia" w:ascii="宋体" w:hAnsi="宋体" w:eastAsia="宋体" w:cs="宋体"/>
          <w:color w:val="auto"/>
          <w:sz w:val="24"/>
          <w:highlight w:val="none"/>
          <w:lang w:val="en-US" w:eastAsia="zh-CN"/>
        </w:rPr>
        <w:t>修改</w:t>
      </w:r>
    </w:p>
    <w:p w14:paraId="4FD8082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bCs/>
          <w:color w:val="auto"/>
          <w:sz w:val="24"/>
          <w:highlight w:val="none"/>
          <w:lang w:val="en-US" w:eastAsia="zh-CN"/>
        </w:rPr>
        <w:t>原文：</w:t>
      </w:r>
      <w:r>
        <w:rPr>
          <w:rFonts w:hint="eastAsia" w:ascii="宋体" w:hAnsi="宋体" w:eastAsia="宋体"/>
          <w:color w:val="auto"/>
          <w:sz w:val="24"/>
          <w:highlight w:val="none"/>
        </w:rPr>
        <w:t>3.2.1 投标人应按第五章“工程量清单”的要求填写相应表格。（此条不适用于综合评估法三）</w:t>
      </w:r>
    </w:p>
    <w:p w14:paraId="20772F8F">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b/>
          <w:bCs/>
          <w:color w:val="auto"/>
          <w:sz w:val="24"/>
          <w:highlight w:val="none"/>
          <w:lang w:val="en-US" w:eastAsia="zh-CN"/>
        </w:rPr>
        <w:t>现文：</w:t>
      </w:r>
      <w:r>
        <w:rPr>
          <w:rFonts w:hint="eastAsia" w:ascii="宋体" w:hAnsi="宋体" w:eastAsia="宋体"/>
          <w:color w:val="auto"/>
          <w:sz w:val="24"/>
          <w:highlight w:val="none"/>
        </w:rPr>
        <w:t>3.2.1 投标人应按第五章“工程量清单”的要求填写相应表格。</w:t>
      </w:r>
    </w:p>
    <w:p w14:paraId="76B2018B">
      <w:pPr>
        <w:pStyle w:val="16"/>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条款号：3.2.2 </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w:t>
      </w:r>
      <w:r>
        <w:rPr>
          <w:rFonts w:hint="eastAsia" w:ascii="宋体" w:hAnsi="宋体" w:eastAsia="宋体" w:cs="宋体"/>
          <w:color w:val="auto"/>
          <w:sz w:val="24"/>
          <w:highlight w:val="none"/>
          <w:lang w:val="en-US" w:eastAsia="zh-CN"/>
        </w:rPr>
        <w:t>修改</w:t>
      </w:r>
    </w:p>
    <w:p w14:paraId="71BF727B">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color w:val="auto"/>
          <w:sz w:val="24"/>
          <w:highlight w:val="none"/>
        </w:rPr>
        <w:t>原文：</w:t>
      </w:r>
      <w:r>
        <w:rPr>
          <w:rFonts w:hint="eastAsia" w:ascii="宋体" w:hAnsi="宋体" w:eastAsia="宋体"/>
          <w:color w:val="auto"/>
          <w:sz w:val="24"/>
          <w:highlight w:val="none"/>
        </w:rPr>
        <w:t>3.2.2投标人在投标截止时间前修改投标函中的投标报价总额，应同时修改“已标价工程量清单”中的相应报价，投标报价总额为各分项金额之和。此修改须符合本章第4.3款的有关要求。（此条不适用于综合评估法三）</w:t>
      </w:r>
    </w:p>
    <w:p w14:paraId="18DB4532">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3.2.2</w:t>
      </w:r>
      <w:r>
        <w:rPr>
          <w:rFonts w:hint="eastAsia" w:ascii="宋体" w:hAnsi="宋体" w:eastAsia="宋体"/>
          <w:color w:val="auto"/>
          <w:sz w:val="24"/>
          <w:highlight w:val="none"/>
        </w:rPr>
        <w:t>采用综合评估法三的，投标人在投标截止时间前修改投标函中的投标报价总额，并根据评标办法列明的方法重新计算投标报价下浮率。此修改须符合本章第4.3款的有关要求。</w:t>
      </w:r>
    </w:p>
    <w:p w14:paraId="2D2E9A44">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lang w:val="en-US" w:eastAsia="zh-CN"/>
        </w:rPr>
      </w:pPr>
      <w:r>
        <w:rPr>
          <w:rFonts w:hint="eastAsia" w:ascii="宋体" w:hAnsi="宋体" w:eastAsia="宋体"/>
          <w:b/>
          <w:bCs/>
          <w:color w:val="auto"/>
          <w:sz w:val="24"/>
          <w:highlight w:val="none"/>
          <w:lang w:val="en-US" w:eastAsia="zh-CN"/>
        </w:rPr>
        <w:t>现文：</w:t>
      </w:r>
      <w:r>
        <w:rPr>
          <w:rFonts w:hint="eastAsia" w:ascii="宋体" w:hAnsi="宋体" w:eastAsia="宋体"/>
          <w:color w:val="auto"/>
          <w:sz w:val="24"/>
          <w:highlight w:val="none"/>
        </w:rPr>
        <w:t>3.2.2投标人在投标截止时间前修改投标函中的投标报价总额，应同时修改“已标价工程量清单”中的相应报价，投标报价总额为各分项金额之和。此修改须符合本章第4.3款的有关要求。</w:t>
      </w:r>
    </w:p>
    <w:p w14:paraId="011A6C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条款号：3.5.5</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szCs w:val="24"/>
          <w:highlight w:val="none"/>
        </w:rPr>
        <w:t xml:space="preserve"> 修改类型：</w:t>
      </w:r>
      <w:r>
        <w:rPr>
          <w:rFonts w:hint="eastAsia" w:ascii="宋体" w:hAnsi="宋体" w:eastAsia="宋体" w:cs="宋体"/>
          <w:color w:val="auto"/>
          <w:sz w:val="24"/>
          <w:szCs w:val="24"/>
          <w:highlight w:val="none"/>
          <w:lang w:val="en-US" w:eastAsia="zh-CN"/>
        </w:rPr>
        <w:t>修改</w:t>
      </w:r>
    </w:p>
    <w:p w14:paraId="0D54C564">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3.5.5</w:t>
      </w:r>
      <w:r>
        <w:rPr>
          <w:rFonts w:hint="eastAsia" w:ascii="宋体" w:hAnsi="宋体" w:eastAsia="宋体"/>
          <w:color w:val="auto"/>
          <w:sz w:val="24"/>
          <w:highlight w:val="none"/>
        </w:rPr>
        <w:t>投标人须知前附表规定接受联合体投标的，本章第3.5.1项至第3.5.</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项规定的表格和资料应包括联合体各方相关情况。</w:t>
      </w:r>
    </w:p>
    <w:p w14:paraId="3F274F7A">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color w:val="auto"/>
          <w:sz w:val="24"/>
          <w:highlight w:val="none"/>
        </w:rPr>
      </w:pPr>
      <w:r>
        <w:rPr>
          <w:rFonts w:hint="eastAsia" w:ascii="宋体" w:hAnsi="宋体" w:eastAsia="宋体"/>
          <w:b/>
          <w:bCs/>
          <w:color w:val="auto"/>
          <w:sz w:val="24"/>
          <w:highlight w:val="none"/>
          <w:lang w:val="en-US" w:eastAsia="zh-CN"/>
        </w:rPr>
        <w:t>现文：</w:t>
      </w:r>
      <w:r>
        <w:rPr>
          <w:rFonts w:hint="eastAsia" w:ascii="宋体" w:hAnsi="宋体" w:eastAsia="宋体" w:cs="宋体"/>
          <w:strike/>
          <w:color w:val="auto"/>
          <w:sz w:val="24"/>
          <w:szCs w:val="24"/>
          <w:highlight w:val="none"/>
        </w:rPr>
        <w:t>3.5.5</w:t>
      </w:r>
      <w:r>
        <w:rPr>
          <w:rFonts w:hint="eastAsia" w:ascii="宋体" w:hAnsi="宋体" w:eastAsia="宋体"/>
          <w:strike/>
          <w:color w:val="auto"/>
          <w:sz w:val="24"/>
          <w:highlight w:val="none"/>
        </w:rPr>
        <w:t>投标人须知前附表规定接受联合体投标的，本章第3.5.1项至第3.5.</w:t>
      </w:r>
      <w:r>
        <w:rPr>
          <w:rFonts w:hint="eastAsia" w:ascii="宋体" w:hAnsi="宋体" w:eastAsia="宋体"/>
          <w:strike/>
          <w:color w:val="auto"/>
          <w:sz w:val="24"/>
          <w:highlight w:val="none"/>
          <w:lang w:val="en-US" w:eastAsia="zh-CN"/>
        </w:rPr>
        <w:t>4</w:t>
      </w:r>
      <w:r>
        <w:rPr>
          <w:rFonts w:hint="eastAsia" w:ascii="宋体" w:hAnsi="宋体" w:eastAsia="宋体"/>
          <w:strike/>
          <w:color w:val="auto"/>
          <w:sz w:val="24"/>
          <w:highlight w:val="none"/>
        </w:rPr>
        <w:t>项规定的表格和资料应包括联合体各方相关情况。</w:t>
      </w:r>
    </w:p>
    <w:p w14:paraId="0E29BB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条款号：3.</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szCs w:val="24"/>
          <w:highlight w:val="none"/>
        </w:rPr>
        <w:t xml:space="preserve"> 修改类型：</w:t>
      </w:r>
      <w:r>
        <w:rPr>
          <w:rFonts w:hint="eastAsia" w:ascii="宋体" w:hAnsi="宋体" w:eastAsia="宋体" w:cs="宋体"/>
          <w:color w:val="auto"/>
          <w:sz w:val="24"/>
          <w:szCs w:val="24"/>
          <w:highlight w:val="none"/>
          <w:lang w:val="en-US" w:eastAsia="zh-CN"/>
        </w:rPr>
        <w:t>修改</w:t>
      </w:r>
    </w:p>
    <w:p w14:paraId="5F1E3FA5">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bCs/>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szCs w:val="24"/>
          <w:highlight w:val="none"/>
        </w:rPr>
        <w:t>3.6.</w:t>
      </w:r>
      <w:r>
        <w:rPr>
          <w:rFonts w:hint="eastAsia" w:ascii="宋体" w:hAnsi="宋体"/>
          <w:color w:val="auto"/>
          <w:sz w:val="24"/>
          <w:szCs w:val="24"/>
          <w:highlight w:val="none"/>
          <w:lang w:val="en-US" w:eastAsia="zh-CN"/>
        </w:rPr>
        <w:t>2</w:t>
      </w:r>
      <w:r>
        <w:rPr>
          <w:rFonts w:hint="eastAsia" w:ascii="宋体" w:hAnsi="宋体" w:eastAsia="宋体"/>
          <w:bCs/>
          <w:color w:val="auto"/>
          <w:sz w:val="24"/>
          <w:szCs w:val="24"/>
          <w:highlight w:val="none"/>
        </w:rPr>
        <w:t>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w:t>
      </w:r>
      <w:r>
        <w:rPr>
          <w:rFonts w:hint="eastAsia" w:ascii="宋体" w:hAnsi="宋体" w:eastAsia="宋体"/>
          <w:bCs/>
          <w:color w:val="auto"/>
          <w:sz w:val="24"/>
          <w:szCs w:val="24"/>
          <w:highlight w:val="none"/>
          <w:lang w:eastAsia="zh-CN"/>
        </w:rPr>
        <w:t>扫描</w:t>
      </w:r>
      <w:r>
        <w:rPr>
          <w:rFonts w:hint="eastAsia" w:ascii="宋体" w:hAnsi="宋体" w:eastAsia="宋体"/>
          <w:bCs/>
          <w:color w:val="auto"/>
          <w:sz w:val="24"/>
          <w:szCs w:val="24"/>
          <w:highlight w:val="none"/>
        </w:rPr>
        <w:t>件。</w:t>
      </w:r>
    </w:p>
    <w:p w14:paraId="2AF48242">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hint="eastAsia" w:ascii="宋体" w:hAnsi="宋体" w:eastAsia="宋体"/>
          <w:bCs/>
          <w:color w:val="auto"/>
          <w:sz w:val="24"/>
          <w:szCs w:val="24"/>
          <w:highlight w:val="none"/>
        </w:rPr>
      </w:pPr>
      <w:r>
        <w:rPr>
          <w:rFonts w:hint="eastAsia" w:ascii="宋体" w:hAnsi="宋体" w:eastAsia="宋体"/>
          <w:b/>
          <w:bCs/>
          <w:color w:val="auto"/>
          <w:sz w:val="24"/>
          <w:highlight w:val="none"/>
          <w:lang w:val="en-US" w:eastAsia="zh-CN"/>
        </w:rPr>
        <w:t>现文：</w:t>
      </w:r>
      <w:r>
        <w:rPr>
          <w:rFonts w:hint="eastAsia" w:ascii="宋体" w:hAnsi="宋体"/>
          <w:strike/>
          <w:color w:val="auto"/>
          <w:sz w:val="24"/>
          <w:szCs w:val="24"/>
          <w:highlight w:val="none"/>
        </w:rPr>
        <w:t>3.6.</w:t>
      </w:r>
      <w:r>
        <w:rPr>
          <w:rFonts w:hint="eastAsia" w:ascii="宋体" w:hAnsi="宋体"/>
          <w:strike/>
          <w:color w:val="auto"/>
          <w:sz w:val="24"/>
          <w:szCs w:val="24"/>
          <w:highlight w:val="none"/>
          <w:lang w:val="en-US" w:eastAsia="zh-CN"/>
        </w:rPr>
        <w:t>2</w:t>
      </w:r>
      <w:r>
        <w:rPr>
          <w:rFonts w:hint="eastAsia" w:ascii="宋体" w:hAnsi="宋体" w:eastAsia="宋体"/>
          <w:bCs/>
          <w:strike/>
          <w:color w:val="auto"/>
          <w:sz w:val="24"/>
          <w:szCs w:val="24"/>
          <w:highlight w:val="none"/>
        </w:rPr>
        <w:t>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w:t>
      </w:r>
      <w:r>
        <w:rPr>
          <w:rFonts w:hint="eastAsia" w:ascii="宋体" w:hAnsi="宋体" w:eastAsia="宋体"/>
          <w:bCs/>
          <w:strike/>
          <w:color w:val="auto"/>
          <w:sz w:val="24"/>
          <w:szCs w:val="24"/>
          <w:highlight w:val="none"/>
          <w:lang w:eastAsia="zh-CN"/>
        </w:rPr>
        <w:t>扫描</w:t>
      </w:r>
      <w:r>
        <w:rPr>
          <w:rFonts w:hint="eastAsia" w:ascii="宋体" w:hAnsi="宋体" w:eastAsia="宋体"/>
          <w:bCs/>
          <w:strike/>
          <w:color w:val="auto"/>
          <w:sz w:val="24"/>
          <w:szCs w:val="24"/>
          <w:highlight w:val="none"/>
        </w:rPr>
        <w:t>件。</w:t>
      </w:r>
    </w:p>
    <w:p w14:paraId="292718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4"/>
          <w:highlight w:val="none"/>
        </w:rPr>
        <w:t xml:space="preserve">                   修改类型：修改</w:t>
      </w:r>
    </w:p>
    <w:p w14:paraId="7E59DC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招标人可按本须知第2.4条规定以招标文件修改的方式，酌情延长递交投标文件的截止时间。在此情况下，投标人的所有权利和义务以及投标人受制约的截止时间，均以延长后新的投标截止时间为准。</w:t>
      </w:r>
    </w:p>
    <w:p w14:paraId="3251D011">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rPr>
        <w:t>招标人可按本须知第2.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条规定以招标文件修改的方式，酌情延长递交投标文件的截止时间。在此情况下，投标人的所有权利和义务以及投标人受制约的截止时间，均以延长后新的投标截止时间为准。</w:t>
      </w:r>
    </w:p>
    <w:p w14:paraId="359847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条款号：4.3</w:t>
      </w:r>
      <w:r>
        <w:rPr>
          <w:rFonts w:hint="eastAsia" w:ascii="宋体" w:hAnsi="宋体" w:eastAsia="宋体" w:cs="宋体"/>
          <w:color w:val="auto"/>
          <w:sz w:val="24"/>
          <w:highlight w:val="none"/>
        </w:rPr>
        <w:t>.3</w:t>
      </w:r>
      <w:r>
        <w:rPr>
          <w:rFonts w:hint="eastAsia" w:ascii="宋体" w:hAnsi="宋体" w:eastAsia="宋体" w:cs="宋体"/>
          <w:color w:val="auto"/>
          <w:sz w:val="24"/>
          <w:szCs w:val="24"/>
          <w:highlight w:val="none"/>
        </w:rPr>
        <w:t xml:space="preserve">                   修改类型：修改</w:t>
      </w:r>
    </w:p>
    <w:p w14:paraId="2A5A273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到投标截止时间止，招标人收到的投标文件少于3家的，招标人将依法重新组织招标。（当N个标段同时招标且不允许兼中时，若有效投标人不足N+2家，则重新组织招标）。</w:t>
      </w:r>
    </w:p>
    <w:p w14:paraId="0659A1D3">
      <w:pPr>
        <w:keepNext w:val="0"/>
        <w:keepLines w:val="0"/>
        <w:pageBreakBefore w:val="0"/>
        <w:widowControl/>
        <w:pBdr>
          <w:bottom w:val="single" w:color="auto" w:sz="6" w:space="1"/>
        </w:pBdr>
        <w:kinsoku/>
        <w:wordWrap/>
        <w:overflowPunct/>
        <w:topLinePunct w:val="0"/>
        <w:autoSpaceDE/>
        <w:autoSpaceDN/>
        <w:bidi w:val="0"/>
        <w:adjustRightInd w:val="0"/>
        <w:snapToGrid w:val="0"/>
        <w:spacing w:beforeLines="0" w:line="360" w:lineRule="auto"/>
        <w:ind w:firstLine="480" w:firstLineChars="200"/>
        <w:textAlignment w:val="auto"/>
        <w:rPr>
          <w:rFonts w:hint="eastAsia" w:ascii="宋体" w:hAnsi="宋体" w:eastAsia="宋体" w:cs="宋体"/>
          <w:color w:val="auto"/>
          <w:sz w:val="24"/>
          <w:highlight w:val="none"/>
          <w:u w:val="singl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567055</wp:posOffset>
                </wp:positionV>
                <wp:extent cx="5276215"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52762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pt;margin-top:44.65pt;height:0.05pt;width:415.45pt;z-index:251660288;mso-width-relative:page;mso-height-relative:page;" filled="f" stroked="t" coordsize="21600,21600" o:gfxdata="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2ap5NUAAAAHAQAADwAAAAAAAAABACAAAAAiAAAAZHJzL2Rvd25yZXYueG1sUEsBAhQA&#10;FAAAAAgAh07iQLQ9ybD1AQAA5gMAAA4AAAAAAAAAAQAgAAAAJA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b/>
          <w:color w:val="auto"/>
          <w:sz w:val="24"/>
          <w:szCs w:val="24"/>
          <w:highlight w:val="none"/>
        </w:rPr>
        <w:t>现文：</w:t>
      </w:r>
      <w:r>
        <w:rPr>
          <w:rFonts w:hint="eastAsia" w:ascii="宋体" w:hAnsi="宋体" w:eastAsia="宋体" w:cs="宋体"/>
          <w:color w:val="auto"/>
          <w:sz w:val="24"/>
          <w:highlight w:val="none"/>
          <w:u w:val="single"/>
        </w:rPr>
        <w:t>当投标登记或递交投标文件或通过资格审查或经评议有效投标的投标人不足3名时，重新组织招标。</w:t>
      </w:r>
    </w:p>
    <w:p w14:paraId="5A1725E7">
      <w:pPr>
        <w:adjustRightInd w:val="0"/>
        <w:snapToGrid w:val="0"/>
        <w:spacing w:before="0" w:before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条款号：5.</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修改类型：修改</w:t>
      </w:r>
    </w:p>
    <w:p w14:paraId="7BA13432">
      <w:pPr>
        <w:spacing w:line="360" w:lineRule="auto"/>
        <w:ind w:firstLine="482" w:firstLineChars="200"/>
        <w:jc w:val="left"/>
        <w:rPr>
          <w:rFonts w:ascii="宋体" w:hAnsi="宋体" w:cs="仿宋_GB2312"/>
          <w:color w:val="auto"/>
          <w:sz w:val="24"/>
          <w:szCs w:val="24"/>
          <w:highlight w:val="none"/>
        </w:rPr>
      </w:pPr>
      <w:r>
        <w:rPr>
          <w:rFonts w:hint="eastAsia" w:ascii="宋体" w:hAnsi="宋体" w:eastAsia="宋体" w:cs="宋体"/>
          <w:b/>
          <w:color w:val="auto"/>
          <w:sz w:val="24"/>
          <w:szCs w:val="24"/>
          <w:highlight w:val="none"/>
        </w:rPr>
        <w:t>原文：</w:t>
      </w:r>
      <w:r>
        <w:rPr>
          <w:rFonts w:hint="eastAsia"/>
          <w:color w:val="auto"/>
          <w:sz w:val="24"/>
          <w:highlight w:val="none"/>
        </w:rPr>
        <w:t>招标人在招标文件要求提交投标文件的截止时间前收到的投标文件，开标时都当众予以解密、公布</w:t>
      </w:r>
      <w:r>
        <w:rPr>
          <w:rFonts w:hint="eastAsia" w:ascii="宋体" w:hAnsi="宋体" w:cs="仿宋_GB2312"/>
          <w:color w:val="auto"/>
          <w:sz w:val="24"/>
          <w:szCs w:val="24"/>
          <w:highlight w:val="none"/>
        </w:rPr>
        <w:t>。</w:t>
      </w:r>
    </w:p>
    <w:p w14:paraId="7B8A7A47">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color w:val="auto"/>
          <w:sz w:val="24"/>
          <w:highlight w:val="none"/>
        </w:rPr>
        <w:t>招标人在招标文件要求提交投标文件的截止时间前收到</w:t>
      </w:r>
      <w:r>
        <w:rPr>
          <w:rFonts w:hint="eastAsia"/>
          <w:color w:val="auto"/>
          <w:sz w:val="24"/>
          <w:highlight w:val="none"/>
          <w:u w:val="single"/>
          <w:lang w:val="en-US" w:eastAsia="zh-CN"/>
        </w:rPr>
        <w:t>并</w:t>
      </w:r>
      <w:r>
        <w:rPr>
          <w:rFonts w:hint="eastAsia"/>
          <w:color w:val="auto"/>
          <w:sz w:val="24"/>
          <w:highlight w:val="none"/>
          <w:u w:val="single"/>
        </w:rPr>
        <w:t>完成投标人解密</w:t>
      </w:r>
      <w:r>
        <w:rPr>
          <w:rFonts w:hint="eastAsia"/>
          <w:color w:val="auto"/>
          <w:sz w:val="24"/>
          <w:highlight w:val="none"/>
        </w:rPr>
        <w:t>的投标文件，开标时都当众予以解密、</w:t>
      </w:r>
      <w:r>
        <w:rPr>
          <w:rFonts w:hint="eastAsia"/>
          <w:color w:val="auto"/>
          <w:sz w:val="24"/>
          <w:highlight w:val="none"/>
          <w:lang w:val="en-US" w:eastAsia="zh-CN"/>
        </w:rPr>
        <w:t>公布。</w:t>
      </w:r>
    </w:p>
    <w:p w14:paraId="7855EAB5">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6.1.1</w:t>
      </w:r>
      <w:r>
        <w:rPr>
          <w:rFonts w:hint="eastAsia" w:ascii="宋体" w:hAnsi="宋体" w:eastAsia="宋体" w:cs="宋体"/>
          <w:color w:val="auto"/>
          <w:sz w:val="24"/>
          <w:szCs w:val="24"/>
          <w:highlight w:val="none"/>
        </w:rPr>
        <w:t xml:space="preserve">                   修改类型：修改</w:t>
      </w:r>
    </w:p>
    <w:p w14:paraId="1940FB35">
      <w:pPr>
        <w:pStyle w:val="16"/>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color w:val="auto"/>
          <w:sz w:val="24"/>
          <w:szCs w:val="24"/>
          <w:highlight w:val="none"/>
        </w:rPr>
        <w:t>6.1.1评标由招标人依法组建的评标委员会负责。评标委员会由有关技术、经济等方面的专家和招标人代表组成，专家从广东省综合评标评审专家库中抽取。评标委员会成员人数以及技术、经济等方面专家的确定方式见投标人须知前附表。</w:t>
      </w:r>
    </w:p>
    <w:p w14:paraId="532235F5">
      <w:pPr>
        <w:keepNext w:val="0"/>
        <w:keepLines w:val="0"/>
        <w:pageBreakBefore w:val="0"/>
        <w:widowControl w:val="0"/>
        <w:pBdr>
          <w:bottom w:val="single" w:color="auto" w:sz="6" w:space="1"/>
        </w:pBdr>
        <w:kinsoku/>
        <w:wordWrap/>
        <w:overflowPunct/>
        <w:topLinePunct w:val="0"/>
        <w:autoSpaceDE/>
        <w:autoSpaceDN/>
        <w:bidi w:val="0"/>
        <w:spacing w:line="360" w:lineRule="auto"/>
        <w:ind w:firstLine="482" w:firstLineChars="200"/>
        <w:textAlignment w:val="auto"/>
        <w:rPr>
          <w:rFonts w:ascii="宋体" w:hAnsi="宋体"/>
          <w:color w:val="auto"/>
          <w:sz w:val="24"/>
          <w:szCs w:val="24"/>
          <w:highlight w:val="none"/>
        </w:rPr>
      </w:pPr>
      <w:r>
        <w:rPr>
          <w:rFonts w:hint="eastAsia" w:ascii="宋体" w:hAnsi="宋体" w:eastAsia="宋体" w:cs="宋体"/>
          <w:b/>
          <w:color w:val="auto"/>
          <w:sz w:val="24"/>
          <w:szCs w:val="24"/>
          <w:highlight w:val="none"/>
        </w:rPr>
        <w:t>现文：</w:t>
      </w:r>
      <w:r>
        <w:rPr>
          <w:rFonts w:hint="eastAsia" w:ascii="宋体" w:hAnsi="宋体" w:eastAsia="宋体" w:cs="宋体"/>
          <w:color w:val="auto"/>
          <w:sz w:val="24"/>
          <w:szCs w:val="24"/>
          <w:highlight w:val="none"/>
        </w:rPr>
        <w:t>6.1.1</w:t>
      </w:r>
      <w:r>
        <w:rPr>
          <w:rFonts w:hint="eastAsia" w:ascii="宋体" w:hAnsi="宋体" w:eastAsia="宋体" w:cs="宋体"/>
          <w:color w:val="auto"/>
          <w:sz w:val="24"/>
          <w:highlight w:val="none"/>
        </w:rPr>
        <w:t>评标由招标人依法组建的评标委员会负责。评标委员会由招标人代表或其委托的招标代理机构熟悉相关业务的代表，以及由广东省综合评标评审专家库有关技术、经济等方面的专家组成。评标委员会成员人数以及技术、经济等方面专家的确定方式见投标人须知前附表。</w:t>
      </w:r>
    </w:p>
    <w:p w14:paraId="352863EA">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7.2.1</w:t>
      </w:r>
      <w:r>
        <w:rPr>
          <w:rFonts w:hint="eastAsia" w:ascii="宋体" w:hAnsi="宋体" w:eastAsia="宋体" w:cs="宋体"/>
          <w:color w:val="auto"/>
          <w:sz w:val="24"/>
          <w:szCs w:val="24"/>
          <w:highlight w:val="none"/>
        </w:rPr>
        <w:t xml:space="preserve">                   修改类型：修改</w:t>
      </w:r>
    </w:p>
    <w:p w14:paraId="63E16D4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 w:val="0"/>
          <w:bCs/>
          <w:color w:val="auto"/>
          <w:sz w:val="24"/>
          <w:szCs w:val="24"/>
          <w:highlight w:val="none"/>
        </w:rPr>
        <w:t>7.2.1招标人在《投标人须知前附表》规定的媒介公示中标候选人，公示期为三天，最后一天应为工作日。</w:t>
      </w:r>
    </w:p>
    <w:p w14:paraId="0FDC95F7">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eastAsia="宋体" w:cs="宋体"/>
          <w:b w:val="0"/>
          <w:bCs/>
          <w:color w:val="auto"/>
          <w:sz w:val="24"/>
          <w:szCs w:val="24"/>
          <w:highlight w:val="none"/>
        </w:rPr>
        <w:t>7.2.1招标人在《投标人须知前附表》规定的媒介公示中标候选人，公示期为三天，最后一天应为工作日。</w:t>
      </w:r>
      <w:r>
        <w:rPr>
          <w:rFonts w:hint="eastAsia" w:ascii="宋体" w:hAnsi="宋体" w:eastAsia="宋体" w:cs="宋体"/>
          <w:color w:val="auto"/>
          <w:sz w:val="24"/>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1CB203A7">
      <w:pPr>
        <w:pStyle w:val="1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szCs w:val="24"/>
          <w:highlight w:val="none"/>
          <w:lang w:val="en-US" w:eastAsia="zh-CN"/>
        </w:rPr>
        <w:t>7.4.1</w:t>
      </w:r>
      <w:r>
        <w:rPr>
          <w:rFonts w:hint="eastAsia" w:ascii="宋体" w:hAnsi="宋体" w:eastAsia="宋体" w:cs="宋体"/>
          <w:color w:val="auto"/>
          <w:sz w:val="24"/>
          <w:szCs w:val="24"/>
          <w:highlight w:val="none"/>
        </w:rPr>
        <w:t xml:space="preserve">                   修改类型：修改</w:t>
      </w:r>
    </w:p>
    <w:p w14:paraId="376782E6">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原文：</w:t>
      </w:r>
      <w:r>
        <w:rPr>
          <w:rFonts w:hint="eastAsia" w:ascii="宋体" w:hAnsi="宋体"/>
          <w:color w:val="auto"/>
          <w:sz w:val="24"/>
          <w:highlight w:val="none"/>
        </w:rPr>
        <w:t>7.4.1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59B6FEB2">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eastAsia="宋体" w:cs="宋体"/>
          <w:b w:val="0"/>
          <w:bCs/>
          <w:color w:val="auto"/>
          <w:sz w:val="24"/>
          <w:highlight w:val="none"/>
          <w:lang w:val="en-US" w:eastAsia="zh-CN"/>
        </w:rPr>
        <w:t>7.4.1</w:t>
      </w:r>
      <w:r>
        <w:rPr>
          <w:rFonts w:hint="eastAsia" w:ascii="宋体" w:hAnsi="宋体" w:eastAsia="宋体" w:cs="宋体"/>
          <w:color w:val="auto"/>
          <w:sz w:val="24"/>
          <w:highlight w:val="none"/>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533382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条款号：8.2</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修改类型：增加</w:t>
      </w:r>
    </w:p>
    <w:p w14:paraId="40B9F192">
      <w:pPr>
        <w:keepNext w:val="0"/>
        <w:keepLines w:val="0"/>
        <w:pageBreakBefore w:val="0"/>
        <w:widowControl w:val="0"/>
        <w:pBdr>
          <w:bottom w:val="single" w:color="auto" w:sz="4" w:space="0"/>
        </w:pBd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现文：</w:t>
      </w:r>
      <w:r>
        <w:rPr>
          <w:rFonts w:hint="eastAsia" w:ascii="宋体" w:hAnsi="宋体" w:cs="宋体"/>
          <w:b w:val="0"/>
          <w:bCs/>
          <w:color w:val="auto"/>
          <w:sz w:val="24"/>
          <w:highlight w:val="none"/>
          <w:lang w:val="en-US" w:eastAsia="zh-CN"/>
        </w:rPr>
        <w:t>8.2</w:t>
      </w:r>
      <w:r>
        <w:rPr>
          <w:rFonts w:hint="eastAsia" w:ascii="宋体" w:hAnsi="宋体" w:eastAsia="宋体" w:cs="宋体"/>
          <w:color w:val="auto"/>
          <w:sz w:val="24"/>
          <w:highlight w:val="none"/>
        </w:rPr>
        <w:t>重新招标后，仍出现本章第8.1条规定情形之一的，属于必须审批的水务工程建设项目，经行政监督部门批准后不再进行招标。</w:t>
      </w:r>
    </w:p>
    <w:p w14:paraId="5AFB4A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r>
        <w:rPr>
          <w:rFonts w:hint="eastAsia" w:ascii="宋体" w:hAnsi="宋体" w:eastAsia="宋体" w:cs="宋体"/>
          <w:color w:val="auto"/>
          <w:sz w:val="24"/>
          <w:highlight w:val="none"/>
        </w:rPr>
        <w:t xml:space="preserve">9.5 </w:t>
      </w:r>
      <w:r>
        <w:rPr>
          <w:rFonts w:hint="eastAsia" w:ascii="宋体" w:hAnsi="宋体" w:eastAsia="宋体" w:cs="宋体"/>
          <w:color w:val="auto"/>
          <w:sz w:val="24"/>
          <w:szCs w:val="24"/>
          <w:highlight w:val="none"/>
        </w:rPr>
        <w:t xml:space="preserve">                                 修改类型：增加</w:t>
      </w:r>
    </w:p>
    <w:p w14:paraId="04972B7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现文：</w:t>
      </w:r>
      <w:r>
        <w:rPr>
          <w:rFonts w:hint="eastAsia" w:ascii="宋体" w:hAnsi="宋体" w:eastAsia="宋体" w:cs="宋体"/>
          <w:color w:val="auto"/>
          <w:sz w:val="24"/>
          <w:highlight w:val="non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338AAA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34845FCC">
      <w:pPr>
        <w:keepNext w:val="0"/>
        <w:keepLines w:val="0"/>
        <w:pageBreakBefore w:val="0"/>
        <w:widowControl w:val="0"/>
        <w:pBdr>
          <w:bottom w:val="single" w:color="auto" w:sz="6" w:space="1"/>
        </w:pBdr>
        <w:kinsoku/>
        <w:wordWrap/>
        <w:overflowPunct/>
        <w:topLinePunct w:val="0"/>
        <w:autoSpaceDE/>
        <w:autoSpaceDN/>
        <w:bidi w:val="0"/>
        <w:spacing w:line="360" w:lineRule="auto"/>
        <w:ind w:firstLine="480" w:firstLineChars="200"/>
        <w:textAlignment w:val="auto"/>
        <w:rPr>
          <w:rFonts w:ascii="宋体" w:hAnsi="宋体"/>
          <w:color w:val="auto"/>
          <w:sz w:val="24"/>
          <w:szCs w:val="24"/>
          <w:highlight w:val="none"/>
        </w:rPr>
      </w:pPr>
      <w:r>
        <w:rPr>
          <w:rFonts w:hint="eastAsia" w:ascii="宋体" w:hAnsi="宋体" w:eastAsia="宋体" w:cs="宋体"/>
          <w:color w:val="auto"/>
          <w:sz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1D946663">
      <w:pPr>
        <w:spacing w:line="360" w:lineRule="auto"/>
        <w:rPr>
          <w:rFonts w:ascii="宋体" w:hAnsi="宋体"/>
          <w:color w:val="auto"/>
          <w:sz w:val="24"/>
          <w:szCs w:val="24"/>
          <w:highlight w:val="none"/>
        </w:rPr>
      </w:pPr>
      <w:r>
        <w:rPr>
          <w:rFonts w:hint="eastAsia" w:ascii="宋体" w:hAnsi="宋体"/>
          <w:color w:val="auto"/>
          <w:sz w:val="24"/>
          <w:szCs w:val="24"/>
          <w:highlight w:val="none"/>
        </w:rPr>
        <w:t>注：以上修改，仅限于本范本中有可供选择条款的情形。</w:t>
      </w:r>
    </w:p>
    <w:p w14:paraId="1225A14A">
      <w:pPr>
        <w:spacing w:line="360" w:lineRule="auto"/>
        <w:rPr>
          <w:rFonts w:ascii="宋体" w:hAnsi="宋体"/>
          <w:color w:val="auto"/>
          <w:sz w:val="24"/>
          <w:szCs w:val="24"/>
          <w:highlight w:val="none"/>
        </w:rPr>
      </w:pPr>
      <w:r>
        <w:rPr>
          <w:rFonts w:hint="eastAsia" w:ascii="宋体" w:hAnsi="宋体"/>
          <w:color w:val="auto"/>
          <w:sz w:val="24"/>
          <w:szCs w:val="24"/>
          <w:highlight w:val="none"/>
        </w:rPr>
        <w:t>（以下无正文）</w:t>
      </w:r>
    </w:p>
    <w:p w14:paraId="705FBD29">
      <w:pPr>
        <w:pStyle w:val="14"/>
        <w:spacing w:line="360" w:lineRule="auto"/>
        <w:rPr>
          <w:rFonts w:eastAsia="宋体"/>
          <w:b/>
          <w:color w:val="auto"/>
          <w:sz w:val="24"/>
          <w:highlight w:val="none"/>
        </w:rPr>
      </w:pPr>
    </w:p>
    <w:p w14:paraId="488717E3">
      <w:pPr>
        <w:widowControl/>
        <w:jc w:val="left"/>
        <w:rPr>
          <w:rFonts w:ascii="宋体" w:hAnsi="宋体"/>
          <w:b/>
          <w:color w:val="auto"/>
          <w:sz w:val="24"/>
          <w:szCs w:val="24"/>
          <w:highlight w:val="none"/>
          <w:u w:val="single"/>
        </w:rPr>
      </w:pPr>
      <w:r>
        <w:rPr>
          <w:rFonts w:ascii="宋体" w:hAnsi="宋体"/>
          <w:b/>
          <w:color w:val="auto"/>
          <w:sz w:val="24"/>
          <w:highlight w:val="none"/>
        </w:rPr>
        <w:br w:type="page"/>
      </w:r>
    </w:p>
    <w:p w14:paraId="58B7EE9B">
      <w:pPr>
        <w:spacing w:line="360" w:lineRule="auto"/>
        <w:jc w:val="center"/>
        <w:outlineLvl w:val="2"/>
        <w:rPr>
          <w:rFonts w:ascii="黑体" w:hAnsi="黑体" w:eastAsia="黑体"/>
          <w:color w:val="auto"/>
          <w:sz w:val="28"/>
          <w:szCs w:val="27"/>
          <w:highlight w:val="none"/>
        </w:rPr>
      </w:pPr>
      <w:bookmarkStart w:id="177" w:name="_Toc17452665"/>
      <w:bookmarkStart w:id="178" w:name="_Toc17451624"/>
      <w:bookmarkStart w:id="179" w:name="_Toc17451579"/>
      <w:bookmarkStart w:id="180" w:name="_Toc17278"/>
      <w:bookmarkStart w:id="181" w:name="_Toc17454872"/>
      <w:bookmarkStart w:id="182" w:name="_Toc17454923"/>
      <w:bookmarkStart w:id="183" w:name="_Toc17556877"/>
      <w:bookmarkStart w:id="184" w:name="_Toc17451102"/>
      <w:r>
        <w:rPr>
          <w:rFonts w:hint="eastAsia" w:ascii="黑体" w:hAnsi="黑体" w:eastAsia="黑体"/>
          <w:color w:val="auto"/>
          <w:sz w:val="28"/>
          <w:szCs w:val="27"/>
          <w:highlight w:val="none"/>
        </w:rPr>
        <w:t>三、</w:t>
      </w:r>
      <w:r>
        <w:rPr>
          <w:rFonts w:hint="eastAsia" w:ascii="黑体" w:hAnsi="黑体" w:eastAsia="黑体"/>
          <w:color w:val="auto"/>
          <w:sz w:val="28"/>
          <w:szCs w:val="27"/>
          <w:highlight w:val="none"/>
          <w:lang w:eastAsia="zh-CN"/>
        </w:rPr>
        <w:t>投标人须知</w:t>
      </w:r>
      <w:r>
        <w:rPr>
          <w:rFonts w:hint="eastAsia" w:ascii="黑体" w:hAnsi="黑体" w:eastAsia="黑体"/>
          <w:color w:val="auto"/>
          <w:sz w:val="28"/>
          <w:szCs w:val="27"/>
          <w:highlight w:val="none"/>
        </w:rPr>
        <w:t>通用条款</w:t>
      </w:r>
      <w:bookmarkEnd w:id="177"/>
      <w:bookmarkEnd w:id="178"/>
      <w:bookmarkEnd w:id="179"/>
      <w:bookmarkEnd w:id="180"/>
      <w:bookmarkEnd w:id="181"/>
      <w:bookmarkEnd w:id="182"/>
      <w:bookmarkEnd w:id="183"/>
      <w:bookmarkEnd w:id="184"/>
    </w:p>
    <w:p w14:paraId="784A07D7">
      <w:pPr>
        <w:jc w:val="center"/>
        <w:outlineLvl w:val="3"/>
        <w:rPr>
          <w:rFonts w:ascii="仿宋" w:hAnsi="仿宋" w:eastAsia="仿宋"/>
          <w:b/>
          <w:color w:val="auto"/>
          <w:sz w:val="30"/>
          <w:szCs w:val="30"/>
          <w:highlight w:val="none"/>
        </w:rPr>
      </w:pPr>
      <w:bookmarkStart w:id="185" w:name="_Toc101777612"/>
      <w:bookmarkStart w:id="186" w:name="_Toc262229163"/>
      <w:bookmarkStart w:id="187" w:name="_Toc85505512"/>
      <w:r>
        <w:rPr>
          <w:rFonts w:hint="eastAsia" w:ascii="仿宋" w:hAnsi="仿宋" w:eastAsia="仿宋"/>
          <w:b/>
          <w:color w:val="auto"/>
          <w:sz w:val="30"/>
          <w:szCs w:val="30"/>
          <w:highlight w:val="none"/>
        </w:rPr>
        <w:t>（一）总则</w:t>
      </w:r>
      <w:bookmarkEnd w:id="185"/>
      <w:bookmarkEnd w:id="186"/>
      <w:bookmarkEnd w:id="187"/>
    </w:p>
    <w:p w14:paraId="0C433404">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1.1 项目概况</w:t>
      </w:r>
    </w:p>
    <w:p w14:paraId="251A73D5">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1.1.1根据《中华人民共和国招标投标法》等有关法律、法规和规章的规定，本招标项目已具备招标条件，现对本标段施工进行招标。</w:t>
      </w:r>
    </w:p>
    <w:p w14:paraId="2AAA7F5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1.1.2 本招标项目招标人：见投标人须知前附表。</w:t>
      </w:r>
    </w:p>
    <w:p w14:paraId="75578E20">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1.1.3 本标段招标代理机构：见投标人须知前附表。</w:t>
      </w:r>
    </w:p>
    <w:p w14:paraId="69D51EF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1.1.4 本招标项目名称：见投标人须知前附表。</w:t>
      </w:r>
    </w:p>
    <w:p w14:paraId="00F593F4">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1.1.5 本标段建设地点：见投标人须知前附表。</w:t>
      </w:r>
    </w:p>
    <w:p w14:paraId="4BF67A79">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1.2 资金来源和落实情况</w:t>
      </w:r>
    </w:p>
    <w:p w14:paraId="2E942224">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1.2.1 本招标项目的资金来源及出资比例：见投标人须知前附表。</w:t>
      </w:r>
    </w:p>
    <w:p w14:paraId="2DD2F95A">
      <w:pPr>
        <w:pStyle w:val="5"/>
        <w:numPr>
          <w:ilvl w:val="0"/>
          <w:numId w:val="0"/>
        </w:numPr>
        <w:spacing w:line="360" w:lineRule="auto"/>
        <w:ind w:left="480" w:leftChars="0"/>
        <w:rPr>
          <w:color w:val="auto"/>
          <w:sz w:val="24"/>
          <w:szCs w:val="24"/>
          <w:highlight w:val="none"/>
        </w:rPr>
      </w:pPr>
      <w:r>
        <w:rPr>
          <w:rFonts w:hint="eastAsia" w:ascii="宋体" w:hAnsi="宋体"/>
          <w:bCs/>
          <w:color w:val="auto"/>
          <w:sz w:val="24"/>
          <w:highlight w:val="none"/>
        </w:rPr>
        <w:t>1.2.</w:t>
      </w:r>
      <w:r>
        <w:rPr>
          <w:rFonts w:hint="eastAsia" w:ascii="宋体" w:hAnsi="宋体"/>
          <w:bCs/>
          <w:color w:val="auto"/>
          <w:sz w:val="24"/>
          <w:highlight w:val="none"/>
          <w:lang w:val="en-US" w:eastAsia="zh-CN"/>
        </w:rPr>
        <w:t>2</w:t>
      </w:r>
      <w:r>
        <w:rPr>
          <w:rFonts w:hint="eastAsia" w:ascii="宋体" w:hAnsi="宋体"/>
          <w:bCs/>
          <w:color w:val="auto"/>
          <w:sz w:val="24"/>
          <w:highlight w:val="none"/>
        </w:rPr>
        <w:t xml:space="preserve"> </w:t>
      </w:r>
      <w:r>
        <w:rPr>
          <w:rFonts w:hint="eastAsia"/>
          <w:color w:val="auto"/>
          <w:sz w:val="24"/>
          <w:szCs w:val="24"/>
          <w:highlight w:val="none"/>
        </w:rPr>
        <w:t>本招标项目的资金落实情况：见投标人须知前附表。</w:t>
      </w:r>
    </w:p>
    <w:p w14:paraId="012304F7">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1.3 招标范围、计划工期和质量要求</w:t>
      </w:r>
    </w:p>
    <w:p w14:paraId="4BC5BB0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1.3.1 本次招标范围：见投标人须知前附表。</w:t>
      </w:r>
    </w:p>
    <w:p w14:paraId="18918C68">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1.3.2 本标段的计划工期：见投标人须知前附表。</w:t>
      </w:r>
    </w:p>
    <w:p w14:paraId="1801C2DA">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1.3.3 本标段的质量要求：见投标人须知前附表。</w:t>
      </w:r>
    </w:p>
    <w:p w14:paraId="4C112E4C">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1.3.4 本招标项目的承包方式：见投标人须知前附表。</w:t>
      </w:r>
    </w:p>
    <w:p w14:paraId="3FB9DD84">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1.4 投标人资格要求</w:t>
      </w:r>
    </w:p>
    <w:p w14:paraId="19D49EB2">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1.4.1 投标人应具备承担本项目施工的资质条件、能力和信誉</w:t>
      </w:r>
      <w:r>
        <w:rPr>
          <w:rFonts w:hint="eastAsia" w:ascii="宋体" w:hAnsi="宋体"/>
          <w:bCs/>
          <w:color w:val="auto"/>
          <w:sz w:val="24"/>
          <w:highlight w:val="none"/>
          <w:lang w:eastAsia="zh-CN"/>
        </w:rPr>
        <w:t>，详见本项目招标公告。</w:t>
      </w:r>
    </w:p>
    <w:p w14:paraId="544FB1DA">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1.4.2 投标人须知前附表规定接受联合体投标的，联合体除应符合本章第 1.4.1 项和投标人须知前附表的要求外，还应遵守以下规定：</w:t>
      </w:r>
    </w:p>
    <w:p w14:paraId="634AFF01">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（1）联合体各方应按招标文件提供的格式签订联合体协议书，明确联合体</w:t>
      </w:r>
      <w:r>
        <w:rPr>
          <w:rFonts w:hint="eastAsia" w:ascii="宋体" w:hAnsi="宋体" w:eastAsia="宋体" w:cs="Times New Roman"/>
          <w:bCs/>
          <w:color w:val="auto"/>
          <w:spacing w:val="0"/>
          <w:sz w:val="24"/>
          <w:szCs w:val="22"/>
          <w:highlight w:val="none"/>
          <w:lang w:eastAsia="zh-CN"/>
        </w:rPr>
        <w:t>主办方</w:t>
      </w:r>
      <w:r>
        <w:rPr>
          <w:rFonts w:hint="eastAsia" w:ascii="宋体" w:hAnsi="宋体" w:eastAsia="宋体" w:cs="Times New Roman"/>
          <w:bCs/>
          <w:color w:val="auto"/>
          <w:sz w:val="24"/>
          <w:szCs w:val="22"/>
          <w:highlight w:val="none"/>
        </w:rPr>
        <w:t>和各方权利义务，并承诺就中标项目向招标人承担连带责任；</w:t>
      </w:r>
    </w:p>
    <w:p w14:paraId="12183749">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（2）由同一专业的单位组成的联合体，按照资质等级较低的单位确定资质等级；</w:t>
      </w:r>
    </w:p>
    <w:p w14:paraId="0327D27B">
      <w:pPr>
        <w:kinsoku/>
        <w:overflowPunct/>
        <w:spacing w:line="360" w:lineRule="auto"/>
        <w:ind w:firstLine="480" w:firstLineChars="200"/>
        <w:rPr>
          <w:rFonts w:hint="eastAsia" w:ascii="宋体" w:hAnsi="宋体" w:eastAsia="宋体" w:cs="Times New Roman"/>
          <w:bCs/>
          <w:color w:val="auto"/>
          <w:sz w:val="24"/>
          <w:szCs w:val="22"/>
          <w:highlight w:val="none"/>
        </w:rPr>
      </w:pPr>
      <w:r>
        <w:rPr>
          <w:rFonts w:hint="eastAsia" w:ascii="宋体" w:hAnsi="宋体" w:eastAsia="宋体" w:cs="Times New Roman"/>
          <w:bCs/>
          <w:color w:val="auto"/>
          <w:sz w:val="24"/>
          <w:szCs w:val="22"/>
          <w:highlight w:val="none"/>
        </w:rPr>
        <w:t>（3）联合体各方不得再以自己名义单独或参加其他联合体在本招标项目中投标，否则各相关投标均无效。</w:t>
      </w:r>
    </w:p>
    <w:p w14:paraId="30BE8EBE">
      <w:pPr>
        <w:spacing w:line="360" w:lineRule="auto"/>
        <w:ind w:firstLine="480" w:firstLineChars="200"/>
        <w:rPr>
          <w:rFonts w:hint="eastAsia" w:ascii="宋体" w:hAnsi="宋体"/>
          <w:bCs/>
          <w:color w:val="auto"/>
          <w:sz w:val="24"/>
          <w:highlight w:val="none"/>
        </w:rPr>
      </w:pPr>
    </w:p>
    <w:p w14:paraId="2B540ED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1.4.</w:t>
      </w:r>
      <w:r>
        <w:rPr>
          <w:rFonts w:hint="eastAsia" w:ascii="宋体" w:hAnsi="宋体"/>
          <w:bCs/>
          <w:color w:val="auto"/>
          <w:sz w:val="24"/>
          <w:highlight w:val="none"/>
          <w:lang w:val="en-US" w:eastAsia="zh-CN"/>
        </w:rPr>
        <w:t>3</w:t>
      </w:r>
      <w:r>
        <w:rPr>
          <w:rFonts w:hint="eastAsia" w:ascii="宋体" w:hAnsi="宋体"/>
          <w:bCs/>
          <w:color w:val="auto"/>
          <w:sz w:val="24"/>
          <w:highlight w:val="none"/>
        </w:rPr>
        <w:t>投标人不得存在下列情形之一：</w:t>
      </w:r>
    </w:p>
    <w:p w14:paraId="36B47EC7">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14:paraId="58CCE388">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14:paraId="01718380">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14:paraId="6726D12A">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14:paraId="1B7D7352">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14:paraId="61972EDC">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14:paraId="7B460AAF">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14:paraId="7A210015">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14:paraId="22B6E950">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建设、</w:t>
      </w:r>
      <w:r>
        <w:rPr>
          <w:rFonts w:hint="eastAsia" w:ascii="宋体" w:hAnsi="宋体" w:eastAsia="宋体"/>
          <w:color w:val="auto"/>
          <w:sz w:val="24"/>
          <w:szCs w:val="24"/>
          <w:highlight w:val="none"/>
          <w:lang w:eastAsia="zh-CN"/>
        </w:rPr>
        <w:t>监理单位</w:t>
      </w:r>
      <w:r>
        <w:rPr>
          <w:rFonts w:hint="eastAsia" w:ascii="宋体" w:hAnsi="宋体" w:eastAsia="宋体"/>
          <w:color w:val="auto"/>
          <w:sz w:val="24"/>
          <w:szCs w:val="24"/>
          <w:highlight w:val="none"/>
        </w:rPr>
        <w:t>以及建筑材料、建筑构配件和设备供应商有隶属关系或者其他利害关系有隶属关系或者其他利害关系；</w:t>
      </w:r>
    </w:p>
    <w:p w14:paraId="6B813D2C">
      <w:pPr>
        <w:pStyle w:val="26"/>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14:paraId="46BFE0FA">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24D98502">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14:paraId="09476156">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14:paraId="6A8C55F2">
      <w:pPr>
        <w:pStyle w:val="26"/>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02EE9F5A">
      <w:pPr>
        <w:spacing w:line="360" w:lineRule="auto"/>
        <w:ind w:firstLine="480" w:firstLineChars="200"/>
        <w:rPr>
          <w:rFonts w:ascii="宋体" w:hAnsi="宋体"/>
          <w:bCs/>
          <w:color w:val="auto"/>
          <w:sz w:val="24"/>
          <w:highlight w:val="none"/>
        </w:rPr>
      </w:pP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15</w:t>
      </w:r>
      <w:r>
        <w:rPr>
          <w:rFonts w:hint="eastAsia" w:ascii="宋体" w:hAnsi="宋体" w:eastAsia="宋体"/>
          <w:color w:val="auto"/>
          <w:sz w:val="24"/>
          <w:szCs w:val="24"/>
          <w:highlight w:val="none"/>
        </w:rPr>
        <w:t>）法律法规规定的其他情形</w:t>
      </w:r>
      <w:r>
        <w:rPr>
          <w:rFonts w:hint="eastAsia" w:ascii="宋体" w:hAnsi="宋体" w:eastAsia="宋体" w:cs="Times New Roman"/>
          <w:color w:val="auto"/>
          <w:sz w:val="24"/>
          <w:szCs w:val="24"/>
          <w:highlight w:val="none"/>
        </w:rPr>
        <w:t>。</w:t>
      </w:r>
    </w:p>
    <w:p w14:paraId="604C96F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1.5 费用承担</w:t>
      </w:r>
    </w:p>
    <w:p w14:paraId="1758CC2F">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投标人准备和参加投标活动发生的费用自理。</w:t>
      </w:r>
    </w:p>
    <w:p w14:paraId="1BA48D4C">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1.6 保密</w:t>
      </w:r>
    </w:p>
    <w:p w14:paraId="0D83738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参与招标投标活动的各方应对招标文件和投标文件中的商业和技术等秘密保密，违者应对由此造成的后果承担法律责任。</w:t>
      </w:r>
    </w:p>
    <w:p w14:paraId="24DF94F5">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1.7 语言文字</w:t>
      </w:r>
    </w:p>
    <w:p w14:paraId="4AFE5F64">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除专用术语外，与招标投标有关的语言均使用中文。必要时专用术语应附有中文注释。</w:t>
      </w:r>
    </w:p>
    <w:p w14:paraId="453B891C">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1.8 计量单位</w:t>
      </w:r>
    </w:p>
    <w:p w14:paraId="7D15D6D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所有计量均采用中华人民共和国法定计量单位。</w:t>
      </w:r>
    </w:p>
    <w:p w14:paraId="2136D4C5">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1.9 踏勘现场</w:t>
      </w:r>
    </w:p>
    <w:p w14:paraId="1543EAD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1.9.1 投标人按投标人须知前附表规定的时间、地点自行踏勘项目现场。 </w:t>
      </w:r>
    </w:p>
    <w:p w14:paraId="01C6788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1.9.2 投标人踏勘现场发生的费用自理。</w:t>
      </w:r>
    </w:p>
    <w:p w14:paraId="4778FD1C">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1.9.3 除招标人的原因外，投标人自行负责在踏勘现场中所发生的人员伤亡和财产损失。</w:t>
      </w:r>
    </w:p>
    <w:p w14:paraId="63611792">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1.9.4 招标人在踏勘现场中了解的工程场地和相关的周边环境情况，供投标人在编制投标文件时参考，招标人不对投标人据此作出的判断和决策负责。</w:t>
      </w:r>
    </w:p>
    <w:p w14:paraId="1560DE35">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1.10</w:t>
      </w:r>
      <w:r>
        <w:rPr>
          <w:rFonts w:ascii="宋体" w:hAnsi="宋体"/>
          <w:b/>
          <w:color w:val="auto"/>
          <w:sz w:val="24"/>
          <w:highlight w:val="none"/>
        </w:rPr>
        <w:t xml:space="preserve"> </w:t>
      </w:r>
      <w:r>
        <w:rPr>
          <w:rFonts w:hint="eastAsia" w:ascii="宋体" w:hAnsi="宋体"/>
          <w:b/>
          <w:color w:val="auto"/>
          <w:sz w:val="24"/>
          <w:highlight w:val="none"/>
        </w:rPr>
        <w:t>投标预备会</w:t>
      </w:r>
    </w:p>
    <w:p w14:paraId="5E743F6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1.10.1招标人不召开投标预备会，投标人提出的澄清问题通过交易中心网站提交。网上答疑的相关事项详见招标文件2.2款。</w:t>
      </w:r>
    </w:p>
    <w:p w14:paraId="51093068">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1.10.2 投标人应在投标人须知前附表规定的时间前，在交易中心网站上提出须澄清的问题。</w:t>
      </w:r>
    </w:p>
    <w:p w14:paraId="44C61112">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1.11 偏离</w:t>
      </w:r>
    </w:p>
    <w:p w14:paraId="51BB209C">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投标人须知前附表允许投标文件偏离招标文件某些要求的，偏离应当符合招标文件规定的偏离范围和幅度。</w:t>
      </w:r>
    </w:p>
    <w:p w14:paraId="6ECC17FE">
      <w:pPr>
        <w:jc w:val="center"/>
        <w:outlineLvl w:val="3"/>
        <w:rPr>
          <w:rFonts w:ascii="仿宋" w:hAnsi="仿宋" w:eastAsia="仿宋"/>
          <w:b/>
          <w:color w:val="auto"/>
          <w:sz w:val="30"/>
          <w:szCs w:val="30"/>
          <w:highlight w:val="none"/>
        </w:rPr>
      </w:pPr>
      <w:bookmarkStart w:id="188" w:name="_Toc262229164"/>
      <w:r>
        <w:rPr>
          <w:rFonts w:hint="eastAsia" w:ascii="仿宋" w:hAnsi="仿宋" w:eastAsia="仿宋"/>
          <w:b/>
          <w:color w:val="auto"/>
          <w:sz w:val="30"/>
          <w:szCs w:val="30"/>
          <w:highlight w:val="none"/>
        </w:rPr>
        <w:t>（二）招标文件</w:t>
      </w:r>
      <w:bookmarkEnd w:id="188"/>
    </w:p>
    <w:p w14:paraId="25A46C51">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2.1 招标文件的组成</w:t>
      </w:r>
    </w:p>
    <w:p w14:paraId="3ED7A8A2">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2.1.1</w:t>
      </w:r>
      <w:r>
        <w:rPr>
          <w:rFonts w:hint="eastAsia" w:ascii="宋体" w:hAnsi="宋体"/>
          <w:color w:val="auto"/>
          <w:sz w:val="24"/>
          <w:highlight w:val="none"/>
        </w:rPr>
        <w:t>本招标文件包括下列文件，以及所有按本须知第</w:t>
      </w:r>
      <w:r>
        <w:rPr>
          <w:rFonts w:hint="eastAsia" w:ascii="宋体" w:hAnsi="宋体"/>
          <w:color w:val="auto"/>
          <w:sz w:val="24"/>
          <w:highlight w:val="none"/>
          <w:lang w:val="en-US" w:eastAsia="zh-CN"/>
        </w:rPr>
        <w:t>2.3</w:t>
      </w:r>
      <w:r>
        <w:rPr>
          <w:rFonts w:hint="eastAsia" w:ascii="宋体" w:hAnsi="宋体"/>
          <w:color w:val="auto"/>
          <w:sz w:val="24"/>
          <w:highlight w:val="none"/>
        </w:rPr>
        <w:t>条发出的澄清或修改和按本须知第</w:t>
      </w:r>
      <w:r>
        <w:rPr>
          <w:rFonts w:hint="eastAsia" w:ascii="宋体" w:hAnsi="宋体"/>
          <w:color w:val="auto"/>
          <w:sz w:val="24"/>
          <w:highlight w:val="none"/>
          <w:lang w:val="en-US" w:eastAsia="zh-CN"/>
        </w:rPr>
        <w:t>2.2</w:t>
      </w:r>
      <w:r>
        <w:rPr>
          <w:rFonts w:hint="eastAsia" w:ascii="宋体" w:hAnsi="宋体"/>
          <w:color w:val="auto"/>
          <w:sz w:val="24"/>
          <w:highlight w:val="none"/>
        </w:rPr>
        <w:t>条发出的招标答疑会会议纪要：</w:t>
      </w:r>
    </w:p>
    <w:p w14:paraId="7993B1C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（1）招标公告；</w:t>
      </w:r>
    </w:p>
    <w:p w14:paraId="3883A6AA">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（2）投标人须知；</w:t>
      </w:r>
    </w:p>
    <w:p w14:paraId="163C8FA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（3）评标办法；</w:t>
      </w:r>
    </w:p>
    <w:p w14:paraId="6774A069">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（4）合同条款及格式；</w:t>
      </w:r>
    </w:p>
    <w:p w14:paraId="3B68B770">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（5）工程量清单； </w:t>
      </w:r>
    </w:p>
    <w:p w14:paraId="01B7D4D2">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（6）图纸； </w:t>
      </w:r>
    </w:p>
    <w:p w14:paraId="5BDCFB24">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（7）技术标准和要求； </w:t>
      </w:r>
    </w:p>
    <w:p w14:paraId="13358A2D">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（8）投标文件格式；</w:t>
      </w:r>
    </w:p>
    <w:p w14:paraId="30106EA1">
      <w:pPr>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否决性条款汇总</w:t>
      </w:r>
      <w:r>
        <w:rPr>
          <w:rFonts w:hint="eastAsia" w:ascii="宋体" w:hAnsi="宋体"/>
          <w:bCs/>
          <w:color w:val="auto"/>
          <w:sz w:val="24"/>
          <w:highlight w:val="none"/>
          <w:lang w:eastAsia="zh-CN"/>
        </w:rPr>
        <w:t>；</w:t>
      </w:r>
    </w:p>
    <w:p w14:paraId="0ACF15E0">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（10）</w:t>
      </w:r>
      <w:r>
        <w:rPr>
          <w:rFonts w:hint="eastAsia" w:ascii="宋体" w:hAnsi="宋体"/>
          <w:bCs/>
          <w:color w:val="auto"/>
          <w:sz w:val="24"/>
          <w:szCs w:val="24"/>
          <w:highlight w:val="none"/>
        </w:rPr>
        <w:t>最高投标限价（招标控制价）</w:t>
      </w:r>
      <w:r>
        <w:rPr>
          <w:rFonts w:hint="eastAsia" w:ascii="宋体" w:hAnsi="宋体"/>
          <w:bCs/>
          <w:color w:val="auto"/>
          <w:sz w:val="24"/>
          <w:highlight w:val="none"/>
        </w:rPr>
        <w:t>。</w:t>
      </w:r>
    </w:p>
    <w:p w14:paraId="54B2FFC4">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（11）投标人须知前附表规定的其他材料。</w:t>
      </w:r>
    </w:p>
    <w:p w14:paraId="5A94E647">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招标人应在技术条件（工程建设标准）中明确施工现场建筑垃圾源头减量的具体要求和建筑垃圾综合利用产品的使用要求。</w:t>
      </w:r>
    </w:p>
    <w:p w14:paraId="6403E96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2.1.2根据本章第1.10款、第2.2款和第2.3款对招标文件所作的澄清、修改，构成招标文件的组成部分。</w:t>
      </w:r>
    </w:p>
    <w:p w14:paraId="2F4F2005">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2.1.3招标人（或委托招标代理机构）使用广东省内依法设立的电子认证服务机构签发的电子签章认证证书对电子形式的招标文件进行电子签章。该电子签章对招标人手写签名或者盖章同等的法律效力。</w:t>
      </w:r>
    </w:p>
    <w:p w14:paraId="415180F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2.1.4投标人获取电子招标文件后，应仔细检查电子招标文件的合法有效性。合法有效的电子招标文件应具有招标人（或招标代理机构）的电子签章。</w:t>
      </w:r>
    </w:p>
    <w:p w14:paraId="73D0E6BB">
      <w:pPr>
        <w:spacing w:line="360" w:lineRule="auto"/>
        <w:ind w:firstLine="480" w:firstLineChars="200"/>
        <w:rPr>
          <w:rFonts w:ascii="宋体" w:hAnsi="宋体"/>
          <w:bCs/>
          <w:color w:val="auto"/>
          <w:sz w:val="24"/>
          <w:highlight w:val="none"/>
        </w:rPr>
      </w:pPr>
      <w:r>
        <w:rPr>
          <w:rFonts w:ascii="宋体" w:hAnsi="宋体"/>
          <w:bCs/>
          <w:color w:val="auto"/>
          <w:sz w:val="24"/>
          <w:highlight w:val="none"/>
        </w:rPr>
        <w:t>2.1.5</w:t>
      </w:r>
      <w:r>
        <w:rPr>
          <w:rFonts w:hint="eastAsia" w:ascii="宋体" w:hAnsi="宋体"/>
          <w:bCs/>
          <w:color w:val="auto"/>
          <w:sz w:val="24"/>
          <w:highlight w:val="none"/>
        </w:rPr>
        <w:t>招标人应在招标文件中明确投标文件主要内容编制的格式要求。</w:t>
      </w:r>
    </w:p>
    <w:p w14:paraId="5BB73B54">
      <w:pPr>
        <w:widowControl/>
        <w:snapToGrid w:val="0"/>
        <w:spacing w:line="360" w:lineRule="auto"/>
        <w:ind w:firstLine="482" w:firstLineChars="200"/>
        <w:jc w:val="left"/>
        <w:rPr>
          <w:rFonts w:ascii="宋体" w:hAnsi="宋体"/>
          <w:color w:val="auto"/>
          <w:sz w:val="24"/>
          <w:highlight w:val="none"/>
        </w:rPr>
      </w:pPr>
      <w:r>
        <w:rPr>
          <w:rFonts w:hint="eastAsia" w:ascii="宋体" w:hAnsi="宋体"/>
          <w:b/>
          <w:bCs/>
          <w:color w:val="auto"/>
          <w:sz w:val="24"/>
          <w:highlight w:val="none"/>
        </w:rPr>
        <w:t>2.2招标答疑</w:t>
      </w:r>
    </w:p>
    <w:p w14:paraId="376E5669">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szCs w:val="21"/>
          <w:highlight w:val="none"/>
        </w:rPr>
        <w:t>2.2.1</w:t>
      </w:r>
      <w:r>
        <w:rPr>
          <w:rFonts w:hint="eastAsia" w:ascii="宋体" w:hAnsi="宋体" w:eastAsia="宋体"/>
          <w:color w:val="auto"/>
          <w:sz w:val="24"/>
          <w:highlight w:val="none"/>
        </w:rPr>
        <w:t xml:space="preserve"> 招标答疑采用网上答疑方式进行。投标人若对招标文件（包括招标图纸、清单、招标控制价）有疑问的，</w:t>
      </w:r>
      <w:r>
        <w:rPr>
          <w:rFonts w:hint="eastAsia" w:ascii="宋体" w:hAnsi="宋体" w:eastAsia="宋体" w:cs="宋体"/>
          <w:bCs/>
          <w:color w:val="auto"/>
          <w:sz w:val="24"/>
          <w:highlight w:val="none"/>
          <w:u w:val="none"/>
          <w:lang w:eastAsia="zh-CN"/>
        </w:rPr>
        <w:t>通过</w:t>
      </w:r>
      <w:r>
        <w:rPr>
          <w:rFonts w:hint="eastAsia" w:ascii="宋体" w:hAnsi="宋体" w:eastAsia="宋体" w:cs="宋体"/>
          <w:bCs/>
          <w:color w:val="auto"/>
          <w:sz w:val="24"/>
          <w:highlight w:val="none"/>
          <w:u w:val="single"/>
          <w:lang w:eastAsia="zh-CN"/>
        </w:rPr>
        <w:t>广州交易集团有限公司（广州公共资源交易中心）</w:t>
      </w:r>
      <w:r>
        <w:rPr>
          <w:rFonts w:hint="eastAsia" w:ascii="宋体" w:hAnsi="宋体" w:eastAsia="宋体" w:cs="宋体"/>
          <w:bCs/>
          <w:color w:val="auto"/>
          <w:sz w:val="24"/>
          <w:highlight w:val="none"/>
          <w:u w:val="none"/>
          <w:lang w:eastAsia="zh-CN"/>
        </w:rPr>
        <w:t>网站提交，</w:t>
      </w:r>
      <w:r>
        <w:rPr>
          <w:rFonts w:hint="eastAsia" w:ascii="宋体" w:hAnsi="宋体" w:eastAsia="宋体" w:cs="宋体"/>
          <w:bCs/>
          <w:color w:val="auto"/>
          <w:sz w:val="24"/>
          <w:highlight w:val="none"/>
          <w:u w:val="none"/>
        </w:rPr>
        <w:t>应按照</w:t>
      </w:r>
      <w:r>
        <w:rPr>
          <w:rFonts w:hint="eastAsia" w:ascii="宋体" w:hAnsi="宋体" w:eastAsia="宋体" w:cs="宋体"/>
          <w:bCs/>
          <w:color w:val="auto"/>
          <w:sz w:val="24"/>
          <w:szCs w:val="20"/>
          <w:highlight w:val="none"/>
          <w:u w:val="none"/>
          <w:lang w:eastAsia="zh-CN"/>
        </w:rPr>
        <w:t>广州交易集团有限公司（广州公共资源交易中心）网站关于全流程电子化项目的相关指南进行操作</w:t>
      </w:r>
      <w:r>
        <w:rPr>
          <w:rFonts w:hint="eastAsia" w:ascii="宋体" w:hAnsi="宋体" w:eastAsia="宋体" w:cs="宋体"/>
          <w:bCs/>
          <w:color w:val="auto"/>
          <w:sz w:val="24"/>
          <w:highlight w:val="none"/>
          <w:u w:val="none"/>
        </w:rPr>
        <w:t>。</w:t>
      </w:r>
      <w:r>
        <w:rPr>
          <w:rFonts w:hint="eastAsia" w:ascii="宋体" w:hAnsi="宋体" w:eastAsia="宋体"/>
          <w:color w:val="auto"/>
          <w:sz w:val="24"/>
          <w:highlight w:val="none"/>
        </w:rPr>
        <w:t>提交问题时一律不得署名。</w:t>
      </w:r>
    </w:p>
    <w:p w14:paraId="67475A16">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2.2.2</w:t>
      </w:r>
      <w:r>
        <w:rPr>
          <w:rFonts w:hint="eastAsia" w:ascii="宋体" w:hAnsi="宋体"/>
          <w:bCs/>
          <w:color w:val="auto"/>
          <w:sz w:val="24"/>
          <w:highlight w:val="none"/>
        </w:rPr>
        <w:t>招标答疑会会议纪要将在提交投标文件截止时间 15 日前在</w:t>
      </w:r>
      <w:r>
        <w:rPr>
          <w:rFonts w:hint="eastAsia" w:ascii="宋体" w:hAnsi="宋体"/>
          <w:bCs/>
          <w:color w:val="auto"/>
          <w:sz w:val="24"/>
          <w:highlight w:val="none"/>
          <w:u w:val="single"/>
          <w:lang w:eastAsia="zh-CN"/>
        </w:rPr>
        <w:t>广州交易集团有限公司（广州公共资源交易中心）</w:t>
      </w:r>
      <w:r>
        <w:rPr>
          <w:rFonts w:hint="eastAsia" w:ascii="宋体" w:hAnsi="宋体"/>
          <w:bCs/>
          <w:color w:val="auto"/>
          <w:sz w:val="24"/>
          <w:highlight w:val="none"/>
          <w:lang w:eastAsia="zh-CN"/>
        </w:rPr>
        <w:t>网站</w:t>
      </w:r>
      <w:r>
        <w:rPr>
          <w:rFonts w:hint="eastAsia" w:ascii="宋体" w:hAnsi="宋体"/>
          <w:bCs/>
          <w:color w:val="auto"/>
          <w:sz w:val="24"/>
          <w:highlight w:val="none"/>
        </w:rPr>
        <w:t>“项目答疑纪要”专区公开发布。答疑纪要一经在</w:t>
      </w:r>
      <w:r>
        <w:rPr>
          <w:rFonts w:hint="eastAsia" w:ascii="宋体" w:hAnsi="宋体"/>
          <w:bCs/>
          <w:color w:val="auto"/>
          <w:sz w:val="24"/>
          <w:highlight w:val="none"/>
          <w:u w:val="single"/>
          <w:lang w:eastAsia="zh-CN"/>
        </w:rPr>
        <w:t>广州交易集团有限公司（广州公共资源交易中心）</w:t>
      </w:r>
      <w:r>
        <w:rPr>
          <w:rFonts w:hint="eastAsia" w:ascii="宋体" w:hAnsi="宋体"/>
          <w:bCs/>
          <w:color w:val="auto"/>
          <w:sz w:val="24"/>
          <w:highlight w:val="none"/>
          <w:lang w:eastAsia="zh-CN"/>
        </w:rPr>
        <w:t>网站</w:t>
      </w:r>
      <w:r>
        <w:rPr>
          <w:rFonts w:hint="eastAsia" w:ascii="宋体" w:hAnsi="宋体"/>
          <w:bCs/>
          <w:color w:val="auto"/>
          <w:sz w:val="24"/>
          <w:highlight w:val="none"/>
        </w:rPr>
        <w:t>发布，视作已发放给所有投标人。</w:t>
      </w:r>
    </w:p>
    <w:p w14:paraId="35FFCC88">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3招标答疑纪要为招标文件的一部分。</w:t>
      </w:r>
    </w:p>
    <w:p w14:paraId="66D9F92C">
      <w:pPr>
        <w:pStyle w:val="16"/>
        <w:spacing w:after="0"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2.2.</w:t>
      </w:r>
      <w:r>
        <w:rPr>
          <w:rFonts w:hint="eastAsia" w:ascii="宋体" w:hAnsi="宋体" w:eastAsia="宋体"/>
          <w:color w:val="auto"/>
          <w:sz w:val="24"/>
          <w:highlight w:val="none"/>
        </w:rPr>
        <w:t>4若招标答疑</w:t>
      </w:r>
      <w:r>
        <w:rPr>
          <w:rFonts w:hint="eastAsia" w:ascii="宋体" w:hAnsi="宋体" w:eastAsia="宋体"/>
          <w:color w:val="auto"/>
          <w:sz w:val="24"/>
          <w:highlight w:val="none"/>
          <w:lang w:eastAsia="zh-CN"/>
        </w:rPr>
        <w:t>会会议</w:t>
      </w:r>
      <w:r>
        <w:rPr>
          <w:rFonts w:hint="eastAsia" w:ascii="宋体" w:hAnsi="宋体" w:eastAsia="宋体"/>
          <w:color w:val="auto"/>
          <w:sz w:val="24"/>
          <w:highlight w:val="none"/>
        </w:rPr>
        <w:t>纪要与招标文件有矛盾时，以</w:t>
      </w:r>
      <w:r>
        <w:rPr>
          <w:rFonts w:hint="eastAsia" w:ascii="宋体" w:hAnsi="宋体" w:eastAsia="宋体" w:cs="宋体"/>
          <w:bCs/>
          <w:color w:val="auto"/>
          <w:sz w:val="24"/>
          <w:highlight w:val="none"/>
          <w:u w:val="single"/>
          <w:lang w:eastAsia="zh-CN"/>
        </w:rPr>
        <w:t>广州交易集团有限公司（广州公共资源交易中心）</w:t>
      </w:r>
      <w:r>
        <w:rPr>
          <w:rFonts w:hint="eastAsia" w:ascii="宋体" w:hAnsi="宋体" w:eastAsia="宋体" w:cs="宋体"/>
          <w:bCs/>
          <w:color w:val="auto"/>
          <w:sz w:val="24"/>
          <w:highlight w:val="none"/>
          <w:lang w:eastAsia="zh-CN"/>
        </w:rPr>
        <w:t>网站</w:t>
      </w:r>
      <w:r>
        <w:rPr>
          <w:rFonts w:hint="eastAsia" w:ascii="宋体" w:hAnsi="宋体" w:eastAsia="宋体"/>
          <w:color w:val="auto"/>
          <w:sz w:val="24"/>
          <w:highlight w:val="none"/>
        </w:rPr>
        <w:t>最后发布的答疑纪要为准。</w:t>
      </w:r>
    </w:p>
    <w:p w14:paraId="154374FC">
      <w:pPr>
        <w:tabs>
          <w:tab w:val="left" w:pos="105"/>
        </w:tabs>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2.3</w:t>
      </w:r>
      <w:r>
        <w:rPr>
          <w:rFonts w:ascii="宋体" w:hAnsi="宋体"/>
          <w:b/>
          <w:color w:val="auto"/>
          <w:sz w:val="24"/>
          <w:szCs w:val="24"/>
          <w:highlight w:val="none"/>
        </w:rPr>
        <w:t>招标文件的</w:t>
      </w:r>
      <w:r>
        <w:rPr>
          <w:rFonts w:hint="eastAsia" w:ascii="宋体" w:hAnsi="宋体"/>
          <w:b/>
          <w:color w:val="auto"/>
          <w:sz w:val="24"/>
          <w:szCs w:val="24"/>
          <w:highlight w:val="none"/>
        </w:rPr>
        <w:t>澄清与</w:t>
      </w:r>
      <w:r>
        <w:rPr>
          <w:rFonts w:ascii="宋体" w:hAnsi="宋体"/>
          <w:b/>
          <w:color w:val="auto"/>
          <w:sz w:val="24"/>
          <w:szCs w:val="24"/>
          <w:highlight w:val="none"/>
        </w:rPr>
        <w:t>修改</w:t>
      </w:r>
    </w:p>
    <w:p w14:paraId="72A25B6A">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2.3.1 在</w:t>
      </w:r>
      <w:r>
        <w:rPr>
          <w:rFonts w:hint="eastAsia" w:ascii="宋体" w:hAnsi="宋体"/>
          <w:bCs/>
          <w:color w:val="auto"/>
          <w:sz w:val="24"/>
          <w:highlight w:val="none"/>
          <w:lang w:eastAsia="zh-CN"/>
        </w:rPr>
        <w:t>投标人须知</w:t>
      </w:r>
      <w:r>
        <w:rPr>
          <w:rFonts w:hint="eastAsia" w:ascii="宋体" w:hAnsi="宋体"/>
          <w:bCs/>
          <w:color w:val="auto"/>
          <w:sz w:val="24"/>
          <w:highlight w:val="none"/>
        </w:rPr>
        <w:t>前附表规定的时间前，招标人可以书面形式修改招标文件，并通过</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网站发布。如果修改招标文件的时间距投标截止时间不足</w:t>
      </w:r>
      <w:r>
        <w:rPr>
          <w:rFonts w:hint="eastAsia" w:ascii="宋体" w:hAnsi="宋体"/>
          <w:bCs/>
          <w:color w:val="auto"/>
          <w:sz w:val="24"/>
          <w:highlight w:val="none"/>
          <w:lang w:eastAsia="zh-CN"/>
        </w:rPr>
        <w:t>投标人须知</w:t>
      </w:r>
      <w:r>
        <w:rPr>
          <w:rFonts w:hint="eastAsia" w:ascii="宋体" w:hAnsi="宋体"/>
          <w:bCs/>
          <w:color w:val="auto"/>
          <w:sz w:val="24"/>
          <w:highlight w:val="none"/>
        </w:rPr>
        <w:t>前附表规定的时间，并且修改内容影响投标文件编制的，相应延长投标截止时间。</w:t>
      </w:r>
    </w:p>
    <w:p w14:paraId="0ED67BF4">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2.3.2投标人应及时通过</w:t>
      </w:r>
      <w:r>
        <w:rPr>
          <w:rFonts w:hint="eastAsia" w:ascii="宋体" w:hAnsi="宋体"/>
          <w:bCs/>
          <w:color w:val="auto"/>
          <w:sz w:val="24"/>
          <w:highlight w:val="none"/>
          <w:lang w:eastAsia="zh-CN"/>
        </w:rPr>
        <w:t>广州交易集团有限公司（广州公共资源交易中心）</w:t>
      </w:r>
      <w:r>
        <w:rPr>
          <w:rFonts w:hint="eastAsia" w:ascii="宋体" w:hAnsi="宋体"/>
          <w:bCs/>
          <w:color w:val="auto"/>
          <w:sz w:val="24"/>
          <w:highlight w:val="none"/>
        </w:rPr>
        <w:t>网站浏览、下载招标文件修改。</w:t>
      </w:r>
    </w:p>
    <w:p w14:paraId="14BEBE71">
      <w:pPr>
        <w:pStyle w:val="16"/>
        <w:spacing w:before="50" w:after="5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2.3.3招标文件的澄清或修改在</w:t>
      </w:r>
      <w:r>
        <w:rPr>
          <w:rFonts w:hint="eastAsia" w:ascii="宋体" w:hAnsi="宋体" w:eastAsia="宋体"/>
          <w:color w:val="auto"/>
          <w:sz w:val="24"/>
          <w:highlight w:val="none"/>
          <w:lang w:eastAsia="zh-CN"/>
        </w:rPr>
        <w:t>广州交易集团有限公司（广州公共资源交易中心）</w:t>
      </w:r>
      <w:r>
        <w:rPr>
          <w:rFonts w:hint="eastAsia" w:ascii="宋体" w:hAnsi="宋体" w:eastAsia="宋体"/>
          <w:color w:val="auto"/>
          <w:sz w:val="24"/>
          <w:highlight w:val="none"/>
        </w:rPr>
        <w:t>网站发布。招标文件的澄清或修改一经在</w:t>
      </w:r>
      <w:r>
        <w:rPr>
          <w:rFonts w:hint="eastAsia" w:ascii="宋体" w:hAnsi="宋体" w:eastAsia="宋体"/>
          <w:color w:val="auto"/>
          <w:sz w:val="24"/>
          <w:highlight w:val="none"/>
          <w:lang w:eastAsia="zh-CN"/>
        </w:rPr>
        <w:t>广州交易集团有限公司（广州公共资源交易中心）</w:t>
      </w:r>
      <w:r>
        <w:rPr>
          <w:rFonts w:hint="eastAsia" w:ascii="宋体" w:hAnsi="宋体" w:eastAsia="宋体"/>
          <w:color w:val="auto"/>
          <w:sz w:val="24"/>
          <w:highlight w:val="none"/>
        </w:rPr>
        <w:t>网站发布，视作已发放给所有投标人。</w:t>
      </w:r>
    </w:p>
    <w:p w14:paraId="2E03DCAE">
      <w:pPr>
        <w:pStyle w:val="16"/>
        <w:spacing w:before="50" w:after="5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2.3.4招标文件的澄清、修改作为招标文件的组成部分，具有约束作用。</w:t>
      </w:r>
    </w:p>
    <w:p w14:paraId="5FDBC81F">
      <w:pPr>
        <w:spacing w:line="360" w:lineRule="auto"/>
        <w:ind w:firstLine="480" w:firstLineChars="200"/>
        <w:rPr>
          <w:rFonts w:ascii="宋体" w:hAnsi="宋体"/>
          <w:bCs/>
          <w:color w:val="auto"/>
          <w:sz w:val="24"/>
          <w:highlight w:val="none"/>
        </w:rPr>
      </w:pPr>
      <w:r>
        <w:rPr>
          <w:rFonts w:hint="eastAsia" w:ascii="宋体" w:hAnsi="宋体"/>
          <w:color w:val="auto"/>
          <w:sz w:val="24"/>
          <w:highlight w:val="none"/>
        </w:rPr>
        <w:t>2.3.5招标文件的澄清、修改均以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网站</w:t>
      </w:r>
      <w:r>
        <w:rPr>
          <w:rFonts w:hint="eastAsia" w:ascii="宋体" w:hAnsi="宋体"/>
          <w:color w:val="auto"/>
          <w:sz w:val="24"/>
          <w:szCs w:val="24"/>
          <w:highlight w:val="none"/>
        </w:rPr>
        <w:t>发布</w:t>
      </w:r>
      <w:r>
        <w:rPr>
          <w:rFonts w:hint="eastAsia" w:ascii="宋体" w:hAnsi="宋体"/>
          <w:color w:val="auto"/>
          <w:sz w:val="24"/>
          <w:highlight w:val="none"/>
        </w:rPr>
        <w:t>的内容为准。当招标文件的澄清、修改在同一内容的表述不一致时，以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网站最后发布的内容为准。</w:t>
      </w:r>
    </w:p>
    <w:p w14:paraId="1B98D369">
      <w:pPr>
        <w:jc w:val="center"/>
        <w:outlineLvl w:val="3"/>
        <w:rPr>
          <w:rFonts w:ascii="宋体" w:hAnsi="宋体"/>
          <w:b/>
          <w:color w:val="auto"/>
          <w:sz w:val="30"/>
          <w:szCs w:val="30"/>
          <w:highlight w:val="none"/>
        </w:rPr>
      </w:pPr>
      <w:bookmarkStart w:id="189" w:name="_Toc101777614"/>
      <w:bookmarkStart w:id="190" w:name="_Toc262229165"/>
      <w:r>
        <w:rPr>
          <w:rFonts w:hint="eastAsia" w:ascii="宋体" w:hAnsi="宋体"/>
          <w:b/>
          <w:color w:val="auto"/>
          <w:sz w:val="30"/>
          <w:szCs w:val="30"/>
          <w:highlight w:val="none"/>
        </w:rPr>
        <w:t>（三）投标文件的编制</w:t>
      </w:r>
      <w:bookmarkEnd w:id="189"/>
      <w:bookmarkEnd w:id="190"/>
    </w:p>
    <w:p w14:paraId="2A1E35D8">
      <w:pPr>
        <w:pStyle w:val="1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3.1 投标文件的组成</w:t>
      </w:r>
    </w:p>
    <w:p w14:paraId="6756B9CC">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3.1.1投标文件应包括下列内容：</w:t>
      </w:r>
    </w:p>
    <w:p w14:paraId="2A292FB5">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（1）投标函及投标函附录；</w:t>
      </w:r>
    </w:p>
    <w:p w14:paraId="503E5AE6">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（2）法定代表人身份证明或附有法定代表人身份证明的授权委托书；</w:t>
      </w:r>
    </w:p>
    <w:p w14:paraId="03EC9F96">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strike/>
          <w:color w:val="auto"/>
          <w:sz w:val="24"/>
          <w:highlight w:val="none"/>
          <w:u w:val="single"/>
        </w:rPr>
        <w:t>（3）联合体协议书（非联合体不提交）；</w:t>
      </w:r>
    </w:p>
    <w:p w14:paraId="7CA5F45F">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4</w:t>
      </w:r>
      <w:r>
        <w:rPr>
          <w:rFonts w:hint="eastAsia" w:ascii="宋体" w:hAnsi="宋体" w:eastAsia="宋体"/>
          <w:color w:val="auto"/>
          <w:sz w:val="24"/>
          <w:highlight w:val="none"/>
          <w:u w:val="single"/>
        </w:rPr>
        <w:t>）投标保证金；</w:t>
      </w:r>
    </w:p>
    <w:p w14:paraId="00136770">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5</w:t>
      </w:r>
      <w:r>
        <w:rPr>
          <w:rFonts w:hint="eastAsia" w:ascii="宋体" w:hAnsi="宋体" w:eastAsia="宋体"/>
          <w:color w:val="auto"/>
          <w:sz w:val="24"/>
          <w:highlight w:val="none"/>
          <w:u w:val="single"/>
        </w:rPr>
        <w:t>）已标价工程量清单；</w:t>
      </w:r>
    </w:p>
    <w:p w14:paraId="45837B85">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6</w:t>
      </w:r>
      <w:r>
        <w:rPr>
          <w:rFonts w:hint="eastAsia" w:ascii="宋体" w:hAnsi="宋体" w:eastAsia="宋体"/>
          <w:color w:val="auto"/>
          <w:sz w:val="24"/>
          <w:highlight w:val="none"/>
          <w:u w:val="single"/>
        </w:rPr>
        <w:t>）施工组织设计（</w:t>
      </w:r>
      <w:r>
        <w:rPr>
          <w:rFonts w:hint="eastAsia" w:ascii="宋体" w:hAnsi="宋体" w:eastAsia="宋体" w:cs="宋体"/>
          <w:color w:val="auto"/>
          <w:sz w:val="24"/>
          <w:highlight w:val="none"/>
          <w:u w:val="single"/>
        </w:rPr>
        <w:t>本项目要求编制技术标，需要提交详细施工组织设计</w:t>
      </w:r>
      <w:r>
        <w:rPr>
          <w:rFonts w:hint="eastAsia" w:ascii="宋体" w:hAnsi="宋体" w:eastAsia="宋体" w:cs="宋体"/>
          <w:color w:val="auto"/>
          <w:sz w:val="24"/>
          <w:highlight w:val="none"/>
          <w:u w:val="single"/>
          <w:lang w:eastAsia="zh-CN"/>
        </w:rPr>
        <w:t>；</w:t>
      </w:r>
      <w:r>
        <w:rPr>
          <w:rFonts w:hint="eastAsia" w:ascii="宋体" w:hAnsi="宋体" w:eastAsia="宋体"/>
          <w:color w:val="auto"/>
          <w:sz w:val="24"/>
          <w:highlight w:val="none"/>
          <w:u w:val="single"/>
        </w:rPr>
        <w:t xml:space="preserve">投标人在编制施工组织设计或施工方案时应按照招标人提出的施工现场建筑垃圾源头减量的具体要求以及建筑垃圾综合利用产品的使用要求提供相应措施）； </w:t>
      </w:r>
    </w:p>
    <w:p w14:paraId="59C8B4B3">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7</w:t>
      </w:r>
      <w:r>
        <w:rPr>
          <w:rFonts w:hint="eastAsia" w:ascii="宋体" w:hAnsi="宋体" w:eastAsia="宋体"/>
          <w:color w:val="auto"/>
          <w:sz w:val="24"/>
          <w:highlight w:val="none"/>
          <w:u w:val="single"/>
        </w:rPr>
        <w:t>）项目管理机构；</w:t>
      </w:r>
    </w:p>
    <w:p w14:paraId="0A02D4C7">
      <w:pPr>
        <w:pStyle w:val="16"/>
        <w:spacing w:after="0" w:line="360" w:lineRule="auto"/>
        <w:ind w:firstLine="480" w:firstLineChars="200"/>
        <w:rPr>
          <w:rFonts w:ascii="宋体" w:hAnsi="宋体" w:eastAsia="宋体"/>
          <w:color w:val="auto"/>
          <w:sz w:val="24"/>
          <w:highlight w:val="none"/>
          <w:u w:val="singl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8</w:t>
      </w:r>
      <w:r>
        <w:rPr>
          <w:rFonts w:hint="eastAsia" w:ascii="宋体" w:hAnsi="宋体" w:eastAsia="宋体"/>
          <w:color w:val="auto"/>
          <w:sz w:val="24"/>
          <w:highlight w:val="none"/>
          <w:u w:val="single"/>
        </w:rPr>
        <w:t>）资格审查资料；</w:t>
      </w:r>
    </w:p>
    <w:p w14:paraId="159C81A4">
      <w:pPr>
        <w:pStyle w:val="16"/>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u w:val="single"/>
        </w:rPr>
        <w:t>（</w:t>
      </w:r>
      <w:r>
        <w:rPr>
          <w:rFonts w:hint="eastAsia" w:ascii="宋体" w:hAnsi="宋体" w:eastAsia="宋体"/>
          <w:color w:val="auto"/>
          <w:sz w:val="24"/>
          <w:highlight w:val="none"/>
          <w:u w:val="single"/>
          <w:lang w:val="en-US" w:eastAsia="zh-CN"/>
        </w:rPr>
        <w:t>9</w:t>
      </w:r>
      <w:r>
        <w:rPr>
          <w:rFonts w:hint="eastAsia" w:ascii="宋体" w:hAnsi="宋体" w:eastAsia="宋体"/>
          <w:color w:val="auto"/>
          <w:sz w:val="24"/>
          <w:highlight w:val="none"/>
          <w:u w:val="single"/>
        </w:rPr>
        <w:t>）其他应提交的材料。</w:t>
      </w:r>
    </w:p>
    <w:p w14:paraId="3BBF484B">
      <w:pPr>
        <w:pStyle w:val="1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3.2 投标报价</w:t>
      </w:r>
    </w:p>
    <w:p w14:paraId="605F111A">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3.2.1 投标人应按第五章“工程量清单”的要求填写相应表格。</w:t>
      </w:r>
    </w:p>
    <w:p w14:paraId="525B0C59">
      <w:pPr>
        <w:pStyle w:val="16"/>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3.2.2 投标人在投标截止时间前修改投标函中的投标报价总额，应同时修改“已标价工程量清单”中的相应报价，投标报价总额为各分项金额之和。此修改须符合本章第4.3款的有关要求。</w:t>
      </w:r>
    </w:p>
    <w:p w14:paraId="02DAE9E7">
      <w:pPr>
        <w:pStyle w:val="16"/>
        <w:spacing w:after="0" w:line="360" w:lineRule="auto"/>
        <w:ind w:firstLine="480" w:firstLineChars="200"/>
        <w:rPr>
          <w:rFonts w:hint="eastAsia" w:ascii="宋体" w:hAnsi="宋体" w:eastAsia="宋体"/>
          <w:color w:val="auto"/>
          <w:sz w:val="24"/>
          <w:highlight w:val="none"/>
          <w:lang w:eastAsia="zh-CN"/>
        </w:rPr>
      </w:pPr>
      <w:r>
        <w:rPr>
          <w:rFonts w:hint="eastAsia" w:ascii="宋体" w:hAnsi="宋体" w:eastAsia="宋体"/>
          <w:color w:val="auto"/>
          <w:sz w:val="24"/>
          <w:highlight w:val="none"/>
        </w:rPr>
        <w:t>3.2.3投标人的投标报价不得超过最高投标限价，最高投标限价见投标人须知前附表。</w:t>
      </w:r>
    </w:p>
    <w:p w14:paraId="0773A0E8">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3.2.4成本警示价见投标人须知前附表。对低于该</w:t>
      </w:r>
      <w:r>
        <w:rPr>
          <w:rFonts w:hint="eastAsia" w:ascii="宋体" w:hAnsi="宋体" w:eastAsia="宋体"/>
          <w:color w:val="auto"/>
          <w:sz w:val="24"/>
          <w:highlight w:val="none"/>
          <w:lang w:eastAsia="zh-CN"/>
        </w:rPr>
        <w:t>成本</w:t>
      </w:r>
      <w:r>
        <w:rPr>
          <w:rFonts w:hint="eastAsia" w:ascii="宋体" w:hAnsi="宋体" w:eastAsia="宋体"/>
          <w:color w:val="auto"/>
          <w:sz w:val="24"/>
          <w:highlight w:val="none"/>
        </w:rPr>
        <w:t>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374B57B5">
      <w:pPr>
        <w:pStyle w:val="1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3.3 投标有效期</w:t>
      </w:r>
    </w:p>
    <w:p w14:paraId="721C926A">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3.3.1 投标有效期见</w:t>
      </w:r>
      <w:r>
        <w:rPr>
          <w:rFonts w:hint="eastAsia" w:ascii="宋体" w:hAnsi="宋体" w:eastAsia="宋体"/>
          <w:color w:val="auto"/>
          <w:sz w:val="24"/>
          <w:highlight w:val="none"/>
          <w:lang w:eastAsia="zh-CN"/>
        </w:rPr>
        <w:t>投标人须知</w:t>
      </w:r>
      <w:r>
        <w:rPr>
          <w:rFonts w:hint="eastAsia" w:ascii="宋体" w:hAnsi="宋体" w:eastAsia="宋体"/>
          <w:color w:val="auto"/>
          <w:sz w:val="24"/>
          <w:highlight w:val="none"/>
        </w:rPr>
        <w:t>前附表所规定的期限，在此期限内，凡符合本招标文件要求的投标文件均保持有效。</w:t>
      </w:r>
    </w:p>
    <w:p w14:paraId="014AAB9E">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3.3.2在投标有效期内，投标人撤销或修改其投标文件的，应承担招标文件和法律规定的责任。</w:t>
      </w:r>
    </w:p>
    <w:p w14:paraId="413CB9D0">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6BFB05FC">
      <w:pPr>
        <w:pStyle w:val="16"/>
        <w:spacing w:after="0" w:line="360" w:lineRule="auto"/>
        <w:ind w:firstLine="482" w:firstLineChars="200"/>
        <w:rPr>
          <w:rFonts w:hint="eastAsia" w:ascii="宋体" w:hAnsi="宋体" w:eastAsia="宋体"/>
          <w:b/>
          <w:bCs/>
          <w:color w:val="auto"/>
          <w:sz w:val="24"/>
          <w:highlight w:val="none"/>
          <w:lang w:eastAsia="zh-CN"/>
        </w:rPr>
      </w:pPr>
      <w:r>
        <w:rPr>
          <w:rFonts w:hint="eastAsia" w:ascii="宋体" w:hAnsi="宋体" w:eastAsia="宋体"/>
          <w:b/>
          <w:bCs/>
          <w:color w:val="auto"/>
          <w:sz w:val="24"/>
          <w:highlight w:val="none"/>
        </w:rPr>
        <w:t>3.4 投标保证金</w:t>
      </w:r>
    </w:p>
    <w:p w14:paraId="5410862D">
      <w:pPr>
        <w:pStyle w:val="16"/>
        <w:spacing w:after="0" w:line="360" w:lineRule="auto"/>
        <w:ind w:firstLine="480" w:firstLineChars="200"/>
        <w:rPr>
          <w:rFonts w:ascii="宋体" w:hAnsi="宋体" w:eastAsia="宋体"/>
          <w:b/>
          <w:bCs/>
          <w:color w:val="auto"/>
          <w:sz w:val="24"/>
          <w:highlight w:val="none"/>
          <w:lang w:eastAsia="zh-CN"/>
        </w:rPr>
      </w:pPr>
      <w:r>
        <w:rPr>
          <w:rFonts w:hint="eastAsia" w:ascii="宋体" w:hAnsi="宋体" w:eastAsia="宋体"/>
          <w:color w:val="auto"/>
          <w:sz w:val="24"/>
          <w:highlight w:val="none"/>
          <w:lang w:eastAsia="zh-CN"/>
        </w:rPr>
        <w:t>3.4.1</w:t>
      </w:r>
      <w:r>
        <w:rPr>
          <w:rFonts w:hint="eastAsia" w:ascii="宋体" w:hAnsi="宋体" w:eastAsia="宋体"/>
          <w:color w:val="auto"/>
          <w:sz w:val="24"/>
          <w:highlight w:val="none"/>
        </w:rPr>
        <w:t>投标人应按</w:t>
      </w:r>
      <w:r>
        <w:rPr>
          <w:rFonts w:hint="eastAsia" w:ascii="宋体" w:hAnsi="宋体" w:eastAsia="宋体"/>
          <w:color w:val="auto"/>
          <w:sz w:val="24"/>
          <w:highlight w:val="none"/>
          <w:lang w:eastAsia="zh-CN"/>
        </w:rPr>
        <w:t>投标人须知</w:t>
      </w:r>
      <w:r>
        <w:rPr>
          <w:rFonts w:hint="eastAsia" w:ascii="宋体" w:hAnsi="宋体" w:eastAsia="宋体"/>
          <w:color w:val="auto"/>
          <w:sz w:val="24"/>
          <w:highlight w:val="none"/>
        </w:rPr>
        <w:t>前附表规定的金额和时间递交投标保证金。招标人应当允许投标人自主选择现金、银行保函、保证保险、专业工程担保公司担保等方式缴纳投标保证金。联合体投标的，其投标</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可以由</w:t>
      </w:r>
      <w:r>
        <w:rPr>
          <w:rFonts w:hint="eastAsia" w:ascii="宋体" w:hAnsi="宋体" w:eastAsia="宋体"/>
          <w:color w:val="auto"/>
          <w:sz w:val="24"/>
          <w:highlight w:val="none"/>
          <w:lang w:eastAsia="zh-CN"/>
        </w:rPr>
        <w:t>主办方</w:t>
      </w:r>
      <w:r>
        <w:rPr>
          <w:rFonts w:hint="eastAsia" w:ascii="宋体" w:hAnsi="宋体" w:eastAsia="宋体"/>
          <w:color w:val="auto"/>
          <w:sz w:val="24"/>
          <w:highlight w:val="none"/>
        </w:rPr>
        <w:t>递交，并应符合投标人须知前附表的规定。</w:t>
      </w:r>
    </w:p>
    <w:p w14:paraId="59E236D9">
      <w:pPr>
        <w:pStyle w:val="16"/>
        <w:spacing w:after="0" w:line="360" w:lineRule="auto"/>
        <w:ind w:firstLine="480" w:firstLineChars="200"/>
        <w:rPr>
          <w:rFonts w:hint="eastAsia" w:ascii="宋体" w:hAnsi="宋体" w:eastAsia="宋体"/>
          <w:color w:val="auto"/>
          <w:sz w:val="24"/>
          <w:highlight w:val="none"/>
          <w:lang w:eastAsia="zh-CN"/>
        </w:rPr>
      </w:pPr>
      <w:r>
        <w:rPr>
          <w:rFonts w:hint="eastAsia" w:ascii="宋体" w:hAnsi="宋体" w:eastAsia="宋体"/>
          <w:color w:val="auto"/>
          <w:sz w:val="24"/>
          <w:highlight w:val="none"/>
        </w:rPr>
        <w:t>3.4.</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 xml:space="preserve"> 中标候选人以外的投标人的投标保证金将尽快退还，最迟不超过中标通知书发出之日起五日内</w:t>
      </w:r>
      <w:r>
        <w:rPr>
          <w:rFonts w:hint="eastAsia" w:ascii="宋体" w:hAnsi="宋体" w:eastAsia="宋体"/>
          <w:color w:val="auto"/>
          <w:sz w:val="24"/>
          <w:highlight w:val="none"/>
          <w:lang w:eastAsia="zh-CN"/>
        </w:rPr>
        <w:t>；</w:t>
      </w:r>
    </w:p>
    <w:p w14:paraId="50174459">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3.4.3</w:t>
      </w:r>
      <w:r>
        <w:rPr>
          <w:rFonts w:hint="eastAsia" w:ascii="宋体" w:hAnsi="宋体" w:eastAsia="宋体"/>
          <w:color w:val="auto"/>
          <w:sz w:val="24"/>
          <w:highlight w:val="none"/>
        </w:rPr>
        <w:t>中标人和其他中标候选人的投标保证金，在书面合同订立之日起五日内予以退还</w:t>
      </w:r>
      <w:r>
        <w:rPr>
          <w:rFonts w:hint="eastAsia" w:ascii="宋体" w:hAnsi="宋体" w:eastAsia="宋体" w:cs="宋体"/>
          <w:i w:val="0"/>
          <w:iCs w:val="0"/>
          <w:caps w:val="0"/>
          <w:color w:val="auto"/>
          <w:spacing w:val="0"/>
          <w:sz w:val="24"/>
          <w:szCs w:val="24"/>
          <w:highlight w:val="none"/>
          <w:shd w:val="clear" w:color="auto" w:fill="FFFFFF"/>
        </w:rPr>
        <w:t>。</w:t>
      </w:r>
    </w:p>
    <w:p w14:paraId="4D71D32B">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3.4.</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 xml:space="preserve"> 有下列情形之一的，投标保证金将不予退还</w:t>
      </w:r>
      <w:r>
        <w:rPr>
          <w:rFonts w:hint="eastAsia" w:ascii="宋体" w:hAnsi="宋体" w:eastAsia="宋体"/>
          <w:color w:val="auto"/>
          <w:sz w:val="24"/>
          <w:highlight w:val="none"/>
          <w:lang w:eastAsia="zh-CN"/>
        </w:rPr>
        <w:t>（是否退还投标保证金由招标人在招标文件中规定）</w:t>
      </w:r>
      <w:r>
        <w:rPr>
          <w:rFonts w:hint="eastAsia" w:ascii="宋体" w:hAnsi="宋体" w:eastAsia="宋体"/>
          <w:color w:val="auto"/>
          <w:sz w:val="24"/>
          <w:highlight w:val="none"/>
        </w:rPr>
        <w:t xml:space="preserve">： </w:t>
      </w:r>
    </w:p>
    <w:p w14:paraId="2BC17C15">
      <w:pPr>
        <w:pStyle w:val="16"/>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投标人在规定的投标有效期内撤</w:t>
      </w:r>
      <w:r>
        <w:rPr>
          <w:rFonts w:hint="eastAsia" w:ascii="宋体" w:hAnsi="宋体" w:eastAsia="宋体"/>
          <w:color w:val="auto"/>
          <w:sz w:val="24"/>
          <w:highlight w:val="none"/>
          <w:lang w:eastAsia="zh-CN"/>
        </w:rPr>
        <w:t>销</w:t>
      </w:r>
      <w:r>
        <w:rPr>
          <w:rFonts w:hint="eastAsia" w:ascii="宋体" w:hAnsi="宋体" w:eastAsia="宋体"/>
          <w:color w:val="auto"/>
          <w:sz w:val="24"/>
          <w:highlight w:val="none"/>
        </w:rPr>
        <w:t>其投标文件；</w:t>
      </w:r>
    </w:p>
    <w:p w14:paraId="556CB1EA">
      <w:pPr>
        <w:pStyle w:val="16"/>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中标人未能在规定期限内按要求提交履约担保；</w:t>
      </w:r>
    </w:p>
    <w:p w14:paraId="6BF420F8">
      <w:pPr>
        <w:pStyle w:val="16"/>
        <w:spacing w:after="0"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3.4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中标人未能在规定期限内签署合同协议。</w:t>
      </w:r>
    </w:p>
    <w:p w14:paraId="1D341DF1">
      <w:pPr>
        <w:pStyle w:val="1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3.5 资格审查资料</w:t>
      </w:r>
    </w:p>
    <w:p w14:paraId="5BCC2C66">
      <w:pPr>
        <w:pStyle w:val="16"/>
        <w:spacing w:after="0" w:line="360" w:lineRule="auto"/>
        <w:ind w:firstLine="480" w:firstLineChars="200"/>
        <w:rPr>
          <w:color w:val="auto"/>
          <w:highlight w:val="none"/>
        </w:rPr>
      </w:pPr>
      <w:r>
        <w:rPr>
          <w:rFonts w:hint="eastAsia" w:ascii="宋体" w:hAnsi="宋体" w:eastAsia="宋体"/>
          <w:color w:val="auto"/>
          <w:sz w:val="24"/>
          <w:highlight w:val="none"/>
        </w:rPr>
        <w:t>3.5.1 “投标人基本情况表”应附投标人营业执照副本、资质证书副本和安全生产许可证等材料的</w:t>
      </w:r>
      <w:r>
        <w:rPr>
          <w:rFonts w:hint="eastAsia" w:ascii="宋体" w:hAnsi="宋体" w:eastAsia="宋体"/>
          <w:color w:val="auto"/>
          <w:sz w:val="24"/>
          <w:highlight w:val="none"/>
          <w:lang w:val="en-US" w:eastAsia="zh-CN"/>
        </w:rPr>
        <w:t>扫描件</w:t>
      </w:r>
      <w:r>
        <w:rPr>
          <w:rFonts w:hint="eastAsia" w:ascii="宋体" w:hAnsi="宋体" w:eastAsia="宋体"/>
          <w:color w:val="auto"/>
          <w:sz w:val="24"/>
          <w:highlight w:val="none"/>
        </w:rPr>
        <w:t>。</w:t>
      </w:r>
    </w:p>
    <w:p w14:paraId="2D68D08A">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3.5.2 项目负责人建造师证和</w:t>
      </w:r>
      <w:r>
        <w:rPr>
          <w:rFonts w:hint="eastAsia" w:ascii="宋体" w:hAnsi="宋体" w:eastAsia="宋体"/>
          <w:color w:val="auto"/>
          <w:sz w:val="24"/>
          <w:highlight w:val="none"/>
          <w:lang w:eastAsia="zh-CN"/>
        </w:rPr>
        <w:t>安全生产考核合格证</w:t>
      </w:r>
      <w:r>
        <w:rPr>
          <w:rFonts w:hint="eastAsia" w:ascii="宋体" w:hAnsi="宋体" w:eastAsia="宋体"/>
          <w:color w:val="auto"/>
          <w:sz w:val="24"/>
          <w:highlight w:val="none"/>
        </w:rPr>
        <w:t>（B证）</w:t>
      </w:r>
      <w:r>
        <w:rPr>
          <w:rFonts w:hint="eastAsia" w:ascii="宋体" w:hAnsi="宋体" w:eastAsia="宋体" w:cs="Times New Roman"/>
          <w:color w:val="auto"/>
          <w:sz w:val="24"/>
          <w:szCs w:val="24"/>
          <w:highlight w:val="none"/>
        </w:rPr>
        <w:t>或建筑施工企业项目负责人安全生产考核合格证书</w:t>
      </w:r>
      <w:r>
        <w:rPr>
          <w:rFonts w:hint="eastAsia" w:ascii="宋体" w:hAnsi="宋体" w:eastAsia="宋体" w:cs="Times New Roman"/>
          <w:color w:val="auto"/>
          <w:sz w:val="24"/>
          <w:szCs w:val="24"/>
          <w:highlight w:val="none"/>
          <w:u w:val="single"/>
          <w:lang w:val="en-US" w:eastAsia="zh-CN"/>
        </w:rPr>
        <w:t>扫描件</w:t>
      </w:r>
      <w:r>
        <w:rPr>
          <w:rFonts w:hint="eastAsia" w:ascii="宋体" w:hAnsi="宋体" w:eastAsia="宋体"/>
          <w:color w:val="auto"/>
          <w:sz w:val="24"/>
          <w:highlight w:val="none"/>
        </w:rPr>
        <w:t>。</w:t>
      </w:r>
    </w:p>
    <w:p w14:paraId="434A04F6">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3.5.3专职安全员</w:t>
      </w:r>
      <w:r>
        <w:rPr>
          <w:rFonts w:hint="eastAsia" w:ascii="宋体" w:hAnsi="宋体" w:eastAsia="宋体"/>
          <w:color w:val="auto"/>
          <w:sz w:val="24"/>
          <w:highlight w:val="none"/>
          <w:lang w:eastAsia="zh-CN"/>
        </w:rPr>
        <w:t>安全生产考核合格证</w:t>
      </w:r>
      <w:r>
        <w:rPr>
          <w:rFonts w:hint="eastAsia" w:ascii="宋体" w:hAnsi="宋体" w:eastAsia="宋体"/>
          <w:color w:val="auto"/>
          <w:sz w:val="24"/>
          <w:highlight w:val="none"/>
        </w:rPr>
        <w:t>（C证）</w:t>
      </w:r>
      <w:r>
        <w:rPr>
          <w:rFonts w:hint="eastAsia" w:ascii="宋体" w:hAnsi="宋体" w:eastAsia="宋体" w:cs="Times New Roman"/>
          <w:color w:val="auto"/>
          <w:sz w:val="24"/>
          <w:szCs w:val="24"/>
          <w:highlight w:val="none"/>
        </w:rPr>
        <w:t>或建筑施工企业专职安全生产管理人员安全生产考核合格证书</w:t>
      </w:r>
      <w:r>
        <w:rPr>
          <w:rFonts w:hint="eastAsia" w:ascii="宋体" w:hAnsi="宋体" w:eastAsia="宋体" w:cs="Times New Roman"/>
          <w:color w:val="auto"/>
          <w:sz w:val="24"/>
          <w:szCs w:val="24"/>
          <w:highlight w:val="none"/>
          <w:u w:val="single"/>
          <w:lang w:val="en-US" w:eastAsia="zh-CN"/>
        </w:rPr>
        <w:t>扫描件</w:t>
      </w:r>
      <w:r>
        <w:rPr>
          <w:rFonts w:hint="eastAsia" w:ascii="宋体" w:hAnsi="宋体" w:eastAsia="宋体"/>
          <w:color w:val="auto"/>
          <w:sz w:val="24"/>
          <w:highlight w:val="none"/>
        </w:rPr>
        <w:t>。</w:t>
      </w:r>
    </w:p>
    <w:p w14:paraId="50A93224">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w:t>
      </w:r>
      <w:r>
        <w:rPr>
          <w:rFonts w:hint="eastAsia" w:ascii="宋体" w:hAnsi="宋体" w:eastAsia="宋体"/>
          <w:color w:val="auto"/>
          <w:sz w:val="24"/>
          <w:highlight w:val="none"/>
          <w:lang w:eastAsia="zh-CN"/>
        </w:rPr>
        <w:t>4</w:t>
      </w:r>
      <w:r>
        <w:rPr>
          <w:rFonts w:hint="eastAsia" w:ascii="宋体" w:hAnsi="宋体" w:eastAsia="宋体"/>
          <w:color w:val="auto"/>
          <w:sz w:val="24"/>
          <w:highlight w:val="none"/>
        </w:rPr>
        <w:t xml:space="preserve"> “近年完成的类似项目情况表”应附中标通知书、合同协议书以及合同工程完工证书（或工程竣工证书副本）的</w:t>
      </w:r>
      <w:r>
        <w:rPr>
          <w:rFonts w:hint="eastAsia" w:ascii="宋体" w:hAnsi="宋体" w:eastAsia="宋体"/>
          <w:color w:val="auto"/>
          <w:sz w:val="24"/>
          <w:highlight w:val="none"/>
          <w:lang w:eastAsia="zh-CN"/>
        </w:rPr>
        <w:t>扫描件</w:t>
      </w:r>
      <w:r>
        <w:rPr>
          <w:rFonts w:hint="eastAsia" w:ascii="宋体" w:hAnsi="宋体" w:eastAsia="宋体"/>
          <w:color w:val="auto"/>
          <w:sz w:val="24"/>
          <w:highlight w:val="none"/>
        </w:rPr>
        <w:t>。每张表格只填写一个项目，并标明序号。</w:t>
      </w:r>
    </w:p>
    <w:p w14:paraId="61140F51">
      <w:pPr>
        <w:pStyle w:val="16"/>
        <w:spacing w:after="0" w:line="360" w:lineRule="auto"/>
        <w:ind w:firstLine="480" w:firstLineChars="200"/>
        <w:rPr>
          <w:rFonts w:hint="eastAsia" w:ascii="宋体" w:hAnsi="宋体" w:eastAsia="宋体"/>
          <w:color w:val="auto"/>
          <w:sz w:val="24"/>
          <w:highlight w:val="none"/>
        </w:rPr>
      </w:pPr>
      <w:r>
        <w:rPr>
          <w:rFonts w:hint="eastAsia" w:ascii="宋体" w:hAnsi="宋体" w:eastAsia="宋体"/>
          <w:strike/>
          <w:color w:val="auto"/>
          <w:sz w:val="24"/>
          <w:highlight w:val="none"/>
        </w:rPr>
        <w:t>3.5.</w:t>
      </w:r>
      <w:r>
        <w:rPr>
          <w:rFonts w:hint="eastAsia" w:ascii="宋体" w:hAnsi="宋体" w:eastAsia="宋体"/>
          <w:strike/>
          <w:color w:val="auto"/>
          <w:sz w:val="24"/>
          <w:highlight w:val="none"/>
          <w:lang w:val="en-US" w:eastAsia="zh-CN"/>
        </w:rPr>
        <w:t>5</w:t>
      </w:r>
      <w:r>
        <w:rPr>
          <w:rFonts w:hint="eastAsia" w:ascii="宋体" w:hAnsi="宋体" w:eastAsia="宋体"/>
          <w:strike/>
          <w:color w:val="auto"/>
          <w:sz w:val="24"/>
          <w:highlight w:val="none"/>
        </w:rPr>
        <w:t xml:space="preserve"> 投标人须知前附表规定接受联合体投标的，本章第3.5.1项至第3.5.</w:t>
      </w:r>
      <w:r>
        <w:rPr>
          <w:rFonts w:hint="eastAsia" w:ascii="宋体" w:hAnsi="宋体" w:eastAsia="宋体"/>
          <w:strike/>
          <w:color w:val="auto"/>
          <w:sz w:val="24"/>
          <w:highlight w:val="none"/>
          <w:lang w:val="en-US" w:eastAsia="zh-CN"/>
        </w:rPr>
        <w:t>4</w:t>
      </w:r>
      <w:r>
        <w:rPr>
          <w:rFonts w:hint="eastAsia" w:ascii="宋体" w:hAnsi="宋体" w:eastAsia="宋体"/>
          <w:strike/>
          <w:color w:val="auto"/>
          <w:sz w:val="24"/>
          <w:highlight w:val="none"/>
        </w:rPr>
        <w:t>项规定的表格和资料应包括联合体各方相关情况。</w:t>
      </w:r>
    </w:p>
    <w:p w14:paraId="672201C6">
      <w:pPr>
        <w:pStyle w:val="16"/>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3.5.</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资审要求的其他材料。</w:t>
      </w:r>
    </w:p>
    <w:p w14:paraId="4C71CD1B">
      <w:pPr>
        <w:pStyle w:val="16"/>
        <w:spacing w:after="0" w:line="360" w:lineRule="auto"/>
        <w:ind w:firstLineChars="200"/>
        <w:rPr>
          <w:rFonts w:ascii="宋体" w:hAnsi="宋体" w:eastAsia="宋体"/>
          <w:i/>
          <w:color w:val="auto"/>
          <w:sz w:val="21"/>
          <w:szCs w:val="21"/>
          <w:highlight w:val="none"/>
        </w:rPr>
      </w:pPr>
      <w:r>
        <w:rPr>
          <w:rFonts w:hint="eastAsia" w:ascii="宋体" w:hAnsi="宋体" w:eastAsia="宋体"/>
          <w:i/>
          <w:color w:val="auto"/>
          <w:sz w:val="21"/>
          <w:szCs w:val="21"/>
          <w:highlight w:val="none"/>
        </w:rPr>
        <w:t>（说明：3.5.</w:t>
      </w:r>
      <w:r>
        <w:rPr>
          <w:rFonts w:hint="eastAsia" w:ascii="宋体" w:hAnsi="宋体" w:eastAsia="宋体"/>
          <w:i/>
          <w:color w:val="auto"/>
          <w:szCs w:val="21"/>
          <w:highlight w:val="none"/>
        </w:rPr>
        <w:t>4</w:t>
      </w:r>
      <w:r>
        <w:rPr>
          <w:rFonts w:ascii="宋体" w:hAnsi="宋体" w:eastAsia="宋体"/>
          <w:i/>
          <w:color w:val="auto"/>
          <w:sz w:val="21"/>
          <w:szCs w:val="21"/>
          <w:highlight w:val="none"/>
        </w:rPr>
        <w:t xml:space="preserve"> </w:t>
      </w:r>
      <w:r>
        <w:rPr>
          <w:rFonts w:hint="eastAsia" w:ascii="宋体" w:hAnsi="宋体" w:eastAsia="宋体"/>
          <w:i/>
          <w:color w:val="auto"/>
          <w:sz w:val="21"/>
          <w:szCs w:val="21"/>
          <w:highlight w:val="none"/>
        </w:rPr>
        <w:t>~</w:t>
      </w:r>
      <w:r>
        <w:rPr>
          <w:rFonts w:ascii="宋体" w:hAnsi="宋体" w:eastAsia="宋体"/>
          <w:i/>
          <w:color w:val="auto"/>
          <w:sz w:val="21"/>
          <w:szCs w:val="21"/>
          <w:highlight w:val="none"/>
        </w:rPr>
        <w:t xml:space="preserve"> </w:t>
      </w:r>
      <w:r>
        <w:rPr>
          <w:rFonts w:hint="eastAsia" w:ascii="宋体" w:hAnsi="宋体" w:eastAsia="宋体"/>
          <w:i/>
          <w:color w:val="auto"/>
          <w:sz w:val="21"/>
          <w:szCs w:val="21"/>
          <w:highlight w:val="none"/>
        </w:rPr>
        <w:t>3.5.</w:t>
      </w:r>
      <w:r>
        <w:rPr>
          <w:rFonts w:hint="eastAsia" w:ascii="宋体" w:hAnsi="宋体" w:eastAsia="宋体"/>
          <w:i/>
          <w:color w:val="auto"/>
          <w:szCs w:val="21"/>
          <w:highlight w:val="none"/>
          <w:lang w:val="en-US" w:eastAsia="zh-CN"/>
        </w:rPr>
        <w:t>5</w:t>
      </w:r>
      <w:r>
        <w:rPr>
          <w:rFonts w:hint="eastAsia" w:ascii="宋体" w:hAnsi="宋体" w:eastAsia="宋体"/>
          <w:i/>
          <w:color w:val="auto"/>
          <w:sz w:val="21"/>
          <w:szCs w:val="21"/>
          <w:highlight w:val="none"/>
        </w:rPr>
        <w:t>为可选项。若资格条件里没有业绩等方面的要求，可不做要求）</w:t>
      </w:r>
    </w:p>
    <w:p w14:paraId="22CF71BA">
      <w:pPr>
        <w:pStyle w:val="16"/>
        <w:spacing w:after="0" w:line="360" w:lineRule="auto"/>
        <w:ind w:firstLine="482" w:firstLineChars="200"/>
        <w:rPr>
          <w:rFonts w:ascii="宋体" w:hAnsi="宋体" w:eastAsia="宋体"/>
          <w:b/>
          <w:bCs/>
          <w:color w:val="auto"/>
          <w:sz w:val="24"/>
          <w:highlight w:val="none"/>
        </w:rPr>
      </w:pPr>
      <w:r>
        <w:rPr>
          <w:rFonts w:hint="eastAsia" w:ascii="宋体" w:hAnsi="宋体" w:eastAsia="宋体"/>
          <w:b/>
          <w:bCs/>
          <w:color w:val="auto"/>
          <w:sz w:val="24"/>
          <w:highlight w:val="none"/>
        </w:rPr>
        <w:t>3.6 投标文件的编制</w:t>
      </w:r>
    </w:p>
    <w:p w14:paraId="546B7E6C">
      <w:pPr>
        <w:pStyle w:val="16"/>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3.6.1投标人应采用单位数字证书，按招标文件要求在相应位置加盖电子印章。投标文件中需个人签字或盖章的，应加盖个人电子印章或在线下完成后扫描上传。按照</w:t>
      </w:r>
      <w:r>
        <w:rPr>
          <w:rFonts w:hint="eastAsia" w:ascii="宋体" w:hAnsi="宋体" w:eastAsia="宋体" w:cs="Times New Roman"/>
          <w:color w:val="auto"/>
          <w:sz w:val="24"/>
          <w:szCs w:val="24"/>
          <w:highlight w:val="none"/>
          <w:lang w:eastAsia="zh-CN"/>
        </w:rPr>
        <w:t>广州交易集团有限公司（广州公共资源交易中心）网站关于全流程电子化项目的相关指南进行操作</w:t>
      </w:r>
      <w:r>
        <w:rPr>
          <w:rFonts w:hint="eastAsia" w:ascii="宋体" w:hAnsi="宋体" w:eastAsia="宋体" w:cs="Times New Roman"/>
          <w:color w:val="auto"/>
          <w:sz w:val="24"/>
          <w:szCs w:val="24"/>
          <w:highlight w:val="none"/>
        </w:rPr>
        <w:t>。</w:t>
      </w:r>
    </w:p>
    <w:p w14:paraId="4121F745">
      <w:pPr>
        <w:spacing w:line="360" w:lineRule="auto"/>
        <w:ind w:firstLine="480" w:firstLineChars="200"/>
        <w:rPr>
          <w:rFonts w:ascii="宋体" w:hAnsi="宋体"/>
          <w:bCs/>
          <w:strike/>
          <w:color w:val="auto"/>
          <w:sz w:val="24"/>
          <w:szCs w:val="24"/>
          <w:highlight w:val="none"/>
        </w:rPr>
      </w:pPr>
      <w:r>
        <w:rPr>
          <w:rFonts w:hint="eastAsia" w:ascii="宋体" w:hAnsi="宋体"/>
          <w:strike/>
          <w:color w:val="auto"/>
          <w:sz w:val="24"/>
          <w:szCs w:val="24"/>
          <w:highlight w:val="none"/>
        </w:rPr>
        <w:t>3.6.</w:t>
      </w:r>
      <w:r>
        <w:rPr>
          <w:rFonts w:hint="eastAsia" w:ascii="宋体" w:hAnsi="宋体"/>
          <w:strike/>
          <w:color w:val="auto"/>
          <w:sz w:val="24"/>
          <w:szCs w:val="24"/>
          <w:highlight w:val="none"/>
          <w:lang w:val="en-US" w:eastAsia="zh-CN"/>
        </w:rPr>
        <w:t>2</w:t>
      </w:r>
      <w:r>
        <w:rPr>
          <w:rFonts w:hint="eastAsia" w:ascii="宋体" w:hAnsi="宋体" w:eastAsia="宋体"/>
          <w:bCs/>
          <w:strike/>
          <w:color w:val="auto"/>
          <w:sz w:val="24"/>
          <w:szCs w:val="24"/>
          <w:highlight w:val="none"/>
        </w:rPr>
        <w:t>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w:t>
      </w:r>
      <w:r>
        <w:rPr>
          <w:rFonts w:hint="eastAsia" w:ascii="宋体" w:hAnsi="宋体" w:eastAsia="宋体"/>
          <w:bCs/>
          <w:strike/>
          <w:color w:val="auto"/>
          <w:sz w:val="24"/>
          <w:szCs w:val="24"/>
          <w:highlight w:val="none"/>
          <w:lang w:eastAsia="zh-CN"/>
        </w:rPr>
        <w:t>扫描</w:t>
      </w:r>
      <w:r>
        <w:rPr>
          <w:rFonts w:hint="eastAsia" w:ascii="宋体" w:hAnsi="宋体" w:eastAsia="宋体"/>
          <w:bCs/>
          <w:strike/>
          <w:color w:val="auto"/>
          <w:sz w:val="24"/>
          <w:szCs w:val="24"/>
          <w:highlight w:val="none"/>
        </w:rPr>
        <w:t>件。</w:t>
      </w:r>
    </w:p>
    <w:p w14:paraId="5E197EBE">
      <w:pPr>
        <w:pStyle w:val="16"/>
        <w:spacing w:after="0"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olor w:val="auto"/>
          <w:sz w:val="24"/>
          <w:szCs w:val="24"/>
          <w:highlight w:val="none"/>
        </w:rPr>
        <w:t>3.6.</w:t>
      </w:r>
      <w:r>
        <w:rPr>
          <w:rFonts w:hint="eastAsia" w:ascii="宋体" w:hAnsi="宋体" w:eastAsia="宋体"/>
          <w:color w:val="auto"/>
          <w:sz w:val="24"/>
          <w:szCs w:val="24"/>
          <w:highlight w:val="none"/>
          <w:lang w:val="en-US" w:eastAsia="zh-CN"/>
        </w:rPr>
        <w:t>3</w:t>
      </w:r>
      <w:r>
        <w:rPr>
          <w:rFonts w:hint="eastAsia" w:ascii="宋体" w:hAnsi="宋体" w:eastAsia="宋体" w:cs="Times New Roman"/>
          <w:bCs/>
          <w:color w:val="auto"/>
          <w:kern w:val="2"/>
          <w:sz w:val="24"/>
          <w:szCs w:val="24"/>
          <w:highlight w:val="none"/>
        </w:rPr>
        <w:t>投标文件应按照</w:t>
      </w:r>
      <w:r>
        <w:rPr>
          <w:rFonts w:hint="eastAsia" w:ascii="宋体" w:hAnsi="宋体" w:eastAsia="宋体" w:cs="Times New Roman"/>
          <w:bCs/>
          <w:color w:val="auto"/>
          <w:kern w:val="2"/>
          <w:sz w:val="24"/>
          <w:szCs w:val="24"/>
          <w:highlight w:val="none"/>
          <w:lang w:eastAsia="zh-CN"/>
        </w:rPr>
        <w:t>广州交易集团有限公司（广州公共资源交易中心）网站</w:t>
      </w:r>
      <w:r>
        <w:rPr>
          <w:rFonts w:hint="eastAsia" w:ascii="宋体" w:hAnsi="宋体" w:eastAsia="宋体" w:cs="Times New Roman"/>
          <w:bCs/>
          <w:color w:val="auto"/>
          <w:kern w:val="2"/>
          <w:sz w:val="24"/>
          <w:szCs w:val="24"/>
          <w:highlight w:val="none"/>
        </w:rPr>
        <w:t>关于全流程电子化项目的相关指南进行编制。如因不按上述编排要求编制而所引起系统无法检索、读取相关信息时，其后果将由投标人自行承担。</w:t>
      </w:r>
    </w:p>
    <w:p w14:paraId="239619BC">
      <w:pPr>
        <w:pStyle w:val="16"/>
        <w:spacing w:after="0" w:line="360" w:lineRule="auto"/>
        <w:ind w:firstLine="480" w:firstLineChars="200"/>
        <w:rPr>
          <w:rFonts w:ascii="宋体" w:hAnsi="宋体" w:eastAsia="宋体"/>
          <w:i/>
          <w:color w:val="auto"/>
          <w:sz w:val="24"/>
          <w:highlight w:val="none"/>
        </w:rPr>
      </w:pPr>
      <w:r>
        <w:rPr>
          <w:rFonts w:hint="eastAsia" w:ascii="宋体" w:hAnsi="宋体" w:eastAsia="宋体"/>
          <w:i/>
          <w:color w:val="auto"/>
          <w:sz w:val="24"/>
          <w:highlight w:val="none"/>
        </w:rPr>
        <w:t>（</w:t>
      </w:r>
      <w:r>
        <w:rPr>
          <w:rFonts w:hint="eastAsia" w:ascii="宋体" w:hAnsi="宋体" w:eastAsia="宋体"/>
          <w:i/>
          <w:color w:val="auto"/>
          <w:szCs w:val="21"/>
          <w:highlight w:val="none"/>
        </w:rPr>
        <w:t>给排水项目投标文件按交易中心的投标文件制作工具编制</w:t>
      </w:r>
      <w:r>
        <w:rPr>
          <w:rFonts w:hint="eastAsia" w:ascii="宋体" w:hAnsi="宋体" w:eastAsia="宋体"/>
          <w:i/>
          <w:color w:val="auto"/>
          <w:sz w:val="24"/>
          <w:highlight w:val="none"/>
        </w:rPr>
        <w:t>）</w:t>
      </w:r>
    </w:p>
    <w:p w14:paraId="177517D8">
      <w:pPr>
        <w:pStyle w:val="16"/>
        <w:spacing w:after="0" w:line="360" w:lineRule="auto"/>
        <w:ind w:firstLine="482" w:firstLineChars="200"/>
        <w:rPr>
          <w:rFonts w:ascii="宋体" w:hAnsi="宋体" w:eastAsia="宋体"/>
          <w:b/>
          <w:bCs/>
          <w:color w:val="auto"/>
          <w:sz w:val="24"/>
          <w:highlight w:val="none"/>
        </w:rPr>
      </w:pPr>
    </w:p>
    <w:p w14:paraId="59BDDDEC">
      <w:pPr>
        <w:jc w:val="center"/>
        <w:outlineLvl w:val="3"/>
        <w:rPr>
          <w:rFonts w:ascii="宋体" w:hAnsi="宋体"/>
          <w:b/>
          <w:color w:val="auto"/>
          <w:sz w:val="30"/>
          <w:szCs w:val="30"/>
          <w:highlight w:val="none"/>
        </w:rPr>
      </w:pPr>
      <w:bookmarkStart w:id="191" w:name="_Toc101777615"/>
      <w:bookmarkStart w:id="192" w:name="_Toc262229166"/>
      <w:r>
        <w:rPr>
          <w:rFonts w:hint="eastAsia" w:ascii="宋体" w:hAnsi="宋体"/>
          <w:b/>
          <w:color w:val="auto"/>
          <w:sz w:val="30"/>
          <w:szCs w:val="30"/>
          <w:highlight w:val="none"/>
        </w:rPr>
        <w:t>（四）投标文件的递交</w:t>
      </w:r>
      <w:bookmarkEnd w:id="191"/>
      <w:bookmarkEnd w:id="192"/>
    </w:p>
    <w:p w14:paraId="695F949E">
      <w:pPr>
        <w:pStyle w:val="16"/>
        <w:spacing w:after="0" w:line="360" w:lineRule="auto"/>
        <w:ind w:firstLine="482" w:firstLineChars="200"/>
        <w:rPr>
          <w:rFonts w:hint="eastAsia" w:ascii="宋体" w:hAnsi="宋体" w:eastAsia="宋体"/>
          <w:b/>
          <w:bCs/>
          <w:color w:val="auto"/>
          <w:sz w:val="24"/>
          <w:highlight w:val="none"/>
          <w:lang w:eastAsia="zh-CN"/>
        </w:rPr>
      </w:pPr>
      <w:r>
        <w:rPr>
          <w:rFonts w:hint="eastAsia" w:ascii="宋体" w:hAnsi="宋体" w:eastAsia="宋体"/>
          <w:b/>
          <w:bCs/>
          <w:color w:val="auto"/>
          <w:sz w:val="24"/>
          <w:highlight w:val="none"/>
        </w:rPr>
        <w:t xml:space="preserve">4.1 </w:t>
      </w:r>
      <w:r>
        <w:rPr>
          <w:rFonts w:hint="eastAsia" w:ascii="宋体" w:hAnsi="宋体" w:eastAsia="宋体"/>
          <w:b/>
          <w:color w:val="auto"/>
          <w:sz w:val="24"/>
          <w:szCs w:val="24"/>
          <w:highlight w:val="none"/>
        </w:rPr>
        <w:t>投标文件的密封和标</w:t>
      </w:r>
      <w:r>
        <w:rPr>
          <w:rFonts w:hint="eastAsia" w:ascii="宋体" w:hAnsi="宋体" w:eastAsia="宋体"/>
          <w:b/>
          <w:color w:val="auto"/>
          <w:sz w:val="24"/>
          <w:szCs w:val="24"/>
          <w:highlight w:val="none"/>
          <w:lang w:eastAsia="zh-CN"/>
        </w:rPr>
        <w:t>记</w:t>
      </w:r>
    </w:p>
    <w:p w14:paraId="364D4B6C">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4.1.1递交的电子投标文件（不含备用光盘）必须进行加密。按照</w:t>
      </w:r>
      <w:r>
        <w:rPr>
          <w:rFonts w:hint="eastAsia" w:ascii="宋体" w:hAnsi="宋体"/>
          <w:color w:val="auto"/>
          <w:sz w:val="24"/>
          <w:szCs w:val="24"/>
          <w:highlight w:val="none"/>
          <w:u w:val="single"/>
          <w:lang w:eastAsia="zh-CN"/>
        </w:rPr>
        <w:t>广州交易集团有限公司（广州公共资源交易中心）</w:t>
      </w:r>
      <w:r>
        <w:rPr>
          <w:rFonts w:hint="eastAsia" w:ascii="宋体" w:hAnsi="宋体"/>
          <w:color w:val="auto"/>
          <w:sz w:val="24"/>
          <w:szCs w:val="21"/>
          <w:highlight w:val="none"/>
          <w:lang w:eastAsia="zh-CN"/>
        </w:rPr>
        <w:t>网站</w:t>
      </w:r>
      <w:r>
        <w:rPr>
          <w:rFonts w:hint="eastAsia" w:ascii="宋体" w:hAnsi="宋体"/>
          <w:color w:val="auto"/>
          <w:sz w:val="24"/>
          <w:szCs w:val="21"/>
          <w:highlight w:val="none"/>
        </w:rPr>
        <w:t>关于全流程电子化项目的相关指南进行操作。。</w:t>
      </w:r>
    </w:p>
    <w:p w14:paraId="2F66E994">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1"/>
          <w:highlight w:val="none"/>
        </w:rPr>
        <w:t>4.1.2未按要求加密的投标文件，</w:t>
      </w:r>
      <w:r>
        <w:rPr>
          <w:rFonts w:hint="eastAsia" w:ascii="宋体" w:hAnsi="宋体"/>
          <w:color w:val="auto"/>
          <w:sz w:val="24"/>
          <w:szCs w:val="24"/>
          <w:highlight w:val="none"/>
          <w:u w:val="single"/>
          <w:lang w:eastAsia="zh-CN"/>
        </w:rPr>
        <w:t>广州交易集团有限公司（广州公共资源交易中心）</w:t>
      </w:r>
      <w:r>
        <w:rPr>
          <w:rFonts w:hint="eastAsia" w:ascii="宋体" w:hAnsi="宋体"/>
          <w:color w:val="auto"/>
          <w:sz w:val="24"/>
          <w:szCs w:val="21"/>
          <w:highlight w:val="none"/>
          <w:lang w:eastAsia="zh-CN"/>
        </w:rPr>
        <w:t>网站交易</w:t>
      </w:r>
      <w:r>
        <w:rPr>
          <w:rFonts w:hint="eastAsia" w:ascii="宋体" w:hAnsi="宋体"/>
          <w:color w:val="auto"/>
          <w:sz w:val="24"/>
          <w:szCs w:val="21"/>
          <w:highlight w:val="none"/>
        </w:rPr>
        <w:t>平台将予以拒收</w:t>
      </w:r>
      <w:r>
        <w:rPr>
          <w:rFonts w:hint="eastAsia" w:ascii="宋体" w:hAnsi="宋体"/>
          <w:color w:val="auto"/>
          <w:sz w:val="24"/>
          <w:szCs w:val="21"/>
          <w:highlight w:val="none"/>
          <w:lang w:eastAsia="zh-CN"/>
        </w:rPr>
        <w:t>。</w:t>
      </w:r>
    </w:p>
    <w:p w14:paraId="1D044303">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4.2</w:t>
      </w:r>
      <w:r>
        <w:rPr>
          <w:rFonts w:ascii="宋体" w:hAnsi="宋体"/>
          <w:b/>
          <w:bCs/>
          <w:color w:val="auto"/>
          <w:sz w:val="24"/>
          <w:highlight w:val="none"/>
        </w:rPr>
        <w:t xml:space="preserve"> </w:t>
      </w:r>
      <w:r>
        <w:rPr>
          <w:rFonts w:hint="eastAsia" w:ascii="宋体" w:hAnsi="宋体"/>
          <w:b/>
          <w:bCs/>
          <w:color w:val="auto"/>
          <w:sz w:val="24"/>
          <w:highlight w:val="none"/>
        </w:rPr>
        <w:t>投标文件的递交和接收</w:t>
      </w:r>
    </w:p>
    <w:p w14:paraId="3DC5134D">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4.2.1投标人通过</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交易平台递交电子投标文件。</w:t>
      </w:r>
    </w:p>
    <w:p w14:paraId="53FF25CF">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4.2.2投标人完成电子投标文件上传后，</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交易平台即时向投标人发出递交回执通知。递交时间以递交回执通知载明的传输完成时间为准。</w:t>
      </w:r>
    </w:p>
    <w:p w14:paraId="0208BB54">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4.2.3逾期送达的电子投标文件，</w:t>
      </w:r>
      <w:r>
        <w:rPr>
          <w:rFonts w:hint="eastAsia" w:ascii="宋体" w:hAnsi="宋体"/>
          <w:color w:val="auto"/>
          <w:sz w:val="24"/>
          <w:szCs w:val="24"/>
          <w:highlight w:val="none"/>
          <w:u w:val="single"/>
          <w:lang w:eastAsia="zh-CN"/>
        </w:rPr>
        <w:t>广州交易集团有限公司（广州公共资源交易中心）网站</w:t>
      </w:r>
      <w:r>
        <w:rPr>
          <w:rFonts w:hint="eastAsia" w:ascii="宋体" w:hAnsi="宋体"/>
          <w:color w:val="auto"/>
          <w:sz w:val="24"/>
          <w:szCs w:val="24"/>
          <w:highlight w:val="none"/>
        </w:rPr>
        <w:t>交易平台将予以拒收。</w:t>
      </w:r>
    </w:p>
    <w:p w14:paraId="0CB277A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4.2</w:t>
      </w:r>
      <w:r>
        <w:rPr>
          <w:rFonts w:hint="eastAsia" w:ascii="宋体" w:hAnsi="宋体"/>
          <w:color w:val="auto"/>
          <w:sz w:val="24"/>
          <w:highlight w:val="none"/>
        </w:rPr>
        <w:t xml:space="preserve">.4 </w:t>
      </w:r>
      <w:r>
        <w:rPr>
          <w:rFonts w:hint="eastAsia" w:ascii="宋体" w:hAnsi="宋体"/>
          <w:color w:val="auto"/>
          <w:sz w:val="24"/>
          <w:szCs w:val="24"/>
          <w:highlight w:val="none"/>
        </w:rPr>
        <w:t>投标截止前，招标人拒绝接收符合条件的投标文件，投标人可向招标监督机构投诉。</w:t>
      </w:r>
    </w:p>
    <w:p w14:paraId="528DC62E">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ascii="宋体" w:hAnsi="宋体"/>
          <w:color w:val="auto"/>
          <w:sz w:val="24"/>
          <w:szCs w:val="24"/>
          <w:highlight w:val="none"/>
        </w:rPr>
        <w:t xml:space="preserve"> </w:t>
      </w:r>
      <w:r>
        <w:rPr>
          <w:rFonts w:hint="eastAsia" w:ascii="宋体" w:hAnsi="宋体"/>
          <w:b/>
          <w:bCs/>
          <w:color w:val="auto"/>
          <w:sz w:val="24"/>
          <w:highlight w:val="none"/>
        </w:rPr>
        <w:t>投标文件递交的截止时间</w:t>
      </w:r>
    </w:p>
    <w:p w14:paraId="187AF4BA">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.1投标人应在4.2.1所述的时间前递交投标文件。截止时间以</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电子评标系统服务器从中国科学院国家授时中心取得的北京时间为准。</w:t>
      </w:r>
    </w:p>
    <w:p w14:paraId="22D5AFFC">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.2招标人可按本须知第2.</w:t>
      </w:r>
      <w:r>
        <w:rPr>
          <w:rFonts w:hint="eastAsia" w:ascii="宋体" w:hAnsi="宋体"/>
          <w:color w:val="auto"/>
          <w:sz w:val="24"/>
          <w:highlight w:val="none"/>
          <w:lang w:val="en-US" w:eastAsia="zh-CN"/>
        </w:rPr>
        <w:t>3</w:t>
      </w:r>
      <w:r>
        <w:rPr>
          <w:rFonts w:hint="eastAsia" w:ascii="宋体" w:hAnsi="宋体"/>
          <w:color w:val="auto"/>
          <w:sz w:val="24"/>
          <w:highlight w:val="none"/>
        </w:rPr>
        <w:t>条规定以招标文件修改的方式，酌情延长递交投标文件的截止时间。在此情况下，投标人的所有权利和义务以及投标人受制约的截止时间，均以延长后新的投标截止时间为准。</w:t>
      </w:r>
    </w:p>
    <w:p w14:paraId="26EAB1CA">
      <w:pPr>
        <w:spacing w:line="360" w:lineRule="auto"/>
        <w:rPr>
          <w:rFonts w:ascii="宋体" w:hAnsi="宋体"/>
          <w:color w:val="auto"/>
          <w:sz w:val="24"/>
          <w:highlight w:val="none"/>
        </w:rPr>
      </w:pPr>
      <w:r>
        <w:rPr>
          <w:rFonts w:hint="eastAsia" w:ascii="宋体" w:hAnsi="宋体"/>
          <w:color w:val="auto"/>
          <w:sz w:val="24"/>
          <w:szCs w:val="24"/>
          <w:highlight w:val="none"/>
        </w:rPr>
        <w:t xml:space="preserve">    4.3</w:t>
      </w:r>
      <w:r>
        <w:rPr>
          <w:rFonts w:hint="eastAsia" w:ascii="宋体" w:hAnsi="宋体"/>
          <w:color w:val="auto"/>
          <w:sz w:val="24"/>
          <w:highlight w:val="none"/>
        </w:rPr>
        <w:t>.3</w:t>
      </w:r>
      <w:r>
        <w:rPr>
          <w:rFonts w:hint="eastAsia" w:ascii="宋体" w:hAnsi="宋体" w:eastAsia="宋体" w:cs="宋体"/>
          <w:color w:val="auto"/>
          <w:sz w:val="24"/>
          <w:highlight w:val="none"/>
          <w:u w:val="none"/>
        </w:rPr>
        <w:t>当投标登记或递交投标文件或通过资格审查或经评议有效投标的投标人不足3名时，重新组织招标。</w:t>
      </w:r>
    </w:p>
    <w:p w14:paraId="3C8A8194">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4.4</w:t>
      </w:r>
      <w:r>
        <w:rPr>
          <w:rFonts w:hint="eastAsia" w:ascii="宋体" w:hAnsi="宋体"/>
          <w:b/>
          <w:bCs/>
          <w:color w:val="auto"/>
          <w:sz w:val="24"/>
          <w:highlight w:val="none"/>
        </w:rPr>
        <w:t xml:space="preserve"> 迟交的投标文件</w:t>
      </w:r>
    </w:p>
    <w:p w14:paraId="0E2833B6">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4.4</w:t>
      </w:r>
      <w:r>
        <w:rPr>
          <w:rFonts w:hint="eastAsia" w:ascii="宋体" w:hAnsi="宋体"/>
          <w:color w:val="auto"/>
          <w:sz w:val="24"/>
          <w:highlight w:val="none"/>
        </w:rPr>
        <w:t>.1本须知前附表第4.3.1项规定的投标截止时间后送达的电子投标文件，</w:t>
      </w:r>
      <w:r>
        <w:rPr>
          <w:rFonts w:hint="eastAsia" w:ascii="宋体" w:hAnsi="宋体"/>
          <w:color w:val="auto"/>
          <w:sz w:val="24"/>
          <w:szCs w:val="24"/>
          <w:highlight w:val="none"/>
          <w:u w:val="single"/>
          <w:lang w:eastAsia="zh-CN"/>
        </w:rPr>
        <w:t>广州交易集团有限公司（广州公共资源交易中心）网站交易</w:t>
      </w:r>
      <w:r>
        <w:rPr>
          <w:rFonts w:hint="eastAsia" w:ascii="宋体" w:hAnsi="宋体"/>
          <w:color w:val="auto"/>
          <w:sz w:val="24"/>
          <w:highlight w:val="none"/>
        </w:rPr>
        <w:t>平台将予以拒收。</w:t>
      </w:r>
    </w:p>
    <w:p w14:paraId="697B2066">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4.5</w:t>
      </w:r>
      <w:r>
        <w:rPr>
          <w:rFonts w:hint="eastAsia" w:ascii="宋体" w:hAnsi="宋体"/>
          <w:b/>
          <w:bCs/>
          <w:color w:val="auto"/>
          <w:sz w:val="24"/>
          <w:highlight w:val="none"/>
        </w:rPr>
        <w:t xml:space="preserve"> 投标文件的补充、修改与撤回</w:t>
      </w:r>
    </w:p>
    <w:p w14:paraId="536AAAE9">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.1 投标人在递交投标文件以后，在规定的投标截止时间之前，可以修改或撤回已递交的投标文件。</w:t>
      </w:r>
    </w:p>
    <w:p w14:paraId="74AD406C">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 xml:space="preserve"> 在投标截止时间之后，投标人不得补充、修改和更换投标文件。</w:t>
      </w:r>
    </w:p>
    <w:p w14:paraId="4F43E3D4">
      <w:pPr>
        <w:snapToGrid w:val="0"/>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在投标截止后，投标人在投标文件格式中规定的有效期终止日前，投标人不能撤</w:t>
      </w:r>
      <w:r>
        <w:rPr>
          <w:rFonts w:hint="eastAsia" w:ascii="宋体" w:hAnsi="宋体"/>
          <w:color w:val="auto"/>
          <w:sz w:val="24"/>
          <w:highlight w:val="none"/>
          <w:lang w:val="en-US" w:eastAsia="zh-CN"/>
        </w:rPr>
        <w:t>销</w:t>
      </w:r>
      <w:r>
        <w:rPr>
          <w:rFonts w:hint="eastAsia" w:ascii="宋体" w:hAnsi="宋体"/>
          <w:color w:val="auto"/>
          <w:sz w:val="24"/>
          <w:highlight w:val="none"/>
        </w:rPr>
        <w:t>投标文件，否则其投标保证金将被没收，且招标人有权就其撤</w:t>
      </w:r>
      <w:r>
        <w:rPr>
          <w:rFonts w:hint="eastAsia" w:ascii="宋体" w:hAnsi="宋体"/>
          <w:color w:val="auto"/>
          <w:sz w:val="24"/>
          <w:highlight w:val="none"/>
          <w:lang w:val="en-US" w:eastAsia="zh-CN"/>
        </w:rPr>
        <w:t>销</w:t>
      </w:r>
      <w:r>
        <w:rPr>
          <w:rFonts w:hint="eastAsia" w:ascii="宋体" w:hAnsi="宋体"/>
          <w:color w:val="auto"/>
          <w:sz w:val="24"/>
          <w:highlight w:val="none"/>
        </w:rPr>
        <w:t>行为报告政府主管部门载入不良信用记录。</w:t>
      </w:r>
    </w:p>
    <w:p w14:paraId="29E663D6">
      <w:pPr>
        <w:snapToGrid w:val="0"/>
        <w:spacing w:line="360" w:lineRule="auto"/>
        <w:ind w:firstLine="480" w:firstLineChars="200"/>
        <w:rPr>
          <w:rFonts w:ascii="宋体" w:hAnsi="宋体"/>
          <w:b/>
          <w:color w:val="auto"/>
          <w:sz w:val="24"/>
          <w:highlight w:val="none"/>
        </w:rPr>
      </w:pPr>
      <w:r>
        <w:rPr>
          <w:rFonts w:hint="eastAsia" w:ascii="宋体" w:hAnsi="宋体"/>
          <w:color w:val="auto"/>
          <w:sz w:val="24"/>
          <w:szCs w:val="24"/>
          <w:highlight w:val="none"/>
        </w:rPr>
        <w:t>4.6</w:t>
      </w:r>
      <w:r>
        <w:rPr>
          <w:rFonts w:hint="eastAsia" w:ascii="宋体" w:hAnsi="宋体"/>
          <w:b/>
          <w:color w:val="auto"/>
          <w:sz w:val="24"/>
          <w:highlight w:val="none"/>
        </w:rPr>
        <w:t xml:space="preserve"> 投标信息录入</w:t>
      </w:r>
    </w:p>
    <w:p w14:paraId="52C004BA">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4.6</w:t>
      </w:r>
      <w:r>
        <w:rPr>
          <w:rFonts w:hint="eastAsia" w:ascii="宋体" w:hAnsi="宋体"/>
          <w:color w:val="auto"/>
          <w:sz w:val="24"/>
          <w:highlight w:val="none"/>
        </w:rPr>
        <w:t>.1 投标人应在上传电子投标文件前将</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交易服务系统要求的相关信息在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交易服务系统中录入完毕。</w:t>
      </w:r>
    </w:p>
    <w:p w14:paraId="6E663BE4">
      <w:pPr>
        <w:spacing w:line="360" w:lineRule="auto"/>
        <w:ind w:firstLine="480" w:firstLineChars="200"/>
        <w:rPr>
          <w:rFonts w:ascii="宋体" w:hAnsi="宋体"/>
          <w:b/>
          <w:color w:val="auto"/>
          <w:sz w:val="24"/>
          <w:highlight w:val="none"/>
        </w:rPr>
      </w:pPr>
      <w:r>
        <w:rPr>
          <w:rFonts w:hint="eastAsia" w:ascii="宋体" w:hAnsi="宋体"/>
          <w:color w:val="auto"/>
          <w:sz w:val="24"/>
          <w:szCs w:val="24"/>
          <w:highlight w:val="none"/>
        </w:rPr>
        <w:t>4.7</w:t>
      </w:r>
      <w:r>
        <w:rPr>
          <w:rFonts w:hint="eastAsia" w:ascii="宋体" w:hAnsi="宋体"/>
          <w:b/>
          <w:color w:val="auto"/>
          <w:sz w:val="24"/>
          <w:highlight w:val="none"/>
        </w:rPr>
        <w:t xml:space="preserve"> 投标文件的解密</w:t>
      </w:r>
    </w:p>
    <w:p w14:paraId="257D99C0">
      <w:pPr>
        <w:tabs>
          <w:tab w:val="left" w:pos="10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4.7</w:t>
      </w:r>
      <w:r>
        <w:rPr>
          <w:rFonts w:hint="eastAsia" w:ascii="宋体" w:hAnsi="宋体" w:cs="仿宋_GB2312"/>
          <w:color w:val="auto"/>
          <w:sz w:val="24"/>
          <w:szCs w:val="24"/>
          <w:highlight w:val="none"/>
        </w:rPr>
        <w:t>.</w:t>
      </w:r>
      <w:r>
        <w:rPr>
          <w:rFonts w:ascii="宋体" w:hAnsi="宋体" w:cs="仿宋_GB2312"/>
          <w:color w:val="auto"/>
          <w:sz w:val="24"/>
          <w:szCs w:val="24"/>
          <w:highlight w:val="none"/>
        </w:rPr>
        <w:t>1</w:t>
      </w:r>
      <w:r>
        <w:rPr>
          <w:rFonts w:hint="eastAsia"/>
          <w:color w:val="auto"/>
          <w:sz w:val="24"/>
          <w:highlight w:val="none"/>
        </w:rPr>
        <w:t>投标人必须在</w:t>
      </w:r>
      <w:r>
        <w:rPr>
          <w:rFonts w:hint="eastAsia"/>
          <w:color w:val="auto"/>
          <w:sz w:val="24"/>
          <w:highlight w:val="none"/>
          <w:lang w:eastAsia="zh-CN"/>
        </w:rPr>
        <w:t>投标人须知</w:t>
      </w:r>
      <w:r>
        <w:rPr>
          <w:rFonts w:hint="eastAsia"/>
          <w:color w:val="auto"/>
          <w:sz w:val="24"/>
          <w:highlight w:val="none"/>
        </w:rPr>
        <w:t>前附表规定的时间内对</w:t>
      </w:r>
      <w:r>
        <w:rPr>
          <w:rFonts w:hint="eastAsia" w:ascii="宋体" w:hAnsi="宋体"/>
          <w:color w:val="auto"/>
          <w:sz w:val="24"/>
          <w:highlight w:val="none"/>
        </w:rPr>
        <w:t>投标文件进行解密。</w:t>
      </w:r>
      <w:r>
        <w:rPr>
          <w:rFonts w:hint="eastAsia" w:ascii="宋体" w:hAnsi="宋体" w:cs="仿宋_GB2312"/>
          <w:color w:val="auto"/>
          <w:sz w:val="24"/>
          <w:szCs w:val="24"/>
          <w:highlight w:val="none"/>
        </w:rPr>
        <w:t>因投标人原因造成投标文件未解密或未在规定的时间内解密的，视为撤销其投标文件。</w:t>
      </w:r>
    </w:p>
    <w:p w14:paraId="5D9334A5">
      <w:pPr>
        <w:jc w:val="center"/>
        <w:outlineLvl w:val="3"/>
        <w:rPr>
          <w:rFonts w:ascii="宋体" w:hAnsi="宋体"/>
          <w:b/>
          <w:color w:val="auto"/>
          <w:sz w:val="30"/>
          <w:szCs w:val="30"/>
          <w:highlight w:val="none"/>
        </w:rPr>
      </w:pPr>
      <w:r>
        <w:rPr>
          <w:rFonts w:hint="eastAsia" w:ascii="宋体" w:hAnsi="宋体"/>
          <w:b/>
          <w:color w:val="auto"/>
          <w:sz w:val="30"/>
          <w:szCs w:val="30"/>
          <w:highlight w:val="none"/>
        </w:rPr>
        <w:t>（五）开标</w:t>
      </w:r>
    </w:p>
    <w:p w14:paraId="04E80493">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5.1 开标时间和地点</w:t>
      </w:r>
    </w:p>
    <w:p w14:paraId="0C96F2EB">
      <w:pPr>
        <w:spacing w:line="360" w:lineRule="auto"/>
        <w:ind w:firstLine="480" w:firstLineChars="200"/>
        <w:jc w:val="left"/>
        <w:rPr>
          <w:color w:val="auto"/>
          <w:sz w:val="24"/>
          <w:highlight w:val="none"/>
        </w:rPr>
      </w:pPr>
      <w:r>
        <w:rPr>
          <w:rFonts w:hint="eastAsia"/>
          <w:color w:val="auto"/>
          <w:sz w:val="24"/>
          <w:highlight w:val="none"/>
        </w:rPr>
        <w:t>5.1.1招标人按</w:t>
      </w:r>
      <w:r>
        <w:rPr>
          <w:rFonts w:hint="eastAsia"/>
          <w:color w:val="auto"/>
          <w:sz w:val="24"/>
          <w:highlight w:val="none"/>
          <w:lang w:eastAsia="zh-CN"/>
        </w:rPr>
        <w:t>投标人须知</w:t>
      </w:r>
      <w:r>
        <w:rPr>
          <w:rFonts w:hint="eastAsia"/>
          <w:color w:val="auto"/>
          <w:sz w:val="24"/>
          <w:highlight w:val="none"/>
        </w:rPr>
        <w:t>前附表规定的时间和地点公开开标，并邀请所有投标人参加。</w:t>
      </w:r>
      <w:r>
        <w:rPr>
          <w:rFonts w:hint="eastAsia"/>
          <w:color w:val="auto"/>
          <w:sz w:val="24"/>
          <w:highlight w:val="none"/>
          <w:lang w:eastAsia="zh-CN"/>
        </w:rPr>
        <w:t>投标人也可选择参加在线开标，具体按照交易平台相关指南进行操作。</w:t>
      </w:r>
      <w:r>
        <w:rPr>
          <w:rFonts w:hint="eastAsia"/>
          <w:color w:val="auto"/>
          <w:sz w:val="24"/>
          <w:highlight w:val="none"/>
        </w:rPr>
        <w:t>投标人不派代表</w:t>
      </w:r>
      <w:r>
        <w:rPr>
          <w:rFonts w:hint="eastAsia"/>
          <w:color w:val="auto"/>
          <w:sz w:val="24"/>
          <w:highlight w:val="none"/>
          <w:lang w:eastAsia="zh-CN"/>
        </w:rPr>
        <w:t>参加</w:t>
      </w:r>
      <w:r>
        <w:rPr>
          <w:rFonts w:hint="eastAsia"/>
          <w:color w:val="auto"/>
          <w:sz w:val="24"/>
          <w:highlight w:val="none"/>
        </w:rPr>
        <w:t>开标会，则视其为放弃参与开标的权利，认可开标结果。截标后，开标开始时间因故推迟的，相关评标信息仍以原定的开标开始时间的信息为准。</w:t>
      </w:r>
    </w:p>
    <w:p w14:paraId="235E55F3">
      <w:pPr>
        <w:spacing w:line="360" w:lineRule="auto"/>
        <w:ind w:firstLine="480" w:firstLineChars="200"/>
        <w:jc w:val="left"/>
        <w:rPr>
          <w:rFonts w:ascii="宋体" w:hAnsi="宋体" w:cs="仿宋_GB2312"/>
          <w:color w:val="auto"/>
          <w:sz w:val="24"/>
          <w:szCs w:val="24"/>
          <w:highlight w:val="none"/>
        </w:rPr>
      </w:pPr>
      <w:r>
        <w:rPr>
          <w:rFonts w:hint="eastAsia"/>
          <w:color w:val="auto"/>
          <w:sz w:val="24"/>
          <w:highlight w:val="none"/>
        </w:rPr>
        <w:t>5.1.2招标人在招标文件要求提交投标文件的截止时间前收到</w:t>
      </w:r>
      <w:r>
        <w:rPr>
          <w:rFonts w:hint="eastAsia"/>
          <w:color w:val="auto"/>
          <w:sz w:val="24"/>
          <w:highlight w:val="none"/>
          <w:u w:val="single"/>
          <w:lang w:val="en-US" w:eastAsia="zh-CN"/>
        </w:rPr>
        <w:t>并</w:t>
      </w:r>
      <w:r>
        <w:rPr>
          <w:rFonts w:hint="eastAsia"/>
          <w:color w:val="auto"/>
          <w:sz w:val="24"/>
          <w:highlight w:val="none"/>
          <w:u w:val="single"/>
        </w:rPr>
        <w:t>完成投标人解密</w:t>
      </w:r>
      <w:r>
        <w:rPr>
          <w:rFonts w:hint="eastAsia"/>
          <w:color w:val="auto"/>
          <w:sz w:val="24"/>
          <w:highlight w:val="none"/>
        </w:rPr>
        <w:t>的投标文件，开标时都当众予以解密、</w:t>
      </w:r>
      <w:r>
        <w:rPr>
          <w:rFonts w:hint="eastAsia"/>
          <w:color w:val="auto"/>
          <w:sz w:val="24"/>
          <w:highlight w:val="none"/>
          <w:lang w:val="en-US" w:eastAsia="zh-CN"/>
        </w:rPr>
        <w:t>公布。</w:t>
      </w:r>
    </w:p>
    <w:p w14:paraId="0184B5E6">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5.2 开标程序</w:t>
      </w:r>
    </w:p>
    <w:p w14:paraId="363EAAC6">
      <w:pPr>
        <w:tabs>
          <w:tab w:val="left" w:pos="105"/>
        </w:tabs>
        <w:spacing w:line="360" w:lineRule="auto"/>
        <w:ind w:firstLine="480" w:firstLineChars="200"/>
        <w:rPr>
          <w:rFonts w:hint="default"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5.2.1在投标截止时间后半小时内，投标人通过广州交易集团有限公司（广州公共资源交易中心）网站交易平台对已递交的电子投标文件进行解密。投标人完成解密后，再由招标人进行解密。解密完成后，公布招标项目名称、投标人名称及其他内容。</w:t>
      </w:r>
    </w:p>
    <w:p w14:paraId="483D0691">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2</w:t>
      </w:r>
      <w:r>
        <w:rPr>
          <w:rFonts w:hint="eastAsia" w:ascii="宋体" w:hAnsi="宋体" w:cs="仿宋_GB2312"/>
          <w:color w:val="auto"/>
          <w:sz w:val="24"/>
          <w:szCs w:val="24"/>
          <w:highlight w:val="none"/>
        </w:rPr>
        <w:t>公开摇取评标基准价下浮率（下浮率取值范围在2%~5%，按0.5%设定级差）（</w:t>
      </w:r>
      <w:r>
        <w:rPr>
          <w:rFonts w:hint="eastAsia" w:ascii="宋体" w:hAnsi="宋体"/>
          <w:color w:val="auto"/>
          <w:sz w:val="24"/>
          <w:szCs w:val="24"/>
          <w:highlight w:val="none"/>
        </w:rPr>
        <w:t>经评审的最低投标价法</w:t>
      </w:r>
      <w:r>
        <w:rPr>
          <w:rFonts w:hint="eastAsia" w:ascii="宋体" w:hAnsi="宋体" w:cs="仿宋_GB2312"/>
          <w:color w:val="auto"/>
          <w:sz w:val="24"/>
          <w:szCs w:val="24"/>
          <w:highlight w:val="none"/>
        </w:rPr>
        <w:t>不需要摇评标基准价下浮率）。</w:t>
      </w:r>
    </w:p>
    <w:p w14:paraId="18375226">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3</w:t>
      </w:r>
      <w:r>
        <w:rPr>
          <w:rFonts w:hint="eastAsia" w:ascii="宋体" w:hAnsi="宋体" w:cs="仿宋_GB2312"/>
          <w:color w:val="auto"/>
          <w:sz w:val="24"/>
          <w:szCs w:val="24"/>
          <w:highlight w:val="none"/>
        </w:rPr>
        <w:t>按开标记录表规定的内容进行唱标。</w:t>
      </w:r>
    </w:p>
    <w:p w14:paraId="1A5884F8">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w:t>
      </w:r>
      <w:r>
        <w:rPr>
          <w:rFonts w:hint="eastAsia" w:ascii="宋体" w:hAnsi="宋体" w:cs="仿宋_GB2312"/>
          <w:color w:val="auto"/>
          <w:sz w:val="24"/>
          <w:szCs w:val="24"/>
          <w:highlight w:val="none"/>
          <w:lang w:val="en-US" w:eastAsia="zh-CN"/>
        </w:rPr>
        <w:t>4</w:t>
      </w:r>
      <w:r>
        <w:rPr>
          <w:rFonts w:hint="eastAsia" w:ascii="宋体" w:hAnsi="宋体" w:cs="仿宋_GB2312"/>
          <w:color w:val="auto"/>
          <w:sz w:val="24"/>
          <w:szCs w:val="24"/>
          <w:highlight w:val="none"/>
        </w:rPr>
        <w:t>投标人代表、招标人代表、监标人、记录人等有关人员在开标记录上签字确认；若有关人员不签字的，不影响开标程序。</w:t>
      </w:r>
    </w:p>
    <w:p w14:paraId="5A7129F2">
      <w:pPr>
        <w:tabs>
          <w:tab w:val="left" w:pos="105"/>
        </w:tabs>
        <w:spacing w:line="360" w:lineRule="auto"/>
        <w:ind w:firstLine="480" w:firstLineChars="200"/>
        <w:rPr>
          <w:rFonts w:hint="eastAsia"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5.2.5开标结束。</w:t>
      </w:r>
    </w:p>
    <w:p w14:paraId="76A139F2">
      <w:pPr>
        <w:tabs>
          <w:tab w:val="left" w:pos="105"/>
        </w:tabs>
        <w:spacing w:line="360" w:lineRule="auto"/>
        <w:ind w:firstLine="480" w:firstLineChars="200"/>
        <w:rPr>
          <w:rFonts w:hint="eastAsia"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0E3E23AD">
      <w:pPr>
        <w:tabs>
          <w:tab w:val="left" w:pos="105"/>
        </w:tabs>
        <w:spacing w:line="360" w:lineRule="auto"/>
        <w:ind w:firstLine="480" w:firstLineChars="200"/>
        <w:rPr>
          <w:rFonts w:hint="default" w:ascii="宋体" w:hAnsi="宋体" w:cs="仿宋_GB2312"/>
          <w:color w:val="auto"/>
          <w:sz w:val="24"/>
          <w:szCs w:val="24"/>
          <w:highlight w:val="none"/>
          <w:lang w:val="en-US" w:eastAsia="zh-CN"/>
        </w:rPr>
      </w:pPr>
      <w:r>
        <w:rPr>
          <w:rFonts w:hint="eastAsia" w:ascii="宋体" w:hAnsi="宋体" w:cs="仿宋_GB2312"/>
          <w:color w:val="auto"/>
          <w:sz w:val="24"/>
          <w:szCs w:val="24"/>
          <w:highlight w:val="none"/>
          <w:lang w:val="en-US" w:eastAsia="zh-CN"/>
        </w:rPr>
        <w:t>5.2.7开标时，两个（含两个）以上的投标人加密打包投标文件电脑机器特征码一致的，不参与下一程序，并由评标委员会否决其投标。</w:t>
      </w:r>
    </w:p>
    <w:p w14:paraId="31997B04">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5.3 开标异议</w:t>
      </w:r>
    </w:p>
    <w:p w14:paraId="473F4807">
      <w:pPr>
        <w:pStyle w:val="15"/>
        <w:shd w:val="clear" w:color="auto" w:fill="FFFFFF"/>
        <w:spacing w:before="0" w:beforeAutospacing="0" w:after="0" w:afterAutospacing="0" w:line="360" w:lineRule="auto"/>
        <w:ind w:firstLine="480" w:firstLineChars="200"/>
        <w:rPr>
          <w:rFonts w:hint="eastAsia" w:ascii="宋体" w:hAnsi="宋体"/>
          <w:color w:val="auto"/>
          <w:highlight w:val="none"/>
        </w:rPr>
      </w:pPr>
      <w:r>
        <w:rPr>
          <w:rFonts w:hint="eastAsia" w:ascii="宋体" w:hAnsi="宋体"/>
          <w:color w:val="auto"/>
          <w:highlight w:val="none"/>
        </w:rPr>
        <w:t>5.3.1</w:t>
      </w:r>
      <w:r>
        <w:rPr>
          <w:rFonts w:hint="eastAsia"/>
          <w:color w:val="auto"/>
          <w:sz w:val="24"/>
          <w:highlight w:val="none"/>
          <w:lang w:eastAsia="zh-CN"/>
        </w:rPr>
        <w:t>若投标人代表对开标过程有异议的，参加现场开标的，</w:t>
      </w:r>
      <w:r>
        <w:rPr>
          <w:rFonts w:hint="eastAsia"/>
          <w:color w:val="auto"/>
          <w:sz w:val="24"/>
          <w:highlight w:val="none"/>
        </w:rPr>
        <w:t>应当在开标现场提出，</w:t>
      </w:r>
      <w:r>
        <w:rPr>
          <w:rFonts w:hint="eastAsia"/>
          <w:color w:val="auto"/>
          <w:sz w:val="24"/>
          <w:highlight w:val="none"/>
          <w:lang w:eastAsia="zh-CN"/>
        </w:rPr>
        <w:t>同时出示本人身份证原件，</w:t>
      </w:r>
      <w:r>
        <w:rPr>
          <w:rFonts w:hint="eastAsia"/>
          <w:color w:val="auto"/>
          <w:sz w:val="24"/>
          <w:highlight w:val="none"/>
        </w:rPr>
        <w:t>招标人</w:t>
      </w:r>
      <w:r>
        <w:rPr>
          <w:rFonts w:hint="eastAsia"/>
          <w:color w:val="auto"/>
          <w:sz w:val="24"/>
          <w:highlight w:val="none"/>
          <w:lang w:eastAsia="zh-CN"/>
        </w:rPr>
        <w:t>应当</w:t>
      </w:r>
      <w:r>
        <w:rPr>
          <w:rFonts w:hint="eastAsia"/>
          <w:color w:val="auto"/>
          <w:sz w:val="24"/>
          <w:highlight w:val="none"/>
        </w:rPr>
        <w:t>当场作出答复，并制作记录</w:t>
      </w:r>
      <w:r>
        <w:rPr>
          <w:rFonts w:hint="eastAsia"/>
          <w:color w:val="auto"/>
          <w:sz w:val="24"/>
          <w:highlight w:val="none"/>
          <w:lang w:eastAsia="zh-CN"/>
        </w:rPr>
        <w:t>；参加在线开标的，投标人应通过交易平台在线提出，招标人应通过交易平台答复，答复后方可结束开标</w:t>
      </w:r>
      <w:r>
        <w:rPr>
          <w:rFonts w:hint="eastAsia" w:ascii="宋体" w:hAnsi="宋体"/>
          <w:color w:val="auto"/>
          <w:highlight w:val="none"/>
        </w:rPr>
        <w:t>。</w:t>
      </w:r>
    </w:p>
    <w:p w14:paraId="03C80E39">
      <w:pPr>
        <w:widowControl/>
        <w:shd w:val="clear" w:color="auto" w:fill="auto"/>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5.3.2对开标的异议，招标人应当当场作出答复并予以书面记录，异议成立的，招标人应当及时采取纠正措施，或者提交评标委员会评审确认；异议不成立的，招标人应当当场给予解释说明。</w:t>
      </w:r>
      <w:r>
        <w:rPr>
          <w:rFonts w:hint="eastAsia"/>
          <w:color w:val="auto"/>
          <w:sz w:val="24"/>
          <w:highlight w:val="none"/>
          <w:lang w:eastAsia="zh-CN"/>
        </w:rPr>
        <w:t>投标人未参加开标或在规定的时间内未提出异议的，视为对开标无异议。</w:t>
      </w:r>
    </w:p>
    <w:p w14:paraId="00DCABA6">
      <w:pPr>
        <w:widowControl/>
        <w:shd w:val="clear" w:color="auto" w:fill="FFFFFF"/>
        <w:spacing w:line="360" w:lineRule="auto"/>
        <w:ind w:firstLine="640"/>
        <w:jc w:val="left"/>
        <w:rPr>
          <w:rFonts w:ascii="宋体" w:hAnsi="宋体"/>
          <w:color w:val="auto"/>
          <w:sz w:val="24"/>
          <w:szCs w:val="24"/>
          <w:highlight w:val="none"/>
        </w:rPr>
      </w:pPr>
      <w:r>
        <w:rPr>
          <w:rFonts w:hint="eastAsia" w:ascii="宋体" w:hAnsi="宋体" w:cs="宋体"/>
          <w:color w:val="auto"/>
          <w:kern w:val="0"/>
          <w:sz w:val="24"/>
          <w:szCs w:val="24"/>
          <w:highlight w:val="none"/>
        </w:rPr>
        <w:t>5.3.3招标人应当按照同一异议提起人一份记录的方式，对异议事项的处理应逐条进行书面记录，并由异议提起人、招标人签名确认。书面记录含义应清晰而明确，包括但不限于纠正的措施、解释说明的内容、相关依据等</w:t>
      </w:r>
      <w:r>
        <w:rPr>
          <w:rFonts w:hint="eastAsia" w:ascii="宋体" w:hAnsi="宋体" w:cs="宋体"/>
          <w:color w:val="auto"/>
          <w:kern w:val="0"/>
          <w:sz w:val="32"/>
          <w:szCs w:val="32"/>
          <w:highlight w:val="none"/>
        </w:rPr>
        <w:t>。</w:t>
      </w:r>
    </w:p>
    <w:p w14:paraId="26C77995">
      <w:pPr>
        <w:jc w:val="center"/>
        <w:outlineLvl w:val="3"/>
        <w:rPr>
          <w:rFonts w:ascii="宋体" w:hAnsi="宋体"/>
          <w:b/>
          <w:color w:val="auto"/>
          <w:sz w:val="30"/>
          <w:szCs w:val="30"/>
          <w:highlight w:val="none"/>
        </w:rPr>
      </w:pPr>
      <w:r>
        <w:rPr>
          <w:rFonts w:hint="eastAsia" w:ascii="宋体" w:hAnsi="宋体"/>
          <w:b/>
          <w:color w:val="auto"/>
          <w:sz w:val="30"/>
          <w:szCs w:val="30"/>
          <w:highlight w:val="none"/>
        </w:rPr>
        <w:t>（六）评标</w:t>
      </w:r>
    </w:p>
    <w:p w14:paraId="7E642866">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6.1 评标委员会</w:t>
      </w:r>
    </w:p>
    <w:p w14:paraId="747D7063">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6.1.1评标由招标人依法组建的评标委员会负责。评标委员会由</w:t>
      </w:r>
      <w:r>
        <w:rPr>
          <w:rFonts w:hint="eastAsia" w:ascii="宋体" w:hAnsi="宋体"/>
          <w:color w:val="auto"/>
          <w:sz w:val="24"/>
          <w:highlight w:val="none"/>
          <w:u w:val="single"/>
        </w:rPr>
        <w:t>招标人代表或其委托的招标代理机构熟悉相关业务的代表，以及由广东省综合评标评审专家库有关技术、经济等方面的专家组成。</w:t>
      </w:r>
      <w:r>
        <w:rPr>
          <w:rFonts w:hint="eastAsia" w:ascii="宋体" w:hAnsi="宋体"/>
          <w:color w:val="auto"/>
          <w:sz w:val="24"/>
          <w:highlight w:val="none"/>
        </w:rPr>
        <w:t>评标委员会成员人数以及技术、经济等方面专家的确定方式见投标人须知前附表。</w:t>
      </w:r>
    </w:p>
    <w:p w14:paraId="3C4AF264">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6.1.2 评标委员会成员有下列情形之一的，应当回避：</w:t>
      </w:r>
    </w:p>
    <w:p w14:paraId="5200505A">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（1）招标人或投标人的主要负责人的近亲属；</w:t>
      </w:r>
    </w:p>
    <w:p w14:paraId="75E4CADC">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（2）项目主管部门或者行政监督部门的人员；</w:t>
      </w:r>
    </w:p>
    <w:p w14:paraId="7874099B">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w:t>
      </w:r>
      <w:r>
        <w:rPr>
          <w:rFonts w:hint="eastAsia" w:ascii="宋体" w:hAnsi="宋体"/>
          <w:color w:val="auto"/>
          <w:sz w:val="24"/>
          <w:highlight w:val="none"/>
        </w:rPr>
        <w:t>招标人</w:t>
      </w:r>
      <w:r>
        <w:rPr>
          <w:rFonts w:hint="eastAsia" w:ascii="宋体" w:hAnsi="宋体"/>
          <w:color w:val="auto"/>
          <w:sz w:val="24"/>
          <w:highlight w:val="none"/>
          <w:lang w:val="en-US" w:eastAsia="zh-CN"/>
        </w:rPr>
        <w:t>或</w:t>
      </w:r>
      <w:r>
        <w:rPr>
          <w:rFonts w:hint="eastAsia" w:ascii="宋体" w:hAnsi="宋体"/>
          <w:color w:val="auto"/>
          <w:sz w:val="24"/>
          <w:highlight w:val="none"/>
        </w:rPr>
        <w:t>投标人的工作人员、退休或离职未满3年的人员；</w:t>
      </w:r>
    </w:p>
    <w:p w14:paraId="5DC9BEC6">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）与投标人有经济利益关系，可能影响对投标公正评审的；</w:t>
      </w:r>
    </w:p>
    <w:p w14:paraId="5B4C1ECA">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）曾因在招标、评标以及其他与招标投标有关活动中从事违法行为而受过行政处罚或刑事处罚的。</w:t>
      </w:r>
    </w:p>
    <w:p w14:paraId="239ADD07">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）与投标人有其他利害关系。</w:t>
      </w:r>
    </w:p>
    <w:p w14:paraId="3DD325AB">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6.2 评标原则</w:t>
      </w:r>
      <w:r>
        <w:rPr>
          <w:rFonts w:hint="eastAsia" w:ascii="宋体" w:hAnsi="宋体"/>
          <w:b/>
          <w:color w:val="auto"/>
          <w:sz w:val="24"/>
          <w:highlight w:val="none"/>
        </w:rPr>
        <w:tab/>
      </w:r>
    </w:p>
    <w:p w14:paraId="1F63D7B4">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评标活动遵循公平、公正、科学和择优的原则。</w:t>
      </w:r>
    </w:p>
    <w:p w14:paraId="70DDC1AA">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6.3 评标</w:t>
      </w:r>
    </w:p>
    <w:p w14:paraId="5B83495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评标委员会按照第三章“评标办法”规定的方法、评审因素、标准和程序对投标文件进行评审。第三章“评标办法”没有规定的方法、评审因素和标准，不作为评标依据。</w:t>
      </w:r>
    </w:p>
    <w:p w14:paraId="10BC9816">
      <w:pPr>
        <w:jc w:val="center"/>
        <w:outlineLvl w:val="3"/>
        <w:rPr>
          <w:rFonts w:ascii="宋体" w:hAnsi="宋体"/>
          <w:b/>
          <w:color w:val="auto"/>
          <w:sz w:val="30"/>
          <w:szCs w:val="30"/>
          <w:highlight w:val="none"/>
        </w:rPr>
      </w:pPr>
      <w:r>
        <w:rPr>
          <w:rFonts w:hint="eastAsia" w:ascii="宋体" w:hAnsi="宋体"/>
          <w:b/>
          <w:color w:val="auto"/>
          <w:sz w:val="30"/>
          <w:szCs w:val="30"/>
          <w:highlight w:val="none"/>
        </w:rPr>
        <w:t>（七）合同授予</w:t>
      </w:r>
    </w:p>
    <w:p w14:paraId="1F84CD93">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7.1 定标方式</w:t>
      </w:r>
    </w:p>
    <w:p w14:paraId="7B3DCEA4">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招标人根据评标委员会推荐的中标候选人确定中标人，评标委员会推荐中标候选人的人数为3个。</w:t>
      </w:r>
    </w:p>
    <w:p w14:paraId="036A3CC1">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7.2 中标候选人公示</w:t>
      </w:r>
    </w:p>
    <w:p w14:paraId="6DF10345">
      <w:pPr>
        <w:spacing w:line="360" w:lineRule="auto"/>
        <w:ind w:firstLine="480" w:firstLineChars="200"/>
        <w:jc w:val="left"/>
        <w:rPr>
          <w:color w:val="auto"/>
          <w:sz w:val="24"/>
          <w:highlight w:val="none"/>
        </w:rPr>
      </w:pPr>
      <w:r>
        <w:rPr>
          <w:rFonts w:hint="eastAsia"/>
          <w:color w:val="auto"/>
          <w:sz w:val="24"/>
          <w:highlight w:val="none"/>
        </w:rPr>
        <w:t>7.2.1招标人在《投标人须知前附表》规定的媒介公示中标候选人，公示期为三天，最后一天应为工作日。</w:t>
      </w:r>
      <w:r>
        <w:rPr>
          <w:rFonts w:hint="eastAsia" w:ascii="宋体" w:hAnsi="宋体" w:eastAsia="宋体" w:cs="宋体"/>
          <w:color w:val="auto"/>
          <w:sz w:val="24"/>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4A2D5C9D">
      <w:pPr>
        <w:snapToGrid w:val="0"/>
        <w:spacing w:line="360" w:lineRule="auto"/>
        <w:ind w:firstLine="480" w:firstLineChars="200"/>
        <w:rPr>
          <w:rFonts w:hint="eastAsia"/>
          <w:color w:val="auto"/>
          <w:sz w:val="24"/>
          <w:highlight w:val="none"/>
        </w:rPr>
      </w:pPr>
      <w:r>
        <w:rPr>
          <w:rFonts w:hint="eastAsia"/>
          <w:color w:val="auto"/>
          <w:sz w:val="24"/>
          <w:highlight w:val="none"/>
        </w:rPr>
        <w:t>7.2.2中标候选人公示时，招标人将同时公示中标候选人的投标文件商务部分文件的所有内容（包括人员、业绩、奖项等资料）。</w:t>
      </w:r>
    </w:p>
    <w:p w14:paraId="2DCA1254">
      <w:pPr>
        <w:snapToGrid w:val="0"/>
        <w:spacing w:line="360" w:lineRule="auto"/>
        <w:ind w:firstLine="480" w:firstLineChars="200"/>
        <w:rPr>
          <w:color w:val="auto"/>
          <w:sz w:val="24"/>
          <w:highlight w:val="none"/>
        </w:rPr>
      </w:pPr>
      <w:r>
        <w:rPr>
          <w:rFonts w:hint="eastAsia"/>
          <w:color w:val="auto"/>
          <w:sz w:val="24"/>
          <w:highlight w:val="none"/>
        </w:rPr>
        <w:t>7.2.3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7BC9AC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7.3 中标通知</w:t>
      </w:r>
    </w:p>
    <w:p w14:paraId="13137BC5">
      <w:pPr>
        <w:snapToGrid w:val="0"/>
        <w:spacing w:line="360" w:lineRule="auto"/>
        <w:ind w:firstLine="480" w:firstLineChars="200"/>
        <w:rPr>
          <w:rFonts w:hint="eastAsia"/>
          <w:color w:val="auto"/>
          <w:sz w:val="24"/>
          <w:highlight w:val="none"/>
          <w:u w:val="none"/>
        </w:rPr>
      </w:pPr>
      <w:r>
        <w:rPr>
          <w:rFonts w:hint="eastAsia" w:ascii="宋体" w:hAnsi="宋体"/>
          <w:color w:val="auto"/>
          <w:sz w:val="24"/>
          <w:highlight w:val="none"/>
          <w:lang w:val="en-US" w:eastAsia="zh-CN"/>
        </w:rPr>
        <w:t>7.3.1</w:t>
      </w:r>
      <w:r>
        <w:rPr>
          <w:rFonts w:hint="eastAsia" w:ascii="宋体" w:hAnsi="宋体"/>
          <w:color w:val="auto"/>
          <w:sz w:val="24"/>
          <w:highlight w:val="none"/>
        </w:rPr>
        <w:t>在法规规定的时间内，招标人以书面形式向中标人发出中标通知书。</w:t>
      </w:r>
      <w:r>
        <w:rPr>
          <w:rFonts w:hint="eastAsia"/>
          <w:color w:val="auto"/>
          <w:sz w:val="24"/>
          <w:highlight w:val="none"/>
        </w:rPr>
        <w:t>在</w:t>
      </w:r>
      <w:r>
        <w:rPr>
          <w:rFonts w:hint="eastAsia" w:ascii="宋体" w:hAnsi="宋体"/>
          <w:color w:val="auto"/>
          <w:sz w:val="24"/>
          <w:szCs w:val="24"/>
          <w:highlight w:val="none"/>
          <w:lang w:eastAsia="zh-CN"/>
        </w:rPr>
        <w:t>广州交易集团有限公司（广州公共资源交易中心）</w:t>
      </w:r>
      <w:r>
        <w:rPr>
          <w:rFonts w:hint="eastAsia" w:ascii="宋体" w:hAnsi="宋体"/>
          <w:color w:val="auto"/>
          <w:sz w:val="24"/>
          <w:szCs w:val="24"/>
          <w:highlight w:val="none"/>
          <w:u w:val="none"/>
        </w:rPr>
        <w:t>网</w:t>
      </w:r>
      <w:r>
        <w:rPr>
          <w:rFonts w:hint="eastAsia" w:ascii="宋体" w:hAnsi="宋体" w:eastAsia="宋体" w:cs="宋体"/>
          <w:bCs w:val="0"/>
          <w:color w:val="auto"/>
          <w:sz w:val="24"/>
          <w:szCs w:val="24"/>
          <w:highlight w:val="none"/>
          <w:u w:val="none"/>
          <w:lang w:val="en-US" w:eastAsia="zh-CN"/>
        </w:rPr>
        <w:t>和</w:t>
      </w:r>
      <w:r>
        <w:rPr>
          <w:rFonts w:hint="eastAsia" w:ascii="宋体" w:hAnsi="宋体" w:eastAsia="宋体" w:cs="宋体"/>
          <w:bCs w:val="0"/>
          <w:color w:val="auto"/>
          <w:sz w:val="24"/>
          <w:szCs w:val="24"/>
          <w:highlight w:val="none"/>
          <w:u w:val="none"/>
        </w:rPr>
        <w:t>广东省招标投标监管网</w:t>
      </w:r>
      <w:r>
        <w:rPr>
          <w:rFonts w:hint="eastAsia"/>
          <w:color w:val="auto"/>
          <w:sz w:val="24"/>
          <w:highlight w:val="none"/>
          <w:u w:val="none"/>
        </w:rPr>
        <w:t>发布中标信息，视同将中标结果通知未中标的投标人。</w:t>
      </w:r>
    </w:p>
    <w:p w14:paraId="78E971FE">
      <w:pPr>
        <w:spacing w:line="360" w:lineRule="auto"/>
        <w:ind w:firstLine="480" w:firstLineChars="200"/>
        <w:jc w:val="left"/>
        <w:rPr>
          <w:rFonts w:hint="default" w:eastAsia="宋体"/>
          <w:color w:val="auto"/>
          <w:sz w:val="24"/>
          <w:szCs w:val="24"/>
          <w:highlight w:val="none"/>
          <w:u w:val="none"/>
          <w:lang w:val="en-US" w:eastAsia="zh-CN"/>
        </w:rPr>
      </w:pPr>
      <w:r>
        <w:rPr>
          <w:rFonts w:hint="eastAsia"/>
          <w:color w:val="auto"/>
          <w:sz w:val="24"/>
          <w:szCs w:val="24"/>
          <w:highlight w:val="none"/>
          <w:u w:val="none"/>
          <w:lang w:val="en-US" w:eastAsia="zh-CN"/>
        </w:rPr>
        <w:t>7.3.2</w:t>
      </w:r>
      <w:r>
        <w:rPr>
          <w:rFonts w:hint="eastAsia" w:ascii="宋体" w:hAnsi="宋体" w:eastAsia="宋体" w:cs="宋体"/>
          <w:color w:val="auto"/>
          <w:sz w:val="24"/>
          <w:szCs w:val="24"/>
          <w:highlight w:val="none"/>
          <w:u w:val="none"/>
        </w:rPr>
        <w:t>中标通知书发出前，中标人应未被纳入失信联合惩戒名单，否则招标人将取消其中标资格。失信联合惩戒名单以“信用广州”网站公布的“黑名单”为准。</w:t>
      </w:r>
    </w:p>
    <w:p w14:paraId="2A3FCC8C">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7.4 履约担保</w:t>
      </w:r>
    </w:p>
    <w:p w14:paraId="1834502F">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7.4.1</w:t>
      </w:r>
      <w:r>
        <w:rPr>
          <w:rFonts w:hint="eastAsia" w:ascii="宋体" w:hAnsi="宋体" w:eastAsia="宋体" w:cs="宋体"/>
          <w:color w:val="auto"/>
          <w:sz w:val="24"/>
          <w:highlight w:val="none"/>
          <w:u w:val="single"/>
        </w:rPr>
        <w:t>在合同签订后30日内，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w:t>
      </w:r>
    </w:p>
    <w:p w14:paraId="25343C2E">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7.4.2 中标人不能按本章第7.4.1项要求提交履约担保的，视为放弃中标，其投标保证金不予退还，给招标人造成的损失超过投标保证金数额的，中标人还应当对超过部分予以赔偿。</w:t>
      </w:r>
    </w:p>
    <w:p w14:paraId="09489930">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7.5 签订合同</w:t>
      </w:r>
    </w:p>
    <w:p w14:paraId="72AB2754">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7.5.1招标人和中标人应当自中标通知书发出之日起30天内，根据招标文件和中标人的投标文件订立书面合同</w:t>
      </w:r>
      <w:r>
        <w:rPr>
          <w:rFonts w:hint="eastAsia"/>
          <w:color w:val="auto"/>
          <w:sz w:val="24"/>
          <w:highlight w:val="none"/>
          <w:lang w:eastAsia="zh-CN"/>
        </w:rPr>
        <w:t>，并通过电子交易系统与中标人在线签订合同</w:t>
      </w:r>
      <w:r>
        <w:rPr>
          <w:rFonts w:hint="eastAsia" w:ascii="宋体" w:hAnsi="宋体"/>
          <w:color w:val="auto"/>
          <w:sz w:val="24"/>
          <w:highlight w:val="none"/>
        </w:rPr>
        <w:t xml:space="preserve">。中标人无正当理由拒签合同的，招标人取消其中标资格，其投标保证金不予退还；给招标人造成的损失超过投标保证金数额的，中标人还应当对超过部分予以赔偿。 </w:t>
      </w:r>
    </w:p>
    <w:p w14:paraId="697C2E2E">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7.5.2 发出中标通知书后，招标人无正当理由拒签合同的，招标人向中标人退还投标保证金；给中标人造成损失的，还应当赔偿损失。</w:t>
      </w:r>
    </w:p>
    <w:p w14:paraId="1D4DAD52">
      <w:pPr>
        <w:jc w:val="center"/>
        <w:outlineLvl w:val="3"/>
        <w:rPr>
          <w:rFonts w:ascii="宋体" w:hAnsi="宋体"/>
          <w:b/>
          <w:color w:val="auto"/>
          <w:sz w:val="30"/>
          <w:szCs w:val="30"/>
          <w:highlight w:val="none"/>
        </w:rPr>
      </w:pPr>
      <w:r>
        <w:rPr>
          <w:rFonts w:hint="eastAsia" w:ascii="宋体" w:hAnsi="宋体"/>
          <w:b/>
          <w:color w:val="auto"/>
          <w:sz w:val="30"/>
          <w:szCs w:val="30"/>
          <w:highlight w:val="none"/>
        </w:rPr>
        <w:t>（八）重新招标</w:t>
      </w:r>
    </w:p>
    <w:p w14:paraId="741D922C">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8.1 重新招标</w:t>
      </w:r>
    </w:p>
    <w:p w14:paraId="27AFFE92">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有下列情形之一的，招标人将重新招标；</w:t>
      </w:r>
    </w:p>
    <w:p w14:paraId="68DE5941">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（1）投标截止时间止，投标人少于3个的；</w:t>
      </w:r>
    </w:p>
    <w:p w14:paraId="1877CE9F">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（2）经评标委员会评审后否决所有投标的；</w:t>
      </w:r>
    </w:p>
    <w:p w14:paraId="370B4641">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（3）资审合格的投标人少于3家或经评审有效标少于3家的；</w:t>
      </w:r>
    </w:p>
    <w:p w14:paraId="2E7464A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（4）同意延长投标有效期的投标人少于3个的；</w:t>
      </w:r>
    </w:p>
    <w:p w14:paraId="457234AC">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（5）中标候选人均未与招标人签订合同的。</w:t>
      </w:r>
    </w:p>
    <w:p w14:paraId="076D9DE1">
      <w:pPr>
        <w:snapToGrid w:val="0"/>
        <w:spacing w:line="360" w:lineRule="auto"/>
        <w:ind w:firstLine="480" w:firstLineChars="200"/>
        <w:rPr>
          <w:rFonts w:hint="eastAsia"/>
          <w:color w:val="auto"/>
          <w:sz w:val="24"/>
          <w:highlight w:val="none"/>
          <w:lang w:eastAsia="zh-CN"/>
        </w:rPr>
      </w:pPr>
      <w:r>
        <w:rPr>
          <w:rFonts w:hint="eastAsia" w:ascii="宋体" w:hAnsi="宋体"/>
          <w:color w:val="auto"/>
          <w:sz w:val="24"/>
          <w:highlight w:val="none"/>
        </w:rPr>
        <w:t>（6）</w:t>
      </w:r>
      <w:r>
        <w:rPr>
          <w:rFonts w:hint="eastAsia"/>
          <w:color w:val="auto"/>
          <w:sz w:val="24"/>
          <w:highlight w:val="none"/>
        </w:rPr>
        <w:t>当N个标段同时招标且不允许兼中时，若有效投标人不足N+2家，则重新组织招标</w:t>
      </w:r>
      <w:r>
        <w:rPr>
          <w:rFonts w:hint="eastAsia"/>
          <w:color w:val="auto"/>
          <w:sz w:val="24"/>
          <w:highlight w:val="none"/>
          <w:lang w:eastAsia="zh-CN"/>
        </w:rPr>
        <w:t>。</w:t>
      </w:r>
    </w:p>
    <w:p w14:paraId="4AD2EE60">
      <w:pPr>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s="宋体"/>
          <w:b w:val="0"/>
          <w:bCs/>
          <w:color w:val="auto"/>
          <w:sz w:val="24"/>
          <w:highlight w:val="none"/>
          <w:lang w:val="en-US" w:eastAsia="zh-CN"/>
        </w:rPr>
        <w:t>8.2</w:t>
      </w:r>
      <w:r>
        <w:rPr>
          <w:rFonts w:hint="eastAsia" w:ascii="宋体" w:hAnsi="宋体" w:eastAsia="宋体" w:cs="宋体"/>
          <w:color w:val="auto"/>
          <w:sz w:val="24"/>
          <w:highlight w:val="none"/>
        </w:rPr>
        <w:t>重新招标后，仍出现本章第8.1条规定情形之一的，属于必须审批的水务工程建设项目，经行政监督部门批准后不再进行招标。</w:t>
      </w:r>
    </w:p>
    <w:p w14:paraId="3EA28BA2">
      <w:pPr>
        <w:jc w:val="center"/>
        <w:outlineLvl w:val="3"/>
        <w:rPr>
          <w:rFonts w:ascii="宋体" w:hAnsi="宋体"/>
          <w:b/>
          <w:color w:val="auto"/>
          <w:sz w:val="30"/>
          <w:szCs w:val="30"/>
          <w:highlight w:val="none"/>
        </w:rPr>
      </w:pPr>
      <w:r>
        <w:rPr>
          <w:rFonts w:hint="eastAsia" w:ascii="宋体" w:hAnsi="宋体"/>
          <w:b/>
          <w:color w:val="auto"/>
          <w:sz w:val="30"/>
          <w:szCs w:val="30"/>
          <w:highlight w:val="none"/>
        </w:rPr>
        <w:t>（九）纪律和监督</w:t>
      </w:r>
    </w:p>
    <w:p w14:paraId="213C3BB8">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9.1对招标人的纪律要求</w:t>
      </w:r>
    </w:p>
    <w:p w14:paraId="26C01E09">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招标人不得泄漏招标投标活动中应当保密的情况和资料，不得与投标人串通损害国家利益、社会公共利益或者他人合法权益。</w:t>
      </w:r>
    </w:p>
    <w:p w14:paraId="6CD82B59">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9.2 对投标人的纪律要求</w:t>
      </w:r>
    </w:p>
    <w:p w14:paraId="0B0896C7">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420409F">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9.3 对评标委员会成员的纪律要求</w:t>
      </w:r>
    </w:p>
    <w:p w14:paraId="6F9DEA18">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49F6A22C">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9.4 对与评标活动有关的工作人员的纪律要求</w:t>
      </w:r>
    </w:p>
    <w:p w14:paraId="294D1955">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7A227B9F">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9.5 投诉</w:t>
      </w:r>
    </w:p>
    <w:p w14:paraId="3FAEF46C">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14:paraId="7AD74A77">
      <w:pPr>
        <w:adjustRightInd w:val="0"/>
        <w:snapToGrid w:val="0"/>
        <w:spacing w:beforeLines="0" w:line="360" w:lineRule="auto"/>
        <w:ind w:firstLine="480" w:firstLineChars="200"/>
        <w:rPr>
          <w:rFonts w:hint="eastAsia" w:ascii="宋体" w:hAnsi="宋体" w:eastAsia="宋体" w:cs="宋体"/>
          <w:color w:val="auto"/>
          <w:highlight w:val="none"/>
          <w:u w:val="single"/>
        </w:rPr>
      </w:pPr>
      <w:r>
        <w:rPr>
          <w:rFonts w:hint="eastAsia" w:ascii="宋体" w:hAnsi="宋体" w:eastAsia="宋体" w:cs="宋体"/>
          <w:color w:val="auto"/>
          <w:sz w:val="24"/>
          <w:highlight w:val="none"/>
          <w:u w:val="single"/>
        </w:rPr>
        <w:t>9.5.1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367D8E77">
      <w:pPr>
        <w:adjustRightInd w:val="0"/>
        <w:snapToGrid w:val="0"/>
        <w:spacing w:beforeLines="0"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9.5.2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371A145B">
      <w:pPr>
        <w:snapToGrid w:val="0"/>
        <w:spacing w:line="360" w:lineRule="auto"/>
        <w:ind w:firstLine="480" w:firstLineChars="200"/>
        <w:rPr>
          <w:rFonts w:hint="eastAsia" w:ascii="宋体" w:hAnsi="宋体"/>
          <w:color w:val="auto"/>
          <w:sz w:val="24"/>
          <w:highlight w:val="none"/>
        </w:rPr>
      </w:pPr>
      <w:r>
        <w:rPr>
          <w:rFonts w:hint="eastAsia" w:ascii="宋体" w:hAnsi="宋体" w:eastAsia="宋体" w:cs="宋体"/>
          <w:color w:val="auto"/>
          <w:sz w:val="24"/>
          <w:highlight w:val="none"/>
          <w:u w:val="singl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20BFBA29">
      <w:pPr>
        <w:jc w:val="center"/>
        <w:outlineLvl w:val="3"/>
        <w:rPr>
          <w:rFonts w:ascii="宋体" w:hAnsi="宋体"/>
          <w:b/>
          <w:color w:val="auto"/>
          <w:sz w:val="30"/>
          <w:szCs w:val="30"/>
          <w:highlight w:val="none"/>
        </w:rPr>
      </w:pPr>
      <w:r>
        <w:rPr>
          <w:rFonts w:hint="eastAsia" w:ascii="宋体" w:hAnsi="宋体"/>
          <w:b/>
          <w:color w:val="auto"/>
          <w:sz w:val="30"/>
          <w:szCs w:val="30"/>
          <w:highlight w:val="none"/>
        </w:rPr>
        <w:t>（十）需要补充的其他内容</w:t>
      </w:r>
    </w:p>
    <w:p w14:paraId="7DDE031B">
      <w:pPr>
        <w:snapToGrid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color w:val="auto"/>
          <w:sz w:val="24"/>
          <w:highlight w:val="none"/>
        </w:rPr>
        <w:t>10.1</w:t>
      </w:r>
      <w:r>
        <w:rPr>
          <w:rFonts w:ascii="宋体" w:hAnsi="宋体"/>
          <w:color w:val="auto"/>
          <w:sz w:val="24"/>
          <w:highlight w:val="none"/>
        </w:rPr>
        <w:t xml:space="preserve"> </w:t>
      </w:r>
      <w:r>
        <w:rPr>
          <w:rFonts w:hint="eastAsia" w:ascii="宋体" w:hAnsi="宋体"/>
          <w:color w:val="auto"/>
          <w:sz w:val="24"/>
          <w:highlight w:val="none"/>
        </w:rPr>
        <w:t>需要补充的其他内容：见投标人须知前附表。</w:t>
      </w:r>
    </w:p>
    <w:p w14:paraId="2DA355A2">
      <w:pPr>
        <w:widowControl/>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br w:type="page"/>
      </w:r>
    </w:p>
    <w:p w14:paraId="5DDE0CC4">
      <w:pPr>
        <w:spacing w:line="360" w:lineRule="auto"/>
        <w:jc w:val="left"/>
        <w:outlineLvl w:val="2"/>
        <w:rPr>
          <w:rFonts w:ascii="黑体" w:hAnsi="黑体" w:eastAsia="黑体"/>
          <w:color w:val="auto"/>
          <w:sz w:val="28"/>
          <w:szCs w:val="27"/>
          <w:highlight w:val="none"/>
        </w:rPr>
      </w:pPr>
      <w:bookmarkStart w:id="193" w:name="_Toc17451625"/>
      <w:bookmarkStart w:id="194" w:name="_Toc12482"/>
      <w:bookmarkStart w:id="195" w:name="_Toc17452666"/>
      <w:bookmarkStart w:id="196" w:name="_Toc17556878"/>
      <w:bookmarkStart w:id="197" w:name="_Toc152042358"/>
      <w:bookmarkStart w:id="198" w:name="_Toc17454873"/>
      <w:bookmarkStart w:id="199" w:name="_Toc17454924"/>
      <w:bookmarkStart w:id="200" w:name="_Toc179632599"/>
      <w:bookmarkStart w:id="201" w:name="_Toc17451580"/>
      <w:bookmarkStart w:id="202" w:name="_Toc332641306"/>
      <w:bookmarkStart w:id="203" w:name="_Toc17451103"/>
      <w:bookmarkStart w:id="204" w:name="_Toc247085739"/>
      <w:bookmarkStart w:id="205" w:name="_Toc152045581"/>
      <w:bookmarkStart w:id="206" w:name="_Toc144974548"/>
      <w:r>
        <w:rPr>
          <w:rFonts w:hint="eastAsia" w:ascii="黑体" w:hAnsi="黑体" w:eastAsia="黑体"/>
          <w:color w:val="auto"/>
          <w:sz w:val="28"/>
          <w:szCs w:val="27"/>
          <w:highlight w:val="none"/>
        </w:rPr>
        <w:t>附件一：开标记录表</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0376299">
      <w:pPr>
        <w:spacing w:line="400" w:lineRule="exact"/>
        <w:jc w:val="center"/>
        <w:rPr>
          <w:rFonts w:ascii="宋体" w:hAnsi="宋体"/>
          <w:b/>
          <w:color w:val="auto"/>
          <w:sz w:val="28"/>
          <w:szCs w:val="28"/>
          <w:highlight w:val="none"/>
        </w:rPr>
      </w:pPr>
      <w:r>
        <w:rPr>
          <w:rFonts w:hint="eastAsia" w:ascii="宋体" w:hAnsi="宋体"/>
          <w:b/>
          <w:color w:val="auto"/>
          <w:sz w:val="28"/>
          <w:szCs w:val="28"/>
          <w:highlight w:val="none"/>
          <w:u w:val="single"/>
        </w:rPr>
        <w:t xml:space="preserve">        </w:t>
      </w:r>
      <w:r>
        <w:rPr>
          <w:rFonts w:hint="eastAsia" w:ascii="宋体" w:hAnsi="宋体"/>
          <w:b/>
          <w:color w:val="auto"/>
          <w:sz w:val="28"/>
          <w:szCs w:val="28"/>
          <w:highlight w:val="none"/>
        </w:rPr>
        <w:t>（项目名称）开标记录表</w:t>
      </w:r>
    </w:p>
    <w:p w14:paraId="7E9B855E">
      <w:pPr>
        <w:spacing w:line="500" w:lineRule="exact"/>
        <w:rPr>
          <w:rFonts w:ascii="宋体" w:hAnsi="宋体"/>
          <w:color w:val="auto"/>
          <w:highlight w:val="none"/>
        </w:rPr>
      </w:pPr>
      <w:r>
        <w:rPr>
          <w:rFonts w:hint="eastAsia" w:ascii="宋体" w:hAnsi="宋体"/>
          <w:color w:val="auto"/>
          <w:szCs w:val="21"/>
          <w:highlight w:val="none"/>
        </w:rPr>
        <w:t>评标参考价下浮率：                开标时间：</w:t>
      </w:r>
      <w:r>
        <w:rPr>
          <w:rFonts w:hint="eastAsia" w:ascii="宋体" w:hAnsi="宋体"/>
          <w:color w:val="auto"/>
          <w:sz w:val="28"/>
          <w:szCs w:val="28"/>
          <w:highlight w:val="none"/>
          <w:u w:val="single"/>
        </w:rPr>
        <w:t xml:space="preserve">    </w:t>
      </w:r>
      <w:r>
        <w:rPr>
          <w:rFonts w:hint="eastAsia" w:ascii="宋体" w:hAnsi="宋体"/>
          <w:color w:val="auto"/>
          <w:szCs w:val="21"/>
          <w:highlight w:val="none"/>
        </w:rPr>
        <w:t>年</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月</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日</w:t>
      </w:r>
      <w:r>
        <w:rPr>
          <w:rFonts w:hint="eastAsia" w:ascii="宋体" w:hAnsi="宋体"/>
          <w:color w:val="auto"/>
          <w:sz w:val="28"/>
          <w:szCs w:val="28"/>
          <w:highlight w:val="none"/>
          <w:u w:val="single"/>
        </w:rPr>
        <w:t xml:space="preserve">    </w:t>
      </w:r>
      <w:r>
        <w:rPr>
          <w:rFonts w:hint="eastAsia" w:ascii="宋体" w:hAnsi="宋体"/>
          <w:color w:val="auto"/>
          <w:szCs w:val="21"/>
          <w:highlight w:val="none"/>
        </w:rPr>
        <w:t>时</w:t>
      </w:r>
      <w:r>
        <w:rPr>
          <w:rFonts w:hint="eastAsia" w:ascii="宋体" w:hAnsi="宋体"/>
          <w:color w:val="auto"/>
          <w:sz w:val="28"/>
          <w:szCs w:val="28"/>
          <w:highlight w:val="none"/>
          <w:u w:val="single"/>
        </w:rPr>
        <w:t xml:space="preserve">    </w:t>
      </w:r>
      <w:r>
        <w:rPr>
          <w:rFonts w:hint="eastAsia" w:ascii="宋体" w:hAnsi="宋体"/>
          <w:color w:val="auto"/>
          <w:szCs w:val="21"/>
          <w:highlight w:val="none"/>
        </w:rPr>
        <w:t>分</w:t>
      </w:r>
    </w:p>
    <w:tbl>
      <w:tblPr>
        <w:tblStyle w:val="18"/>
        <w:tblW w:w="0" w:type="auto"/>
        <w:tblInd w:w="0" w:type="dxa"/>
        <w:tblLayout w:type="fixed"/>
        <w:tblCellMar>
          <w:top w:w="0" w:type="dxa"/>
          <w:left w:w="108" w:type="dxa"/>
          <w:bottom w:w="0" w:type="dxa"/>
          <w:right w:w="108" w:type="dxa"/>
        </w:tblCellMar>
      </w:tblPr>
      <w:tblGrid>
        <w:gridCol w:w="544"/>
        <w:gridCol w:w="870"/>
        <w:gridCol w:w="700"/>
        <w:gridCol w:w="773"/>
        <w:gridCol w:w="960"/>
        <w:gridCol w:w="492"/>
        <w:gridCol w:w="141"/>
        <w:gridCol w:w="698"/>
        <w:gridCol w:w="450"/>
        <w:gridCol w:w="452"/>
        <w:gridCol w:w="450"/>
        <w:gridCol w:w="450"/>
        <w:gridCol w:w="896"/>
        <w:gridCol w:w="959"/>
      </w:tblGrid>
      <w:tr w14:paraId="3D4E13E8">
        <w:tblPrEx>
          <w:tblCellMar>
            <w:top w:w="0" w:type="dxa"/>
            <w:left w:w="108" w:type="dxa"/>
            <w:bottom w:w="0" w:type="dxa"/>
            <w:right w:w="108" w:type="dxa"/>
          </w:tblCellMar>
        </w:tblPrEx>
        <w:trPr>
          <w:trHeight w:val="1273" w:hRule="atLeast"/>
        </w:trPr>
        <w:tc>
          <w:tcPr>
            <w:tcW w:w="544" w:type="dxa"/>
            <w:vMerge w:val="restart"/>
            <w:tcBorders>
              <w:top w:val="single" w:color="auto" w:sz="4" w:space="0"/>
              <w:left w:val="single" w:color="auto" w:sz="4" w:space="0"/>
              <w:right w:val="single" w:color="auto" w:sz="4" w:space="0"/>
            </w:tcBorders>
            <w:noWrap w:val="0"/>
            <w:vAlign w:val="center"/>
          </w:tcPr>
          <w:p w14:paraId="06B52E6B">
            <w:pPr>
              <w:spacing w:line="500" w:lineRule="exact"/>
              <w:jc w:val="center"/>
              <w:rPr>
                <w:rFonts w:ascii="宋体" w:hAnsi="宋体"/>
                <w:color w:val="auto"/>
                <w:szCs w:val="21"/>
                <w:highlight w:val="none"/>
              </w:rPr>
            </w:pPr>
            <w:r>
              <w:rPr>
                <w:rFonts w:ascii="宋体" w:hAnsi="宋体"/>
                <w:color w:val="auto"/>
                <w:szCs w:val="21"/>
                <w:highlight w:val="none"/>
              </w:rPr>
              <w:t>序号</w:t>
            </w:r>
          </w:p>
        </w:tc>
        <w:tc>
          <w:tcPr>
            <w:tcW w:w="870" w:type="dxa"/>
            <w:vMerge w:val="restart"/>
            <w:tcBorders>
              <w:top w:val="single" w:color="auto" w:sz="4" w:space="0"/>
              <w:left w:val="single" w:color="auto" w:sz="4" w:space="0"/>
              <w:right w:val="single" w:color="auto" w:sz="4" w:space="0"/>
            </w:tcBorders>
            <w:noWrap w:val="0"/>
            <w:vAlign w:val="center"/>
          </w:tcPr>
          <w:p w14:paraId="3438C8A4">
            <w:pPr>
              <w:spacing w:line="500" w:lineRule="exact"/>
              <w:jc w:val="center"/>
              <w:rPr>
                <w:rFonts w:ascii="宋体" w:hAnsi="宋体"/>
                <w:color w:val="auto"/>
                <w:szCs w:val="21"/>
                <w:highlight w:val="none"/>
              </w:rPr>
            </w:pPr>
            <w:r>
              <w:rPr>
                <w:rFonts w:ascii="宋体" w:hAnsi="宋体"/>
                <w:color w:val="auto"/>
                <w:szCs w:val="21"/>
                <w:highlight w:val="none"/>
              </w:rPr>
              <w:t>投标人</w:t>
            </w:r>
          </w:p>
        </w:tc>
        <w:tc>
          <w:tcPr>
            <w:tcW w:w="700" w:type="dxa"/>
            <w:vMerge w:val="restart"/>
            <w:tcBorders>
              <w:top w:val="single" w:color="auto" w:sz="4" w:space="0"/>
              <w:left w:val="single" w:color="auto" w:sz="4" w:space="0"/>
              <w:right w:val="single" w:color="auto" w:sz="4" w:space="0"/>
            </w:tcBorders>
            <w:noWrap w:val="0"/>
            <w:vAlign w:val="center"/>
          </w:tcPr>
          <w:p w14:paraId="38EB9A59">
            <w:pPr>
              <w:spacing w:line="500" w:lineRule="exact"/>
              <w:jc w:val="center"/>
              <w:rPr>
                <w:rFonts w:hint="eastAsia" w:ascii="宋体" w:hAnsi="宋体"/>
                <w:color w:val="auto"/>
                <w:szCs w:val="21"/>
                <w:highlight w:val="none"/>
              </w:rPr>
            </w:pPr>
            <w:r>
              <w:rPr>
                <w:rFonts w:hint="eastAsia" w:ascii="宋体" w:hAnsi="宋体"/>
                <w:color w:val="auto"/>
                <w:szCs w:val="21"/>
                <w:highlight w:val="none"/>
              </w:rPr>
              <w:t>解密情况</w:t>
            </w:r>
          </w:p>
        </w:tc>
        <w:tc>
          <w:tcPr>
            <w:tcW w:w="773" w:type="dxa"/>
            <w:vMerge w:val="restart"/>
            <w:tcBorders>
              <w:top w:val="single" w:color="auto" w:sz="4" w:space="0"/>
              <w:left w:val="single" w:color="auto" w:sz="4" w:space="0"/>
              <w:right w:val="single" w:color="auto" w:sz="4" w:space="0"/>
            </w:tcBorders>
            <w:noWrap w:val="0"/>
            <w:vAlign w:val="center"/>
          </w:tcPr>
          <w:p w14:paraId="3A6FCBCA">
            <w:pPr>
              <w:spacing w:line="500" w:lineRule="exact"/>
              <w:jc w:val="center"/>
              <w:rPr>
                <w:rFonts w:ascii="宋体" w:hAnsi="宋体"/>
                <w:color w:val="auto"/>
                <w:szCs w:val="21"/>
                <w:highlight w:val="none"/>
              </w:rPr>
            </w:pPr>
            <w:r>
              <w:rPr>
                <w:rFonts w:ascii="宋体" w:hAnsi="宋体"/>
                <w:color w:val="auto"/>
                <w:szCs w:val="21"/>
                <w:highlight w:val="none"/>
              </w:rPr>
              <w:t>投标保证金</w:t>
            </w:r>
          </w:p>
        </w:tc>
        <w:tc>
          <w:tcPr>
            <w:tcW w:w="960" w:type="dxa"/>
            <w:vMerge w:val="restart"/>
            <w:tcBorders>
              <w:top w:val="single" w:color="auto" w:sz="4" w:space="0"/>
              <w:left w:val="single" w:color="auto" w:sz="4" w:space="0"/>
              <w:right w:val="single" w:color="auto" w:sz="4" w:space="0"/>
            </w:tcBorders>
            <w:noWrap w:val="0"/>
            <w:vAlign w:val="center"/>
          </w:tcPr>
          <w:p w14:paraId="2DC01DE1">
            <w:pPr>
              <w:spacing w:line="500" w:lineRule="exact"/>
              <w:jc w:val="center"/>
              <w:rPr>
                <w:rFonts w:ascii="宋体" w:hAnsi="宋体"/>
                <w:color w:val="auto"/>
                <w:szCs w:val="21"/>
                <w:highlight w:val="none"/>
              </w:rPr>
            </w:pPr>
            <w:r>
              <w:rPr>
                <w:rFonts w:ascii="宋体" w:hAnsi="宋体"/>
                <w:color w:val="auto"/>
                <w:szCs w:val="21"/>
                <w:highlight w:val="none"/>
              </w:rPr>
              <w:t>投标报价（元）</w:t>
            </w:r>
          </w:p>
        </w:tc>
        <w:tc>
          <w:tcPr>
            <w:tcW w:w="633" w:type="dxa"/>
            <w:gridSpan w:val="2"/>
            <w:vMerge w:val="restart"/>
            <w:tcBorders>
              <w:top w:val="single" w:color="auto" w:sz="4" w:space="0"/>
              <w:left w:val="single" w:color="auto" w:sz="4" w:space="0"/>
              <w:right w:val="single" w:color="auto" w:sz="4" w:space="0"/>
            </w:tcBorders>
            <w:noWrap w:val="0"/>
            <w:vAlign w:val="center"/>
          </w:tcPr>
          <w:p w14:paraId="4551ACE8">
            <w:pPr>
              <w:spacing w:line="500" w:lineRule="exact"/>
              <w:jc w:val="center"/>
              <w:rPr>
                <w:rFonts w:ascii="宋体" w:hAnsi="宋体"/>
                <w:color w:val="auto"/>
                <w:szCs w:val="21"/>
                <w:highlight w:val="none"/>
              </w:rPr>
            </w:pPr>
            <w:r>
              <w:rPr>
                <w:rFonts w:ascii="宋体" w:hAnsi="宋体"/>
                <w:color w:val="auto"/>
                <w:szCs w:val="21"/>
                <w:highlight w:val="none"/>
              </w:rPr>
              <w:t>质量</w:t>
            </w:r>
            <w:r>
              <w:rPr>
                <w:rFonts w:hint="eastAsia" w:ascii="宋体" w:hAnsi="宋体"/>
                <w:color w:val="auto"/>
                <w:szCs w:val="21"/>
                <w:highlight w:val="none"/>
              </w:rPr>
              <w:t>标准</w:t>
            </w:r>
          </w:p>
        </w:tc>
        <w:tc>
          <w:tcPr>
            <w:tcW w:w="698" w:type="dxa"/>
            <w:vMerge w:val="restart"/>
            <w:tcBorders>
              <w:top w:val="single" w:color="auto" w:sz="4" w:space="0"/>
              <w:left w:val="single" w:color="auto" w:sz="4" w:space="0"/>
              <w:right w:val="single" w:color="auto" w:sz="4" w:space="0"/>
            </w:tcBorders>
            <w:noWrap w:val="0"/>
            <w:vAlign w:val="center"/>
          </w:tcPr>
          <w:p w14:paraId="7CDDD8C9">
            <w:pPr>
              <w:spacing w:line="500" w:lineRule="exact"/>
              <w:jc w:val="center"/>
              <w:rPr>
                <w:rFonts w:hint="eastAsia" w:ascii="宋体" w:hAnsi="宋体"/>
                <w:color w:val="auto"/>
                <w:szCs w:val="21"/>
                <w:highlight w:val="none"/>
              </w:rPr>
            </w:pPr>
            <w:r>
              <w:rPr>
                <w:rFonts w:ascii="宋体" w:hAnsi="宋体"/>
                <w:color w:val="auto"/>
                <w:szCs w:val="21"/>
                <w:highlight w:val="none"/>
              </w:rPr>
              <w:t>工期</w:t>
            </w:r>
            <w:r>
              <w:rPr>
                <w:rFonts w:hint="eastAsia" w:ascii="宋体" w:hAnsi="宋体"/>
                <w:color w:val="auto"/>
                <w:szCs w:val="21"/>
                <w:highlight w:val="none"/>
              </w:rPr>
              <w:t>（天）</w:t>
            </w:r>
          </w:p>
        </w:tc>
        <w:tc>
          <w:tcPr>
            <w:tcW w:w="902" w:type="dxa"/>
            <w:gridSpan w:val="2"/>
            <w:tcBorders>
              <w:top w:val="single" w:color="auto" w:sz="4" w:space="0"/>
              <w:left w:val="single" w:color="auto" w:sz="4" w:space="0"/>
              <w:bottom w:val="single" w:color="auto" w:sz="4" w:space="0"/>
              <w:right w:val="single" w:color="auto" w:sz="4" w:space="0"/>
            </w:tcBorders>
            <w:noWrap w:val="0"/>
            <w:vAlign w:val="center"/>
          </w:tcPr>
          <w:p w14:paraId="53CF828C">
            <w:pPr>
              <w:spacing w:line="500" w:lineRule="exact"/>
              <w:jc w:val="center"/>
              <w:rPr>
                <w:rFonts w:hint="eastAsia" w:ascii="宋体" w:hAnsi="宋体"/>
                <w:color w:val="auto"/>
                <w:szCs w:val="21"/>
                <w:highlight w:val="none"/>
              </w:rPr>
            </w:pPr>
            <w:r>
              <w:rPr>
                <w:rFonts w:hint="eastAsia" w:ascii="宋体" w:hAnsi="宋体"/>
                <w:color w:val="auto"/>
                <w:szCs w:val="21"/>
                <w:highlight w:val="none"/>
              </w:rPr>
              <w:t>项目负责人</w:t>
            </w:r>
          </w:p>
        </w:tc>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73362391">
            <w:pPr>
              <w:spacing w:line="500" w:lineRule="exact"/>
              <w:jc w:val="center"/>
              <w:rPr>
                <w:rFonts w:hint="eastAsia" w:ascii="宋体" w:hAnsi="宋体"/>
                <w:color w:val="auto"/>
                <w:szCs w:val="21"/>
                <w:highlight w:val="none"/>
              </w:rPr>
            </w:pPr>
            <w:r>
              <w:rPr>
                <w:rFonts w:hint="eastAsia" w:ascii="宋体" w:hAnsi="宋体"/>
                <w:color w:val="auto"/>
                <w:szCs w:val="21"/>
                <w:highlight w:val="none"/>
              </w:rPr>
              <w:t>专</w:t>
            </w:r>
            <w:r>
              <w:rPr>
                <w:rFonts w:hint="eastAsia" w:ascii="宋体" w:hAnsi="宋体"/>
                <w:color w:val="auto"/>
                <w:szCs w:val="21"/>
                <w:highlight w:val="none"/>
                <w:lang w:val="en-US" w:eastAsia="zh-CN"/>
              </w:rPr>
              <w:t>职</w:t>
            </w:r>
            <w:r>
              <w:rPr>
                <w:rFonts w:hint="eastAsia" w:ascii="宋体" w:hAnsi="宋体"/>
                <w:color w:val="auto"/>
                <w:szCs w:val="21"/>
                <w:highlight w:val="none"/>
              </w:rPr>
              <w:t>安全员</w:t>
            </w:r>
          </w:p>
        </w:tc>
        <w:tc>
          <w:tcPr>
            <w:tcW w:w="896" w:type="dxa"/>
            <w:vMerge w:val="restart"/>
            <w:tcBorders>
              <w:top w:val="single" w:color="auto" w:sz="4" w:space="0"/>
              <w:left w:val="single" w:color="auto" w:sz="4" w:space="0"/>
              <w:right w:val="single" w:color="auto" w:sz="4" w:space="0"/>
            </w:tcBorders>
            <w:noWrap w:val="0"/>
            <w:vAlign w:val="center"/>
          </w:tcPr>
          <w:p w14:paraId="76CA7BEE">
            <w:pPr>
              <w:spacing w:line="500" w:lineRule="exact"/>
              <w:jc w:val="center"/>
              <w:rPr>
                <w:rFonts w:hint="eastAsia" w:ascii="宋体" w:hAnsi="宋体"/>
                <w:color w:val="auto"/>
                <w:kern w:val="2"/>
                <w:sz w:val="21"/>
                <w:szCs w:val="21"/>
                <w:highlight w:val="none"/>
                <w:lang w:val="en-US" w:eastAsia="zh-CN" w:bidi="ar-SA"/>
              </w:rPr>
            </w:pPr>
            <w:r>
              <w:rPr>
                <w:rFonts w:ascii="宋体" w:hAnsi="宋体"/>
                <w:color w:val="auto"/>
                <w:szCs w:val="21"/>
                <w:highlight w:val="none"/>
              </w:rPr>
              <w:t>签名</w:t>
            </w:r>
          </w:p>
        </w:tc>
        <w:tc>
          <w:tcPr>
            <w:tcW w:w="959" w:type="dxa"/>
            <w:vMerge w:val="restart"/>
            <w:tcBorders>
              <w:top w:val="single" w:color="auto" w:sz="4" w:space="0"/>
              <w:left w:val="single" w:color="auto" w:sz="4" w:space="0"/>
              <w:right w:val="single" w:color="auto" w:sz="4" w:space="0"/>
            </w:tcBorders>
            <w:noWrap w:val="0"/>
            <w:vAlign w:val="center"/>
          </w:tcPr>
          <w:p w14:paraId="43F4B4D8">
            <w:pPr>
              <w:spacing w:line="500" w:lineRule="exact"/>
              <w:jc w:val="center"/>
              <w:rPr>
                <w:rFonts w:hint="eastAsia" w:ascii="宋体" w:hAnsi="宋体"/>
                <w:color w:val="auto"/>
                <w:szCs w:val="21"/>
                <w:highlight w:val="none"/>
              </w:rPr>
            </w:pPr>
            <w:r>
              <w:rPr>
                <w:rFonts w:hint="eastAsia" w:ascii="宋体" w:hAnsi="宋体"/>
                <w:color w:val="auto"/>
                <w:szCs w:val="21"/>
                <w:highlight w:val="none"/>
              </w:rPr>
              <w:t>备注</w:t>
            </w:r>
          </w:p>
        </w:tc>
      </w:tr>
      <w:tr w14:paraId="0C5D0EF9">
        <w:tblPrEx>
          <w:tblCellMar>
            <w:top w:w="0" w:type="dxa"/>
            <w:left w:w="108" w:type="dxa"/>
            <w:bottom w:w="0" w:type="dxa"/>
            <w:right w:w="108" w:type="dxa"/>
          </w:tblCellMar>
        </w:tblPrEx>
        <w:trPr>
          <w:trHeight w:val="1233" w:hRule="atLeast"/>
        </w:trPr>
        <w:tc>
          <w:tcPr>
            <w:tcW w:w="544" w:type="dxa"/>
            <w:vMerge w:val="continue"/>
            <w:tcBorders>
              <w:left w:val="single" w:color="auto" w:sz="4" w:space="0"/>
              <w:bottom w:val="single" w:color="auto" w:sz="4" w:space="0"/>
              <w:right w:val="single" w:color="auto" w:sz="4" w:space="0"/>
            </w:tcBorders>
            <w:noWrap w:val="0"/>
            <w:vAlign w:val="center"/>
          </w:tcPr>
          <w:p w14:paraId="0FA7A244">
            <w:pPr>
              <w:spacing w:line="500" w:lineRule="exact"/>
              <w:jc w:val="center"/>
              <w:rPr>
                <w:rFonts w:ascii="宋体" w:hAnsi="宋体"/>
                <w:color w:val="auto"/>
                <w:szCs w:val="21"/>
                <w:highlight w:val="none"/>
              </w:rPr>
            </w:pPr>
          </w:p>
        </w:tc>
        <w:tc>
          <w:tcPr>
            <w:tcW w:w="870" w:type="dxa"/>
            <w:vMerge w:val="continue"/>
            <w:tcBorders>
              <w:left w:val="single" w:color="auto" w:sz="4" w:space="0"/>
              <w:bottom w:val="single" w:color="auto" w:sz="4" w:space="0"/>
              <w:right w:val="single" w:color="auto" w:sz="4" w:space="0"/>
            </w:tcBorders>
            <w:noWrap w:val="0"/>
            <w:vAlign w:val="center"/>
          </w:tcPr>
          <w:p w14:paraId="364CF2BD">
            <w:pPr>
              <w:spacing w:line="500" w:lineRule="exact"/>
              <w:jc w:val="center"/>
              <w:rPr>
                <w:rFonts w:ascii="宋体" w:hAnsi="宋体"/>
                <w:color w:val="auto"/>
                <w:szCs w:val="21"/>
                <w:highlight w:val="none"/>
              </w:rPr>
            </w:pPr>
          </w:p>
        </w:tc>
        <w:tc>
          <w:tcPr>
            <w:tcW w:w="700" w:type="dxa"/>
            <w:vMerge w:val="continue"/>
            <w:tcBorders>
              <w:left w:val="single" w:color="auto" w:sz="4" w:space="0"/>
              <w:bottom w:val="single" w:color="auto" w:sz="4" w:space="0"/>
              <w:right w:val="single" w:color="auto" w:sz="4" w:space="0"/>
            </w:tcBorders>
            <w:noWrap w:val="0"/>
            <w:vAlign w:val="center"/>
          </w:tcPr>
          <w:p w14:paraId="4D0C8839">
            <w:pPr>
              <w:spacing w:line="500" w:lineRule="exact"/>
              <w:jc w:val="center"/>
              <w:rPr>
                <w:rFonts w:hint="eastAsia" w:ascii="宋体" w:hAnsi="宋体"/>
                <w:color w:val="auto"/>
                <w:szCs w:val="21"/>
                <w:highlight w:val="none"/>
              </w:rPr>
            </w:pPr>
          </w:p>
        </w:tc>
        <w:tc>
          <w:tcPr>
            <w:tcW w:w="773" w:type="dxa"/>
            <w:vMerge w:val="continue"/>
            <w:tcBorders>
              <w:left w:val="single" w:color="auto" w:sz="4" w:space="0"/>
              <w:bottom w:val="single" w:color="auto" w:sz="4" w:space="0"/>
              <w:right w:val="single" w:color="auto" w:sz="4" w:space="0"/>
            </w:tcBorders>
            <w:noWrap w:val="0"/>
            <w:vAlign w:val="center"/>
          </w:tcPr>
          <w:p w14:paraId="2DEB5B20">
            <w:pPr>
              <w:spacing w:line="500" w:lineRule="exact"/>
              <w:jc w:val="center"/>
              <w:rPr>
                <w:rFonts w:ascii="宋体" w:hAnsi="宋体"/>
                <w:color w:val="auto"/>
                <w:szCs w:val="21"/>
                <w:highlight w:val="none"/>
              </w:rPr>
            </w:pPr>
          </w:p>
        </w:tc>
        <w:tc>
          <w:tcPr>
            <w:tcW w:w="960" w:type="dxa"/>
            <w:vMerge w:val="continue"/>
            <w:tcBorders>
              <w:left w:val="single" w:color="auto" w:sz="4" w:space="0"/>
              <w:bottom w:val="single" w:color="auto" w:sz="4" w:space="0"/>
              <w:right w:val="single" w:color="auto" w:sz="4" w:space="0"/>
            </w:tcBorders>
            <w:noWrap w:val="0"/>
            <w:vAlign w:val="center"/>
          </w:tcPr>
          <w:p w14:paraId="4A92CE81">
            <w:pPr>
              <w:spacing w:line="500" w:lineRule="exact"/>
              <w:jc w:val="center"/>
              <w:rPr>
                <w:rFonts w:ascii="宋体" w:hAnsi="宋体"/>
                <w:color w:val="auto"/>
                <w:szCs w:val="21"/>
                <w:highlight w:val="none"/>
              </w:rPr>
            </w:pPr>
          </w:p>
        </w:tc>
        <w:tc>
          <w:tcPr>
            <w:tcW w:w="633" w:type="dxa"/>
            <w:gridSpan w:val="2"/>
            <w:vMerge w:val="continue"/>
            <w:tcBorders>
              <w:left w:val="single" w:color="auto" w:sz="4" w:space="0"/>
              <w:bottom w:val="single" w:color="auto" w:sz="4" w:space="0"/>
              <w:right w:val="single" w:color="auto" w:sz="4" w:space="0"/>
            </w:tcBorders>
            <w:noWrap w:val="0"/>
            <w:vAlign w:val="center"/>
          </w:tcPr>
          <w:p w14:paraId="39571F6E">
            <w:pPr>
              <w:spacing w:line="500" w:lineRule="exact"/>
              <w:jc w:val="center"/>
              <w:rPr>
                <w:rFonts w:ascii="宋体" w:hAnsi="宋体"/>
                <w:color w:val="auto"/>
                <w:szCs w:val="21"/>
                <w:highlight w:val="none"/>
              </w:rPr>
            </w:pPr>
          </w:p>
        </w:tc>
        <w:tc>
          <w:tcPr>
            <w:tcW w:w="698" w:type="dxa"/>
            <w:vMerge w:val="continue"/>
            <w:tcBorders>
              <w:left w:val="single" w:color="auto" w:sz="4" w:space="0"/>
              <w:bottom w:val="single" w:color="auto" w:sz="4" w:space="0"/>
              <w:right w:val="single" w:color="auto" w:sz="4" w:space="0"/>
            </w:tcBorders>
            <w:noWrap w:val="0"/>
            <w:vAlign w:val="center"/>
          </w:tcPr>
          <w:p w14:paraId="1477EB34">
            <w:pPr>
              <w:spacing w:line="500" w:lineRule="exact"/>
              <w:jc w:val="center"/>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14FCE798">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52" w:type="dxa"/>
            <w:tcBorders>
              <w:top w:val="single" w:color="auto" w:sz="4" w:space="0"/>
              <w:left w:val="single" w:color="auto" w:sz="4" w:space="0"/>
              <w:bottom w:val="single" w:color="auto" w:sz="4" w:space="0"/>
              <w:right w:val="single" w:color="auto" w:sz="4" w:space="0"/>
            </w:tcBorders>
            <w:noWrap w:val="0"/>
            <w:vAlign w:val="center"/>
          </w:tcPr>
          <w:p w14:paraId="237D79E5">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3637195C">
            <w:pPr>
              <w:spacing w:line="500" w:lineRule="exact"/>
              <w:jc w:val="center"/>
              <w:rPr>
                <w:rFonts w:hint="eastAsia" w:ascii="宋体" w:hAnsi="宋体"/>
                <w:color w:val="auto"/>
                <w:szCs w:val="21"/>
                <w:highlight w:val="none"/>
              </w:rPr>
            </w:pPr>
            <w:r>
              <w:rPr>
                <w:rFonts w:hint="eastAsia" w:ascii="宋体" w:hAnsi="宋体"/>
                <w:color w:val="auto"/>
                <w:szCs w:val="21"/>
                <w:highlight w:val="none"/>
              </w:rPr>
              <w:t>登记时</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3BC440CC">
            <w:pPr>
              <w:spacing w:line="500" w:lineRule="exact"/>
              <w:jc w:val="center"/>
              <w:rPr>
                <w:rFonts w:hint="eastAsia" w:ascii="宋体" w:hAnsi="宋体"/>
                <w:color w:val="auto"/>
                <w:szCs w:val="21"/>
                <w:highlight w:val="none"/>
              </w:rPr>
            </w:pPr>
            <w:r>
              <w:rPr>
                <w:rFonts w:hint="eastAsia" w:ascii="宋体" w:hAnsi="宋体"/>
                <w:color w:val="auto"/>
                <w:szCs w:val="21"/>
                <w:highlight w:val="none"/>
              </w:rPr>
              <w:t>投标时</w:t>
            </w:r>
          </w:p>
        </w:tc>
        <w:tc>
          <w:tcPr>
            <w:tcW w:w="896" w:type="dxa"/>
            <w:vMerge w:val="continue"/>
            <w:tcBorders>
              <w:left w:val="single" w:color="auto" w:sz="4" w:space="0"/>
              <w:bottom w:val="single" w:color="auto" w:sz="4" w:space="0"/>
              <w:right w:val="single" w:color="auto" w:sz="4" w:space="0"/>
            </w:tcBorders>
            <w:noWrap w:val="0"/>
            <w:vAlign w:val="center"/>
          </w:tcPr>
          <w:p w14:paraId="256BFB39">
            <w:pPr>
              <w:spacing w:line="500" w:lineRule="exact"/>
              <w:jc w:val="center"/>
              <w:rPr>
                <w:rFonts w:ascii="宋体" w:hAnsi="宋体"/>
                <w:color w:val="auto"/>
                <w:szCs w:val="21"/>
                <w:highlight w:val="none"/>
              </w:rPr>
            </w:pPr>
          </w:p>
        </w:tc>
        <w:tc>
          <w:tcPr>
            <w:tcW w:w="959" w:type="dxa"/>
            <w:vMerge w:val="continue"/>
            <w:tcBorders>
              <w:left w:val="single" w:color="auto" w:sz="4" w:space="0"/>
              <w:bottom w:val="single" w:color="auto" w:sz="4" w:space="0"/>
              <w:right w:val="single" w:color="auto" w:sz="4" w:space="0"/>
            </w:tcBorders>
            <w:noWrap w:val="0"/>
            <w:vAlign w:val="center"/>
          </w:tcPr>
          <w:p w14:paraId="12118B42">
            <w:pPr>
              <w:spacing w:line="500" w:lineRule="exact"/>
              <w:jc w:val="center"/>
              <w:rPr>
                <w:rFonts w:hint="eastAsia" w:ascii="宋体" w:hAnsi="宋体"/>
                <w:color w:val="auto"/>
                <w:szCs w:val="21"/>
                <w:highlight w:val="none"/>
              </w:rPr>
            </w:pPr>
          </w:p>
        </w:tc>
      </w:tr>
      <w:tr w14:paraId="62E16A00">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5E61CA30">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00D3EAD7">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79B5EB94">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3834B957">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08BA52B4">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3B16FC4D">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0CA3399B">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0AFE817">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1C74CEE3">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EBA8E95">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0B5ED2FC">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02943190">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1D92FE49">
            <w:pPr>
              <w:spacing w:line="500" w:lineRule="exact"/>
              <w:jc w:val="left"/>
              <w:rPr>
                <w:rFonts w:ascii="宋体" w:hAnsi="宋体"/>
                <w:color w:val="auto"/>
                <w:szCs w:val="21"/>
                <w:highlight w:val="none"/>
              </w:rPr>
            </w:pPr>
          </w:p>
        </w:tc>
      </w:tr>
      <w:tr w14:paraId="13403504">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28A810FB">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0CF6EA27">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30F58913">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5ADCA4C1">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0FF0CE3C">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0F118480">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27BB2F05">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368A61D2">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4BF975F8">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F189578">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4F93A3B">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21CC2781">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039A2026">
            <w:pPr>
              <w:spacing w:line="500" w:lineRule="exact"/>
              <w:jc w:val="left"/>
              <w:rPr>
                <w:rFonts w:ascii="宋体" w:hAnsi="宋体"/>
                <w:color w:val="auto"/>
                <w:szCs w:val="21"/>
                <w:highlight w:val="none"/>
              </w:rPr>
            </w:pPr>
          </w:p>
        </w:tc>
      </w:tr>
      <w:tr w14:paraId="12061EA6">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493A5704">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6A284502">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2797BB34">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4887AFFB">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21B2DDF0">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0535B384">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6531EB80">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0FECE879">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4E21AB8B">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5012EA2B">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1D120FE">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1ACF7857">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378DF51C">
            <w:pPr>
              <w:spacing w:line="500" w:lineRule="exact"/>
              <w:jc w:val="left"/>
              <w:rPr>
                <w:rFonts w:ascii="宋体" w:hAnsi="宋体"/>
                <w:color w:val="auto"/>
                <w:szCs w:val="21"/>
                <w:highlight w:val="none"/>
              </w:rPr>
            </w:pPr>
          </w:p>
        </w:tc>
      </w:tr>
      <w:tr w14:paraId="493F53FA">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277DF4C8">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06B900B3">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3537171B">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10E801ED">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613AE565">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32BCCF7C">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5207C805">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9252EEA">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7DE91481">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A938D72">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1A0FA21">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15E93168">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74A9D72F">
            <w:pPr>
              <w:spacing w:line="500" w:lineRule="exact"/>
              <w:jc w:val="left"/>
              <w:rPr>
                <w:rFonts w:ascii="宋体" w:hAnsi="宋体"/>
                <w:color w:val="auto"/>
                <w:szCs w:val="21"/>
                <w:highlight w:val="none"/>
              </w:rPr>
            </w:pPr>
          </w:p>
        </w:tc>
      </w:tr>
      <w:tr w14:paraId="36743992">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78845D36">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10098959">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452B7F06">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3313306E">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630D06B2">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16907291">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6C1A54F9">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ACE3EFD">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5A55CD4E">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3ED9A71">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6EA8883">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30A60517">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32200CD7">
            <w:pPr>
              <w:spacing w:line="500" w:lineRule="exact"/>
              <w:jc w:val="left"/>
              <w:rPr>
                <w:rFonts w:ascii="宋体" w:hAnsi="宋体"/>
                <w:color w:val="auto"/>
                <w:szCs w:val="21"/>
                <w:highlight w:val="none"/>
              </w:rPr>
            </w:pPr>
          </w:p>
        </w:tc>
      </w:tr>
      <w:tr w14:paraId="19BB62E3">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2AD58140">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28055D8D">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323E6EDE">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4E5AE2B3">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54B5EF9B">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2631C9FF">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6571D7F6">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E27D0CF">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0935B136">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7A5BAD08">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39CA38EF">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11CD7414">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5F2988B2">
            <w:pPr>
              <w:spacing w:line="500" w:lineRule="exact"/>
              <w:jc w:val="left"/>
              <w:rPr>
                <w:rFonts w:ascii="宋体" w:hAnsi="宋体"/>
                <w:color w:val="auto"/>
                <w:szCs w:val="21"/>
                <w:highlight w:val="none"/>
              </w:rPr>
            </w:pPr>
          </w:p>
        </w:tc>
      </w:tr>
      <w:tr w14:paraId="5718CABE">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394CAEC9">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3DE98237">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23197D15">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0640B843">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4988580B">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0CE03D06">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29D23912">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90DDA8D">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3C1AC121">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16732CD">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3D75BCB">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30FBE9D2">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372F5442">
            <w:pPr>
              <w:spacing w:line="500" w:lineRule="exact"/>
              <w:jc w:val="left"/>
              <w:rPr>
                <w:rFonts w:ascii="宋体" w:hAnsi="宋体"/>
                <w:color w:val="auto"/>
                <w:szCs w:val="21"/>
                <w:highlight w:val="none"/>
              </w:rPr>
            </w:pPr>
          </w:p>
        </w:tc>
      </w:tr>
      <w:tr w14:paraId="3B21AF49">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4AE52126">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73DC0E5E">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50329965">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0534969D">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125AEE34">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00A4FA3B">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1E1F6A69">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1826230">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32F350F4">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2C5A733F">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0FDB522F">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3250E051">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219A7051">
            <w:pPr>
              <w:spacing w:line="500" w:lineRule="exact"/>
              <w:jc w:val="left"/>
              <w:rPr>
                <w:rFonts w:ascii="宋体" w:hAnsi="宋体"/>
                <w:color w:val="auto"/>
                <w:szCs w:val="21"/>
                <w:highlight w:val="none"/>
              </w:rPr>
            </w:pPr>
          </w:p>
        </w:tc>
      </w:tr>
      <w:tr w14:paraId="4826BF61">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004C4D4F">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258C5E8A">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4C9493F9">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1ECBB2BD">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339F2A88">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7B3E086E">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1C9E7275">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6567C543">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38CF6229">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F17817E">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C7B71A2">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187B849F">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1ACFE203">
            <w:pPr>
              <w:spacing w:line="500" w:lineRule="exact"/>
              <w:jc w:val="left"/>
              <w:rPr>
                <w:rFonts w:ascii="宋体" w:hAnsi="宋体"/>
                <w:color w:val="auto"/>
                <w:szCs w:val="21"/>
                <w:highlight w:val="none"/>
              </w:rPr>
            </w:pPr>
          </w:p>
        </w:tc>
      </w:tr>
      <w:tr w14:paraId="44EC1D3B">
        <w:tblPrEx>
          <w:tblCellMar>
            <w:top w:w="0" w:type="dxa"/>
            <w:left w:w="108" w:type="dxa"/>
            <w:bottom w:w="0" w:type="dxa"/>
            <w:right w:w="108" w:type="dxa"/>
          </w:tblCellMar>
        </w:tblPrEx>
        <w:tc>
          <w:tcPr>
            <w:tcW w:w="544" w:type="dxa"/>
            <w:tcBorders>
              <w:top w:val="single" w:color="auto" w:sz="4" w:space="0"/>
              <w:left w:val="single" w:color="auto" w:sz="4" w:space="0"/>
              <w:bottom w:val="single" w:color="auto" w:sz="4" w:space="0"/>
              <w:right w:val="single" w:color="auto" w:sz="4" w:space="0"/>
            </w:tcBorders>
            <w:noWrap w:val="0"/>
            <w:vAlign w:val="top"/>
          </w:tcPr>
          <w:p w14:paraId="0EA30A74">
            <w:pPr>
              <w:spacing w:line="500" w:lineRule="exact"/>
              <w:jc w:val="left"/>
              <w:rPr>
                <w:rFonts w:ascii="宋体" w:hAnsi="宋体"/>
                <w:color w:val="auto"/>
                <w:szCs w:val="21"/>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top"/>
          </w:tcPr>
          <w:p w14:paraId="45144C5B">
            <w:pPr>
              <w:spacing w:line="500" w:lineRule="exact"/>
              <w:jc w:val="left"/>
              <w:rPr>
                <w:rFonts w:ascii="宋体" w:hAnsi="宋体"/>
                <w:color w:val="auto"/>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14:paraId="5D42F18B">
            <w:pPr>
              <w:spacing w:line="500" w:lineRule="exact"/>
              <w:jc w:val="left"/>
              <w:rPr>
                <w:rFonts w:ascii="宋体" w:hAnsi="宋体"/>
                <w:color w:val="auto"/>
                <w:szCs w:val="21"/>
                <w:highlight w:val="none"/>
              </w:rPr>
            </w:pPr>
          </w:p>
        </w:tc>
        <w:tc>
          <w:tcPr>
            <w:tcW w:w="773" w:type="dxa"/>
            <w:tcBorders>
              <w:top w:val="single" w:color="auto" w:sz="4" w:space="0"/>
              <w:left w:val="single" w:color="auto" w:sz="4" w:space="0"/>
              <w:bottom w:val="single" w:color="auto" w:sz="4" w:space="0"/>
              <w:right w:val="single" w:color="auto" w:sz="4" w:space="0"/>
            </w:tcBorders>
            <w:noWrap w:val="0"/>
            <w:vAlign w:val="top"/>
          </w:tcPr>
          <w:p w14:paraId="48CD129E">
            <w:pPr>
              <w:spacing w:line="500" w:lineRule="exact"/>
              <w:jc w:val="left"/>
              <w:rPr>
                <w:rFonts w:ascii="宋体" w:hAnsi="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top"/>
          </w:tcPr>
          <w:p w14:paraId="32484AFC">
            <w:pPr>
              <w:spacing w:line="500" w:lineRule="exact"/>
              <w:jc w:val="left"/>
              <w:rPr>
                <w:rFonts w:ascii="宋体" w:hAnsi="宋体"/>
                <w:color w:val="auto"/>
                <w:szCs w:val="21"/>
                <w:highlight w:val="none"/>
              </w:rPr>
            </w:pPr>
          </w:p>
        </w:tc>
        <w:tc>
          <w:tcPr>
            <w:tcW w:w="633" w:type="dxa"/>
            <w:gridSpan w:val="2"/>
            <w:tcBorders>
              <w:top w:val="single" w:color="auto" w:sz="4" w:space="0"/>
              <w:left w:val="single" w:color="auto" w:sz="4" w:space="0"/>
              <w:bottom w:val="single" w:color="auto" w:sz="4" w:space="0"/>
              <w:right w:val="single" w:color="auto" w:sz="4" w:space="0"/>
            </w:tcBorders>
            <w:noWrap w:val="0"/>
            <w:vAlign w:val="top"/>
          </w:tcPr>
          <w:p w14:paraId="76CA866B">
            <w:pPr>
              <w:spacing w:line="500" w:lineRule="exact"/>
              <w:jc w:val="left"/>
              <w:rPr>
                <w:rFonts w:ascii="宋体" w:hAnsi="宋体"/>
                <w:color w:val="auto"/>
                <w:szCs w:val="21"/>
                <w:highlight w:val="none"/>
              </w:rPr>
            </w:pPr>
          </w:p>
        </w:tc>
        <w:tc>
          <w:tcPr>
            <w:tcW w:w="698" w:type="dxa"/>
            <w:tcBorders>
              <w:top w:val="single" w:color="auto" w:sz="4" w:space="0"/>
              <w:left w:val="single" w:color="auto" w:sz="4" w:space="0"/>
              <w:bottom w:val="single" w:color="auto" w:sz="4" w:space="0"/>
              <w:right w:val="single" w:color="auto" w:sz="4" w:space="0"/>
            </w:tcBorders>
            <w:noWrap w:val="0"/>
            <w:vAlign w:val="top"/>
          </w:tcPr>
          <w:p w14:paraId="4718BBD8">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1B6FAD75">
            <w:pPr>
              <w:spacing w:line="500" w:lineRule="exact"/>
              <w:jc w:val="left"/>
              <w:rPr>
                <w:rFonts w:ascii="宋体" w:hAnsi="宋体"/>
                <w:color w:val="auto"/>
                <w:szCs w:val="21"/>
                <w:highlight w:val="none"/>
              </w:rPr>
            </w:pPr>
          </w:p>
        </w:tc>
        <w:tc>
          <w:tcPr>
            <w:tcW w:w="452" w:type="dxa"/>
            <w:tcBorders>
              <w:top w:val="single" w:color="auto" w:sz="4" w:space="0"/>
              <w:left w:val="single" w:color="auto" w:sz="4" w:space="0"/>
              <w:bottom w:val="single" w:color="auto" w:sz="4" w:space="0"/>
              <w:right w:val="single" w:color="auto" w:sz="4" w:space="0"/>
            </w:tcBorders>
            <w:noWrap w:val="0"/>
            <w:vAlign w:val="top"/>
          </w:tcPr>
          <w:p w14:paraId="226FEA33">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4D3A86AF">
            <w:pPr>
              <w:spacing w:line="500" w:lineRule="exact"/>
              <w:jc w:val="left"/>
              <w:rPr>
                <w:rFonts w:ascii="宋体" w:hAnsi="宋体"/>
                <w:color w:val="auto"/>
                <w:szCs w:val="21"/>
                <w:highlight w:val="none"/>
              </w:rPr>
            </w:pPr>
          </w:p>
        </w:tc>
        <w:tc>
          <w:tcPr>
            <w:tcW w:w="450" w:type="dxa"/>
            <w:tcBorders>
              <w:top w:val="single" w:color="auto" w:sz="4" w:space="0"/>
              <w:left w:val="single" w:color="auto" w:sz="4" w:space="0"/>
              <w:bottom w:val="single" w:color="auto" w:sz="4" w:space="0"/>
              <w:right w:val="single" w:color="auto" w:sz="4" w:space="0"/>
            </w:tcBorders>
            <w:noWrap w:val="0"/>
            <w:vAlign w:val="top"/>
          </w:tcPr>
          <w:p w14:paraId="045C4E6E">
            <w:pPr>
              <w:spacing w:line="500" w:lineRule="exact"/>
              <w:jc w:val="left"/>
              <w:rPr>
                <w:rFonts w:ascii="宋体" w:hAnsi="宋体"/>
                <w:color w:val="auto"/>
                <w:szCs w:val="21"/>
                <w:highlight w:val="none"/>
              </w:rPr>
            </w:pPr>
          </w:p>
        </w:tc>
        <w:tc>
          <w:tcPr>
            <w:tcW w:w="896" w:type="dxa"/>
            <w:tcBorders>
              <w:top w:val="single" w:color="auto" w:sz="4" w:space="0"/>
              <w:left w:val="single" w:color="auto" w:sz="4" w:space="0"/>
              <w:bottom w:val="single" w:color="auto" w:sz="4" w:space="0"/>
              <w:right w:val="single" w:color="auto" w:sz="4" w:space="0"/>
            </w:tcBorders>
            <w:noWrap w:val="0"/>
            <w:vAlign w:val="top"/>
          </w:tcPr>
          <w:p w14:paraId="716617ED">
            <w:pPr>
              <w:spacing w:line="500" w:lineRule="exact"/>
              <w:jc w:val="left"/>
              <w:rPr>
                <w:rFonts w:ascii="宋体" w:hAnsi="宋体"/>
                <w:color w:val="auto"/>
                <w:szCs w:val="21"/>
                <w:highlight w:val="none"/>
              </w:rPr>
            </w:pPr>
          </w:p>
        </w:tc>
        <w:tc>
          <w:tcPr>
            <w:tcW w:w="959" w:type="dxa"/>
            <w:tcBorders>
              <w:top w:val="single" w:color="auto" w:sz="4" w:space="0"/>
              <w:left w:val="single" w:color="auto" w:sz="4" w:space="0"/>
              <w:bottom w:val="single" w:color="auto" w:sz="4" w:space="0"/>
              <w:right w:val="single" w:color="auto" w:sz="4" w:space="0"/>
            </w:tcBorders>
            <w:noWrap w:val="0"/>
            <w:vAlign w:val="top"/>
          </w:tcPr>
          <w:p w14:paraId="04D106EC">
            <w:pPr>
              <w:spacing w:line="500" w:lineRule="exact"/>
              <w:jc w:val="left"/>
              <w:rPr>
                <w:rFonts w:ascii="宋体" w:hAnsi="宋体"/>
                <w:color w:val="auto"/>
                <w:szCs w:val="21"/>
                <w:highlight w:val="none"/>
              </w:rPr>
            </w:pPr>
          </w:p>
        </w:tc>
      </w:tr>
      <w:tr w14:paraId="1761B08F">
        <w:tblPrEx>
          <w:tblCellMar>
            <w:top w:w="0" w:type="dxa"/>
            <w:left w:w="108" w:type="dxa"/>
            <w:bottom w:w="0" w:type="dxa"/>
            <w:right w:w="108" w:type="dxa"/>
          </w:tblCellMar>
        </w:tblPrEx>
        <w:tc>
          <w:tcPr>
            <w:tcW w:w="4339" w:type="dxa"/>
            <w:gridSpan w:val="6"/>
            <w:tcBorders>
              <w:top w:val="single" w:color="auto" w:sz="4" w:space="0"/>
              <w:left w:val="single" w:color="auto" w:sz="4" w:space="0"/>
              <w:bottom w:val="single" w:color="auto" w:sz="4" w:space="0"/>
              <w:right w:val="single" w:color="auto" w:sz="4" w:space="0"/>
            </w:tcBorders>
            <w:noWrap w:val="0"/>
            <w:vAlign w:val="center"/>
          </w:tcPr>
          <w:p w14:paraId="1DFE02BB">
            <w:pPr>
              <w:spacing w:line="500" w:lineRule="exact"/>
              <w:rPr>
                <w:rFonts w:hint="eastAsia" w:ascii="宋体" w:hAnsi="宋体"/>
                <w:color w:val="auto"/>
                <w:szCs w:val="21"/>
                <w:highlight w:val="none"/>
              </w:rPr>
            </w:pPr>
            <w:r>
              <w:rPr>
                <w:rFonts w:ascii="宋体" w:hAnsi="宋体"/>
                <w:color w:val="auto"/>
                <w:szCs w:val="21"/>
                <w:highlight w:val="none"/>
              </w:rPr>
              <w:t>招标人编制</w:t>
            </w:r>
            <w:r>
              <w:rPr>
                <w:rFonts w:hint="eastAsia" w:ascii="宋体" w:hAnsi="宋体"/>
                <w:color w:val="auto"/>
                <w:szCs w:val="21"/>
                <w:highlight w:val="none"/>
              </w:rPr>
              <w:t>最高投标限价（单位：元）</w:t>
            </w:r>
          </w:p>
        </w:tc>
        <w:tc>
          <w:tcPr>
            <w:tcW w:w="4496" w:type="dxa"/>
            <w:gridSpan w:val="8"/>
            <w:tcBorders>
              <w:top w:val="single" w:color="auto" w:sz="4" w:space="0"/>
              <w:left w:val="single" w:color="auto" w:sz="4" w:space="0"/>
              <w:bottom w:val="single" w:color="auto" w:sz="4" w:space="0"/>
              <w:right w:val="single" w:color="auto" w:sz="4" w:space="0"/>
            </w:tcBorders>
            <w:noWrap w:val="0"/>
            <w:vAlign w:val="top"/>
          </w:tcPr>
          <w:p w14:paraId="7614B370">
            <w:pPr>
              <w:spacing w:line="500" w:lineRule="exact"/>
              <w:jc w:val="left"/>
              <w:rPr>
                <w:rFonts w:ascii="宋体" w:hAnsi="宋体"/>
                <w:color w:val="auto"/>
                <w:szCs w:val="21"/>
                <w:highlight w:val="none"/>
              </w:rPr>
            </w:pPr>
          </w:p>
        </w:tc>
      </w:tr>
    </w:tbl>
    <w:p w14:paraId="7177DC2C">
      <w:pPr>
        <w:spacing w:line="440" w:lineRule="exact"/>
        <w:rPr>
          <w:color w:val="auto"/>
          <w:highlight w:val="none"/>
          <w:u w:val="single"/>
        </w:rPr>
      </w:pPr>
      <w:r>
        <w:rPr>
          <w:rFonts w:hint="eastAsia"/>
          <w:color w:val="auto"/>
          <w:highlight w:val="none"/>
        </w:rPr>
        <w:t>招标人代表：</w:t>
      </w:r>
      <w:r>
        <w:rPr>
          <w:rFonts w:hint="eastAsia"/>
          <w:color w:val="auto"/>
          <w:highlight w:val="none"/>
          <w:u w:val="single"/>
        </w:rPr>
        <w:t xml:space="preserve">                 </w:t>
      </w:r>
      <w:r>
        <w:rPr>
          <w:rFonts w:hint="eastAsia"/>
          <w:color w:val="auto"/>
          <w:highlight w:val="none"/>
        </w:rPr>
        <w:t xml:space="preserve"> 记录人：</w:t>
      </w:r>
      <w:r>
        <w:rPr>
          <w:rFonts w:hint="eastAsia"/>
          <w:color w:val="auto"/>
          <w:highlight w:val="none"/>
          <w:u w:val="single"/>
        </w:rPr>
        <w:t xml:space="preserve">                 </w:t>
      </w:r>
      <w:r>
        <w:rPr>
          <w:rFonts w:hint="eastAsia"/>
          <w:color w:val="auto"/>
          <w:highlight w:val="none"/>
        </w:rPr>
        <w:t xml:space="preserve"> 监标人：</w:t>
      </w:r>
      <w:r>
        <w:rPr>
          <w:rFonts w:hint="eastAsia"/>
          <w:color w:val="auto"/>
          <w:highlight w:val="none"/>
          <w:u w:val="single"/>
        </w:rPr>
        <w:t xml:space="preserve">            </w:t>
      </w:r>
      <w:r>
        <w:rPr>
          <w:color w:val="auto"/>
          <w:highlight w:val="none"/>
          <w:u w:val="single"/>
        </w:rPr>
        <w:t xml:space="preserve">     </w:t>
      </w:r>
    </w:p>
    <w:p w14:paraId="29B714EA">
      <w:pPr>
        <w:spacing w:line="440" w:lineRule="exact"/>
        <w:jc w:val="right"/>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 xml:space="preserve">月 </w:t>
      </w:r>
      <w:r>
        <w:rPr>
          <w:rFonts w:hint="eastAsia"/>
          <w:color w:val="auto"/>
          <w:highlight w:val="none"/>
          <w:u w:val="single"/>
        </w:rPr>
        <w:t xml:space="preserve">      </w:t>
      </w:r>
      <w:r>
        <w:rPr>
          <w:rFonts w:hint="eastAsia"/>
          <w:color w:val="auto"/>
          <w:highlight w:val="none"/>
        </w:rPr>
        <w:t>日</w:t>
      </w:r>
    </w:p>
    <w:p w14:paraId="7A8E620F">
      <w:pPr>
        <w:spacing w:line="440" w:lineRule="exact"/>
        <w:jc w:val="left"/>
        <w:rPr>
          <w:rFonts w:hint="eastAsia"/>
          <w:color w:val="auto"/>
          <w:highlight w:val="none"/>
        </w:rPr>
      </w:pPr>
      <w:r>
        <w:rPr>
          <w:rFonts w:hint="eastAsia" w:ascii="宋体" w:hAnsi="宋体" w:eastAsia="宋体" w:cs="宋体"/>
          <w:color w:val="auto"/>
          <w:highlight w:val="none"/>
          <w:u w:val="single"/>
          <w:lang w:val="en-US" w:eastAsia="zh-CN"/>
        </w:rPr>
        <w:t>注：</w:t>
      </w:r>
      <w:r>
        <w:rPr>
          <w:rFonts w:hint="eastAsia" w:ascii="宋体" w:hAnsi="宋体" w:eastAsia="宋体" w:cs="宋体"/>
          <w:color w:val="auto"/>
          <w:highlight w:val="none"/>
          <w:u w:val="single"/>
        </w:rPr>
        <w:t>本表仅供参考，具体以</w:t>
      </w:r>
      <w:r>
        <w:rPr>
          <w:rFonts w:hint="eastAsia" w:ascii="宋体" w:hAnsi="宋体" w:eastAsia="宋体" w:cs="宋体"/>
          <w:color w:val="auto"/>
          <w:highlight w:val="none"/>
          <w:u w:val="single"/>
          <w:lang w:val="en-US" w:eastAsia="zh-CN"/>
        </w:rPr>
        <w:t>交易平台</w:t>
      </w:r>
      <w:r>
        <w:rPr>
          <w:rFonts w:hint="eastAsia" w:ascii="宋体" w:hAnsi="宋体" w:eastAsia="宋体" w:cs="宋体"/>
          <w:color w:val="auto"/>
          <w:highlight w:val="none"/>
          <w:u w:val="single"/>
        </w:rPr>
        <w:t>开标时的开标记录表为准。</w:t>
      </w:r>
    </w:p>
    <w:p w14:paraId="6CDB738D">
      <w:pPr>
        <w:spacing w:line="360" w:lineRule="auto"/>
        <w:jc w:val="center"/>
        <w:rPr>
          <w:rFonts w:hint="eastAsia" w:ascii="宋体" w:hAnsi="宋体"/>
          <w:b/>
          <w:color w:val="auto"/>
          <w:sz w:val="32"/>
          <w:szCs w:val="32"/>
          <w:highlight w:val="none"/>
        </w:rPr>
      </w:pPr>
    </w:p>
    <w:p w14:paraId="7A55CF2E">
      <w:pPr>
        <w:pStyle w:val="22"/>
        <w:rPr>
          <w:rFonts w:hint="eastAsia" w:ascii="宋体" w:hAnsi="宋体"/>
          <w:b/>
          <w:color w:val="auto"/>
          <w:sz w:val="32"/>
          <w:szCs w:val="32"/>
          <w:highlight w:val="none"/>
        </w:rPr>
      </w:pPr>
    </w:p>
    <w:p w14:paraId="7219DE5D">
      <w:pPr>
        <w:pStyle w:val="22"/>
        <w:rPr>
          <w:rFonts w:hint="eastAsia" w:ascii="宋体" w:hAnsi="宋体"/>
          <w:b/>
          <w:color w:val="auto"/>
          <w:sz w:val="32"/>
          <w:szCs w:val="32"/>
          <w:highlight w:val="none"/>
        </w:rPr>
      </w:pPr>
    </w:p>
    <w:p w14:paraId="7EF34BFA">
      <w:pPr>
        <w:pStyle w:val="22"/>
        <w:rPr>
          <w:rFonts w:hint="eastAsia" w:ascii="宋体" w:hAnsi="宋体"/>
          <w:b/>
          <w:color w:val="auto"/>
          <w:sz w:val="32"/>
          <w:szCs w:val="32"/>
          <w:highlight w:val="none"/>
        </w:rPr>
      </w:pPr>
    </w:p>
    <w:p w14:paraId="06865ECD">
      <w:pPr>
        <w:spacing w:line="440" w:lineRule="exact"/>
        <w:rPr>
          <w:color w:val="auto"/>
          <w:szCs w:val="21"/>
          <w:highlight w:val="none"/>
        </w:rPr>
      </w:pPr>
    </w:p>
    <w:p w14:paraId="273869D5">
      <w:pPr>
        <w:spacing w:line="360" w:lineRule="auto"/>
        <w:jc w:val="left"/>
        <w:outlineLvl w:val="2"/>
        <w:rPr>
          <w:rFonts w:ascii="黑体" w:hAnsi="黑体" w:eastAsia="黑体"/>
          <w:color w:val="auto"/>
          <w:sz w:val="28"/>
          <w:szCs w:val="27"/>
          <w:highlight w:val="none"/>
        </w:rPr>
      </w:pPr>
      <w:bookmarkStart w:id="207" w:name="_Toc17451626"/>
      <w:bookmarkStart w:id="208" w:name="_Toc246996968"/>
      <w:bookmarkStart w:id="209" w:name="_Toc332641307"/>
      <w:bookmarkStart w:id="210" w:name="_Toc24111"/>
      <w:bookmarkStart w:id="211" w:name="_Toc246996225"/>
      <w:bookmarkStart w:id="212" w:name="_Toc17451104"/>
      <w:bookmarkStart w:id="213" w:name="_Toc17454874"/>
      <w:bookmarkStart w:id="214" w:name="_Toc17556879"/>
      <w:bookmarkStart w:id="215" w:name="_Toc144974549"/>
      <w:bookmarkStart w:id="216" w:name="_Toc179632600"/>
      <w:bookmarkStart w:id="217" w:name="_Toc17454925"/>
      <w:bookmarkStart w:id="218" w:name="_Toc152042359"/>
      <w:bookmarkStart w:id="219" w:name="_Toc247085740"/>
      <w:bookmarkStart w:id="220" w:name="_Toc152045582"/>
      <w:bookmarkStart w:id="221" w:name="_Toc17452667"/>
      <w:bookmarkStart w:id="222" w:name="_Toc17451581"/>
      <w:r>
        <w:rPr>
          <w:rFonts w:ascii="黑体" w:hAnsi="黑体" w:eastAsia="黑体"/>
          <w:color w:val="auto"/>
          <w:sz w:val="28"/>
          <w:szCs w:val="27"/>
          <w:highlight w:val="none"/>
        </w:rPr>
        <w:t>附</w:t>
      </w:r>
      <w:r>
        <w:rPr>
          <w:rFonts w:hint="eastAsia" w:ascii="黑体" w:hAnsi="黑体" w:eastAsia="黑体"/>
          <w:color w:val="auto"/>
          <w:sz w:val="28"/>
          <w:szCs w:val="27"/>
          <w:highlight w:val="none"/>
        </w:rPr>
        <w:t>件</w:t>
      </w:r>
      <w:r>
        <w:rPr>
          <w:rFonts w:ascii="黑体" w:hAnsi="黑体" w:eastAsia="黑体"/>
          <w:color w:val="auto"/>
          <w:sz w:val="28"/>
          <w:szCs w:val="27"/>
          <w:highlight w:val="none"/>
        </w:rPr>
        <w:t>二：问题澄清通知</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5BBDC4C">
      <w:pPr>
        <w:spacing w:line="440" w:lineRule="exact"/>
        <w:jc w:val="center"/>
        <w:rPr>
          <w:color w:val="auto"/>
          <w:szCs w:val="21"/>
          <w:highlight w:val="none"/>
        </w:rPr>
      </w:pPr>
    </w:p>
    <w:p w14:paraId="4A00CAD7">
      <w:pPr>
        <w:spacing w:line="440" w:lineRule="exact"/>
        <w:jc w:val="center"/>
        <w:rPr>
          <w:rFonts w:ascii="宋体" w:hAnsi="宋体"/>
          <w:b/>
          <w:color w:val="auto"/>
          <w:sz w:val="36"/>
          <w:szCs w:val="28"/>
          <w:highlight w:val="none"/>
        </w:rPr>
      </w:pPr>
      <w:r>
        <w:rPr>
          <w:rFonts w:ascii="宋体" w:hAnsi="宋体"/>
          <w:b/>
          <w:color w:val="auto"/>
          <w:sz w:val="36"/>
          <w:szCs w:val="28"/>
          <w:highlight w:val="none"/>
        </w:rPr>
        <w:t>问题澄清通知</w:t>
      </w:r>
    </w:p>
    <w:p w14:paraId="006268BA">
      <w:pPr>
        <w:spacing w:line="440" w:lineRule="exact"/>
        <w:jc w:val="center"/>
        <w:rPr>
          <w:rFonts w:ascii="宋体" w:hAnsi="宋体"/>
          <w:color w:val="auto"/>
          <w:szCs w:val="21"/>
          <w:highlight w:val="none"/>
        </w:rPr>
      </w:pPr>
      <w:r>
        <w:rPr>
          <w:rFonts w:ascii="宋体" w:hAnsi="宋体"/>
          <w:color w:val="auto"/>
          <w:szCs w:val="21"/>
          <w:highlight w:val="none"/>
        </w:rPr>
        <w:t>编号：</w:t>
      </w:r>
      <w:r>
        <w:rPr>
          <w:rFonts w:hint="eastAsia" w:ascii="宋体" w:hAnsi="宋体"/>
          <w:color w:val="auto"/>
          <w:szCs w:val="21"/>
          <w:highlight w:val="none"/>
        </w:rPr>
        <w:t>__________________________</w:t>
      </w:r>
    </w:p>
    <w:p w14:paraId="2E8AB8E1">
      <w:pPr>
        <w:spacing w:line="440" w:lineRule="exact"/>
        <w:rPr>
          <w:rFonts w:ascii="宋体" w:hAnsi="宋体"/>
          <w:color w:val="auto"/>
          <w:szCs w:val="21"/>
          <w:highlight w:val="none"/>
        </w:rPr>
      </w:pPr>
    </w:p>
    <w:p w14:paraId="5A592F98">
      <w:pPr>
        <w:spacing w:line="440" w:lineRule="exact"/>
        <w:rPr>
          <w:rFonts w:ascii="宋体" w:hAnsi="宋体"/>
          <w:color w:val="auto"/>
          <w:sz w:val="24"/>
          <w:szCs w:val="21"/>
          <w:highlight w:val="none"/>
        </w:rPr>
      </w:pPr>
      <w:r>
        <w:rPr>
          <w:rFonts w:ascii="宋体" w:hAnsi="宋体"/>
          <w:color w:val="auto"/>
          <w:sz w:val="24"/>
          <w:szCs w:val="21"/>
          <w:highlight w:val="none"/>
          <w:u w:val="single"/>
        </w:rPr>
        <w:t xml:space="preserve">            </w:t>
      </w:r>
      <w:r>
        <w:rPr>
          <w:rFonts w:ascii="宋体" w:hAnsi="宋体"/>
          <w:color w:val="auto"/>
          <w:sz w:val="24"/>
          <w:szCs w:val="21"/>
          <w:highlight w:val="none"/>
        </w:rPr>
        <w:t>（投标人名称）：</w:t>
      </w:r>
    </w:p>
    <w:p w14:paraId="07636058">
      <w:pPr>
        <w:spacing w:line="440" w:lineRule="exact"/>
        <w:rPr>
          <w:rFonts w:ascii="宋体" w:hAnsi="宋体"/>
          <w:color w:val="auto"/>
          <w:szCs w:val="21"/>
          <w:highlight w:val="none"/>
        </w:rPr>
      </w:pPr>
    </w:p>
    <w:p w14:paraId="3BDBBEA3">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rPr>
        <w:t>（项目名称）招标的评标委员会，对你方的投标文件进行了仔细的审查，现需你方对下列问题以书面形式予以澄清：</w:t>
      </w:r>
    </w:p>
    <w:p w14:paraId="2CE04C51">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w:t>
      </w:r>
    </w:p>
    <w:p w14:paraId="5DA3E88D">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w:t>
      </w:r>
    </w:p>
    <w:p w14:paraId="2C2809C5">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w:t>
      </w:r>
    </w:p>
    <w:p w14:paraId="211C2F9B">
      <w:pPr>
        <w:spacing w:line="440" w:lineRule="exact"/>
        <w:rPr>
          <w:rFonts w:ascii="宋体" w:hAnsi="宋体"/>
          <w:color w:val="auto"/>
          <w:sz w:val="24"/>
          <w:szCs w:val="24"/>
          <w:highlight w:val="none"/>
        </w:rPr>
      </w:pPr>
      <w:r>
        <w:rPr>
          <w:rFonts w:ascii="宋体" w:hAnsi="宋体"/>
          <w:color w:val="auto"/>
          <w:sz w:val="24"/>
          <w:szCs w:val="24"/>
          <w:highlight w:val="none"/>
        </w:rPr>
        <w:t>　　请将上述问题的澄清于</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ascii="宋体" w:hAnsi="宋体"/>
          <w:color w:val="auto"/>
          <w:sz w:val="24"/>
          <w:szCs w:val="24"/>
          <w:highlight w:val="none"/>
          <w:u w:val="single"/>
        </w:rPr>
        <w:t xml:space="preserve">        </w:t>
      </w:r>
      <w:r>
        <w:rPr>
          <w:rFonts w:ascii="宋体" w:hAnsi="宋体"/>
          <w:color w:val="auto"/>
          <w:sz w:val="24"/>
          <w:szCs w:val="24"/>
          <w:highlight w:val="none"/>
        </w:rPr>
        <w:t>时前递交至</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（详细地址）</w:t>
      </w:r>
      <w:r>
        <w:rPr>
          <w:rFonts w:hint="eastAsia" w:ascii="宋体" w:hAnsi="宋体"/>
          <w:color w:val="auto"/>
          <w:sz w:val="24"/>
          <w:szCs w:val="24"/>
          <w:highlight w:val="none"/>
        </w:rPr>
        <w:t>或传真至</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（传真号码）。采用传真方式的，应在</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时前将原件递交至</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（详细地址）。</w:t>
      </w:r>
    </w:p>
    <w:p w14:paraId="2C74928B">
      <w:pPr>
        <w:spacing w:line="440" w:lineRule="exact"/>
        <w:rPr>
          <w:rFonts w:ascii="宋体" w:hAnsi="宋体"/>
          <w:color w:val="auto"/>
          <w:szCs w:val="21"/>
          <w:highlight w:val="none"/>
        </w:rPr>
      </w:pPr>
    </w:p>
    <w:p w14:paraId="3783E22D">
      <w:pPr>
        <w:spacing w:line="440" w:lineRule="exact"/>
        <w:rPr>
          <w:rFonts w:ascii="宋体" w:hAnsi="宋体"/>
          <w:color w:val="auto"/>
          <w:szCs w:val="21"/>
          <w:highlight w:val="none"/>
        </w:rPr>
      </w:pPr>
    </w:p>
    <w:p w14:paraId="29C80901">
      <w:pPr>
        <w:spacing w:line="440" w:lineRule="exact"/>
        <w:rPr>
          <w:rFonts w:ascii="宋体" w:hAnsi="宋体"/>
          <w:color w:val="auto"/>
          <w:szCs w:val="21"/>
          <w:highlight w:val="none"/>
        </w:rPr>
      </w:pPr>
    </w:p>
    <w:p w14:paraId="300719A4">
      <w:pPr>
        <w:spacing w:line="360" w:lineRule="auto"/>
        <w:jc w:val="center"/>
        <w:rPr>
          <w:rFonts w:ascii="宋体" w:hAnsi="宋体"/>
          <w:color w:val="auto"/>
          <w:sz w:val="24"/>
          <w:szCs w:val="24"/>
          <w:highlight w:val="none"/>
        </w:rPr>
      </w:pPr>
      <w:r>
        <w:rPr>
          <w:rFonts w:hint="eastAsia" w:ascii="宋体" w:hAnsi="宋体"/>
          <w:color w:val="auto"/>
          <w:sz w:val="24"/>
          <w:szCs w:val="24"/>
          <w:highlight w:val="none"/>
          <w:lang w:eastAsia="zh-CN"/>
        </w:rPr>
        <w:t>评标委员会签字</w:t>
      </w:r>
      <w:r>
        <w:rPr>
          <w:rFonts w:ascii="宋体" w:hAnsi="宋体"/>
          <w:color w:val="auto"/>
          <w:sz w:val="24"/>
          <w:szCs w:val="24"/>
          <w:highlight w:val="none"/>
        </w:rPr>
        <w:t>：</w:t>
      </w:r>
      <w:r>
        <w:rPr>
          <w:rFonts w:ascii="宋体" w:hAnsi="宋体"/>
          <w:color w:val="auto"/>
          <w:sz w:val="24"/>
          <w:szCs w:val="24"/>
          <w:highlight w:val="none"/>
          <w:u w:val="single"/>
        </w:rPr>
        <w:t xml:space="preserve">           </w:t>
      </w:r>
    </w:p>
    <w:p w14:paraId="41B72025">
      <w:pPr>
        <w:spacing w:line="360" w:lineRule="auto"/>
        <w:ind w:firstLine="3480" w:firstLineChars="1450"/>
        <w:jc w:val="right"/>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 xml:space="preserve">年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月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日</w:t>
      </w:r>
    </w:p>
    <w:p w14:paraId="5593D51E">
      <w:pPr>
        <w:spacing w:line="400" w:lineRule="exact"/>
        <w:rPr>
          <w:color w:val="auto"/>
          <w:highlight w:val="none"/>
        </w:rPr>
      </w:pPr>
      <w:r>
        <w:rPr>
          <w:color w:val="auto"/>
          <w:highlight w:val="none"/>
        </w:rPr>
        <w:br w:type="page"/>
      </w:r>
    </w:p>
    <w:p w14:paraId="2D738B89">
      <w:pPr>
        <w:spacing w:line="360" w:lineRule="auto"/>
        <w:jc w:val="left"/>
        <w:outlineLvl w:val="2"/>
        <w:rPr>
          <w:rFonts w:ascii="黑体" w:hAnsi="黑体" w:eastAsia="黑体"/>
          <w:color w:val="auto"/>
          <w:sz w:val="28"/>
          <w:szCs w:val="27"/>
          <w:highlight w:val="none"/>
        </w:rPr>
      </w:pPr>
      <w:bookmarkStart w:id="223" w:name="_Toc21477"/>
      <w:bookmarkStart w:id="224" w:name="_Toc247085741"/>
      <w:bookmarkStart w:id="225" w:name="_Toc246996969"/>
      <w:bookmarkStart w:id="226" w:name="_Toc17454926"/>
      <w:bookmarkStart w:id="227" w:name="_Toc17451105"/>
      <w:bookmarkStart w:id="228" w:name="_Toc17451582"/>
      <w:bookmarkStart w:id="229" w:name="_Toc332641308"/>
      <w:bookmarkStart w:id="230" w:name="_Toc17451627"/>
      <w:bookmarkStart w:id="231" w:name="_Toc17454875"/>
      <w:bookmarkStart w:id="232" w:name="_Toc17556880"/>
      <w:bookmarkStart w:id="233" w:name="_Toc152042360"/>
      <w:bookmarkStart w:id="234" w:name="_Toc144974550"/>
      <w:bookmarkStart w:id="235" w:name="_Toc152045583"/>
      <w:bookmarkStart w:id="236" w:name="_Toc246996226"/>
      <w:bookmarkStart w:id="237" w:name="_Toc179632601"/>
      <w:bookmarkStart w:id="238" w:name="_Toc17452668"/>
      <w:r>
        <w:rPr>
          <w:rFonts w:hint="eastAsia" w:ascii="黑体" w:hAnsi="黑体" w:eastAsia="黑体"/>
          <w:color w:val="auto"/>
          <w:sz w:val="28"/>
          <w:szCs w:val="27"/>
          <w:highlight w:val="none"/>
        </w:rPr>
        <w:t>附件三：问题的澄清</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FFC38A2">
      <w:pPr>
        <w:spacing w:line="400" w:lineRule="exact"/>
        <w:jc w:val="center"/>
        <w:rPr>
          <w:rFonts w:ascii="黑体" w:eastAsia="黑体"/>
          <w:color w:val="auto"/>
          <w:sz w:val="28"/>
          <w:szCs w:val="28"/>
          <w:highlight w:val="none"/>
        </w:rPr>
      </w:pPr>
    </w:p>
    <w:p w14:paraId="34C4DC8D">
      <w:pPr>
        <w:spacing w:line="360" w:lineRule="auto"/>
        <w:jc w:val="center"/>
        <w:rPr>
          <w:rFonts w:ascii="宋体" w:hAnsi="宋体"/>
          <w:b/>
          <w:color w:val="auto"/>
          <w:sz w:val="36"/>
          <w:szCs w:val="24"/>
          <w:highlight w:val="none"/>
        </w:rPr>
      </w:pPr>
      <w:r>
        <w:rPr>
          <w:rFonts w:hint="eastAsia" w:ascii="宋体" w:hAnsi="宋体"/>
          <w:b/>
          <w:color w:val="auto"/>
          <w:sz w:val="36"/>
          <w:szCs w:val="24"/>
          <w:highlight w:val="none"/>
        </w:rPr>
        <w:t>问题的澄清</w:t>
      </w:r>
    </w:p>
    <w:p w14:paraId="634B3A8F">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编号：_____________________</w:t>
      </w:r>
    </w:p>
    <w:p w14:paraId="0E82CD12">
      <w:pPr>
        <w:spacing w:line="360" w:lineRule="auto"/>
        <w:rPr>
          <w:rFonts w:ascii="宋体" w:hAnsi="宋体"/>
          <w:color w:val="auto"/>
          <w:sz w:val="24"/>
          <w:szCs w:val="24"/>
          <w:highlight w:val="none"/>
        </w:rPr>
      </w:pPr>
    </w:p>
    <w:p w14:paraId="12F3833A">
      <w:pPr>
        <w:spacing w:line="440" w:lineRule="exact"/>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项目名称）招标评标委员会：</w:t>
      </w:r>
    </w:p>
    <w:p w14:paraId="53E20026">
      <w:pPr>
        <w:snapToGrid w:val="0"/>
        <w:spacing w:line="360" w:lineRule="auto"/>
        <w:ind w:firstLine="480" w:firstLineChars="200"/>
        <w:rPr>
          <w:rFonts w:ascii="宋体" w:hAnsi="宋体"/>
          <w:color w:val="auto"/>
          <w:sz w:val="24"/>
          <w:highlight w:val="none"/>
        </w:rPr>
      </w:pPr>
    </w:p>
    <w:p w14:paraId="78523095">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问题澄清通知（编号：</w:t>
      </w:r>
      <w:r>
        <w:rPr>
          <w:rFonts w:ascii="宋体" w:hAnsi="宋体"/>
          <w:color w:val="auto"/>
          <w:sz w:val="24"/>
          <w:highlight w:val="none"/>
          <w:u w:val="single"/>
        </w:rPr>
        <w:t xml:space="preserve">        </w:t>
      </w:r>
      <w:r>
        <w:rPr>
          <w:rFonts w:hint="eastAsia" w:ascii="宋体" w:hAnsi="宋体"/>
          <w:color w:val="auto"/>
          <w:sz w:val="24"/>
          <w:highlight w:val="none"/>
        </w:rPr>
        <w:t>______</w:t>
      </w:r>
      <w:r>
        <w:rPr>
          <w:rFonts w:ascii="宋体" w:hAnsi="宋体"/>
          <w:color w:val="auto"/>
          <w:sz w:val="24"/>
          <w:highlight w:val="none"/>
        </w:rPr>
        <w:t>）已收悉，现澄清如下：</w:t>
      </w:r>
    </w:p>
    <w:p w14:paraId="670EAB08">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w:t>
      </w:r>
    </w:p>
    <w:p w14:paraId="736A45BC">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w:t>
      </w:r>
    </w:p>
    <w:p w14:paraId="140510DE">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w:t>
      </w:r>
    </w:p>
    <w:p w14:paraId="2D0805FC">
      <w:pPr>
        <w:snapToGrid w:val="0"/>
        <w:spacing w:line="360" w:lineRule="auto"/>
        <w:ind w:firstLine="480" w:firstLineChars="200"/>
        <w:rPr>
          <w:rFonts w:ascii="宋体" w:hAnsi="宋体"/>
          <w:color w:val="auto"/>
          <w:sz w:val="24"/>
          <w:highlight w:val="none"/>
        </w:rPr>
      </w:pPr>
    </w:p>
    <w:p w14:paraId="66762C0D">
      <w:pPr>
        <w:snapToGrid w:val="0"/>
        <w:spacing w:line="360" w:lineRule="auto"/>
        <w:ind w:firstLine="480" w:firstLineChars="200"/>
        <w:rPr>
          <w:rFonts w:ascii="宋体" w:hAnsi="宋体"/>
          <w:color w:val="auto"/>
          <w:sz w:val="24"/>
          <w:highlight w:val="none"/>
        </w:rPr>
      </w:pPr>
    </w:p>
    <w:p w14:paraId="6C15EC81">
      <w:pPr>
        <w:spacing w:line="440" w:lineRule="exact"/>
        <w:rPr>
          <w:rFonts w:ascii="宋体" w:hAnsi="宋体"/>
          <w:color w:val="auto"/>
          <w:sz w:val="24"/>
          <w:szCs w:val="24"/>
          <w:highlight w:val="none"/>
        </w:rPr>
      </w:pPr>
    </w:p>
    <w:p w14:paraId="6E28A886">
      <w:pPr>
        <w:spacing w:line="440" w:lineRule="exact"/>
        <w:rPr>
          <w:rFonts w:ascii="宋体" w:hAnsi="宋体"/>
          <w:color w:val="auto"/>
          <w:sz w:val="24"/>
          <w:szCs w:val="24"/>
          <w:highlight w:val="none"/>
        </w:rPr>
      </w:pPr>
    </w:p>
    <w:p w14:paraId="4EA557A4">
      <w:pPr>
        <w:spacing w:line="440" w:lineRule="exact"/>
        <w:rPr>
          <w:rFonts w:ascii="宋体" w:hAnsi="宋体"/>
          <w:color w:val="auto"/>
          <w:sz w:val="24"/>
          <w:szCs w:val="24"/>
          <w:highlight w:val="none"/>
        </w:rPr>
      </w:pPr>
    </w:p>
    <w:p w14:paraId="4B70B4FB">
      <w:pPr>
        <w:spacing w:line="440" w:lineRule="exact"/>
        <w:rPr>
          <w:rFonts w:ascii="宋体" w:hAnsi="宋体"/>
          <w:color w:val="auto"/>
          <w:sz w:val="24"/>
          <w:szCs w:val="24"/>
          <w:highlight w:val="none"/>
        </w:rPr>
      </w:pPr>
    </w:p>
    <w:p w14:paraId="4EB2E1A6">
      <w:pPr>
        <w:spacing w:line="440" w:lineRule="exact"/>
        <w:jc w:val="right"/>
        <w:rPr>
          <w:rFonts w:ascii="宋体" w:hAnsi="宋体"/>
          <w:color w:val="auto"/>
          <w:sz w:val="24"/>
          <w:szCs w:val="24"/>
          <w:highlight w:val="none"/>
        </w:rPr>
      </w:pPr>
      <w:r>
        <w:rPr>
          <w:rFonts w:ascii="宋体" w:hAnsi="宋体"/>
          <w:color w:val="auto"/>
          <w:sz w:val="24"/>
          <w:szCs w:val="24"/>
          <w:highlight w:val="none"/>
        </w:rPr>
        <w:t>投标人：</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（盖单位章）</w:t>
      </w:r>
    </w:p>
    <w:p w14:paraId="48D102A7">
      <w:pPr>
        <w:spacing w:line="440" w:lineRule="exact"/>
        <w:jc w:val="right"/>
        <w:rPr>
          <w:rFonts w:ascii="宋体" w:hAnsi="宋体"/>
          <w:color w:val="auto"/>
          <w:sz w:val="24"/>
          <w:szCs w:val="24"/>
          <w:highlight w:val="none"/>
        </w:rPr>
      </w:pPr>
      <w:r>
        <w:rPr>
          <w:rFonts w:ascii="宋体" w:hAnsi="宋体"/>
          <w:color w:val="auto"/>
          <w:sz w:val="24"/>
          <w:szCs w:val="24"/>
          <w:highlight w:val="none"/>
        </w:rPr>
        <w:t>法定代表人或其委托代理人：</w:t>
      </w:r>
      <w:r>
        <w:rPr>
          <w:rFonts w:ascii="宋体" w:hAnsi="宋体"/>
          <w:color w:val="auto"/>
          <w:sz w:val="24"/>
          <w:szCs w:val="24"/>
          <w:highlight w:val="none"/>
          <w:u w:val="single"/>
        </w:rPr>
        <w:t xml:space="preserve">          </w:t>
      </w:r>
      <w:r>
        <w:rPr>
          <w:rFonts w:ascii="宋体" w:hAnsi="宋体"/>
          <w:color w:val="auto"/>
          <w:sz w:val="24"/>
          <w:szCs w:val="24"/>
          <w:highlight w:val="none"/>
        </w:rPr>
        <w:t>（签字）</w:t>
      </w:r>
    </w:p>
    <w:p w14:paraId="1548A46F">
      <w:pPr>
        <w:spacing w:line="440" w:lineRule="exact"/>
        <w:jc w:val="right"/>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p>
    <w:p w14:paraId="72EB2D1A">
      <w:pPr>
        <w:spacing w:line="400" w:lineRule="exact"/>
        <w:rPr>
          <w:rFonts w:ascii="宋体" w:hAnsi="宋体"/>
          <w:color w:val="auto"/>
          <w:sz w:val="24"/>
          <w:szCs w:val="24"/>
          <w:highlight w:val="none"/>
        </w:rPr>
      </w:pPr>
    </w:p>
    <w:p w14:paraId="26BEA727">
      <w:pPr>
        <w:spacing w:line="400" w:lineRule="exact"/>
        <w:rPr>
          <w:rFonts w:ascii="宋体" w:hAnsi="宋体"/>
          <w:color w:val="auto"/>
          <w:sz w:val="24"/>
          <w:szCs w:val="24"/>
          <w:highlight w:val="none"/>
        </w:rPr>
      </w:pPr>
      <w:r>
        <w:rPr>
          <w:rFonts w:ascii="宋体" w:hAnsi="宋体"/>
          <w:color w:val="auto"/>
          <w:sz w:val="24"/>
          <w:szCs w:val="24"/>
          <w:highlight w:val="none"/>
        </w:rPr>
        <w:br w:type="page"/>
      </w:r>
    </w:p>
    <w:p w14:paraId="53CCF4C8">
      <w:pPr>
        <w:spacing w:line="360" w:lineRule="auto"/>
        <w:jc w:val="left"/>
        <w:outlineLvl w:val="2"/>
        <w:rPr>
          <w:rFonts w:ascii="黑体" w:hAnsi="黑体" w:eastAsia="黑体"/>
          <w:color w:val="auto"/>
          <w:sz w:val="28"/>
          <w:szCs w:val="27"/>
          <w:highlight w:val="none"/>
        </w:rPr>
      </w:pPr>
      <w:bookmarkStart w:id="239" w:name="_Toc152045584"/>
      <w:bookmarkStart w:id="240" w:name="_Toc246996970"/>
      <w:bookmarkStart w:id="241" w:name="_Toc17452669"/>
      <w:bookmarkStart w:id="242" w:name="_Toc8125"/>
      <w:bookmarkStart w:id="243" w:name="_Toc152042361"/>
      <w:bookmarkStart w:id="244" w:name="_Toc17451583"/>
      <w:bookmarkStart w:id="245" w:name="_Toc247085742"/>
      <w:bookmarkStart w:id="246" w:name="_Toc17454876"/>
      <w:bookmarkStart w:id="247" w:name="_Toc332641309"/>
      <w:bookmarkStart w:id="248" w:name="_Toc17556881"/>
      <w:bookmarkStart w:id="249" w:name="_Toc17451628"/>
      <w:bookmarkStart w:id="250" w:name="_Toc246996227"/>
      <w:bookmarkStart w:id="251" w:name="_Toc17451106"/>
      <w:bookmarkStart w:id="252" w:name="_Toc17454927"/>
      <w:bookmarkStart w:id="253" w:name="_Toc144974551"/>
      <w:bookmarkStart w:id="254" w:name="_Toc179632602"/>
      <w:r>
        <w:rPr>
          <w:rFonts w:hint="eastAsia" w:ascii="黑体" w:hAnsi="黑体" w:eastAsia="黑体"/>
          <w:color w:val="auto"/>
          <w:sz w:val="28"/>
          <w:szCs w:val="27"/>
          <w:highlight w:val="none"/>
        </w:rPr>
        <w:t>附件四：中标通知书</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F2E5782">
      <w:pPr>
        <w:spacing w:line="360" w:lineRule="auto"/>
        <w:rPr>
          <w:color w:val="auto"/>
          <w:sz w:val="24"/>
          <w:highlight w:val="none"/>
        </w:rPr>
      </w:pPr>
      <w:r>
        <w:rPr>
          <w:color w:val="auto"/>
          <w:sz w:val="24"/>
          <w:highlight w:val="none"/>
        </w:rPr>
        <w:t xml:space="preserve">                              </w:t>
      </w:r>
    </w:p>
    <w:p w14:paraId="7082CD94">
      <w:pPr>
        <w:spacing w:line="360" w:lineRule="auto"/>
        <w:ind w:firstLine="480" w:firstLineChars="200"/>
        <w:jc w:val="left"/>
        <w:rPr>
          <w:rFonts w:ascii="宋体" w:hAnsi="宋体"/>
          <w:color w:val="auto"/>
          <w:sz w:val="32"/>
          <w:highlight w:val="none"/>
        </w:rPr>
      </w:pPr>
      <w:r>
        <w:rPr>
          <w:rFonts w:hint="eastAsia"/>
          <w:color w:val="auto"/>
          <w:sz w:val="24"/>
          <w:szCs w:val="21"/>
          <w:highlight w:val="none"/>
          <w:u w:val="single"/>
        </w:rPr>
        <w:t>（说明：中标通知书采用</w:t>
      </w:r>
      <w:r>
        <w:rPr>
          <w:rFonts w:hint="eastAsia"/>
          <w:color w:val="auto"/>
          <w:sz w:val="24"/>
          <w:szCs w:val="21"/>
          <w:highlight w:val="none"/>
          <w:u w:val="single"/>
          <w:lang w:eastAsia="zh-CN"/>
        </w:rPr>
        <w:t>广州交易集团有限公司（广州公共资源交易中心）</w:t>
      </w:r>
      <w:r>
        <w:rPr>
          <w:rFonts w:hint="eastAsia"/>
          <w:color w:val="auto"/>
          <w:sz w:val="24"/>
          <w:szCs w:val="21"/>
          <w:highlight w:val="none"/>
          <w:u w:val="single"/>
        </w:rPr>
        <w:t>规定的格式）</w:t>
      </w:r>
    </w:p>
    <w:p w14:paraId="13D6A666">
      <w:pPr>
        <w:numPr>
          <w:ilvl w:val="0"/>
          <w:numId w:val="4"/>
        </w:numPr>
        <w:spacing w:line="360" w:lineRule="auto"/>
        <w:jc w:val="center"/>
        <w:outlineLvl w:val="2"/>
        <w:rPr>
          <w:rFonts w:hint="eastAsia" w:ascii="黑体" w:hAnsi="黑体" w:eastAsia="黑体"/>
          <w:color w:val="auto"/>
          <w:sz w:val="32"/>
          <w:szCs w:val="27"/>
          <w:highlight w:val="none"/>
        </w:rPr>
      </w:pPr>
      <w:bookmarkStart w:id="255" w:name="_Toc262229168"/>
      <w:bookmarkStart w:id="256" w:name="_Toc155150492"/>
      <w:r>
        <w:rPr>
          <w:rFonts w:ascii="黑体" w:hAnsi="黑体" w:eastAsia="黑体"/>
          <w:color w:val="auto"/>
          <w:sz w:val="32"/>
          <w:szCs w:val="27"/>
          <w:highlight w:val="none"/>
        </w:rPr>
        <w:br w:type="page"/>
      </w:r>
      <w:bookmarkStart w:id="257" w:name="_Toc17452670"/>
      <w:bookmarkStart w:id="258" w:name="_Toc17454928"/>
      <w:bookmarkStart w:id="259" w:name="_Toc17451629"/>
      <w:bookmarkStart w:id="260" w:name="_Toc17454877"/>
      <w:bookmarkStart w:id="261" w:name="_Toc17556882"/>
      <w:bookmarkStart w:id="262" w:name="_Toc17451107"/>
      <w:bookmarkStart w:id="263" w:name="_Toc124"/>
      <w:bookmarkStart w:id="264" w:name="_Toc17451584"/>
      <w:r>
        <w:rPr>
          <w:rFonts w:hint="eastAsia" w:ascii="黑体" w:hAnsi="黑体" w:eastAsia="黑体"/>
          <w:color w:val="auto"/>
          <w:sz w:val="32"/>
          <w:szCs w:val="27"/>
          <w:highlight w:val="none"/>
        </w:rPr>
        <w:t>评标及定标办法</w:t>
      </w:r>
      <w:bookmarkEnd w:id="255"/>
      <w:bookmarkEnd w:id="256"/>
      <w:bookmarkEnd w:id="257"/>
      <w:bookmarkEnd w:id="258"/>
      <w:bookmarkEnd w:id="259"/>
      <w:bookmarkEnd w:id="260"/>
      <w:bookmarkEnd w:id="261"/>
      <w:bookmarkEnd w:id="262"/>
      <w:bookmarkEnd w:id="263"/>
      <w:bookmarkEnd w:id="264"/>
      <w:bookmarkStart w:id="265" w:name="_Toc28639"/>
      <w:bookmarkStart w:id="266" w:name="_Toc17454878"/>
      <w:bookmarkStart w:id="267" w:name="_Toc17451108"/>
      <w:bookmarkStart w:id="268" w:name="_Toc17452671"/>
      <w:bookmarkStart w:id="269" w:name="_Toc17451630"/>
      <w:bookmarkStart w:id="270" w:name="_Toc17451585"/>
      <w:bookmarkStart w:id="271" w:name="_Toc262229169"/>
      <w:bookmarkStart w:id="272" w:name="_Toc17556883"/>
      <w:bookmarkStart w:id="273" w:name="_Toc155150493"/>
      <w:bookmarkStart w:id="274" w:name="_Toc17454929"/>
    </w:p>
    <w:p w14:paraId="035969BD">
      <w:pPr>
        <w:numPr>
          <w:ilvl w:val="0"/>
          <w:numId w:val="0"/>
        </w:numPr>
        <w:spacing w:line="360" w:lineRule="auto"/>
        <w:jc w:val="center"/>
        <w:outlineLvl w:val="2"/>
        <w:rPr>
          <w:rFonts w:ascii="黑体" w:hAnsi="黑体" w:eastAsia="黑体"/>
          <w:color w:val="auto"/>
          <w:sz w:val="28"/>
          <w:szCs w:val="27"/>
          <w:highlight w:val="none"/>
        </w:rPr>
      </w:pPr>
      <w:r>
        <w:rPr>
          <w:rFonts w:hint="eastAsia" w:ascii="黑体" w:hAnsi="黑体" w:eastAsia="黑体"/>
          <w:color w:val="auto"/>
          <w:sz w:val="28"/>
          <w:szCs w:val="27"/>
          <w:highlight w:val="none"/>
        </w:rPr>
        <w:t>一、评标及定标办法修改表</w:t>
      </w:r>
      <w:bookmarkEnd w:id="265"/>
      <w:bookmarkEnd w:id="266"/>
      <w:bookmarkEnd w:id="267"/>
      <w:bookmarkEnd w:id="268"/>
      <w:bookmarkEnd w:id="269"/>
      <w:bookmarkEnd w:id="270"/>
      <w:bookmarkEnd w:id="271"/>
      <w:bookmarkEnd w:id="272"/>
      <w:bookmarkEnd w:id="273"/>
      <w:bookmarkEnd w:id="274"/>
    </w:p>
    <w:p w14:paraId="2DEA9304">
      <w:pPr>
        <w:pStyle w:val="16"/>
        <w:spacing w:after="0" w:line="360" w:lineRule="auto"/>
        <w:rPr>
          <w:rFonts w:ascii="宋体" w:hAnsi="宋体" w:eastAsia="宋体"/>
          <w:b/>
          <w:color w:val="auto"/>
          <w:sz w:val="24"/>
          <w:szCs w:val="21"/>
          <w:highlight w:val="none"/>
        </w:rPr>
      </w:pPr>
      <w:r>
        <w:rPr>
          <w:rFonts w:hint="eastAsia" w:ascii="宋体" w:hAnsi="宋体" w:eastAsia="宋体"/>
          <w:b/>
          <w:color w:val="auto"/>
          <w:sz w:val="24"/>
          <w:highlight w:val="none"/>
        </w:rPr>
        <w:t>本修改表是对评标及定标办法</w:t>
      </w:r>
      <w:r>
        <w:rPr>
          <w:rFonts w:hint="eastAsia" w:ascii="宋体" w:hAnsi="宋体" w:eastAsia="宋体"/>
          <w:b/>
          <w:color w:val="auto"/>
          <w:sz w:val="24"/>
          <w:szCs w:val="21"/>
          <w:highlight w:val="none"/>
        </w:rPr>
        <w:t>通用条款的修改，与该通用条款不同之处，均在本表中列明，并以现文为准，原文不再有效。</w:t>
      </w:r>
    </w:p>
    <w:p w14:paraId="7672156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1"/>
          <w:highlight w:val="none"/>
        </w:rPr>
      </w:pPr>
      <w:r>
        <w:rPr>
          <w:rFonts w:hint="eastAsia" w:ascii="宋体" w:hAnsi="宋体"/>
          <w:color w:val="auto"/>
          <w:sz w:val="24"/>
          <w:szCs w:val="21"/>
          <w:highlight w:val="none"/>
        </w:rPr>
        <w:t>条款号：</w:t>
      </w:r>
      <w:r>
        <w:rPr>
          <w:rFonts w:hint="eastAsia" w:ascii="宋体" w:hAnsi="宋体"/>
          <w:color w:val="auto"/>
          <w:sz w:val="24"/>
          <w:szCs w:val="24"/>
          <w:highlight w:val="none"/>
        </w:rPr>
        <w:t>方法二：方法三：方法四：</w:t>
      </w:r>
      <w:r>
        <w:rPr>
          <w:rFonts w:hint="eastAsia" w:ascii="宋体" w:hAnsi="宋体"/>
          <w:color w:val="auto"/>
          <w:sz w:val="24"/>
          <w:szCs w:val="24"/>
          <w:highlight w:val="none"/>
          <w:lang w:val="en-US" w:eastAsia="zh-CN"/>
        </w:rPr>
        <w:t>方法五：方法六：</w:t>
      </w:r>
      <w:r>
        <w:rPr>
          <w:rFonts w:hint="eastAsia" w:ascii="宋体" w:hAnsi="宋体"/>
          <w:color w:val="auto"/>
          <w:sz w:val="24"/>
          <w:szCs w:val="21"/>
          <w:highlight w:val="none"/>
        </w:rPr>
        <w:t xml:space="preserve">    修改类型：</w:t>
      </w:r>
      <w:r>
        <w:rPr>
          <w:rFonts w:hint="eastAsia" w:ascii="宋体" w:hAnsi="宋体"/>
          <w:color w:val="auto"/>
          <w:sz w:val="24"/>
          <w:szCs w:val="24"/>
          <w:highlight w:val="none"/>
          <w:lang w:val="en-US" w:eastAsia="zh-CN"/>
        </w:rPr>
        <w:t>删除</w:t>
      </w:r>
    </w:p>
    <w:p w14:paraId="452EC7D6">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eastAsia="宋体"/>
          <w:strike/>
          <w:color w:val="auto"/>
          <w:sz w:val="24"/>
          <w:szCs w:val="24"/>
          <w:highlight w:val="none"/>
          <w:lang w:eastAsia="zh-CN"/>
        </w:rPr>
      </w:pPr>
      <w:r>
        <w:rPr>
          <w:rFonts w:hint="eastAsia" w:ascii="宋体" w:hAnsi="宋体"/>
          <w:b/>
          <w:color w:val="auto"/>
          <w:sz w:val="24"/>
          <w:szCs w:val="24"/>
          <w:highlight w:val="none"/>
        </w:rPr>
        <w:t>原文：</w:t>
      </w:r>
      <w:r>
        <w:rPr>
          <w:rFonts w:hint="eastAsia" w:ascii="宋体" w:hAnsi="宋体"/>
          <w:color w:val="auto"/>
          <w:sz w:val="24"/>
          <w:szCs w:val="24"/>
          <w:highlight w:val="none"/>
        </w:rPr>
        <w:t>方法二：综合评估法二</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需要编制技术文件</w:t>
      </w:r>
      <w:r>
        <w:rPr>
          <w:rFonts w:hint="eastAsia" w:ascii="宋体" w:hAnsi="宋体"/>
          <w:color w:val="auto"/>
          <w:sz w:val="24"/>
          <w:szCs w:val="24"/>
          <w:highlight w:val="none"/>
          <w:lang w:eastAsia="zh-CN"/>
        </w:rPr>
        <w:t>）</w:t>
      </w:r>
    </w:p>
    <w:p w14:paraId="2E50F0F9">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方法三：综合评估法三（不需要编制技术文件）</w:t>
      </w:r>
    </w:p>
    <w:p w14:paraId="48AC78FE">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方法四：经评审的最低投标价法</w:t>
      </w:r>
    </w:p>
    <w:p w14:paraId="51494FDF">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方法五：经评审的最低投标价法（二）</w:t>
      </w:r>
    </w:p>
    <w:p w14:paraId="695F5FF8">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方法六：两阶段评标法</w:t>
      </w:r>
    </w:p>
    <w:p w14:paraId="44BF9A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1"/>
          <w:highlight w:val="none"/>
        </w:rPr>
        <w:t>条款号：</w:t>
      </w:r>
      <w:r>
        <w:rPr>
          <w:rFonts w:hint="eastAsia" w:ascii="宋体" w:hAnsi="宋体"/>
          <w:color w:val="auto"/>
          <w:sz w:val="24"/>
          <w:szCs w:val="24"/>
          <w:highlight w:val="none"/>
        </w:rPr>
        <w:t>1. 评标方法</w:t>
      </w:r>
      <w:r>
        <w:rPr>
          <w:rFonts w:hint="eastAsia" w:ascii="宋体" w:hAnsi="宋体"/>
          <w:color w:val="auto"/>
          <w:sz w:val="24"/>
          <w:highlight w:val="none"/>
        </w:rPr>
        <w:t xml:space="preserve">                 </w:t>
      </w:r>
      <w:r>
        <w:rPr>
          <w:rFonts w:hint="eastAsia" w:ascii="宋体" w:hAnsi="宋体"/>
          <w:color w:val="auto"/>
          <w:sz w:val="24"/>
          <w:szCs w:val="21"/>
          <w:highlight w:val="none"/>
        </w:rPr>
        <w:t>修改类型：</w:t>
      </w:r>
      <w:r>
        <w:rPr>
          <w:rFonts w:hint="eastAsia" w:ascii="宋体" w:hAnsi="宋体"/>
          <w:color w:val="auto"/>
          <w:sz w:val="24"/>
          <w:szCs w:val="21"/>
          <w:highlight w:val="none"/>
          <w:lang w:val="en-US" w:eastAsia="zh-CN"/>
        </w:rPr>
        <w:t>修改</w:t>
      </w:r>
    </w:p>
    <w:p w14:paraId="1C6946A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或商务评审得分）较高的排前；如仍存在相同情况，则对具有相同情况的投标人，由评委通过记名投标表决（不得弃权），以“少数服从多数”的原则确定排序。（注：具体由招标人自行确定）</w:t>
      </w:r>
    </w:p>
    <w:p w14:paraId="27B92ED3">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2" w:firstLineChars="200"/>
        <w:textAlignment w:val="auto"/>
        <w:rPr>
          <w:rFonts w:hint="eastAsia" w:ascii="宋体" w:hAnsi="宋体"/>
          <w:color w:val="auto"/>
          <w:sz w:val="24"/>
          <w:szCs w:val="24"/>
          <w:highlight w:val="none"/>
        </w:rPr>
      </w:pPr>
      <w:r>
        <w:rPr>
          <w:rFonts w:hint="eastAsia" w:ascii="宋体" w:hAnsi="宋体"/>
          <w:b/>
          <w:color w:val="auto"/>
          <w:sz w:val="24"/>
          <w:szCs w:val="24"/>
          <w:highlight w:val="none"/>
          <w:lang w:val="en-US" w:eastAsia="zh-CN"/>
        </w:rPr>
        <w:t>现</w:t>
      </w:r>
      <w:r>
        <w:rPr>
          <w:rFonts w:hint="eastAsia" w:ascii="宋体" w:hAnsi="宋体"/>
          <w:b/>
          <w:color w:val="auto"/>
          <w:sz w:val="24"/>
          <w:szCs w:val="24"/>
          <w:highlight w:val="none"/>
        </w:rPr>
        <w:t>文：</w:t>
      </w:r>
      <w:r>
        <w:rPr>
          <w:rFonts w:hint="eastAsia" w:ascii="宋体" w:hAnsi="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较高的排前；如仍存在相同情况，则对具有相同情况的投标人，由评委通过记名投标表决（不得弃权），以“少数服从多数”的原则确定排序。</w:t>
      </w:r>
    </w:p>
    <w:p w14:paraId="34E3CE3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olor w:val="auto"/>
          <w:sz w:val="24"/>
          <w:highlight w:val="none"/>
        </w:rPr>
      </w:pPr>
      <w:r>
        <w:rPr>
          <w:rFonts w:hint="eastAsia" w:ascii="宋体" w:hAnsi="宋体"/>
          <w:color w:val="auto"/>
          <w:sz w:val="24"/>
          <w:szCs w:val="21"/>
          <w:highlight w:val="none"/>
        </w:rPr>
        <w:t>条款号：</w:t>
      </w:r>
      <w:r>
        <w:rPr>
          <w:rFonts w:hint="eastAsia" w:ascii="宋体" w:hAnsi="宋体"/>
          <w:color w:val="auto"/>
          <w:sz w:val="24"/>
          <w:highlight w:val="none"/>
        </w:rPr>
        <w:t>2.2.</w:t>
      </w:r>
      <w:r>
        <w:rPr>
          <w:rFonts w:ascii="宋体" w:hAnsi="宋体"/>
          <w:color w:val="auto"/>
          <w:sz w:val="24"/>
          <w:highlight w:val="none"/>
        </w:rPr>
        <w:t>3</w:t>
      </w:r>
      <w:r>
        <w:rPr>
          <w:rFonts w:hint="eastAsia" w:ascii="宋体" w:hAnsi="宋体"/>
          <w:color w:val="auto"/>
          <w:sz w:val="24"/>
          <w:highlight w:val="none"/>
        </w:rPr>
        <w:t xml:space="preserve"> 评标基准价计算                 </w:t>
      </w:r>
      <w:r>
        <w:rPr>
          <w:rFonts w:hint="eastAsia" w:ascii="宋体" w:hAnsi="宋体"/>
          <w:color w:val="auto"/>
          <w:sz w:val="24"/>
          <w:szCs w:val="21"/>
          <w:highlight w:val="none"/>
        </w:rPr>
        <w:t>修改类型：</w:t>
      </w:r>
      <w:r>
        <w:rPr>
          <w:rFonts w:hint="eastAsia" w:ascii="宋体" w:hAnsi="宋体"/>
          <w:color w:val="auto"/>
          <w:sz w:val="24"/>
          <w:szCs w:val="21"/>
          <w:highlight w:val="none"/>
          <w:lang w:val="en-US" w:eastAsia="zh-CN"/>
        </w:rPr>
        <w:t>修改</w:t>
      </w:r>
    </w:p>
    <w:p w14:paraId="77AE93CF">
      <w:pPr>
        <w:spacing w:line="360" w:lineRule="auto"/>
        <w:ind w:firstLine="482" w:firstLineChars="200"/>
        <w:rPr>
          <w:rFonts w:ascii="宋体" w:hAnsi="宋体"/>
          <w:color w:val="auto"/>
          <w:sz w:val="24"/>
          <w:highlight w:val="none"/>
        </w:rPr>
      </w:pPr>
      <w:r>
        <w:rPr>
          <w:rFonts w:hint="eastAsia" w:ascii="宋体" w:hAnsi="宋体"/>
          <w:b/>
          <w:bCs/>
          <w:color w:val="auto"/>
          <w:sz w:val="24"/>
          <w:szCs w:val="24"/>
          <w:highlight w:val="none"/>
          <w:lang w:val="en-US" w:eastAsia="zh-CN"/>
        </w:rPr>
        <w:t>原文：</w:t>
      </w:r>
      <w:r>
        <w:rPr>
          <w:rFonts w:hint="eastAsia" w:ascii="宋体" w:hAnsi="宋体"/>
          <w:color w:val="auto"/>
          <w:sz w:val="24"/>
          <w:highlight w:val="none"/>
        </w:rPr>
        <w:t>评标基准价计算</w:t>
      </w:r>
    </w:p>
    <w:p w14:paraId="5F43A25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评标基准价可按以下方式确定：</w:t>
      </w:r>
      <w:r>
        <w:rPr>
          <w:rFonts w:hint="eastAsia" w:ascii="宋体" w:hAnsi="宋体"/>
          <w:b/>
          <w:color w:val="auto"/>
          <w:sz w:val="24"/>
          <w:szCs w:val="24"/>
          <w:highlight w:val="none"/>
        </w:rPr>
        <w:t>（</w:t>
      </w:r>
      <w:r>
        <w:rPr>
          <w:rFonts w:hint="eastAsia" w:ascii="宋体" w:hAnsi="宋体"/>
          <w:b/>
          <w:i/>
          <w:iCs/>
          <w:color w:val="auto"/>
          <w:sz w:val="24"/>
          <w:szCs w:val="24"/>
          <w:highlight w:val="none"/>
        </w:rPr>
        <w:t>注：招标人自行选择，</w:t>
      </w:r>
      <w:r>
        <w:rPr>
          <w:rFonts w:hint="eastAsia" w:ascii="宋体" w:hAnsi="宋体"/>
          <w:b/>
          <w:i/>
          <w:iCs/>
          <w:color w:val="auto"/>
          <w:sz w:val="24"/>
          <w:szCs w:val="24"/>
          <w:highlight w:val="none"/>
          <w:lang w:eastAsia="zh-CN"/>
        </w:rPr>
        <w:t>五</w:t>
      </w:r>
      <w:r>
        <w:rPr>
          <w:rFonts w:hint="eastAsia" w:ascii="宋体" w:hAnsi="宋体"/>
          <w:b/>
          <w:i/>
          <w:iCs/>
          <w:color w:val="auto"/>
          <w:sz w:val="24"/>
          <w:szCs w:val="24"/>
          <w:highlight w:val="none"/>
        </w:rPr>
        <w:t>选一</w:t>
      </w:r>
      <w:r>
        <w:rPr>
          <w:rFonts w:hint="eastAsia" w:ascii="宋体" w:hAnsi="宋体"/>
          <w:b/>
          <w:color w:val="auto"/>
          <w:sz w:val="24"/>
          <w:szCs w:val="24"/>
          <w:highlight w:val="none"/>
        </w:rPr>
        <w:t>）</w:t>
      </w:r>
    </w:p>
    <w:p w14:paraId="49C58457">
      <w:pPr>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rPr>
        <w:t>可选方式一</w:t>
      </w:r>
      <w:r>
        <w:rPr>
          <w:rFonts w:hint="eastAsia" w:ascii="宋体" w:hAnsi="宋体"/>
          <w:color w:val="auto"/>
          <w:sz w:val="24"/>
          <w:szCs w:val="24"/>
          <w:highlight w:val="none"/>
        </w:rPr>
        <w:t>：以全部或随机抽取的有效投标报价的算术平均值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随机抽取的评标基准价下浮率（2～5%，0.5一个级别）下浮作为评标基准价。具体确定方法如下：</w:t>
      </w:r>
    </w:p>
    <w:p w14:paraId="7ACFC67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a</w:t>
      </w:r>
      <w:r>
        <w:rPr>
          <w:rFonts w:hint="eastAsia" w:ascii="宋体" w:hAnsi="宋体"/>
          <w:color w:val="auto"/>
          <w:sz w:val="24"/>
          <w:szCs w:val="24"/>
          <w:highlight w:val="none"/>
        </w:rPr>
        <w:t>、当有效投标报价的投标人少于或等于5个时，取全部有效投标报价的算术平均</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74C8F22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b</w:t>
      </w:r>
      <w:r>
        <w:rPr>
          <w:rFonts w:hint="eastAsia" w:ascii="宋体" w:hAnsi="宋体"/>
          <w:color w:val="auto"/>
          <w:sz w:val="24"/>
          <w:szCs w:val="24"/>
          <w:highlight w:val="none"/>
        </w:rPr>
        <w:t>、当有效投标报价的投标人为6至10个时，从全部有效投标报价中去掉一个最大值和最小值，其他有效投标报价的算术平均值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7AD30EC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c</w:t>
      </w:r>
      <w:r>
        <w:rPr>
          <w:rFonts w:hint="eastAsia" w:ascii="宋体" w:hAnsi="宋体"/>
          <w:color w:val="auto"/>
          <w:sz w:val="24"/>
          <w:szCs w:val="24"/>
          <w:highlight w:val="none"/>
        </w:rPr>
        <w:t>、当有效投标报价的投标人大于10个时，随机抽取10个有效投标报价并从中去掉一个最大值和最小值后计算算术平均值，该平均值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38877D75">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可选方式二：</w:t>
      </w:r>
      <w:r>
        <w:rPr>
          <w:rFonts w:hint="eastAsia" w:ascii="宋体" w:hAnsi="宋体" w:eastAsia="宋体" w:cs="宋体"/>
          <w:color w:val="auto"/>
          <w:sz w:val="24"/>
          <w:szCs w:val="24"/>
          <w:highlight w:val="none"/>
        </w:rPr>
        <w:t>以有效投标报价的算术平均值按随机抽取的评标基准价下浮率（2～5%，0.5一个级别）下浮作为评标基准价。</w:t>
      </w:r>
    </w:p>
    <w:p w14:paraId="15FFB2D5">
      <w:pPr>
        <w:spacing w:line="360" w:lineRule="auto"/>
        <w:ind w:firstLine="482" w:firstLineChars="200"/>
        <w:rPr>
          <w:rFonts w:hint="eastAsia" w:ascii="宋体" w:hAnsi="宋体" w:eastAsia="宋体"/>
          <w:color w:val="auto"/>
          <w:sz w:val="24"/>
          <w:szCs w:val="24"/>
          <w:highlight w:val="none"/>
          <w:lang w:eastAsia="zh-CN"/>
        </w:rPr>
      </w:pPr>
      <w:r>
        <w:rPr>
          <w:rFonts w:hint="eastAsia" w:ascii="宋体" w:hAnsi="宋体"/>
          <w:b/>
          <w:color w:val="auto"/>
          <w:sz w:val="24"/>
          <w:szCs w:val="24"/>
          <w:highlight w:val="none"/>
        </w:rPr>
        <w:t>可选方式</w:t>
      </w:r>
      <w:r>
        <w:rPr>
          <w:rFonts w:hint="eastAsia" w:ascii="宋体" w:hAnsi="宋体"/>
          <w:b/>
          <w:color w:val="auto"/>
          <w:sz w:val="24"/>
          <w:szCs w:val="24"/>
          <w:highlight w:val="none"/>
          <w:lang w:eastAsia="zh-CN"/>
        </w:rPr>
        <w:t>三</w:t>
      </w:r>
      <w:r>
        <w:rPr>
          <w:rFonts w:hint="eastAsia" w:ascii="宋体" w:hAnsi="宋体"/>
          <w:color w:val="auto"/>
          <w:sz w:val="24"/>
          <w:szCs w:val="24"/>
          <w:highlight w:val="none"/>
        </w:rPr>
        <w:t>：以有效投标报价</w:t>
      </w:r>
      <w:r>
        <w:rPr>
          <w:rFonts w:hint="eastAsia" w:ascii="宋体" w:hAnsi="宋体"/>
          <w:color w:val="auto"/>
          <w:sz w:val="24"/>
          <w:szCs w:val="24"/>
          <w:highlight w:val="none"/>
          <w:lang w:eastAsia="zh-CN"/>
        </w:rPr>
        <w:t>其中的最低投标报价作为评标基准价。</w:t>
      </w:r>
    </w:p>
    <w:p w14:paraId="41E5D278">
      <w:pPr>
        <w:spacing w:line="360" w:lineRule="auto"/>
        <w:ind w:firstLine="482" w:firstLineChars="200"/>
        <w:rPr>
          <w:rFonts w:hint="eastAsia" w:ascii="宋体" w:hAnsi="宋体" w:eastAsia="宋体" w:cs="Times New Roman"/>
          <w:color w:val="auto"/>
          <w:sz w:val="24"/>
          <w:szCs w:val="24"/>
          <w:highlight w:val="none"/>
          <w:lang w:eastAsia="zh-CN"/>
        </w:rPr>
      </w:pPr>
      <w:r>
        <w:rPr>
          <w:rFonts w:hint="eastAsia" w:ascii="宋体" w:hAnsi="宋体"/>
          <w:b/>
          <w:color w:val="auto"/>
          <w:sz w:val="24"/>
          <w:szCs w:val="24"/>
          <w:highlight w:val="none"/>
        </w:rPr>
        <w:t>可选方式</w:t>
      </w:r>
      <w:r>
        <w:rPr>
          <w:rFonts w:hint="eastAsia" w:ascii="宋体" w:hAnsi="宋体"/>
          <w:b/>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eastAsia="宋体" w:cs="Times New Roman"/>
          <w:color w:val="auto"/>
          <w:sz w:val="24"/>
          <w:szCs w:val="24"/>
          <w:highlight w:val="none"/>
          <w:lang w:eastAsia="zh-CN"/>
        </w:rPr>
        <w:t>将技术评审或技术评审加诚信得分（具体由招标人自定）排序。</w:t>
      </w:r>
    </w:p>
    <w:p w14:paraId="2B1BCB2B">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a、当有效投标报价的投标人少于或等于7个时，取全部有效投标报价的算术平均按随机抽取的评标基准价下浮率（2～5%，0.5一个级别）下浮作为评标基准价。</w:t>
      </w:r>
    </w:p>
    <w:p w14:paraId="522D1447">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b、当有效投标报价的投标人大于7个小于10个时，从全部有效投标报价中去掉一个最大值和最小值，其他有效投标报价的算术平均值按随机抽取的评标基准价下浮率（2～5%，0.5一个级别）下浮作为评标基准价。</w:t>
      </w:r>
    </w:p>
    <w:p w14:paraId="10C1939C">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14:paraId="72D02CEA">
      <w:pPr>
        <w:pStyle w:val="22"/>
        <w:rPr>
          <w:rFonts w:hint="eastAsia" w:ascii="Times New Roman" w:hAnsi="Times New Roman" w:eastAsia="Times New Roman" w:cs="Times New Roman"/>
          <w:color w:val="auto"/>
          <w:highlight w:val="none"/>
          <w:lang w:val="en-US" w:eastAsia="zh-CN"/>
        </w:rPr>
      </w:pPr>
      <w:r>
        <w:rPr>
          <w:rFonts w:hint="eastAsia" w:ascii="宋体" w:hAnsi="宋体" w:eastAsia="宋体" w:cs="Times New Roman"/>
          <w:color w:val="auto"/>
          <w:sz w:val="24"/>
          <w:szCs w:val="24"/>
          <w:highlight w:val="none"/>
          <w:lang w:eastAsia="zh-CN"/>
        </w:rPr>
        <w:t>技术评审或技术评审加诚信得分相同的，以诚信得分靠前的排前；技术评审得分与诚信得分均相同的投标人，由评标委员会采用记名投票方式，确定投标人的排序（具体由招标人自定）。</w:t>
      </w:r>
    </w:p>
    <w:p w14:paraId="7CE68DB4">
      <w:pPr>
        <w:spacing w:line="360" w:lineRule="auto"/>
        <w:ind w:firstLine="482" w:firstLineChars="200"/>
        <w:rPr>
          <w:rFonts w:hint="eastAsia" w:ascii="宋体" w:hAnsi="宋体"/>
          <w:color w:val="auto"/>
          <w:sz w:val="24"/>
          <w:szCs w:val="24"/>
          <w:highlight w:val="none"/>
          <w:lang w:eastAsia="zh-CN"/>
        </w:rPr>
      </w:pPr>
      <w:r>
        <w:rPr>
          <w:rFonts w:hint="eastAsia" w:ascii="宋体" w:hAnsi="宋体"/>
          <w:b/>
          <w:color w:val="auto"/>
          <w:sz w:val="24"/>
          <w:szCs w:val="24"/>
          <w:highlight w:val="none"/>
        </w:rPr>
        <w:t>可选方式</w:t>
      </w:r>
      <w:r>
        <w:rPr>
          <w:rFonts w:hint="eastAsia" w:ascii="宋体" w:hAnsi="宋体"/>
          <w:b/>
          <w:color w:val="auto"/>
          <w:sz w:val="24"/>
          <w:szCs w:val="24"/>
          <w:highlight w:val="none"/>
          <w:lang w:eastAsia="zh-CN"/>
        </w:rPr>
        <w:t>五</w:t>
      </w:r>
      <w:r>
        <w:rPr>
          <w:rFonts w:hint="eastAsia" w:ascii="宋体" w:hAnsi="宋体"/>
          <w:color w:val="auto"/>
          <w:sz w:val="24"/>
          <w:szCs w:val="24"/>
          <w:highlight w:val="none"/>
        </w:rPr>
        <w:t>：</w:t>
      </w:r>
      <w:r>
        <w:rPr>
          <w:rFonts w:hint="eastAsia" w:ascii="宋体" w:hAnsi="宋体"/>
          <w:color w:val="auto"/>
          <w:sz w:val="24"/>
          <w:szCs w:val="24"/>
          <w:highlight w:val="none"/>
          <w:lang w:eastAsia="zh-CN"/>
        </w:rPr>
        <w:t>将技术评审或技术评审加诚信得分（具体由招标人自定）排序。</w:t>
      </w:r>
    </w:p>
    <w:p w14:paraId="26193714">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a、当有效投标报价的投标人少于或等于7个时，取全部有效投标报价的加权平均按随机抽取的评标基准价下浮率（0～3%，0.5一个级别）下浮作为评标基准价。</w:t>
      </w:r>
    </w:p>
    <w:p w14:paraId="4072D223">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b、当有效投标报价的投标人大于7个小于10个时，从全部有效投标报价中去掉一个最大值和最小值，其他有效投标报价的加权平均值按随机抽取的评标基准价下浮率（0～3%，0.5一个级别）下浮作为评标基准价。</w:t>
      </w:r>
    </w:p>
    <w:p w14:paraId="4A0F0FCC">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14:paraId="3EB40ABC">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按上述办法确定参与计算评标参考价的投标报价后，计算评标参考价计算公式如下：</w:t>
      </w:r>
    </w:p>
    <w:p w14:paraId="2F42BB7D">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评标参考价＝∑（投标人的投标报价*报价权重）</w:t>
      </w:r>
    </w:p>
    <w:p w14:paraId="78B3E967">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其中：报价权重的计算方法为：将 N 名投标人按技术评审或技术评审加诚信得分由高至低进行排序，第一名投标人的权重为（</w:t>
      </w: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INCLUDEPICTURE \d "D:\\360MoveData\\Users\\Administrator\\Documents\\Tencent Files\\1209116318\\Image\\C2C\\7YB3]B%W8D6YG0]{K_5T85P.JPG" \* MERGEFORMATINET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drawing>
          <wp:inline distT="0" distB="0" distL="114300" distR="114300">
            <wp:extent cx="381000" cy="447675"/>
            <wp:effectExtent l="0" t="0" r="0"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2"/>
                    <a:stretch>
                      <a:fillRect/>
                    </a:stretch>
                  </pic:blipFill>
                  <pic:spPr>
                    <a:xfrm>
                      <a:off x="0" y="0"/>
                      <a:ext cx="381000" cy="447675"/>
                    </a:xfrm>
                    <a:prstGeom prst="rect">
                      <a:avLst/>
                    </a:prstGeom>
                    <a:noFill/>
                    <a:ln>
                      <a:noFill/>
                    </a:ln>
                  </pic:spPr>
                </pic:pic>
              </a:graphicData>
            </a:graphic>
          </wp:inline>
        </w:drawing>
      </w:r>
      <w:r>
        <w:rPr>
          <w:rFonts w:ascii="宋体" w:hAnsi="宋体" w:eastAsia="宋体" w:cs="宋体"/>
          <w:color w:val="auto"/>
          <w:sz w:val="24"/>
          <w:szCs w:val="24"/>
          <w:highlight w:val="none"/>
        </w:rPr>
        <w:fldChar w:fldCharType="end"/>
      </w:r>
      <w:r>
        <w:rPr>
          <w:rFonts w:hint="eastAsia" w:ascii="宋体" w:hAnsi="宋体"/>
          <w:color w:val="auto"/>
          <w:sz w:val="24"/>
          <w:szCs w:val="24"/>
          <w:highlight w:val="none"/>
          <w:lang w:eastAsia="zh-CN"/>
        </w:rPr>
        <w:t xml:space="preserve"> ），第二名投标人的权重为（</w:t>
      </w: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INCLUDEPICTURE \d "D:\\360MoveData\\Users\\Administrator\\Documents\\Tencent Files\\1209116318\\Image\\C2C\\5$T9V[[~ZO4B%PW4GYKQ1EC.JPG" \* MERGEFORMATINET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drawing>
          <wp:inline distT="0" distB="0" distL="114300" distR="114300">
            <wp:extent cx="323850" cy="400050"/>
            <wp:effectExtent l="0" t="0" r="0" b="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3"/>
                    <a:stretch>
                      <a:fillRect/>
                    </a:stretch>
                  </pic:blipFill>
                  <pic:spPr>
                    <a:xfrm>
                      <a:off x="0" y="0"/>
                      <a:ext cx="323850" cy="400050"/>
                    </a:xfrm>
                    <a:prstGeom prst="rect">
                      <a:avLst/>
                    </a:prstGeom>
                    <a:noFill/>
                    <a:ln>
                      <a:noFill/>
                    </a:ln>
                  </pic:spPr>
                </pic:pic>
              </a:graphicData>
            </a:graphic>
          </wp:inline>
        </w:drawing>
      </w:r>
      <w:r>
        <w:rPr>
          <w:rFonts w:ascii="宋体" w:hAnsi="宋体" w:eastAsia="宋体" w:cs="宋体"/>
          <w:color w:val="auto"/>
          <w:sz w:val="24"/>
          <w:szCs w:val="24"/>
          <w:highlight w:val="none"/>
        </w:rPr>
        <w:fldChar w:fldCharType="end"/>
      </w:r>
      <w:r>
        <w:rPr>
          <w:rFonts w:hint="eastAsia" w:ascii="宋体" w:hAnsi="宋体"/>
          <w:color w:val="auto"/>
          <w:sz w:val="24"/>
          <w:szCs w:val="24"/>
          <w:highlight w:val="none"/>
          <w:lang w:eastAsia="zh-CN"/>
        </w:rPr>
        <w:t>），以此类推，最后一名投标人的权重为（</w:t>
      </w: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INCLUDEPICTURE \d "D:\\360MoveData\\Users\\Administrator\\Documents\\Tencent Files\\1209116318\\Image\\C2C\\JZ0C2UWN56PMWGC6_%MAG@M.JPG" \* MERGEFORMATINET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drawing>
          <wp:inline distT="0" distB="0" distL="114300" distR="114300">
            <wp:extent cx="323850" cy="400050"/>
            <wp:effectExtent l="0" t="0" r="0"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4"/>
                    <a:stretch>
                      <a:fillRect/>
                    </a:stretch>
                  </pic:blipFill>
                  <pic:spPr>
                    <a:xfrm>
                      <a:off x="0" y="0"/>
                      <a:ext cx="323850" cy="400050"/>
                    </a:xfrm>
                    <a:prstGeom prst="rect">
                      <a:avLst/>
                    </a:prstGeom>
                    <a:noFill/>
                    <a:ln>
                      <a:noFill/>
                    </a:ln>
                  </pic:spPr>
                </pic:pic>
              </a:graphicData>
            </a:graphic>
          </wp:inline>
        </w:drawing>
      </w:r>
      <w:r>
        <w:rPr>
          <w:rFonts w:ascii="宋体" w:hAnsi="宋体" w:eastAsia="宋体" w:cs="宋体"/>
          <w:color w:val="auto"/>
          <w:sz w:val="24"/>
          <w:szCs w:val="24"/>
          <w:highlight w:val="none"/>
        </w:rPr>
        <w:fldChar w:fldCharType="end"/>
      </w:r>
      <w:r>
        <w:rPr>
          <w:rFonts w:hint="eastAsia" w:ascii="宋体" w:hAnsi="宋体"/>
          <w:color w:val="auto"/>
          <w:sz w:val="24"/>
          <w:szCs w:val="24"/>
          <w:highlight w:val="none"/>
          <w:lang w:eastAsia="zh-CN"/>
        </w:rPr>
        <w:t>）。</w:t>
      </w:r>
    </w:p>
    <w:p w14:paraId="085E84A7">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技术评审或技术评审加诚信得分相同的，以诚信得分靠前的排前；技术评审得分与诚信得分均相同的投标人，由评标委员会采用记名投票方式，确定投标人的排序（具体由招标人自定）。</w:t>
      </w:r>
    </w:p>
    <w:p w14:paraId="15B3AB34">
      <w:pPr>
        <w:spacing w:line="360" w:lineRule="auto"/>
        <w:ind w:firstLine="482" w:firstLineChars="200"/>
        <w:rPr>
          <w:rFonts w:hint="eastAsia" w:ascii="宋体" w:hAnsi="宋体"/>
          <w:color w:val="auto"/>
          <w:sz w:val="24"/>
          <w:highlight w:val="none"/>
        </w:rPr>
      </w:pPr>
      <w:r>
        <w:rPr>
          <w:rFonts w:hint="eastAsia" w:ascii="宋体" w:hAnsi="宋体"/>
          <w:b/>
          <w:color w:val="auto"/>
          <w:sz w:val="24"/>
          <w:szCs w:val="24"/>
          <w:highlight w:val="none"/>
        </w:rPr>
        <w:t>可选方式</w:t>
      </w:r>
      <w:r>
        <w:rPr>
          <w:rFonts w:hint="eastAsia" w:ascii="宋体" w:hAnsi="宋体"/>
          <w:b/>
          <w:color w:val="auto"/>
          <w:sz w:val="24"/>
          <w:szCs w:val="24"/>
          <w:highlight w:val="none"/>
          <w:lang w:val="en-US" w:eastAsia="zh-CN"/>
        </w:rPr>
        <w:t>六</w:t>
      </w:r>
      <w:r>
        <w:rPr>
          <w:rFonts w:hint="eastAsia"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由招标人依据相关法律法规合理确定</w:t>
      </w:r>
      <w:r>
        <w:rPr>
          <w:rFonts w:hint="eastAsia" w:ascii="宋体" w:hAnsi="宋体"/>
          <w:color w:val="auto"/>
          <w:sz w:val="24"/>
          <w:szCs w:val="24"/>
          <w:highlight w:val="none"/>
          <w:lang w:eastAsia="zh-CN"/>
        </w:rPr>
        <w:t>）。</w:t>
      </w:r>
    </w:p>
    <w:p w14:paraId="7284301D">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color w:val="auto"/>
          <w:sz w:val="24"/>
          <w:szCs w:val="24"/>
          <w:highlight w:val="none"/>
        </w:rPr>
      </w:pPr>
      <w:r>
        <w:rPr>
          <w:rFonts w:hint="eastAsia" w:ascii="宋体" w:hAnsi="宋体" w:cs="宋体"/>
          <w:color w:val="auto"/>
          <w:sz w:val="24"/>
          <w:szCs w:val="24"/>
          <w:highlight w:val="none"/>
        </w:rPr>
        <w:t>在首次评标过程中，投标人未被发现存在串通投标、弄虚作假、行贿等情形</w:t>
      </w:r>
      <w:r>
        <w:rPr>
          <w:rFonts w:hint="eastAsia" w:ascii="宋体" w:hAnsi="宋体" w:eastAsia="宋体" w:cs="宋体"/>
          <w:color w:val="auto"/>
          <w:sz w:val="24"/>
          <w:szCs w:val="24"/>
          <w:highlight w:val="none"/>
        </w:rPr>
        <w:t>的，无论是否重评，经确定的评标基准价不变。</w:t>
      </w:r>
    </w:p>
    <w:p w14:paraId="35D90B94">
      <w:pPr>
        <w:adjustRightInd w:val="0"/>
        <w:snapToGrid w:val="0"/>
        <w:spacing w:line="360" w:lineRule="auto"/>
        <w:ind w:firstLine="482" w:firstLineChars="200"/>
        <w:jc w:val="left"/>
        <w:rPr>
          <w:rFonts w:hint="eastAsia" w:ascii="宋体" w:hAnsi="宋体" w:eastAsia="宋体" w:cs="宋体"/>
          <w:color w:val="auto"/>
          <w:sz w:val="24"/>
          <w:szCs w:val="24"/>
          <w:highlight w:val="none"/>
          <w:lang w:val="zh-CN"/>
        </w:rPr>
      </w:pPr>
      <w:r>
        <w:rPr>
          <w:rFonts w:hint="eastAsia" w:ascii="宋体" w:hAnsi="宋体"/>
          <w:b/>
          <w:bCs/>
          <w:color w:val="auto"/>
          <w:sz w:val="24"/>
          <w:szCs w:val="24"/>
          <w:highlight w:val="none"/>
          <w:lang w:val="en-US" w:eastAsia="zh-CN"/>
        </w:rPr>
        <w:t>现文：</w:t>
      </w:r>
      <w:r>
        <w:rPr>
          <w:rFonts w:hint="eastAsia" w:ascii="宋体" w:hAnsi="宋体" w:eastAsia="宋体" w:cs="宋体"/>
          <w:color w:val="auto"/>
          <w:kern w:val="0"/>
          <w:sz w:val="24"/>
          <w:szCs w:val="24"/>
          <w:highlight w:val="none"/>
        </w:rPr>
        <w:t>将技术评审得分</w:t>
      </w:r>
      <w:r>
        <w:rPr>
          <w:rFonts w:hint="eastAsia" w:ascii="宋体" w:hAnsi="宋体" w:eastAsia="宋体" w:cs="宋体"/>
          <w:color w:val="auto"/>
          <w:kern w:val="0"/>
          <w:sz w:val="24"/>
          <w:szCs w:val="24"/>
          <w:highlight w:val="none"/>
          <w:lang w:val="en-US" w:eastAsia="zh-CN"/>
        </w:rPr>
        <w:t>的前N名</w:t>
      </w:r>
      <w:r>
        <w:rPr>
          <w:rFonts w:hint="eastAsia" w:ascii="宋体" w:hAnsi="宋体" w:eastAsia="宋体" w:cs="宋体"/>
          <w:color w:val="auto"/>
          <w:kern w:val="0"/>
          <w:sz w:val="24"/>
          <w:szCs w:val="24"/>
          <w:highlight w:val="none"/>
        </w:rPr>
        <w:t>排序</w:t>
      </w:r>
      <w:r>
        <w:rPr>
          <w:rFonts w:hint="eastAsia" w:ascii="宋体" w:hAnsi="宋体" w:eastAsia="宋体" w:cs="宋体"/>
          <w:color w:val="auto"/>
          <w:sz w:val="24"/>
          <w:szCs w:val="24"/>
          <w:highlight w:val="none"/>
          <w:lang w:val="zh-CN"/>
        </w:rPr>
        <w:t>（若</w:t>
      </w:r>
      <w:r>
        <w:rPr>
          <w:rFonts w:hint="eastAsia" w:ascii="宋体" w:hAnsi="宋体" w:eastAsia="宋体" w:cs="宋体"/>
          <w:color w:val="auto"/>
          <w:kern w:val="0"/>
          <w:sz w:val="24"/>
          <w:szCs w:val="24"/>
          <w:highlight w:val="none"/>
          <w:lang w:eastAsia="zh-CN"/>
        </w:rPr>
        <w:t>技术评审得分相同的，由评标委员会采用记名投票方式，确定投标人的排序。</w:t>
      </w:r>
      <w:r>
        <w:rPr>
          <w:rFonts w:hint="eastAsia" w:ascii="宋体" w:hAnsi="宋体" w:eastAsia="宋体" w:cs="宋体"/>
          <w:color w:val="auto"/>
          <w:sz w:val="24"/>
          <w:szCs w:val="24"/>
          <w:highlight w:val="none"/>
          <w:lang w:val="zh-CN"/>
        </w:rPr>
        <w:t>）</w:t>
      </w:r>
    </w:p>
    <w:p w14:paraId="066249EA">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、当有效投标报价的投标人少于或等于7个时，取全部有效投标报价的算术平均按随机抽取的评标基准价下浮率（2～5%，0.5一个级别）下浮作为评标基准价。</w:t>
      </w:r>
    </w:p>
    <w:p w14:paraId="2A104B3C">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、当有效投标报价的投标人大于7个小于10个时，从全部有效投标报价中去掉一个最大值和最小值，其他有效投标报价的算术平均值按随机抽取的评标基准价下浮率（2～5%，0.5一个级别）下浮作为评标基准价。</w:t>
      </w:r>
    </w:p>
    <w:p w14:paraId="4678089F">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b w:val="0"/>
          <w:bCs w:val="0"/>
          <w:color w:val="auto"/>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、当有效投标报价的投标人数量大于或等于10时，随机从前</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名抽取</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个有效投标报价并从中去掉一个最大值和最小值后计算算术平均值，该平均值按随机抽取的评标基准价下浮率（2～5%，0.5一个级别）下浮作为评标基准价。</w:t>
      </w:r>
    </w:p>
    <w:p w14:paraId="55F46D8F">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olor w:val="auto"/>
          <w:sz w:val="24"/>
          <w:szCs w:val="24"/>
          <w:highlight w:val="none"/>
          <w:lang w:val="en-US" w:eastAsia="zh-CN"/>
        </w:rPr>
      </w:pPr>
      <w:r>
        <w:rPr>
          <w:rFonts w:hint="eastAsia" w:ascii="宋体" w:hAnsi="宋体" w:cs="宋体"/>
          <w:color w:val="auto"/>
          <w:sz w:val="24"/>
          <w:szCs w:val="24"/>
          <w:highlight w:val="none"/>
        </w:rPr>
        <w:t>在首次评标过程中，投标人未被发现存在串通投标、弄虚作假、行贿等情形</w:t>
      </w:r>
      <w:r>
        <w:rPr>
          <w:rFonts w:hint="eastAsia" w:ascii="宋体" w:hAnsi="宋体" w:eastAsia="宋体" w:cs="宋体"/>
          <w:color w:val="auto"/>
          <w:sz w:val="24"/>
          <w:szCs w:val="24"/>
          <w:highlight w:val="none"/>
        </w:rPr>
        <w:t>的，无论是否重评，经确定的评标基准价不变。</w:t>
      </w:r>
    </w:p>
    <w:p w14:paraId="08F4F2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1"/>
          <w:highlight w:val="none"/>
        </w:rPr>
        <w:t>条款号：</w:t>
      </w:r>
      <w:r>
        <w:rPr>
          <w:rFonts w:ascii="宋体" w:hAnsi="宋体"/>
          <w:color w:val="auto"/>
          <w:sz w:val="24"/>
          <w:szCs w:val="24"/>
          <w:highlight w:val="none"/>
        </w:rPr>
        <w:t>3.</w:t>
      </w:r>
      <w:r>
        <w:rPr>
          <w:rFonts w:hint="eastAsia" w:ascii="宋体" w:hAnsi="宋体"/>
          <w:color w:val="auto"/>
          <w:sz w:val="24"/>
          <w:szCs w:val="24"/>
          <w:highlight w:val="none"/>
          <w:lang w:val="en-US" w:eastAsia="zh-CN"/>
        </w:rPr>
        <w:t>2</w:t>
      </w:r>
      <w:r>
        <w:rPr>
          <w:rFonts w:ascii="宋体" w:hAnsi="宋体"/>
          <w:color w:val="auto"/>
          <w:sz w:val="24"/>
          <w:szCs w:val="24"/>
          <w:highlight w:val="none"/>
        </w:rPr>
        <w:t>.</w:t>
      </w:r>
      <w:r>
        <w:rPr>
          <w:rFonts w:hint="eastAsia" w:ascii="宋体" w:hAnsi="宋体"/>
          <w:color w:val="auto"/>
          <w:sz w:val="24"/>
          <w:szCs w:val="24"/>
          <w:highlight w:val="none"/>
          <w:lang w:val="en-US" w:eastAsia="zh-CN"/>
        </w:rPr>
        <w:t>1（1）</w:t>
      </w:r>
      <w:r>
        <w:rPr>
          <w:rFonts w:ascii="宋体" w:hAnsi="宋体"/>
          <w:color w:val="auto"/>
          <w:sz w:val="24"/>
          <w:szCs w:val="24"/>
          <w:highlight w:val="none"/>
        </w:rPr>
        <w:t xml:space="preserve">                         </w:t>
      </w:r>
      <w:r>
        <w:rPr>
          <w:rFonts w:hint="eastAsia" w:ascii="宋体" w:hAnsi="宋体"/>
          <w:color w:val="auto"/>
          <w:sz w:val="24"/>
          <w:szCs w:val="24"/>
          <w:highlight w:val="none"/>
        </w:rPr>
        <w:t>修改类型：修改</w:t>
      </w:r>
    </w:p>
    <w:p w14:paraId="1CAF0F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olor w:val="auto"/>
          <w:sz w:val="24"/>
          <w:szCs w:val="24"/>
          <w:highlight w:val="none"/>
          <w:lang w:val="en-US" w:eastAsia="zh-CN"/>
        </w:rPr>
      </w:pPr>
      <w:r>
        <w:rPr>
          <w:rFonts w:hint="eastAsia" w:ascii="宋体" w:hAnsi="宋体"/>
          <w:b/>
          <w:bCs/>
          <w:color w:val="auto"/>
          <w:sz w:val="24"/>
          <w:szCs w:val="24"/>
          <w:highlight w:val="none"/>
          <w:lang w:val="en-US" w:eastAsia="zh-CN"/>
        </w:rPr>
        <w:t>原文：</w:t>
      </w:r>
      <w:r>
        <w:rPr>
          <w:rFonts w:hint="eastAsia" w:ascii="宋体" w:hAnsi="宋体"/>
          <w:color w:val="auto"/>
          <w:sz w:val="24"/>
          <w:szCs w:val="24"/>
          <w:highlight w:val="none"/>
          <w:lang w:val="en-US" w:eastAsia="zh-CN"/>
        </w:rPr>
        <w:t>按本章第2.2.5（1）目规定的评审因素和分值对技术部分计算出得分A；①技术部分评审得分A为从各评标专家打分中去掉一个最高分和去掉一个最低分后的剩余评标专家打分的算术平均值或②技术部分评审得分A为各评标专家打分的算术平均值（二选一，招标人自行选择）。</w:t>
      </w:r>
    </w:p>
    <w:p w14:paraId="57C6A0A2">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2" w:firstLineChars="200"/>
        <w:textAlignment w:val="auto"/>
        <w:rPr>
          <w:rFonts w:hint="eastAsia" w:ascii="宋体" w:hAnsi="宋体"/>
          <w:color w:val="auto"/>
          <w:sz w:val="24"/>
          <w:szCs w:val="24"/>
          <w:highlight w:val="none"/>
        </w:rPr>
      </w:pPr>
      <w:r>
        <w:rPr>
          <w:rFonts w:hint="eastAsia" w:ascii="宋体" w:hAnsi="宋体"/>
          <w:b/>
          <w:bCs/>
          <w:color w:val="auto"/>
          <w:sz w:val="24"/>
          <w:szCs w:val="24"/>
          <w:highlight w:val="none"/>
          <w:lang w:val="en-US" w:eastAsia="zh-CN"/>
        </w:rPr>
        <w:t>现文：</w:t>
      </w:r>
      <w:r>
        <w:rPr>
          <w:rFonts w:hint="eastAsia" w:ascii="宋体" w:hAnsi="宋体"/>
          <w:color w:val="auto"/>
          <w:sz w:val="24"/>
          <w:szCs w:val="24"/>
          <w:highlight w:val="none"/>
          <w:lang w:val="en-US" w:eastAsia="zh-CN"/>
        </w:rPr>
        <w:t>按本章第2.2.5（1）目规定的评审因素和分值对技术部分计算出得分A；技术部分评审得分A为从各评标专家打分中去掉一个最高分和去掉一个最低分后的剩余评标专家打分的算术平均值。</w:t>
      </w:r>
    </w:p>
    <w:p w14:paraId="286AE9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val="en-US" w:eastAsia="zh-CN"/>
        </w:rPr>
      </w:pPr>
      <w:r>
        <w:rPr>
          <w:rFonts w:hint="eastAsia" w:ascii="宋体" w:hAnsi="宋体"/>
          <w:color w:val="auto"/>
          <w:sz w:val="24"/>
          <w:szCs w:val="21"/>
          <w:highlight w:val="none"/>
        </w:rPr>
        <w:t>条款号：</w:t>
      </w:r>
      <w:r>
        <w:rPr>
          <w:rFonts w:hint="eastAsia" w:ascii="宋体" w:hAnsi="宋体"/>
          <w:color w:val="auto"/>
          <w:sz w:val="24"/>
          <w:szCs w:val="24"/>
          <w:highlight w:val="none"/>
          <w:lang w:val="en-US" w:eastAsia="zh-CN"/>
        </w:rPr>
        <w:t>平均值法评标基准价计算表（适用于直接选取）修改类型：删除</w:t>
      </w:r>
    </w:p>
    <w:p w14:paraId="23D6434C">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2" w:firstLineChars="200"/>
        <w:textAlignment w:val="auto"/>
        <w:rPr>
          <w:rFonts w:hint="eastAsia" w:ascii="宋体" w:hAnsi="宋体"/>
          <w:color w:val="auto"/>
          <w:sz w:val="24"/>
          <w:szCs w:val="24"/>
          <w:highlight w:val="none"/>
        </w:rPr>
      </w:pPr>
      <w:r>
        <w:rPr>
          <w:rFonts w:hint="eastAsia" w:ascii="宋体" w:hAnsi="宋体"/>
          <w:b/>
          <w:bCs/>
          <w:color w:val="auto"/>
          <w:sz w:val="24"/>
          <w:szCs w:val="24"/>
          <w:highlight w:val="none"/>
          <w:lang w:val="en-US" w:eastAsia="zh-CN"/>
        </w:rPr>
        <w:t>原文：</w:t>
      </w:r>
      <w:r>
        <w:rPr>
          <w:rFonts w:hint="eastAsia" w:ascii="宋体" w:hAnsi="宋体"/>
          <w:color w:val="auto"/>
          <w:sz w:val="24"/>
          <w:szCs w:val="24"/>
          <w:highlight w:val="none"/>
          <w:lang w:val="en-US" w:eastAsia="zh-CN"/>
        </w:rPr>
        <w:t>平均值法评标基准价计算表（适用于直接选取）</w:t>
      </w:r>
    </w:p>
    <w:p w14:paraId="556414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val="en-US" w:eastAsia="zh-CN"/>
        </w:rPr>
      </w:pPr>
      <w:r>
        <w:rPr>
          <w:rFonts w:hint="eastAsia" w:ascii="宋体" w:hAnsi="宋体"/>
          <w:color w:val="auto"/>
          <w:sz w:val="24"/>
          <w:szCs w:val="21"/>
          <w:highlight w:val="none"/>
        </w:rPr>
        <w:t>条款号：</w:t>
      </w:r>
      <w:r>
        <w:rPr>
          <w:rFonts w:hint="eastAsia" w:ascii="宋体" w:hAnsi="宋体"/>
          <w:color w:val="auto"/>
          <w:sz w:val="24"/>
          <w:szCs w:val="24"/>
          <w:highlight w:val="none"/>
        </w:rPr>
        <w:t>平均值法评标基准价计算表（适用于随机抽取）</w:t>
      </w:r>
      <w:r>
        <w:rPr>
          <w:rFonts w:hint="eastAsia" w:ascii="宋体" w:hAnsi="宋体"/>
          <w:color w:val="auto"/>
          <w:sz w:val="24"/>
          <w:szCs w:val="24"/>
          <w:highlight w:val="none"/>
          <w:lang w:val="en-US" w:eastAsia="zh-CN"/>
        </w:rPr>
        <w:t>修改类型：删除</w:t>
      </w:r>
    </w:p>
    <w:p w14:paraId="0BBE3776">
      <w:pPr>
        <w:keepNext w:val="0"/>
        <w:keepLines w:val="0"/>
        <w:pageBreakBefore w:val="0"/>
        <w:widowControl w:val="0"/>
        <w:pBdr>
          <w:bottom w:val="single" w:color="auto" w:sz="6" w:space="1"/>
        </w:pBdr>
        <w:kinsoku/>
        <w:wordWrap/>
        <w:overflowPunct/>
        <w:topLinePunct w:val="0"/>
        <w:autoSpaceDE/>
        <w:autoSpaceDN/>
        <w:bidi w:val="0"/>
        <w:adjustRightInd/>
        <w:snapToGrid w:val="0"/>
        <w:spacing w:line="360" w:lineRule="auto"/>
        <w:ind w:firstLine="482" w:firstLineChars="200"/>
        <w:textAlignment w:val="auto"/>
        <w:rPr>
          <w:rFonts w:hint="eastAsia" w:ascii="宋体" w:hAnsi="宋体"/>
          <w:color w:val="auto"/>
          <w:sz w:val="24"/>
          <w:szCs w:val="24"/>
          <w:highlight w:val="none"/>
        </w:rPr>
      </w:pPr>
      <w:r>
        <w:rPr>
          <w:rFonts w:hint="eastAsia" w:ascii="宋体" w:hAnsi="宋体"/>
          <w:b/>
          <w:bCs/>
          <w:color w:val="auto"/>
          <w:sz w:val="24"/>
          <w:szCs w:val="24"/>
          <w:highlight w:val="none"/>
          <w:lang w:val="en-US" w:eastAsia="zh-CN"/>
        </w:rPr>
        <w:t>原文：</w:t>
      </w:r>
      <w:r>
        <w:rPr>
          <w:rFonts w:hint="eastAsia" w:ascii="宋体" w:hAnsi="宋体"/>
          <w:color w:val="auto"/>
          <w:sz w:val="24"/>
          <w:szCs w:val="24"/>
          <w:highlight w:val="none"/>
        </w:rPr>
        <w:t>平均值法评标基准价计算表（适用于随机抽取）</w:t>
      </w:r>
    </w:p>
    <w:p w14:paraId="1581CA08">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注：以上修改，仅限于本范本中有可供选择条款的情形。</w:t>
      </w:r>
    </w:p>
    <w:p w14:paraId="0FCBA59D">
      <w:pPr>
        <w:spacing w:line="360" w:lineRule="auto"/>
        <w:ind w:firstLine="480" w:firstLineChars="200"/>
        <w:rPr>
          <w:rFonts w:ascii="宋体" w:hAnsi="宋体"/>
          <w:color w:val="auto"/>
          <w:sz w:val="24"/>
          <w:highlight w:val="none"/>
        </w:rPr>
      </w:pPr>
      <w:r>
        <w:rPr>
          <w:rFonts w:hint="eastAsia" w:ascii="宋体" w:hAnsi="宋体"/>
          <w:color w:val="auto"/>
          <w:sz w:val="24"/>
          <w:szCs w:val="21"/>
          <w:highlight w:val="none"/>
        </w:rPr>
        <w:t>（以下无正文）</w:t>
      </w:r>
    </w:p>
    <w:p w14:paraId="6CBD25BC">
      <w:pPr>
        <w:widowControl/>
        <w:jc w:val="left"/>
        <w:rPr>
          <w:rFonts w:ascii="宋体" w:hAnsi="宋体"/>
          <w:color w:val="auto"/>
          <w:sz w:val="24"/>
          <w:highlight w:val="none"/>
        </w:rPr>
      </w:pPr>
      <w:r>
        <w:rPr>
          <w:rFonts w:ascii="宋体" w:hAnsi="宋体"/>
          <w:color w:val="auto"/>
          <w:sz w:val="24"/>
          <w:highlight w:val="none"/>
        </w:rPr>
        <w:br w:type="page"/>
      </w:r>
    </w:p>
    <w:p w14:paraId="5C4A4FD4">
      <w:pPr>
        <w:spacing w:line="360" w:lineRule="auto"/>
        <w:jc w:val="center"/>
        <w:outlineLvl w:val="2"/>
        <w:rPr>
          <w:rFonts w:ascii="黑体" w:hAnsi="黑体" w:eastAsia="黑体"/>
          <w:color w:val="auto"/>
          <w:sz w:val="28"/>
          <w:szCs w:val="27"/>
          <w:highlight w:val="none"/>
        </w:rPr>
      </w:pPr>
      <w:bookmarkStart w:id="275" w:name="_Toc17452672"/>
      <w:bookmarkStart w:id="276" w:name="_Toc17451586"/>
      <w:bookmarkStart w:id="277" w:name="_Toc17454930"/>
      <w:bookmarkStart w:id="278" w:name="_Toc17454879"/>
      <w:bookmarkStart w:id="279" w:name="_Toc4480"/>
      <w:bookmarkStart w:id="280" w:name="_Toc17451109"/>
      <w:bookmarkStart w:id="281" w:name="_Toc17556884"/>
      <w:bookmarkStart w:id="282" w:name="_Toc17451631"/>
      <w:r>
        <w:rPr>
          <w:rFonts w:hint="eastAsia" w:ascii="黑体" w:hAnsi="黑体" w:eastAsia="黑体"/>
          <w:color w:val="auto"/>
          <w:sz w:val="28"/>
          <w:szCs w:val="27"/>
          <w:highlight w:val="none"/>
        </w:rPr>
        <w:t>二、评标及定标办法通用条款</w:t>
      </w:r>
      <w:bookmarkEnd w:id="275"/>
      <w:bookmarkEnd w:id="276"/>
      <w:bookmarkEnd w:id="277"/>
      <w:bookmarkEnd w:id="278"/>
      <w:bookmarkEnd w:id="279"/>
      <w:bookmarkEnd w:id="280"/>
      <w:bookmarkEnd w:id="281"/>
      <w:bookmarkEnd w:id="282"/>
    </w:p>
    <w:p w14:paraId="5864B76D">
      <w:pPr>
        <w:spacing w:line="360" w:lineRule="auto"/>
        <w:jc w:val="center"/>
        <w:outlineLvl w:val="2"/>
        <w:rPr>
          <w:rFonts w:ascii="黑体" w:hAnsi="黑体" w:eastAsia="黑体"/>
          <w:color w:val="auto"/>
          <w:sz w:val="28"/>
          <w:szCs w:val="27"/>
          <w:highlight w:val="none"/>
        </w:rPr>
      </w:pPr>
      <w:bookmarkStart w:id="283" w:name="_Toc17452673"/>
      <w:bookmarkStart w:id="284" w:name="_Toc17451587"/>
      <w:bookmarkStart w:id="285" w:name="_Toc17451632"/>
      <w:bookmarkStart w:id="286" w:name="_Toc17451110"/>
      <w:bookmarkStart w:id="287" w:name="_Toc17454880"/>
      <w:bookmarkStart w:id="288" w:name="_Toc12075"/>
      <w:bookmarkStart w:id="289" w:name="_Toc17454931"/>
      <w:bookmarkStart w:id="290" w:name="_Toc17556885"/>
      <w:r>
        <w:rPr>
          <w:rFonts w:hint="eastAsia" w:ascii="黑体" w:hAnsi="黑体" w:eastAsia="黑体"/>
          <w:color w:val="auto"/>
          <w:sz w:val="28"/>
          <w:szCs w:val="27"/>
          <w:highlight w:val="none"/>
        </w:rPr>
        <w:t>方法一：</w:t>
      </w:r>
      <w:bookmarkEnd w:id="283"/>
      <w:bookmarkEnd w:id="284"/>
      <w:bookmarkEnd w:id="285"/>
      <w:bookmarkEnd w:id="286"/>
      <w:r>
        <w:rPr>
          <w:rFonts w:hint="eastAsia" w:ascii="黑体" w:hAnsi="黑体" w:eastAsia="黑体"/>
          <w:color w:val="auto"/>
          <w:sz w:val="28"/>
          <w:szCs w:val="27"/>
          <w:highlight w:val="none"/>
        </w:rPr>
        <w:t>综合评估法</w:t>
      </w:r>
      <w:bookmarkEnd w:id="287"/>
      <w:r>
        <w:rPr>
          <w:rFonts w:hint="eastAsia" w:ascii="黑体" w:hAnsi="黑体" w:eastAsia="黑体"/>
          <w:color w:val="auto"/>
          <w:sz w:val="28"/>
          <w:szCs w:val="27"/>
          <w:highlight w:val="none"/>
        </w:rPr>
        <w:t>一</w:t>
      </w:r>
      <w:bookmarkEnd w:id="288"/>
      <w:bookmarkEnd w:id="289"/>
      <w:bookmarkEnd w:id="290"/>
    </w:p>
    <w:p w14:paraId="755A77A1">
      <w:pPr>
        <w:spacing w:line="360" w:lineRule="auto"/>
        <w:jc w:val="center"/>
        <w:rPr>
          <w:rFonts w:ascii="宋体" w:hAnsi="宋体"/>
          <w:b/>
          <w:color w:val="auto"/>
          <w:sz w:val="28"/>
          <w:highlight w:val="none"/>
        </w:rPr>
      </w:pPr>
      <w:bookmarkStart w:id="291" w:name="_Toc144974566"/>
      <w:bookmarkStart w:id="292" w:name="_Toc179632617"/>
      <w:bookmarkStart w:id="293" w:name="_Toc152045599"/>
      <w:bookmarkStart w:id="294" w:name="_Toc152042376"/>
      <w:r>
        <w:rPr>
          <w:rFonts w:hint="eastAsia" w:ascii="宋体" w:hAnsi="宋体"/>
          <w:b/>
          <w:color w:val="auto"/>
          <w:sz w:val="28"/>
          <w:highlight w:val="none"/>
        </w:rPr>
        <w:t>评标办法前附表</w:t>
      </w:r>
      <w:bookmarkEnd w:id="291"/>
      <w:bookmarkEnd w:id="292"/>
      <w:bookmarkEnd w:id="293"/>
      <w:bookmarkEnd w:id="294"/>
    </w:p>
    <w:tbl>
      <w:tblPr>
        <w:tblStyle w:val="18"/>
        <w:tblW w:w="9016" w:type="dxa"/>
        <w:tblInd w:w="-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59"/>
        <w:gridCol w:w="2652"/>
        <w:gridCol w:w="4533"/>
      </w:tblGrid>
      <w:tr w14:paraId="169E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gridSpan w:val="2"/>
            <w:noWrap w:val="0"/>
            <w:vAlign w:val="center"/>
          </w:tcPr>
          <w:p w14:paraId="41BFECD4">
            <w:pPr>
              <w:spacing w:line="360" w:lineRule="auto"/>
              <w:jc w:val="center"/>
              <w:rPr>
                <w:b/>
                <w:color w:val="auto"/>
                <w:szCs w:val="21"/>
                <w:highlight w:val="none"/>
              </w:rPr>
            </w:pPr>
            <w:r>
              <w:rPr>
                <w:b/>
                <w:color w:val="auto"/>
                <w:szCs w:val="21"/>
                <w:highlight w:val="none"/>
              </w:rPr>
              <w:t>条款号</w:t>
            </w:r>
          </w:p>
        </w:tc>
        <w:tc>
          <w:tcPr>
            <w:tcW w:w="2652" w:type="dxa"/>
            <w:noWrap w:val="0"/>
            <w:vAlign w:val="center"/>
          </w:tcPr>
          <w:p w14:paraId="0C8FE870">
            <w:pPr>
              <w:spacing w:line="360" w:lineRule="auto"/>
              <w:jc w:val="center"/>
              <w:rPr>
                <w:b/>
                <w:color w:val="auto"/>
                <w:szCs w:val="21"/>
                <w:highlight w:val="none"/>
              </w:rPr>
            </w:pPr>
            <w:r>
              <w:rPr>
                <w:b/>
                <w:color w:val="auto"/>
                <w:szCs w:val="21"/>
                <w:highlight w:val="none"/>
              </w:rPr>
              <w:t>评审因素</w:t>
            </w:r>
          </w:p>
        </w:tc>
        <w:tc>
          <w:tcPr>
            <w:tcW w:w="4533" w:type="dxa"/>
            <w:noWrap w:val="0"/>
            <w:vAlign w:val="center"/>
          </w:tcPr>
          <w:p w14:paraId="091933BF">
            <w:pPr>
              <w:spacing w:line="360" w:lineRule="auto"/>
              <w:jc w:val="center"/>
              <w:rPr>
                <w:b/>
                <w:color w:val="auto"/>
                <w:szCs w:val="21"/>
                <w:highlight w:val="none"/>
              </w:rPr>
            </w:pPr>
            <w:r>
              <w:rPr>
                <w:b/>
                <w:color w:val="auto"/>
                <w:szCs w:val="21"/>
                <w:highlight w:val="none"/>
              </w:rPr>
              <w:t>评审标准</w:t>
            </w:r>
          </w:p>
        </w:tc>
      </w:tr>
      <w:tr w14:paraId="1B5D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restart"/>
            <w:noWrap w:val="0"/>
            <w:vAlign w:val="center"/>
          </w:tcPr>
          <w:p w14:paraId="7474B15B">
            <w:pPr>
              <w:spacing w:line="360" w:lineRule="auto"/>
              <w:jc w:val="left"/>
              <w:rPr>
                <w:color w:val="auto"/>
                <w:szCs w:val="21"/>
                <w:highlight w:val="none"/>
              </w:rPr>
            </w:pPr>
            <w:r>
              <w:rPr>
                <w:color w:val="auto"/>
                <w:szCs w:val="21"/>
                <w:highlight w:val="none"/>
              </w:rPr>
              <w:t>2.1.</w:t>
            </w:r>
            <w:r>
              <w:rPr>
                <w:rFonts w:hint="eastAsia"/>
                <w:color w:val="auto"/>
                <w:szCs w:val="21"/>
                <w:highlight w:val="none"/>
              </w:rPr>
              <w:t>1</w:t>
            </w:r>
          </w:p>
        </w:tc>
        <w:tc>
          <w:tcPr>
            <w:tcW w:w="1159" w:type="dxa"/>
            <w:vMerge w:val="restart"/>
            <w:noWrap w:val="0"/>
            <w:vAlign w:val="center"/>
          </w:tcPr>
          <w:p w14:paraId="4D9D109F">
            <w:pPr>
              <w:spacing w:line="360" w:lineRule="auto"/>
              <w:jc w:val="left"/>
              <w:rPr>
                <w:color w:val="auto"/>
                <w:szCs w:val="21"/>
                <w:highlight w:val="none"/>
              </w:rPr>
            </w:pPr>
            <w:r>
              <w:rPr>
                <w:color w:val="auto"/>
                <w:szCs w:val="21"/>
                <w:highlight w:val="none"/>
              </w:rPr>
              <w:t>资格评审标准</w:t>
            </w:r>
          </w:p>
        </w:tc>
        <w:tc>
          <w:tcPr>
            <w:tcW w:w="2652" w:type="dxa"/>
            <w:noWrap w:val="0"/>
            <w:vAlign w:val="center"/>
          </w:tcPr>
          <w:p w14:paraId="5FA1454E">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营业执照</w:t>
            </w:r>
          </w:p>
        </w:tc>
        <w:tc>
          <w:tcPr>
            <w:tcW w:w="4533" w:type="dxa"/>
            <w:noWrap w:val="0"/>
            <w:vAlign w:val="center"/>
          </w:tcPr>
          <w:p w14:paraId="255219A0">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具备有效的营业执照。</w:t>
            </w:r>
          </w:p>
        </w:tc>
      </w:tr>
      <w:tr w14:paraId="1727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7A21CC27">
            <w:pPr>
              <w:spacing w:line="360" w:lineRule="auto"/>
              <w:jc w:val="center"/>
              <w:rPr>
                <w:color w:val="auto"/>
                <w:szCs w:val="21"/>
                <w:highlight w:val="none"/>
              </w:rPr>
            </w:pPr>
          </w:p>
        </w:tc>
        <w:tc>
          <w:tcPr>
            <w:tcW w:w="1159" w:type="dxa"/>
            <w:vMerge w:val="continue"/>
            <w:noWrap w:val="0"/>
            <w:vAlign w:val="center"/>
          </w:tcPr>
          <w:p w14:paraId="3F603D13">
            <w:pPr>
              <w:spacing w:line="360" w:lineRule="auto"/>
              <w:jc w:val="center"/>
              <w:rPr>
                <w:color w:val="auto"/>
                <w:szCs w:val="21"/>
                <w:highlight w:val="none"/>
              </w:rPr>
            </w:pPr>
          </w:p>
        </w:tc>
        <w:tc>
          <w:tcPr>
            <w:tcW w:w="2652" w:type="dxa"/>
            <w:noWrap w:val="0"/>
            <w:vAlign w:val="center"/>
          </w:tcPr>
          <w:p w14:paraId="5C2570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highlight w:val="none"/>
              </w:rPr>
              <w:t>安全生产许可证</w:t>
            </w:r>
          </w:p>
        </w:tc>
        <w:tc>
          <w:tcPr>
            <w:tcW w:w="4533" w:type="dxa"/>
            <w:noWrap w:val="0"/>
            <w:vAlign w:val="center"/>
          </w:tcPr>
          <w:p w14:paraId="0B6994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具有有效的建设行政主管部门颁发的安全生产许可证</w:t>
            </w:r>
          </w:p>
        </w:tc>
      </w:tr>
      <w:tr w14:paraId="6CB9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487652BC">
            <w:pPr>
              <w:spacing w:line="360" w:lineRule="auto"/>
              <w:jc w:val="center"/>
              <w:rPr>
                <w:color w:val="auto"/>
                <w:szCs w:val="21"/>
                <w:highlight w:val="none"/>
              </w:rPr>
            </w:pPr>
          </w:p>
        </w:tc>
        <w:tc>
          <w:tcPr>
            <w:tcW w:w="1159" w:type="dxa"/>
            <w:vMerge w:val="continue"/>
            <w:noWrap w:val="0"/>
            <w:vAlign w:val="center"/>
          </w:tcPr>
          <w:p w14:paraId="05C06021">
            <w:pPr>
              <w:spacing w:line="360" w:lineRule="auto"/>
              <w:jc w:val="center"/>
              <w:rPr>
                <w:color w:val="auto"/>
                <w:szCs w:val="21"/>
                <w:highlight w:val="none"/>
              </w:rPr>
            </w:pPr>
          </w:p>
        </w:tc>
        <w:tc>
          <w:tcPr>
            <w:tcW w:w="2652" w:type="dxa"/>
            <w:noWrap w:val="0"/>
            <w:vAlign w:val="center"/>
          </w:tcPr>
          <w:p w14:paraId="1A696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资质等级</w:t>
            </w:r>
          </w:p>
        </w:tc>
        <w:tc>
          <w:tcPr>
            <w:tcW w:w="4533" w:type="dxa"/>
            <w:noWrap w:val="0"/>
            <w:vAlign w:val="center"/>
          </w:tcPr>
          <w:p w14:paraId="30AC0F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5331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0D0BB610">
            <w:pPr>
              <w:spacing w:line="360" w:lineRule="auto"/>
              <w:jc w:val="center"/>
              <w:rPr>
                <w:color w:val="auto"/>
                <w:szCs w:val="21"/>
                <w:highlight w:val="none"/>
              </w:rPr>
            </w:pPr>
          </w:p>
        </w:tc>
        <w:tc>
          <w:tcPr>
            <w:tcW w:w="1159" w:type="dxa"/>
            <w:vMerge w:val="continue"/>
            <w:noWrap w:val="0"/>
            <w:vAlign w:val="center"/>
          </w:tcPr>
          <w:p w14:paraId="457DB55F">
            <w:pPr>
              <w:spacing w:line="360" w:lineRule="auto"/>
              <w:jc w:val="center"/>
              <w:rPr>
                <w:color w:val="auto"/>
                <w:szCs w:val="21"/>
                <w:highlight w:val="none"/>
              </w:rPr>
            </w:pPr>
          </w:p>
        </w:tc>
        <w:tc>
          <w:tcPr>
            <w:tcW w:w="2652" w:type="dxa"/>
            <w:noWrap w:val="0"/>
            <w:vAlign w:val="center"/>
          </w:tcPr>
          <w:p w14:paraId="3B4C96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项目负责人资格</w:t>
            </w:r>
          </w:p>
        </w:tc>
        <w:tc>
          <w:tcPr>
            <w:tcW w:w="4533" w:type="dxa"/>
            <w:noWrap w:val="0"/>
            <w:vAlign w:val="center"/>
          </w:tcPr>
          <w:p w14:paraId="1F0B2F0A">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1263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596CD517">
            <w:pPr>
              <w:spacing w:line="360" w:lineRule="auto"/>
              <w:jc w:val="center"/>
              <w:rPr>
                <w:color w:val="auto"/>
                <w:szCs w:val="21"/>
                <w:highlight w:val="none"/>
              </w:rPr>
            </w:pPr>
          </w:p>
        </w:tc>
        <w:tc>
          <w:tcPr>
            <w:tcW w:w="1159" w:type="dxa"/>
            <w:vMerge w:val="continue"/>
            <w:noWrap w:val="0"/>
            <w:vAlign w:val="center"/>
          </w:tcPr>
          <w:p w14:paraId="299C5ED6">
            <w:pPr>
              <w:spacing w:line="360" w:lineRule="auto"/>
              <w:jc w:val="center"/>
              <w:rPr>
                <w:color w:val="auto"/>
                <w:szCs w:val="21"/>
                <w:highlight w:val="none"/>
              </w:rPr>
            </w:pPr>
          </w:p>
        </w:tc>
        <w:tc>
          <w:tcPr>
            <w:tcW w:w="2652" w:type="dxa"/>
            <w:noWrap w:val="0"/>
            <w:vAlign w:val="center"/>
          </w:tcPr>
          <w:p w14:paraId="41596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ascii="宋体" w:hAnsi="宋体" w:eastAsia="宋体" w:cs="宋体"/>
                <w:color w:val="auto"/>
                <w:sz w:val="21"/>
                <w:szCs w:val="21"/>
                <w:highlight w:val="none"/>
                <w:lang w:eastAsia="zh-CN"/>
              </w:rPr>
              <w:t>项目负责人持有安全生产考核合格证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p>
        </w:tc>
        <w:tc>
          <w:tcPr>
            <w:tcW w:w="4533" w:type="dxa"/>
            <w:noWrap w:val="0"/>
            <w:vAlign w:val="center"/>
          </w:tcPr>
          <w:p w14:paraId="575E2E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6B74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683974FE">
            <w:pPr>
              <w:spacing w:line="360" w:lineRule="auto"/>
              <w:jc w:val="center"/>
              <w:rPr>
                <w:color w:val="auto"/>
                <w:szCs w:val="21"/>
                <w:highlight w:val="none"/>
              </w:rPr>
            </w:pPr>
          </w:p>
        </w:tc>
        <w:tc>
          <w:tcPr>
            <w:tcW w:w="1159" w:type="dxa"/>
            <w:vMerge w:val="continue"/>
            <w:noWrap w:val="0"/>
            <w:vAlign w:val="center"/>
          </w:tcPr>
          <w:p w14:paraId="02DA0E18">
            <w:pPr>
              <w:spacing w:line="360" w:lineRule="auto"/>
              <w:jc w:val="center"/>
              <w:rPr>
                <w:color w:val="auto"/>
                <w:szCs w:val="21"/>
                <w:highlight w:val="none"/>
              </w:rPr>
            </w:pPr>
          </w:p>
        </w:tc>
        <w:tc>
          <w:tcPr>
            <w:tcW w:w="2652" w:type="dxa"/>
            <w:noWrap w:val="0"/>
            <w:vAlign w:val="center"/>
          </w:tcPr>
          <w:p w14:paraId="4EB921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技术负责人资格</w:t>
            </w:r>
          </w:p>
        </w:tc>
        <w:tc>
          <w:tcPr>
            <w:tcW w:w="4533" w:type="dxa"/>
            <w:noWrap w:val="0"/>
            <w:vAlign w:val="center"/>
          </w:tcPr>
          <w:p w14:paraId="762341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7047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09D9E059">
            <w:pPr>
              <w:spacing w:line="360" w:lineRule="auto"/>
              <w:jc w:val="center"/>
              <w:rPr>
                <w:color w:val="auto"/>
                <w:szCs w:val="21"/>
                <w:highlight w:val="none"/>
              </w:rPr>
            </w:pPr>
          </w:p>
        </w:tc>
        <w:tc>
          <w:tcPr>
            <w:tcW w:w="1159" w:type="dxa"/>
            <w:vMerge w:val="continue"/>
            <w:noWrap w:val="0"/>
            <w:vAlign w:val="center"/>
          </w:tcPr>
          <w:p w14:paraId="553263D1">
            <w:pPr>
              <w:spacing w:line="360" w:lineRule="auto"/>
              <w:jc w:val="center"/>
              <w:rPr>
                <w:color w:val="auto"/>
                <w:szCs w:val="21"/>
                <w:highlight w:val="none"/>
              </w:rPr>
            </w:pPr>
          </w:p>
        </w:tc>
        <w:tc>
          <w:tcPr>
            <w:tcW w:w="2652" w:type="dxa"/>
            <w:noWrap w:val="0"/>
            <w:vAlign w:val="center"/>
          </w:tcPr>
          <w:p w14:paraId="7B5772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highlight w:val="none"/>
              </w:rPr>
            </w:pPr>
            <w:r>
              <w:rPr>
                <w:rFonts w:hint="eastAsia"/>
                <w:color w:val="auto"/>
                <w:highlight w:val="none"/>
              </w:rPr>
              <w:t>专职安全员须具有安全生产考核合格证（C类）或建筑施工企业专职安全生产管理人员安全生产考核合格证</w:t>
            </w:r>
            <w:r>
              <w:rPr>
                <w:rFonts w:hint="eastAsia" w:ascii="Times New Roman" w:hAnsi="Times New Roman" w:eastAsia="宋体" w:cs="Times New Roman"/>
                <w:color w:val="auto"/>
                <w:highlight w:val="none"/>
              </w:rPr>
              <w:t>书(C</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类)</w:t>
            </w:r>
          </w:p>
        </w:tc>
        <w:tc>
          <w:tcPr>
            <w:tcW w:w="4533" w:type="dxa"/>
            <w:noWrap w:val="0"/>
            <w:vAlign w:val="center"/>
          </w:tcPr>
          <w:p w14:paraId="6D1646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40AE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17ABDD66">
            <w:pPr>
              <w:spacing w:line="360" w:lineRule="auto"/>
              <w:jc w:val="center"/>
              <w:rPr>
                <w:color w:val="auto"/>
                <w:szCs w:val="21"/>
                <w:highlight w:val="none"/>
              </w:rPr>
            </w:pPr>
          </w:p>
        </w:tc>
        <w:tc>
          <w:tcPr>
            <w:tcW w:w="1159" w:type="dxa"/>
            <w:vMerge w:val="continue"/>
            <w:noWrap w:val="0"/>
            <w:vAlign w:val="center"/>
          </w:tcPr>
          <w:p w14:paraId="04EB41B6">
            <w:pPr>
              <w:spacing w:line="360" w:lineRule="auto"/>
              <w:jc w:val="center"/>
              <w:rPr>
                <w:color w:val="auto"/>
                <w:szCs w:val="21"/>
                <w:highlight w:val="none"/>
              </w:rPr>
            </w:pPr>
          </w:p>
        </w:tc>
        <w:tc>
          <w:tcPr>
            <w:tcW w:w="2652" w:type="dxa"/>
            <w:noWrap w:val="0"/>
            <w:vAlign w:val="center"/>
          </w:tcPr>
          <w:p w14:paraId="0327C8E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highlight w:val="none"/>
              </w:rPr>
            </w:pPr>
            <w:r>
              <w:rPr>
                <w:rFonts w:hint="eastAsia"/>
                <w:color w:val="auto"/>
                <w:szCs w:val="21"/>
                <w:highlight w:val="none"/>
              </w:rPr>
              <w:t>类似项目业绩</w:t>
            </w:r>
          </w:p>
        </w:tc>
        <w:tc>
          <w:tcPr>
            <w:tcW w:w="4533" w:type="dxa"/>
            <w:noWrap w:val="0"/>
            <w:vAlign w:val="center"/>
          </w:tcPr>
          <w:p w14:paraId="1D642C7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5E04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33010B0B">
            <w:pPr>
              <w:spacing w:line="360" w:lineRule="auto"/>
              <w:jc w:val="center"/>
              <w:rPr>
                <w:color w:val="auto"/>
                <w:szCs w:val="21"/>
                <w:highlight w:val="none"/>
              </w:rPr>
            </w:pPr>
          </w:p>
        </w:tc>
        <w:tc>
          <w:tcPr>
            <w:tcW w:w="1159" w:type="dxa"/>
            <w:vMerge w:val="continue"/>
            <w:noWrap w:val="0"/>
            <w:vAlign w:val="center"/>
          </w:tcPr>
          <w:p w14:paraId="71793BDA">
            <w:pPr>
              <w:spacing w:line="360" w:lineRule="auto"/>
              <w:jc w:val="center"/>
              <w:rPr>
                <w:color w:val="auto"/>
                <w:szCs w:val="21"/>
                <w:highlight w:val="none"/>
              </w:rPr>
            </w:pPr>
          </w:p>
        </w:tc>
        <w:tc>
          <w:tcPr>
            <w:tcW w:w="2652" w:type="dxa"/>
            <w:noWrap w:val="0"/>
            <w:vAlign w:val="center"/>
          </w:tcPr>
          <w:p w14:paraId="24433E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highlight w:val="none"/>
              </w:rPr>
            </w:pPr>
            <w:r>
              <w:rPr>
                <w:rFonts w:hint="eastAsia"/>
                <w:color w:val="auto"/>
                <w:highlight w:val="none"/>
              </w:rPr>
              <w:t>社保要求</w:t>
            </w:r>
          </w:p>
        </w:tc>
        <w:tc>
          <w:tcPr>
            <w:tcW w:w="4533" w:type="dxa"/>
            <w:noWrap w:val="0"/>
            <w:vAlign w:val="center"/>
          </w:tcPr>
          <w:p w14:paraId="11E5131C">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符合第二章</w:t>
            </w:r>
            <w:r>
              <w:rPr>
                <w:color w:val="auto"/>
                <w:szCs w:val="21"/>
                <w:highlight w:val="none"/>
              </w:rPr>
              <w:t>“</w:t>
            </w:r>
            <w:r>
              <w:rPr>
                <w:rFonts w:hint="eastAsia"/>
                <w:color w:val="auto"/>
                <w:szCs w:val="21"/>
                <w:highlight w:val="none"/>
              </w:rPr>
              <w:t>投标人须知</w:t>
            </w:r>
            <w:r>
              <w:rPr>
                <w:color w:val="auto"/>
                <w:szCs w:val="21"/>
                <w:highlight w:val="none"/>
              </w:rPr>
              <w:t>”</w:t>
            </w:r>
            <w:r>
              <w:rPr>
                <w:rFonts w:hint="eastAsia"/>
                <w:color w:val="auto"/>
                <w:szCs w:val="21"/>
                <w:highlight w:val="none"/>
              </w:rPr>
              <w:t>第</w:t>
            </w:r>
            <w:r>
              <w:rPr>
                <w:color w:val="auto"/>
                <w:szCs w:val="21"/>
                <w:highlight w:val="none"/>
              </w:rPr>
              <w:t>1.4.1</w:t>
            </w:r>
            <w:r>
              <w:rPr>
                <w:rFonts w:hint="eastAsia"/>
                <w:color w:val="auto"/>
                <w:szCs w:val="21"/>
                <w:highlight w:val="none"/>
              </w:rPr>
              <w:t>项规定</w:t>
            </w:r>
          </w:p>
        </w:tc>
      </w:tr>
      <w:tr w14:paraId="756C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5A57069B">
            <w:pPr>
              <w:spacing w:line="360" w:lineRule="auto"/>
              <w:jc w:val="center"/>
              <w:rPr>
                <w:color w:val="auto"/>
                <w:szCs w:val="21"/>
                <w:highlight w:val="none"/>
              </w:rPr>
            </w:pPr>
          </w:p>
        </w:tc>
        <w:tc>
          <w:tcPr>
            <w:tcW w:w="1159" w:type="dxa"/>
            <w:vMerge w:val="continue"/>
            <w:noWrap w:val="0"/>
            <w:vAlign w:val="center"/>
          </w:tcPr>
          <w:p w14:paraId="53E7736E">
            <w:pPr>
              <w:spacing w:line="360" w:lineRule="auto"/>
              <w:jc w:val="center"/>
              <w:rPr>
                <w:color w:val="auto"/>
                <w:szCs w:val="21"/>
                <w:highlight w:val="none"/>
              </w:rPr>
            </w:pPr>
          </w:p>
        </w:tc>
        <w:tc>
          <w:tcPr>
            <w:tcW w:w="2652" w:type="dxa"/>
            <w:noWrap w:val="0"/>
            <w:vAlign w:val="center"/>
          </w:tcPr>
          <w:p w14:paraId="162849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highlight w:val="none"/>
              </w:rPr>
            </w:pPr>
            <w:r>
              <w:rPr>
                <w:color w:val="auto"/>
                <w:szCs w:val="21"/>
                <w:highlight w:val="none"/>
              </w:rPr>
              <w:t>联合体投标人</w:t>
            </w:r>
          </w:p>
        </w:tc>
        <w:tc>
          <w:tcPr>
            <w:tcW w:w="4533" w:type="dxa"/>
            <w:noWrap w:val="0"/>
            <w:vAlign w:val="center"/>
          </w:tcPr>
          <w:p w14:paraId="6CA82E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章“投标人须知”第1.4.2项规定</w:t>
            </w:r>
          </w:p>
        </w:tc>
      </w:tr>
      <w:tr w14:paraId="1045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591F1DCA">
            <w:pPr>
              <w:spacing w:line="360" w:lineRule="auto"/>
              <w:jc w:val="center"/>
              <w:rPr>
                <w:color w:val="auto"/>
                <w:szCs w:val="21"/>
                <w:highlight w:val="none"/>
              </w:rPr>
            </w:pPr>
          </w:p>
        </w:tc>
        <w:tc>
          <w:tcPr>
            <w:tcW w:w="1159" w:type="dxa"/>
            <w:vMerge w:val="continue"/>
            <w:noWrap w:val="0"/>
            <w:vAlign w:val="center"/>
          </w:tcPr>
          <w:p w14:paraId="60110F7E">
            <w:pPr>
              <w:spacing w:line="360" w:lineRule="auto"/>
              <w:jc w:val="center"/>
              <w:rPr>
                <w:color w:val="auto"/>
                <w:szCs w:val="21"/>
                <w:highlight w:val="none"/>
              </w:rPr>
            </w:pPr>
          </w:p>
        </w:tc>
        <w:tc>
          <w:tcPr>
            <w:tcW w:w="2652" w:type="dxa"/>
            <w:noWrap w:val="0"/>
            <w:vAlign w:val="center"/>
          </w:tcPr>
          <w:p w14:paraId="752B33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lang w:eastAsia="zh-CN"/>
              </w:rPr>
              <w:t>投标人声明签字盖章</w:t>
            </w:r>
          </w:p>
        </w:tc>
        <w:tc>
          <w:tcPr>
            <w:tcW w:w="4533" w:type="dxa"/>
            <w:noWrap w:val="0"/>
            <w:vAlign w:val="center"/>
          </w:tcPr>
          <w:p w14:paraId="76764462">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u w:val="none"/>
              </w:rPr>
            </w:pPr>
            <w:r>
              <w:rPr>
                <w:rFonts w:hint="eastAsia"/>
                <w:color w:val="auto"/>
                <w:szCs w:val="21"/>
                <w:highlight w:val="none"/>
                <w:u w:val="none"/>
              </w:rPr>
              <w:t>投标人声明有法定代表人、项目负责人、技术负责人签字或签章及加盖单位公章（签字和盖章要求见《投标人须知前附表》第3.6.</w:t>
            </w:r>
            <w:r>
              <w:rPr>
                <w:rFonts w:hint="eastAsia"/>
                <w:color w:val="auto"/>
                <w:szCs w:val="21"/>
                <w:highlight w:val="none"/>
                <w:u w:val="none"/>
                <w:lang w:val="en-US" w:eastAsia="zh-CN"/>
              </w:rPr>
              <w:t>1</w:t>
            </w:r>
            <w:r>
              <w:rPr>
                <w:rFonts w:hint="eastAsia"/>
                <w:color w:val="auto"/>
                <w:szCs w:val="21"/>
                <w:highlight w:val="none"/>
                <w:u w:val="none"/>
              </w:rPr>
              <w:t>项）</w:t>
            </w:r>
          </w:p>
        </w:tc>
      </w:tr>
      <w:tr w14:paraId="44A5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672" w:type="dxa"/>
            <w:vMerge w:val="continue"/>
            <w:noWrap w:val="0"/>
            <w:vAlign w:val="center"/>
          </w:tcPr>
          <w:p w14:paraId="477B44FE">
            <w:pPr>
              <w:spacing w:line="360" w:lineRule="auto"/>
              <w:jc w:val="center"/>
              <w:rPr>
                <w:color w:val="auto"/>
                <w:szCs w:val="21"/>
                <w:highlight w:val="none"/>
              </w:rPr>
            </w:pPr>
          </w:p>
        </w:tc>
        <w:tc>
          <w:tcPr>
            <w:tcW w:w="1159" w:type="dxa"/>
            <w:vMerge w:val="continue"/>
            <w:noWrap w:val="0"/>
            <w:vAlign w:val="center"/>
          </w:tcPr>
          <w:p w14:paraId="4027B1A6">
            <w:pPr>
              <w:spacing w:line="360" w:lineRule="auto"/>
              <w:jc w:val="center"/>
              <w:rPr>
                <w:color w:val="auto"/>
                <w:szCs w:val="21"/>
                <w:highlight w:val="none"/>
              </w:rPr>
            </w:pPr>
          </w:p>
        </w:tc>
        <w:tc>
          <w:tcPr>
            <w:tcW w:w="2652" w:type="dxa"/>
            <w:noWrap w:val="0"/>
            <w:vAlign w:val="center"/>
          </w:tcPr>
          <w:p w14:paraId="698788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lang w:eastAsia="zh-CN"/>
              </w:rPr>
            </w:pPr>
            <w:r>
              <w:rPr>
                <w:rFonts w:hint="eastAsia"/>
                <w:color w:val="auto"/>
                <w:szCs w:val="21"/>
                <w:highlight w:val="none"/>
                <w:lang w:eastAsia="zh-CN"/>
              </w:rPr>
              <w:t>未被纳入失信联合惩戒名单且被限制参与相关项目投标的</w:t>
            </w:r>
          </w:p>
        </w:tc>
        <w:tc>
          <w:tcPr>
            <w:tcW w:w="4533" w:type="dxa"/>
            <w:noWrap w:val="0"/>
            <w:vAlign w:val="center"/>
          </w:tcPr>
          <w:p w14:paraId="61CB45A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u w:val="none"/>
              </w:rPr>
            </w:pPr>
            <w:r>
              <w:rPr>
                <w:rFonts w:hint="eastAsia" w:ascii="宋体" w:hAnsi="宋体" w:eastAsia="宋体" w:cs="宋体"/>
                <w:color w:val="auto"/>
                <w:szCs w:val="21"/>
                <w:highlight w:val="none"/>
                <w:u w:val="none"/>
              </w:rPr>
              <w:t>失信联合惩戒名单以“信用广州”网站公布的“黑名单”为准。（提供</w:t>
            </w:r>
            <w:r>
              <w:rPr>
                <w:rFonts w:hint="eastAsia" w:ascii="宋体" w:hAnsi="宋体" w:eastAsia="宋体" w:cs="宋体"/>
                <w:color w:val="auto"/>
                <w:szCs w:val="21"/>
                <w:highlight w:val="none"/>
                <w:u w:val="none"/>
                <w:lang w:eastAsia="zh-CN"/>
              </w:rPr>
              <w:t>查询结果</w:t>
            </w:r>
            <w:r>
              <w:rPr>
                <w:rFonts w:hint="eastAsia" w:ascii="宋体" w:hAnsi="宋体" w:eastAsia="宋体" w:cs="宋体"/>
                <w:color w:val="auto"/>
                <w:szCs w:val="21"/>
                <w:highlight w:val="none"/>
                <w:u w:val="none"/>
              </w:rPr>
              <w:t>网页截图，并加盖公章</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rPr>
              <w:t>）</w:t>
            </w:r>
          </w:p>
        </w:tc>
      </w:tr>
      <w:tr w14:paraId="0DBA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72" w:type="dxa"/>
            <w:vMerge w:val="restart"/>
            <w:noWrap w:val="0"/>
            <w:vAlign w:val="center"/>
          </w:tcPr>
          <w:p w14:paraId="59AC1E75">
            <w:pPr>
              <w:spacing w:line="360" w:lineRule="auto"/>
              <w:jc w:val="center"/>
              <w:rPr>
                <w:color w:val="auto"/>
                <w:szCs w:val="21"/>
                <w:highlight w:val="none"/>
              </w:rPr>
            </w:pPr>
            <w:r>
              <w:rPr>
                <w:color w:val="auto"/>
                <w:szCs w:val="21"/>
                <w:highlight w:val="none"/>
              </w:rPr>
              <w:t>2.1.</w:t>
            </w:r>
            <w:r>
              <w:rPr>
                <w:rFonts w:hint="eastAsia"/>
                <w:color w:val="auto"/>
                <w:szCs w:val="21"/>
                <w:highlight w:val="none"/>
              </w:rPr>
              <w:t>2</w:t>
            </w:r>
          </w:p>
        </w:tc>
        <w:tc>
          <w:tcPr>
            <w:tcW w:w="1159" w:type="dxa"/>
            <w:vMerge w:val="restart"/>
            <w:noWrap w:val="0"/>
            <w:vAlign w:val="center"/>
          </w:tcPr>
          <w:p w14:paraId="1C8847C8">
            <w:pPr>
              <w:spacing w:line="360" w:lineRule="auto"/>
              <w:jc w:val="center"/>
              <w:rPr>
                <w:color w:val="auto"/>
                <w:szCs w:val="21"/>
                <w:highlight w:val="none"/>
              </w:rPr>
            </w:pPr>
            <w:r>
              <w:rPr>
                <w:color w:val="auto"/>
                <w:szCs w:val="21"/>
                <w:highlight w:val="none"/>
              </w:rPr>
              <w:t>形式评审标准</w:t>
            </w:r>
          </w:p>
        </w:tc>
        <w:tc>
          <w:tcPr>
            <w:tcW w:w="2652" w:type="dxa"/>
            <w:noWrap w:val="0"/>
            <w:vAlign w:val="center"/>
          </w:tcPr>
          <w:p w14:paraId="7A5963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strike w:val="0"/>
                <w:color w:val="auto"/>
                <w:szCs w:val="21"/>
                <w:highlight w:val="none"/>
              </w:rPr>
            </w:pPr>
            <w:r>
              <w:rPr>
                <w:rFonts w:hint="eastAsia" w:ascii="Times New Roman" w:hAnsi="Times New Roman" w:eastAsia="宋体" w:cs="Times New Roman"/>
                <w:color w:val="auto"/>
                <w:sz w:val="21"/>
                <w:szCs w:val="21"/>
                <w:highlight w:val="none"/>
              </w:rPr>
              <w:t>投标人参加投标的意思表达清楚，投标人代表被授权有效</w:t>
            </w:r>
          </w:p>
        </w:tc>
        <w:tc>
          <w:tcPr>
            <w:tcW w:w="4533" w:type="dxa"/>
            <w:noWrap w:val="0"/>
            <w:vAlign w:val="center"/>
          </w:tcPr>
          <w:p w14:paraId="4980C0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strike w:val="0"/>
                <w:color w:val="auto"/>
                <w:szCs w:val="21"/>
                <w:highlight w:val="none"/>
              </w:rPr>
            </w:pPr>
            <w:r>
              <w:rPr>
                <w:rFonts w:hint="eastAsia" w:ascii="Times New Roman" w:hAnsi="Times New Roman" w:eastAsia="宋体" w:cs="Times New Roman"/>
                <w:color w:val="auto"/>
                <w:sz w:val="21"/>
                <w:szCs w:val="21"/>
                <w:highlight w:val="none"/>
              </w:rPr>
              <w:t>投标人声明、廉洁承诺书、法定代表人证明书；委托投标的还应提供法人授权委托证明书</w:t>
            </w:r>
          </w:p>
        </w:tc>
      </w:tr>
      <w:tr w14:paraId="4999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72" w:type="dxa"/>
            <w:vMerge w:val="continue"/>
            <w:noWrap w:val="0"/>
            <w:vAlign w:val="center"/>
          </w:tcPr>
          <w:p w14:paraId="00537214">
            <w:pPr>
              <w:spacing w:line="360" w:lineRule="auto"/>
              <w:jc w:val="center"/>
              <w:rPr>
                <w:color w:val="auto"/>
                <w:szCs w:val="21"/>
                <w:highlight w:val="none"/>
              </w:rPr>
            </w:pPr>
          </w:p>
        </w:tc>
        <w:tc>
          <w:tcPr>
            <w:tcW w:w="1159" w:type="dxa"/>
            <w:vMerge w:val="continue"/>
            <w:noWrap w:val="0"/>
            <w:vAlign w:val="center"/>
          </w:tcPr>
          <w:p w14:paraId="64E94854">
            <w:pPr>
              <w:spacing w:line="360" w:lineRule="auto"/>
              <w:jc w:val="center"/>
              <w:rPr>
                <w:color w:val="auto"/>
                <w:szCs w:val="21"/>
                <w:highlight w:val="none"/>
              </w:rPr>
            </w:pPr>
          </w:p>
        </w:tc>
        <w:tc>
          <w:tcPr>
            <w:tcW w:w="2652" w:type="dxa"/>
            <w:noWrap w:val="0"/>
            <w:vAlign w:val="center"/>
          </w:tcPr>
          <w:p w14:paraId="3AEC76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strike/>
                <w:color w:val="auto"/>
                <w:kern w:val="2"/>
                <w:sz w:val="21"/>
                <w:szCs w:val="21"/>
                <w:highlight w:val="none"/>
                <w:lang w:val="en-US" w:eastAsia="zh-CN" w:bidi="ar-SA"/>
              </w:rPr>
            </w:pPr>
            <w:r>
              <w:rPr>
                <w:rFonts w:hint="eastAsia"/>
                <w:color w:val="auto"/>
                <w:szCs w:val="21"/>
                <w:highlight w:val="none"/>
              </w:rPr>
              <w:t>投标文件格式</w:t>
            </w:r>
          </w:p>
        </w:tc>
        <w:tc>
          <w:tcPr>
            <w:tcW w:w="4533" w:type="dxa"/>
            <w:noWrap w:val="0"/>
            <w:vAlign w:val="center"/>
          </w:tcPr>
          <w:p w14:paraId="1935C7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strike/>
                <w:color w:val="auto"/>
                <w:kern w:val="2"/>
                <w:sz w:val="21"/>
                <w:szCs w:val="21"/>
                <w:highlight w:val="none"/>
                <w:lang w:val="en-US" w:eastAsia="zh-CN" w:bidi="ar-SA"/>
              </w:rPr>
            </w:pPr>
            <w:r>
              <w:rPr>
                <w:rFonts w:hint="eastAsia"/>
                <w:color w:val="auto"/>
                <w:szCs w:val="21"/>
                <w:highlight w:val="none"/>
              </w:rPr>
              <w:t>符合第八章“投标文件格式”的要求。</w:t>
            </w:r>
          </w:p>
        </w:tc>
      </w:tr>
      <w:tr w14:paraId="3EC8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72" w:type="dxa"/>
            <w:vMerge w:val="continue"/>
            <w:noWrap w:val="0"/>
            <w:vAlign w:val="center"/>
          </w:tcPr>
          <w:p w14:paraId="1164687C">
            <w:pPr>
              <w:spacing w:line="360" w:lineRule="auto"/>
              <w:jc w:val="center"/>
              <w:rPr>
                <w:color w:val="auto"/>
                <w:szCs w:val="21"/>
                <w:highlight w:val="none"/>
              </w:rPr>
            </w:pPr>
          </w:p>
        </w:tc>
        <w:tc>
          <w:tcPr>
            <w:tcW w:w="1159" w:type="dxa"/>
            <w:vMerge w:val="continue"/>
            <w:noWrap w:val="0"/>
            <w:vAlign w:val="center"/>
          </w:tcPr>
          <w:p w14:paraId="12DE48FB">
            <w:pPr>
              <w:spacing w:line="360" w:lineRule="auto"/>
              <w:jc w:val="center"/>
              <w:rPr>
                <w:color w:val="auto"/>
                <w:szCs w:val="21"/>
                <w:highlight w:val="none"/>
              </w:rPr>
            </w:pPr>
          </w:p>
        </w:tc>
        <w:tc>
          <w:tcPr>
            <w:tcW w:w="2652" w:type="dxa"/>
            <w:noWrap w:val="0"/>
            <w:vAlign w:val="center"/>
          </w:tcPr>
          <w:p w14:paraId="028E3D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rPr>
            </w:pPr>
            <w:r>
              <w:rPr>
                <w:rFonts w:hint="eastAsia" w:ascii="宋体" w:hAnsi="宋体"/>
                <w:color w:val="auto"/>
                <w:szCs w:val="21"/>
                <w:highlight w:val="none"/>
              </w:rPr>
              <w:t>投标函盖章</w:t>
            </w:r>
          </w:p>
        </w:tc>
        <w:tc>
          <w:tcPr>
            <w:tcW w:w="4533" w:type="dxa"/>
            <w:noWrap w:val="0"/>
            <w:vAlign w:val="center"/>
          </w:tcPr>
          <w:p w14:paraId="7BD5379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Cs w:val="21"/>
                <w:highlight w:val="none"/>
              </w:rPr>
            </w:pPr>
            <w:r>
              <w:rPr>
                <w:rFonts w:hint="eastAsia"/>
                <w:color w:val="auto"/>
                <w:szCs w:val="21"/>
                <w:highlight w:val="none"/>
              </w:rPr>
              <w:t xml:space="preserve">有加盖单位公章； </w:t>
            </w:r>
          </w:p>
        </w:tc>
      </w:tr>
      <w:tr w14:paraId="63C0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17871576">
            <w:pPr>
              <w:spacing w:line="360" w:lineRule="auto"/>
              <w:jc w:val="center"/>
              <w:rPr>
                <w:color w:val="auto"/>
                <w:szCs w:val="21"/>
                <w:highlight w:val="none"/>
              </w:rPr>
            </w:pPr>
          </w:p>
        </w:tc>
        <w:tc>
          <w:tcPr>
            <w:tcW w:w="1159" w:type="dxa"/>
            <w:vMerge w:val="continue"/>
            <w:noWrap w:val="0"/>
            <w:vAlign w:val="center"/>
          </w:tcPr>
          <w:p w14:paraId="774F446E">
            <w:pPr>
              <w:spacing w:line="360" w:lineRule="auto"/>
              <w:jc w:val="center"/>
              <w:rPr>
                <w:color w:val="auto"/>
                <w:szCs w:val="21"/>
                <w:highlight w:val="none"/>
              </w:rPr>
            </w:pPr>
          </w:p>
        </w:tc>
        <w:tc>
          <w:tcPr>
            <w:tcW w:w="2652" w:type="dxa"/>
            <w:noWrap w:val="0"/>
            <w:vAlign w:val="center"/>
          </w:tcPr>
          <w:p w14:paraId="676D27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宋体" w:hAnsi="宋体"/>
                <w:color w:val="auto"/>
                <w:szCs w:val="21"/>
                <w:highlight w:val="none"/>
              </w:rPr>
            </w:pPr>
            <w:r>
              <w:rPr>
                <w:rFonts w:hint="eastAsia" w:ascii="宋体" w:hAnsi="宋体"/>
                <w:color w:val="auto"/>
                <w:szCs w:val="21"/>
                <w:highlight w:val="none"/>
              </w:rPr>
              <w:t>联合体申请人</w:t>
            </w:r>
          </w:p>
        </w:tc>
        <w:tc>
          <w:tcPr>
            <w:tcW w:w="4533" w:type="dxa"/>
            <w:noWrap w:val="0"/>
            <w:vAlign w:val="center"/>
          </w:tcPr>
          <w:p w14:paraId="3C421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宋体" w:hAnsi="宋体"/>
                <w:color w:val="auto"/>
                <w:szCs w:val="21"/>
                <w:highlight w:val="none"/>
              </w:rPr>
            </w:pPr>
            <w:r>
              <w:rPr>
                <w:rFonts w:hint="eastAsia" w:ascii="宋体" w:hAnsi="宋体"/>
                <w:color w:val="auto"/>
                <w:szCs w:val="21"/>
                <w:highlight w:val="none"/>
              </w:rPr>
              <w:t>提交联合体协议书，并明确联合体</w:t>
            </w:r>
            <w:r>
              <w:rPr>
                <w:rFonts w:hint="eastAsia" w:ascii="宋体" w:hAnsi="宋体"/>
                <w:color w:val="auto"/>
                <w:szCs w:val="21"/>
                <w:highlight w:val="none"/>
                <w:lang w:eastAsia="zh-CN"/>
              </w:rPr>
              <w:t>主办方</w:t>
            </w:r>
            <w:r>
              <w:rPr>
                <w:rFonts w:hint="eastAsia" w:ascii="宋体" w:hAnsi="宋体"/>
                <w:color w:val="auto"/>
                <w:szCs w:val="21"/>
                <w:highlight w:val="none"/>
              </w:rPr>
              <w:t>（如有）</w:t>
            </w:r>
          </w:p>
        </w:tc>
      </w:tr>
      <w:tr w14:paraId="41C1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3CC0B925">
            <w:pPr>
              <w:spacing w:line="360" w:lineRule="auto"/>
              <w:jc w:val="center"/>
              <w:rPr>
                <w:color w:val="auto"/>
                <w:szCs w:val="21"/>
                <w:highlight w:val="none"/>
              </w:rPr>
            </w:pPr>
          </w:p>
        </w:tc>
        <w:tc>
          <w:tcPr>
            <w:tcW w:w="1159" w:type="dxa"/>
            <w:vMerge w:val="continue"/>
            <w:noWrap w:val="0"/>
            <w:vAlign w:val="center"/>
          </w:tcPr>
          <w:p w14:paraId="7988273F">
            <w:pPr>
              <w:spacing w:line="360" w:lineRule="auto"/>
              <w:jc w:val="center"/>
              <w:rPr>
                <w:color w:val="auto"/>
                <w:szCs w:val="21"/>
                <w:highlight w:val="none"/>
              </w:rPr>
            </w:pPr>
          </w:p>
        </w:tc>
        <w:tc>
          <w:tcPr>
            <w:tcW w:w="2652" w:type="dxa"/>
            <w:noWrap w:val="0"/>
            <w:vAlign w:val="center"/>
          </w:tcPr>
          <w:p w14:paraId="673D2D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color w:val="auto"/>
                <w:szCs w:val="21"/>
                <w:highlight w:val="none"/>
              </w:rPr>
            </w:pPr>
            <w:r>
              <w:rPr>
                <w:rFonts w:ascii="宋体" w:hAnsi="宋体"/>
                <w:color w:val="auto"/>
                <w:szCs w:val="21"/>
                <w:highlight w:val="none"/>
              </w:rPr>
              <w:t>报价唯一</w:t>
            </w:r>
          </w:p>
        </w:tc>
        <w:tc>
          <w:tcPr>
            <w:tcW w:w="4533" w:type="dxa"/>
            <w:noWrap w:val="0"/>
            <w:vAlign w:val="center"/>
          </w:tcPr>
          <w:p w14:paraId="489F6B9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color w:val="auto"/>
                <w:szCs w:val="21"/>
                <w:highlight w:val="none"/>
              </w:rPr>
            </w:pPr>
            <w:r>
              <w:rPr>
                <w:rFonts w:ascii="宋体" w:hAnsi="宋体"/>
                <w:color w:val="auto"/>
                <w:szCs w:val="21"/>
                <w:highlight w:val="none"/>
              </w:rPr>
              <w:t>只能有一个有效报价</w:t>
            </w:r>
            <w:r>
              <w:rPr>
                <w:rFonts w:hint="eastAsia" w:ascii="宋体" w:hAnsi="宋体"/>
                <w:color w:val="auto"/>
                <w:szCs w:val="21"/>
                <w:highlight w:val="none"/>
              </w:rPr>
              <w:t>（指符合</w:t>
            </w:r>
            <w:r>
              <w:rPr>
                <w:rFonts w:hint="eastAsia"/>
                <w:color w:val="auto"/>
                <w:highlight w:val="none"/>
              </w:rPr>
              <w:t>第三章“评标办法”</w:t>
            </w:r>
            <w:r>
              <w:rPr>
                <w:rFonts w:hint="eastAsia" w:ascii="宋体" w:hAnsi="宋体"/>
                <w:color w:val="auto"/>
                <w:szCs w:val="21"/>
                <w:highlight w:val="none"/>
              </w:rPr>
              <w:t>2.2.2规定的有效投标报价）</w:t>
            </w:r>
          </w:p>
        </w:tc>
      </w:tr>
      <w:tr w14:paraId="784C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7A335F3C">
            <w:pPr>
              <w:spacing w:line="360" w:lineRule="auto"/>
              <w:jc w:val="center"/>
              <w:rPr>
                <w:color w:val="auto"/>
                <w:szCs w:val="21"/>
                <w:highlight w:val="none"/>
              </w:rPr>
            </w:pPr>
          </w:p>
        </w:tc>
        <w:tc>
          <w:tcPr>
            <w:tcW w:w="1159" w:type="dxa"/>
            <w:vMerge w:val="continue"/>
            <w:noWrap w:val="0"/>
            <w:vAlign w:val="center"/>
          </w:tcPr>
          <w:p w14:paraId="2C38C23C">
            <w:pPr>
              <w:spacing w:line="360" w:lineRule="auto"/>
              <w:jc w:val="center"/>
              <w:rPr>
                <w:color w:val="auto"/>
                <w:szCs w:val="21"/>
                <w:highlight w:val="none"/>
              </w:rPr>
            </w:pPr>
          </w:p>
        </w:tc>
        <w:tc>
          <w:tcPr>
            <w:tcW w:w="2652" w:type="dxa"/>
            <w:noWrap w:val="0"/>
            <w:vAlign w:val="center"/>
          </w:tcPr>
          <w:p w14:paraId="79E988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kern w:val="2"/>
                <w:sz w:val="21"/>
                <w:szCs w:val="22"/>
                <w:highlight w:val="none"/>
                <w:lang w:val="en-US" w:eastAsia="zh-CN" w:bidi="ar-SA"/>
              </w:rPr>
            </w:pPr>
            <w:r>
              <w:rPr>
                <w:rFonts w:hint="eastAsia"/>
                <w:color w:val="auto"/>
                <w:highlight w:val="none"/>
              </w:rPr>
              <w:t>投标人与其他投标人加密打包投标文件电脑机器特征码</w:t>
            </w:r>
            <w:r>
              <w:rPr>
                <w:rFonts w:hint="eastAsia"/>
                <w:color w:val="auto"/>
                <w:highlight w:val="none"/>
                <w:lang w:eastAsia="zh-CN"/>
              </w:rPr>
              <w:t>不</w:t>
            </w:r>
            <w:r>
              <w:rPr>
                <w:rFonts w:hint="eastAsia"/>
                <w:color w:val="auto"/>
                <w:highlight w:val="none"/>
              </w:rPr>
              <w:t>一致的</w:t>
            </w:r>
          </w:p>
        </w:tc>
        <w:tc>
          <w:tcPr>
            <w:tcW w:w="4533" w:type="dxa"/>
            <w:noWrap w:val="0"/>
            <w:vAlign w:val="center"/>
          </w:tcPr>
          <w:p w14:paraId="5ADA1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kern w:val="2"/>
                <w:sz w:val="21"/>
                <w:szCs w:val="22"/>
                <w:highlight w:val="none"/>
                <w:lang w:val="en-US" w:eastAsia="zh-CN" w:bidi="ar-SA"/>
              </w:rPr>
            </w:pPr>
            <w:r>
              <w:rPr>
                <w:rFonts w:hint="eastAsia"/>
                <w:color w:val="auto"/>
                <w:highlight w:val="none"/>
              </w:rPr>
              <w:t>投标人与</w:t>
            </w:r>
            <w:r>
              <w:rPr>
                <w:rFonts w:hint="eastAsia"/>
                <w:color w:val="auto"/>
                <w:highlight w:val="none"/>
                <w:lang w:eastAsia="zh-CN"/>
              </w:rPr>
              <w:t>本项目</w:t>
            </w:r>
            <w:r>
              <w:rPr>
                <w:rFonts w:hint="eastAsia"/>
                <w:color w:val="auto"/>
                <w:highlight w:val="none"/>
              </w:rPr>
              <w:t>其他投标人加密打包投标文件电脑机器特征码</w:t>
            </w:r>
            <w:r>
              <w:rPr>
                <w:rFonts w:hint="eastAsia"/>
                <w:color w:val="auto"/>
                <w:highlight w:val="none"/>
                <w:lang w:eastAsia="zh-CN"/>
              </w:rPr>
              <w:t>不</w:t>
            </w:r>
            <w:r>
              <w:rPr>
                <w:rFonts w:hint="eastAsia"/>
                <w:color w:val="auto"/>
                <w:highlight w:val="none"/>
              </w:rPr>
              <w:t>一致的(以</w:t>
            </w:r>
            <w:r>
              <w:rPr>
                <w:rFonts w:hint="eastAsia"/>
                <w:color w:val="auto"/>
                <w:highlight w:val="none"/>
                <w:lang w:eastAsia="zh-CN"/>
              </w:rPr>
              <w:t>广州交易集团有限公司（广州公共资源交易中心）交易</w:t>
            </w:r>
            <w:r>
              <w:rPr>
                <w:rFonts w:hint="eastAsia"/>
                <w:color w:val="auto"/>
                <w:highlight w:val="none"/>
              </w:rPr>
              <w:t>平台</w:t>
            </w:r>
            <w:r>
              <w:rPr>
                <w:rFonts w:hint="eastAsia"/>
                <w:color w:val="auto"/>
                <w:highlight w:val="none"/>
                <w:lang w:eastAsia="zh-CN"/>
              </w:rPr>
              <w:t>开标</w:t>
            </w:r>
            <w:r>
              <w:rPr>
                <w:rFonts w:hint="eastAsia"/>
                <w:color w:val="auto"/>
                <w:highlight w:val="none"/>
              </w:rPr>
              <w:t>系统的检索信息为准)</w:t>
            </w:r>
          </w:p>
        </w:tc>
      </w:tr>
      <w:tr w14:paraId="45DF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672" w:type="dxa"/>
            <w:vMerge w:val="continue"/>
            <w:noWrap w:val="0"/>
            <w:vAlign w:val="center"/>
          </w:tcPr>
          <w:p w14:paraId="63C36E7D">
            <w:pPr>
              <w:spacing w:line="360" w:lineRule="auto"/>
              <w:jc w:val="center"/>
              <w:rPr>
                <w:color w:val="auto"/>
                <w:szCs w:val="21"/>
                <w:highlight w:val="none"/>
              </w:rPr>
            </w:pPr>
          </w:p>
        </w:tc>
        <w:tc>
          <w:tcPr>
            <w:tcW w:w="1159" w:type="dxa"/>
            <w:vMerge w:val="continue"/>
            <w:noWrap w:val="0"/>
            <w:vAlign w:val="center"/>
          </w:tcPr>
          <w:p w14:paraId="5CC99AFE">
            <w:pPr>
              <w:spacing w:line="360" w:lineRule="auto"/>
              <w:jc w:val="center"/>
              <w:rPr>
                <w:color w:val="auto"/>
                <w:szCs w:val="21"/>
                <w:highlight w:val="none"/>
              </w:rPr>
            </w:pPr>
          </w:p>
        </w:tc>
        <w:tc>
          <w:tcPr>
            <w:tcW w:w="2652" w:type="dxa"/>
            <w:noWrap w:val="0"/>
            <w:vAlign w:val="center"/>
          </w:tcPr>
          <w:p w14:paraId="771E73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宋体" w:hAnsi="宋体"/>
                <w:color w:val="auto"/>
                <w:szCs w:val="21"/>
                <w:highlight w:val="none"/>
              </w:rPr>
            </w:pPr>
            <w:r>
              <w:rPr>
                <w:rFonts w:hint="eastAsia"/>
                <w:color w:val="auto"/>
                <w:highlight w:val="none"/>
              </w:rPr>
              <w:t>投标人与其他投标人</w:t>
            </w:r>
            <w:r>
              <w:rPr>
                <w:rFonts w:hint="eastAsia"/>
                <w:color w:val="auto"/>
                <w:highlight w:val="none"/>
                <w:lang w:eastAsia="zh-CN"/>
              </w:rPr>
              <w:t>的</w:t>
            </w:r>
            <w:r>
              <w:rPr>
                <w:rFonts w:hint="eastAsia"/>
                <w:color w:val="auto"/>
                <w:highlight w:val="none"/>
              </w:rPr>
              <w:t>投标文件</w:t>
            </w:r>
            <w:r>
              <w:rPr>
                <w:rFonts w:hint="eastAsia"/>
                <w:color w:val="auto"/>
                <w:highlight w:val="none"/>
                <w:lang w:eastAsia="zh-CN"/>
              </w:rPr>
              <w:t>工程量清单编制机器硬件信息不</w:t>
            </w:r>
            <w:r>
              <w:rPr>
                <w:rFonts w:hint="eastAsia"/>
                <w:color w:val="auto"/>
                <w:highlight w:val="none"/>
              </w:rPr>
              <w:t>一致的</w:t>
            </w:r>
          </w:p>
        </w:tc>
        <w:tc>
          <w:tcPr>
            <w:tcW w:w="4533" w:type="dxa"/>
            <w:noWrap w:val="0"/>
            <w:vAlign w:val="center"/>
          </w:tcPr>
          <w:p w14:paraId="2973A6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宋体" w:hAnsi="宋体"/>
                <w:color w:val="auto"/>
                <w:szCs w:val="21"/>
                <w:highlight w:val="none"/>
              </w:rPr>
            </w:pPr>
            <w:r>
              <w:rPr>
                <w:rFonts w:hint="eastAsia"/>
                <w:color w:val="auto"/>
                <w:highlight w:val="none"/>
              </w:rPr>
              <w:t>投标人与</w:t>
            </w:r>
            <w:r>
              <w:rPr>
                <w:rFonts w:hint="eastAsia"/>
                <w:color w:val="auto"/>
                <w:highlight w:val="none"/>
                <w:lang w:eastAsia="zh-CN"/>
              </w:rPr>
              <w:t>本项目</w:t>
            </w:r>
            <w:r>
              <w:rPr>
                <w:rFonts w:hint="eastAsia"/>
                <w:color w:val="auto"/>
                <w:highlight w:val="none"/>
              </w:rPr>
              <w:t>其他投标人</w:t>
            </w:r>
            <w:r>
              <w:rPr>
                <w:rFonts w:hint="eastAsia"/>
                <w:color w:val="auto"/>
                <w:highlight w:val="none"/>
                <w:lang w:eastAsia="zh-CN"/>
              </w:rPr>
              <w:t>的</w:t>
            </w:r>
            <w:r>
              <w:rPr>
                <w:rFonts w:hint="eastAsia"/>
                <w:color w:val="auto"/>
                <w:highlight w:val="none"/>
              </w:rPr>
              <w:t>投标文件</w:t>
            </w:r>
            <w:r>
              <w:rPr>
                <w:rFonts w:hint="eastAsia"/>
                <w:color w:val="auto"/>
                <w:highlight w:val="none"/>
                <w:lang w:eastAsia="zh-CN"/>
              </w:rPr>
              <w:t>工程量清单编制机器硬件信息不</w:t>
            </w:r>
            <w:r>
              <w:rPr>
                <w:rFonts w:hint="eastAsia"/>
                <w:color w:val="auto"/>
                <w:highlight w:val="none"/>
              </w:rPr>
              <w:t>一致的(以</w:t>
            </w:r>
            <w:r>
              <w:rPr>
                <w:rFonts w:hint="eastAsia"/>
                <w:color w:val="auto"/>
                <w:highlight w:val="none"/>
                <w:lang w:eastAsia="zh-CN"/>
              </w:rPr>
              <w:t>广州交易集团有限公司（广州公共资源交易中心）</w:t>
            </w:r>
            <w:r>
              <w:rPr>
                <w:rFonts w:hint="eastAsia"/>
                <w:color w:val="auto"/>
                <w:highlight w:val="none"/>
              </w:rPr>
              <w:t>交易平台</w:t>
            </w:r>
            <w:r>
              <w:rPr>
                <w:rFonts w:hint="eastAsia"/>
                <w:color w:val="auto"/>
                <w:highlight w:val="none"/>
                <w:lang w:val="en-US" w:eastAsia="zh-CN"/>
              </w:rPr>
              <w:t>评标系统</w:t>
            </w:r>
            <w:r>
              <w:rPr>
                <w:rFonts w:hint="eastAsia"/>
                <w:color w:val="auto"/>
                <w:highlight w:val="none"/>
              </w:rPr>
              <w:t>的检索信息为准)</w:t>
            </w:r>
          </w:p>
        </w:tc>
      </w:tr>
      <w:tr w14:paraId="75DB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restart"/>
            <w:noWrap w:val="0"/>
            <w:vAlign w:val="center"/>
          </w:tcPr>
          <w:p w14:paraId="641DA474">
            <w:pPr>
              <w:spacing w:line="360" w:lineRule="auto"/>
              <w:jc w:val="center"/>
              <w:rPr>
                <w:color w:val="auto"/>
                <w:szCs w:val="21"/>
                <w:highlight w:val="none"/>
              </w:rPr>
            </w:pPr>
            <w:r>
              <w:rPr>
                <w:color w:val="auto"/>
                <w:szCs w:val="21"/>
                <w:highlight w:val="none"/>
              </w:rPr>
              <w:t>2.1.3</w:t>
            </w:r>
          </w:p>
        </w:tc>
        <w:tc>
          <w:tcPr>
            <w:tcW w:w="1159" w:type="dxa"/>
            <w:vMerge w:val="restart"/>
            <w:noWrap w:val="0"/>
            <w:vAlign w:val="center"/>
          </w:tcPr>
          <w:p w14:paraId="67384D16">
            <w:pPr>
              <w:spacing w:line="360" w:lineRule="auto"/>
              <w:jc w:val="center"/>
              <w:rPr>
                <w:color w:val="auto"/>
                <w:szCs w:val="21"/>
                <w:highlight w:val="none"/>
              </w:rPr>
            </w:pPr>
            <w:r>
              <w:rPr>
                <w:color w:val="auto"/>
                <w:szCs w:val="21"/>
                <w:highlight w:val="none"/>
              </w:rPr>
              <w:t>响应性评审标准</w:t>
            </w:r>
          </w:p>
        </w:tc>
        <w:tc>
          <w:tcPr>
            <w:tcW w:w="2652" w:type="dxa"/>
            <w:noWrap w:val="0"/>
            <w:vAlign w:val="center"/>
          </w:tcPr>
          <w:p w14:paraId="6F12E9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投标报价</w:t>
            </w:r>
          </w:p>
        </w:tc>
        <w:tc>
          <w:tcPr>
            <w:tcW w:w="4533" w:type="dxa"/>
            <w:noWrap w:val="0"/>
            <w:vAlign w:val="center"/>
          </w:tcPr>
          <w:p w14:paraId="5F8906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w:t>
            </w:r>
            <w:r>
              <w:rPr>
                <w:rFonts w:hint="eastAsia"/>
                <w:color w:val="auto"/>
                <w:szCs w:val="21"/>
                <w:highlight w:val="none"/>
              </w:rPr>
              <w:t>3</w:t>
            </w:r>
            <w:r>
              <w:rPr>
                <w:color w:val="auto"/>
                <w:szCs w:val="21"/>
                <w:highlight w:val="none"/>
              </w:rPr>
              <w:t>.</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项</w:t>
            </w:r>
            <w:r>
              <w:rPr>
                <w:rFonts w:hint="eastAsia"/>
                <w:color w:val="auto"/>
                <w:szCs w:val="21"/>
                <w:highlight w:val="none"/>
                <w:lang w:eastAsia="zh-CN"/>
              </w:rPr>
              <w:t>、</w:t>
            </w:r>
            <w:r>
              <w:rPr>
                <w:rFonts w:hint="eastAsia"/>
                <w:color w:val="auto"/>
                <w:szCs w:val="21"/>
                <w:highlight w:val="none"/>
                <w:lang w:val="en-US" w:eastAsia="zh-CN"/>
              </w:rPr>
              <w:t>3.2.4项</w:t>
            </w:r>
            <w:r>
              <w:rPr>
                <w:color w:val="auto"/>
                <w:szCs w:val="21"/>
                <w:highlight w:val="none"/>
              </w:rPr>
              <w:t>规定</w:t>
            </w:r>
          </w:p>
        </w:tc>
      </w:tr>
      <w:tr w14:paraId="2F7A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0D06CB3A">
            <w:pPr>
              <w:spacing w:line="360" w:lineRule="auto"/>
              <w:jc w:val="center"/>
              <w:rPr>
                <w:color w:val="auto"/>
                <w:szCs w:val="21"/>
                <w:highlight w:val="none"/>
              </w:rPr>
            </w:pPr>
          </w:p>
        </w:tc>
        <w:tc>
          <w:tcPr>
            <w:tcW w:w="1159" w:type="dxa"/>
            <w:vMerge w:val="continue"/>
            <w:noWrap w:val="0"/>
            <w:vAlign w:val="center"/>
          </w:tcPr>
          <w:p w14:paraId="77BB314F">
            <w:pPr>
              <w:spacing w:line="360" w:lineRule="auto"/>
              <w:jc w:val="center"/>
              <w:rPr>
                <w:color w:val="auto"/>
                <w:szCs w:val="21"/>
                <w:highlight w:val="none"/>
              </w:rPr>
            </w:pPr>
          </w:p>
        </w:tc>
        <w:tc>
          <w:tcPr>
            <w:tcW w:w="2652" w:type="dxa"/>
            <w:noWrap w:val="0"/>
            <w:vAlign w:val="center"/>
          </w:tcPr>
          <w:p w14:paraId="28FA2729">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ascii="宋体" w:hAnsi="宋体"/>
                <w:color w:val="auto"/>
                <w:szCs w:val="21"/>
                <w:highlight w:val="none"/>
              </w:rPr>
              <w:t>计划</w:t>
            </w:r>
            <w:r>
              <w:rPr>
                <w:rFonts w:ascii="宋体" w:hAnsi="宋体"/>
                <w:color w:val="auto"/>
                <w:szCs w:val="21"/>
                <w:highlight w:val="none"/>
              </w:rPr>
              <w:t>工期</w:t>
            </w:r>
          </w:p>
        </w:tc>
        <w:tc>
          <w:tcPr>
            <w:tcW w:w="4533" w:type="dxa"/>
            <w:noWrap w:val="0"/>
            <w:vAlign w:val="center"/>
          </w:tcPr>
          <w:p w14:paraId="6264E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章“投标人须知”第1.3.2项规定</w:t>
            </w:r>
          </w:p>
        </w:tc>
      </w:tr>
      <w:tr w14:paraId="36F5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1886C89A">
            <w:pPr>
              <w:spacing w:line="360" w:lineRule="auto"/>
              <w:jc w:val="center"/>
              <w:rPr>
                <w:color w:val="auto"/>
                <w:szCs w:val="21"/>
                <w:highlight w:val="none"/>
              </w:rPr>
            </w:pPr>
          </w:p>
        </w:tc>
        <w:tc>
          <w:tcPr>
            <w:tcW w:w="1159" w:type="dxa"/>
            <w:vMerge w:val="continue"/>
            <w:noWrap w:val="0"/>
            <w:vAlign w:val="center"/>
          </w:tcPr>
          <w:p w14:paraId="4F068C71">
            <w:pPr>
              <w:spacing w:line="360" w:lineRule="auto"/>
              <w:jc w:val="center"/>
              <w:rPr>
                <w:color w:val="auto"/>
                <w:szCs w:val="21"/>
                <w:highlight w:val="none"/>
              </w:rPr>
            </w:pPr>
          </w:p>
        </w:tc>
        <w:tc>
          <w:tcPr>
            <w:tcW w:w="2652" w:type="dxa"/>
            <w:noWrap w:val="0"/>
            <w:vAlign w:val="center"/>
          </w:tcPr>
          <w:p w14:paraId="7AF761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工程质量</w:t>
            </w:r>
          </w:p>
        </w:tc>
        <w:tc>
          <w:tcPr>
            <w:tcW w:w="4533" w:type="dxa"/>
            <w:noWrap w:val="0"/>
            <w:vAlign w:val="center"/>
          </w:tcPr>
          <w:p w14:paraId="101CE1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章“投标人须知”第1.3.3项规定</w:t>
            </w:r>
          </w:p>
        </w:tc>
      </w:tr>
      <w:tr w14:paraId="028B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73CAFCFD">
            <w:pPr>
              <w:spacing w:line="360" w:lineRule="auto"/>
              <w:jc w:val="center"/>
              <w:rPr>
                <w:color w:val="auto"/>
                <w:szCs w:val="21"/>
                <w:highlight w:val="none"/>
              </w:rPr>
            </w:pPr>
          </w:p>
        </w:tc>
        <w:tc>
          <w:tcPr>
            <w:tcW w:w="1159" w:type="dxa"/>
            <w:vMerge w:val="continue"/>
            <w:noWrap w:val="0"/>
            <w:vAlign w:val="center"/>
          </w:tcPr>
          <w:p w14:paraId="340D32AE">
            <w:pPr>
              <w:spacing w:line="360" w:lineRule="auto"/>
              <w:jc w:val="center"/>
              <w:rPr>
                <w:color w:val="auto"/>
                <w:szCs w:val="21"/>
                <w:highlight w:val="none"/>
              </w:rPr>
            </w:pPr>
          </w:p>
        </w:tc>
        <w:tc>
          <w:tcPr>
            <w:tcW w:w="2652" w:type="dxa"/>
            <w:noWrap w:val="0"/>
            <w:vAlign w:val="center"/>
          </w:tcPr>
          <w:p w14:paraId="4575A3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投标保证金</w:t>
            </w:r>
          </w:p>
        </w:tc>
        <w:tc>
          <w:tcPr>
            <w:tcW w:w="4533" w:type="dxa"/>
            <w:noWrap w:val="0"/>
            <w:vAlign w:val="center"/>
          </w:tcPr>
          <w:p w14:paraId="3F163B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章“投标人须知”第3.4</w:t>
            </w:r>
            <w:r>
              <w:rPr>
                <w:rFonts w:hint="eastAsia"/>
                <w:color w:val="auto"/>
                <w:szCs w:val="21"/>
                <w:highlight w:val="none"/>
              </w:rPr>
              <w:t>.1项</w:t>
            </w:r>
            <w:r>
              <w:rPr>
                <w:color w:val="auto"/>
                <w:szCs w:val="21"/>
                <w:highlight w:val="none"/>
              </w:rPr>
              <w:t>规定</w:t>
            </w:r>
          </w:p>
        </w:tc>
      </w:tr>
      <w:tr w14:paraId="515F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center"/>
          </w:tcPr>
          <w:p w14:paraId="63624A96">
            <w:pPr>
              <w:spacing w:line="360" w:lineRule="auto"/>
              <w:jc w:val="center"/>
              <w:rPr>
                <w:color w:val="auto"/>
                <w:szCs w:val="21"/>
                <w:highlight w:val="none"/>
              </w:rPr>
            </w:pPr>
          </w:p>
        </w:tc>
        <w:tc>
          <w:tcPr>
            <w:tcW w:w="1159" w:type="dxa"/>
            <w:vMerge w:val="continue"/>
            <w:noWrap w:val="0"/>
            <w:vAlign w:val="center"/>
          </w:tcPr>
          <w:p w14:paraId="0463D4CB">
            <w:pPr>
              <w:spacing w:line="360" w:lineRule="auto"/>
              <w:jc w:val="center"/>
              <w:rPr>
                <w:color w:val="auto"/>
                <w:szCs w:val="21"/>
                <w:highlight w:val="none"/>
              </w:rPr>
            </w:pPr>
          </w:p>
        </w:tc>
        <w:tc>
          <w:tcPr>
            <w:tcW w:w="2652" w:type="dxa"/>
            <w:noWrap w:val="0"/>
            <w:vAlign w:val="center"/>
          </w:tcPr>
          <w:p w14:paraId="3AD3C954">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已标价工程量清单</w:t>
            </w:r>
          </w:p>
        </w:tc>
        <w:tc>
          <w:tcPr>
            <w:tcW w:w="4533" w:type="dxa"/>
            <w:noWrap w:val="0"/>
            <w:vAlign w:val="center"/>
          </w:tcPr>
          <w:p w14:paraId="47DDAA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color w:val="auto"/>
                <w:szCs w:val="21"/>
                <w:highlight w:val="none"/>
              </w:rPr>
              <w:t>符合第</w:t>
            </w:r>
            <w:r>
              <w:rPr>
                <w:rFonts w:hint="eastAsia"/>
                <w:color w:val="auto"/>
                <w:szCs w:val="21"/>
                <w:highlight w:val="none"/>
              </w:rPr>
              <w:t>五</w:t>
            </w:r>
            <w:r>
              <w:rPr>
                <w:color w:val="auto"/>
                <w:szCs w:val="21"/>
                <w:highlight w:val="none"/>
              </w:rPr>
              <w:t>章“工程量清单”给出的范围及数量</w:t>
            </w:r>
          </w:p>
        </w:tc>
      </w:tr>
      <w:tr w14:paraId="1675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72" w:type="dxa"/>
            <w:vMerge w:val="continue"/>
            <w:noWrap w:val="0"/>
            <w:vAlign w:val="center"/>
          </w:tcPr>
          <w:p w14:paraId="7F0D02F8">
            <w:pPr>
              <w:spacing w:line="360" w:lineRule="auto"/>
              <w:jc w:val="center"/>
              <w:rPr>
                <w:color w:val="auto"/>
                <w:szCs w:val="21"/>
                <w:highlight w:val="none"/>
              </w:rPr>
            </w:pPr>
          </w:p>
        </w:tc>
        <w:tc>
          <w:tcPr>
            <w:tcW w:w="1159" w:type="dxa"/>
            <w:vMerge w:val="continue"/>
            <w:noWrap w:val="0"/>
            <w:vAlign w:val="center"/>
          </w:tcPr>
          <w:p w14:paraId="2556AC71">
            <w:pPr>
              <w:spacing w:line="360" w:lineRule="auto"/>
              <w:jc w:val="center"/>
              <w:rPr>
                <w:color w:val="auto"/>
                <w:szCs w:val="21"/>
                <w:highlight w:val="none"/>
              </w:rPr>
            </w:pPr>
          </w:p>
        </w:tc>
        <w:tc>
          <w:tcPr>
            <w:tcW w:w="2652" w:type="dxa"/>
            <w:noWrap w:val="0"/>
            <w:vAlign w:val="center"/>
          </w:tcPr>
          <w:p w14:paraId="411761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技术标准和要求</w:t>
            </w:r>
          </w:p>
        </w:tc>
        <w:tc>
          <w:tcPr>
            <w:tcW w:w="4533" w:type="dxa"/>
            <w:noWrap w:val="0"/>
            <w:vAlign w:val="center"/>
          </w:tcPr>
          <w:p w14:paraId="07C173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color w:val="auto"/>
                <w:szCs w:val="21"/>
                <w:highlight w:val="none"/>
              </w:rPr>
            </w:pPr>
            <w:r>
              <w:rPr>
                <w:rFonts w:hint="eastAsia"/>
                <w:color w:val="auto"/>
                <w:szCs w:val="21"/>
                <w:highlight w:val="none"/>
              </w:rPr>
              <w:t>符合第七章“技术标准和要求”规定</w:t>
            </w:r>
          </w:p>
        </w:tc>
      </w:tr>
      <w:tr w14:paraId="0C6E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gridSpan w:val="2"/>
            <w:noWrap w:val="0"/>
            <w:vAlign w:val="center"/>
          </w:tcPr>
          <w:p w14:paraId="545FB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color w:val="auto"/>
                <w:szCs w:val="21"/>
                <w:highlight w:val="none"/>
              </w:rPr>
            </w:pPr>
            <w:r>
              <w:rPr>
                <w:b/>
                <w:color w:val="auto"/>
                <w:szCs w:val="21"/>
                <w:highlight w:val="none"/>
              </w:rPr>
              <w:t>条款号</w:t>
            </w:r>
          </w:p>
        </w:tc>
        <w:tc>
          <w:tcPr>
            <w:tcW w:w="2652" w:type="dxa"/>
            <w:noWrap w:val="0"/>
            <w:vAlign w:val="center"/>
          </w:tcPr>
          <w:p w14:paraId="66E4A6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color w:val="auto"/>
                <w:szCs w:val="21"/>
                <w:highlight w:val="none"/>
              </w:rPr>
            </w:pPr>
            <w:r>
              <w:rPr>
                <w:b/>
                <w:color w:val="auto"/>
                <w:szCs w:val="21"/>
                <w:highlight w:val="none"/>
              </w:rPr>
              <w:t>条款内容</w:t>
            </w:r>
          </w:p>
        </w:tc>
        <w:tc>
          <w:tcPr>
            <w:tcW w:w="4533" w:type="dxa"/>
            <w:noWrap w:val="0"/>
            <w:vAlign w:val="center"/>
          </w:tcPr>
          <w:p w14:paraId="71B9B5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color w:val="auto"/>
                <w:szCs w:val="21"/>
                <w:highlight w:val="none"/>
              </w:rPr>
            </w:pPr>
            <w:r>
              <w:rPr>
                <w:b/>
                <w:color w:val="auto"/>
                <w:szCs w:val="21"/>
                <w:highlight w:val="none"/>
              </w:rPr>
              <w:t>编列内容</w:t>
            </w:r>
          </w:p>
        </w:tc>
      </w:tr>
      <w:tr w14:paraId="706E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831" w:type="dxa"/>
            <w:gridSpan w:val="2"/>
            <w:noWrap w:val="0"/>
            <w:vAlign w:val="center"/>
          </w:tcPr>
          <w:p w14:paraId="0A5A0C30">
            <w:pPr>
              <w:spacing w:line="360" w:lineRule="auto"/>
              <w:jc w:val="center"/>
              <w:rPr>
                <w:color w:val="auto"/>
                <w:szCs w:val="21"/>
                <w:highlight w:val="none"/>
              </w:rPr>
            </w:pPr>
            <w:r>
              <w:rPr>
                <w:color w:val="auto"/>
                <w:szCs w:val="21"/>
                <w:highlight w:val="none"/>
              </w:rPr>
              <w:t>2.2.1</w:t>
            </w:r>
          </w:p>
        </w:tc>
        <w:tc>
          <w:tcPr>
            <w:tcW w:w="2652" w:type="dxa"/>
            <w:noWrap w:val="0"/>
            <w:vAlign w:val="center"/>
          </w:tcPr>
          <w:p w14:paraId="2F180A15">
            <w:pPr>
              <w:spacing w:line="360" w:lineRule="auto"/>
              <w:jc w:val="center"/>
              <w:rPr>
                <w:color w:val="auto"/>
                <w:szCs w:val="21"/>
                <w:highlight w:val="none"/>
              </w:rPr>
            </w:pPr>
            <w:r>
              <w:rPr>
                <w:color w:val="auto"/>
                <w:szCs w:val="21"/>
                <w:highlight w:val="none"/>
              </w:rPr>
              <w:t>分值构成</w:t>
            </w:r>
          </w:p>
          <w:p w14:paraId="63FC1DB2">
            <w:pPr>
              <w:spacing w:line="360" w:lineRule="auto"/>
              <w:jc w:val="center"/>
              <w:rPr>
                <w:color w:val="auto"/>
                <w:szCs w:val="21"/>
                <w:highlight w:val="none"/>
              </w:rPr>
            </w:pPr>
            <w:r>
              <w:rPr>
                <w:color w:val="auto"/>
                <w:szCs w:val="21"/>
                <w:highlight w:val="none"/>
              </w:rPr>
              <w:t>(总分100分)</w:t>
            </w:r>
          </w:p>
        </w:tc>
        <w:tc>
          <w:tcPr>
            <w:tcW w:w="4533" w:type="dxa"/>
            <w:noWrap w:val="0"/>
            <w:vAlign w:val="center"/>
          </w:tcPr>
          <w:p w14:paraId="44DA577C">
            <w:pPr>
              <w:numPr>
                <w:ilvl w:val="0"/>
                <w:numId w:val="0"/>
              </w:numPr>
              <w:spacing w:line="360" w:lineRule="auto"/>
              <w:rPr>
                <w:rFonts w:hint="eastAsia" w:eastAsia="宋体" w:cs="Times New Roman"/>
                <w:color w:val="auto"/>
                <w:szCs w:val="21"/>
                <w:highlight w:val="none"/>
                <w:lang w:eastAsia="zh-CN"/>
              </w:rPr>
            </w:pPr>
            <w:r>
              <w:rPr>
                <w:rFonts w:hint="eastAsia" w:eastAsia="宋体" w:cs="Times New Roman"/>
                <w:color w:val="auto"/>
                <w:szCs w:val="21"/>
                <w:highlight w:val="none"/>
                <w:lang w:val="en-US" w:eastAsia="zh-CN"/>
              </w:rPr>
              <w:t>1.</w:t>
            </w:r>
            <w:r>
              <w:rPr>
                <w:rFonts w:hint="eastAsia" w:eastAsia="宋体" w:cs="Times New Roman"/>
                <w:color w:val="auto"/>
                <w:szCs w:val="21"/>
                <w:highlight w:val="none"/>
              </w:rPr>
              <w:t>技术评审权重：</w:t>
            </w:r>
            <w:r>
              <w:rPr>
                <w:rFonts w:hint="eastAsia" w:cs="Times New Roman"/>
                <w:color w:val="auto"/>
                <w:szCs w:val="21"/>
                <w:highlight w:val="none"/>
                <w:u w:val="single"/>
                <w:lang w:val="en-US" w:eastAsia="zh-CN"/>
              </w:rPr>
              <w:t>12.4</w:t>
            </w:r>
            <w:r>
              <w:rPr>
                <w:rFonts w:hint="eastAsia" w:eastAsia="宋体" w:cs="Times New Roman"/>
                <w:color w:val="auto"/>
                <w:szCs w:val="21"/>
                <w:highlight w:val="none"/>
                <w:u w:val="single"/>
                <w:lang w:val="en-US" w:eastAsia="zh-CN"/>
              </w:rPr>
              <w:t>%</w:t>
            </w:r>
          </w:p>
          <w:p w14:paraId="11D659A7">
            <w:pPr>
              <w:numPr>
                <w:ilvl w:val="0"/>
                <w:numId w:val="0"/>
              </w:numPr>
              <w:spacing w:line="360" w:lineRule="auto"/>
              <w:rPr>
                <w:rFonts w:hint="eastAsia" w:eastAsia="宋体" w:cs="Times New Roman"/>
                <w:color w:val="auto"/>
                <w:szCs w:val="21"/>
                <w:highlight w:val="none"/>
                <w:lang w:eastAsia="zh-CN"/>
              </w:rPr>
            </w:pPr>
            <w:r>
              <w:rPr>
                <w:rFonts w:hint="eastAsia" w:eastAsia="宋体" w:cs="Times New Roman"/>
                <w:color w:val="auto"/>
                <w:szCs w:val="21"/>
                <w:highlight w:val="none"/>
              </w:rPr>
              <w:t>2.商务评审权重：</w:t>
            </w:r>
            <w:r>
              <w:rPr>
                <w:rFonts w:hint="eastAsia" w:cs="Times New Roman"/>
                <w:color w:val="auto"/>
                <w:szCs w:val="21"/>
                <w:highlight w:val="none"/>
                <w:u w:val="single"/>
                <w:lang w:val="en-US" w:eastAsia="zh-CN"/>
              </w:rPr>
              <w:t>7.6</w:t>
            </w:r>
            <w:r>
              <w:rPr>
                <w:rFonts w:hint="eastAsia" w:eastAsia="宋体" w:cs="Times New Roman"/>
                <w:color w:val="auto"/>
                <w:szCs w:val="21"/>
                <w:highlight w:val="none"/>
                <w:u w:val="single"/>
                <w:lang w:val="en-US" w:eastAsia="zh-CN"/>
              </w:rPr>
              <w:t>%</w:t>
            </w:r>
          </w:p>
          <w:p w14:paraId="72E22D28">
            <w:pPr>
              <w:rPr>
                <w:color w:val="auto"/>
                <w:szCs w:val="21"/>
                <w:highlight w:val="none"/>
              </w:rPr>
            </w:pPr>
            <w:r>
              <w:rPr>
                <w:rFonts w:hint="eastAsia" w:eastAsia="宋体" w:cs="Times New Roman"/>
                <w:color w:val="auto"/>
                <w:szCs w:val="21"/>
                <w:highlight w:val="none"/>
              </w:rPr>
              <w:t>3.投标报价权重：</w:t>
            </w:r>
            <w:r>
              <w:rPr>
                <w:rFonts w:hint="eastAsia" w:cs="Times New Roman"/>
                <w:color w:val="auto"/>
                <w:szCs w:val="21"/>
                <w:highlight w:val="none"/>
                <w:u w:val="single"/>
                <w:lang w:val="en-US" w:eastAsia="zh-CN"/>
              </w:rPr>
              <w:t>80</w:t>
            </w:r>
            <w:r>
              <w:rPr>
                <w:rFonts w:hint="eastAsia" w:eastAsia="宋体" w:cs="Times New Roman"/>
                <w:color w:val="auto"/>
                <w:szCs w:val="21"/>
                <w:highlight w:val="none"/>
                <w:u w:val="single"/>
                <w:lang w:val="en-US" w:eastAsia="zh-CN"/>
              </w:rPr>
              <w:t>%</w:t>
            </w:r>
          </w:p>
        </w:tc>
      </w:tr>
      <w:tr w14:paraId="31B9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831" w:type="dxa"/>
            <w:gridSpan w:val="2"/>
            <w:noWrap w:val="0"/>
            <w:vAlign w:val="center"/>
          </w:tcPr>
          <w:p w14:paraId="19B1E315">
            <w:pPr>
              <w:spacing w:line="360" w:lineRule="auto"/>
              <w:jc w:val="center"/>
              <w:rPr>
                <w:color w:val="auto"/>
                <w:szCs w:val="21"/>
                <w:highlight w:val="none"/>
              </w:rPr>
            </w:pPr>
            <w:r>
              <w:rPr>
                <w:rFonts w:hint="eastAsia"/>
                <w:b/>
                <w:color w:val="auto"/>
                <w:szCs w:val="21"/>
                <w:highlight w:val="none"/>
              </w:rPr>
              <w:t>2.2.3</w:t>
            </w:r>
          </w:p>
        </w:tc>
        <w:tc>
          <w:tcPr>
            <w:tcW w:w="2652" w:type="dxa"/>
            <w:noWrap w:val="0"/>
            <w:vAlign w:val="center"/>
          </w:tcPr>
          <w:p w14:paraId="5EBAB02F">
            <w:pPr>
              <w:spacing w:line="360" w:lineRule="auto"/>
              <w:jc w:val="center"/>
              <w:rPr>
                <w:color w:val="auto"/>
                <w:szCs w:val="21"/>
                <w:highlight w:val="none"/>
              </w:rPr>
            </w:pPr>
            <w:r>
              <w:rPr>
                <w:rFonts w:hint="eastAsia"/>
                <w:b/>
                <w:color w:val="auto"/>
                <w:szCs w:val="21"/>
                <w:highlight w:val="none"/>
              </w:rPr>
              <w:t>评标基准价计算方法</w:t>
            </w:r>
          </w:p>
        </w:tc>
        <w:tc>
          <w:tcPr>
            <w:tcW w:w="4533" w:type="dxa"/>
            <w:noWrap w:val="0"/>
            <w:vAlign w:val="center"/>
          </w:tcPr>
          <w:p w14:paraId="7FE226AF">
            <w:pPr>
              <w:spacing w:line="360" w:lineRule="auto"/>
              <w:jc w:val="left"/>
              <w:rPr>
                <w:rFonts w:hint="eastAsia" w:eastAsia="宋体" w:cs="Times New Roman"/>
                <w:color w:val="auto"/>
                <w:szCs w:val="21"/>
                <w:highlight w:val="none"/>
              </w:rPr>
            </w:pPr>
            <w:r>
              <w:rPr>
                <w:rFonts w:hint="eastAsia" w:eastAsia="宋体" w:cs="Times New Roman"/>
                <w:color w:val="auto"/>
                <w:szCs w:val="21"/>
                <w:highlight w:val="none"/>
              </w:rPr>
              <w:t>将技术评审得分的前N名排序（若技术评审得分相同的，由评标委员会采用记名投票方式，确定投标人的排序。）</w:t>
            </w:r>
          </w:p>
          <w:p w14:paraId="20F0673C">
            <w:pPr>
              <w:spacing w:line="360" w:lineRule="auto"/>
              <w:jc w:val="left"/>
              <w:rPr>
                <w:rFonts w:hint="eastAsia" w:eastAsia="宋体" w:cs="Times New Roman"/>
                <w:color w:val="auto"/>
                <w:szCs w:val="21"/>
                <w:highlight w:val="none"/>
              </w:rPr>
            </w:pPr>
            <w:r>
              <w:rPr>
                <w:rFonts w:hint="eastAsia" w:eastAsia="宋体" w:cs="Times New Roman"/>
                <w:color w:val="auto"/>
                <w:szCs w:val="21"/>
                <w:highlight w:val="none"/>
              </w:rPr>
              <w:t>1、当有效投标报价的投标人少于或等于7个时，取全部有效投标报价的算术平均按随机抽取的评标基准价下浮率（2～5%，0.5一个级别）下浮作为评标基准价。</w:t>
            </w:r>
          </w:p>
          <w:p w14:paraId="56025E52">
            <w:pPr>
              <w:spacing w:line="360" w:lineRule="auto"/>
              <w:jc w:val="left"/>
              <w:rPr>
                <w:rFonts w:hint="eastAsia" w:eastAsia="宋体" w:cs="Times New Roman"/>
                <w:color w:val="auto"/>
                <w:szCs w:val="21"/>
                <w:highlight w:val="none"/>
              </w:rPr>
            </w:pPr>
            <w:r>
              <w:rPr>
                <w:rFonts w:hint="eastAsia" w:eastAsia="宋体" w:cs="Times New Roman"/>
                <w:color w:val="auto"/>
                <w:szCs w:val="21"/>
                <w:highlight w:val="none"/>
              </w:rPr>
              <w:t>2、当有效投标报价的投标人大于7个小于10个时，从全部有效投标报价中去掉一个最大值和最小值，其他有效投标报价的算术平均值按随机抽取的评标基准价下浮率（2～5%，0.5一个级别）下浮作为评标基准价。</w:t>
            </w:r>
          </w:p>
          <w:p w14:paraId="24EEFF3E">
            <w:pPr>
              <w:spacing w:line="360" w:lineRule="auto"/>
              <w:jc w:val="left"/>
              <w:rPr>
                <w:rFonts w:hint="eastAsia" w:eastAsia="宋体" w:cs="Times New Roman"/>
                <w:color w:val="auto"/>
                <w:szCs w:val="21"/>
                <w:highlight w:val="none"/>
              </w:rPr>
            </w:pPr>
            <w:r>
              <w:rPr>
                <w:rFonts w:hint="eastAsia" w:eastAsia="宋体" w:cs="Times New Roman"/>
                <w:color w:val="auto"/>
                <w:szCs w:val="21"/>
                <w:highlight w:val="none"/>
              </w:rPr>
              <w:t>3、当有效投标报价的投标人数量大于或等于10时，随机从前10名抽取7个有效投标报价并从中去掉一个最大值和最小值后计算算术平均值，该平均值按随机抽取的评标基准价下浮率（2～5%，0.5一个级别）下浮作为评标基准价。</w:t>
            </w:r>
          </w:p>
        </w:tc>
      </w:tr>
      <w:tr w14:paraId="38D6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831" w:type="dxa"/>
            <w:gridSpan w:val="2"/>
            <w:noWrap w:val="0"/>
            <w:vAlign w:val="center"/>
          </w:tcPr>
          <w:p w14:paraId="230F9BE0">
            <w:pPr>
              <w:spacing w:line="360" w:lineRule="auto"/>
              <w:jc w:val="center"/>
              <w:rPr>
                <w:color w:val="auto"/>
                <w:szCs w:val="21"/>
                <w:highlight w:val="none"/>
              </w:rPr>
            </w:pPr>
            <w:r>
              <w:rPr>
                <w:rFonts w:hint="eastAsia"/>
                <w:b/>
                <w:color w:val="auto"/>
                <w:szCs w:val="21"/>
                <w:highlight w:val="none"/>
              </w:rPr>
              <w:t>2.2.4</w:t>
            </w:r>
          </w:p>
        </w:tc>
        <w:tc>
          <w:tcPr>
            <w:tcW w:w="2652" w:type="dxa"/>
            <w:noWrap w:val="0"/>
            <w:vAlign w:val="center"/>
          </w:tcPr>
          <w:p w14:paraId="5A149048">
            <w:pPr>
              <w:spacing w:line="360" w:lineRule="auto"/>
              <w:jc w:val="center"/>
              <w:rPr>
                <w:color w:val="auto"/>
                <w:szCs w:val="21"/>
                <w:highlight w:val="none"/>
              </w:rPr>
            </w:pPr>
            <w:r>
              <w:rPr>
                <w:rFonts w:hint="eastAsia"/>
                <w:color w:val="auto"/>
                <w:szCs w:val="21"/>
                <w:highlight w:val="none"/>
              </w:rPr>
              <w:t>投标报价偏差率计算公式</w:t>
            </w:r>
          </w:p>
        </w:tc>
        <w:tc>
          <w:tcPr>
            <w:tcW w:w="4533" w:type="dxa"/>
            <w:noWrap w:val="0"/>
            <w:vAlign w:val="center"/>
          </w:tcPr>
          <w:p w14:paraId="58BFAB41">
            <w:pPr>
              <w:spacing w:line="360" w:lineRule="auto"/>
              <w:jc w:val="center"/>
              <w:rPr>
                <w:rFonts w:hint="eastAsia" w:eastAsia="宋体" w:cs="Times New Roman"/>
                <w:color w:val="auto"/>
                <w:szCs w:val="21"/>
                <w:highlight w:val="none"/>
              </w:rPr>
            </w:pPr>
            <w:r>
              <w:rPr>
                <w:rFonts w:hint="eastAsia"/>
                <w:color w:val="auto"/>
                <w:szCs w:val="21"/>
                <w:highlight w:val="none"/>
              </w:rPr>
              <w:t>偏差率=（投标报价-评标基准价）/评标基准价</w:t>
            </w:r>
            <w:r>
              <w:rPr>
                <w:rFonts w:hint="eastAsia" w:ascii="宋体" w:hAnsi="宋体"/>
                <w:color w:val="auto"/>
                <w:szCs w:val="21"/>
                <w:highlight w:val="none"/>
              </w:rPr>
              <w:t>×</w:t>
            </w:r>
            <w:r>
              <w:rPr>
                <w:rFonts w:hint="eastAsia"/>
                <w:color w:val="auto"/>
                <w:szCs w:val="21"/>
                <w:highlight w:val="none"/>
              </w:rPr>
              <w:t>100%</w:t>
            </w:r>
          </w:p>
        </w:tc>
      </w:tr>
      <w:tr w14:paraId="148E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gridSpan w:val="2"/>
            <w:noWrap w:val="0"/>
            <w:vAlign w:val="center"/>
          </w:tcPr>
          <w:p w14:paraId="7A6E0214">
            <w:pPr>
              <w:spacing w:line="360" w:lineRule="auto"/>
              <w:jc w:val="center"/>
              <w:rPr>
                <w:b/>
                <w:color w:val="auto"/>
                <w:szCs w:val="21"/>
                <w:highlight w:val="none"/>
              </w:rPr>
            </w:pPr>
            <w:r>
              <w:rPr>
                <w:b/>
                <w:color w:val="auto"/>
                <w:szCs w:val="21"/>
                <w:highlight w:val="none"/>
              </w:rPr>
              <w:t>条款号</w:t>
            </w:r>
          </w:p>
        </w:tc>
        <w:tc>
          <w:tcPr>
            <w:tcW w:w="2652" w:type="dxa"/>
            <w:noWrap w:val="0"/>
            <w:vAlign w:val="center"/>
          </w:tcPr>
          <w:p w14:paraId="0E5B59ED">
            <w:pPr>
              <w:spacing w:line="360" w:lineRule="auto"/>
              <w:rPr>
                <w:b/>
                <w:color w:val="auto"/>
                <w:szCs w:val="21"/>
                <w:highlight w:val="none"/>
              </w:rPr>
            </w:pPr>
            <w:r>
              <w:rPr>
                <w:b/>
                <w:color w:val="auto"/>
                <w:szCs w:val="21"/>
                <w:highlight w:val="none"/>
              </w:rPr>
              <w:t>评分因素</w:t>
            </w:r>
          </w:p>
        </w:tc>
        <w:tc>
          <w:tcPr>
            <w:tcW w:w="4533" w:type="dxa"/>
            <w:noWrap w:val="0"/>
            <w:vAlign w:val="center"/>
          </w:tcPr>
          <w:p w14:paraId="19E4457A">
            <w:pPr>
              <w:spacing w:line="360" w:lineRule="auto"/>
              <w:rPr>
                <w:b/>
                <w:color w:val="auto"/>
                <w:szCs w:val="21"/>
                <w:highlight w:val="none"/>
              </w:rPr>
            </w:pPr>
            <w:r>
              <w:rPr>
                <w:b/>
                <w:color w:val="auto"/>
                <w:szCs w:val="21"/>
                <w:highlight w:val="none"/>
              </w:rPr>
              <w:t>评分标准</w:t>
            </w:r>
          </w:p>
        </w:tc>
      </w:tr>
      <w:tr w14:paraId="77EC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restart"/>
            <w:noWrap w:val="0"/>
            <w:vAlign w:val="center"/>
          </w:tcPr>
          <w:p w14:paraId="0BF775CD">
            <w:pPr>
              <w:spacing w:line="360" w:lineRule="auto"/>
              <w:jc w:val="center"/>
              <w:rPr>
                <w:color w:val="auto"/>
                <w:szCs w:val="21"/>
                <w:highlight w:val="none"/>
              </w:rPr>
            </w:pPr>
            <w:r>
              <w:rPr>
                <w:color w:val="auto"/>
                <w:szCs w:val="21"/>
                <w:highlight w:val="none"/>
              </w:rPr>
              <w:t>2.2.</w:t>
            </w:r>
            <w:r>
              <w:rPr>
                <w:rFonts w:hint="eastAsia"/>
                <w:color w:val="auto"/>
                <w:szCs w:val="21"/>
                <w:highlight w:val="none"/>
                <w:lang w:val="en-US" w:eastAsia="zh-CN"/>
              </w:rPr>
              <w:t>5</w:t>
            </w:r>
            <w:r>
              <w:rPr>
                <w:color w:val="auto"/>
                <w:szCs w:val="21"/>
                <w:highlight w:val="none"/>
              </w:rPr>
              <w:t>(1)</w:t>
            </w:r>
          </w:p>
        </w:tc>
        <w:tc>
          <w:tcPr>
            <w:tcW w:w="1159" w:type="dxa"/>
            <w:vMerge w:val="restart"/>
            <w:noWrap w:val="0"/>
            <w:vAlign w:val="center"/>
          </w:tcPr>
          <w:p w14:paraId="51AD0173">
            <w:pPr>
              <w:spacing w:line="360" w:lineRule="auto"/>
              <w:jc w:val="left"/>
              <w:rPr>
                <w:color w:val="auto"/>
                <w:szCs w:val="21"/>
                <w:highlight w:val="none"/>
              </w:rPr>
            </w:pPr>
            <w:r>
              <w:rPr>
                <w:rFonts w:hint="eastAsia"/>
                <w:color w:val="auto"/>
                <w:szCs w:val="21"/>
                <w:highlight w:val="none"/>
              </w:rPr>
              <w:t>技术部分</w:t>
            </w:r>
            <w:r>
              <w:rPr>
                <w:rFonts w:hint="eastAsia"/>
                <w:color w:val="auto"/>
                <w:szCs w:val="21"/>
                <w:highlight w:val="none"/>
                <w:lang w:eastAsia="zh-CN"/>
              </w:rPr>
              <w:t>评审</w:t>
            </w:r>
            <w:r>
              <w:rPr>
                <w:rFonts w:hint="eastAsia" w:eastAsia="宋体"/>
                <w:color w:val="auto"/>
                <w:szCs w:val="21"/>
                <w:highlight w:val="none"/>
              </w:rPr>
              <w:t>（100分，权重12.4%）</w:t>
            </w:r>
          </w:p>
        </w:tc>
        <w:tc>
          <w:tcPr>
            <w:tcW w:w="2652" w:type="dxa"/>
            <w:noWrap w:val="0"/>
            <w:vAlign w:val="center"/>
          </w:tcPr>
          <w:p w14:paraId="00B75175">
            <w:pPr>
              <w:snapToGrid w:val="0"/>
              <w:spacing w:line="240" w:lineRule="atLeast"/>
              <w:jc w:val="center"/>
              <w:rPr>
                <w:color w:val="auto"/>
                <w:szCs w:val="21"/>
                <w:highlight w:val="none"/>
              </w:rPr>
            </w:pPr>
            <w:r>
              <w:rPr>
                <w:rFonts w:hint="eastAsia"/>
                <w:color w:val="auto"/>
                <w:szCs w:val="21"/>
                <w:highlight w:val="none"/>
              </w:rPr>
              <w:t>施工组织设计内容完整性和编制（6分）</w:t>
            </w:r>
          </w:p>
        </w:tc>
        <w:tc>
          <w:tcPr>
            <w:tcW w:w="4533" w:type="dxa"/>
            <w:noWrap w:val="0"/>
            <w:vAlign w:val="center"/>
          </w:tcPr>
          <w:p w14:paraId="6C8F17D7">
            <w:pPr>
              <w:snapToGrid w:val="0"/>
              <w:spacing w:line="240" w:lineRule="atLeast"/>
              <w:jc w:val="left"/>
              <w:rPr>
                <w:rFonts w:hint="eastAsia"/>
                <w:color w:val="auto"/>
                <w:highlight w:val="none"/>
              </w:rPr>
            </w:pPr>
            <w:r>
              <w:rPr>
                <w:rFonts w:hint="eastAsia"/>
                <w:color w:val="auto"/>
                <w:highlight w:val="none"/>
              </w:rPr>
              <w:t>施工组织设计结构完整、措施详细，内容严谨，能图文结合，有指导性、针对性、可操作性，符合规范，包括但不限于：工程概况、施工部署及总平面布置、施工技术方案、施工进度计划及工期保证措施、施工方案与技术措施、施工质量、安全、环境保护、文明施工管理及应急保障措施。施工部署及总平面布置应符合施工现场布置实际情况，满足各项施工工序期间人员材料安全移动要求和设备安全安置要求，考虑材料外运、居民影响直接等客观现场情况，合理编制施工组织设计。</w:t>
            </w:r>
          </w:p>
          <w:p w14:paraId="36FA0EBA">
            <w:pPr>
              <w:snapToGrid w:val="0"/>
              <w:spacing w:line="240" w:lineRule="atLeast"/>
              <w:jc w:val="left"/>
              <w:rPr>
                <w:rFonts w:hint="eastAsia"/>
                <w:color w:val="auto"/>
                <w:highlight w:val="none"/>
              </w:rPr>
            </w:pPr>
            <w:r>
              <w:rPr>
                <w:rFonts w:hint="eastAsia"/>
                <w:color w:val="auto"/>
                <w:highlight w:val="none"/>
              </w:rPr>
              <w:t>【优】：制定的方案详细，工作内容切实可行，逻辑严谨，得6分，</w:t>
            </w:r>
          </w:p>
          <w:p w14:paraId="47464259">
            <w:pPr>
              <w:snapToGrid w:val="0"/>
              <w:spacing w:line="240" w:lineRule="atLeast"/>
              <w:jc w:val="left"/>
              <w:rPr>
                <w:rFonts w:hint="eastAsia" w:eastAsia="宋体"/>
                <w:color w:val="auto"/>
                <w:highlight w:val="none"/>
              </w:rPr>
            </w:pPr>
            <w:r>
              <w:rPr>
                <w:rFonts w:hint="eastAsia" w:eastAsia="宋体"/>
                <w:color w:val="auto"/>
                <w:highlight w:val="none"/>
              </w:rPr>
              <w:t>【良】：制定的方案较详细，工作内容基本可行，逻辑较严谨，得4分，</w:t>
            </w:r>
          </w:p>
          <w:p w14:paraId="36B06B8F">
            <w:pPr>
              <w:snapToGrid w:val="0"/>
              <w:spacing w:line="240" w:lineRule="atLeast"/>
              <w:jc w:val="left"/>
              <w:rPr>
                <w:rFonts w:hint="eastAsia" w:eastAsia="宋体"/>
                <w:color w:val="auto"/>
                <w:highlight w:val="none"/>
              </w:rPr>
            </w:pPr>
            <w:r>
              <w:rPr>
                <w:rFonts w:hint="eastAsia" w:eastAsia="宋体"/>
                <w:color w:val="auto"/>
                <w:highlight w:val="none"/>
              </w:rPr>
              <w:t>【一般】：制定的方案基本内容阐述缺项，逻辑混乱、不合理，可行性差，得2分，</w:t>
            </w:r>
          </w:p>
          <w:p w14:paraId="7BE8F7BE">
            <w:pPr>
              <w:snapToGrid w:val="0"/>
              <w:spacing w:line="240" w:lineRule="atLeast"/>
              <w:jc w:val="left"/>
              <w:rPr>
                <w:color w:val="auto"/>
                <w:szCs w:val="21"/>
                <w:highlight w:val="none"/>
              </w:rPr>
            </w:pPr>
            <w:r>
              <w:rPr>
                <w:rFonts w:hint="eastAsia" w:eastAsia="宋体"/>
                <w:color w:val="auto"/>
                <w:highlight w:val="none"/>
              </w:rPr>
              <w:t>【差】：未提供得0分。</w:t>
            </w:r>
          </w:p>
        </w:tc>
      </w:tr>
      <w:tr w14:paraId="692F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259EE62B">
            <w:pPr>
              <w:spacing w:line="360" w:lineRule="auto"/>
              <w:jc w:val="center"/>
              <w:rPr>
                <w:color w:val="auto"/>
                <w:szCs w:val="21"/>
                <w:highlight w:val="none"/>
              </w:rPr>
            </w:pPr>
          </w:p>
        </w:tc>
        <w:tc>
          <w:tcPr>
            <w:tcW w:w="1159" w:type="dxa"/>
            <w:vMerge w:val="continue"/>
            <w:noWrap w:val="0"/>
            <w:vAlign w:val="top"/>
          </w:tcPr>
          <w:p w14:paraId="4B719F1B">
            <w:pPr>
              <w:spacing w:line="360" w:lineRule="auto"/>
              <w:jc w:val="left"/>
              <w:rPr>
                <w:color w:val="auto"/>
                <w:szCs w:val="21"/>
                <w:highlight w:val="none"/>
              </w:rPr>
            </w:pPr>
          </w:p>
        </w:tc>
        <w:tc>
          <w:tcPr>
            <w:tcW w:w="2652" w:type="dxa"/>
            <w:shd w:val="clear" w:color="auto" w:fill="auto"/>
            <w:noWrap w:val="0"/>
            <w:vAlign w:val="center"/>
          </w:tcPr>
          <w:p w14:paraId="0FA6B051">
            <w:pPr>
              <w:snapToGrid w:val="0"/>
              <w:spacing w:line="240" w:lineRule="atLeast"/>
              <w:jc w:val="center"/>
              <w:rPr>
                <w:rFonts w:hint="eastAsia"/>
                <w:color w:val="auto"/>
                <w:szCs w:val="21"/>
                <w:highlight w:val="none"/>
              </w:rPr>
            </w:pPr>
            <w:r>
              <w:rPr>
                <w:rFonts w:hint="eastAsia"/>
                <w:color w:val="auto"/>
                <w:szCs w:val="21"/>
                <w:highlight w:val="none"/>
              </w:rPr>
              <w:t>施工方案与技术措施的合理性、科学性与可行性</w:t>
            </w:r>
          </w:p>
          <w:p w14:paraId="0114FA4D">
            <w:pPr>
              <w:snapToGrid w:val="0"/>
              <w:spacing w:line="240" w:lineRule="atLeast"/>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（6分）</w:t>
            </w:r>
          </w:p>
        </w:tc>
        <w:tc>
          <w:tcPr>
            <w:tcW w:w="4533" w:type="dxa"/>
            <w:shd w:val="clear" w:color="auto" w:fill="auto"/>
            <w:noWrap w:val="0"/>
            <w:vAlign w:val="center"/>
          </w:tcPr>
          <w:p w14:paraId="1A21CFBA">
            <w:pPr>
              <w:snapToGrid w:val="0"/>
              <w:spacing w:line="240" w:lineRule="atLeast"/>
              <w:jc w:val="left"/>
              <w:rPr>
                <w:rFonts w:hint="eastAsia" w:eastAsia="宋体"/>
                <w:color w:val="auto"/>
                <w:highlight w:val="none"/>
                <w:lang w:val="en-US" w:eastAsia="zh-CN"/>
              </w:rPr>
            </w:pPr>
            <w:r>
              <w:rPr>
                <w:rFonts w:hint="eastAsia" w:eastAsia="宋体"/>
                <w:color w:val="auto"/>
                <w:highlight w:val="none"/>
              </w:rPr>
              <w:t>针对性编制施工方案，施工</w:t>
            </w:r>
            <w:r>
              <w:rPr>
                <w:rFonts w:hint="eastAsia" w:eastAsia="宋体"/>
                <w:color w:val="auto"/>
                <w:highlight w:val="none"/>
                <w:lang w:val="en-US" w:eastAsia="zh-CN"/>
              </w:rPr>
              <w:t>方案与技术措施</w:t>
            </w:r>
            <w:r>
              <w:rPr>
                <w:rFonts w:hint="eastAsia" w:eastAsia="宋体"/>
                <w:color w:val="auto"/>
                <w:highlight w:val="none"/>
              </w:rPr>
              <w:t>结构完整、措施详细，内容严谨，符合规范</w:t>
            </w:r>
            <w:r>
              <w:rPr>
                <w:rFonts w:hint="eastAsia" w:eastAsia="宋体"/>
                <w:color w:val="auto"/>
                <w:highlight w:val="none"/>
                <w:lang w:eastAsia="zh-CN"/>
              </w:rPr>
              <w:t>，</w:t>
            </w:r>
            <w:r>
              <w:rPr>
                <w:rFonts w:hint="eastAsia" w:eastAsia="宋体"/>
                <w:color w:val="auto"/>
                <w:highlight w:val="none"/>
                <w:lang w:val="en-US" w:eastAsia="zh-CN"/>
              </w:rPr>
              <w:t>包括但不限于：工程概况、施工安排、施工准备、施工方法及主要施工保障措施等内容。能</w:t>
            </w:r>
            <w:r>
              <w:rPr>
                <w:rFonts w:hint="eastAsia" w:eastAsia="宋体"/>
                <w:color w:val="auto"/>
                <w:highlight w:val="none"/>
              </w:rPr>
              <w:t>结合现场实际情况，包括但不限于</w:t>
            </w:r>
            <w:r>
              <w:rPr>
                <w:rFonts w:hint="eastAsia" w:eastAsia="宋体"/>
                <w:color w:val="auto"/>
                <w:highlight w:val="none"/>
                <w:rtl w:val="0"/>
                <w:lang w:val="zh-TW" w:eastAsia="zh-TW"/>
              </w:rPr>
              <w:t>项目管理目标、符合项目实施特点的专业人员配置、重点部位及特殊工艺施工技术、专业劳务队伍等</w:t>
            </w:r>
            <w:r>
              <w:rPr>
                <w:rFonts w:hint="eastAsia" w:eastAsia="宋体"/>
                <w:color w:val="auto"/>
                <w:highlight w:val="none"/>
              </w:rPr>
              <w:t>，</w:t>
            </w:r>
            <w:r>
              <w:rPr>
                <w:rFonts w:hint="eastAsia" w:eastAsia="宋体"/>
                <w:color w:val="auto"/>
                <w:highlight w:val="none"/>
                <w:lang w:val="en-US" w:eastAsia="zh-CN"/>
              </w:rPr>
              <w:t>并</w:t>
            </w:r>
            <w:r>
              <w:rPr>
                <w:rFonts w:hint="eastAsia" w:eastAsia="宋体"/>
                <w:color w:val="auto"/>
                <w:highlight w:val="none"/>
              </w:rPr>
              <w:t>充分考虑施工中存在</w:t>
            </w:r>
            <w:r>
              <w:rPr>
                <w:rFonts w:hint="eastAsia" w:eastAsia="宋体"/>
                <w:color w:val="auto"/>
                <w:highlight w:val="none"/>
                <w:lang w:eastAsia="zh-CN"/>
              </w:rPr>
              <w:t>的</w:t>
            </w:r>
            <w:r>
              <w:rPr>
                <w:rFonts w:hint="eastAsia" w:eastAsia="宋体"/>
                <w:color w:val="auto"/>
                <w:highlight w:val="none"/>
                <w:lang w:val="en-US" w:eastAsia="zh-CN"/>
              </w:rPr>
              <w:t>风险</w:t>
            </w:r>
            <w:r>
              <w:rPr>
                <w:rFonts w:hint="eastAsia" w:eastAsia="宋体"/>
                <w:color w:val="auto"/>
                <w:highlight w:val="none"/>
              </w:rPr>
              <w:t>因素</w:t>
            </w:r>
            <w:r>
              <w:rPr>
                <w:rFonts w:hint="eastAsia" w:eastAsia="宋体"/>
                <w:color w:val="auto"/>
                <w:highlight w:val="none"/>
                <w:lang w:eastAsia="zh-CN"/>
              </w:rPr>
              <w:t>，</w:t>
            </w:r>
            <w:r>
              <w:rPr>
                <w:rFonts w:hint="eastAsia" w:eastAsia="宋体"/>
                <w:color w:val="auto"/>
                <w:highlight w:val="none"/>
                <w:lang w:val="en-US" w:eastAsia="zh-CN"/>
              </w:rPr>
              <w:t>采取相应的</w:t>
            </w:r>
            <w:r>
              <w:rPr>
                <w:rFonts w:hint="eastAsia" w:eastAsia="宋体"/>
                <w:color w:val="auto"/>
                <w:highlight w:val="none"/>
              </w:rPr>
              <w:t>保护措施</w:t>
            </w:r>
            <w:r>
              <w:rPr>
                <w:rFonts w:hint="eastAsia" w:eastAsia="宋体"/>
                <w:color w:val="auto"/>
                <w:highlight w:val="none"/>
                <w:lang w:val="en-US" w:eastAsia="zh-CN"/>
              </w:rPr>
              <w:t>及应急预案。</w:t>
            </w:r>
          </w:p>
          <w:p w14:paraId="21C59D91">
            <w:pPr>
              <w:keepNext w:val="0"/>
              <w:keepLines w:val="0"/>
              <w:pageBreakBefore w:val="0"/>
              <w:numPr>
                <w:ilvl w:val="-1"/>
                <w:numId w:val="0"/>
              </w:numPr>
              <w:kinsoku/>
              <w:wordWrap/>
              <w:overflowPunct/>
              <w:topLinePunct w:val="0"/>
              <w:autoSpaceDE/>
              <w:autoSpaceDN/>
              <w:bidi w:val="0"/>
              <w:adjustRightInd/>
              <w:snapToGrid w:val="0"/>
              <w:spacing w:line="240" w:lineRule="atLeast"/>
              <w:jc w:val="left"/>
              <w:textAlignment w:val="auto"/>
              <w:rPr>
                <w:rFonts w:hint="eastAsia"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rPr>
              <w:t>【优】</w:t>
            </w:r>
            <w:r>
              <w:rPr>
                <w:rFonts w:hint="eastAsia" w:ascii="Times New Roman" w:hAnsi="Times New Roman" w:eastAsia="宋体" w:cs="Times New Roman"/>
                <w:color w:val="auto"/>
                <w:kern w:val="2"/>
                <w:sz w:val="21"/>
                <w:szCs w:val="22"/>
                <w:highlight w:val="none"/>
                <w:lang w:eastAsia="zh-CN"/>
              </w:rPr>
              <w:t>：</w:t>
            </w:r>
            <w:r>
              <w:rPr>
                <w:rFonts w:hint="eastAsia" w:ascii="Times New Roman" w:eastAsia="宋体"/>
                <w:color w:val="auto"/>
                <w:highlight w:val="none"/>
              </w:rPr>
              <w:t>施工方案及施工方法先进，工程重点难点、施工关键技术工艺把握及应用准确，技术措施可以充分保障工程质量、工期和施工安全生产</w:t>
            </w:r>
            <w:r>
              <w:rPr>
                <w:rFonts w:hint="eastAsia" w:ascii="Times New Roman" w:hAnsi="Times New Roman" w:eastAsia="宋体" w:cs="Times New Roman"/>
                <w:color w:val="auto"/>
                <w:kern w:val="2"/>
                <w:sz w:val="21"/>
                <w:szCs w:val="22"/>
                <w:highlight w:val="none"/>
                <w:lang w:val="en-US" w:eastAsia="zh-CN"/>
              </w:rPr>
              <w:t>，</w:t>
            </w:r>
            <w:r>
              <w:rPr>
                <w:rFonts w:hint="eastAsia" w:ascii="Times New Roman" w:hAnsi="Times New Roman" w:eastAsia="宋体" w:cs="Times New Roman"/>
                <w:color w:val="auto"/>
                <w:kern w:val="2"/>
                <w:sz w:val="21"/>
                <w:szCs w:val="22"/>
                <w:highlight w:val="none"/>
              </w:rPr>
              <w:t>得</w:t>
            </w:r>
            <w:r>
              <w:rPr>
                <w:rFonts w:hint="eastAsia" w:ascii="Times New Roman" w:eastAsia="宋体" w:cs="Times New Roman"/>
                <w:color w:val="auto"/>
                <w:kern w:val="2"/>
                <w:sz w:val="21"/>
                <w:szCs w:val="22"/>
                <w:highlight w:val="none"/>
                <w:lang w:val="en-US" w:eastAsia="zh-CN"/>
              </w:rPr>
              <w:t>6</w:t>
            </w:r>
            <w:r>
              <w:rPr>
                <w:rFonts w:hint="eastAsia" w:ascii="Times New Roman" w:hAnsi="Times New Roman" w:eastAsia="宋体" w:cs="Times New Roman"/>
                <w:color w:val="auto"/>
                <w:kern w:val="2"/>
                <w:sz w:val="21"/>
                <w:szCs w:val="22"/>
                <w:highlight w:val="none"/>
              </w:rPr>
              <w:t>分，</w:t>
            </w:r>
          </w:p>
          <w:p w14:paraId="14928101">
            <w:pPr>
              <w:keepNext w:val="0"/>
              <w:keepLines w:val="0"/>
              <w:pageBreakBefore w:val="0"/>
              <w:numPr>
                <w:ilvl w:val="-1"/>
                <w:numId w:val="0"/>
              </w:numPr>
              <w:kinsoku/>
              <w:wordWrap/>
              <w:overflowPunct/>
              <w:topLinePunct w:val="0"/>
              <w:autoSpaceDE/>
              <w:autoSpaceDN/>
              <w:bidi w:val="0"/>
              <w:adjustRightInd/>
              <w:snapToGrid w:val="0"/>
              <w:spacing w:line="240" w:lineRule="atLeast"/>
              <w:jc w:val="left"/>
              <w:textAlignment w:val="auto"/>
              <w:rPr>
                <w:rFonts w:hint="eastAsia"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rPr>
              <w:t>【</w:t>
            </w:r>
            <w:r>
              <w:rPr>
                <w:rFonts w:hint="eastAsia" w:ascii="Times New Roman" w:hAnsi="Times New Roman" w:eastAsia="宋体" w:cs="Times New Roman"/>
                <w:color w:val="auto"/>
                <w:kern w:val="2"/>
                <w:sz w:val="21"/>
                <w:szCs w:val="22"/>
                <w:highlight w:val="none"/>
                <w:lang w:val="en-US" w:eastAsia="zh-CN"/>
              </w:rPr>
              <w:t>良</w:t>
            </w:r>
            <w:r>
              <w:rPr>
                <w:rFonts w:hint="eastAsia" w:ascii="Times New Roman" w:hAnsi="Times New Roman" w:eastAsia="宋体" w:cs="Times New Roman"/>
                <w:color w:val="auto"/>
                <w:kern w:val="2"/>
                <w:sz w:val="21"/>
                <w:szCs w:val="22"/>
                <w:highlight w:val="none"/>
              </w:rPr>
              <w:t>】</w:t>
            </w:r>
            <w:r>
              <w:rPr>
                <w:rFonts w:hint="eastAsia" w:ascii="Times New Roman" w:hAnsi="Times New Roman" w:eastAsia="宋体" w:cs="Times New Roman"/>
                <w:color w:val="auto"/>
                <w:kern w:val="2"/>
                <w:sz w:val="21"/>
                <w:szCs w:val="22"/>
                <w:highlight w:val="none"/>
                <w:lang w:eastAsia="zh-CN"/>
              </w:rPr>
              <w:t>：</w:t>
            </w:r>
            <w:r>
              <w:rPr>
                <w:rFonts w:hint="eastAsia" w:ascii="Times New Roman" w:eastAsia="宋体"/>
                <w:color w:val="auto"/>
                <w:highlight w:val="none"/>
              </w:rPr>
              <w:t>施工方案及施工方法</w:t>
            </w:r>
            <w:r>
              <w:rPr>
                <w:rFonts w:hint="eastAsia" w:ascii="Times New Roman" w:eastAsia="宋体"/>
                <w:color w:val="auto"/>
                <w:highlight w:val="none"/>
                <w:lang w:val="en-US" w:eastAsia="zh-CN"/>
              </w:rPr>
              <w:t>较</w:t>
            </w:r>
            <w:r>
              <w:rPr>
                <w:rFonts w:hint="eastAsia" w:ascii="Times New Roman" w:eastAsia="宋体"/>
                <w:color w:val="auto"/>
                <w:highlight w:val="none"/>
              </w:rPr>
              <w:t>先进，工程重点难点、施工关键技术工艺把握及应用</w:t>
            </w:r>
            <w:r>
              <w:rPr>
                <w:rFonts w:hint="eastAsia" w:ascii="Times New Roman" w:eastAsia="宋体"/>
                <w:color w:val="auto"/>
                <w:highlight w:val="none"/>
                <w:lang w:val="en-US" w:eastAsia="zh-CN"/>
              </w:rPr>
              <w:t>较</w:t>
            </w:r>
            <w:r>
              <w:rPr>
                <w:rFonts w:hint="eastAsia" w:ascii="Times New Roman" w:eastAsia="宋体"/>
                <w:color w:val="auto"/>
                <w:highlight w:val="none"/>
              </w:rPr>
              <w:t>准确，技术措施可以</w:t>
            </w:r>
            <w:r>
              <w:rPr>
                <w:rFonts w:hint="eastAsia" w:ascii="Times New Roman" w:eastAsia="宋体"/>
                <w:color w:val="auto"/>
                <w:highlight w:val="none"/>
                <w:lang w:val="en-US" w:eastAsia="zh-CN"/>
              </w:rPr>
              <w:t>基本</w:t>
            </w:r>
            <w:r>
              <w:rPr>
                <w:rFonts w:hint="eastAsia" w:ascii="Times New Roman" w:eastAsia="宋体"/>
                <w:color w:val="auto"/>
                <w:highlight w:val="none"/>
              </w:rPr>
              <w:t>保障工程质量、工期和施工安全生产</w:t>
            </w:r>
            <w:r>
              <w:rPr>
                <w:rFonts w:hint="eastAsia" w:ascii="Times New Roman" w:hAnsi="Times New Roman" w:eastAsia="宋体" w:cs="Times New Roman"/>
                <w:color w:val="auto"/>
                <w:kern w:val="2"/>
                <w:sz w:val="21"/>
                <w:szCs w:val="22"/>
                <w:highlight w:val="none"/>
                <w:lang w:val="en-US" w:eastAsia="zh-CN"/>
              </w:rPr>
              <w:t>，</w:t>
            </w:r>
            <w:r>
              <w:rPr>
                <w:rFonts w:hint="eastAsia" w:ascii="Times New Roman" w:hAnsi="Times New Roman" w:eastAsia="宋体" w:cs="Times New Roman"/>
                <w:color w:val="auto"/>
                <w:kern w:val="2"/>
                <w:sz w:val="21"/>
                <w:szCs w:val="22"/>
                <w:highlight w:val="none"/>
              </w:rPr>
              <w:t>得</w:t>
            </w:r>
            <w:r>
              <w:rPr>
                <w:rFonts w:hint="eastAsia" w:ascii="Times New Roman" w:eastAsia="宋体" w:cs="Times New Roman"/>
                <w:color w:val="auto"/>
                <w:kern w:val="2"/>
                <w:sz w:val="21"/>
                <w:szCs w:val="22"/>
                <w:highlight w:val="none"/>
                <w:lang w:val="en-US" w:eastAsia="zh-CN"/>
              </w:rPr>
              <w:t>4</w:t>
            </w:r>
            <w:r>
              <w:rPr>
                <w:rFonts w:hint="eastAsia" w:ascii="Times New Roman" w:hAnsi="Times New Roman" w:eastAsia="宋体" w:cs="Times New Roman"/>
                <w:color w:val="auto"/>
                <w:kern w:val="2"/>
                <w:sz w:val="21"/>
                <w:szCs w:val="22"/>
                <w:highlight w:val="none"/>
              </w:rPr>
              <w:t>分，</w:t>
            </w:r>
          </w:p>
          <w:p w14:paraId="3FB32806">
            <w:pPr>
              <w:keepNext w:val="0"/>
              <w:keepLines w:val="0"/>
              <w:pageBreakBefore w:val="0"/>
              <w:numPr>
                <w:ilvl w:val="-1"/>
                <w:numId w:val="0"/>
              </w:numPr>
              <w:kinsoku/>
              <w:wordWrap/>
              <w:overflowPunct/>
              <w:topLinePunct w:val="0"/>
              <w:autoSpaceDE/>
              <w:autoSpaceDN/>
              <w:bidi w:val="0"/>
              <w:adjustRightInd/>
              <w:snapToGrid w:val="0"/>
              <w:spacing w:line="240" w:lineRule="atLeast"/>
              <w:jc w:val="left"/>
              <w:textAlignment w:val="auto"/>
              <w:rPr>
                <w:rFonts w:hint="eastAsia" w:ascii="Times New Roman" w:hAnsi="Times New Roman" w:eastAsia="宋体" w:cs="Times New Roman"/>
                <w:color w:val="auto"/>
                <w:kern w:val="2"/>
                <w:sz w:val="21"/>
                <w:szCs w:val="22"/>
                <w:highlight w:val="none"/>
                <w:lang w:val="zh-CN" w:eastAsia="zh-CN"/>
              </w:rPr>
            </w:pPr>
            <w:r>
              <w:rPr>
                <w:rFonts w:hint="eastAsia" w:ascii="Times New Roman" w:hAnsi="Times New Roman" w:eastAsia="宋体" w:cs="Times New Roman"/>
                <w:color w:val="auto"/>
                <w:kern w:val="2"/>
                <w:sz w:val="21"/>
                <w:szCs w:val="22"/>
                <w:highlight w:val="none"/>
              </w:rPr>
              <w:t>【</w:t>
            </w:r>
            <w:r>
              <w:rPr>
                <w:rFonts w:hint="eastAsia" w:ascii="Times New Roman" w:hAnsi="Times New Roman" w:eastAsia="宋体" w:cs="Times New Roman"/>
                <w:color w:val="auto"/>
                <w:kern w:val="2"/>
                <w:sz w:val="21"/>
                <w:szCs w:val="22"/>
                <w:highlight w:val="none"/>
                <w:lang w:val="en-US" w:eastAsia="zh-CN"/>
              </w:rPr>
              <w:t>一般</w:t>
            </w:r>
            <w:r>
              <w:rPr>
                <w:rFonts w:hint="eastAsia" w:ascii="Times New Roman" w:hAnsi="Times New Roman" w:eastAsia="宋体" w:cs="Times New Roman"/>
                <w:color w:val="auto"/>
                <w:kern w:val="2"/>
                <w:sz w:val="21"/>
                <w:szCs w:val="22"/>
                <w:highlight w:val="none"/>
              </w:rPr>
              <w:t>】</w:t>
            </w:r>
            <w:r>
              <w:rPr>
                <w:rFonts w:hint="eastAsia" w:ascii="Times New Roman" w:hAnsi="Times New Roman" w:eastAsia="宋体" w:cs="Times New Roman"/>
                <w:color w:val="auto"/>
                <w:kern w:val="2"/>
                <w:sz w:val="21"/>
                <w:szCs w:val="22"/>
                <w:highlight w:val="none"/>
                <w:lang w:eastAsia="zh-CN"/>
              </w:rPr>
              <w:t>：</w:t>
            </w:r>
            <w:r>
              <w:rPr>
                <w:rFonts w:hint="eastAsia" w:ascii="Times New Roman" w:eastAsia="宋体"/>
                <w:color w:val="auto"/>
                <w:highlight w:val="none"/>
              </w:rPr>
              <w:t>施工方案内容阐述缺项</w:t>
            </w:r>
            <w:r>
              <w:rPr>
                <w:rFonts w:hint="eastAsia" w:ascii="Times New Roman" w:eastAsia="宋体"/>
                <w:color w:val="auto"/>
                <w:highlight w:val="none"/>
                <w:lang w:eastAsia="zh-CN"/>
              </w:rPr>
              <w:t>、</w:t>
            </w:r>
            <w:r>
              <w:rPr>
                <w:rFonts w:hint="eastAsia" w:ascii="Times New Roman" w:eastAsia="宋体"/>
                <w:color w:val="auto"/>
                <w:highlight w:val="none"/>
              </w:rPr>
              <w:t>逻辑混乱，</w:t>
            </w:r>
            <w:r>
              <w:rPr>
                <w:rFonts w:hint="eastAsia" w:ascii="Times New Roman" w:eastAsia="宋体"/>
                <w:color w:val="auto"/>
                <w:highlight w:val="none"/>
                <w:lang w:val="en-US" w:eastAsia="zh-CN"/>
              </w:rPr>
              <w:t>无法</w:t>
            </w:r>
            <w:r>
              <w:rPr>
                <w:rFonts w:hint="eastAsia" w:ascii="Times New Roman" w:eastAsia="宋体"/>
                <w:color w:val="auto"/>
                <w:highlight w:val="none"/>
              </w:rPr>
              <w:t>保障工程质量、工期和施工安全生</w:t>
            </w:r>
            <w:r>
              <w:rPr>
                <w:rFonts w:hint="eastAsia" w:ascii="Times New Roman" w:hAnsi="Times New Roman" w:eastAsia="宋体" w:cs="Times New Roman"/>
                <w:color w:val="auto"/>
                <w:kern w:val="2"/>
                <w:sz w:val="21"/>
                <w:szCs w:val="22"/>
                <w:highlight w:val="none"/>
                <w:lang w:val="en-US" w:eastAsia="zh-CN"/>
              </w:rPr>
              <w:t>，</w:t>
            </w:r>
            <w:r>
              <w:rPr>
                <w:rFonts w:hint="eastAsia" w:ascii="Times New Roman" w:hAnsi="Times New Roman" w:eastAsia="宋体" w:cs="Times New Roman"/>
                <w:color w:val="auto"/>
                <w:kern w:val="2"/>
                <w:sz w:val="21"/>
                <w:szCs w:val="22"/>
                <w:highlight w:val="none"/>
              </w:rPr>
              <w:t>得</w:t>
            </w:r>
            <w:r>
              <w:rPr>
                <w:rFonts w:hint="eastAsia" w:ascii="Times New Roman" w:eastAsia="宋体" w:cs="Times New Roman"/>
                <w:color w:val="auto"/>
                <w:kern w:val="2"/>
                <w:sz w:val="21"/>
                <w:szCs w:val="22"/>
                <w:highlight w:val="none"/>
                <w:lang w:val="en-US" w:eastAsia="zh-CN"/>
              </w:rPr>
              <w:t>2</w:t>
            </w:r>
            <w:r>
              <w:rPr>
                <w:rFonts w:hint="eastAsia" w:ascii="Times New Roman" w:hAnsi="Times New Roman" w:eastAsia="宋体" w:cs="Times New Roman"/>
                <w:color w:val="auto"/>
                <w:kern w:val="2"/>
                <w:sz w:val="21"/>
                <w:szCs w:val="22"/>
                <w:highlight w:val="none"/>
              </w:rPr>
              <w:t>分</w:t>
            </w:r>
            <w:r>
              <w:rPr>
                <w:rFonts w:hint="eastAsia" w:ascii="Times New Roman" w:hAnsi="Times New Roman" w:eastAsia="宋体" w:cs="Times New Roman"/>
                <w:color w:val="auto"/>
                <w:kern w:val="2"/>
                <w:sz w:val="21"/>
                <w:szCs w:val="22"/>
                <w:highlight w:val="none"/>
                <w:lang w:val="zh-CN" w:eastAsia="zh-CN"/>
              </w:rPr>
              <w:t>，</w:t>
            </w:r>
          </w:p>
          <w:p w14:paraId="30066BE4">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rPr>
              <w:t>【</w:t>
            </w:r>
            <w:r>
              <w:rPr>
                <w:rFonts w:hint="eastAsia" w:ascii="Times New Roman" w:hAnsi="Times New Roman" w:eastAsia="宋体" w:cs="Times New Roman"/>
                <w:color w:val="auto"/>
                <w:kern w:val="2"/>
                <w:sz w:val="21"/>
                <w:szCs w:val="22"/>
                <w:highlight w:val="none"/>
                <w:lang w:val="en-US" w:eastAsia="zh-CN"/>
              </w:rPr>
              <w:t>差</w:t>
            </w:r>
            <w:r>
              <w:rPr>
                <w:rFonts w:hint="eastAsia" w:ascii="Times New Roman" w:hAnsi="Times New Roman" w:eastAsia="宋体" w:cs="Times New Roman"/>
                <w:color w:val="auto"/>
                <w:kern w:val="2"/>
                <w:sz w:val="21"/>
                <w:szCs w:val="22"/>
                <w:highlight w:val="none"/>
              </w:rPr>
              <w:t>】</w:t>
            </w:r>
            <w:r>
              <w:rPr>
                <w:rFonts w:hint="eastAsia" w:ascii="Times New Roman" w:hAnsi="Times New Roman" w:eastAsia="宋体" w:cs="Times New Roman"/>
                <w:color w:val="auto"/>
                <w:kern w:val="2"/>
                <w:sz w:val="21"/>
                <w:szCs w:val="22"/>
                <w:highlight w:val="none"/>
                <w:lang w:val="zh-CN"/>
              </w:rPr>
              <w:t>：</w:t>
            </w:r>
            <w:r>
              <w:rPr>
                <w:rFonts w:hint="eastAsia" w:ascii="Times New Roman" w:hAnsi="Times New Roman" w:eastAsia="宋体" w:cs="Times New Roman"/>
                <w:color w:val="auto"/>
                <w:kern w:val="2"/>
                <w:sz w:val="21"/>
                <w:szCs w:val="22"/>
                <w:highlight w:val="none"/>
                <w:lang w:val="zh-CN" w:eastAsia="zh-CN"/>
              </w:rPr>
              <w:t>未提供得0分。</w:t>
            </w:r>
          </w:p>
        </w:tc>
      </w:tr>
      <w:tr w14:paraId="22D1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6A540E73">
            <w:pPr>
              <w:spacing w:line="360" w:lineRule="auto"/>
              <w:jc w:val="center"/>
              <w:rPr>
                <w:color w:val="auto"/>
                <w:szCs w:val="21"/>
                <w:highlight w:val="none"/>
              </w:rPr>
            </w:pPr>
          </w:p>
        </w:tc>
        <w:tc>
          <w:tcPr>
            <w:tcW w:w="1159" w:type="dxa"/>
            <w:vMerge w:val="continue"/>
            <w:noWrap w:val="0"/>
            <w:vAlign w:val="top"/>
          </w:tcPr>
          <w:p w14:paraId="7317B4B0">
            <w:pPr>
              <w:spacing w:line="360" w:lineRule="auto"/>
              <w:jc w:val="left"/>
              <w:rPr>
                <w:color w:val="auto"/>
                <w:szCs w:val="21"/>
                <w:highlight w:val="none"/>
              </w:rPr>
            </w:pPr>
          </w:p>
        </w:tc>
        <w:tc>
          <w:tcPr>
            <w:tcW w:w="2652" w:type="dxa"/>
            <w:shd w:val="clear" w:color="auto" w:fill="auto"/>
            <w:noWrap w:val="0"/>
            <w:vAlign w:val="center"/>
          </w:tcPr>
          <w:p w14:paraId="150D0CD6">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质量管理体系与措施（</w:t>
            </w:r>
            <w:r>
              <w:rPr>
                <w:rFonts w:hint="eastAsia" w:eastAsia="宋体"/>
                <w:color w:val="auto"/>
                <w:szCs w:val="21"/>
                <w:highlight w:val="none"/>
                <w:lang w:val="en-US" w:eastAsia="zh-CN"/>
              </w:rPr>
              <w:t>6</w:t>
            </w:r>
            <w:r>
              <w:rPr>
                <w:rFonts w:hint="eastAsia" w:eastAsia="宋体"/>
                <w:color w:val="auto"/>
                <w:szCs w:val="21"/>
                <w:highlight w:val="none"/>
              </w:rPr>
              <w:t>分）</w:t>
            </w:r>
          </w:p>
        </w:tc>
        <w:tc>
          <w:tcPr>
            <w:tcW w:w="4533" w:type="dxa"/>
            <w:shd w:val="clear" w:color="auto" w:fill="auto"/>
            <w:noWrap w:val="0"/>
            <w:vAlign w:val="center"/>
          </w:tcPr>
          <w:p w14:paraId="3D8FC46D">
            <w:pPr>
              <w:snapToGrid w:val="0"/>
              <w:spacing w:line="240" w:lineRule="atLeast"/>
              <w:jc w:val="left"/>
              <w:rPr>
                <w:rFonts w:hint="eastAsia" w:eastAsia="宋体"/>
                <w:color w:val="auto"/>
                <w:highlight w:val="none"/>
              </w:rPr>
            </w:pPr>
            <w:r>
              <w:rPr>
                <w:rFonts w:hint="eastAsia" w:eastAsia="宋体"/>
                <w:color w:val="auto"/>
                <w:highlight w:val="none"/>
              </w:rPr>
              <w:t>根据本工程的质量目标，针对</w:t>
            </w:r>
            <w:r>
              <w:rPr>
                <w:rFonts w:hint="eastAsia" w:eastAsia="宋体"/>
                <w:color w:val="auto"/>
                <w:highlight w:val="none"/>
                <w:lang w:val="en-US" w:eastAsia="zh-CN"/>
              </w:rPr>
              <w:t>施工现场的</w:t>
            </w:r>
            <w:r>
              <w:rPr>
                <w:rFonts w:hint="eastAsia" w:eastAsia="宋体"/>
                <w:color w:val="auto"/>
                <w:highlight w:val="none"/>
              </w:rPr>
              <w:t>实际情况，</w:t>
            </w:r>
            <w:r>
              <w:rPr>
                <w:rFonts w:hint="eastAsia" w:eastAsia="宋体"/>
                <w:color w:val="auto"/>
                <w:highlight w:val="none"/>
                <w:lang w:val="en-US" w:eastAsia="zh-CN"/>
              </w:rPr>
              <w:t>有切实可行的施工质量保证措施、乙供材料质量保障措施。</w:t>
            </w:r>
            <w:r>
              <w:rPr>
                <w:rFonts w:hint="eastAsia" w:eastAsia="宋体"/>
                <w:color w:val="auto"/>
                <w:highlight w:val="none"/>
              </w:rPr>
              <w:t>从质量保证体系、质量管理机构、专业实施能力保证等方面提出详细的质量保证措施。质量管理体系完善、质量保证措施得当。</w:t>
            </w:r>
          </w:p>
          <w:p w14:paraId="70BC2961">
            <w:pPr>
              <w:snapToGrid w:val="0"/>
              <w:spacing w:line="240" w:lineRule="atLeast"/>
              <w:jc w:val="left"/>
              <w:rPr>
                <w:rFonts w:hint="eastAsia" w:eastAsia="宋体"/>
                <w:color w:val="auto"/>
                <w:highlight w:val="none"/>
              </w:rPr>
            </w:pPr>
            <w:r>
              <w:rPr>
                <w:rFonts w:hint="eastAsia" w:eastAsia="宋体"/>
                <w:color w:val="auto"/>
                <w:highlight w:val="none"/>
              </w:rPr>
              <w:t>【优】</w:t>
            </w:r>
            <w:r>
              <w:rPr>
                <w:rFonts w:hint="eastAsia" w:eastAsia="宋体"/>
                <w:color w:val="auto"/>
                <w:highlight w:val="none"/>
                <w:lang w:eastAsia="zh-CN"/>
              </w:rPr>
              <w:t>：</w:t>
            </w:r>
            <w:r>
              <w:rPr>
                <w:rFonts w:hint="eastAsia" w:eastAsia="宋体"/>
                <w:color w:val="auto"/>
                <w:highlight w:val="none"/>
                <w:lang w:val="en-US" w:eastAsia="zh-CN"/>
              </w:rPr>
              <w:t>制定了健全的</w:t>
            </w:r>
            <w:r>
              <w:rPr>
                <w:rFonts w:hint="eastAsia" w:eastAsia="宋体"/>
                <w:color w:val="auto"/>
                <w:highlight w:val="none"/>
              </w:rPr>
              <w:t>管理体系与措施</w:t>
            </w:r>
            <w:r>
              <w:rPr>
                <w:rFonts w:hint="eastAsia" w:eastAsia="宋体"/>
                <w:color w:val="auto"/>
                <w:highlight w:val="none"/>
                <w:lang w:val="en-US" w:eastAsia="zh-CN"/>
              </w:rPr>
              <w:t>，</w:t>
            </w:r>
            <w:r>
              <w:rPr>
                <w:rFonts w:hint="eastAsia" w:eastAsia="宋体"/>
                <w:color w:val="auto"/>
                <w:highlight w:val="none"/>
              </w:rPr>
              <w:t>针对性强，对本项目质量管理</w:t>
            </w:r>
            <w:r>
              <w:rPr>
                <w:rFonts w:hint="eastAsia" w:eastAsia="宋体"/>
                <w:color w:val="auto"/>
                <w:highlight w:val="none"/>
                <w:lang w:val="en-US" w:eastAsia="zh-CN"/>
              </w:rPr>
              <w:t>目标</w:t>
            </w:r>
            <w:r>
              <w:rPr>
                <w:rFonts w:hint="eastAsia" w:eastAsia="宋体"/>
                <w:color w:val="auto"/>
                <w:highlight w:val="none"/>
              </w:rPr>
              <w:t>分析透彻</w:t>
            </w:r>
            <w:r>
              <w:rPr>
                <w:rFonts w:hint="eastAsia" w:eastAsia="宋体"/>
                <w:color w:val="auto"/>
                <w:highlight w:val="none"/>
                <w:lang w:val="en-US" w:eastAsia="zh-CN"/>
              </w:rPr>
              <w:t>，</w:t>
            </w:r>
            <w:r>
              <w:rPr>
                <w:rFonts w:hint="eastAsia" w:eastAsia="宋体"/>
                <w:color w:val="auto"/>
                <w:highlight w:val="none"/>
              </w:rPr>
              <w:t>质量保证措施</w:t>
            </w:r>
            <w:r>
              <w:rPr>
                <w:rFonts w:hint="eastAsia" w:eastAsia="宋体"/>
                <w:color w:val="auto"/>
                <w:highlight w:val="none"/>
                <w:lang w:val="en-US" w:eastAsia="zh-CN"/>
              </w:rPr>
              <w:t>切实可行，</w:t>
            </w:r>
            <w:r>
              <w:rPr>
                <w:rFonts w:hint="eastAsia" w:eastAsia="宋体"/>
                <w:color w:val="auto"/>
                <w:highlight w:val="none"/>
              </w:rPr>
              <w:t>得</w:t>
            </w:r>
            <w:r>
              <w:rPr>
                <w:rFonts w:hint="eastAsia" w:eastAsia="宋体"/>
                <w:color w:val="auto"/>
                <w:highlight w:val="none"/>
                <w:lang w:val="en-US" w:eastAsia="zh-CN"/>
              </w:rPr>
              <w:t>6</w:t>
            </w:r>
            <w:r>
              <w:rPr>
                <w:rFonts w:hint="eastAsia" w:eastAsia="宋体"/>
                <w:color w:val="auto"/>
                <w:highlight w:val="none"/>
              </w:rPr>
              <w:t>分，</w:t>
            </w:r>
          </w:p>
          <w:p w14:paraId="430A1AB0">
            <w:pPr>
              <w:snapToGrid w:val="0"/>
              <w:spacing w:line="240" w:lineRule="atLeast"/>
              <w:jc w:val="left"/>
              <w:rPr>
                <w:rFonts w:hint="eastAsia" w:eastAsia="宋体"/>
                <w:color w:val="auto"/>
                <w:highlight w:val="none"/>
              </w:rPr>
            </w:pPr>
            <w:r>
              <w:rPr>
                <w:rFonts w:hint="eastAsia" w:eastAsia="宋体"/>
                <w:color w:val="auto"/>
                <w:highlight w:val="none"/>
              </w:rPr>
              <w:t>【</w:t>
            </w:r>
            <w:r>
              <w:rPr>
                <w:rFonts w:hint="eastAsia" w:eastAsia="宋体"/>
                <w:color w:val="auto"/>
                <w:highlight w:val="none"/>
                <w:lang w:val="en-US" w:eastAsia="zh-CN"/>
              </w:rPr>
              <w:t>良</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管理体系与措施</w:t>
            </w:r>
            <w:r>
              <w:rPr>
                <w:rFonts w:hint="eastAsia" w:eastAsia="宋体"/>
                <w:color w:val="auto"/>
                <w:highlight w:val="none"/>
                <w:lang w:val="en-US" w:eastAsia="zh-CN"/>
              </w:rPr>
              <w:t>，</w:t>
            </w:r>
            <w:r>
              <w:rPr>
                <w:rFonts w:hint="eastAsia" w:eastAsia="宋体"/>
                <w:color w:val="auto"/>
                <w:highlight w:val="none"/>
              </w:rPr>
              <w:t>针对性</w:t>
            </w:r>
            <w:r>
              <w:rPr>
                <w:rFonts w:hint="eastAsia" w:eastAsia="宋体"/>
                <w:color w:val="auto"/>
                <w:highlight w:val="none"/>
                <w:lang w:val="en-US" w:eastAsia="zh-CN"/>
              </w:rPr>
              <w:t>一般</w:t>
            </w:r>
            <w:r>
              <w:rPr>
                <w:rFonts w:hint="eastAsia" w:eastAsia="宋体"/>
                <w:color w:val="auto"/>
                <w:highlight w:val="none"/>
              </w:rPr>
              <w:t>，对本项目质量管理</w:t>
            </w:r>
            <w:r>
              <w:rPr>
                <w:rFonts w:hint="eastAsia" w:eastAsia="宋体"/>
                <w:color w:val="auto"/>
                <w:highlight w:val="none"/>
                <w:lang w:val="en-US" w:eastAsia="zh-CN"/>
              </w:rPr>
              <w:t>目标</w:t>
            </w:r>
            <w:r>
              <w:rPr>
                <w:rFonts w:hint="eastAsia" w:eastAsia="宋体"/>
                <w:color w:val="auto"/>
                <w:highlight w:val="none"/>
              </w:rPr>
              <w:t>分析</w:t>
            </w:r>
            <w:r>
              <w:rPr>
                <w:rFonts w:hint="eastAsia" w:eastAsia="宋体"/>
                <w:color w:val="auto"/>
                <w:highlight w:val="none"/>
                <w:lang w:val="en-US" w:eastAsia="zh-CN"/>
              </w:rPr>
              <w:t>较</w:t>
            </w:r>
            <w:r>
              <w:rPr>
                <w:rFonts w:hint="eastAsia" w:eastAsia="宋体"/>
                <w:color w:val="auto"/>
                <w:highlight w:val="none"/>
              </w:rPr>
              <w:t>透彻</w:t>
            </w:r>
            <w:r>
              <w:rPr>
                <w:rFonts w:hint="eastAsia" w:eastAsia="宋体"/>
                <w:color w:val="auto"/>
                <w:highlight w:val="none"/>
                <w:lang w:val="en-US" w:eastAsia="zh-CN"/>
              </w:rPr>
              <w:t>，</w:t>
            </w:r>
            <w:r>
              <w:rPr>
                <w:rFonts w:hint="eastAsia" w:eastAsia="宋体"/>
                <w:color w:val="auto"/>
                <w:highlight w:val="none"/>
              </w:rPr>
              <w:t>质量保证措施</w:t>
            </w:r>
            <w:r>
              <w:rPr>
                <w:rFonts w:hint="eastAsia" w:eastAsia="宋体"/>
                <w:color w:val="auto"/>
                <w:highlight w:val="none"/>
                <w:lang w:val="en-US" w:eastAsia="zh-CN"/>
              </w:rPr>
              <w:t>基本可行，</w:t>
            </w:r>
            <w:r>
              <w:rPr>
                <w:rFonts w:hint="eastAsia" w:eastAsia="宋体"/>
                <w:color w:val="auto"/>
                <w:highlight w:val="none"/>
              </w:rPr>
              <w:t>得</w:t>
            </w:r>
            <w:r>
              <w:rPr>
                <w:rFonts w:hint="eastAsia" w:eastAsia="宋体"/>
                <w:color w:val="auto"/>
                <w:highlight w:val="none"/>
                <w:lang w:val="en-US" w:eastAsia="zh-CN"/>
              </w:rPr>
              <w:t>4</w:t>
            </w:r>
            <w:r>
              <w:rPr>
                <w:rFonts w:hint="eastAsia" w:eastAsia="宋体"/>
                <w:color w:val="auto"/>
                <w:highlight w:val="none"/>
              </w:rPr>
              <w:t>分，</w:t>
            </w:r>
          </w:p>
          <w:p w14:paraId="621C4BD2">
            <w:pPr>
              <w:snapToGrid w:val="0"/>
              <w:spacing w:line="240" w:lineRule="atLeast"/>
              <w:jc w:val="left"/>
              <w:rPr>
                <w:rFonts w:hint="eastAsia" w:eastAsia="宋体"/>
                <w:color w:val="auto"/>
                <w:highlight w:val="none"/>
                <w:lang w:val="zh-CN" w:eastAsia="zh-CN"/>
              </w:rPr>
            </w:pPr>
            <w:r>
              <w:rPr>
                <w:rFonts w:hint="eastAsia" w:eastAsia="宋体"/>
                <w:color w:val="auto"/>
                <w:highlight w:val="none"/>
              </w:rPr>
              <w:t>【</w:t>
            </w:r>
            <w:r>
              <w:rPr>
                <w:rFonts w:hint="eastAsia" w:eastAsia="宋体"/>
                <w:color w:val="auto"/>
                <w:highlight w:val="none"/>
                <w:lang w:val="en-US" w:eastAsia="zh-CN"/>
              </w:rPr>
              <w:t>一般</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管理体系与措施</w:t>
            </w:r>
            <w:r>
              <w:rPr>
                <w:rFonts w:hint="eastAsia" w:eastAsia="宋体"/>
                <w:color w:val="auto"/>
                <w:highlight w:val="none"/>
                <w:lang w:val="en-US" w:eastAsia="zh-CN"/>
              </w:rPr>
              <w:t>，缺乏</w:t>
            </w:r>
            <w:r>
              <w:rPr>
                <w:rFonts w:hint="eastAsia" w:eastAsia="宋体"/>
                <w:color w:val="auto"/>
                <w:highlight w:val="none"/>
              </w:rPr>
              <w:t>针对性</w:t>
            </w:r>
            <w:r>
              <w:rPr>
                <w:rFonts w:hint="eastAsia" w:eastAsia="宋体"/>
                <w:color w:val="auto"/>
                <w:highlight w:val="none"/>
                <w:lang w:eastAsia="zh-CN"/>
              </w:rPr>
              <w:t>，</w:t>
            </w:r>
            <w:r>
              <w:rPr>
                <w:rFonts w:hint="eastAsia" w:eastAsia="宋体"/>
                <w:color w:val="auto"/>
                <w:highlight w:val="none"/>
              </w:rPr>
              <w:t>对本项目质量管理</w:t>
            </w:r>
            <w:r>
              <w:rPr>
                <w:rFonts w:hint="eastAsia" w:eastAsia="宋体"/>
                <w:color w:val="auto"/>
                <w:highlight w:val="none"/>
                <w:lang w:val="en-US" w:eastAsia="zh-CN"/>
              </w:rPr>
              <w:t>目标</w:t>
            </w:r>
            <w:r>
              <w:rPr>
                <w:rFonts w:hint="eastAsia" w:eastAsia="宋体"/>
                <w:color w:val="auto"/>
                <w:highlight w:val="none"/>
              </w:rPr>
              <w:t>分析</w:t>
            </w:r>
            <w:r>
              <w:rPr>
                <w:rFonts w:hint="eastAsia" w:eastAsia="宋体"/>
                <w:color w:val="auto"/>
                <w:highlight w:val="none"/>
                <w:lang w:val="en-US" w:eastAsia="zh-CN"/>
              </w:rPr>
              <w:t>缺项、不合理，</w:t>
            </w:r>
            <w:r>
              <w:rPr>
                <w:rFonts w:hint="eastAsia" w:eastAsia="宋体"/>
                <w:color w:val="auto"/>
                <w:highlight w:val="none"/>
              </w:rPr>
              <w:t>质量保证措施</w:t>
            </w:r>
            <w:r>
              <w:rPr>
                <w:rFonts w:hint="eastAsia" w:eastAsia="宋体"/>
                <w:color w:val="auto"/>
                <w:highlight w:val="none"/>
                <w:lang w:val="en-US" w:eastAsia="zh-CN"/>
              </w:rPr>
              <w:t>可行性差，</w:t>
            </w:r>
            <w:r>
              <w:rPr>
                <w:rFonts w:hint="eastAsia" w:eastAsia="宋体"/>
                <w:color w:val="auto"/>
                <w:highlight w:val="none"/>
              </w:rPr>
              <w:t>得</w:t>
            </w:r>
            <w:r>
              <w:rPr>
                <w:rFonts w:hint="eastAsia" w:eastAsia="宋体"/>
                <w:color w:val="auto"/>
                <w:highlight w:val="none"/>
                <w:lang w:val="en-US" w:eastAsia="zh-CN"/>
              </w:rPr>
              <w:t>2</w:t>
            </w:r>
            <w:r>
              <w:rPr>
                <w:rFonts w:hint="eastAsia" w:eastAsia="宋体"/>
                <w:color w:val="auto"/>
                <w:highlight w:val="none"/>
              </w:rPr>
              <w:t>分</w:t>
            </w:r>
            <w:r>
              <w:rPr>
                <w:rFonts w:hint="eastAsia" w:eastAsia="宋体"/>
                <w:color w:val="auto"/>
                <w:highlight w:val="none"/>
                <w:lang w:val="zh-CN" w:eastAsia="zh-CN"/>
              </w:rPr>
              <w:t>，</w:t>
            </w:r>
          </w:p>
          <w:p w14:paraId="02BD3182">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rPr>
              <w:t>【</w:t>
            </w:r>
            <w:r>
              <w:rPr>
                <w:rFonts w:hint="eastAsia" w:eastAsia="宋体"/>
                <w:color w:val="auto"/>
                <w:highlight w:val="none"/>
                <w:lang w:val="en-US" w:eastAsia="zh-CN"/>
              </w:rPr>
              <w:t>差</w:t>
            </w:r>
            <w:r>
              <w:rPr>
                <w:rFonts w:hint="eastAsia" w:eastAsia="宋体"/>
                <w:color w:val="auto"/>
                <w:highlight w:val="none"/>
              </w:rPr>
              <w:t>】</w:t>
            </w:r>
            <w:r>
              <w:rPr>
                <w:rFonts w:hint="eastAsia" w:eastAsia="宋体"/>
                <w:color w:val="auto"/>
                <w:highlight w:val="none"/>
                <w:lang w:val="zh-CN"/>
              </w:rPr>
              <w:t>：</w:t>
            </w:r>
            <w:r>
              <w:rPr>
                <w:rFonts w:hint="eastAsia" w:eastAsia="宋体"/>
                <w:color w:val="auto"/>
                <w:highlight w:val="none"/>
                <w:lang w:val="zh-CN" w:eastAsia="zh-CN"/>
              </w:rPr>
              <w:t>未提供得0分。</w:t>
            </w:r>
          </w:p>
        </w:tc>
      </w:tr>
      <w:tr w14:paraId="362B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4D6A6120">
            <w:pPr>
              <w:spacing w:line="360" w:lineRule="auto"/>
              <w:jc w:val="center"/>
              <w:rPr>
                <w:color w:val="auto"/>
                <w:szCs w:val="21"/>
                <w:highlight w:val="none"/>
              </w:rPr>
            </w:pPr>
          </w:p>
        </w:tc>
        <w:tc>
          <w:tcPr>
            <w:tcW w:w="1159" w:type="dxa"/>
            <w:vMerge w:val="continue"/>
            <w:noWrap w:val="0"/>
            <w:vAlign w:val="top"/>
          </w:tcPr>
          <w:p w14:paraId="7577E022">
            <w:pPr>
              <w:spacing w:line="360" w:lineRule="auto"/>
              <w:jc w:val="left"/>
              <w:rPr>
                <w:color w:val="auto"/>
                <w:szCs w:val="21"/>
                <w:highlight w:val="none"/>
              </w:rPr>
            </w:pPr>
          </w:p>
        </w:tc>
        <w:tc>
          <w:tcPr>
            <w:tcW w:w="2652" w:type="dxa"/>
            <w:shd w:val="clear" w:color="auto" w:fill="auto"/>
            <w:noWrap w:val="0"/>
            <w:vAlign w:val="center"/>
          </w:tcPr>
          <w:p w14:paraId="01E2419D">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安全管理体系与措施（</w:t>
            </w:r>
            <w:r>
              <w:rPr>
                <w:rFonts w:hint="eastAsia" w:eastAsia="宋体"/>
                <w:color w:val="auto"/>
                <w:szCs w:val="21"/>
                <w:highlight w:val="none"/>
                <w:lang w:val="en-US" w:eastAsia="zh-CN"/>
              </w:rPr>
              <w:t>6</w:t>
            </w:r>
            <w:r>
              <w:rPr>
                <w:rFonts w:hint="eastAsia" w:eastAsia="宋体"/>
                <w:color w:val="auto"/>
                <w:szCs w:val="21"/>
                <w:highlight w:val="none"/>
              </w:rPr>
              <w:t>分）</w:t>
            </w:r>
          </w:p>
        </w:tc>
        <w:tc>
          <w:tcPr>
            <w:tcW w:w="4533" w:type="dxa"/>
            <w:shd w:val="clear" w:color="auto" w:fill="auto"/>
            <w:noWrap w:val="0"/>
            <w:vAlign w:val="center"/>
          </w:tcPr>
          <w:p w14:paraId="47E5B8D7">
            <w:pPr>
              <w:snapToGrid w:val="0"/>
              <w:spacing w:line="240" w:lineRule="atLeast"/>
              <w:jc w:val="left"/>
              <w:rPr>
                <w:rFonts w:hint="eastAsia" w:eastAsia="宋体"/>
                <w:color w:val="auto"/>
                <w:highlight w:val="none"/>
              </w:rPr>
            </w:pPr>
            <w:r>
              <w:rPr>
                <w:rFonts w:hint="eastAsia" w:eastAsia="宋体"/>
                <w:color w:val="auto"/>
                <w:highlight w:val="none"/>
              </w:rPr>
              <w:t>根据项目特点提出安全管理体系与措施，</w:t>
            </w:r>
            <w:r>
              <w:rPr>
                <w:rFonts w:hint="eastAsia" w:eastAsia="宋体"/>
                <w:color w:val="auto"/>
                <w:highlight w:val="none"/>
                <w:lang w:val="en-US" w:eastAsia="zh-CN"/>
              </w:rPr>
              <w:t>包含但不限于风雨天气下高空作业安排，高空作业各项防坠落防脱钩措施，施工场地深基坑、高支模的保护措施、完善的突发事件应急预案。</w:t>
            </w:r>
            <w:r>
              <w:rPr>
                <w:rFonts w:hint="eastAsia" w:eastAsia="宋体"/>
                <w:color w:val="auto"/>
                <w:highlight w:val="none"/>
              </w:rPr>
              <w:t>对本项目安全文明施工的重点难点分析透彻，安全管理体系完善、安全保证措施得当</w:t>
            </w:r>
            <w:r>
              <w:rPr>
                <w:rFonts w:hint="eastAsia" w:eastAsia="宋体"/>
                <w:color w:val="auto"/>
                <w:highlight w:val="none"/>
                <w:lang w:eastAsia="zh-CN"/>
              </w:rPr>
              <w:t>，</w:t>
            </w:r>
            <w:r>
              <w:rPr>
                <w:rFonts w:hint="eastAsia" w:eastAsia="宋体"/>
                <w:color w:val="auto"/>
                <w:highlight w:val="none"/>
              </w:rPr>
              <w:t>针对性强。</w:t>
            </w:r>
          </w:p>
          <w:p w14:paraId="274B3A5E">
            <w:pPr>
              <w:snapToGrid w:val="0"/>
              <w:spacing w:line="240" w:lineRule="atLeast"/>
              <w:jc w:val="left"/>
              <w:rPr>
                <w:rFonts w:hint="eastAsia" w:eastAsia="宋体"/>
                <w:color w:val="auto"/>
                <w:highlight w:val="none"/>
              </w:rPr>
            </w:pPr>
            <w:r>
              <w:rPr>
                <w:rFonts w:hint="eastAsia" w:eastAsia="宋体"/>
                <w:color w:val="auto"/>
                <w:highlight w:val="none"/>
              </w:rPr>
              <w:t>【优】</w:t>
            </w:r>
            <w:r>
              <w:rPr>
                <w:rFonts w:hint="eastAsia" w:eastAsia="宋体"/>
                <w:color w:val="auto"/>
                <w:highlight w:val="none"/>
                <w:lang w:eastAsia="zh-CN"/>
              </w:rPr>
              <w:t>：</w:t>
            </w:r>
            <w:r>
              <w:rPr>
                <w:rFonts w:hint="eastAsia" w:eastAsia="宋体"/>
                <w:color w:val="auto"/>
                <w:highlight w:val="none"/>
                <w:lang w:val="en-US" w:eastAsia="zh-CN"/>
              </w:rPr>
              <w:t>制定了健全的</w:t>
            </w:r>
            <w:r>
              <w:rPr>
                <w:rFonts w:hint="eastAsia" w:eastAsia="宋体"/>
                <w:color w:val="auto"/>
                <w:highlight w:val="none"/>
              </w:rPr>
              <w:t>安全管理体系与措施</w:t>
            </w:r>
            <w:r>
              <w:rPr>
                <w:rFonts w:hint="eastAsia" w:eastAsia="宋体"/>
                <w:color w:val="auto"/>
                <w:highlight w:val="none"/>
                <w:lang w:eastAsia="zh-CN"/>
              </w:rPr>
              <w:t>，</w:t>
            </w:r>
            <w:r>
              <w:rPr>
                <w:rFonts w:hint="eastAsia" w:eastAsia="宋体"/>
                <w:color w:val="auto"/>
                <w:highlight w:val="none"/>
              </w:rPr>
              <w:t>针对性强，对本项目安全文明施工的重点难点分析透彻，安全管理体系完善、安全保证措施</w:t>
            </w:r>
            <w:r>
              <w:rPr>
                <w:rFonts w:hint="eastAsia" w:eastAsia="宋体"/>
                <w:color w:val="auto"/>
                <w:highlight w:val="none"/>
                <w:lang w:val="en-US" w:eastAsia="zh-CN"/>
              </w:rPr>
              <w:t>切实可行</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6</w:t>
            </w:r>
            <w:r>
              <w:rPr>
                <w:rFonts w:hint="eastAsia" w:eastAsia="宋体"/>
                <w:color w:val="auto"/>
                <w:highlight w:val="none"/>
              </w:rPr>
              <w:t>分，</w:t>
            </w:r>
          </w:p>
          <w:p w14:paraId="4E0112E8">
            <w:pPr>
              <w:snapToGrid w:val="0"/>
              <w:spacing w:line="240" w:lineRule="atLeast"/>
              <w:jc w:val="left"/>
              <w:rPr>
                <w:rFonts w:hint="eastAsia" w:eastAsia="宋体"/>
                <w:color w:val="auto"/>
                <w:highlight w:val="none"/>
              </w:rPr>
            </w:pPr>
            <w:r>
              <w:rPr>
                <w:rFonts w:hint="eastAsia" w:eastAsia="宋体"/>
                <w:color w:val="auto"/>
                <w:highlight w:val="none"/>
              </w:rPr>
              <w:t>【</w:t>
            </w:r>
            <w:r>
              <w:rPr>
                <w:rFonts w:hint="eastAsia" w:eastAsia="宋体"/>
                <w:color w:val="auto"/>
                <w:highlight w:val="none"/>
                <w:lang w:val="en-US" w:eastAsia="zh-CN"/>
              </w:rPr>
              <w:t>良</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安全管理体系与措施，针对性</w:t>
            </w:r>
            <w:r>
              <w:rPr>
                <w:rFonts w:hint="eastAsia" w:eastAsia="宋体"/>
                <w:color w:val="auto"/>
                <w:highlight w:val="none"/>
                <w:lang w:val="en-US" w:eastAsia="zh-CN"/>
              </w:rPr>
              <w:t>一般</w:t>
            </w:r>
            <w:r>
              <w:rPr>
                <w:rFonts w:hint="eastAsia" w:eastAsia="宋体"/>
                <w:color w:val="auto"/>
                <w:highlight w:val="none"/>
                <w:lang w:eastAsia="zh-CN"/>
              </w:rPr>
              <w:t>，</w:t>
            </w:r>
            <w:r>
              <w:rPr>
                <w:rFonts w:hint="eastAsia" w:eastAsia="宋体"/>
                <w:color w:val="auto"/>
                <w:highlight w:val="none"/>
              </w:rPr>
              <w:t>对本项目安全文明施工的重点难点分析</w:t>
            </w:r>
            <w:r>
              <w:rPr>
                <w:rFonts w:hint="eastAsia" w:eastAsia="宋体"/>
                <w:color w:val="auto"/>
                <w:highlight w:val="none"/>
                <w:lang w:val="en-US" w:eastAsia="zh-CN"/>
              </w:rPr>
              <w:t>较</w:t>
            </w:r>
            <w:r>
              <w:rPr>
                <w:rFonts w:hint="eastAsia" w:eastAsia="宋体"/>
                <w:color w:val="auto"/>
                <w:highlight w:val="none"/>
              </w:rPr>
              <w:t>透彻，安全管理体系</w:t>
            </w:r>
            <w:r>
              <w:rPr>
                <w:rFonts w:hint="eastAsia" w:eastAsia="宋体"/>
                <w:color w:val="auto"/>
                <w:highlight w:val="none"/>
                <w:lang w:val="en-US" w:eastAsia="zh-CN"/>
              </w:rPr>
              <w:t>较</w:t>
            </w:r>
            <w:r>
              <w:rPr>
                <w:rFonts w:hint="eastAsia" w:eastAsia="宋体"/>
                <w:color w:val="auto"/>
                <w:highlight w:val="none"/>
              </w:rPr>
              <w:t>完善、安全保证措施</w:t>
            </w:r>
            <w:r>
              <w:rPr>
                <w:rFonts w:hint="eastAsia" w:eastAsia="宋体"/>
                <w:color w:val="auto"/>
                <w:highlight w:val="none"/>
                <w:lang w:val="en-US" w:eastAsia="zh-CN"/>
              </w:rPr>
              <w:t>基本可行</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4</w:t>
            </w:r>
            <w:r>
              <w:rPr>
                <w:rFonts w:hint="eastAsia" w:eastAsia="宋体"/>
                <w:color w:val="auto"/>
                <w:highlight w:val="none"/>
              </w:rPr>
              <w:t>分，</w:t>
            </w:r>
          </w:p>
          <w:p w14:paraId="6B6F0B09">
            <w:pPr>
              <w:snapToGrid w:val="0"/>
              <w:spacing w:line="240" w:lineRule="atLeast"/>
              <w:jc w:val="left"/>
              <w:rPr>
                <w:rFonts w:hint="eastAsia" w:eastAsia="宋体"/>
                <w:color w:val="auto"/>
                <w:highlight w:val="none"/>
                <w:lang w:val="zh-CN" w:eastAsia="zh-CN"/>
              </w:rPr>
            </w:pPr>
            <w:r>
              <w:rPr>
                <w:rFonts w:hint="eastAsia" w:eastAsia="宋体"/>
                <w:color w:val="auto"/>
                <w:highlight w:val="none"/>
              </w:rPr>
              <w:t>【</w:t>
            </w:r>
            <w:r>
              <w:rPr>
                <w:rFonts w:hint="eastAsia" w:eastAsia="宋体"/>
                <w:color w:val="auto"/>
                <w:highlight w:val="none"/>
                <w:lang w:val="en-US" w:eastAsia="zh-CN"/>
              </w:rPr>
              <w:t>一般</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安全管理体系与措施，</w:t>
            </w:r>
            <w:r>
              <w:rPr>
                <w:rFonts w:hint="eastAsia" w:eastAsia="宋体"/>
                <w:color w:val="auto"/>
                <w:highlight w:val="none"/>
                <w:lang w:val="en-US" w:eastAsia="zh-CN"/>
              </w:rPr>
              <w:t>缺乏</w:t>
            </w:r>
            <w:r>
              <w:rPr>
                <w:rFonts w:hint="eastAsia" w:eastAsia="宋体"/>
                <w:color w:val="auto"/>
                <w:highlight w:val="none"/>
              </w:rPr>
              <w:t>针对性</w:t>
            </w:r>
            <w:r>
              <w:rPr>
                <w:rFonts w:hint="eastAsia" w:eastAsia="宋体"/>
                <w:color w:val="auto"/>
                <w:highlight w:val="none"/>
                <w:lang w:eastAsia="zh-CN"/>
              </w:rPr>
              <w:t>，</w:t>
            </w:r>
            <w:r>
              <w:rPr>
                <w:rFonts w:hint="eastAsia" w:eastAsia="宋体"/>
                <w:color w:val="auto"/>
                <w:highlight w:val="none"/>
              </w:rPr>
              <w:t>对本项目安全文明施工的重点难点分析</w:t>
            </w:r>
            <w:r>
              <w:rPr>
                <w:rFonts w:hint="eastAsia" w:eastAsia="宋体"/>
                <w:color w:val="auto"/>
                <w:highlight w:val="none"/>
                <w:lang w:val="en-US" w:eastAsia="zh-CN"/>
              </w:rPr>
              <w:t>缺项，</w:t>
            </w:r>
            <w:r>
              <w:rPr>
                <w:rFonts w:hint="eastAsia" w:eastAsia="宋体"/>
                <w:color w:val="auto"/>
                <w:highlight w:val="none"/>
              </w:rPr>
              <w:t>安全保证措施</w:t>
            </w:r>
            <w:r>
              <w:rPr>
                <w:rFonts w:hint="eastAsia" w:eastAsia="宋体"/>
                <w:color w:val="auto"/>
                <w:highlight w:val="none"/>
                <w:lang w:val="en-US" w:eastAsia="zh-CN"/>
              </w:rPr>
              <w:t>可行性差，</w:t>
            </w:r>
            <w:r>
              <w:rPr>
                <w:rFonts w:hint="eastAsia" w:eastAsia="宋体"/>
                <w:color w:val="auto"/>
                <w:highlight w:val="none"/>
              </w:rPr>
              <w:t>得</w:t>
            </w:r>
            <w:r>
              <w:rPr>
                <w:rFonts w:hint="eastAsia" w:eastAsia="宋体"/>
                <w:color w:val="auto"/>
                <w:highlight w:val="none"/>
                <w:lang w:val="en-US" w:eastAsia="zh-CN"/>
              </w:rPr>
              <w:t>2</w:t>
            </w:r>
            <w:r>
              <w:rPr>
                <w:rFonts w:hint="eastAsia" w:eastAsia="宋体"/>
                <w:color w:val="auto"/>
                <w:highlight w:val="none"/>
              </w:rPr>
              <w:t>分</w:t>
            </w:r>
            <w:r>
              <w:rPr>
                <w:rFonts w:hint="eastAsia" w:eastAsia="宋体"/>
                <w:color w:val="auto"/>
                <w:highlight w:val="none"/>
                <w:lang w:val="zh-CN" w:eastAsia="zh-CN"/>
              </w:rPr>
              <w:t>，</w:t>
            </w:r>
          </w:p>
          <w:p w14:paraId="6C83C4C9">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rPr>
              <w:t>【</w:t>
            </w:r>
            <w:r>
              <w:rPr>
                <w:rFonts w:hint="eastAsia" w:eastAsia="宋体"/>
                <w:color w:val="auto"/>
                <w:highlight w:val="none"/>
                <w:lang w:val="en-US" w:eastAsia="zh-CN"/>
              </w:rPr>
              <w:t>差</w:t>
            </w:r>
            <w:r>
              <w:rPr>
                <w:rFonts w:hint="eastAsia" w:eastAsia="宋体"/>
                <w:color w:val="auto"/>
                <w:highlight w:val="none"/>
              </w:rPr>
              <w:t>】</w:t>
            </w:r>
            <w:r>
              <w:rPr>
                <w:rFonts w:hint="eastAsia" w:eastAsia="宋体"/>
                <w:color w:val="auto"/>
                <w:highlight w:val="none"/>
                <w:lang w:val="zh-CN"/>
              </w:rPr>
              <w:t>：</w:t>
            </w:r>
            <w:r>
              <w:rPr>
                <w:rFonts w:hint="eastAsia" w:eastAsia="宋体"/>
                <w:color w:val="auto"/>
                <w:highlight w:val="none"/>
                <w:lang w:val="zh-CN" w:eastAsia="zh-CN"/>
              </w:rPr>
              <w:t>未提供得0分。</w:t>
            </w:r>
          </w:p>
        </w:tc>
      </w:tr>
      <w:tr w14:paraId="63F4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0774FC11">
            <w:pPr>
              <w:spacing w:line="360" w:lineRule="auto"/>
              <w:jc w:val="center"/>
              <w:rPr>
                <w:color w:val="auto"/>
                <w:szCs w:val="21"/>
                <w:highlight w:val="none"/>
              </w:rPr>
            </w:pPr>
          </w:p>
        </w:tc>
        <w:tc>
          <w:tcPr>
            <w:tcW w:w="1159" w:type="dxa"/>
            <w:vMerge w:val="continue"/>
            <w:noWrap w:val="0"/>
            <w:vAlign w:val="top"/>
          </w:tcPr>
          <w:p w14:paraId="392864BA">
            <w:pPr>
              <w:spacing w:line="360" w:lineRule="auto"/>
              <w:jc w:val="left"/>
              <w:rPr>
                <w:color w:val="auto"/>
                <w:szCs w:val="21"/>
                <w:highlight w:val="none"/>
              </w:rPr>
            </w:pPr>
          </w:p>
        </w:tc>
        <w:tc>
          <w:tcPr>
            <w:tcW w:w="2652" w:type="dxa"/>
            <w:shd w:val="clear" w:color="auto" w:fill="auto"/>
            <w:noWrap w:val="0"/>
            <w:vAlign w:val="center"/>
          </w:tcPr>
          <w:p w14:paraId="307C5A29">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环境保护管理体系与措施（</w:t>
            </w:r>
            <w:r>
              <w:rPr>
                <w:rFonts w:hint="eastAsia" w:eastAsia="宋体"/>
                <w:color w:val="auto"/>
                <w:szCs w:val="21"/>
                <w:highlight w:val="none"/>
                <w:lang w:val="en-US" w:eastAsia="zh-CN"/>
              </w:rPr>
              <w:t>6</w:t>
            </w:r>
            <w:r>
              <w:rPr>
                <w:rFonts w:hint="eastAsia" w:eastAsia="宋体"/>
                <w:color w:val="auto"/>
                <w:szCs w:val="21"/>
                <w:highlight w:val="none"/>
              </w:rPr>
              <w:t>分）</w:t>
            </w:r>
          </w:p>
        </w:tc>
        <w:tc>
          <w:tcPr>
            <w:tcW w:w="4533" w:type="dxa"/>
            <w:shd w:val="clear" w:color="auto" w:fill="auto"/>
            <w:noWrap w:val="0"/>
            <w:vAlign w:val="center"/>
          </w:tcPr>
          <w:p w14:paraId="02B0B54D">
            <w:pPr>
              <w:snapToGrid w:val="0"/>
              <w:spacing w:line="240" w:lineRule="atLeast"/>
              <w:jc w:val="left"/>
              <w:rPr>
                <w:rFonts w:hint="eastAsia" w:eastAsia="宋体"/>
                <w:color w:val="auto"/>
                <w:highlight w:val="none"/>
              </w:rPr>
            </w:pPr>
            <w:r>
              <w:rPr>
                <w:rFonts w:hint="eastAsia" w:eastAsia="宋体"/>
                <w:color w:val="auto"/>
                <w:highlight w:val="none"/>
              </w:rPr>
              <w:t>根据本工程的环境目标以及</w:t>
            </w:r>
            <w:r>
              <w:rPr>
                <w:rFonts w:hint="eastAsia" w:eastAsia="宋体"/>
                <w:color w:val="auto"/>
                <w:highlight w:val="none"/>
                <w:lang w:val="en-US" w:eastAsia="zh-CN"/>
              </w:rPr>
              <w:t>厂区范围</w:t>
            </w:r>
            <w:r>
              <w:rPr>
                <w:rFonts w:hint="eastAsia" w:eastAsia="宋体"/>
                <w:color w:val="auto"/>
                <w:highlight w:val="none"/>
              </w:rPr>
              <w:t>树木状况，提出环境保护管理体系、树木保护方案及相关保证措施</w:t>
            </w:r>
            <w:r>
              <w:rPr>
                <w:rFonts w:hint="eastAsia" w:eastAsia="宋体"/>
                <w:color w:val="auto"/>
                <w:highlight w:val="none"/>
                <w:lang w:eastAsia="zh-CN"/>
              </w:rPr>
              <w:t>，</w:t>
            </w:r>
            <w:r>
              <w:rPr>
                <w:rFonts w:hint="eastAsia" w:eastAsia="宋体"/>
                <w:color w:val="auto"/>
                <w:highlight w:val="none"/>
                <w:lang w:val="en-US" w:eastAsia="zh-CN"/>
              </w:rPr>
              <w:t>建筑废弃物的减量化方案和处理方案等</w:t>
            </w:r>
            <w:r>
              <w:rPr>
                <w:rFonts w:hint="eastAsia" w:eastAsia="宋体"/>
                <w:color w:val="auto"/>
                <w:highlight w:val="none"/>
              </w:rPr>
              <w:t>。环境保护管理体系完善、环境保护管理措施得当。</w:t>
            </w:r>
          </w:p>
          <w:p w14:paraId="6E8AF275">
            <w:pPr>
              <w:snapToGrid w:val="0"/>
              <w:spacing w:line="240" w:lineRule="atLeast"/>
              <w:jc w:val="left"/>
              <w:rPr>
                <w:rFonts w:hint="eastAsia" w:eastAsia="宋体"/>
                <w:color w:val="auto"/>
                <w:highlight w:val="none"/>
              </w:rPr>
            </w:pPr>
            <w:r>
              <w:rPr>
                <w:rFonts w:hint="eastAsia" w:eastAsia="宋体"/>
                <w:color w:val="auto"/>
                <w:highlight w:val="none"/>
              </w:rPr>
              <w:t>【优】</w:t>
            </w:r>
            <w:r>
              <w:rPr>
                <w:rFonts w:hint="eastAsia" w:eastAsia="宋体"/>
                <w:color w:val="auto"/>
                <w:highlight w:val="none"/>
                <w:lang w:eastAsia="zh-CN"/>
              </w:rPr>
              <w:t>：</w:t>
            </w:r>
            <w:r>
              <w:rPr>
                <w:rFonts w:hint="eastAsia" w:eastAsia="宋体"/>
                <w:color w:val="auto"/>
                <w:highlight w:val="none"/>
                <w:lang w:val="en-US" w:eastAsia="zh-CN"/>
              </w:rPr>
              <w:t>制定了健全的</w:t>
            </w:r>
            <w:r>
              <w:rPr>
                <w:rFonts w:hint="eastAsia" w:eastAsia="宋体"/>
                <w:color w:val="auto"/>
                <w:highlight w:val="none"/>
              </w:rPr>
              <w:t>环境保护管理体系与措施</w:t>
            </w:r>
            <w:r>
              <w:rPr>
                <w:rFonts w:hint="eastAsia" w:eastAsia="宋体"/>
                <w:color w:val="auto"/>
                <w:highlight w:val="none"/>
                <w:lang w:eastAsia="zh-CN"/>
              </w:rPr>
              <w:t>，</w:t>
            </w:r>
            <w:r>
              <w:rPr>
                <w:rFonts w:hint="eastAsia" w:eastAsia="宋体"/>
                <w:color w:val="auto"/>
                <w:highlight w:val="none"/>
              </w:rPr>
              <w:t>针对性强，对本项目</w:t>
            </w:r>
            <w:r>
              <w:rPr>
                <w:rFonts w:hint="eastAsia" w:eastAsia="宋体"/>
                <w:color w:val="auto"/>
                <w:highlight w:val="none"/>
                <w:lang w:val="en-US" w:eastAsia="zh-CN"/>
              </w:rPr>
              <w:t>环境</w:t>
            </w:r>
            <w:r>
              <w:rPr>
                <w:rFonts w:hint="eastAsia" w:eastAsia="宋体"/>
                <w:color w:val="auto"/>
                <w:highlight w:val="none"/>
              </w:rPr>
              <w:t>保护目标</w:t>
            </w:r>
            <w:r>
              <w:rPr>
                <w:rFonts w:hint="eastAsia" w:eastAsia="宋体"/>
                <w:color w:val="auto"/>
                <w:highlight w:val="none"/>
                <w:lang w:val="en-US" w:eastAsia="zh-CN"/>
              </w:rPr>
              <w:t>的</w:t>
            </w:r>
            <w:r>
              <w:rPr>
                <w:rFonts w:hint="eastAsia" w:eastAsia="宋体"/>
                <w:color w:val="auto"/>
                <w:highlight w:val="none"/>
              </w:rPr>
              <w:t>重点难点分析透彻，环境保护管理措施</w:t>
            </w:r>
            <w:r>
              <w:rPr>
                <w:rFonts w:hint="eastAsia" w:eastAsia="宋体"/>
                <w:color w:val="auto"/>
                <w:highlight w:val="none"/>
                <w:lang w:val="en-US" w:eastAsia="zh-CN"/>
              </w:rPr>
              <w:t>切实可行</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6</w:t>
            </w:r>
            <w:r>
              <w:rPr>
                <w:rFonts w:hint="eastAsia" w:eastAsia="宋体"/>
                <w:color w:val="auto"/>
                <w:highlight w:val="none"/>
              </w:rPr>
              <w:t>分，</w:t>
            </w:r>
          </w:p>
          <w:p w14:paraId="076938E6">
            <w:pPr>
              <w:snapToGrid w:val="0"/>
              <w:spacing w:line="240" w:lineRule="atLeast"/>
              <w:jc w:val="left"/>
              <w:rPr>
                <w:rFonts w:hint="eastAsia" w:eastAsia="宋体"/>
                <w:color w:val="auto"/>
                <w:highlight w:val="none"/>
              </w:rPr>
            </w:pPr>
            <w:r>
              <w:rPr>
                <w:rFonts w:hint="eastAsia" w:eastAsia="宋体"/>
                <w:color w:val="auto"/>
                <w:highlight w:val="none"/>
              </w:rPr>
              <w:t>【</w:t>
            </w:r>
            <w:r>
              <w:rPr>
                <w:rFonts w:hint="eastAsia" w:eastAsia="宋体"/>
                <w:color w:val="auto"/>
                <w:highlight w:val="none"/>
                <w:lang w:val="en-US" w:eastAsia="zh-CN"/>
              </w:rPr>
              <w:t>良</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环境保护管理体系与措施</w:t>
            </w:r>
            <w:r>
              <w:rPr>
                <w:rFonts w:hint="eastAsia" w:eastAsia="宋体"/>
                <w:color w:val="auto"/>
                <w:highlight w:val="none"/>
                <w:lang w:eastAsia="zh-CN"/>
              </w:rPr>
              <w:t>，</w:t>
            </w:r>
            <w:r>
              <w:rPr>
                <w:rFonts w:hint="eastAsia" w:eastAsia="宋体"/>
                <w:color w:val="auto"/>
                <w:highlight w:val="none"/>
              </w:rPr>
              <w:t>针对性</w:t>
            </w:r>
            <w:r>
              <w:rPr>
                <w:rFonts w:hint="eastAsia" w:eastAsia="宋体"/>
                <w:color w:val="auto"/>
                <w:highlight w:val="none"/>
                <w:lang w:val="en-US" w:eastAsia="zh-CN"/>
              </w:rPr>
              <w:t>一般</w:t>
            </w:r>
            <w:r>
              <w:rPr>
                <w:rFonts w:hint="eastAsia" w:eastAsia="宋体"/>
                <w:color w:val="auto"/>
                <w:highlight w:val="none"/>
              </w:rPr>
              <w:t>，对本项目</w:t>
            </w:r>
            <w:r>
              <w:rPr>
                <w:rFonts w:hint="eastAsia" w:eastAsia="宋体"/>
                <w:color w:val="auto"/>
                <w:highlight w:val="none"/>
                <w:lang w:val="en-US" w:eastAsia="zh-CN"/>
              </w:rPr>
              <w:t>环境</w:t>
            </w:r>
            <w:r>
              <w:rPr>
                <w:rFonts w:hint="eastAsia" w:eastAsia="宋体"/>
                <w:color w:val="auto"/>
                <w:highlight w:val="none"/>
              </w:rPr>
              <w:t>保护目标</w:t>
            </w:r>
            <w:r>
              <w:rPr>
                <w:rFonts w:hint="eastAsia" w:eastAsia="宋体"/>
                <w:color w:val="auto"/>
                <w:highlight w:val="none"/>
                <w:lang w:val="en-US" w:eastAsia="zh-CN"/>
              </w:rPr>
              <w:t>的</w:t>
            </w:r>
            <w:r>
              <w:rPr>
                <w:rFonts w:hint="eastAsia" w:eastAsia="宋体"/>
                <w:color w:val="auto"/>
                <w:highlight w:val="none"/>
              </w:rPr>
              <w:t>重点难点分析</w:t>
            </w:r>
            <w:r>
              <w:rPr>
                <w:rFonts w:hint="eastAsia" w:eastAsia="宋体"/>
                <w:color w:val="auto"/>
                <w:highlight w:val="none"/>
                <w:lang w:val="en-US" w:eastAsia="zh-CN"/>
              </w:rPr>
              <w:t>较</w:t>
            </w:r>
            <w:r>
              <w:rPr>
                <w:rFonts w:hint="eastAsia" w:eastAsia="宋体"/>
                <w:color w:val="auto"/>
                <w:highlight w:val="none"/>
              </w:rPr>
              <w:t>透彻，环境保护管理措施</w:t>
            </w:r>
            <w:r>
              <w:rPr>
                <w:rFonts w:hint="eastAsia" w:eastAsia="宋体"/>
                <w:color w:val="auto"/>
                <w:highlight w:val="none"/>
                <w:lang w:val="en-US" w:eastAsia="zh-CN"/>
              </w:rPr>
              <w:t>基本可行</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4</w:t>
            </w:r>
            <w:r>
              <w:rPr>
                <w:rFonts w:hint="eastAsia" w:eastAsia="宋体"/>
                <w:color w:val="auto"/>
                <w:highlight w:val="none"/>
              </w:rPr>
              <w:t>分，</w:t>
            </w:r>
          </w:p>
          <w:p w14:paraId="457393DE">
            <w:pPr>
              <w:snapToGrid w:val="0"/>
              <w:spacing w:line="240" w:lineRule="atLeast"/>
              <w:jc w:val="left"/>
              <w:rPr>
                <w:rFonts w:hint="eastAsia" w:eastAsia="宋体"/>
                <w:color w:val="auto"/>
                <w:highlight w:val="none"/>
                <w:lang w:val="zh-CN" w:eastAsia="zh-CN"/>
              </w:rPr>
            </w:pPr>
            <w:r>
              <w:rPr>
                <w:rFonts w:hint="eastAsia" w:eastAsia="宋体"/>
                <w:color w:val="auto"/>
                <w:highlight w:val="none"/>
              </w:rPr>
              <w:t>【</w:t>
            </w:r>
            <w:r>
              <w:rPr>
                <w:rFonts w:hint="eastAsia" w:eastAsia="宋体"/>
                <w:color w:val="auto"/>
                <w:highlight w:val="none"/>
                <w:lang w:val="en-US" w:eastAsia="zh-CN"/>
              </w:rPr>
              <w:t>一般</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环境保护管理体系与措施</w:t>
            </w:r>
            <w:r>
              <w:rPr>
                <w:rFonts w:hint="eastAsia" w:eastAsia="宋体"/>
                <w:color w:val="auto"/>
                <w:highlight w:val="none"/>
                <w:lang w:eastAsia="zh-CN"/>
              </w:rPr>
              <w:t>，</w:t>
            </w:r>
            <w:r>
              <w:rPr>
                <w:rFonts w:hint="eastAsia" w:eastAsia="宋体"/>
                <w:color w:val="auto"/>
                <w:highlight w:val="none"/>
                <w:lang w:val="en-US" w:eastAsia="zh-CN"/>
              </w:rPr>
              <w:t>缺乏</w:t>
            </w:r>
            <w:r>
              <w:rPr>
                <w:rFonts w:hint="eastAsia" w:eastAsia="宋体"/>
                <w:color w:val="auto"/>
                <w:highlight w:val="none"/>
              </w:rPr>
              <w:t>针对性，对本项目</w:t>
            </w:r>
            <w:r>
              <w:rPr>
                <w:rFonts w:hint="eastAsia" w:eastAsia="宋体"/>
                <w:color w:val="auto"/>
                <w:highlight w:val="none"/>
                <w:lang w:val="en-US" w:eastAsia="zh-CN"/>
              </w:rPr>
              <w:t>环境</w:t>
            </w:r>
            <w:r>
              <w:rPr>
                <w:rFonts w:hint="eastAsia" w:eastAsia="宋体"/>
                <w:color w:val="auto"/>
                <w:highlight w:val="none"/>
              </w:rPr>
              <w:t>保护目标</w:t>
            </w:r>
            <w:r>
              <w:rPr>
                <w:rFonts w:hint="eastAsia" w:eastAsia="宋体"/>
                <w:color w:val="auto"/>
                <w:highlight w:val="none"/>
                <w:lang w:val="en-US" w:eastAsia="zh-CN"/>
              </w:rPr>
              <w:t>的</w:t>
            </w:r>
            <w:r>
              <w:rPr>
                <w:rFonts w:hint="eastAsia" w:eastAsia="宋体"/>
                <w:color w:val="auto"/>
                <w:highlight w:val="none"/>
              </w:rPr>
              <w:t>重点难点分析</w:t>
            </w:r>
            <w:r>
              <w:rPr>
                <w:rFonts w:hint="eastAsia" w:eastAsia="宋体"/>
                <w:color w:val="auto"/>
                <w:highlight w:val="none"/>
                <w:lang w:val="en-US" w:eastAsia="zh-CN"/>
              </w:rPr>
              <w:t>缺项</w:t>
            </w:r>
            <w:r>
              <w:rPr>
                <w:rFonts w:hint="eastAsia" w:eastAsia="宋体"/>
                <w:color w:val="auto"/>
                <w:highlight w:val="none"/>
              </w:rPr>
              <w:t>，环境保护管理措施</w:t>
            </w:r>
            <w:r>
              <w:rPr>
                <w:rFonts w:hint="eastAsia" w:eastAsia="宋体"/>
                <w:color w:val="auto"/>
                <w:highlight w:val="none"/>
                <w:lang w:val="en-US" w:eastAsia="zh-CN"/>
              </w:rPr>
              <w:t>可行性差，</w:t>
            </w:r>
            <w:r>
              <w:rPr>
                <w:rFonts w:hint="eastAsia" w:eastAsia="宋体"/>
                <w:color w:val="auto"/>
                <w:highlight w:val="none"/>
              </w:rPr>
              <w:t>得</w:t>
            </w:r>
            <w:r>
              <w:rPr>
                <w:rFonts w:hint="eastAsia" w:eastAsia="宋体"/>
                <w:color w:val="auto"/>
                <w:highlight w:val="none"/>
                <w:lang w:val="en-US" w:eastAsia="zh-CN"/>
              </w:rPr>
              <w:t>2</w:t>
            </w:r>
            <w:r>
              <w:rPr>
                <w:rFonts w:hint="eastAsia" w:eastAsia="宋体"/>
                <w:color w:val="auto"/>
                <w:highlight w:val="none"/>
              </w:rPr>
              <w:t>分</w:t>
            </w:r>
            <w:r>
              <w:rPr>
                <w:rFonts w:hint="eastAsia" w:eastAsia="宋体"/>
                <w:color w:val="auto"/>
                <w:highlight w:val="none"/>
                <w:lang w:val="zh-CN" w:eastAsia="zh-CN"/>
              </w:rPr>
              <w:t>，</w:t>
            </w:r>
          </w:p>
          <w:p w14:paraId="469CD283">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rPr>
              <w:t>【</w:t>
            </w:r>
            <w:r>
              <w:rPr>
                <w:rFonts w:hint="eastAsia" w:eastAsia="宋体"/>
                <w:color w:val="auto"/>
                <w:highlight w:val="none"/>
                <w:lang w:val="en-US" w:eastAsia="zh-CN"/>
              </w:rPr>
              <w:t>差</w:t>
            </w:r>
            <w:r>
              <w:rPr>
                <w:rFonts w:hint="eastAsia" w:eastAsia="宋体"/>
                <w:color w:val="auto"/>
                <w:highlight w:val="none"/>
              </w:rPr>
              <w:t>】</w:t>
            </w:r>
            <w:r>
              <w:rPr>
                <w:rFonts w:hint="eastAsia" w:eastAsia="宋体"/>
                <w:color w:val="auto"/>
                <w:highlight w:val="none"/>
                <w:lang w:val="zh-CN"/>
              </w:rPr>
              <w:t>：</w:t>
            </w:r>
            <w:r>
              <w:rPr>
                <w:rFonts w:hint="eastAsia" w:eastAsia="宋体"/>
                <w:color w:val="auto"/>
                <w:highlight w:val="none"/>
                <w:lang w:val="zh-CN" w:eastAsia="zh-CN"/>
              </w:rPr>
              <w:t>未提供得0分。</w:t>
            </w:r>
          </w:p>
        </w:tc>
      </w:tr>
      <w:tr w14:paraId="0873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4465D8B7">
            <w:pPr>
              <w:spacing w:line="360" w:lineRule="auto"/>
              <w:jc w:val="center"/>
              <w:rPr>
                <w:color w:val="auto"/>
                <w:szCs w:val="21"/>
                <w:highlight w:val="none"/>
              </w:rPr>
            </w:pPr>
          </w:p>
        </w:tc>
        <w:tc>
          <w:tcPr>
            <w:tcW w:w="1159" w:type="dxa"/>
            <w:vMerge w:val="continue"/>
            <w:noWrap w:val="0"/>
            <w:vAlign w:val="top"/>
          </w:tcPr>
          <w:p w14:paraId="324D9639">
            <w:pPr>
              <w:spacing w:line="360" w:lineRule="auto"/>
              <w:jc w:val="left"/>
              <w:rPr>
                <w:color w:val="auto"/>
                <w:szCs w:val="21"/>
                <w:highlight w:val="none"/>
              </w:rPr>
            </w:pPr>
          </w:p>
        </w:tc>
        <w:tc>
          <w:tcPr>
            <w:tcW w:w="2652" w:type="dxa"/>
            <w:shd w:val="clear" w:color="auto" w:fill="auto"/>
            <w:noWrap w:val="0"/>
            <w:vAlign w:val="center"/>
          </w:tcPr>
          <w:p w14:paraId="1CAAC5B0">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工程建设进度计划与措施（</w:t>
            </w:r>
            <w:r>
              <w:rPr>
                <w:rFonts w:hint="eastAsia" w:eastAsia="宋体"/>
                <w:color w:val="auto"/>
                <w:szCs w:val="21"/>
                <w:highlight w:val="none"/>
                <w:lang w:val="en-US" w:eastAsia="zh-CN"/>
              </w:rPr>
              <w:t>6</w:t>
            </w:r>
            <w:r>
              <w:rPr>
                <w:rFonts w:hint="eastAsia" w:eastAsia="宋体"/>
                <w:color w:val="auto"/>
                <w:szCs w:val="21"/>
                <w:highlight w:val="none"/>
              </w:rPr>
              <w:t>分）</w:t>
            </w:r>
          </w:p>
        </w:tc>
        <w:tc>
          <w:tcPr>
            <w:tcW w:w="4533" w:type="dxa"/>
            <w:shd w:val="clear" w:color="auto" w:fill="auto"/>
            <w:noWrap w:val="0"/>
            <w:vAlign w:val="center"/>
          </w:tcPr>
          <w:p w14:paraId="74E24F69">
            <w:pPr>
              <w:snapToGrid w:val="0"/>
              <w:spacing w:line="240" w:lineRule="atLeast"/>
              <w:jc w:val="left"/>
              <w:rPr>
                <w:rFonts w:hint="eastAsia" w:eastAsia="宋体"/>
                <w:color w:val="auto"/>
                <w:highlight w:val="none"/>
              </w:rPr>
            </w:pPr>
            <w:r>
              <w:rPr>
                <w:rFonts w:hint="eastAsia" w:eastAsia="宋体"/>
                <w:color w:val="auto"/>
                <w:highlight w:val="none"/>
              </w:rPr>
              <w:t>施工进度计划可行、合理、有很好的</w:t>
            </w:r>
            <w:r>
              <w:rPr>
                <w:rFonts w:hint="eastAsia" w:eastAsia="宋体"/>
                <w:color w:val="auto"/>
                <w:highlight w:val="none"/>
                <w:lang w:val="en-US" w:eastAsia="zh-CN"/>
              </w:rPr>
              <w:t>保障</w:t>
            </w:r>
            <w:r>
              <w:rPr>
                <w:rFonts w:hint="eastAsia" w:eastAsia="宋体"/>
                <w:color w:val="auto"/>
                <w:highlight w:val="none"/>
              </w:rPr>
              <w:t>措施（如多工段并联施工、流水作业等工序安排，赶工措施</w:t>
            </w:r>
            <w:r>
              <w:rPr>
                <w:rFonts w:hint="eastAsia" w:eastAsia="宋体"/>
                <w:color w:val="auto"/>
                <w:highlight w:val="none"/>
                <w:lang w:val="en-US" w:eastAsia="zh-CN"/>
              </w:rPr>
              <w:t>等），</w:t>
            </w:r>
            <w:r>
              <w:rPr>
                <w:rFonts w:hint="eastAsia" w:eastAsia="宋体"/>
                <w:color w:val="auto"/>
                <w:highlight w:val="none"/>
              </w:rPr>
              <w:t>施工工期计划目标符合招标文件要求，关键</w:t>
            </w:r>
            <w:r>
              <w:rPr>
                <w:rFonts w:hint="eastAsia" w:eastAsia="宋体"/>
                <w:color w:val="auto"/>
                <w:highlight w:val="none"/>
                <w:lang w:val="en-US" w:eastAsia="zh-CN"/>
              </w:rPr>
              <w:t>节点及</w:t>
            </w:r>
            <w:r>
              <w:rPr>
                <w:rFonts w:hint="eastAsia" w:eastAsia="宋体"/>
                <w:color w:val="auto"/>
                <w:highlight w:val="none"/>
              </w:rPr>
              <w:t>线路清晰、准确、完整，计划编制合理、可行，关键节点的控制措施合理。</w:t>
            </w:r>
          </w:p>
          <w:p w14:paraId="449FF321">
            <w:pPr>
              <w:snapToGrid w:val="0"/>
              <w:spacing w:line="240" w:lineRule="atLeast"/>
              <w:jc w:val="left"/>
              <w:rPr>
                <w:rFonts w:hint="eastAsia" w:eastAsia="宋体"/>
                <w:color w:val="auto"/>
                <w:highlight w:val="none"/>
              </w:rPr>
            </w:pPr>
            <w:r>
              <w:rPr>
                <w:rFonts w:hint="eastAsia" w:eastAsia="宋体"/>
                <w:color w:val="auto"/>
                <w:highlight w:val="none"/>
              </w:rPr>
              <w:t>【优】</w:t>
            </w:r>
            <w:r>
              <w:rPr>
                <w:rFonts w:hint="eastAsia" w:eastAsia="宋体"/>
                <w:color w:val="auto"/>
                <w:highlight w:val="none"/>
                <w:lang w:eastAsia="zh-CN"/>
              </w:rPr>
              <w:t>：</w:t>
            </w:r>
            <w:r>
              <w:rPr>
                <w:rFonts w:hint="eastAsia" w:eastAsia="宋体"/>
                <w:color w:val="auto"/>
                <w:highlight w:val="none"/>
                <w:lang w:val="en-US" w:eastAsia="zh-CN"/>
              </w:rPr>
              <w:t>制定了健全的</w:t>
            </w:r>
            <w:r>
              <w:rPr>
                <w:rFonts w:hint="eastAsia" w:eastAsia="宋体"/>
                <w:color w:val="auto"/>
                <w:highlight w:val="none"/>
              </w:rPr>
              <w:t>工程建设进度计划与措施</w:t>
            </w:r>
            <w:r>
              <w:rPr>
                <w:rFonts w:hint="eastAsia" w:eastAsia="宋体"/>
                <w:color w:val="auto"/>
                <w:highlight w:val="none"/>
                <w:lang w:eastAsia="zh-CN"/>
              </w:rPr>
              <w:t>，</w:t>
            </w:r>
            <w:r>
              <w:rPr>
                <w:rFonts w:hint="eastAsia" w:eastAsia="宋体"/>
                <w:color w:val="auto"/>
                <w:highlight w:val="none"/>
              </w:rPr>
              <w:t>针对性强，关键</w:t>
            </w:r>
            <w:r>
              <w:rPr>
                <w:rFonts w:hint="eastAsia" w:eastAsia="宋体"/>
                <w:color w:val="auto"/>
                <w:highlight w:val="none"/>
                <w:lang w:val="en-US" w:eastAsia="zh-CN"/>
              </w:rPr>
              <w:t>节点及</w:t>
            </w:r>
            <w:r>
              <w:rPr>
                <w:rFonts w:hint="eastAsia" w:eastAsia="宋体"/>
                <w:color w:val="auto"/>
                <w:highlight w:val="none"/>
              </w:rPr>
              <w:t>线路清晰、准确、完整</w:t>
            </w:r>
            <w:r>
              <w:rPr>
                <w:rFonts w:hint="eastAsia" w:eastAsia="宋体"/>
                <w:color w:val="auto"/>
                <w:highlight w:val="none"/>
                <w:lang w:eastAsia="zh-CN"/>
              </w:rPr>
              <w:t>，</w:t>
            </w:r>
            <w:r>
              <w:rPr>
                <w:rFonts w:hint="eastAsia" w:eastAsia="宋体"/>
                <w:color w:val="auto"/>
                <w:highlight w:val="none"/>
              </w:rPr>
              <w:t>计划编制合理，关键节点的控制措施合理、</w:t>
            </w:r>
            <w:r>
              <w:rPr>
                <w:rFonts w:hint="eastAsia" w:eastAsia="宋体"/>
                <w:color w:val="auto"/>
                <w:highlight w:val="none"/>
                <w:lang w:val="en-US" w:eastAsia="zh-CN"/>
              </w:rPr>
              <w:t>切实</w:t>
            </w:r>
            <w:r>
              <w:rPr>
                <w:rFonts w:hint="eastAsia" w:eastAsia="宋体"/>
                <w:color w:val="auto"/>
                <w:highlight w:val="none"/>
              </w:rPr>
              <w:t>可行</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6</w:t>
            </w:r>
            <w:r>
              <w:rPr>
                <w:rFonts w:hint="eastAsia" w:eastAsia="宋体"/>
                <w:color w:val="auto"/>
                <w:highlight w:val="none"/>
              </w:rPr>
              <w:t>分，</w:t>
            </w:r>
          </w:p>
          <w:p w14:paraId="2E34E3E9">
            <w:pPr>
              <w:snapToGrid w:val="0"/>
              <w:spacing w:line="240" w:lineRule="atLeast"/>
              <w:jc w:val="left"/>
              <w:rPr>
                <w:rFonts w:hint="eastAsia" w:eastAsia="宋体"/>
                <w:color w:val="auto"/>
                <w:highlight w:val="none"/>
              </w:rPr>
            </w:pPr>
            <w:r>
              <w:rPr>
                <w:rFonts w:hint="eastAsia" w:eastAsia="宋体"/>
                <w:color w:val="auto"/>
                <w:highlight w:val="none"/>
              </w:rPr>
              <w:t>【</w:t>
            </w:r>
            <w:r>
              <w:rPr>
                <w:rFonts w:hint="eastAsia" w:eastAsia="宋体"/>
                <w:color w:val="auto"/>
                <w:highlight w:val="none"/>
                <w:lang w:val="en-US" w:eastAsia="zh-CN"/>
              </w:rPr>
              <w:t>良</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工程建设进度计划与措施</w:t>
            </w:r>
            <w:r>
              <w:rPr>
                <w:rFonts w:hint="eastAsia" w:eastAsia="宋体"/>
                <w:color w:val="auto"/>
                <w:highlight w:val="none"/>
                <w:lang w:eastAsia="zh-CN"/>
              </w:rPr>
              <w:t>，</w:t>
            </w:r>
            <w:r>
              <w:rPr>
                <w:rFonts w:hint="eastAsia" w:eastAsia="宋体"/>
                <w:color w:val="auto"/>
                <w:highlight w:val="none"/>
              </w:rPr>
              <w:t>针对性</w:t>
            </w:r>
            <w:r>
              <w:rPr>
                <w:rFonts w:hint="eastAsia" w:eastAsia="宋体"/>
                <w:color w:val="auto"/>
                <w:highlight w:val="none"/>
                <w:lang w:val="en-US" w:eastAsia="zh-CN"/>
              </w:rPr>
              <w:t>一般</w:t>
            </w:r>
            <w:r>
              <w:rPr>
                <w:rFonts w:hint="eastAsia" w:eastAsia="宋体"/>
                <w:color w:val="auto"/>
                <w:highlight w:val="none"/>
              </w:rPr>
              <w:t>，关键</w:t>
            </w:r>
            <w:r>
              <w:rPr>
                <w:rFonts w:hint="eastAsia" w:eastAsia="宋体"/>
                <w:color w:val="auto"/>
                <w:highlight w:val="none"/>
                <w:lang w:val="en-US" w:eastAsia="zh-CN"/>
              </w:rPr>
              <w:t>节点及</w:t>
            </w:r>
            <w:r>
              <w:rPr>
                <w:rFonts w:hint="eastAsia" w:eastAsia="宋体"/>
                <w:color w:val="auto"/>
                <w:highlight w:val="none"/>
              </w:rPr>
              <w:t>线路</w:t>
            </w:r>
            <w:r>
              <w:rPr>
                <w:rFonts w:hint="eastAsia" w:eastAsia="宋体"/>
                <w:color w:val="auto"/>
                <w:highlight w:val="none"/>
                <w:lang w:val="en-US" w:eastAsia="zh-CN"/>
              </w:rPr>
              <w:t>较完整</w:t>
            </w:r>
            <w:r>
              <w:rPr>
                <w:rFonts w:hint="eastAsia" w:eastAsia="宋体"/>
                <w:color w:val="auto"/>
                <w:highlight w:val="none"/>
                <w:lang w:eastAsia="zh-CN"/>
              </w:rPr>
              <w:t>，</w:t>
            </w:r>
            <w:r>
              <w:rPr>
                <w:rFonts w:hint="eastAsia" w:eastAsia="宋体"/>
                <w:color w:val="auto"/>
                <w:highlight w:val="none"/>
              </w:rPr>
              <w:t>计划编制</w:t>
            </w:r>
            <w:r>
              <w:rPr>
                <w:rFonts w:hint="eastAsia" w:eastAsia="宋体"/>
                <w:color w:val="auto"/>
                <w:highlight w:val="none"/>
                <w:lang w:val="en-US" w:eastAsia="zh-CN"/>
              </w:rPr>
              <w:t>较</w:t>
            </w:r>
            <w:r>
              <w:rPr>
                <w:rFonts w:hint="eastAsia" w:eastAsia="宋体"/>
                <w:color w:val="auto"/>
                <w:highlight w:val="none"/>
              </w:rPr>
              <w:t>合理，关键节点的控制措施</w:t>
            </w:r>
            <w:r>
              <w:rPr>
                <w:rFonts w:hint="eastAsia" w:eastAsia="宋体"/>
                <w:color w:val="auto"/>
                <w:highlight w:val="none"/>
                <w:lang w:val="en-US" w:eastAsia="zh-CN"/>
              </w:rPr>
              <w:t>基本可行</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4</w:t>
            </w:r>
            <w:r>
              <w:rPr>
                <w:rFonts w:hint="eastAsia" w:eastAsia="宋体"/>
                <w:color w:val="auto"/>
                <w:highlight w:val="none"/>
              </w:rPr>
              <w:t>分，</w:t>
            </w:r>
          </w:p>
          <w:p w14:paraId="3FD524E7">
            <w:pPr>
              <w:snapToGrid w:val="0"/>
              <w:spacing w:line="240" w:lineRule="atLeast"/>
              <w:jc w:val="left"/>
              <w:rPr>
                <w:rFonts w:hint="eastAsia" w:eastAsia="宋体"/>
                <w:color w:val="auto"/>
                <w:highlight w:val="none"/>
                <w:lang w:val="zh-CN" w:eastAsia="zh-CN"/>
              </w:rPr>
            </w:pPr>
            <w:r>
              <w:rPr>
                <w:rFonts w:hint="eastAsia" w:eastAsia="宋体"/>
                <w:color w:val="auto"/>
                <w:highlight w:val="none"/>
              </w:rPr>
              <w:t>【</w:t>
            </w:r>
            <w:r>
              <w:rPr>
                <w:rFonts w:hint="eastAsia" w:eastAsia="宋体"/>
                <w:color w:val="auto"/>
                <w:highlight w:val="none"/>
                <w:lang w:val="en-US" w:eastAsia="zh-CN"/>
              </w:rPr>
              <w:t>一般</w:t>
            </w:r>
            <w:r>
              <w:rPr>
                <w:rFonts w:hint="eastAsia" w:eastAsia="宋体"/>
                <w:color w:val="auto"/>
                <w:highlight w:val="none"/>
              </w:rPr>
              <w:t>】</w:t>
            </w:r>
            <w:r>
              <w:rPr>
                <w:rFonts w:hint="eastAsia" w:eastAsia="宋体"/>
                <w:color w:val="auto"/>
                <w:highlight w:val="none"/>
                <w:lang w:eastAsia="zh-CN"/>
              </w:rPr>
              <w:t>：</w:t>
            </w:r>
            <w:r>
              <w:rPr>
                <w:rFonts w:hint="eastAsia" w:eastAsia="宋体"/>
                <w:color w:val="auto"/>
                <w:highlight w:val="none"/>
                <w:lang w:val="en-US" w:eastAsia="zh-CN"/>
              </w:rPr>
              <w:t>制定了</w:t>
            </w:r>
            <w:r>
              <w:rPr>
                <w:rFonts w:hint="eastAsia" w:eastAsia="宋体"/>
                <w:color w:val="auto"/>
                <w:highlight w:val="none"/>
              </w:rPr>
              <w:t>工程建设进度计划与措施</w:t>
            </w:r>
            <w:r>
              <w:rPr>
                <w:rFonts w:hint="eastAsia" w:eastAsia="宋体"/>
                <w:color w:val="auto"/>
                <w:highlight w:val="none"/>
                <w:lang w:eastAsia="zh-CN"/>
              </w:rPr>
              <w:t>，</w:t>
            </w:r>
            <w:r>
              <w:rPr>
                <w:rFonts w:hint="eastAsia" w:eastAsia="宋体"/>
                <w:color w:val="auto"/>
                <w:highlight w:val="none"/>
                <w:lang w:val="en-US" w:eastAsia="zh-CN"/>
              </w:rPr>
              <w:t>缺乏</w:t>
            </w:r>
            <w:r>
              <w:rPr>
                <w:rFonts w:hint="eastAsia" w:eastAsia="宋体"/>
                <w:color w:val="auto"/>
                <w:highlight w:val="none"/>
              </w:rPr>
              <w:t>针对性，关键</w:t>
            </w:r>
            <w:r>
              <w:rPr>
                <w:rFonts w:hint="eastAsia" w:eastAsia="宋体"/>
                <w:color w:val="auto"/>
                <w:highlight w:val="none"/>
                <w:lang w:val="en-US" w:eastAsia="zh-CN"/>
              </w:rPr>
              <w:t>节点及</w:t>
            </w:r>
            <w:r>
              <w:rPr>
                <w:rFonts w:hint="eastAsia" w:eastAsia="宋体"/>
                <w:color w:val="auto"/>
                <w:highlight w:val="none"/>
              </w:rPr>
              <w:t>线路</w:t>
            </w:r>
            <w:r>
              <w:rPr>
                <w:rFonts w:hint="eastAsia" w:eastAsia="宋体"/>
                <w:color w:val="auto"/>
                <w:highlight w:val="none"/>
                <w:lang w:val="en-US" w:eastAsia="zh-CN"/>
              </w:rPr>
              <w:t>缺项</w:t>
            </w:r>
            <w:r>
              <w:rPr>
                <w:rFonts w:hint="eastAsia" w:eastAsia="宋体"/>
                <w:color w:val="auto"/>
                <w:highlight w:val="none"/>
                <w:lang w:eastAsia="zh-CN"/>
              </w:rPr>
              <w:t>，</w:t>
            </w:r>
            <w:r>
              <w:rPr>
                <w:rFonts w:hint="eastAsia" w:eastAsia="宋体"/>
                <w:color w:val="auto"/>
                <w:highlight w:val="none"/>
              </w:rPr>
              <w:t>计划编制</w:t>
            </w:r>
            <w:r>
              <w:rPr>
                <w:rFonts w:hint="eastAsia" w:eastAsia="宋体"/>
                <w:color w:val="auto"/>
                <w:highlight w:val="none"/>
                <w:lang w:val="en-US" w:eastAsia="zh-CN"/>
              </w:rPr>
              <w:t>不</w:t>
            </w:r>
            <w:r>
              <w:rPr>
                <w:rFonts w:hint="eastAsia" w:eastAsia="宋体"/>
                <w:color w:val="auto"/>
                <w:highlight w:val="none"/>
              </w:rPr>
              <w:t>合理，关键节点的控制措施</w:t>
            </w:r>
            <w:r>
              <w:rPr>
                <w:rFonts w:hint="eastAsia" w:eastAsia="宋体"/>
                <w:color w:val="auto"/>
                <w:highlight w:val="none"/>
                <w:lang w:val="en-US" w:eastAsia="zh-CN"/>
              </w:rPr>
              <w:t>可行性差</w:t>
            </w:r>
            <w:r>
              <w:rPr>
                <w:rFonts w:hint="eastAsia" w:eastAsia="宋体"/>
                <w:color w:val="auto"/>
                <w:highlight w:val="none"/>
                <w:lang w:eastAsia="zh-CN"/>
              </w:rPr>
              <w:t>，</w:t>
            </w:r>
            <w:r>
              <w:rPr>
                <w:rFonts w:hint="eastAsia" w:eastAsia="宋体"/>
                <w:color w:val="auto"/>
                <w:highlight w:val="none"/>
              </w:rPr>
              <w:t>得</w:t>
            </w:r>
            <w:r>
              <w:rPr>
                <w:rFonts w:hint="eastAsia" w:eastAsia="宋体"/>
                <w:color w:val="auto"/>
                <w:highlight w:val="none"/>
                <w:lang w:val="en-US" w:eastAsia="zh-CN"/>
              </w:rPr>
              <w:t>2</w:t>
            </w:r>
            <w:r>
              <w:rPr>
                <w:rFonts w:hint="eastAsia" w:eastAsia="宋体"/>
                <w:color w:val="auto"/>
                <w:highlight w:val="none"/>
              </w:rPr>
              <w:t>分</w:t>
            </w:r>
            <w:r>
              <w:rPr>
                <w:rFonts w:hint="eastAsia" w:eastAsia="宋体"/>
                <w:color w:val="auto"/>
                <w:highlight w:val="none"/>
                <w:lang w:val="zh-CN" w:eastAsia="zh-CN"/>
              </w:rPr>
              <w:t>，</w:t>
            </w:r>
          </w:p>
          <w:p w14:paraId="0AE2E1BA">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rPr>
              <w:t>【</w:t>
            </w:r>
            <w:r>
              <w:rPr>
                <w:rFonts w:hint="eastAsia" w:eastAsia="宋体"/>
                <w:color w:val="auto"/>
                <w:highlight w:val="none"/>
                <w:lang w:val="en-US" w:eastAsia="zh-CN"/>
              </w:rPr>
              <w:t>差</w:t>
            </w:r>
            <w:r>
              <w:rPr>
                <w:rFonts w:hint="eastAsia" w:eastAsia="宋体"/>
                <w:color w:val="auto"/>
                <w:highlight w:val="none"/>
              </w:rPr>
              <w:t>】</w:t>
            </w:r>
            <w:r>
              <w:rPr>
                <w:rFonts w:hint="eastAsia" w:eastAsia="宋体"/>
                <w:color w:val="auto"/>
                <w:highlight w:val="none"/>
                <w:lang w:val="zh-CN"/>
              </w:rPr>
              <w:t>：</w:t>
            </w:r>
            <w:r>
              <w:rPr>
                <w:rFonts w:hint="eastAsia" w:eastAsia="宋体"/>
                <w:color w:val="auto"/>
                <w:highlight w:val="none"/>
                <w:lang w:val="zh-CN" w:eastAsia="zh-CN"/>
              </w:rPr>
              <w:t>未提供得0分。</w:t>
            </w:r>
          </w:p>
        </w:tc>
      </w:tr>
      <w:tr w14:paraId="1D82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6C7BF3D2">
            <w:pPr>
              <w:spacing w:line="360" w:lineRule="auto"/>
              <w:jc w:val="center"/>
              <w:rPr>
                <w:color w:val="auto"/>
                <w:szCs w:val="21"/>
                <w:highlight w:val="none"/>
              </w:rPr>
            </w:pPr>
          </w:p>
        </w:tc>
        <w:tc>
          <w:tcPr>
            <w:tcW w:w="1159" w:type="dxa"/>
            <w:vMerge w:val="continue"/>
            <w:noWrap w:val="0"/>
            <w:vAlign w:val="top"/>
          </w:tcPr>
          <w:p w14:paraId="172133D0">
            <w:pPr>
              <w:spacing w:line="360" w:lineRule="auto"/>
              <w:jc w:val="left"/>
              <w:rPr>
                <w:color w:val="auto"/>
                <w:szCs w:val="21"/>
                <w:highlight w:val="none"/>
              </w:rPr>
            </w:pPr>
          </w:p>
        </w:tc>
        <w:tc>
          <w:tcPr>
            <w:tcW w:w="2652" w:type="dxa"/>
            <w:shd w:val="clear" w:color="auto" w:fill="auto"/>
            <w:noWrap w:val="0"/>
            <w:vAlign w:val="center"/>
          </w:tcPr>
          <w:p w14:paraId="428CC727">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绿色施工（</w:t>
            </w:r>
            <w:r>
              <w:rPr>
                <w:rFonts w:hint="eastAsia" w:eastAsia="宋体"/>
                <w:color w:val="auto"/>
                <w:szCs w:val="21"/>
                <w:highlight w:val="none"/>
                <w:lang w:val="en-US" w:eastAsia="zh-CN"/>
              </w:rPr>
              <w:t>5</w:t>
            </w:r>
            <w:r>
              <w:rPr>
                <w:rFonts w:hint="eastAsia" w:eastAsia="宋体"/>
                <w:color w:val="auto"/>
                <w:szCs w:val="21"/>
                <w:highlight w:val="none"/>
              </w:rPr>
              <w:t>分）</w:t>
            </w:r>
          </w:p>
        </w:tc>
        <w:tc>
          <w:tcPr>
            <w:tcW w:w="4533" w:type="dxa"/>
            <w:shd w:val="clear" w:color="auto" w:fill="auto"/>
            <w:noWrap w:val="0"/>
            <w:vAlign w:val="center"/>
          </w:tcPr>
          <w:p w14:paraId="3FF88994">
            <w:pPr>
              <w:snapToGrid w:val="0"/>
              <w:spacing w:line="240" w:lineRule="atLeast"/>
              <w:jc w:val="left"/>
              <w:rPr>
                <w:rFonts w:hint="eastAsia" w:eastAsia="宋体"/>
                <w:color w:val="auto"/>
                <w:highlight w:val="none"/>
              </w:rPr>
            </w:pPr>
            <w:r>
              <w:rPr>
                <w:rFonts w:hint="eastAsia" w:eastAsia="宋体"/>
                <w:color w:val="auto"/>
                <w:highlight w:val="none"/>
                <w:lang w:val="en-US" w:eastAsia="zh-CN"/>
              </w:rPr>
              <w:t>投标人</w:t>
            </w:r>
            <w:r>
              <w:rPr>
                <w:rFonts w:hint="eastAsia" w:eastAsia="宋体"/>
                <w:color w:val="auto"/>
                <w:highlight w:val="none"/>
              </w:rPr>
              <w:t>承诺在施工过程中通过科学管理和先进的技术手段，最大限度地节约资源与减少对环境的负面影响，以达到四节一环保（节能、节地、节水、节材和环境保护）</w:t>
            </w:r>
            <w:r>
              <w:rPr>
                <w:rFonts w:hint="eastAsia" w:eastAsia="宋体"/>
                <w:color w:val="auto"/>
                <w:highlight w:val="none"/>
                <w:lang w:val="en-US" w:eastAsia="zh-CN"/>
              </w:rPr>
              <w:t>和防尘降噪</w:t>
            </w:r>
            <w:r>
              <w:rPr>
                <w:rFonts w:hint="eastAsia" w:eastAsia="宋体"/>
                <w:color w:val="auto"/>
                <w:highlight w:val="none"/>
              </w:rPr>
              <w:t>的目标；技术手段满足全部要求。</w:t>
            </w:r>
          </w:p>
          <w:p w14:paraId="05E7DADA">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满足得5分，不满足0分</w:t>
            </w:r>
          </w:p>
          <w:p w14:paraId="71117DFF">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rPr>
              <w:t>注：提供绿色施工组织机构图及《绿色施工承诺函》，格式自拟。</w:t>
            </w:r>
          </w:p>
        </w:tc>
      </w:tr>
      <w:tr w14:paraId="69CA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452EDCD5">
            <w:pPr>
              <w:spacing w:line="360" w:lineRule="auto"/>
              <w:jc w:val="center"/>
              <w:rPr>
                <w:color w:val="auto"/>
                <w:szCs w:val="21"/>
                <w:highlight w:val="none"/>
              </w:rPr>
            </w:pPr>
          </w:p>
        </w:tc>
        <w:tc>
          <w:tcPr>
            <w:tcW w:w="1159" w:type="dxa"/>
            <w:vMerge w:val="continue"/>
            <w:noWrap w:val="0"/>
            <w:vAlign w:val="top"/>
          </w:tcPr>
          <w:p w14:paraId="49F59FEF">
            <w:pPr>
              <w:spacing w:line="360" w:lineRule="auto"/>
              <w:jc w:val="left"/>
              <w:rPr>
                <w:color w:val="auto"/>
                <w:szCs w:val="21"/>
                <w:highlight w:val="none"/>
              </w:rPr>
            </w:pPr>
          </w:p>
        </w:tc>
        <w:tc>
          <w:tcPr>
            <w:tcW w:w="2652" w:type="dxa"/>
            <w:shd w:val="clear" w:color="auto" w:fill="auto"/>
            <w:noWrap w:val="0"/>
            <w:vAlign w:val="center"/>
          </w:tcPr>
          <w:p w14:paraId="7F97850D">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拟投入的机械设备情况（</w:t>
            </w:r>
            <w:r>
              <w:rPr>
                <w:rFonts w:hint="eastAsia" w:eastAsia="宋体"/>
                <w:color w:val="auto"/>
                <w:szCs w:val="21"/>
                <w:highlight w:val="none"/>
                <w:lang w:val="en-US" w:eastAsia="zh-CN"/>
              </w:rPr>
              <w:t>5</w:t>
            </w:r>
            <w:r>
              <w:rPr>
                <w:rFonts w:hint="eastAsia" w:eastAsia="宋体"/>
                <w:color w:val="auto"/>
                <w:szCs w:val="21"/>
                <w:highlight w:val="none"/>
              </w:rPr>
              <w:t>分）</w:t>
            </w:r>
          </w:p>
        </w:tc>
        <w:tc>
          <w:tcPr>
            <w:tcW w:w="4533" w:type="dxa"/>
            <w:shd w:val="clear" w:color="auto" w:fill="auto"/>
            <w:noWrap w:val="0"/>
            <w:vAlign w:val="center"/>
          </w:tcPr>
          <w:p w14:paraId="70765B7E">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投标人承诺在施工过程中投入充足、先进且性能优异的机械设备以满足工程的实际需要。</w:t>
            </w:r>
          </w:p>
          <w:p w14:paraId="4C0D783F">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满足得5分，不满足0分。</w:t>
            </w:r>
          </w:p>
          <w:p w14:paraId="1823DEDC">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lang w:val="en-US" w:eastAsia="zh-CN"/>
              </w:rPr>
              <w:t>注：提供《拟投入的机械设备承诺函》，格式自拟。</w:t>
            </w:r>
          </w:p>
        </w:tc>
      </w:tr>
      <w:tr w14:paraId="2A58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6A4A8E66">
            <w:pPr>
              <w:spacing w:line="360" w:lineRule="auto"/>
              <w:jc w:val="center"/>
              <w:rPr>
                <w:color w:val="auto"/>
                <w:szCs w:val="21"/>
                <w:highlight w:val="none"/>
              </w:rPr>
            </w:pPr>
          </w:p>
        </w:tc>
        <w:tc>
          <w:tcPr>
            <w:tcW w:w="1159" w:type="dxa"/>
            <w:vMerge w:val="continue"/>
            <w:noWrap w:val="0"/>
            <w:vAlign w:val="top"/>
          </w:tcPr>
          <w:p w14:paraId="66C30551">
            <w:pPr>
              <w:spacing w:line="360" w:lineRule="auto"/>
              <w:jc w:val="left"/>
              <w:rPr>
                <w:color w:val="auto"/>
                <w:szCs w:val="21"/>
                <w:highlight w:val="none"/>
              </w:rPr>
            </w:pPr>
          </w:p>
        </w:tc>
        <w:tc>
          <w:tcPr>
            <w:tcW w:w="2652" w:type="dxa"/>
            <w:shd w:val="clear" w:color="auto" w:fill="auto"/>
            <w:noWrap w:val="0"/>
            <w:vAlign w:val="center"/>
          </w:tcPr>
          <w:p w14:paraId="31773B36">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项目</w:t>
            </w:r>
            <w:r>
              <w:rPr>
                <w:rFonts w:hint="eastAsia" w:eastAsia="宋体"/>
                <w:color w:val="auto"/>
                <w:szCs w:val="21"/>
                <w:highlight w:val="none"/>
                <w:lang w:val="en-US" w:eastAsia="zh-CN"/>
              </w:rPr>
              <w:t>负责人</w:t>
            </w:r>
            <w:r>
              <w:rPr>
                <w:rFonts w:hint="eastAsia" w:eastAsia="宋体"/>
                <w:color w:val="auto"/>
                <w:szCs w:val="21"/>
                <w:highlight w:val="none"/>
              </w:rPr>
              <w:t>答辩</w:t>
            </w:r>
            <w:r>
              <w:rPr>
                <w:rFonts w:hint="eastAsia" w:eastAsia="宋体"/>
                <w:color w:val="auto"/>
                <w:szCs w:val="21"/>
                <w:highlight w:val="none"/>
                <w:lang w:eastAsia="zh-CN"/>
              </w:rPr>
              <w:t>（</w:t>
            </w:r>
            <w:r>
              <w:rPr>
                <w:rFonts w:hint="eastAsia" w:eastAsia="宋体"/>
                <w:color w:val="auto"/>
                <w:szCs w:val="21"/>
                <w:highlight w:val="none"/>
                <w:lang w:val="en-US" w:eastAsia="zh-CN"/>
              </w:rPr>
              <w:t>30分</w:t>
            </w:r>
            <w:r>
              <w:rPr>
                <w:rFonts w:hint="eastAsia" w:eastAsia="宋体"/>
                <w:color w:val="auto"/>
                <w:szCs w:val="21"/>
                <w:highlight w:val="none"/>
                <w:lang w:eastAsia="zh-CN"/>
              </w:rPr>
              <w:t>）</w:t>
            </w:r>
          </w:p>
        </w:tc>
        <w:tc>
          <w:tcPr>
            <w:tcW w:w="4533" w:type="dxa"/>
            <w:shd w:val="clear" w:color="auto" w:fill="auto"/>
            <w:noWrap w:val="0"/>
            <w:vAlign w:val="center"/>
          </w:tcPr>
          <w:p w14:paraId="3F48AA09">
            <w:pPr>
              <w:snapToGrid w:val="0"/>
              <w:spacing w:line="240" w:lineRule="atLeast"/>
              <w:jc w:val="left"/>
              <w:rPr>
                <w:rFonts w:hint="eastAsia" w:eastAsia="宋体"/>
                <w:color w:val="auto"/>
                <w:highlight w:val="none"/>
                <w:lang w:val="en-US" w:eastAsia="zh-CN"/>
              </w:rPr>
            </w:pPr>
            <w:r>
              <w:rPr>
                <w:rFonts w:hint="eastAsia" w:eastAsia="宋体"/>
                <w:b/>
                <w:bCs/>
                <w:color w:val="auto"/>
                <w:highlight w:val="none"/>
                <w:lang w:val="en-US" w:eastAsia="zh-CN"/>
              </w:rPr>
              <w:t>投标人项目负责人就本工程内容从以下方面进行陈述及解答问题：</w:t>
            </w:r>
          </w:p>
          <w:p w14:paraId="67594A26">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（1）介绍参加答辩的项目人员情况；</w:t>
            </w:r>
          </w:p>
          <w:p w14:paraId="6CFDA82D">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（2）介绍现场踏勘情况，对参与投标项目的了解情况；</w:t>
            </w:r>
          </w:p>
          <w:p w14:paraId="4BA1F26A">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（3）介绍施工组织方案要点；</w:t>
            </w:r>
          </w:p>
          <w:p w14:paraId="5A09F5F5">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（4）介绍项目施工组织的重点、难点分析及应对措施；</w:t>
            </w:r>
          </w:p>
          <w:p w14:paraId="2D660B4B">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（5）介绍人员、设备投入计划；</w:t>
            </w:r>
          </w:p>
          <w:p w14:paraId="19CAF884">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（6）解答评委针对其陈述内容及方案所提的相关问题。</w:t>
            </w:r>
          </w:p>
          <w:p w14:paraId="786BF197">
            <w:pPr>
              <w:snapToGrid w:val="0"/>
              <w:spacing w:line="240" w:lineRule="atLeast"/>
              <w:jc w:val="left"/>
              <w:rPr>
                <w:rFonts w:hint="eastAsia" w:eastAsia="宋体"/>
                <w:color w:val="auto"/>
                <w:highlight w:val="none"/>
                <w:lang w:val="en-US" w:eastAsia="zh-CN"/>
              </w:rPr>
            </w:pPr>
          </w:p>
          <w:p w14:paraId="7331FBD0">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优】：对工程内容熟悉对施工组织方案认识清晰，对施工的重点、难点认识深刻，应对措施合理可行，人员、设备投入计划对工程进度有保障，对设计工作的配合方案合理可行，施工组织方案对工程质量、工期的保证合理可行；回答评委提问思路清晰、内容准确，得30分。</w:t>
            </w:r>
          </w:p>
          <w:p w14:paraId="4F134FA1">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良】：对工程内容较熟悉，对施工组织方案认识较清晰，对施工的重点、难点认识到位，应对措施基本合理，人员、设备投入计划对工程进度基本有保障，对设计工作的配合方案基本可行，施工组织方案对工程质量、工期的保证基本合理可行；回答评委提问思路比较清晰、内容基本准确，得20分。</w:t>
            </w:r>
          </w:p>
          <w:p w14:paraId="76E79543">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一般】：对工程内容不熟悉，或对施工组织方案认识一般；或未能把握施工的重点、难点；或人员、设备投入计划对工程进度保障差；对设计工作的配合方案可行性较差，施工组织方案对工程质量、工期的保证可行性较差；或回答评委提问思路不清晰、答非所问，得10分。</w:t>
            </w:r>
          </w:p>
          <w:p w14:paraId="2C8CB6B2">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【差】：项目负责人没有参加现场答辩的，得0分。</w:t>
            </w:r>
          </w:p>
          <w:p w14:paraId="088D9F7D">
            <w:pPr>
              <w:snapToGrid w:val="0"/>
              <w:spacing w:line="240" w:lineRule="atLeast"/>
              <w:jc w:val="left"/>
              <w:rPr>
                <w:rFonts w:hint="eastAsia" w:eastAsia="宋体"/>
                <w:color w:val="auto"/>
                <w:highlight w:val="none"/>
                <w:lang w:val="en-US" w:eastAsia="zh-CN"/>
              </w:rPr>
            </w:pPr>
          </w:p>
          <w:p w14:paraId="2459E2E5">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注：由通过技术标有效性审查的投标人拟投入本项目负责人及投标人认为需参加答辩的人员讲解投标方案、解答疑问，评标委员会专家根据答辩情况进行评审。讲解投标方案注意事项如下：</w:t>
            </w:r>
          </w:p>
          <w:p w14:paraId="19D43516">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①讲解投标方案的人员组成：由项目负责人及投标人认为需参加答辩的人员组成(参与人员为1人或2人组成，且须是本单位的在职人员）。</w:t>
            </w:r>
          </w:p>
          <w:p w14:paraId="79C15B81">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②讲解投标方案的顺序：通过随机抽取方式确定讲解顺序。</w:t>
            </w:r>
          </w:p>
          <w:p w14:paraId="6F276532">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③讲解方案人员的要求：投标人在参加讲解时，应向招标人（招标代理）提供一份加盖公章的法定代表人证明书及授权委托书，并展示讲解人员在本单位</w:t>
            </w:r>
            <w:r>
              <w:rPr>
                <w:rFonts w:hint="eastAsia" w:ascii="Times New Roman" w:hAnsi="Times New Roman" w:eastAsia="宋体" w:cs="Times New Roman"/>
                <w:color w:val="auto"/>
                <w:highlight w:val="none"/>
                <w:lang w:val="en-US" w:eastAsia="zh-CN"/>
              </w:rPr>
              <w:t>2025年1月</w:t>
            </w:r>
            <w:r>
              <w:rPr>
                <w:rFonts w:hint="eastAsia" w:eastAsia="宋体"/>
                <w:color w:val="auto"/>
                <w:highlight w:val="none"/>
                <w:lang w:val="en-US" w:eastAsia="zh-CN"/>
              </w:rPr>
              <w:t>的有效社保证明复印件并加盖单位公章、身份证原件，招标人（招标代理）核对确认身份后再进行讲解。未能出示前述证明文件的单位不予参加讲解环节。</w:t>
            </w:r>
          </w:p>
          <w:p w14:paraId="7B75A248">
            <w:pPr>
              <w:snapToGrid w:val="0"/>
              <w:spacing w:line="240" w:lineRule="atLeast"/>
              <w:jc w:val="left"/>
              <w:rPr>
                <w:rFonts w:hint="eastAsia" w:eastAsia="宋体"/>
                <w:color w:val="auto"/>
                <w:highlight w:val="none"/>
                <w:lang w:val="en-US" w:eastAsia="zh-CN"/>
              </w:rPr>
            </w:pPr>
            <w:r>
              <w:rPr>
                <w:rFonts w:hint="eastAsia" w:eastAsia="宋体"/>
                <w:color w:val="auto"/>
                <w:highlight w:val="none"/>
                <w:lang w:val="en-US" w:eastAsia="zh-CN"/>
              </w:rPr>
              <w:t>④讲解形式与要求：讲解环节在评标时进行，具体时间根据评标委员会评审进度而定；招标人（招标代理）在投标方案讲解开始前通知通过技术标有效性审查的投标人到达讲解地点（讲解人员应预留出足够的时间，并保持通讯畅通），讲解人员先陈述，评委针对陈述内容及施工方案提问，由讲解人员进行解答。项目负责人为主辩人，负责陈述及解答问题，其他参与人员为辅助补充解释。未通过初步评审审查的投标单位无需再参与方案讲解。</w:t>
            </w:r>
          </w:p>
          <w:p w14:paraId="1F6BE7EC">
            <w:pPr>
              <w:snapToGrid w:val="0"/>
              <w:spacing w:line="240" w:lineRule="atLeast"/>
              <w:jc w:val="left"/>
              <w:rPr>
                <w:rFonts w:hint="eastAsia" w:ascii="Times New Roman" w:hAnsi="Times New Roman" w:eastAsia="宋体" w:cs="Times New Roman"/>
                <w:color w:val="auto"/>
                <w:kern w:val="2"/>
                <w:sz w:val="21"/>
                <w:szCs w:val="22"/>
                <w:highlight w:val="none"/>
                <w:lang w:val="en-US" w:eastAsia="zh-CN" w:bidi="ar-SA"/>
              </w:rPr>
            </w:pPr>
            <w:r>
              <w:rPr>
                <w:rFonts w:hint="eastAsia" w:eastAsia="宋体"/>
                <w:color w:val="auto"/>
                <w:highlight w:val="none"/>
                <w:lang w:val="en-US" w:eastAsia="zh-CN"/>
              </w:rPr>
              <w:t>⑤讲解时长控制：每家投标人总时长控制在10分钟内。</w:t>
            </w:r>
          </w:p>
        </w:tc>
      </w:tr>
      <w:tr w14:paraId="1271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Merge w:val="continue"/>
            <w:noWrap w:val="0"/>
            <w:vAlign w:val="top"/>
          </w:tcPr>
          <w:p w14:paraId="248A57EE">
            <w:pPr>
              <w:spacing w:line="360" w:lineRule="auto"/>
              <w:jc w:val="center"/>
              <w:rPr>
                <w:color w:val="auto"/>
                <w:szCs w:val="21"/>
                <w:highlight w:val="none"/>
              </w:rPr>
            </w:pPr>
          </w:p>
        </w:tc>
        <w:tc>
          <w:tcPr>
            <w:tcW w:w="1159" w:type="dxa"/>
            <w:vMerge w:val="continue"/>
            <w:noWrap w:val="0"/>
            <w:vAlign w:val="top"/>
          </w:tcPr>
          <w:p w14:paraId="786A3A2A">
            <w:pPr>
              <w:spacing w:line="360" w:lineRule="auto"/>
              <w:jc w:val="left"/>
              <w:rPr>
                <w:color w:val="auto"/>
                <w:szCs w:val="21"/>
                <w:highlight w:val="none"/>
              </w:rPr>
            </w:pPr>
          </w:p>
        </w:tc>
        <w:tc>
          <w:tcPr>
            <w:tcW w:w="2652" w:type="dxa"/>
            <w:shd w:val="clear" w:color="auto" w:fill="auto"/>
            <w:noWrap w:val="0"/>
            <w:vAlign w:val="center"/>
          </w:tcPr>
          <w:p w14:paraId="4C81C8E9">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产业工人队伍（24分）</w:t>
            </w:r>
          </w:p>
        </w:tc>
        <w:tc>
          <w:tcPr>
            <w:tcW w:w="4533" w:type="dxa"/>
            <w:shd w:val="clear" w:color="auto" w:fill="auto"/>
            <w:noWrap w:val="0"/>
            <w:vAlign w:val="center"/>
          </w:tcPr>
          <w:p w14:paraId="05651A1A">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投标人建立了稳定的产业工人队伍，且结合本项目工程特点，拟投入与项目施工内容特点密切相关的工种，包括但不限于砌筑工、混凝土工、钢筋工、架子工等与本项目施工特点密切相关的工种。</w:t>
            </w:r>
          </w:p>
          <w:p w14:paraId="03F18B76">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1、每提供1名技能等级为高级工的得3分,最多得9分，每种工种最多提供2名；</w:t>
            </w:r>
          </w:p>
          <w:p w14:paraId="70A4C079">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2、每提供1名技能等级为技师或以上的得5分，最多得15分，每种工种最多提供2名。</w:t>
            </w:r>
          </w:p>
          <w:p w14:paraId="4BB6F62C">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本项目最高得24分。</w:t>
            </w:r>
          </w:p>
          <w:p w14:paraId="6E854326">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注:1)上述人员均为本单位的正式职工，且需提供以下证明材料:①经住建部门或人社部门颁发的或经其备案的机构颁发的职业技能证书扫描件(证书在有效期内)；②如上述职业技能证书由经住建部门或人社部门备案的机构颁发，需同时提供备案证明材料；③身份证扫描件和近1个月(时间为:2025年1月在本单位交纳的社保证明(以加盖社会保险基金管理中心印章的《投保单》或《社会保险参保人员证明》资料为准)。</w:t>
            </w:r>
          </w:p>
          <w:p w14:paraId="670A46CE">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2)一人提供两个或以上证书的，只按最高等级证书计算一次得分，不重复计算得分。</w:t>
            </w:r>
          </w:p>
          <w:p w14:paraId="6B543C48">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3)不按上述要求提供证明材料的不得分。</w:t>
            </w:r>
          </w:p>
          <w:p w14:paraId="093A63E7">
            <w:pPr>
              <w:snapToGrid w:val="0"/>
              <w:spacing w:line="240" w:lineRule="atLeast"/>
              <w:jc w:val="left"/>
              <w:rPr>
                <w:rFonts w:hint="eastAsia" w:ascii="Times New Roman" w:hAnsi="Times New Roman" w:eastAsia="宋体" w:cs="Times New Roman"/>
                <w:b w:val="0"/>
                <w:bCs w:val="0"/>
                <w:color w:val="auto"/>
                <w:kern w:val="2"/>
                <w:sz w:val="21"/>
                <w:szCs w:val="22"/>
                <w:highlight w:val="none"/>
                <w:lang w:val="en-US" w:eastAsia="zh-CN" w:bidi="ar-SA"/>
              </w:rPr>
            </w:pPr>
            <w:r>
              <w:rPr>
                <w:rFonts w:hint="eastAsia" w:eastAsia="宋体"/>
                <w:b w:val="0"/>
                <w:bCs w:val="0"/>
                <w:color w:val="auto"/>
                <w:highlight w:val="none"/>
                <w:lang w:val="en-US" w:eastAsia="zh-CN"/>
              </w:rPr>
              <w:t>4)自有产业工人不得由项目负责人、施工技术负责人、专职安全员和施工技术管理人员兼任。</w:t>
            </w:r>
          </w:p>
        </w:tc>
      </w:tr>
      <w:tr w14:paraId="042D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2" w:type="dxa"/>
            <w:vMerge w:val="restart"/>
            <w:noWrap w:val="0"/>
            <w:vAlign w:val="center"/>
          </w:tcPr>
          <w:p w14:paraId="4724F37C">
            <w:pPr>
              <w:spacing w:line="360" w:lineRule="auto"/>
              <w:jc w:val="center"/>
              <w:rPr>
                <w:color w:val="auto"/>
                <w:szCs w:val="21"/>
                <w:highlight w:val="none"/>
              </w:rPr>
            </w:pPr>
            <w:r>
              <w:rPr>
                <w:color w:val="auto"/>
                <w:szCs w:val="21"/>
                <w:highlight w:val="none"/>
              </w:rPr>
              <w:t>2.2.</w:t>
            </w:r>
            <w:r>
              <w:rPr>
                <w:rFonts w:hint="eastAsia"/>
                <w:color w:val="auto"/>
                <w:szCs w:val="21"/>
                <w:highlight w:val="none"/>
                <w:lang w:val="en-US" w:eastAsia="zh-CN"/>
              </w:rPr>
              <w:t>5</w:t>
            </w:r>
            <w:r>
              <w:rPr>
                <w:rFonts w:hint="eastAsia"/>
                <w:color w:val="auto"/>
                <w:szCs w:val="21"/>
                <w:highlight w:val="none"/>
              </w:rPr>
              <w:t>(</w:t>
            </w:r>
            <w:r>
              <w:rPr>
                <w:color w:val="auto"/>
                <w:szCs w:val="21"/>
                <w:highlight w:val="none"/>
              </w:rPr>
              <w:t>2</w:t>
            </w:r>
            <w:r>
              <w:rPr>
                <w:rFonts w:hint="eastAsia"/>
                <w:color w:val="auto"/>
                <w:szCs w:val="21"/>
                <w:highlight w:val="none"/>
              </w:rPr>
              <w:t>)</w:t>
            </w:r>
          </w:p>
        </w:tc>
        <w:tc>
          <w:tcPr>
            <w:tcW w:w="1159" w:type="dxa"/>
            <w:vMerge w:val="restart"/>
            <w:noWrap w:val="0"/>
            <w:vAlign w:val="center"/>
          </w:tcPr>
          <w:p w14:paraId="6A9EFFD4">
            <w:pPr>
              <w:spacing w:line="360" w:lineRule="auto"/>
              <w:jc w:val="center"/>
              <w:rPr>
                <w:color w:val="auto"/>
                <w:szCs w:val="21"/>
                <w:highlight w:val="none"/>
              </w:rPr>
            </w:pPr>
            <w:r>
              <w:rPr>
                <w:rFonts w:hint="eastAsia"/>
                <w:color w:val="auto"/>
                <w:szCs w:val="21"/>
                <w:highlight w:val="none"/>
              </w:rPr>
              <w:t>商务部分</w:t>
            </w:r>
            <w:r>
              <w:rPr>
                <w:rFonts w:hint="eastAsia"/>
                <w:color w:val="auto"/>
                <w:szCs w:val="21"/>
                <w:highlight w:val="none"/>
                <w:lang w:eastAsia="zh-CN"/>
              </w:rPr>
              <w:t>评审</w:t>
            </w:r>
            <w:r>
              <w:rPr>
                <w:rFonts w:hint="eastAsia" w:eastAsia="宋体"/>
                <w:color w:val="auto"/>
                <w:szCs w:val="21"/>
                <w:highlight w:val="none"/>
                <w:lang w:val="en-US" w:eastAsia="zh-CN"/>
              </w:rPr>
              <w:t>（100分，权重7.6%）</w:t>
            </w:r>
          </w:p>
        </w:tc>
        <w:tc>
          <w:tcPr>
            <w:tcW w:w="2652" w:type="dxa"/>
            <w:shd w:val="clear" w:color="auto" w:fill="auto"/>
            <w:noWrap w:val="0"/>
            <w:vAlign w:val="center"/>
          </w:tcPr>
          <w:p w14:paraId="4E7D8276">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施工项目负责人及技术负责人的任职资格与业绩（10分）</w:t>
            </w:r>
          </w:p>
        </w:tc>
        <w:tc>
          <w:tcPr>
            <w:tcW w:w="4533" w:type="dxa"/>
            <w:shd w:val="clear" w:color="auto" w:fill="auto"/>
            <w:noWrap w:val="0"/>
            <w:vAlign w:val="center"/>
          </w:tcPr>
          <w:p w14:paraId="679175FA">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1、拟委派的项目负责人自2022年1月1日至今，担任过质量合格的类似工程业绩项目负责人的,得5分。</w:t>
            </w:r>
          </w:p>
          <w:p w14:paraId="7B3A8672">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2、拟委派的施工技术负责人具有建筑工程高级工程师或以上技术职称的得5分，其他不得分。</w:t>
            </w:r>
          </w:p>
          <w:p w14:paraId="24EEBF7E">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 xml:space="preserve">注：1）上述人员均为本单位的正式职工，项目负责人、安全主管（安全管理负责人）、施工技术负责人、施工技术管理人员和专职安全员不得兼任。需提供相关证书证明文件（职称证、身份证复印件等）和最近 1 个月（时间为：2025年1月）在本单位交纳的社保证明； </w:t>
            </w:r>
          </w:p>
          <w:p w14:paraId="61D94EA9">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2）类似工程业绩指采用的资质类别与本招标项目采用的资质类别相同的建筑工程业绩。</w:t>
            </w:r>
          </w:p>
          <w:p w14:paraId="4B4C3C63">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3）业绩完成时间以竣工验收时间为准。</w:t>
            </w:r>
          </w:p>
          <w:p w14:paraId="1063BD7C">
            <w:pPr>
              <w:snapToGrid w:val="0"/>
              <w:spacing w:line="240" w:lineRule="atLeast"/>
              <w:jc w:val="left"/>
              <w:rPr>
                <w:rFonts w:hint="eastAsia" w:eastAsia="宋体"/>
                <w:b w:val="0"/>
                <w:bCs w:val="0"/>
                <w:color w:val="auto"/>
                <w:highlight w:val="none"/>
                <w:lang w:val="zh-CN" w:eastAsia="zh-CN"/>
              </w:rPr>
            </w:pPr>
            <w:r>
              <w:rPr>
                <w:rFonts w:hint="eastAsia" w:eastAsia="宋体"/>
                <w:b w:val="0"/>
                <w:bCs w:val="0"/>
                <w:color w:val="auto"/>
                <w:highlight w:val="none"/>
                <w:lang w:val="en-US" w:eastAsia="zh-CN"/>
              </w:rPr>
              <w:t>4</w:t>
            </w:r>
            <w:r>
              <w:rPr>
                <w:rFonts w:hint="eastAsia" w:eastAsia="宋体"/>
                <w:b w:val="0"/>
                <w:bCs w:val="0"/>
                <w:color w:val="auto"/>
                <w:highlight w:val="none"/>
                <w:lang w:val="zh-CN" w:eastAsia="zh-CN"/>
              </w:rPr>
              <w:t>）需同时提供中标通知书或免招标的相关证明、施工合同、竣工验收报告或竣工验收证明。</w:t>
            </w:r>
            <w:r>
              <w:rPr>
                <w:rFonts w:hint="eastAsia" w:eastAsia="宋体"/>
                <w:b w:val="0"/>
                <w:bCs w:val="0"/>
                <w:color w:val="auto"/>
                <w:highlight w:val="none"/>
                <w:lang w:val="en-US" w:eastAsia="zh-CN"/>
              </w:rPr>
              <w:t>类似业绩证明的信息须明确显示该业绩项目名称、中标价、规模等信息。</w:t>
            </w:r>
            <w:r>
              <w:rPr>
                <w:rFonts w:hint="eastAsia" w:eastAsia="宋体"/>
                <w:b w:val="0"/>
                <w:bCs w:val="0"/>
                <w:color w:val="auto"/>
                <w:highlight w:val="none"/>
                <w:lang w:val="zh-CN" w:eastAsia="zh-CN"/>
              </w:rPr>
              <w:t>如以上资料不能证明业绩规模的技术指标的，须另提供可证明业绩技术指标的其他资料。</w:t>
            </w:r>
          </w:p>
          <w:p w14:paraId="5FFD4789">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5）由总承包单位依法分包的专业工程业绩，不作为业绩证明。</w:t>
            </w:r>
          </w:p>
          <w:p w14:paraId="05C4B9AD">
            <w:pPr>
              <w:snapToGrid w:val="0"/>
              <w:spacing w:line="240" w:lineRule="atLeast"/>
              <w:jc w:val="left"/>
              <w:rPr>
                <w:rFonts w:hint="eastAsia" w:ascii="Times New Roman" w:hAnsi="Times New Roman" w:eastAsia="宋体" w:cs="Times New Roman"/>
                <w:b w:val="0"/>
                <w:bCs w:val="0"/>
                <w:color w:val="auto"/>
                <w:kern w:val="2"/>
                <w:sz w:val="21"/>
                <w:szCs w:val="22"/>
                <w:highlight w:val="none"/>
                <w:lang w:val="en-US" w:eastAsia="zh-CN" w:bidi="ar-SA"/>
              </w:rPr>
            </w:pPr>
            <w:r>
              <w:rPr>
                <w:rFonts w:hint="eastAsia" w:eastAsia="宋体"/>
                <w:b w:val="0"/>
                <w:bCs w:val="0"/>
                <w:color w:val="auto"/>
                <w:highlight w:val="none"/>
                <w:lang w:val="en-US" w:eastAsia="zh-CN"/>
              </w:rPr>
              <w:t>6）类似业绩在中标候选人公示期间一并进行公示。</w:t>
            </w:r>
          </w:p>
        </w:tc>
      </w:tr>
      <w:tr w14:paraId="0AA2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vMerge w:val="continue"/>
            <w:noWrap w:val="0"/>
            <w:vAlign w:val="top"/>
          </w:tcPr>
          <w:p w14:paraId="6213865B">
            <w:pPr>
              <w:spacing w:line="360" w:lineRule="auto"/>
              <w:jc w:val="center"/>
              <w:rPr>
                <w:color w:val="auto"/>
                <w:szCs w:val="21"/>
                <w:highlight w:val="none"/>
              </w:rPr>
            </w:pPr>
          </w:p>
        </w:tc>
        <w:tc>
          <w:tcPr>
            <w:tcW w:w="1159" w:type="dxa"/>
            <w:vMerge w:val="continue"/>
            <w:noWrap w:val="0"/>
            <w:vAlign w:val="top"/>
          </w:tcPr>
          <w:p w14:paraId="7BB15727">
            <w:pPr>
              <w:spacing w:line="360" w:lineRule="auto"/>
              <w:jc w:val="center"/>
              <w:rPr>
                <w:color w:val="auto"/>
                <w:szCs w:val="21"/>
                <w:highlight w:val="none"/>
              </w:rPr>
            </w:pPr>
          </w:p>
        </w:tc>
        <w:tc>
          <w:tcPr>
            <w:tcW w:w="2652" w:type="dxa"/>
            <w:shd w:val="clear" w:color="auto" w:fill="auto"/>
            <w:noWrap w:val="0"/>
            <w:tcMar>
              <w:left w:w="57" w:type="dxa"/>
              <w:right w:w="57" w:type="dxa"/>
            </w:tcMar>
            <w:vAlign w:val="center"/>
          </w:tcPr>
          <w:p w14:paraId="5233F719">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rPr>
              <w:t>组织机构及主要管理人员（</w:t>
            </w:r>
            <w:r>
              <w:rPr>
                <w:rFonts w:hint="eastAsia" w:eastAsia="宋体"/>
                <w:color w:val="auto"/>
                <w:szCs w:val="21"/>
                <w:highlight w:val="none"/>
                <w:lang w:val="en-US" w:eastAsia="zh-CN"/>
              </w:rPr>
              <w:t>10</w:t>
            </w:r>
            <w:r>
              <w:rPr>
                <w:rFonts w:hint="eastAsia" w:eastAsia="宋体"/>
                <w:color w:val="auto"/>
                <w:szCs w:val="21"/>
                <w:highlight w:val="none"/>
              </w:rPr>
              <w:t>分）</w:t>
            </w:r>
          </w:p>
        </w:tc>
        <w:tc>
          <w:tcPr>
            <w:tcW w:w="4533" w:type="dxa"/>
            <w:shd w:val="clear" w:color="auto" w:fill="auto"/>
            <w:noWrap w:val="0"/>
            <w:vAlign w:val="center"/>
          </w:tcPr>
          <w:p w14:paraId="71110BC3">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1.拟委派在本项目的安全主管(安全管理负责人)具有中级或以上级别的注册安全工程师证书（证书在有效期内），且专业为建筑施工安全的，得5分。</w:t>
            </w:r>
          </w:p>
          <w:p w14:paraId="0B4E9139">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2.拟委派在本项目的的技术管理人员具有以下条件的：</w:t>
            </w:r>
          </w:p>
          <w:p w14:paraId="02647486">
            <w:pPr>
              <w:snapToGrid w:val="0"/>
              <w:spacing w:line="240" w:lineRule="atLeast"/>
              <w:jc w:val="left"/>
              <w:rPr>
                <w:rFonts w:hint="eastAsia" w:eastAsia="宋体"/>
                <w:b w:val="0"/>
                <w:bCs w:val="0"/>
                <w:color w:val="auto"/>
                <w:highlight w:val="none"/>
                <w:lang w:val="zh-CN" w:eastAsia="zh-CN"/>
              </w:rPr>
            </w:pPr>
            <w:r>
              <w:rPr>
                <w:rFonts w:hint="eastAsia" w:eastAsia="宋体"/>
                <w:b w:val="0"/>
                <w:bCs w:val="0"/>
                <w:color w:val="auto"/>
                <w:highlight w:val="none"/>
                <w:lang w:val="zh-CN" w:eastAsia="zh-CN"/>
              </w:rPr>
              <w:t>①</w:t>
            </w:r>
            <w:r>
              <w:rPr>
                <w:rFonts w:hint="eastAsia" w:eastAsia="宋体"/>
                <w:b w:val="0"/>
                <w:bCs w:val="0"/>
                <w:color w:val="auto"/>
                <w:highlight w:val="none"/>
                <w:lang w:val="en-US" w:eastAsia="zh-CN"/>
              </w:rPr>
              <w:t>具有</w:t>
            </w:r>
            <w:r>
              <w:rPr>
                <w:rFonts w:hint="eastAsia" w:eastAsia="宋体"/>
                <w:b w:val="0"/>
                <w:bCs w:val="0"/>
                <w:color w:val="auto"/>
                <w:highlight w:val="none"/>
                <w:lang w:val="zh-CN" w:eastAsia="zh-CN"/>
              </w:rPr>
              <w:t>建筑施工类中级或以上工程师职称得</w:t>
            </w:r>
            <w:r>
              <w:rPr>
                <w:rFonts w:hint="eastAsia" w:eastAsia="宋体"/>
                <w:b w:val="0"/>
                <w:bCs w:val="0"/>
                <w:color w:val="auto"/>
                <w:highlight w:val="none"/>
                <w:lang w:val="en-US" w:eastAsia="zh-CN"/>
              </w:rPr>
              <w:t>2.5</w:t>
            </w:r>
            <w:r>
              <w:rPr>
                <w:rFonts w:hint="eastAsia" w:eastAsia="宋体"/>
                <w:b w:val="0"/>
                <w:bCs w:val="0"/>
                <w:color w:val="auto"/>
                <w:highlight w:val="none"/>
                <w:lang w:val="zh-CN" w:eastAsia="zh-CN"/>
              </w:rPr>
              <w:t>分，其他不得分。</w:t>
            </w:r>
          </w:p>
          <w:p w14:paraId="463EE662">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zh-CN" w:eastAsia="zh-CN"/>
              </w:rPr>
              <w:t>②</w:t>
            </w:r>
            <w:r>
              <w:rPr>
                <w:rFonts w:hint="eastAsia" w:eastAsia="宋体"/>
                <w:b w:val="0"/>
                <w:bCs w:val="0"/>
                <w:color w:val="auto"/>
                <w:highlight w:val="none"/>
                <w:lang w:val="en-US" w:eastAsia="zh-CN"/>
              </w:rPr>
              <w:t>具有机电</w:t>
            </w:r>
            <w:r>
              <w:rPr>
                <w:rFonts w:hint="eastAsia" w:eastAsia="宋体"/>
                <w:b w:val="0"/>
                <w:bCs w:val="0"/>
                <w:color w:val="auto"/>
                <w:highlight w:val="none"/>
                <w:lang w:val="zh-CN" w:eastAsia="zh-CN"/>
              </w:rPr>
              <w:t>类中级或以上工程师职称得</w:t>
            </w:r>
            <w:r>
              <w:rPr>
                <w:rFonts w:hint="eastAsia" w:eastAsia="宋体"/>
                <w:b w:val="0"/>
                <w:bCs w:val="0"/>
                <w:color w:val="auto"/>
                <w:highlight w:val="none"/>
                <w:lang w:val="en-US" w:eastAsia="zh-CN"/>
              </w:rPr>
              <w:t>2.5</w:t>
            </w:r>
            <w:r>
              <w:rPr>
                <w:rFonts w:hint="eastAsia" w:eastAsia="宋体"/>
                <w:b w:val="0"/>
                <w:bCs w:val="0"/>
                <w:color w:val="auto"/>
                <w:highlight w:val="none"/>
                <w:lang w:val="zh-CN" w:eastAsia="zh-CN"/>
              </w:rPr>
              <w:t>分，其他不得分。</w:t>
            </w:r>
          </w:p>
          <w:p w14:paraId="2461448D">
            <w:pPr>
              <w:snapToGrid w:val="0"/>
              <w:spacing w:line="240" w:lineRule="atLeast"/>
              <w:jc w:val="left"/>
              <w:rPr>
                <w:rFonts w:hint="eastAsia" w:ascii="Times New Roman" w:hAnsi="Times New Roman" w:eastAsia="宋体" w:cs="Times New Roman"/>
                <w:b w:val="0"/>
                <w:bCs w:val="0"/>
                <w:color w:val="auto"/>
                <w:kern w:val="2"/>
                <w:sz w:val="21"/>
                <w:szCs w:val="22"/>
                <w:highlight w:val="none"/>
                <w:lang w:val="en-US" w:eastAsia="zh-CN" w:bidi="ar-SA"/>
              </w:rPr>
            </w:pPr>
            <w:r>
              <w:rPr>
                <w:rFonts w:hint="eastAsia" w:eastAsia="宋体"/>
                <w:b w:val="0"/>
                <w:bCs w:val="0"/>
                <w:color w:val="auto"/>
                <w:highlight w:val="none"/>
                <w:lang w:val="en-US" w:eastAsia="zh-CN"/>
              </w:rPr>
              <w:t>注：上述人员均为本单位的正式职工，项目负责人、安全主管（安全管理负责人）、施工技术负责人、施工技术管理人员和专职安全员不得兼任，需提供相关证书证明文件（职称证、身份证复印件等）和最近 1 个月（时间为：</w:t>
            </w:r>
            <w:r>
              <w:rPr>
                <w:rFonts w:hint="eastAsia" w:ascii="Times New Roman" w:hAnsi="Times New Roman" w:eastAsia="宋体" w:cs="Times New Roman"/>
                <w:color w:val="auto"/>
                <w:highlight w:val="none"/>
              </w:rPr>
              <w:t>20</w:t>
            </w:r>
            <w:r>
              <w:rPr>
                <w:rFonts w:hint="eastAsia" w:ascii="Times New Roman" w:hAnsi="Times New Roman" w:eastAsia="宋体" w:cs="Times New Roman"/>
                <w:color w:val="auto"/>
                <w:highlight w:val="none"/>
                <w:lang w:val="en-US" w:eastAsia="zh-CN"/>
              </w:rPr>
              <w:t>25</w:t>
            </w:r>
            <w:r>
              <w:rPr>
                <w:rFonts w:hint="eastAsia" w:ascii="Times New Roman" w:hAnsi="Times New Roman" w:eastAsia="宋体" w:cs="Times New Roman"/>
                <w:color w:val="auto"/>
                <w:highlight w:val="none"/>
              </w:rPr>
              <w:t>年</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rPr>
              <w:t>月）</w:t>
            </w:r>
            <w:r>
              <w:rPr>
                <w:rFonts w:hint="eastAsia" w:eastAsia="宋体"/>
                <w:b w:val="0"/>
                <w:bCs w:val="0"/>
                <w:color w:val="auto"/>
                <w:highlight w:val="none"/>
                <w:lang w:val="en-US" w:eastAsia="zh-CN"/>
              </w:rPr>
              <w:t>在本单位交纳的社保证明。</w:t>
            </w:r>
          </w:p>
        </w:tc>
      </w:tr>
      <w:tr w14:paraId="6A65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72" w:type="dxa"/>
            <w:vMerge w:val="continue"/>
            <w:noWrap w:val="0"/>
            <w:vAlign w:val="top"/>
          </w:tcPr>
          <w:p w14:paraId="74BE29DA">
            <w:pPr>
              <w:spacing w:line="360" w:lineRule="auto"/>
              <w:jc w:val="center"/>
              <w:rPr>
                <w:color w:val="auto"/>
                <w:szCs w:val="21"/>
                <w:highlight w:val="none"/>
              </w:rPr>
            </w:pPr>
          </w:p>
        </w:tc>
        <w:tc>
          <w:tcPr>
            <w:tcW w:w="1159" w:type="dxa"/>
            <w:vMerge w:val="continue"/>
            <w:noWrap w:val="0"/>
            <w:vAlign w:val="top"/>
          </w:tcPr>
          <w:p w14:paraId="10BC8A95">
            <w:pPr>
              <w:spacing w:line="360" w:lineRule="auto"/>
              <w:jc w:val="center"/>
              <w:rPr>
                <w:color w:val="auto"/>
                <w:szCs w:val="21"/>
                <w:highlight w:val="none"/>
              </w:rPr>
            </w:pPr>
          </w:p>
        </w:tc>
        <w:tc>
          <w:tcPr>
            <w:tcW w:w="2652" w:type="dxa"/>
            <w:shd w:val="clear" w:color="auto" w:fill="auto"/>
            <w:noWrap w:val="0"/>
            <w:vAlign w:val="center"/>
          </w:tcPr>
          <w:p w14:paraId="103DD03E">
            <w:pPr>
              <w:snapToGrid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投标人</w:t>
            </w:r>
            <w:r>
              <w:rPr>
                <w:rFonts w:hint="eastAsia" w:eastAsia="宋体"/>
                <w:color w:val="auto"/>
                <w:szCs w:val="21"/>
                <w:highlight w:val="none"/>
              </w:rPr>
              <w:t>的业绩、类似工程经历（</w:t>
            </w:r>
            <w:r>
              <w:rPr>
                <w:rFonts w:hint="eastAsia" w:eastAsia="宋体"/>
                <w:color w:val="auto"/>
                <w:szCs w:val="21"/>
                <w:highlight w:val="none"/>
                <w:lang w:val="en-US" w:eastAsia="zh-CN"/>
              </w:rPr>
              <w:t>80</w:t>
            </w:r>
            <w:r>
              <w:rPr>
                <w:rFonts w:hint="eastAsia" w:eastAsia="宋体"/>
                <w:color w:val="auto"/>
                <w:szCs w:val="21"/>
                <w:highlight w:val="none"/>
              </w:rPr>
              <w:t>分）</w:t>
            </w:r>
          </w:p>
        </w:tc>
        <w:tc>
          <w:tcPr>
            <w:tcW w:w="4533" w:type="dxa"/>
            <w:shd w:val="clear" w:color="auto" w:fill="auto"/>
            <w:noWrap w:val="0"/>
            <w:vAlign w:val="center"/>
          </w:tcPr>
          <w:p w14:paraId="46358360">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投标人自2022年1月1日至今完成过质量合格的类似工程业绩的，每项得20分，最高得80分。</w:t>
            </w:r>
          </w:p>
          <w:p w14:paraId="0FD1D5E7">
            <w:pPr>
              <w:snapToGrid w:val="0"/>
              <w:spacing w:line="240" w:lineRule="atLeast"/>
              <w:jc w:val="left"/>
              <w:rPr>
                <w:rFonts w:hint="eastAsia" w:eastAsia="宋体"/>
                <w:b w:val="0"/>
                <w:bCs w:val="0"/>
                <w:color w:val="auto"/>
                <w:highlight w:val="none"/>
                <w:lang w:val="zh-CN" w:eastAsia="zh-CN"/>
              </w:rPr>
            </w:pPr>
            <w:r>
              <w:rPr>
                <w:rFonts w:hint="eastAsia" w:eastAsia="宋体"/>
                <w:b w:val="0"/>
                <w:bCs w:val="0"/>
                <w:color w:val="auto"/>
                <w:highlight w:val="none"/>
                <w:lang w:val="en-US" w:eastAsia="zh-CN"/>
              </w:rPr>
              <w:t>注：1）</w:t>
            </w:r>
            <w:r>
              <w:rPr>
                <w:rFonts w:hint="eastAsia" w:eastAsia="宋体"/>
                <w:b w:val="0"/>
                <w:bCs w:val="0"/>
                <w:color w:val="auto"/>
                <w:highlight w:val="none"/>
                <w:lang w:val="zh-CN" w:eastAsia="zh-CN"/>
              </w:rPr>
              <w:t>完成时间以竣工验收时间为准。</w:t>
            </w:r>
          </w:p>
          <w:p w14:paraId="7B3ECBA7">
            <w:pPr>
              <w:snapToGrid w:val="0"/>
              <w:spacing w:line="240" w:lineRule="atLeast"/>
              <w:jc w:val="left"/>
              <w:rPr>
                <w:rFonts w:hint="eastAsia" w:eastAsia="宋体"/>
                <w:b w:val="0"/>
                <w:bCs w:val="0"/>
                <w:color w:val="auto"/>
                <w:highlight w:val="none"/>
                <w:lang w:val="zh-CN" w:eastAsia="zh-CN"/>
              </w:rPr>
            </w:pPr>
            <w:r>
              <w:rPr>
                <w:rFonts w:hint="eastAsia" w:eastAsia="宋体"/>
                <w:b w:val="0"/>
                <w:bCs w:val="0"/>
                <w:color w:val="auto"/>
                <w:highlight w:val="none"/>
                <w:lang w:val="en-US" w:eastAsia="zh-CN"/>
              </w:rPr>
              <w:t>2</w:t>
            </w:r>
            <w:r>
              <w:rPr>
                <w:rFonts w:hint="eastAsia" w:eastAsia="宋体"/>
                <w:b w:val="0"/>
                <w:bCs w:val="0"/>
                <w:color w:val="auto"/>
                <w:highlight w:val="none"/>
                <w:lang w:val="zh-CN" w:eastAsia="zh-CN"/>
              </w:rPr>
              <w:t>）</w:t>
            </w:r>
            <w:r>
              <w:rPr>
                <w:rFonts w:hint="eastAsia" w:eastAsia="宋体"/>
                <w:b w:val="0"/>
                <w:bCs w:val="0"/>
                <w:color w:val="auto"/>
                <w:highlight w:val="none"/>
                <w:lang w:val="en-US" w:eastAsia="zh-CN"/>
              </w:rPr>
              <w:t>采用的资质类别与本招标项目采用的资质类别相同的，单项合同造价为1600万元或以上的建筑工程施工总承包或工程总承包业绩。</w:t>
            </w:r>
          </w:p>
          <w:p w14:paraId="0C9B011F">
            <w:pPr>
              <w:snapToGrid w:val="0"/>
              <w:spacing w:line="240" w:lineRule="atLeast"/>
              <w:jc w:val="left"/>
              <w:rPr>
                <w:rFonts w:hint="eastAsia" w:eastAsia="宋体"/>
                <w:b w:val="0"/>
                <w:bCs w:val="0"/>
                <w:color w:val="auto"/>
                <w:highlight w:val="none"/>
                <w:lang w:val="zh-CN" w:eastAsia="zh-CN"/>
              </w:rPr>
            </w:pPr>
            <w:r>
              <w:rPr>
                <w:rFonts w:hint="eastAsia" w:eastAsia="宋体"/>
                <w:b w:val="0"/>
                <w:bCs w:val="0"/>
                <w:color w:val="auto"/>
                <w:highlight w:val="none"/>
                <w:lang w:val="zh-CN" w:eastAsia="zh-CN"/>
              </w:rPr>
              <w:t>3）需同时提供中标通知书或免招标的相关证明、施工合同、竣工验收报告或竣工验收证明。</w:t>
            </w:r>
            <w:r>
              <w:rPr>
                <w:rFonts w:hint="eastAsia" w:eastAsia="宋体"/>
                <w:b w:val="0"/>
                <w:bCs w:val="0"/>
                <w:color w:val="auto"/>
                <w:highlight w:val="none"/>
                <w:lang w:val="en-US" w:eastAsia="zh-CN"/>
              </w:rPr>
              <w:t>类似业绩证明的信息须明确显示该业绩项目名称、中标价、规模（金额）等信息。</w:t>
            </w:r>
            <w:r>
              <w:rPr>
                <w:rFonts w:hint="eastAsia" w:eastAsia="宋体"/>
                <w:b w:val="0"/>
                <w:bCs w:val="0"/>
                <w:color w:val="auto"/>
                <w:highlight w:val="none"/>
                <w:lang w:val="zh-CN" w:eastAsia="zh-CN"/>
              </w:rPr>
              <w:t>如以上资料不能证明业绩规模的技术指标（指</w:t>
            </w:r>
            <w:r>
              <w:rPr>
                <w:rFonts w:hint="eastAsia" w:eastAsia="宋体"/>
                <w:b w:val="0"/>
                <w:bCs w:val="0"/>
                <w:color w:val="auto"/>
                <w:highlight w:val="none"/>
                <w:lang w:val="en-US" w:eastAsia="zh-CN"/>
              </w:rPr>
              <w:t>金额</w:t>
            </w:r>
            <w:r>
              <w:rPr>
                <w:rFonts w:hint="eastAsia" w:eastAsia="宋体"/>
                <w:b w:val="0"/>
                <w:bCs w:val="0"/>
                <w:color w:val="auto"/>
                <w:highlight w:val="none"/>
                <w:lang w:val="zh-CN" w:eastAsia="zh-CN"/>
              </w:rPr>
              <w:t>）的，须另提供可证明业绩技术指标的其他资料。</w:t>
            </w:r>
          </w:p>
          <w:p w14:paraId="07AFB518">
            <w:pPr>
              <w:snapToGrid w:val="0"/>
              <w:spacing w:line="240" w:lineRule="atLeast"/>
              <w:jc w:val="left"/>
              <w:rPr>
                <w:rFonts w:hint="eastAsia" w:eastAsia="宋体"/>
                <w:b w:val="0"/>
                <w:bCs w:val="0"/>
                <w:color w:val="auto"/>
                <w:highlight w:val="none"/>
                <w:lang w:val="en-US" w:eastAsia="zh-CN"/>
              </w:rPr>
            </w:pPr>
            <w:r>
              <w:rPr>
                <w:rFonts w:hint="eastAsia" w:eastAsia="宋体"/>
                <w:b w:val="0"/>
                <w:bCs w:val="0"/>
                <w:color w:val="auto"/>
                <w:highlight w:val="none"/>
                <w:lang w:val="en-US" w:eastAsia="zh-CN"/>
              </w:rPr>
              <w:t>4）由总承包单位依法分包的专业工程业绩，不作为业绩证明。</w:t>
            </w:r>
          </w:p>
          <w:p w14:paraId="4A40A0C1">
            <w:pPr>
              <w:snapToGrid w:val="0"/>
              <w:spacing w:line="240" w:lineRule="atLeast"/>
              <w:jc w:val="left"/>
              <w:rPr>
                <w:rFonts w:hint="eastAsia" w:ascii="Times New Roman" w:hAnsi="Times New Roman" w:eastAsia="宋体" w:cs="Times New Roman"/>
                <w:b w:val="0"/>
                <w:bCs w:val="0"/>
                <w:color w:val="auto"/>
                <w:kern w:val="2"/>
                <w:sz w:val="21"/>
                <w:szCs w:val="22"/>
                <w:highlight w:val="none"/>
                <w:lang w:val="en-US" w:eastAsia="zh-CN" w:bidi="ar-SA"/>
              </w:rPr>
            </w:pPr>
            <w:r>
              <w:rPr>
                <w:rFonts w:hint="eastAsia" w:eastAsia="宋体"/>
                <w:b w:val="0"/>
                <w:bCs w:val="0"/>
                <w:color w:val="auto"/>
                <w:highlight w:val="none"/>
                <w:lang w:val="en-US" w:eastAsia="zh-CN"/>
              </w:rPr>
              <w:t>5）类似业绩在中标候选人公示期间一并进行公示。</w:t>
            </w:r>
          </w:p>
        </w:tc>
      </w:tr>
      <w:tr w14:paraId="7413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672" w:type="dxa"/>
            <w:noWrap w:val="0"/>
            <w:vAlign w:val="center"/>
          </w:tcPr>
          <w:p w14:paraId="4819EEBB">
            <w:pPr>
              <w:spacing w:line="360" w:lineRule="auto"/>
              <w:jc w:val="center"/>
              <w:rPr>
                <w:rFonts w:hint="eastAsia" w:eastAsia="宋体"/>
                <w:color w:val="auto"/>
                <w:szCs w:val="21"/>
                <w:highlight w:val="none"/>
                <w:lang w:eastAsia="zh-CN"/>
              </w:rPr>
            </w:pPr>
            <w:r>
              <w:rPr>
                <w:rFonts w:hint="eastAsia"/>
                <w:color w:val="auto"/>
                <w:szCs w:val="21"/>
                <w:highlight w:val="none"/>
                <w:lang w:val="en-US" w:eastAsia="zh-CN"/>
              </w:rPr>
              <w:t>2</w:t>
            </w:r>
            <w:r>
              <w:rPr>
                <w:rFonts w:hint="eastAsia"/>
                <w:color w:val="auto"/>
                <w:szCs w:val="21"/>
                <w:highlight w:val="none"/>
              </w:rPr>
              <w:t>.2.</w:t>
            </w:r>
            <w:r>
              <w:rPr>
                <w:rFonts w:hint="eastAsia"/>
                <w:color w:val="auto"/>
                <w:szCs w:val="21"/>
                <w:highlight w:val="none"/>
                <w:lang w:val="en-US" w:eastAsia="zh-CN"/>
              </w:rPr>
              <w:t>5（3）</w:t>
            </w:r>
          </w:p>
        </w:tc>
        <w:tc>
          <w:tcPr>
            <w:tcW w:w="1159" w:type="dxa"/>
            <w:noWrap w:val="0"/>
            <w:vAlign w:val="top"/>
          </w:tcPr>
          <w:p w14:paraId="6DCD5F99">
            <w:pPr>
              <w:spacing w:line="360" w:lineRule="auto"/>
              <w:jc w:val="left"/>
              <w:rPr>
                <w:rFonts w:hint="eastAsia" w:eastAsia="宋体"/>
                <w:color w:val="auto"/>
                <w:szCs w:val="21"/>
                <w:highlight w:val="none"/>
                <w:lang w:eastAsia="zh-CN"/>
              </w:rPr>
            </w:pPr>
            <w:r>
              <w:rPr>
                <w:rFonts w:hint="eastAsia"/>
                <w:color w:val="auto"/>
                <w:szCs w:val="21"/>
                <w:highlight w:val="none"/>
                <w:lang w:eastAsia="zh-CN"/>
              </w:rPr>
              <w:t>投标报价评审</w:t>
            </w:r>
          </w:p>
        </w:tc>
        <w:tc>
          <w:tcPr>
            <w:tcW w:w="7185" w:type="dxa"/>
            <w:gridSpan w:val="2"/>
            <w:noWrap w:val="0"/>
            <w:vAlign w:val="center"/>
          </w:tcPr>
          <w:p w14:paraId="4EED101C">
            <w:pPr>
              <w:rPr>
                <w:color w:val="auto"/>
                <w:szCs w:val="21"/>
                <w:highlight w:val="none"/>
              </w:rPr>
            </w:pPr>
            <w:r>
              <w:rPr>
                <w:rFonts w:hint="eastAsia" w:ascii="宋体" w:hAnsi="宋体" w:eastAsia="宋体" w:cs="宋体"/>
                <w:color w:val="auto"/>
                <w:highlight w:val="none"/>
              </w:rPr>
              <w:t>投标报价等于评标基准价的得100分。投标报价比评标基准价每高1%扣</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分，每低1%扣1分，扣至0分为止，投标报价偏差率=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投标报价-评标基准价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评标基准价×100%。本项目投标报价得分=投标报价评审分×</w:t>
            </w:r>
            <w:r>
              <w:rPr>
                <w:rFonts w:hint="eastAsia" w:ascii="宋体" w:hAnsi="宋体" w:eastAsia="宋体" w:cs="宋体"/>
                <w:color w:val="auto"/>
                <w:highlight w:val="none"/>
                <w:lang w:eastAsia="zh-CN"/>
              </w:rPr>
              <w:t>8</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w:t>
            </w:r>
          </w:p>
        </w:tc>
      </w:tr>
    </w:tbl>
    <w:p w14:paraId="65843919">
      <w:pPr>
        <w:pStyle w:val="16"/>
        <w:spacing w:after="0" w:line="360" w:lineRule="auto"/>
        <w:ind w:firstLine="482" w:firstLineChars="200"/>
        <w:rPr>
          <w:rFonts w:ascii="宋体" w:hAnsi="宋体" w:eastAsia="宋体"/>
          <w:b/>
          <w:bCs/>
          <w:color w:val="auto"/>
          <w:sz w:val="24"/>
          <w:szCs w:val="24"/>
          <w:highlight w:val="none"/>
        </w:rPr>
      </w:pPr>
      <w:bookmarkStart w:id="295" w:name="_Toc152045600"/>
      <w:bookmarkStart w:id="296" w:name="_Toc152042377"/>
      <w:bookmarkStart w:id="297" w:name="_Toc179632618"/>
      <w:bookmarkStart w:id="298" w:name="_Toc144974567"/>
    </w:p>
    <w:p w14:paraId="243925F0">
      <w:pPr>
        <w:pStyle w:val="16"/>
        <w:spacing w:after="0" w:line="360" w:lineRule="auto"/>
        <w:ind w:firstLine="482" w:firstLineChars="200"/>
        <w:rPr>
          <w:rFonts w:hint="eastAsia" w:ascii="宋体" w:hAnsi="宋体" w:eastAsia="宋体"/>
          <w:b/>
          <w:bCs/>
          <w:color w:val="auto"/>
          <w:sz w:val="24"/>
          <w:szCs w:val="24"/>
          <w:highlight w:val="none"/>
        </w:rPr>
        <w:sectPr>
          <w:footerReference r:id="rId4" w:type="default"/>
          <w:pgSz w:w="11906" w:h="16838"/>
          <w:pgMar w:top="1440" w:right="1797" w:bottom="1440" w:left="1797" w:header="851" w:footer="992" w:gutter="0"/>
          <w:cols w:space="720" w:num="1"/>
          <w:docGrid w:linePitch="312" w:charSpace="0"/>
        </w:sectPr>
      </w:pPr>
    </w:p>
    <w:p w14:paraId="4900C3FA">
      <w:pPr>
        <w:pStyle w:val="16"/>
        <w:spacing w:after="0" w:line="360" w:lineRule="auto"/>
        <w:ind w:firstLine="482" w:firstLineChars="20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 评标方法</w:t>
      </w:r>
      <w:bookmarkEnd w:id="295"/>
      <w:bookmarkEnd w:id="296"/>
      <w:bookmarkEnd w:id="297"/>
      <w:bookmarkEnd w:id="298"/>
    </w:p>
    <w:p w14:paraId="31059E9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eastAsia="宋体"/>
          <w:color w:val="auto"/>
          <w:sz w:val="24"/>
          <w:szCs w:val="24"/>
          <w:highlight w:val="none"/>
          <w:u w:val="single"/>
          <w:lang w:eastAsia="zh-CN"/>
        </w:rPr>
        <w:t>总得</w:t>
      </w:r>
      <w:r>
        <w:rPr>
          <w:rFonts w:hint="eastAsia" w:ascii="宋体" w:hAnsi="宋体"/>
          <w:color w:val="auto"/>
          <w:sz w:val="24"/>
          <w:szCs w:val="24"/>
          <w:highlight w:val="none"/>
          <w:u w:val="single"/>
        </w:rPr>
        <w:t>分相</w:t>
      </w:r>
      <w:r>
        <w:rPr>
          <w:rFonts w:hint="eastAsia" w:ascii="宋体" w:hAnsi="宋体" w:eastAsia="宋体"/>
          <w:color w:val="auto"/>
          <w:sz w:val="24"/>
          <w:szCs w:val="24"/>
          <w:highlight w:val="none"/>
          <w:u w:val="single"/>
          <w:lang w:eastAsia="zh-CN"/>
        </w:rPr>
        <w:t>同的投标文件</w:t>
      </w:r>
      <w:r>
        <w:rPr>
          <w:rFonts w:hint="eastAsia" w:ascii="宋体" w:hAnsi="宋体"/>
          <w:color w:val="auto"/>
          <w:sz w:val="24"/>
          <w:szCs w:val="24"/>
          <w:highlight w:val="none"/>
          <w:u w:val="single"/>
        </w:rPr>
        <w:t>，</w:t>
      </w:r>
      <w:r>
        <w:rPr>
          <w:rFonts w:hint="eastAsia" w:ascii="宋体" w:hAnsi="宋体" w:eastAsia="宋体"/>
          <w:color w:val="auto"/>
          <w:sz w:val="24"/>
          <w:szCs w:val="24"/>
          <w:highlight w:val="none"/>
          <w:u w:val="single"/>
          <w:lang w:eastAsia="zh-CN"/>
        </w:rPr>
        <w:t>以报价较低的排前；总得分与报价均相同的投标文件，以</w:t>
      </w:r>
      <w:r>
        <w:rPr>
          <w:rFonts w:hint="eastAsia"/>
          <w:color w:val="auto"/>
          <w:sz w:val="24"/>
          <w:szCs w:val="24"/>
          <w:highlight w:val="none"/>
          <w:u w:val="single"/>
          <w:lang w:eastAsia="zh-CN"/>
        </w:rPr>
        <w:t>技术</w:t>
      </w:r>
      <w:r>
        <w:rPr>
          <w:rFonts w:hint="eastAsia"/>
          <w:color w:val="auto"/>
          <w:sz w:val="24"/>
          <w:szCs w:val="24"/>
          <w:highlight w:val="none"/>
          <w:u w:val="single"/>
        </w:rPr>
        <w:t>评审得分</w:t>
      </w:r>
      <w:r>
        <w:rPr>
          <w:rFonts w:hint="eastAsia" w:eastAsia="宋体"/>
          <w:color w:val="auto"/>
          <w:sz w:val="24"/>
          <w:szCs w:val="24"/>
          <w:highlight w:val="none"/>
          <w:u w:val="single"/>
          <w:lang w:eastAsia="zh-CN"/>
        </w:rPr>
        <w:t>较</w:t>
      </w:r>
      <w:r>
        <w:rPr>
          <w:rFonts w:hint="eastAsia"/>
          <w:color w:val="auto"/>
          <w:sz w:val="24"/>
          <w:szCs w:val="24"/>
          <w:highlight w:val="none"/>
          <w:u w:val="single"/>
        </w:rPr>
        <w:t>高的</w:t>
      </w:r>
      <w:r>
        <w:rPr>
          <w:rFonts w:hint="eastAsia" w:eastAsia="宋体"/>
          <w:color w:val="auto"/>
          <w:sz w:val="24"/>
          <w:szCs w:val="24"/>
          <w:highlight w:val="none"/>
          <w:u w:val="single"/>
          <w:lang w:eastAsia="zh-CN"/>
        </w:rPr>
        <w:t>排前</w:t>
      </w:r>
      <w:r>
        <w:rPr>
          <w:rFonts w:hint="eastAsia"/>
          <w:color w:val="auto"/>
          <w:sz w:val="24"/>
          <w:szCs w:val="24"/>
          <w:highlight w:val="none"/>
          <w:u w:val="single"/>
        </w:rPr>
        <w:t>；</w:t>
      </w:r>
      <w:r>
        <w:rPr>
          <w:rFonts w:hint="eastAsia" w:eastAsia="宋体"/>
          <w:color w:val="auto"/>
          <w:sz w:val="24"/>
          <w:szCs w:val="24"/>
          <w:highlight w:val="none"/>
          <w:u w:val="single"/>
          <w:lang w:eastAsia="zh-CN"/>
        </w:rPr>
        <w:t>如仍存在相同情况，则对具有相同情况的投标人</w:t>
      </w:r>
      <w:r>
        <w:rPr>
          <w:rFonts w:hint="eastAsia"/>
          <w:color w:val="auto"/>
          <w:sz w:val="24"/>
          <w:szCs w:val="24"/>
          <w:highlight w:val="none"/>
          <w:u w:val="single"/>
        </w:rPr>
        <w:t>，</w:t>
      </w:r>
      <w:r>
        <w:rPr>
          <w:rFonts w:hint="eastAsia"/>
          <w:color w:val="auto"/>
          <w:sz w:val="24"/>
          <w:highlight w:val="none"/>
          <w:u w:val="single"/>
        </w:rPr>
        <w:t>由评委通过记名投标表决（不得弃权），以“少数服从多数”的原则确定排序。</w:t>
      </w:r>
    </w:p>
    <w:p w14:paraId="05F08D37">
      <w:pPr>
        <w:pStyle w:val="16"/>
        <w:spacing w:after="0" w:line="360" w:lineRule="auto"/>
        <w:ind w:firstLine="482" w:firstLineChars="200"/>
        <w:rPr>
          <w:rFonts w:ascii="宋体" w:hAnsi="宋体" w:eastAsia="宋体"/>
          <w:b/>
          <w:bCs/>
          <w:color w:val="auto"/>
          <w:sz w:val="24"/>
          <w:szCs w:val="24"/>
          <w:highlight w:val="none"/>
        </w:rPr>
      </w:pPr>
      <w:bookmarkStart w:id="299" w:name="_Toc152042378"/>
      <w:bookmarkStart w:id="300" w:name="_Toc144974568"/>
      <w:bookmarkStart w:id="301" w:name="_Toc179632619"/>
      <w:bookmarkStart w:id="302" w:name="_Toc152045601"/>
      <w:r>
        <w:rPr>
          <w:rFonts w:hint="eastAsia" w:ascii="宋体" w:hAnsi="宋体" w:eastAsia="宋体"/>
          <w:b/>
          <w:bCs/>
          <w:color w:val="auto"/>
          <w:sz w:val="24"/>
          <w:szCs w:val="24"/>
          <w:highlight w:val="none"/>
        </w:rPr>
        <w:t>2. 评审标准</w:t>
      </w:r>
      <w:bookmarkEnd w:id="299"/>
      <w:bookmarkEnd w:id="300"/>
      <w:bookmarkEnd w:id="301"/>
      <w:bookmarkEnd w:id="302"/>
    </w:p>
    <w:p w14:paraId="327660D8">
      <w:pPr>
        <w:spacing w:line="360" w:lineRule="auto"/>
        <w:ind w:firstLine="480" w:firstLineChars="200"/>
        <w:rPr>
          <w:rFonts w:ascii="宋体" w:hAnsi="宋体"/>
          <w:color w:val="auto"/>
          <w:sz w:val="24"/>
          <w:highlight w:val="none"/>
        </w:rPr>
      </w:pPr>
      <w:bookmarkStart w:id="303" w:name="_Toc179632620"/>
      <w:bookmarkStart w:id="304" w:name="_Toc152045602"/>
      <w:bookmarkStart w:id="305" w:name="_Toc144974569"/>
      <w:bookmarkStart w:id="306" w:name="_Toc152042379"/>
      <w:r>
        <w:rPr>
          <w:rFonts w:hint="eastAsia" w:ascii="宋体" w:hAnsi="宋体"/>
          <w:color w:val="auto"/>
          <w:sz w:val="24"/>
          <w:highlight w:val="none"/>
        </w:rPr>
        <w:t>2.1 初步评审标准</w:t>
      </w:r>
      <w:bookmarkEnd w:id="303"/>
      <w:bookmarkEnd w:id="304"/>
      <w:bookmarkEnd w:id="305"/>
      <w:bookmarkEnd w:id="306"/>
    </w:p>
    <w:p w14:paraId="106FCD7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2.1.1 资格评审标准：见评标办法前附表。</w:t>
      </w:r>
    </w:p>
    <w:p w14:paraId="5E1EA2D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2.1.2 形式评审标准：见评标办法前附表。</w:t>
      </w:r>
    </w:p>
    <w:p w14:paraId="584C5A1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2.1.3 响应性评审标准：见评标办法前附表。</w:t>
      </w:r>
    </w:p>
    <w:p w14:paraId="56592523">
      <w:pPr>
        <w:spacing w:line="360" w:lineRule="auto"/>
        <w:ind w:firstLine="480" w:firstLineChars="200"/>
        <w:rPr>
          <w:rFonts w:hint="eastAsia" w:ascii="宋体" w:hAnsi="宋体"/>
          <w:color w:val="auto"/>
          <w:sz w:val="24"/>
          <w:highlight w:val="none"/>
          <w:u w:val="none"/>
        </w:rPr>
      </w:pPr>
      <w:bookmarkStart w:id="307" w:name="_Toc152045603"/>
      <w:bookmarkStart w:id="308" w:name="_Toc179632621"/>
      <w:bookmarkStart w:id="309" w:name="_Toc152042380"/>
      <w:bookmarkStart w:id="310" w:name="_Toc144974570"/>
      <w:r>
        <w:rPr>
          <w:rFonts w:hint="eastAsia" w:ascii="Calibri" w:hAnsi="Calibri" w:eastAsia="宋体" w:cs="Times New Roman"/>
          <w:color w:val="auto"/>
          <w:kern w:val="2"/>
          <w:sz w:val="24"/>
          <w:highlight w:val="none"/>
          <w:u w:val="none"/>
          <w:lang w:val="en-US" w:eastAsia="zh-CN"/>
        </w:rPr>
        <w:t>注：</w:t>
      </w:r>
      <w:r>
        <w:rPr>
          <w:rFonts w:hint="eastAsia" w:ascii="Calibri" w:hAnsi="Calibri" w:eastAsia="宋体" w:cs="Times New Roman"/>
          <w:b w:val="0"/>
          <w:bCs w:val="0"/>
          <w:color w:val="auto"/>
          <w:kern w:val="2"/>
          <w:sz w:val="24"/>
          <w:highlight w:val="none"/>
          <w:u w:val="none"/>
        </w:rPr>
        <w:t>不得将文件顺序、明显的文字错误等列为否决投标的情形。评委发现</w:t>
      </w:r>
      <w:r>
        <w:rPr>
          <w:rFonts w:hint="eastAsia" w:ascii="Calibri" w:hAnsi="Calibri" w:eastAsia="宋体" w:cs="Times New Roman"/>
          <w:b w:val="0"/>
          <w:bCs w:val="0"/>
          <w:color w:val="auto"/>
          <w:kern w:val="2"/>
          <w:sz w:val="24"/>
          <w:highlight w:val="none"/>
          <w:u w:val="none"/>
          <w:lang w:eastAsia="zh-CN"/>
        </w:rPr>
        <w:t>投标</w:t>
      </w:r>
      <w:r>
        <w:rPr>
          <w:rFonts w:hint="eastAsia" w:ascii="Calibri" w:hAnsi="Calibri" w:eastAsia="宋体" w:cs="Times New Roman"/>
          <w:b w:val="0"/>
          <w:bCs w:val="0"/>
          <w:color w:val="auto"/>
          <w:kern w:val="2"/>
          <w:sz w:val="24"/>
          <w:highlight w:val="none"/>
          <w:u w:val="none"/>
        </w:rPr>
        <w:t>文件中含义不明确、对同类问题表述不一致、有明显文字和计算错误</w:t>
      </w:r>
      <w:r>
        <w:rPr>
          <w:rFonts w:hint="eastAsia" w:ascii="Calibri" w:hAnsi="Calibri" w:eastAsia="宋体" w:cs="Times New Roman"/>
          <w:b w:val="0"/>
          <w:bCs w:val="0"/>
          <w:color w:val="auto"/>
          <w:kern w:val="2"/>
          <w:sz w:val="24"/>
          <w:highlight w:val="none"/>
          <w:u w:val="none"/>
          <w:lang w:eastAsia="zh-CN"/>
        </w:rPr>
        <w:t>、投标报价可能低于成本影响履约的，</w:t>
      </w:r>
      <w:r>
        <w:rPr>
          <w:rFonts w:hint="eastAsia" w:ascii="Calibri" w:hAnsi="Calibri" w:eastAsia="宋体" w:cs="Times New Roman"/>
          <w:b w:val="0"/>
          <w:bCs w:val="0"/>
          <w:color w:val="auto"/>
          <w:kern w:val="2"/>
          <w:sz w:val="24"/>
          <w:highlight w:val="none"/>
          <w:u w:val="none"/>
        </w:rPr>
        <w:t>应当要求投标人作必要的澄清、说明后再判定投标人是否通过</w:t>
      </w:r>
      <w:r>
        <w:rPr>
          <w:rFonts w:hint="eastAsia" w:ascii="Calibri" w:hAnsi="Calibri" w:eastAsia="宋体" w:cs="Times New Roman"/>
          <w:b w:val="0"/>
          <w:bCs w:val="0"/>
          <w:color w:val="auto"/>
          <w:kern w:val="2"/>
          <w:sz w:val="24"/>
          <w:highlight w:val="none"/>
          <w:u w:val="none"/>
          <w:lang w:eastAsia="zh-CN"/>
        </w:rPr>
        <w:t>初步评审</w:t>
      </w:r>
      <w:r>
        <w:rPr>
          <w:rFonts w:hint="eastAsia" w:ascii="Calibri" w:hAnsi="Calibri" w:eastAsia="宋体" w:cs="Times New Roman"/>
          <w:b w:val="0"/>
          <w:bCs w:val="0"/>
          <w:color w:val="auto"/>
          <w:kern w:val="2"/>
          <w:sz w:val="24"/>
          <w:highlight w:val="none"/>
          <w:u w:val="none"/>
        </w:rPr>
        <w:t>，不得直接认定其不通过</w:t>
      </w:r>
      <w:r>
        <w:rPr>
          <w:rFonts w:hint="eastAsia" w:ascii="Calibri" w:hAnsi="Calibri" w:eastAsia="宋体" w:cs="Times New Roman"/>
          <w:b w:val="0"/>
          <w:bCs w:val="0"/>
          <w:color w:val="auto"/>
          <w:kern w:val="2"/>
          <w:sz w:val="24"/>
          <w:highlight w:val="none"/>
          <w:u w:val="none"/>
          <w:lang w:eastAsia="zh-CN"/>
        </w:rPr>
        <w:t>初步评审</w:t>
      </w:r>
      <w:r>
        <w:rPr>
          <w:rFonts w:hint="eastAsia" w:ascii="Calibri" w:hAnsi="Calibri" w:eastAsia="宋体" w:cs="Times New Roman"/>
          <w:b w:val="0"/>
          <w:bCs w:val="0"/>
          <w:color w:val="auto"/>
          <w:kern w:val="2"/>
          <w:sz w:val="24"/>
          <w:highlight w:val="none"/>
          <w:u w:val="none"/>
        </w:rPr>
        <w:t>。</w:t>
      </w:r>
    </w:p>
    <w:p w14:paraId="5424A33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 分值构成与评分标准</w:t>
      </w:r>
      <w:bookmarkEnd w:id="307"/>
      <w:bookmarkEnd w:id="308"/>
      <w:bookmarkEnd w:id="309"/>
      <w:bookmarkEnd w:id="310"/>
    </w:p>
    <w:p w14:paraId="1EFF67A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2.2.1 分值构成</w:t>
      </w:r>
    </w:p>
    <w:p w14:paraId="1CC59A2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（1）技术部分：见评标办法前附表；</w:t>
      </w:r>
    </w:p>
    <w:p w14:paraId="0627C31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（2）商务部分：见评标办法前附表；</w:t>
      </w:r>
    </w:p>
    <w:p w14:paraId="0B2FD44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（3）投标报价：见评标办法前附表；</w:t>
      </w:r>
    </w:p>
    <w:p w14:paraId="7A31398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2.2.2</w:t>
      </w:r>
      <w:r>
        <w:rPr>
          <w:rFonts w:ascii="宋体" w:hAnsi="宋体"/>
          <w:color w:val="auto"/>
          <w:sz w:val="24"/>
          <w:highlight w:val="none"/>
        </w:rPr>
        <w:t xml:space="preserve"> </w:t>
      </w:r>
      <w:r>
        <w:rPr>
          <w:rFonts w:hint="eastAsia" w:ascii="宋体" w:hAnsi="宋体"/>
          <w:color w:val="auto"/>
          <w:sz w:val="24"/>
          <w:highlight w:val="none"/>
        </w:rPr>
        <w:t>有效投标报价</w:t>
      </w:r>
    </w:p>
    <w:p w14:paraId="3F2DB8A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通过初步评审且不高于最高投标限价的投标报价为有效投标报价，高于最高投标限价的投标报价无效。投标报价不得低于成本价，否则投标报价为无效投标报价。</w:t>
      </w:r>
    </w:p>
    <w:p w14:paraId="6F4B1BC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3</w:t>
      </w:r>
      <w:r>
        <w:rPr>
          <w:rFonts w:hint="eastAsia" w:ascii="宋体" w:hAnsi="宋体"/>
          <w:color w:val="auto"/>
          <w:sz w:val="24"/>
          <w:highlight w:val="none"/>
        </w:rPr>
        <w:t xml:space="preserve"> 评标基准价计算</w:t>
      </w:r>
    </w:p>
    <w:p w14:paraId="0C4410A8">
      <w:pPr>
        <w:adjustRightInd w:val="0"/>
        <w:snapToGrid w:val="0"/>
        <w:ind w:firstLine="480" w:firstLineChars="200"/>
        <w:jc w:val="left"/>
        <w:rPr>
          <w:rFonts w:hint="eastAsia" w:ascii="宋体" w:hAnsi="宋体" w:eastAsia="宋体" w:cs="宋体"/>
          <w:color w:val="auto"/>
          <w:sz w:val="24"/>
          <w:szCs w:val="24"/>
          <w:highlight w:val="none"/>
          <w:lang w:val="zh-CN"/>
        </w:rPr>
      </w:pPr>
      <w:r>
        <w:rPr>
          <w:rFonts w:hint="eastAsia" w:ascii="宋体" w:hAnsi="宋体"/>
          <w:color w:val="auto"/>
          <w:sz w:val="24"/>
          <w:szCs w:val="24"/>
          <w:highlight w:val="none"/>
        </w:rPr>
        <w:t>评标基准价可按以下方式确定：</w:t>
      </w:r>
      <w:r>
        <w:rPr>
          <w:rFonts w:hint="eastAsia" w:ascii="宋体" w:hAnsi="宋体" w:eastAsia="宋体" w:cs="宋体"/>
          <w:color w:val="auto"/>
          <w:kern w:val="0"/>
          <w:sz w:val="24"/>
          <w:szCs w:val="24"/>
          <w:highlight w:val="none"/>
        </w:rPr>
        <w:t>将技术评审得分</w:t>
      </w:r>
      <w:r>
        <w:rPr>
          <w:rFonts w:hint="eastAsia" w:ascii="宋体" w:hAnsi="宋体" w:eastAsia="宋体" w:cs="宋体"/>
          <w:color w:val="auto"/>
          <w:kern w:val="0"/>
          <w:sz w:val="24"/>
          <w:szCs w:val="24"/>
          <w:highlight w:val="none"/>
          <w:lang w:val="en-US" w:eastAsia="zh-CN"/>
        </w:rPr>
        <w:t>的前N名</w:t>
      </w:r>
      <w:r>
        <w:rPr>
          <w:rFonts w:hint="eastAsia" w:ascii="宋体" w:hAnsi="宋体" w:eastAsia="宋体" w:cs="宋体"/>
          <w:color w:val="auto"/>
          <w:kern w:val="0"/>
          <w:sz w:val="24"/>
          <w:szCs w:val="24"/>
          <w:highlight w:val="none"/>
        </w:rPr>
        <w:t>排序</w:t>
      </w:r>
      <w:r>
        <w:rPr>
          <w:rFonts w:hint="eastAsia" w:ascii="宋体" w:hAnsi="宋体" w:eastAsia="宋体" w:cs="宋体"/>
          <w:color w:val="auto"/>
          <w:sz w:val="24"/>
          <w:szCs w:val="24"/>
          <w:highlight w:val="none"/>
          <w:lang w:val="zh-CN"/>
        </w:rPr>
        <w:t>（若</w:t>
      </w:r>
      <w:r>
        <w:rPr>
          <w:rFonts w:hint="eastAsia" w:ascii="宋体" w:hAnsi="宋体" w:eastAsia="宋体" w:cs="宋体"/>
          <w:color w:val="auto"/>
          <w:kern w:val="0"/>
          <w:sz w:val="24"/>
          <w:szCs w:val="24"/>
          <w:highlight w:val="none"/>
          <w:lang w:eastAsia="zh-CN"/>
        </w:rPr>
        <w:t>技术评审得分相同的，由评标委员会采用记名投票方式，确定投标人的排序。</w:t>
      </w:r>
      <w:r>
        <w:rPr>
          <w:rFonts w:hint="eastAsia" w:ascii="宋体" w:hAnsi="宋体" w:eastAsia="宋体" w:cs="宋体"/>
          <w:color w:val="auto"/>
          <w:sz w:val="24"/>
          <w:szCs w:val="24"/>
          <w:highlight w:val="none"/>
          <w:lang w:val="zh-CN"/>
        </w:rPr>
        <w:t>）</w:t>
      </w:r>
    </w:p>
    <w:p w14:paraId="52D51648">
      <w:pPr>
        <w:adjustRightInd w:val="0"/>
        <w:snapToGrid w:val="0"/>
        <w:spacing w:line="24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、当有效投标报价的投标人少于或等于7个时，取全部有效投标报价的算术平均按随机抽取的评标基准价下浮率（2～5%，0.5一个级别）下浮作为评标基准价。</w:t>
      </w:r>
    </w:p>
    <w:p w14:paraId="1231157F">
      <w:pPr>
        <w:adjustRightInd w:val="0"/>
        <w:snapToGrid w:val="0"/>
        <w:spacing w:line="24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、当有效投标报价的投标人大于7个小于10个时，从全部有效投标报价中去掉一个最大值和最小值，其他有效投标报价的算术平均值按随机抽取的评标基准价下浮率（2～5%，0.5一个级别）下浮作为评标基准价。</w:t>
      </w:r>
    </w:p>
    <w:p w14:paraId="5C815CCB">
      <w:pPr>
        <w:spacing w:line="360" w:lineRule="auto"/>
        <w:ind w:firstLine="480" w:firstLineChars="200"/>
        <w:rPr>
          <w:rFonts w:hint="eastAsia" w:ascii="宋体" w:hAnsi="宋体"/>
          <w:b/>
          <w:color w:val="auto"/>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、当有效投标报价的投标人数量大于或等于10时，随机从前</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名抽取</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个有效投标报价并从中去掉一个最大值和最小值后计算算术平均值，该平均值按随机抽取的评标基准价下浮率（2～5%，0.5一个级别）下浮作为评标基准价。</w:t>
      </w:r>
    </w:p>
    <w:p w14:paraId="34E3C4C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在首次评标过程中，投标人未被发现存在串通投标、弄虚作假、行贿等情形</w:t>
      </w:r>
      <w:r>
        <w:rPr>
          <w:rFonts w:hint="eastAsia" w:ascii="宋体" w:hAnsi="宋体" w:eastAsia="宋体" w:cs="宋体"/>
          <w:color w:val="auto"/>
          <w:sz w:val="24"/>
          <w:szCs w:val="24"/>
          <w:highlight w:val="none"/>
        </w:rPr>
        <w:t>的，无论是否重评，经确定的评标基准价不变。</w:t>
      </w:r>
    </w:p>
    <w:p w14:paraId="397057C3">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2.2.4投标报价偏差率计算</w:t>
      </w:r>
    </w:p>
    <w:p w14:paraId="19361C0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投标报价的偏差率计算公式：见评标办法前附表；</w:t>
      </w:r>
    </w:p>
    <w:p w14:paraId="2AA76E4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5</w:t>
      </w:r>
      <w:r>
        <w:rPr>
          <w:rFonts w:hint="eastAsia" w:ascii="宋体" w:hAnsi="宋体"/>
          <w:color w:val="auto"/>
          <w:sz w:val="24"/>
          <w:highlight w:val="none"/>
        </w:rPr>
        <w:t xml:space="preserve"> 评分标准</w:t>
      </w:r>
    </w:p>
    <w:p w14:paraId="16A74C0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（1）技术部分评分标准：见评标办法前附表；</w:t>
      </w:r>
    </w:p>
    <w:p w14:paraId="493CA3A4">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（2）商务部分评分标准：见评标办法前附表；</w:t>
      </w:r>
    </w:p>
    <w:p w14:paraId="269DCE8A">
      <w:pPr>
        <w:spacing w:line="360" w:lineRule="auto"/>
        <w:ind w:firstLine="420" w:firstLineChars="200"/>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注：</w:t>
      </w:r>
      <w:r>
        <w:rPr>
          <w:rFonts w:hint="eastAsia"/>
          <w:color w:val="auto"/>
          <w:sz w:val="21"/>
          <w:szCs w:val="21"/>
          <w:highlight w:val="none"/>
        </w:rPr>
        <w:t>投标人的诚信评价总分取自本项目招标公告发布第1天所在季度的上一季度</w:t>
      </w:r>
      <w:r>
        <w:rPr>
          <w:rFonts w:hint="eastAsia"/>
          <w:color w:val="auto"/>
          <w:sz w:val="21"/>
          <w:szCs w:val="21"/>
          <w:highlight w:val="none"/>
          <w:lang w:val="en-US" w:eastAsia="zh-CN"/>
        </w:rPr>
        <w:t>的</w:t>
      </w:r>
      <w:r>
        <w:rPr>
          <w:rFonts w:hint="eastAsia"/>
          <w:color w:val="auto"/>
          <w:sz w:val="21"/>
          <w:szCs w:val="21"/>
          <w:highlight w:val="none"/>
        </w:rPr>
        <w:t>诚信综合评价分。</w:t>
      </w:r>
    </w:p>
    <w:p w14:paraId="43B2D2E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（3）投标报价评分标准：见评标办法前附表；</w:t>
      </w:r>
    </w:p>
    <w:p w14:paraId="33EFD9A1">
      <w:pPr>
        <w:spacing w:line="360" w:lineRule="auto"/>
        <w:ind w:firstLine="480" w:firstLineChars="200"/>
        <w:rPr>
          <w:rFonts w:ascii="宋体" w:hAnsi="宋体"/>
          <w:color w:val="auto"/>
          <w:sz w:val="24"/>
          <w:highlight w:val="none"/>
        </w:rPr>
      </w:pPr>
    </w:p>
    <w:p w14:paraId="5740F418">
      <w:pPr>
        <w:pStyle w:val="16"/>
        <w:spacing w:after="0" w:line="360" w:lineRule="auto"/>
        <w:ind w:firstLine="482" w:firstLineChars="200"/>
        <w:rPr>
          <w:rFonts w:ascii="宋体" w:hAnsi="宋体" w:eastAsia="宋体"/>
          <w:b/>
          <w:bCs/>
          <w:color w:val="auto"/>
          <w:sz w:val="24"/>
          <w:szCs w:val="24"/>
          <w:highlight w:val="none"/>
        </w:rPr>
      </w:pPr>
      <w:bookmarkStart w:id="311" w:name="_Toc179632622"/>
      <w:bookmarkStart w:id="312" w:name="_Toc144974571"/>
      <w:bookmarkStart w:id="313" w:name="_Toc152042381"/>
      <w:bookmarkStart w:id="314" w:name="_Toc152045604"/>
      <w:r>
        <w:rPr>
          <w:rFonts w:hint="eastAsia" w:ascii="宋体" w:hAnsi="宋体" w:eastAsia="宋体"/>
          <w:b/>
          <w:bCs/>
          <w:color w:val="auto"/>
          <w:sz w:val="24"/>
          <w:szCs w:val="24"/>
          <w:highlight w:val="none"/>
        </w:rPr>
        <w:t>3. 评标程序</w:t>
      </w:r>
      <w:bookmarkEnd w:id="311"/>
      <w:bookmarkEnd w:id="312"/>
      <w:bookmarkEnd w:id="313"/>
      <w:bookmarkEnd w:id="314"/>
    </w:p>
    <w:p w14:paraId="5CF8AE2B">
      <w:pPr>
        <w:spacing w:line="360" w:lineRule="auto"/>
        <w:ind w:firstLine="480" w:firstLineChars="200"/>
        <w:rPr>
          <w:rFonts w:ascii="宋体" w:hAnsi="宋体"/>
          <w:color w:val="auto"/>
          <w:sz w:val="24"/>
          <w:highlight w:val="none"/>
        </w:rPr>
      </w:pPr>
      <w:bookmarkStart w:id="315" w:name="_Toc179632623"/>
      <w:bookmarkStart w:id="316" w:name="_Toc144974572"/>
      <w:bookmarkStart w:id="317" w:name="_Toc152045605"/>
      <w:bookmarkStart w:id="318" w:name="_Toc152042382"/>
      <w:r>
        <w:rPr>
          <w:rFonts w:hint="eastAsia" w:ascii="宋体" w:hAnsi="宋体"/>
          <w:color w:val="auto"/>
          <w:sz w:val="24"/>
          <w:highlight w:val="none"/>
        </w:rPr>
        <w:t>3.1 初步评审</w:t>
      </w:r>
      <w:bookmarkEnd w:id="315"/>
      <w:bookmarkEnd w:id="316"/>
      <w:bookmarkEnd w:id="317"/>
      <w:bookmarkEnd w:id="318"/>
    </w:p>
    <w:p w14:paraId="615CB7D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 评标委员会可以要求投标人提交第二章“投标人须知”第3.5节规定的有关证明和证件的原件，以便核验。评标委员会依据本章第2.1节规定的标准对投标文件进行初步评审。有一项不符合评审标准的，评标委员会应当否决其投标。通过资格审查的单位少于3家的或通过初步评审的单位少于3家的，重新招标。</w:t>
      </w:r>
    </w:p>
    <w:p w14:paraId="2272191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3.1.2 投标人有以下情形之一的，评标委员会应当否决其投标。：</w:t>
      </w:r>
    </w:p>
    <w:p w14:paraId="5DD67BF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（1）第二章“投标人须知”第</w:t>
      </w:r>
      <w:r>
        <w:rPr>
          <w:rFonts w:hint="eastAsia" w:ascii="宋体" w:hAnsi="宋体"/>
          <w:color w:val="auto"/>
          <w:sz w:val="24"/>
          <w:highlight w:val="none"/>
          <w:lang w:val="en-US" w:eastAsia="zh-CN"/>
        </w:rPr>
        <w:t>1.4.3</w:t>
      </w:r>
      <w:r>
        <w:rPr>
          <w:rFonts w:hint="eastAsia" w:ascii="宋体" w:hAnsi="宋体"/>
          <w:color w:val="auto"/>
          <w:sz w:val="24"/>
          <w:highlight w:val="none"/>
        </w:rPr>
        <w:t>项规定的任何一种情形的；</w:t>
      </w:r>
    </w:p>
    <w:p w14:paraId="655078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（2）串通投标或弄虚作假或有其他违法行为的；</w:t>
      </w:r>
    </w:p>
    <w:p w14:paraId="055694BD">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（3）不按评标委员会要求澄清、说明或补正的。</w:t>
      </w:r>
    </w:p>
    <w:p w14:paraId="10B70393">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lang w:val="en-US" w:eastAsia="zh-CN"/>
        </w:rPr>
        <w:t>4</w:t>
      </w:r>
      <w:r>
        <w:rPr>
          <w:rFonts w:hint="eastAsia" w:ascii="宋体" w:hAnsi="宋体" w:eastAsia="宋体" w:cs="Times New Roman"/>
          <w:color w:val="auto"/>
          <w:sz w:val="24"/>
          <w:highlight w:val="none"/>
          <w:lang w:eastAsia="zh-CN"/>
        </w:rPr>
        <w:t>）两个（含两个）以上</w:t>
      </w:r>
      <w:r>
        <w:rPr>
          <w:rFonts w:hint="eastAsia" w:ascii="宋体" w:hAnsi="宋体" w:eastAsia="宋体" w:cs="Times New Roman"/>
          <w:color w:val="auto"/>
          <w:sz w:val="24"/>
          <w:highlight w:val="none"/>
        </w:rPr>
        <w:t>投标人加密打包投标文件</w:t>
      </w:r>
      <w:r>
        <w:rPr>
          <w:rFonts w:hint="eastAsia" w:ascii="宋体" w:hAnsi="宋体" w:eastAsia="宋体" w:cs="Times New Roman"/>
          <w:color w:val="auto"/>
          <w:sz w:val="24"/>
          <w:highlight w:val="none"/>
          <w:lang w:eastAsia="zh-CN"/>
        </w:rPr>
        <w:t>工程量清单编制</w:t>
      </w:r>
      <w:r>
        <w:rPr>
          <w:rFonts w:hint="eastAsia" w:ascii="宋体" w:hAnsi="宋体" w:eastAsia="宋体" w:cs="Times New Roman"/>
          <w:color w:val="auto"/>
          <w:sz w:val="24"/>
          <w:highlight w:val="none"/>
        </w:rPr>
        <w:t>机器</w:t>
      </w:r>
      <w:r>
        <w:rPr>
          <w:rFonts w:hint="eastAsia" w:ascii="宋体" w:hAnsi="宋体" w:eastAsia="宋体" w:cs="Times New Roman"/>
          <w:color w:val="auto"/>
          <w:sz w:val="24"/>
          <w:highlight w:val="none"/>
          <w:lang w:eastAsia="zh-CN"/>
        </w:rPr>
        <w:t>硬件信息</w:t>
      </w:r>
      <w:r>
        <w:rPr>
          <w:rFonts w:hint="eastAsia" w:ascii="宋体" w:hAnsi="宋体" w:eastAsia="宋体" w:cs="Times New Roman"/>
          <w:color w:val="auto"/>
          <w:sz w:val="24"/>
          <w:highlight w:val="none"/>
        </w:rPr>
        <w:t>一致的</w:t>
      </w:r>
      <w:r>
        <w:rPr>
          <w:rFonts w:hint="eastAsia" w:ascii="宋体" w:hAnsi="宋体" w:eastAsia="宋体" w:cs="Times New Roman"/>
          <w:color w:val="auto"/>
          <w:sz w:val="24"/>
          <w:highlight w:val="none"/>
          <w:lang w:eastAsia="zh-CN"/>
        </w:rPr>
        <w:t>。</w:t>
      </w:r>
    </w:p>
    <w:p w14:paraId="208FCBE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3.1.3投标报价有算术错误的，评标委员会按以下原则对投标报价进行修正，修正的价格经投标人书面确认后具有约束力。投标人不接受修正价格的，评标委员会应当否决其投标。</w:t>
      </w:r>
    </w:p>
    <w:p w14:paraId="774E6991">
      <w:pPr>
        <w:spacing w:line="360" w:lineRule="auto"/>
        <w:ind w:firstLine="480" w:firstLineChars="200"/>
        <w:rPr>
          <w:rFonts w:ascii="宋体" w:hAnsi="宋体"/>
          <w:color w:val="auto"/>
          <w:sz w:val="24"/>
          <w:highlight w:val="none"/>
        </w:rPr>
      </w:pPr>
      <w:bookmarkStart w:id="319" w:name="_Toc152042383"/>
      <w:r>
        <w:rPr>
          <w:rFonts w:hint="eastAsia" w:ascii="宋体" w:hAnsi="宋体"/>
          <w:color w:val="auto"/>
          <w:sz w:val="24"/>
          <w:highlight w:val="none"/>
        </w:rPr>
        <w:t>（1）投标文件中的大写金额与小写金额不一致的，以大写金额为准；</w:t>
      </w:r>
      <w:bookmarkEnd w:id="319"/>
    </w:p>
    <w:p w14:paraId="42CC996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（2）总价金额与依据单价计算出的结果不一致的，以单价金额为准修正总价，但单价金额小数点有明显错误的除外。</w:t>
      </w:r>
    </w:p>
    <w:p w14:paraId="6CC7063F">
      <w:pPr>
        <w:spacing w:line="360" w:lineRule="auto"/>
        <w:ind w:firstLine="480" w:firstLineChars="200"/>
        <w:rPr>
          <w:rFonts w:ascii="宋体" w:hAnsi="宋体"/>
          <w:color w:val="auto"/>
          <w:sz w:val="24"/>
          <w:highlight w:val="none"/>
        </w:rPr>
      </w:pPr>
      <w:bookmarkStart w:id="320" w:name="_Toc152042384"/>
      <w:bookmarkStart w:id="321" w:name="_Toc179632624"/>
      <w:bookmarkStart w:id="322" w:name="_Toc152045606"/>
      <w:bookmarkStart w:id="323" w:name="_Toc144974573"/>
      <w:r>
        <w:rPr>
          <w:rFonts w:hint="eastAsia" w:ascii="宋体" w:hAnsi="宋体"/>
          <w:color w:val="auto"/>
          <w:sz w:val="24"/>
          <w:highlight w:val="none"/>
        </w:rPr>
        <w:t>3.2 详细评审</w:t>
      </w:r>
      <w:bookmarkEnd w:id="320"/>
      <w:bookmarkEnd w:id="321"/>
      <w:bookmarkEnd w:id="322"/>
      <w:bookmarkEnd w:id="323"/>
    </w:p>
    <w:p w14:paraId="3E9B039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3.2.1 评标委员会按本章第2.2款规定的量化因素和分值进行打分，并计算出综合评估得分。</w:t>
      </w:r>
    </w:p>
    <w:p w14:paraId="00C6825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（1）按本章第2.2.5（1）目规定的评审因素和分值对技术部分计算出得分A；</w:t>
      </w:r>
      <w:r>
        <w:rPr>
          <w:rFonts w:hint="eastAsia" w:ascii="宋体" w:hAnsi="宋体"/>
          <w:color w:val="auto"/>
          <w:sz w:val="24"/>
          <w:szCs w:val="24"/>
          <w:highlight w:val="none"/>
          <w:u w:val="single"/>
          <w:lang w:eastAsia="zh-CN"/>
        </w:rPr>
        <w:t>技术部分</w:t>
      </w:r>
      <w:r>
        <w:rPr>
          <w:rFonts w:hint="eastAsia"/>
          <w:color w:val="auto"/>
          <w:sz w:val="24"/>
          <w:szCs w:val="24"/>
          <w:highlight w:val="none"/>
          <w:u w:val="single"/>
        </w:rPr>
        <w:t>评审得分</w:t>
      </w:r>
      <w:r>
        <w:rPr>
          <w:rFonts w:hint="eastAsia" w:ascii="宋体" w:hAnsi="宋体"/>
          <w:color w:val="auto"/>
          <w:sz w:val="24"/>
          <w:szCs w:val="24"/>
          <w:highlight w:val="none"/>
          <w:u w:val="single"/>
        </w:rPr>
        <w:t>A</w:t>
      </w:r>
      <w:r>
        <w:rPr>
          <w:rFonts w:hint="eastAsia"/>
          <w:color w:val="auto"/>
          <w:sz w:val="24"/>
          <w:szCs w:val="24"/>
          <w:highlight w:val="none"/>
          <w:u w:val="single"/>
        </w:rPr>
        <w:t>为从各评标专家打分中去掉一个最高分和去掉一个最低分后的剩余评标专家打分的算术平均值</w:t>
      </w:r>
      <w:r>
        <w:rPr>
          <w:rFonts w:hint="eastAsia" w:ascii="宋体" w:hAnsi="宋体"/>
          <w:color w:val="auto"/>
          <w:sz w:val="24"/>
          <w:highlight w:val="none"/>
          <w:u w:val="single"/>
        </w:rPr>
        <w:t>。</w:t>
      </w:r>
    </w:p>
    <w:p w14:paraId="47544C2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（2）按本章第2.2.5（2）目规定的评审因素和分值对商务部分计算出得分B；</w:t>
      </w:r>
      <w:r>
        <w:rPr>
          <w:rFonts w:hint="eastAsia" w:ascii="宋体" w:hAnsi="宋体"/>
          <w:color w:val="auto"/>
          <w:sz w:val="24"/>
          <w:highlight w:val="none"/>
          <w:u w:val="single"/>
        </w:rPr>
        <w:t>商务部分评审得分B</w:t>
      </w:r>
      <w:r>
        <w:rPr>
          <w:rFonts w:hint="eastAsia"/>
          <w:color w:val="auto"/>
          <w:sz w:val="24"/>
          <w:szCs w:val="24"/>
          <w:highlight w:val="none"/>
          <w:u w:val="single"/>
        </w:rPr>
        <w:t>为各评标专家打分的算术平均值</w:t>
      </w:r>
      <w:r>
        <w:rPr>
          <w:rFonts w:hint="eastAsia" w:ascii="宋体" w:hAnsi="宋体"/>
          <w:color w:val="auto"/>
          <w:sz w:val="24"/>
          <w:highlight w:val="none"/>
          <w:u w:val="single"/>
        </w:rPr>
        <w:t>。</w:t>
      </w:r>
    </w:p>
    <w:p w14:paraId="0D7D8E08">
      <w:pPr>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（3）按本章第2.2.5（3）目规定的评审因素和分值对投标报价计算出得分C</w:t>
      </w:r>
      <w:r>
        <w:rPr>
          <w:rFonts w:hint="eastAsia" w:ascii="宋体" w:hAnsi="宋体"/>
          <w:color w:val="auto"/>
          <w:sz w:val="24"/>
          <w:highlight w:val="none"/>
          <w:lang w:val="en-US" w:eastAsia="zh-CN"/>
        </w:rPr>
        <w:t>。</w:t>
      </w:r>
    </w:p>
    <w:p w14:paraId="30B46BF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 评分分值计算保留小数点后两位，小数点后第三位“四舍五入”。</w:t>
      </w:r>
    </w:p>
    <w:p w14:paraId="0AE2EC9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3.2.3</w:t>
      </w:r>
      <w:r>
        <w:rPr>
          <w:rFonts w:ascii="宋体" w:hAnsi="宋体"/>
          <w:color w:val="auto"/>
          <w:sz w:val="24"/>
          <w:highlight w:val="none"/>
        </w:rPr>
        <w:t xml:space="preserve"> </w:t>
      </w:r>
      <w:r>
        <w:rPr>
          <w:rFonts w:hint="eastAsia" w:ascii="宋体" w:hAnsi="宋体"/>
          <w:color w:val="auto"/>
          <w:sz w:val="24"/>
          <w:highlight w:val="non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w:t>
      </w:r>
      <w:r>
        <w:rPr>
          <w:rFonts w:ascii="宋体" w:hAnsi="宋体"/>
          <w:color w:val="auto"/>
          <w:sz w:val="24"/>
          <w:highlight w:val="none"/>
        </w:rPr>
        <w:t>）</w:t>
      </w:r>
      <w:r>
        <w:rPr>
          <w:rFonts w:hint="eastAsia" w:ascii="宋体" w:hAnsi="宋体"/>
          <w:color w:val="auto"/>
          <w:sz w:val="24"/>
          <w:highlight w:val="none"/>
        </w:rPr>
        <w:t>×得分权重+投标报价得分(C)×得分权重。</w:t>
      </w:r>
    </w:p>
    <w:p w14:paraId="72B96F46">
      <w:pPr>
        <w:spacing w:line="360" w:lineRule="auto"/>
        <w:ind w:firstLine="480" w:firstLineChars="200"/>
        <w:rPr>
          <w:rFonts w:ascii="宋体" w:hAnsi="宋体"/>
          <w:color w:val="auto"/>
          <w:sz w:val="24"/>
          <w:highlight w:val="none"/>
        </w:rPr>
      </w:pPr>
      <w:bookmarkStart w:id="324" w:name="_Toc144974575"/>
      <w:bookmarkStart w:id="325" w:name="_Toc152045607"/>
      <w:bookmarkStart w:id="326" w:name="_Toc152042385"/>
      <w:bookmarkStart w:id="327" w:name="_Toc179632625"/>
      <w:r>
        <w:rPr>
          <w:rFonts w:hint="eastAsia" w:ascii="宋体" w:hAnsi="宋体"/>
          <w:color w:val="auto"/>
          <w:sz w:val="24"/>
          <w:highlight w:val="none"/>
        </w:rPr>
        <w:t>3.3 投标文件的澄清</w:t>
      </w:r>
      <w:bookmarkEnd w:id="324"/>
      <w:r>
        <w:rPr>
          <w:rFonts w:hint="eastAsia" w:ascii="宋体" w:hAnsi="宋体"/>
          <w:color w:val="auto"/>
          <w:sz w:val="24"/>
          <w:highlight w:val="none"/>
        </w:rPr>
        <w:t>和补正</w:t>
      </w:r>
      <w:bookmarkEnd w:id="325"/>
      <w:bookmarkEnd w:id="326"/>
      <w:bookmarkEnd w:id="327"/>
    </w:p>
    <w:p w14:paraId="59FF6FB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3.3.1在评标过程中，经评标委员会中两人以上（含两人）以书面形式提出动议，评标委员会可以书面形式要求投标人对所提交投标文件中不明确的内容进行书面澄清或说明，或者对细微偏差进行补正。评标委员会不接受投标人主动提出的澄清、说明或补正。</w:t>
      </w:r>
    </w:p>
    <w:p w14:paraId="6F07192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3.3.2 澄清、说明和补正不得改变投标文件的实质性内容（算术性错误修正的除外）。投标人的书面澄清、说明和补正属于投标文件的组成部分。</w:t>
      </w:r>
    </w:p>
    <w:p w14:paraId="58D324E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3.3.3 评标委员会对投标人提交的澄清、说明或补正有疑问的，可以要求投标人进一步澄清、说明或补正，直至满足评标委员会的要求。</w:t>
      </w:r>
    </w:p>
    <w:p w14:paraId="0E253AE8">
      <w:pPr>
        <w:spacing w:line="360" w:lineRule="auto"/>
        <w:ind w:firstLine="480" w:firstLineChars="200"/>
        <w:rPr>
          <w:rFonts w:ascii="宋体" w:hAnsi="宋体"/>
          <w:color w:val="auto"/>
          <w:sz w:val="24"/>
          <w:highlight w:val="none"/>
        </w:rPr>
      </w:pPr>
      <w:bookmarkStart w:id="328" w:name="_Toc152042386"/>
      <w:bookmarkStart w:id="329" w:name="_Toc179632626"/>
      <w:bookmarkStart w:id="330" w:name="_Toc152045608"/>
      <w:bookmarkStart w:id="331" w:name="_Toc144974576"/>
      <w:r>
        <w:rPr>
          <w:rFonts w:hint="eastAsia" w:ascii="宋体" w:hAnsi="宋体"/>
          <w:color w:val="auto"/>
          <w:sz w:val="24"/>
          <w:highlight w:val="none"/>
        </w:rPr>
        <w:t>3.4 评标结果</w:t>
      </w:r>
      <w:bookmarkEnd w:id="328"/>
      <w:bookmarkEnd w:id="329"/>
      <w:bookmarkEnd w:id="330"/>
      <w:bookmarkEnd w:id="331"/>
    </w:p>
    <w:p w14:paraId="013F1DA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3.4.1 评标委员会依据本章第2.2条评分标准进行评分，按评标办法前附表的约定计算投标人最终得分，评标委员会应按照得分从高至低的顺序，确定得分前三名的投标人为第一中标候选人、第二中标候选人和第三中标候选人。出现中标候选人得分相同的，以记名投票表决等其他可行的方式确定排序。</w:t>
      </w:r>
    </w:p>
    <w:p w14:paraId="368CCE7E">
      <w:pPr>
        <w:widowControl/>
        <w:spacing w:line="360" w:lineRule="auto"/>
        <w:ind w:firstLine="482" w:firstLineChars="200"/>
        <w:jc w:val="left"/>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w:t>
      </w:r>
      <w:r>
        <w:rPr>
          <w:rFonts w:hint="eastAsia" w:ascii="宋体" w:hAnsi="宋体" w:cs="宋体"/>
          <w:b/>
          <w:color w:val="auto"/>
          <w:kern w:val="0"/>
          <w:sz w:val="24"/>
          <w:szCs w:val="24"/>
          <w:highlight w:val="none"/>
        </w:rPr>
        <w:t>.评标应急预案</w:t>
      </w:r>
    </w:p>
    <w:p w14:paraId="63F07338">
      <w:pPr>
        <w:widowControl/>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在评标过程中，当采用电子评标系统评标发生评审故障时，若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当天可解除评审故障，则继续采用电子评标系统评标；若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当天无法解除评审故障，则评标委员会依据电子投标文件对未完成的评标活动采用手动评审，提交包含已完成电子评审成果在内的纸质评标报告。评审故障以</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的认定为准。当</w:t>
      </w:r>
      <w:r>
        <w:rPr>
          <w:rFonts w:hint="eastAsia" w:ascii="宋体" w:hAnsi="宋体" w:cs="宋体"/>
          <w:color w:val="auto"/>
          <w:kern w:val="0"/>
          <w:sz w:val="24"/>
          <w:szCs w:val="24"/>
          <w:highlight w:val="none"/>
          <w:lang w:eastAsia="zh-CN"/>
        </w:rPr>
        <w:t>广州交易集团有限公司（广州公共资源交易中心）</w:t>
      </w:r>
      <w:r>
        <w:rPr>
          <w:rFonts w:ascii="宋体" w:hAnsi="宋体" w:cs="宋体"/>
          <w:color w:val="auto"/>
          <w:kern w:val="0"/>
          <w:sz w:val="24"/>
          <w:szCs w:val="24"/>
          <w:highlight w:val="none"/>
        </w:rPr>
        <w:t>的系统维护人员在评标室告知评标委员会当天无法解除评审故障后，评标委员会即可对未完成的评标活动启动手动评审。</w:t>
      </w:r>
    </w:p>
    <w:p w14:paraId="6E7D271E">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在电子评标过程中，无论遇到任何系统异常或故障，评标委员会均应出具评标报告。</w:t>
      </w:r>
    </w:p>
    <w:p w14:paraId="1766D4BD">
      <w:pPr>
        <w:spacing w:line="360" w:lineRule="auto"/>
        <w:jc w:val="center"/>
        <w:outlineLvl w:val="1"/>
        <w:rPr>
          <w:rFonts w:hint="eastAsia" w:ascii="黑体" w:hAnsi="黑体" w:eastAsia="黑体"/>
          <w:color w:val="auto"/>
          <w:sz w:val="32"/>
          <w:szCs w:val="27"/>
          <w:highlight w:val="none"/>
        </w:rPr>
      </w:pPr>
    </w:p>
    <w:p w14:paraId="382D71F7">
      <w:pPr>
        <w:pageBreakBefore/>
        <w:spacing w:line="360" w:lineRule="auto"/>
        <w:jc w:val="center"/>
        <w:outlineLvl w:val="1"/>
        <w:rPr>
          <w:rFonts w:ascii="黑体" w:hAnsi="黑体" w:eastAsia="黑体"/>
          <w:color w:val="auto"/>
          <w:sz w:val="32"/>
          <w:szCs w:val="27"/>
          <w:highlight w:val="none"/>
        </w:rPr>
      </w:pPr>
      <w:bookmarkStart w:id="332" w:name="_Toc17451592"/>
      <w:bookmarkStart w:id="333" w:name="_Toc262229174"/>
      <w:bookmarkStart w:id="334" w:name="_Toc17451637"/>
      <w:bookmarkStart w:id="335" w:name="_Toc17556890"/>
      <w:bookmarkStart w:id="336" w:name="_Toc17452678"/>
      <w:bookmarkStart w:id="337" w:name="_Toc17454936"/>
      <w:bookmarkStart w:id="338" w:name="_Toc17451115"/>
      <w:bookmarkStart w:id="339" w:name="_Toc25028"/>
      <w:bookmarkStart w:id="340" w:name="_Toc17454885"/>
      <w:r>
        <w:rPr>
          <w:rFonts w:hint="eastAsia" w:ascii="黑体" w:hAnsi="黑体" w:eastAsia="黑体"/>
          <w:color w:val="auto"/>
          <w:sz w:val="32"/>
          <w:szCs w:val="27"/>
          <w:highlight w:val="none"/>
        </w:rPr>
        <w:t>第四章 合同条款</w:t>
      </w:r>
      <w:bookmarkEnd w:id="332"/>
      <w:bookmarkEnd w:id="333"/>
      <w:bookmarkEnd w:id="334"/>
      <w:bookmarkEnd w:id="335"/>
      <w:bookmarkEnd w:id="336"/>
      <w:bookmarkEnd w:id="337"/>
      <w:bookmarkEnd w:id="338"/>
      <w:bookmarkEnd w:id="339"/>
      <w:bookmarkEnd w:id="340"/>
    </w:p>
    <w:p w14:paraId="242DB6DC">
      <w:pPr>
        <w:spacing w:line="360" w:lineRule="auto"/>
        <w:jc w:val="left"/>
        <w:rPr>
          <w:rFonts w:hint="eastAsia" w:ascii="宋体" w:hAnsi="宋体"/>
          <w:color w:val="auto"/>
          <w:sz w:val="28"/>
          <w:szCs w:val="28"/>
          <w:highlight w:val="none"/>
        </w:rPr>
      </w:pPr>
    </w:p>
    <w:p w14:paraId="3E67FE71">
      <w:pPr>
        <w:widowControl/>
        <w:spacing w:line="640" w:lineRule="exact"/>
        <w:jc w:val="left"/>
        <w:rPr>
          <w:rFonts w:ascii="黑体" w:hAnsi="黑体" w:eastAsia="黑体" w:cs="黑体"/>
          <w:color w:val="auto"/>
          <w:sz w:val="32"/>
          <w:szCs w:val="32"/>
          <w:highlight w:val="none"/>
        </w:rPr>
      </w:pPr>
    </w:p>
    <w:p w14:paraId="64387601">
      <w:pPr>
        <w:widowControl/>
        <w:wordWrap/>
        <w:spacing w:line="640" w:lineRule="exact"/>
        <w:jc w:val="right"/>
        <w:rPr>
          <w:rFonts w:ascii="方正楷体_GBK" w:hAnsi="方正楷体_GBK" w:eastAsia="方正楷体_GBK" w:cs="方正楷体_GBK"/>
          <w:color w:val="auto"/>
          <w:sz w:val="28"/>
          <w:szCs w:val="28"/>
          <w:highlight w:val="none"/>
          <w:u w:val="singl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【标准文本】合同-SG-202405-01</w:t>
      </w:r>
    </w:p>
    <w:p w14:paraId="59743707">
      <w:pPr>
        <w:tabs>
          <w:tab w:val="left" w:pos="3900"/>
          <w:tab w:val="right" w:pos="10245"/>
        </w:tabs>
        <w:wordWrap w:val="0"/>
        <w:spacing w:line="360" w:lineRule="auto"/>
        <w:jc w:val="left"/>
        <w:rPr>
          <w:rFonts w:ascii="宋体" w:hAnsi="Calibri" w:cs="Times New Roman"/>
          <w:color w:val="auto"/>
          <w:sz w:val="32"/>
          <w:szCs w:val="32"/>
          <w:highlight w:val="none"/>
          <w:u w:val="single"/>
        </w:rPr>
      </w:pPr>
    </w:p>
    <w:p w14:paraId="0824DC26">
      <w:pPr>
        <w:spacing w:line="360" w:lineRule="auto"/>
        <w:jc w:val="right"/>
        <w:rPr>
          <w:rFonts w:ascii="宋体" w:hAnsi="Calibri" w:cs="Times New Roman"/>
          <w:color w:val="auto"/>
          <w:sz w:val="32"/>
          <w:szCs w:val="32"/>
          <w:highlight w:val="none"/>
          <w:u w:val="single"/>
        </w:rPr>
      </w:pPr>
    </w:p>
    <w:p w14:paraId="5BF2242A">
      <w:pPr>
        <w:spacing w:line="960" w:lineRule="exact"/>
        <w:jc w:val="center"/>
        <w:rPr>
          <w:rFonts w:ascii="方正小标宋简体" w:hAnsi="方正小标宋简体" w:eastAsia="方正小标宋简体" w:cs="方正小标宋简体"/>
          <w:color w:val="auto"/>
          <w:spacing w:val="-40"/>
          <w:kern w:val="0"/>
          <w:sz w:val="72"/>
          <w:szCs w:val="72"/>
          <w:highlight w:val="none"/>
        </w:rPr>
      </w:pPr>
      <w:r>
        <w:rPr>
          <w:rFonts w:hint="eastAsia" w:ascii="方正小标宋简体" w:hAnsi="方正小标宋简体" w:eastAsia="方正小标宋简体" w:cs="方正小标宋简体"/>
          <w:color w:val="auto"/>
          <w:spacing w:val="-40"/>
          <w:kern w:val="0"/>
          <w:sz w:val="72"/>
          <w:szCs w:val="72"/>
          <w:highlight w:val="none"/>
        </w:rPr>
        <w:t>广州市自来水有限公司</w:t>
      </w:r>
    </w:p>
    <w:p w14:paraId="148E01E1">
      <w:pPr>
        <w:spacing w:line="960" w:lineRule="exact"/>
        <w:jc w:val="center"/>
        <w:rPr>
          <w:rFonts w:ascii="方正小标宋简体" w:hAnsi="方正小标宋简体" w:eastAsia="方正小标宋简体" w:cs="方正小标宋简体"/>
          <w:color w:val="auto"/>
          <w:spacing w:val="-40"/>
          <w:kern w:val="0"/>
          <w:sz w:val="72"/>
          <w:szCs w:val="72"/>
          <w:highlight w:val="none"/>
        </w:rPr>
      </w:pPr>
      <w:r>
        <w:rPr>
          <w:rFonts w:hint="eastAsia" w:ascii="方正小标宋简体" w:hAnsi="方正小标宋简体" w:eastAsia="方正小标宋简体" w:cs="方正小标宋简体"/>
          <w:color w:val="auto"/>
          <w:spacing w:val="-40"/>
          <w:kern w:val="0"/>
          <w:sz w:val="72"/>
          <w:szCs w:val="72"/>
          <w:highlight w:val="none"/>
        </w:rPr>
        <w:t>建设工程施工合同</w:t>
      </w:r>
    </w:p>
    <w:p w14:paraId="4302F309">
      <w:pPr>
        <w:widowControl/>
        <w:spacing w:line="640" w:lineRule="exact"/>
        <w:jc w:val="center"/>
        <w:rPr>
          <w:rFonts w:ascii="方正楷体_GBK" w:hAnsi="方正楷体_GBK" w:eastAsia="方正楷体_GBK" w:cs="方正楷体_GBK"/>
          <w:color w:val="auto"/>
          <w:sz w:val="28"/>
          <w:szCs w:val="28"/>
          <w:highlight w:val="none"/>
        </w:rPr>
      </w:pPr>
      <w:r>
        <w:rPr>
          <w:rFonts w:hint="eastAsia" w:ascii="仿宋_GB2312" w:hAnsi="仿宋_GB2312" w:eastAsia="仿宋_GB2312" w:cs="仿宋_GB2312"/>
          <w:color w:val="auto"/>
          <w:sz w:val="28"/>
          <w:szCs w:val="28"/>
          <w:highlight w:val="none"/>
        </w:rPr>
        <w:t>（2024年修订版标准文本，适用于公开招标项目）</w:t>
      </w:r>
    </w:p>
    <w:p w14:paraId="791FF7D0">
      <w:pPr>
        <w:tabs>
          <w:tab w:val="left" w:pos="1380"/>
        </w:tabs>
        <w:spacing w:line="360" w:lineRule="auto"/>
        <w:rPr>
          <w:rFonts w:ascii="宋体" w:hAnsi="Calibri" w:cs="Times New Roman"/>
          <w:color w:val="auto"/>
          <w:sz w:val="32"/>
          <w:szCs w:val="32"/>
          <w:highlight w:val="none"/>
        </w:rPr>
      </w:pPr>
    </w:p>
    <w:p w14:paraId="7EB58640">
      <w:pPr>
        <w:tabs>
          <w:tab w:val="left" w:pos="1380"/>
        </w:tabs>
        <w:spacing w:line="360" w:lineRule="auto"/>
        <w:rPr>
          <w:rFonts w:ascii="宋体" w:hAnsi="Calibri" w:cs="Times New Roman"/>
          <w:color w:val="auto"/>
          <w:sz w:val="32"/>
          <w:szCs w:val="32"/>
          <w:highlight w:val="none"/>
        </w:rPr>
      </w:pPr>
      <w:r>
        <w:rPr>
          <w:rFonts w:ascii="宋体" w:hAnsi="Calibri" w:cs="Times New Roman"/>
          <w:color w:val="auto"/>
          <w:sz w:val="32"/>
          <w:szCs w:val="32"/>
          <w:highlight w:val="none"/>
        </w:rPr>
        <w:tab/>
      </w:r>
    </w:p>
    <w:p w14:paraId="1C650A18">
      <w:pPr>
        <w:spacing w:line="640" w:lineRule="exact"/>
        <w:ind w:firstLine="1699" w:firstLineChars="531"/>
        <w:rPr>
          <w:rFonts w:ascii="仿宋" w:hAnsi="仿宋" w:eastAsia="仿宋" w:cs="Times New Roman"/>
          <w:color w:val="auto"/>
          <w:sz w:val="32"/>
          <w:szCs w:val="32"/>
          <w:highlight w:val="none"/>
          <w:u w:val="single"/>
        </w:rPr>
      </w:pPr>
    </w:p>
    <w:p w14:paraId="5B7290F8">
      <w:pPr>
        <w:spacing w:line="640" w:lineRule="exact"/>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工程名称：</w:t>
      </w:r>
      <w:permStart w:id="0" w:edGrp="everyone"/>
      <w:r>
        <w:rPr>
          <w:rFonts w:hint="eastAsia" w:ascii="仿宋_GB2312" w:hAnsi="仿宋_GB2312" w:eastAsia="仿宋_GB2312" w:cs="仿宋_GB2312"/>
          <w:color w:val="auto"/>
          <w:sz w:val="28"/>
          <w:szCs w:val="28"/>
          <w:highlight w:val="none"/>
          <w:u w:val="single"/>
          <w:lang w:eastAsia="zh-CN"/>
        </w:rPr>
        <w:t>车陂</w:t>
      </w:r>
      <w:r>
        <w:rPr>
          <w:rFonts w:hint="eastAsia" w:ascii="仿宋_GB2312" w:hAnsi="仿宋_GB2312" w:eastAsia="仿宋_GB2312" w:cs="仿宋_GB2312"/>
          <w:color w:val="auto"/>
          <w:sz w:val="28"/>
          <w:szCs w:val="28"/>
          <w:highlight w:val="none"/>
          <w:u w:val="single"/>
        </w:rPr>
        <w:t>加压站复建工程第二阶段(附属设施用房)施工总承包</w:t>
      </w:r>
      <w:permEnd w:id="0"/>
    </w:p>
    <w:p w14:paraId="5A059802">
      <w:pPr>
        <w:spacing w:before="240" w:beforeLines="100" w:after="120" w:afterLines="50"/>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工程地点：</w:t>
      </w:r>
      <w:permStart w:id="1" w:edGrp="everyone"/>
      <w:r>
        <w:rPr>
          <w:rFonts w:hint="eastAsia" w:ascii="仿宋_GB2312" w:hAnsi="仿宋_GB2312" w:eastAsia="仿宋_GB2312" w:cs="仿宋_GB2312"/>
          <w:color w:val="auto"/>
          <w:sz w:val="28"/>
          <w:szCs w:val="28"/>
          <w:highlight w:val="none"/>
          <w:u w:val="single"/>
        </w:rPr>
        <w:t>广州市天河区黄埔大道金融城ATO91003地块</w:t>
      </w:r>
      <w:permEnd w:id="1"/>
    </w:p>
    <w:p w14:paraId="7E27F94A">
      <w:pPr>
        <w:spacing w:line="640" w:lineRule="exact"/>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发 包 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广州市自来水有限公司        </w:t>
      </w:r>
    </w:p>
    <w:p w14:paraId="697074AF">
      <w:pPr>
        <w:spacing w:line="640" w:lineRule="exact"/>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 包 人：</w:t>
      </w:r>
      <w:permStart w:id="2" w:edGrp="everyone"/>
      <w:r>
        <w:rPr>
          <w:rFonts w:hint="eastAsia" w:ascii="仿宋_GB2312" w:hAnsi="仿宋_GB2312" w:eastAsia="仿宋_GB2312" w:cs="仿宋_GB2312"/>
          <w:color w:val="auto"/>
          <w:sz w:val="28"/>
          <w:szCs w:val="28"/>
          <w:highlight w:val="none"/>
          <w:u w:val="single"/>
        </w:rPr>
        <w:t xml:space="preserve">                                   </w:t>
      </w:r>
      <w:permEnd w:id="2"/>
    </w:p>
    <w:p w14:paraId="4786A560">
      <w:pPr>
        <w:spacing w:line="640" w:lineRule="exact"/>
        <w:jc w:val="left"/>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合同编号：</w:t>
      </w:r>
      <w:permStart w:id="3" w:edGrp="everyone"/>
      <w:r>
        <w:rPr>
          <w:rFonts w:hint="eastAsia" w:ascii="仿宋_GB2312" w:hAnsi="仿宋_GB2312" w:eastAsia="仿宋_GB2312" w:cs="仿宋_GB2312"/>
          <w:color w:val="auto"/>
          <w:sz w:val="28"/>
          <w:szCs w:val="28"/>
          <w:highlight w:val="none"/>
          <w:u w:val="single"/>
        </w:rPr>
        <w:t xml:space="preserve">                                   </w:t>
      </w:r>
      <w:permEnd w:id="3"/>
    </w:p>
    <w:p w14:paraId="39C7F19D">
      <w:pPr>
        <w:spacing w:line="640" w:lineRule="exact"/>
        <w:ind w:firstLine="1680" w:firstLineChars="6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14:paraId="2C8CD75F">
      <w:pPr>
        <w:spacing w:line="240" w:lineRule="atLeast"/>
        <w:jc w:val="center"/>
        <w:rPr>
          <w:rFonts w:ascii="方正楷体_GBK" w:hAnsi="方正楷体_GBK" w:eastAsia="方正楷体_GBK" w:cs="方正楷体_GBK"/>
          <w:b/>
          <w:bCs/>
          <w:color w:val="auto"/>
          <w:spacing w:val="20"/>
          <w:sz w:val="28"/>
          <w:szCs w:val="28"/>
          <w:highlight w:val="none"/>
        </w:rPr>
      </w:pPr>
    </w:p>
    <w:p w14:paraId="2D7F6C93">
      <w:pPr>
        <w:widowControl/>
        <w:spacing w:line="360" w:lineRule="auto"/>
        <w:jc w:val="left"/>
        <w:rPr>
          <w:rFonts w:hint="eastAsia" w:ascii="宋体" w:cs="Times New Roman"/>
          <w:b/>
          <w:bCs/>
          <w:color w:val="auto"/>
          <w:spacing w:val="80"/>
          <w:kern w:val="0"/>
          <w:sz w:val="36"/>
          <w:szCs w:val="36"/>
          <w:highlight w:val="none"/>
        </w:rPr>
        <w:sectPr>
          <w:footerReference r:id="rId6" w:type="first"/>
          <w:footerReference r:id="rId5" w:type="default"/>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76D5A43E">
      <w:pPr>
        <w:widowControl/>
        <w:spacing w:line="420" w:lineRule="exact"/>
        <w:jc w:val="left"/>
        <w:rPr>
          <w:rFonts w:hint="eastAsia" w:ascii="宋体" w:hAnsi="宋体" w:cs="宋体"/>
          <w:color w:val="auto"/>
          <w:sz w:val="22"/>
          <w:szCs w:val="22"/>
          <w:highlight w:val="none"/>
        </w:rPr>
      </w:pPr>
      <w:bookmarkStart w:id="341" w:name="_Toc266892751"/>
      <w:bookmarkStart w:id="342" w:name="_Toc18985535"/>
      <w:bookmarkStart w:id="343" w:name="_Toc18985581"/>
      <w:bookmarkStart w:id="344" w:name="_Toc18985701"/>
      <w:bookmarkStart w:id="345" w:name="_Toc18984943"/>
    </w:p>
    <w:p w14:paraId="00C57F10">
      <w:pPr>
        <w:keepNext/>
        <w:keepLines/>
        <w:widowControl w:val="0"/>
        <w:spacing w:before="0" w:after="0" w:line="420" w:lineRule="exact"/>
        <w:ind w:left="0" w:firstLine="0"/>
        <w:jc w:val="center"/>
        <w:outlineLvl w:val="9"/>
        <w:rPr>
          <w:rFonts w:hint="eastAsia" w:ascii="方正小标宋简体" w:hAnsi="方正小标宋简体" w:eastAsia="方正小标宋简体" w:cs="方正小标宋简体"/>
          <w:b w:val="0"/>
          <w:bCs w:val="0"/>
          <w:color w:val="auto"/>
          <w:kern w:val="44"/>
          <w:sz w:val="32"/>
          <w:szCs w:val="32"/>
          <w:highlight w:val="none"/>
          <w:lang w:val="zh-CN" w:eastAsia="zh-CN" w:bidi="ar-SA"/>
        </w:rPr>
      </w:pPr>
      <w:r>
        <w:rPr>
          <w:rFonts w:hint="eastAsia" w:ascii="方正小标宋简体" w:hAnsi="方正小标宋简体" w:eastAsia="方正小标宋简体" w:cs="方正小标宋简体"/>
          <w:b w:val="0"/>
          <w:bCs w:val="0"/>
          <w:color w:val="auto"/>
          <w:kern w:val="44"/>
          <w:sz w:val="32"/>
          <w:szCs w:val="32"/>
          <w:highlight w:val="none"/>
          <w:lang w:val="zh-CN" w:eastAsia="zh-CN" w:bidi="ar-SA"/>
        </w:rPr>
        <w:t>总  说  明</w:t>
      </w:r>
    </w:p>
    <w:p w14:paraId="6FE9CE70">
      <w:pPr>
        <w:spacing w:line="420" w:lineRule="exact"/>
        <w:rPr>
          <w:rFonts w:ascii="宋体" w:hAnsi="宋体" w:cs="宋体"/>
          <w:color w:val="auto"/>
          <w:sz w:val="22"/>
          <w:szCs w:val="22"/>
          <w:highlight w:val="none"/>
          <w:lang w:val="zh-CN"/>
        </w:rPr>
      </w:pPr>
    </w:p>
    <w:p w14:paraId="2453A9C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指导建设工程施工合同当事人的签约行为，维护合同当事人的合法权益，依据《中华人民共和国民法典》《中华人民共和国建筑法》《中华人民共和国招标投标法》以及相关法律法规，参照《建设工程施工合同（示范文本）》（GF—2017—0201）《广东省建设工程标准施工合同（2009年版）》《广州市建设工程施工合同》（SF-2019-0204）等合同范本，制定了广州市自来水有限公司施工合同示范文本。为了便于合同当事人使用《广州市自来水有限公司建设工程施工合同（2024年修订版标准文本，适用于公开招标项目）》（【标准文本】合同-SG-202405-01），现就有关问题说明如下：</w:t>
      </w:r>
    </w:p>
    <w:p w14:paraId="0BCF012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一、《广州市自来水有限公司建设工程施工合同（2024年修订版标准文本，适用于公开招标项目）》（【标准文本】合同-SG-202405-01）由协议书、通用条款和专用条款三部分组成。</w:t>
      </w:r>
    </w:p>
    <w:p w14:paraId="6416566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（一）协议书</w:t>
      </w:r>
    </w:p>
    <w:p w14:paraId="72CA82D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协议书集中约定了合同当事人基本的合同权利义务。</w:t>
      </w:r>
    </w:p>
    <w:p w14:paraId="0BFC564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（二）通用条款</w:t>
      </w:r>
    </w:p>
    <w:p w14:paraId="30F209B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通用条款是合同当事人根据《中华人民共和国民法典》《中华人民共和国建筑法》等法律法规的规定，就工程施工的实施及相关事项，对合同当事人的权利义务作出的原则性约定。</w:t>
      </w:r>
    </w:p>
    <w:p w14:paraId="584F1AD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通用条款既考虑了现行法律法规对工程发承包计价的有关要求，也考虑了工程施工管理的特殊需要。</w:t>
      </w:r>
    </w:p>
    <w:p w14:paraId="6000B5B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（三）专用条款</w:t>
      </w:r>
    </w:p>
    <w:p w14:paraId="06EC3B6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用条款是对通用条款原则性约定的细化、完善、补充、修改或另行约定的条款。合同承办单位可以根据不同建设工程的特点及发承包计价的具体情况，通过双方的谈判、协商对相应的专用条款进行修改补充。在使用专用条款时，应注意以下事项：</w:t>
      </w:r>
    </w:p>
    <w:p w14:paraId="1C476BE0">
      <w:pPr>
        <w:spacing w:line="420" w:lineRule="exact"/>
        <w:ind w:right="25" w:rightChars="12"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1.专用条款的编号应与相应的通用条款的编号一致；</w:t>
      </w:r>
    </w:p>
    <w:p w14:paraId="0A7CFE5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2.合同当事人可以通过对专用条款的修改，满足具体工程的特殊要求，避免直接修改通用条款；</w:t>
      </w:r>
    </w:p>
    <w:p w14:paraId="74FE65C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3.在专用条款中有横道线的地方，合同当事人可针对相应的通用条款进行细化、完善、补充、修改或另行约定；如无细化、完善、补充、修改或另行约定，则填写“无”或划“/”。</w:t>
      </w:r>
    </w:p>
    <w:p w14:paraId="792CACD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4.文本开头带“</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rPr>
        <w:t>”的条款为选择性条款，由合同承办单位根据工程项目的具体特点和实际在“</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rPr>
        <w:t>”内打“√”或打“×”。</w:t>
      </w:r>
    </w:p>
    <w:p w14:paraId="7E2A6806">
      <w:p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二、《广州市自来水有限公司建设工程施工合同（2024年修订版标准文本，适用于公开招标项目）》（【标准文本】合同-SG-202405-01）的适用范围</w:t>
      </w:r>
    </w:p>
    <w:p w14:paraId="50A7DB4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广州市自来水有限公司建设工程施工合同（2024年修订版标准文本，适用于公开招标项目）》（【标准文本】合同-SG-202405-01）适用于公司建设工程（非EPC)的新建、扩建、改建、装修、修缮等施工项目的合同订立。其中，通用条款中带</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自来水有限公司建设工程施工合同（2024年修订版标准文本，适用于公开招标项目）》（【标准文本】合同-SG-202405-01）的内容，约定双方具体的权利义务。</w:t>
      </w:r>
    </w:p>
    <w:p w14:paraId="703C559D">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三、其他事项</w:t>
      </w:r>
    </w:p>
    <w:p w14:paraId="576109DD">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广州市自来水有限公司建设工程施工合同（2024年修订版标准文本，适用于公开招标项目）》（【标准文本】合同-SG-202405-01）专用条款中的“预付款”、“进度款”、“竣工结算”条款，在签订合同时优先选择本合同中已列的支付条件、支付方式，如选择“其它方式”或“另作约定”形式的，需以合同附件的形式予以说明原因。</w:t>
      </w:r>
    </w:p>
    <w:p w14:paraId="06A7637C">
      <w:pPr>
        <w:spacing w:line="420" w:lineRule="exact"/>
        <w:ind w:firstLine="616" w:firstLineChars="2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广州市自来水有限公司建设工程施工合同（2024年修订版标准文本，适用于公开招标项目）》（【标准文本】合同-SG-202405-01）附件格式为通用表格，如为公司市政工程项目的，须统一使用广东省市政行业协议组织编写的《广东省市政基础设施工程竣工验收技术资料统一用表(2019版)》及其最新印发版本。</w:t>
      </w:r>
    </w:p>
    <w:p w14:paraId="222A1386">
      <w:pPr>
        <w:rPr>
          <w:rFonts w:ascii="Calibri" w:hAnsi="Calibri" w:cs="Calibri"/>
          <w:color w:val="auto"/>
          <w:szCs w:val="21"/>
          <w:highlight w:val="none"/>
        </w:rPr>
      </w:pPr>
    </w:p>
    <w:p w14:paraId="211428CC">
      <w:pPr>
        <w:widowControl/>
        <w:spacing w:beforeAutospacing="1" w:afterAutospacing="1" w:line="420" w:lineRule="exact"/>
        <w:jc w:val="left"/>
        <w:rPr>
          <w:rFonts w:ascii="宋体" w:hAnsi="宋体" w:cs="宋体"/>
          <w:color w:val="auto"/>
          <w:kern w:val="0"/>
          <w:sz w:val="22"/>
          <w:szCs w:val="22"/>
          <w:highlight w:val="none"/>
        </w:rPr>
        <w:sectPr>
          <w:footerReference r:id="rId7" w:type="default"/>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0ECD7B9A">
      <w:pPr>
        <w:widowControl/>
        <w:spacing w:line="420" w:lineRule="exact"/>
        <w:jc w:val="left"/>
        <w:rPr>
          <w:rFonts w:ascii="宋体" w:hAnsi="宋体" w:cs="宋体"/>
          <w:color w:val="auto"/>
          <w:sz w:val="22"/>
          <w:szCs w:val="22"/>
          <w:highlight w:val="none"/>
        </w:rPr>
      </w:pPr>
    </w:p>
    <w:bookmarkEnd w:id="341"/>
    <w:bookmarkEnd w:id="342"/>
    <w:bookmarkEnd w:id="343"/>
    <w:bookmarkEnd w:id="344"/>
    <w:bookmarkEnd w:id="345"/>
    <w:p w14:paraId="12841269">
      <w:pPr>
        <w:spacing w:line="420" w:lineRule="exact"/>
        <w:jc w:val="center"/>
        <w:outlineLvl w:val="0"/>
        <w:rPr>
          <w:rFonts w:hint="eastAsia" w:ascii="方正小标宋简体" w:hAnsi="方正小标宋简体" w:eastAsia="方正小标宋简体" w:cs="方正小标宋简体"/>
          <w:b w:val="0"/>
          <w:bCs w:val="0"/>
          <w:color w:val="auto"/>
          <w:sz w:val="32"/>
          <w:szCs w:val="32"/>
          <w:highlight w:val="none"/>
        </w:rPr>
      </w:pPr>
      <w:bookmarkStart w:id="346" w:name="_Toc10624807"/>
      <w:bookmarkStart w:id="347" w:name="_Toc469383967"/>
      <w:r>
        <w:rPr>
          <w:rFonts w:hint="eastAsia" w:ascii="方正小标宋简体" w:hAnsi="方正小标宋简体" w:eastAsia="方正小标宋简体" w:cs="方正小标宋简体"/>
          <w:b w:val="0"/>
          <w:bCs w:val="0"/>
          <w:color w:val="auto"/>
          <w:sz w:val="32"/>
          <w:szCs w:val="32"/>
          <w:highlight w:val="none"/>
        </w:rPr>
        <w:t>第一部分  协  议  书</w:t>
      </w:r>
      <w:bookmarkEnd w:id="346"/>
      <w:bookmarkEnd w:id="347"/>
    </w:p>
    <w:p w14:paraId="679676EA">
      <w:pPr>
        <w:spacing w:line="420" w:lineRule="exact"/>
        <w:jc w:val="center"/>
        <w:rPr>
          <w:rFonts w:ascii="宋体" w:hAnsi="宋体" w:cs="宋体"/>
          <w:color w:val="auto"/>
          <w:sz w:val="22"/>
          <w:szCs w:val="22"/>
          <w:highlight w:val="none"/>
        </w:rPr>
      </w:pPr>
    </w:p>
    <w:p w14:paraId="4948A51F">
      <w:pPr>
        <w:spacing w:line="420" w:lineRule="exact"/>
        <w:jc w:val="center"/>
        <w:rPr>
          <w:rFonts w:hint="eastAsia" w:ascii="仿宋_GB2312" w:hAnsi="仿宋_GB2312" w:eastAsia="仿宋_GB2312" w:cs="仿宋_GB2312"/>
          <w:color w:val="auto"/>
          <w:sz w:val="24"/>
          <w:szCs w:val="24"/>
          <w:highlight w:val="none"/>
        </w:rPr>
      </w:pPr>
    </w:p>
    <w:p w14:paraId="25FD742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发包人:（全称）</w:t>
      </w:r>
      <w:r>
        <w:rPr>
          <w:rFonts w:hint="eastAsia" w:ascii="仿宋_GB2312" w:hAnsi="仿宋_GB2312" w:eastAsia="仿宋_GB2312" w:cs="仿宋_GB2312"/>
          <w:color w:val="auto"/>
          <w:sz w:val="24"/>
          <w:szCs w:val="24"/>
          <w:highlight w:val="none"/>
          <w:u w:val="single"/>
        </w:rPr>
        <w:t xml:space="preserve">  广州市自来水有限公司  </w:t>
      </w:r>
    </w:p>
    <w:p w14:paraId="0C10001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承包人:（全称）</w:t>
      </w:r>
      <w:permStart w:id="4" w:edGrp="everyone"/>
      <w:r>
        <w:rPr>
          <w:rFonts w:hint="eastAsia" w:ascii="仿宋_GB2312" w:hAnsi="仿宋_GB2312" w:eastAsia="仿宋_GB2312" w:cs="仿宋_GB2312"/>
          <w:color w:val="auto"/>
          <w:sz w:val="24"/>
          <w:szCs w:val="24"/>
          <w:highlight w:val="none"/>
          <w:u w:val="single"/>
        </w:rPr>
        <w:t xml:space="preserve">                        </w:t>
      </w:r>
      <w:permEnd w:id="4"/>
    </w:p>
    <w:p w14:paraId="3520DEE4">
      <w:pPr>
        <w:spacing w:line="420" w:lineRule="exact"/>
        <w:rPr>
          <w:rFonts w:hint="eastAsia" w:ascii="仿宋_GB2312" w:hAnsi="仿宋_GB2312" w:eastAsia="仿宋_GB2312" w:cs="仿宋_GB2312"/>
          <w:color w:val="auto"/>
          <w:sz w:val="24"/>
          <w:szCs w:val="24"/>
          <w:highlight w:val="none"/>
        </w:rPr>
      </w:pPr>
    </w:p>
    <w:p w14:paraId="6B6565C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依照《中华人民共和国民法典》、《中华人民共和国建筑法》及其他有关法律法规，遵循平等、自愿、公平和诚实信用的原则，双方就合同工程施工有关事项达成一致意见，订立本合同。</w:t>
      </w:r>
    </w:p>
    <w:p w14:paraId="583984B1">
      <w:pPr>
        <w:spacing w:line="420" w:lineRule="exact"/>
        <w:outlineLvl w:val="1"/>
        <w:rPr>
          <w:rFonts w:hint="eastAsia" w:ascii="仿宋_GB2312" w:hAnsi="仿宋_GB2312" w:eastAsia="仿宋_GB2312" w:cs="仿宋_GB2312"/>
          <w:b/>
          <w:bCs/>
          <w:color w:val="auto"/>
          <w:sz w:val="24"/>
          <w:szCs w:val="24"/>
          <w:highlight w:val="none"/>
        </w:rPr>
      </w:pPr>
      <w:bookmarkStart w:id="348" w:name="_Toc469383968"/>
      <w:bookmarkStart w:id="349" w:name="_Toc266892752"/>
      <w:bookmarkStart w:id="350" w:name="_Toc10624808"/>
    </w:p>
    <w:p w14:paraId="23D823CC">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一、工程概况</w:t>
      </w:r>
      <w:bookmarkEnd w:id="348"/>
      <w:bookmarkEnd w:id="349"/>
      <w:bookmarkEnd w:id="350"/>
    </w:p>
    <w:p w14:paraId="18F6CD35">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1.1立项批文编号或广东省企业基本建设投资项目备案证备案项目编号：</w:t>
      </w:r>
      <w:permStart w:id="5" w:edGrp="everyone"/>
      <w:r>
        <w:rPr>
          <w:rFonts w:hint="eastAsia" w:ascii="仿宋_GB2312" w:hAnsi="仿宋_GB2312" w:eastAsia="仿宋_GB2312" w:cs="仿宋_GB2312"/>
          <w:color w:val="auto"/>
          <w:sz w:val="24"/>
          <w:szCs w:val="24"/>
          <w:highlight w:val="none"/>
          <w:u w:val="single"/>
        </w:rPr>
        <w:t>穗发改〔2014〕366号</w:t>
      </w:r>
      <w:permEnd w:id="5"/>
    </w:p>
    <w:p w14:paraId="7ACF913C">
      <w:pPr>
        <w:spacing w:line="420" w:lineRule="exact"/>
        <w:ind w:firstLine="46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1.2项目名称：</w:t>
      </w:r>
      <w:r>
        <w:rPr>
          <w:rFonts w:hint="eastAsia" w:ascii="仿宋_GB2312" w:hAnsi="仿宋_GB2312" w:eastAsia="仿宋_GB2312" w:cs="仿宋_GB2312"/>
          <w:color w:val="auto"/>
          <w:sz w:val="24"/>
          <w:szCs w:val="24"/>
          <w:highlight w:val="none"/>
          <w:u w:val="single"/>
          <w:lang w:eastAsia="zh-CN"/>
        </w:rPr>
        <w:t>车陂</w:t>
      </w:r>
      <w:r>
        <w:rPr>
          <w:rFonts w:hint="eastAsia" w:ascii="仿宋_GB2312" w:hAnsi="仿宋_GB2312" w:eastAsia="仿宋_GB2312" w:cs="仿宋_GB2312"/>
          <w:color w:val="auto"/>
          <w:sz w:val="24"/>
          <w:szCs w:val="24"/>
          <w:highlight w:val="none"/>
          <w:u w:val="single"/>
        </w:rPr>
        <w:t>加压站复建工程第二阶段(附属设施用房)施工总承包</w:t>
      </w:r>
    </w:p>
    <w:p w14:paraId="03FC187A">
      <w:pPr>
        <w:spacing w:line="420" w:lineRule="exact"/>
        <w:ind w:firstLine="465"/>
        <w:rPr>
          <w:rFonts w:hint="eastAsia"/>
          <w:color w:val="auto"/>
          <w:highlight w:val="none"/>
          <w:u w:val="single"/>
          <w:lang w:val="en-US" w:eastAsia="zh-CN"/>
        </w:rPr>
      </w:pPr>
      <w:r>
        <w:rPr>
          <w:rFonts w:hint="eastAsia" w:ascii="仿宋_GB2312" w:hAnsi="仿宋_GB2312" w:eastAsia="仿宋_GB2312" w:cs="仿宋_GB2312"/>
          <w:color w:val="auto"/>
          <w:sz w:val="24"/>
          <w:szCs w:val="24"/>
          <w:highlight w:val="none"/>
        </w:rPr>
        <w:t>1.3工程规模：</w:t>
      </w:r>
      <w:permStart w:id="6" w:edGrp="everyone"/>
      <w:r>
        <w:rPr>
          <w:rFonts w:hint="eastAsia" w:ascii="仿宋_GB2312" w:hAnsi="仿宋_GB2312" w:eastAsia="仿宋_GB2312" w:cs="仿宋_GB2312"/>
          <w:color w:val="auto"/>
          <w:sz w:val="24"/>
          <w:szCs w:val="24"/>
          <w:highlight w:val="none"/>
          <w:u w:val="single"/>
          <w:lang w:val="en-US" w:eastAsia="zh-CN"/>
        </w:rPr>
        <w:t>共2栋单体建筑，包含1号楼、2号楼以及连廊，总建筑面积5559.31㎡。其中地面建筑为3层，建筑面积为4525.16㎡；地下建筑为1层，建筑面积为1034.15㎡。主要建设内容包括：（1）地下建筑包含地下车库、消防水池、消防水泵房以及排风机房等设备用房；（2）地面建筑1号楼包含门厅、低压配电室、消控室、调度中心以及生产调度室等生产配套用房；（3）地面建筑2号楼包含维修间、工具间、报废材料间、工具间、水质化验室、厨房、值班室、500.73㎡的环卫加水站以及507.27㎡的环卫站及消毒站。</w:t>
      </w:r>
    </w:p>
    <w:permEnd w:id="6"/>
    <w:p w14:paraId="66FF04DC">
      <w:pPr>
        <w:spacing w:line="42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1.4资金来源：</w:t>
      </w:r>
      <w:permStart w:id="7" w:edGrp="everyone"/>
      <w:r>
        <w:rPr>
          <w:rFonts w:hint="eastAsia" w:ascii="仿宋_GB2312" w:hAnsi="仿宋_GB2312" w:eastAsia="仿宋_GB2312" w:cs="仿宋_GB2312"/>
          <w:color w:val="auto"/>
          <w:sz w:val="24"/>
          <w:szCs w:val="24"/>
          <w:highlight w:val="none"/>
          <w:u w:val="single"/>
          <w:lang w:val="en-US" w:eastAsia="zh-CN"/>
        </w:rPr>
        <w:t>自筹资金</w:t>
      </w:r>
      <w:permEnd w:id="7"/>
    </w:p>
    <w:p w14:paraId="0165650C">
      <w:pPr>
        <w:spacing w:line="420" w:lineRule="exact"/>
        <w:ind w:firstLine="48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1.5其他：</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
    <w:p w14:paraId="336DB184">
      <w:pPr>
        <w:spacing w:line="420" w:lineRule="exact"/>
        <w:outlineLvl w:val="1"/>
        <w:rPr>
          <w:rFonts w:hint="eastAsia" w:ascii="仿宋_GB2312" w:hAnsi="仿宋_GB2312" w:eastAsia="仿宋_GB2312" w:cs="仿宋_GB2312"/>
          <w:b/>
          <w:bCs/>
          <w:color w:val="auto"/>
          <w:sz w:val="24"/>
          <w:szCs w:val="24"/>
          <w:highlight w:val="none"/>
        </w:rPr>
      </w:pPr>
      <w:bookmarkStart w:id="351" w:name="_Toc266892753"/>
      <w:bookmarkStart w:id="352" w:name="_Toc10624809"/>
      <w:bookmarkStart w:id="353" w:name="_Toc469383969"/>
    </w:p>
    <w:p w14:paraId="5B31D32C">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二、工程内容、承包范围</w:t>
      </w:r>
      <w:bookmarkEnd w:id="351"/>
      <w:bookmarkEnd w:id="352"/>
      <w:bookmarkEnd w:id="353"/>
      <w:r>
        <w:rPr>
          <w:rFonts w:hint="eastAsia" w:ascii="黑体" w:hAnsi="黑体" w:eastAsia="黑体" w:cs="黑体"/>
          <w:b w:val="0"/>
          <w:bCs w:val="0"/>
          <w:color w:val="auto"/>
          <w:sz w:val="24"/>
          <w:szCs w:val="24"/>
          <w:highlight w:val="none"/>
        </w:rPr>
        <w:t>与承包方式</w:t>
      </w:r>
    </w:p>
    <w:p w14:paraId="4E6AF4D5">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2.1工程内容与承包范围:</w:t>
      </w:r>
      <w:permStart w:id="8" w:edGrp="everyone"/>
      <w:r>
        <w:rPr>
          <w:rFonts w:hint="eastAsia" w:ascii="仿宋_GB2312" w:hAnsi="仿宋_GB2312" w:eastAsia="仿宋_GB2312" w:cs="仿宋_GB2312"/>
          <w:color w:val="auto"/>
          <w:sz w:val="24"/>
          <w:szCs w:val="24"/>
          <w:highlight w:val="none"/>
          <w:u w:val="single"/>
        </w:rPr>
        <w:t>包括</w:t>
      </w:r>
      <w:r>
        <w:rPr>
          <w:rFonts w:hint="eastAsia" w:ascii="仿宋_GB2312" w:hAnsi="仿宋_GB2312" w:eastAsia="仿宋_GB2312" w:cs="仿宋_GB2312"/>
          <w:color w:val="auto"/>
          <w:sz w:val="24"/>
          <w:szCs w:val="24"/>
          <w:highlight w:val="none"/>
          <w:u w:val="single"/>
          <w:lang w:eastAsia="zh-CN"/>
        </w:rPr>
        <w:t>车陂</w:t>
      </w:r>
      <w:r>
        <w:rPr>
          <w:rFonts w:hint="eastAsia" w:ascii="仿宋_GB2312" w:hAnsi="仿宋_GB2312" w:eastAsia="仿宋_GB2312" w:cs="仿宋_GB2312"/>
          <w:color w:val="auto"/>
          <w:sz w:val="24"/>
          <w:szCs w:val="24"/>
          <w:highlight w:val="none"/>
          <w:u w:val="single"/>
        </w:rPr>
        <w:t>加压站复建工程第二阶段(附属设施用房)的2栋单体建筑、给水排水等管道系统、小型给水排水构筑物、道路及绿化、变配电及应急电源系统、配电系统、照明系统、防雷、接地及安全措施、通风空调及防排烟系统等，具体以招标文件、招标图纸、工程量清单及有关资料说明为准。</w:t>
      </w:r>
    </w:p>
    <w:p w14:paraId="7206E5CB">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包括但不限于以下内容：</w:t>
      </w:r>
    </w:p>
    <w:p w14:paraId="3EB20B03">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1）负责全过程施工、竣工验收、竣工结算及智慧工地管理等承包工作，包括但不限于:站内三通一平、临水临电、临设建设，附属设施用房的土建、电气安装、电源接驳、室内外给排水;白蚁防治、临时及永久路面修复、管线保护与迁改、防雷专项验收消防专项验收、海绵城市专项验收。</w:t>
      </w:r>
    </w:p>
    <w:p w14:paraId="265D0C49">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2）负责全部施工范围内施工放线、地下管线会签交底工作;办理本项目安全质量登记监督备案、办理取得项目监管部门的开工批复;项目涉及城市绿化、燃气、石油、国防光缆及其他相关设施范围的，应编制专项评估及保护方案，组织专家评审，报相应权属单位审批，负责满足项目施工影响范围内相关权属管理单位要求实施的施工前相关前置报批及其他相关工作，完善开工前准备工作。负责各项水务质监、水投集团、市自来水公司和属地监管部门要求的在建工地视频监控等信息化建设。</w:t>
      </w:r>
    </w:p>
    <w:p w14:paraId="4B8016F0">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3）负责全部施工范围内安全文明措施、临时及永久路面修复、现状设施查探及地下管线保护、拆除或废除旧管、迁移相关管线的土建和管道安装施工。负责编制深基坑、高支模等超过一定规模的危险性较大分部分项工程的安全专项施工方案和组织专家论证。在施工过程中，如遇燃气、电力通信等重点设施，应积极协调对应的管理部门，开展安全评估及施工过程中的监测等工作相关费用已包含在投标报价中。</w:t>
      </w:r>
    </w:p>
    <w:p w14:paraId="3D7065CC">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（4）落实海绵城市、环境保护、工程验收、移交、耗水费代缴、工程结算、档案资料移交等施工过程管理，竣工图编制 (竣工图必须是根据工程实际完成情况重新绘制的图纸)，</w:t>
      </w:r>
      <w:r>
        <w:rPr>
          <w:rFonts w:hint="eastAsia" w:ascii="仿宋_GB2312" w:hAnsi="仿宋_GB2312" w:eastAsia="仿宋_GB2312" w:cs="仿宋_GB2312"/>
          <w:color w:val="auto"/>
          <w:sz w:val="24"/>
          <w:szCs w:val="24"/>
          <w:highlight w:val="none"/>
          <w:u w:val="single"/>
          <w:lang w:val="en-US" w:eastAsia="zh-CN"/>
        </w:rPr>
        <w:t>负责</w:t>
      </w:r>
      <w:r>
        <w:rPr>
          <w:rFonts w:hint="eastAsia" w:ascii="仿宋_GB2312" w:hAnsi="仿宋_GB2312" w:eastAsia="仿宋_GB2312" w:cs="仿宋_GB2312"/>
          <w:color w:val="auto"/>
          <w:sz w:val="24"/>
          <w:szCs w:val="24"/>
          <w:highlight w:val="none"/>
          <w:u w:val="single"/>
        </w:rPr>
        <w:t>树木迁移及保护。</w:t>
      </w:r>
    </w:p>
    <w:p w14:paraId="3B318C20">
      <w:pPr>
        <w:spacing w:line="420" w:lineRule="exact"/>
        <w:ind w:firstLine="523" w:firstLineChars="21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（5）本工程所有设备和材料均采用乙供。</w:t>
      </w:r>
      <w:permEnd w:id="8"/>
    </w:p>
    <w:p w14:paraId="165503F3">
      <w:pPr>
        <w:spacing w:line="420" w:lineRule="exact"/>
        <w:ind w:left="437" w:leftChars="208" w:firstLine="40" w:firstLineChars="1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2.2承包方式：</w:t>
      </w:r>
      <w:r>
        <w:rPr>
          <w:rFonts w:hint="eastAsia" w:ascii="仿宋_GB2312" w:hAnsi="仿宋_GB2312" w:eastAsia="仿宋_GB2312" w:cs="仿宋_GB2312"/>
          <w:color w:val="auto"/>
          <w:sz w:val="24"/>
          <w:szCs w:val="24"/>
          <w:highlight w:val="none"/>
          <w:u w:val="single"/>
        </w:rPr>
        <w:t>按施工图内容，包人工、包材料（</w:t>
      </w:r>
      <w:permStart w:id="9" w:edGrp="everyone"/>
      <w:r>
        <w:rPr>
          <w:rFonts w:hint="eastAsia" w:ascii="仿宋_GB2312" w:hAnsi="仿宋_GB2312" w:eastAsia="仿宋_GB2312" w:cs="仿宋_GB2312"/>
          <w:color w:val="auto"/>
          <w:sz w:val="24"/>
          <w:szCs w:val="24"/>
          <w:highlight w:val="none"/>
          <w:u w:val="single"/>
        </w:rPr>
        <w:sym w:font="Wingdings 2" w:char="0051"/>
      </w:r>
      <w:permEnd w:id="9"/>
      <w:r>
        <w:rPr>
          <w:rFonts w:hint="eastAsia" w:ascii="仿宋_GB2312" w:hAnsi="仿宋_GB2312" w:eastAsia="仿宋_GB2312" w:cs="仿宋_GB2312"/>
          <w:color w:val="auto"/>
          <w:sz w:val="24"/>
          <w:szCs w:val="24"/>
          <w:highlight w:val="none"/>
          <w:u w:val="single"/>
        </w:rPr>
        <w:t>由发包人供应的材料除</w:t>
      </w:r>
    </w:p>
    <w:p w14:paraId="3062EDD1">
      <w:pPr>
        <w:spacing w:line="420" w:lineRule="exact"/>
        <w:rPr>
          <w:rFonts w:hint="eastAsia" w:ascii="仿宋_GB2312" w:hAnsi="仿宋_GB2312" w:eastAsia="仿宋_GB2312" w:cs="仿宋_GB2312"/>
          <w:color w:val="auto"/>
          <w:sz w:val="24"/>
          <w:szCs w:val="24"/>
          <w:highlight w:val="none"/>
          <w:u w:val="single"/>
          <w:lang w:eastAsia="zh-CN"/>
        </w:rPr>
      </w:pPr>
      <w:r>
        <w:rPr>
          <w:rFonts w:hint="eastAsia" w:ascii="仿宋_GB2312" w:hAnsi="仿宋_GB2312" w:eastAsia="仿宋_GB2312" w:cs="仿宋_GB2312"/>
          <w:color w:val="auto"/>
          <w:sz w:val="24"/>
          <w:szCs w:val="24"/>
          <w:highlight w:val="none"/>
          <w:u w:val="single"/>
        </w:rPr>
        <w:t>外）、包安装、包质量、包工期、包文明施工，以及采取有效措施，不发生安全事故；包劳保、包验收、包保修；包承包范围内工程验收通过、包移交、包结算、包资料整理、包施工承包管理和现场整体组织、包专业协调及配合</w:t>
      </w:r>
      <w:r>
        <w:rPr>
          <w:rFonts w:hint="eastAsia" w:ascii="仿宋_GB2312" w:hAnsi="仿宋_GB2312" w:eastAsia="仿宋_GB2312" w:cs="仿宋_GB2312"/>
          <w:color w:val="auto"/>
          <w:sz w:val="24"/>
          <w:szCs w:val="24"/>
          <w:highlight w:val="none"/>
          <w:u w:val="single"/>
          <w:lang w:eastAsia="zh-CN"/>
        </w:rPr>
        <w:t>。</w:t>
      </w:r>
    </w:p>
    <w:p w14:paraId="7B0C112F">
      <w:pPr>
        <w:spacing w:line="420" w:lineRule="exact"/>
        <w:ind w:left="437" w:leftChars="208"/>
        <w:rPr>
          <w:rFonts w:hint="eastAsia" w:ascii="仿宋_GB2312" w:hAnsi="仿宋_GB2312" w:eastAsia="仿宋_GB2312" w:cs="仿宋_GB2312"/>
          <w:color w:val="auto"/>
          <w:sz w:val="24"/>
          <w:szCs w:val="24"/>
          <w:highlight w:val="none"/>
          <w:u w:val="single"/>
        </w:rPr>
      </w:pPr>
      <w:permStart w:id="10" w:edGrp="everyone"/>
      <w:r>
        <w:rPr>
          <w:rFonts w:hint="eastAsia" w:ascii="仿宋_GB2312" w:hAnsi="仿宋_GB2312" w:eastAsia="仿宋_GB2312" w:cs="仿宋_GB2312"/>
          <w:color w:val="auto"/>
          <w:sz w:val="24"/>
          <w:szCs w:val="24"/>
          <w:highlight w:val="none"/>
        </w:rPr>
        <w:sym w:font="Wingdings 2" w:char="0052"/>
      </w:r>
      <w:permEnd w:id="10"/>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包路面修复；</w:t>
      </w:r>
      <w:permStart w:id="11" w:edGrp="everyone"/>
      <w:r>
        <w:rPr>
          <w:rFonts w:hint="eastAsia" w:ascii="仿宋_GB2312" w:hAnsi="仿宋_GB2312" w:eastAsia="仿宋_GB2312" w:cs="仿宋_GB2312"/>
          <w:color w:val="auto"/>
          <w:sz w:val="24"/>
          <w:szCs w:val="24"/>
          <w:highlight w:val="none"/>
        </w:rPr>
        <w:sym w:font="Wingdings 2" w:char="0052"/>
      </w:r>
      <w:permEnd w:id="11"/>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包交通疏解。</w:t>
      </w:r>
    </w:p>
    <w:p w14:paraId="4B1CE17F">
      <w:pPr>
        <w:spacing w:line="420" w:lineRule="exact"/>
        <w:outlineLvl w:val="1"/>
        <w:rPr>
          <w:rFonts w:hint="eastAsia" w:ascii="仿宋_GB2312" w:hAnsi="仿宋_GB2312" w:eastAsia="仿宋_GB2312" w:cs="仿宋_GB2312"/>
          <w:b/>
          <w:bCs/>
          <w:color w:val="auto"/>
          <w:sz w:val="24"/>
          <w:szCs w:val="24"/>
          <w:highlight w:val="none"/>
        </w:rPr>
      </w:pPr>
      <w:bookmarkStart w:id="354" w:name="_Toc266892754"/>
      <w:bookmarkStart w:id="355" w:name="_Toc10624810"/>
      <w:bookmarkStart w:id="356" w:name="_Toc469383970"/>
    </w:p>
    <w:p w14:paraId="20DDF05A">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三、合同工期</w:t>
      </w:r>
      <w:bookmarkEnd w:id="354"/>
      <w:bookmarkEnd w:id="355"/>
      <w:bookmarkEnd w:id="356"/>
    </w:p>
    <w:p w14:paraId="0220AFC9">
      <w:pPr>
        <w:spacing w:line="420" w:lineRule="exact"/>
        <w:ind w:left="1199" w:leftChars="250" w:hanging="674" w:hangingChars="2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3.1工程合同工期总日历天数：</w:t>
      </w:r>
      <w:permStart w:id="1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517</w:t>
      </w:r>
      <w:r>
        <w:rPr>
          <w:rFonts w:hint="eastAsia" w:ascii="仿宋_GB2312" w:hAnsi="仿宋_GB2312" w:eastAsia="仿宋_GB2312" w:cs="仿宋_GB2312"/>
          <w:color w:val="auto"/>
          <w:sz w:val="24"/>
          <w:szCs w:val="24"/>
          <w:highlight w:val="none"/>
          <w:u w:val="single"/>
        </w:rPr>
        <w:t xml:space="preserve"> </w:t>
      </w:r>
      <w:permEnd w:id="12"/>
      <w:r>
        <w:rPr>
          <w:rFonts w:hint="eastAsia" w:ascii="仿宋_GB2312" w:hAnsi="仿宋_GB2312" w:eastAsia="仿宋_GB2312" w:cs="仿宋_GB2312"/>
          <w:color w:val="auto"/>
          <w:sz w:val="24"/>
          <w:szCs w:val="24"/>
          <w:highlight w:val="none"/>
        </w:rPr>
        <w:t>天。</w:t>
      </w:r>
    </w:p>
    <w:p w14:paraId="4824E3C9">
      <w:pPr>
        <w:spacing w:line="420" w:lineRule="exact"/>
        <w:ind w:left="1199" w:leftChars="250" w:hanging="674" w:hangingChars="2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3.2暂定从 </w:t>
      </w:r>
      <w:permStart w:id="1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2025</w:t>
      </w:r>
      <w:r>
        <w:rPr>
          <w:rFonts w:hint="eastAsia" w:ascii="仿宋_GB2312" w:hAnsi="仿宋_GB2312" w:eastAsia="仿宋_GB2312" w:cs="仿宋_GB2312"/>
          <w:color w:val="auto"/>
          <w:sz w:val="24"/>
          <w:szCs w:val="24"/>
          <w:highlight w:val="none"/>
          <w:u w:val="single"/>
        </w:rPr>
        <w:t xml:space="preserve"> </w:t>
      </w:r>
      <w:permEnd w:id="13"/>
      <w:r>
        <w:rPr>
          <w:rFonts w:hint="eastAsia" w:ascii="仿宋_GB2312" w:hAnsi="仿宋_GB2312" w:eastAsia="仿宋_GB2312" w:cs="仿宋_GB2312"/>
          <w:color w:val="auto"/>
          <w:sz w:val="24"/>
          <w:szCs w:val="24"/>
          <w:highlight w:val="none"/>
        </w:rPr>
        <w:t>年</w:t>
      </w:r>
      <w:permStart w:id="14"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5</w:t>
      </w:r>
      <w:r>
        <w:rPr>
          <w:rFonts w:hint="eastAsia" w:ascii="仿宋_GB2312" w:hAnsi="仿宋_GB2312" w:eastAsia="仿宋_GB2312" w:cs="仿宋_GB2312"/>
          <w:color w:val="auto"/>
          <w:sz w:val="24"/>
          <w:szCs w:val="24"/>
          <w:highlight w:val="none"/>
          <w:u w:val="single"/>
        </w:rPr>
        <w:t xml:space="preserve"> </w:t>
      </w:r>
      <w:permEnd w:id="14"/>
      <w:r>
        <w:rPr>
          <w:rFonts w:hint="eastAsia" w:ascii="仿宋_GB2312" w:hAnsi="仿宋_GB2312" w:eastAsia="仿宋_GB2312" w:cs="仿宋_GB2312"/>
          <w:color w:val="auto"/>
          <w:sz w:val="24"/>
          <w:szCs w:val="24"/>
          <w:highlight w:val="none"/>
        </w:rPr>
        <w:t>月</w:t>
      </w:r>
      <w:permStart w:id="1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1</w:t>
      </w:r>
      <w:r>
        <w:rPr>
          <w:rFonts w:hint="eastAsia" w:ascii="仿宋_GB2312" w:hAnsi="仿宋_GB2312" w:eastAsia="仿宋_GB2312" w:cs="仿宋_GB2312"/>
          <w:color w:val="auto"/>
          <w:sz w:val="24"/>
          <w:szCs w:val="24"/>
          <w:highlight w:val="none"/>
          <w:u w:val="single"/>
        </w:rPr>
        <w:t xml:space="preserve"> </w:t>
      </w:r>
      <w:permEnd w:id="15"/>
      <w:r>
        <w:rPr>
          <w:rFonts w:hint="eastAsia" w:ascii="仿宋_GB2312" w:hAnsi="仿宋_GB2312" w:eastAsia="仿宋_GB2312" w:cs="仿宋_GB2312"/>
          <w:color w:val="auto"/>
          <w:sz w:val="24"/>
          <w:szCs w:val="24"/>
          <w:highlight w:val="none"/>
        </w:rPr>
        <w:t>日开始施工，至</w:t>
      </w:r>
      <w:permStart w:id="1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2026</w:t>
      </w:r>
      <w:r>
        <w:rPr>
          <w:rFonts w:hint="eastAsia" w:ascii="仿宋_GB2312" w:hAnsi="仿宋_GB2312" w:eastAsia="仿宋_GB2312" w:cs="仿宋_GB2312"/>
          <w:color w:val="auto"/>
          <w:sz w:val="24"/>
          <w:szCs w:val="24"/>
          <w:highlight w:val="none"/>
          <w:u w:val="single"/>
        </w:rPr>
        <w:t xml:space="preserve"> </w:t>
      </w:r>
      <w:permEnd w:id="16"/>
      <w:r>
        <w:rPr>
          <w:rFonts w:hint="eastAsia" w:ascii="仿宋_GB2312" w:hAnsi="仿宋_GB2312" w:eastAsia="仿宋_GB2312" w:cs="仿宋_GB2312"/>
          <w:color w:val="auto"/>
          <w:sz w:val="24"/>
          <w:szCs w:val="24"/>
          <w:highlight w:val="none"/>
        </w:rPr>
        <w:t>年</w:t>
      </w:r>
      <w:permStart w:id="1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9</w:t>
      </w:r>
      <w:r>
        <w:rPr>
          <w:rFonts w:hint="eastAsia" w:ascii="仿宋_GB2312" w:hAnsi="仿宋_GB2312" w:eastAsia="仿宋_GB2312" w:cs="仿宋_GB2312"/>
          <w:color w:val="auto"/>
          <w:sz w:val="24"/>
          <w:szCs w:val="24"/>
          <w:highlight w:val="none"/>
          <w:u w:val="single"/>
        </w:rPr>
        <w:t xml:space="preserve"> </w:t>
      </w:r>
      <w:permEnd w:id="17"/>
      <w:r>
        <w:rPr>
          <w:rFonts w:hint="eastAsia" w:ascii="仿宋_GB2312" w:hAnsi="仿宋_GB2312" w:eastAsia="仿宋_GB2312" w:cs="仿宋_GB2312"/>
          <w:color w:val="auto"/>
          <w:sz w:val="24"/>
          <w:szCs w:val="24"/>
          <w:highlight w:val="none"/>
        </w:rPr>
        <w:t>月</w:t>
      </w:r>
      <w:permStart w:id="1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30</w:t>
      </w:r>
      <w:r>
        <w:rPr>
          <w:rFonts w:hint="eastAsia" w:ascii="仿宋_GB2312" w:hAnsi="仿宋_GB2312" w:eastAsia="仿宋_GB2312" w:cs="仿宋_GB2312"/>
          <w:color w:val="auto"/>
          <w:sz w:val="24"/>
          <w:szCs w:val="24"/>
          <w:highlight w:val="none"/>
          <w:u w:val="single"/>
        </w:rPr>
        <w:t xml:space="preserve"> </w:t>
      </w:r>
      <w:permEnd w:id="18"/>
      <w:r>
        <w:rPr>
          <w:rFonts w:hint="eastAsia" w:ascii="仿宋_GB2312" w:hAnsi="仿宋_GB2312" w:eastAsia="仿宋_GB2312" w:cs="仿宋_GB2312"/>
          <w:color w:val="auto"/>
          <w:sz w:val="24"/>
          <w:szCs w:val="24"/>
          <w:highlight w:val="none"/>
        </w:rPr>
        <w:t>日竣</w:t>
      </w:r>
    </w:p>
    <w:p w14:paraId="365869EF">
      <w:pPr>
        <w:spacing w:line="420" w:lineRule="exact"/>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工完成，具体开工日</w:t>
      </w:r>
      <w:r>
        <w:rPr>
          <w:rFonts w:hint="eastAsia" w:ascii="仿宋_GB2312" w:hAnsi="仿宋_GB2312" w:eastAsia="仿宋_GB2312" w:cs="仿宋_GB2312"/>
          <w:color w:val="auto"/>
          <w:kern w:val="2"/>
          <w:sz w:val="24"/>
          <w:szCs w:val="24"/>
          <w:highlight w:val="none"/>
          <w:lang w:val="en-US" w:eastAsia="zh-CN" w:bidi="ar-SA"/>
        </w:rPr>
        <w:t>期以现场具备施工条件且在项目依法领取施工许可证后，</w:t>
      </w:r>
      <w:permStart w:id="19" w:edGrp="everyone"/>
      <w:r>
        <w:rPr>
          <w:rFonts w:hint="eastAsia" w:ascii="仿宋_GB2312" w:hAnsi="仿宋_GB2312" w:eastAsia="仿宋_GB2312" w:cs="仿宋_GB2312"/>
          <w:color w:val="auto"/>
          <w:kern w:val="2"/>
          <w:sz w:val="24"/>
          <w:szCs w:val="24"/>
          <w:highlight w:val="none"/>
          <w:u w:val="single"/>
          <w:lang w:val="en-US" w:eastAsia="zh-CN" w:bidi="ar-SA"/>
        </w:rPr>
        <w:t xml:space="preserve"> 以经发包人批准、监理工程师 </w:t>
      </w:r>
      <w:permEnd w:id="19"/>
      <w:r>
        <w:rPr>
          <w:rFonts w:hint="eastAsia" w:ascii="仿宋_GB2312" w:hAnsi="仿宋_GB2312" w:eastAsia="仿宋_GB2312" w:cs="仿宋_GB2312"/>
          <w:color w:val="auto"/>
          <w:kern w:val="2"/>
          <w:sz w:val="24"/>
          <w:szCs w:val="24"/>
          <w:highlight w:val="none"/>
          <w:lang w:val="en-US" w:eastAsia="zh-CN" w:bidi="ar-SA"/>
        </w:rPr>
        <w:t>签发的开工令日期为准。</w:t>
      </w:r>
    </w:p>
    <w:p w14:paraId="63ED1700">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工期总日历天数与根据前述计划开竣工日期计算的工期天数不一致的，以工期总日历天数为准。</w:t>
      </w:r>
    </w:p>
    <w:p w14:paraId="36410724">
      <w:pPr>
        <w:spacing w:line="420" w:lineRule="exact"/>
        <w:outlineLvl w:val="1"/>
        <w:rPr>
          <w:rFonts w:hint="eastAsia" w:ascii="仿宋_GB2312" w:hAnsi="仿宋_GB2312" w:eastAsia="仿宋_GB2312" w:cs="仿宋_GB2312"/>
          <w:b/>
          <w:bCs/>
          <w:color w:val="auto"/>
          <w:sz w:val="24"/>
          <w:szCs w:val="24"/>
          <w:highlight w:val="none"/>
        </w:rPr>
      </w:pPr>
      <w:bookmarkStart w:id="357" w:name="_Toc10624811"/>
      <w:bookmarkStart w:id="358" w:name="_Toc469383971"/>
      <w:bookmarkStart w:id="359" w:name="_Toc266892755"/>
    </w:p>
    <w:p w14:paraId="709BEDDF">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★四、质量标准</w:t>
      </w:r>
      <w:bookmarkEnd w:id="357"/>
      <w:bookmarkEnd w:id="358"/>
      <w:bookmarkEnd w:id="359"/>
    </w:p>
    <w:p w14:paraId="05705FCA">
      <w:pPr>
        <w:spacing w:line="420" w:lineRule="exact"/>
        <w:ind w:left="479" w:leftChars="228" w:firstLine="43" w:firstLineChars="1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4.1工程质量标准：</w:t>
      </w:r>
    </w:p>
    <w:p w14:paraId="7E8B9ED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 xml:space="preserve"> 确保符合国家、省、市</w:t>
      </w:r>
      <w:r>
        <w:rPr>
          <w:rFonts w:hint="eastAsia" w:ascii="仿宋_GB2312" w:hAnsi="仿宋_GB2312" w:eastAsia="仿宋_GB2312" w:cs="仿宋_GB2312"/>
          <w:color w:val="auto"/>
          <w:sz w:val="24"/>
          <w:szCs w:val="24"/>
          <w:highlight w:val="none"/>
          <w:u w:val="single"/>
        </w:rPr>
        <w:t>《建筑工程施工质量验收统一标准》（GB50300-2013）；《给水排水管道工程施工及验收规范》（GB50268-2008）、《水利水电建设工程验收规程》（SL223-2008）等</w:t>
      </w:r>
      <w:r>
        <w:rPr>
          <w:rFonts w:hint="eastAsia" w:ascii="仿宋_GB2312" w:hAnsi="仿宋_GB2312" w:eastAsia="仿宋_GB2312" w:cs="仿宋_GB2312"/>
          <w:color w:val="auto"/>
          <w:sz w:val="24"/>
          <w:szCs w:val="24"/>
          <w:highlight w:val="none"/>
        </w:rPr>
        <w:t>质量验收标准，并达到合格或以上标准。</w:t>
      </w:r>
    </w:p>
    <w:p w14:paraId="6FDA9200">
      <w:pPr>
        <w:spacing w:line="420" w:lineRule="exact"/>
        <w:ind w:left="479" w:leftChars="228" w:firstLine="43" w:firstLineChars="18"/>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sym w:font="Wingdings 2" w:char="0051"/>
      </w:r>
      <w:r>
        <w:rPr>
          <w:rFonts w:hint="eastAsia" w:ascii="仿宋_GB2312" w:hAnsi="仿宋_GB2312" w:eastAsia="仿宋_GB2312" w:cs="仿宋_GB2312"/>
          <w:color w:val="auto"/>
          <w:sz w:val="24"/>
          <w:szCs w:val="24"/>
          <w:highlight w:val="none"/>
        </w:rPr>
        <w:t xml:space="preserve"> 以及符合优质工程</w:t>
      </w:r>
      <w:permStart w:id="2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20"/>
      <w:r>
        <w:rPr>
          <w:rFonts w:hint="eastAsia" w:ascii="仿宋_GB2312" w:hAnsi="仿宋_GB2312" w:eastAsia="仿宋_GB2312" w:cs="仿宋_GB2312"/>
          <w:color w:val="auto"/>
          <w:sz w:val="24"/>
          <w:szCs w:val="24"/>
          <w:highlight w:val="none"/>
        </w:rPr>
        <w:t>质量验收标准。</w:t>
      </w:r>
    </w:p>
    <w:p w14:paraId="10E8966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4.2创优目标：</w:t>
      </w:r>
    </w:p>
    <w:p w14:paraId="61AEAF9A">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1" w:edGrp="everyone"/>
      <w:bookmarkStart w:id="360" w:name="OLE_LINK6"/>
      <w:r>
        <w:rPr>
          <w:rFonts w:hint="eastAsia" w:ascii="仿宋_GB2312" w:hAnsi="仿宋_GB2312" w:eastAsia="仿宋_GB2312" w:cs="仿宋_GB2312"/>
          <w:color w:val="auto"/>
          <w:sz w:val="24"/>
          <w:szCs w:val="24"/>
          <w:highlight w:val="none"/>
        </w:rPr>
        <w:sym w:font="Wingdings 2" w:char="0051"/>
      </w:r>
      <w:permEnd w:id="21"/>
      <w:bookmarkEnd w:id="360"/>
      <w:r>
        <w:rPr>
          <w:rFonts w:hint="eastAsia" w:ascii="仿宋_GB2312" w:hAnsi="仿宋_GB2312" w:eastAsia="仿宋_GB2312" w:cs="仿宋_GB2312"/>
          <w:color w:val="auto"/>
          <w:sz w:val="24"/>
          <w:szCs w:val="24"/>
          <w:highlight w:val="none"/>
        </w:rPr>
        <w:t>市级工程优质奖</w:t>
      </w:r>
      <w:r>
        <w:rPr>
          <w:rFonts w:hint="eastAsia" w:ascii="仿宋_GB2312" w:hAnsi="仿宋_GB2312" w:eastAsia="仿宋_GB2312" w:cs="仿宋_GB2312"/>
          <w:color w:val="auto"/>
          <w:kern w:val="0"/>
          <w:sz w:val="24"/>
          <w:szCs w:val="24"/>
          <w:highlight w:val="none"/>
        </w:rPr>
        <w:t>；</w:t>
      </w:r>
    </w:p>
    <w:p w14:paraId="2706E7CE">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2" w:edGrp="everyone"/>
      <w:r>
        <w:rPr>
          <w:rFonts w:hint="eastAsia" w:ascii="仿宋_GB2312" w:hAnsi="仿宋_GB2312" w:eastAsia="仿宋_GB2312" w:cs="仿宋_GB2312"/>
          <w:color w:val="auto"/>
          <w:sz w:val="24"/>
          <w:szCs w:val="24"/>
          <w:highlight w:val="none"/>
        </w:rPr>
        <w:sym w:font="Wingdings 2" w:char="0051"/>
      </w:r>
      <w:permEnd w:id="22"/>
      <w:r>
        <w:rPr>
          <w:rFonts w:hint="eastAsia" w:ascii="仿宋_GB2312" w:hAnsi="仿宋_GB2312" w:eastAsia="仿宋_GB2312" w:cs="仿宋_GB2312"/>
          <w:color w:val="auto"/>
          <w:sz w:val="24"/>
          <w:szCs w:val="24"/>
          <w:highlight w:val="none"/>
        </w:rPr>
        <w:t>省级工程优质奖</w:t>
      </w:r>
      <w:r>
        <w:rPr>
          <w:rFonts w:hint="eastAsia" w:ascii="仿宋_GB2312" w:hAnsi="仿宋_GB2312" w:eastAsia="仿宋_GB2312" w:cs="仿宋_GB2312"/>
          <w:color w:val="auto"/>
          <w:kern w:val="0"/>
          <w:sz w:val="24"/>
          <w:szCs w:val="24"/>
          <w:highlight w:val="none"/>
        </w:rPr>
        <w:t>；</w:t>
      </w:r>
    </w:p>
    <w:p w14:paraId="6C3D2B59">
      <w:pPr>
        <w:widowControl w:val="0"/>
        <w:spacing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permStart w:id="23" w:edGrp="everyone"/>
      <w:r>
        <w:rPr>
          <w:rFonts w:hint="eastAsia" w:ascii="仿宋_GB2312" w:hAnsi="仿宋_GB2312" w:eastAsia="仿宋_GB2312" w:cs="仿宋_GB2312"/>
          <w:color w:val="auto"/>
          <w:sz w:val="24"/>
          <w:szCs w:val="24"/>
          <w:highlight w:val="none"/>
        </w:rPr>
        <w:sym w:font="Wingdings 2" w:char="0051"/>
      </w:r>
      <w:permEnd w:id="23"/>
      <w:r>
        <w:rPr>
          <w:rFonts w:hint="eastAsia" w:ascii="仿宋_GB2312" w:hAnsi="仿宋_GB2312" w:eastAsia="仿宋_GB2312" w:cs="仿宋_GB2312"/>
          <w:color w:val="auto"/>
          <w:kern w:val="2"/>
          <w:sz w:val="24"/>
          <w:szCs w:val="24"/>
          <w:highlight w:val="none"/>
          <w:lang w:val="en-US" w:eastAsia="zh-CN" w:bidi="ar-SA"/>
        </w:rPr>
        <w:t>国家级工程优质奖</w:t>
      </w:r>
      <w:r>
        <w:rPr>
          <w:rFonts w:hint="eastAsia" w:ascii="仿宋_GB2312" w:hAnsi="仿宋_GB2312" w:eastAsia="仿宋_GB2312" w:cs="仿宋_GB2312"/>
          <w:color w:val="auto"/>
          <w:kern w:val="0"/>
          <w:sz w:val="24"/>
          <w:szCs w:val="24"/>
          <w:highlight w:val="none"/>
          <w:lang w:val="en-US" w:eastAsia="zh-CN" w:bidi="ar-SA"/>
        </w:rPr>
        <w:t>；</w:t>
      </w:r>
    </w:p>
    <w:p w14:paraId="201D50F9">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permStart w:id="24" w:edGrp="everyone"/>
      <w:r>
        <w:rPr>
          <w:rFonts w:hint="eastAsia" w:ascii="仿宋_GB2312" w:hAnsi="仿宋_GB2312" w:eastAsia="仿宋_GB2312" w:cs="仿宋_GB2312"/>
          <w:color w:val="auto"/>
          <w:sz w:val="24"/>
          <w:szCs w:val="24"/>
          <w:highlight w:val="none"/>
        </w:rPr>
        <w:sym w:font="Wingdings 2" w:char="0051"/>
      </w:r>
      <w:permEnd w:id="24"/>
      <w:r>
        <w:rPr>
          <w:rFonts w:hint="eastAsia" w:ascii="仿宋_GB2312" w:hAnsi="仿宋_GB2312" w:eastAsia="仿宋_GB2312" w:cs="仿宋_GB2312"/>
          <w:color w:val="auto"/>
          <w:kern w:val="0"/>
          <w:sz w:val="24"/>
          <w:szCs w:val="24"/>
          <w:highlight w:val="none"/>
        </w:rPr>
        <w:t>其它</w:t>
      </w:r>
      <w:permStart w:id="25" w:edGrp="everyone"/>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lang w:val="en-US" w:eastAsia="zh-CN"/>
        </w:rPr>
        <w:t xml:space="preserve">  </w:t>
      </w:r>
    </w:p>
    <w:permEnd w:id="25"/>
    <w:p w14:paraId="08F6DC3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4.3创文明工地目标：</w:t>
      </w:r>
    </w:p>
    <w:p w14:paraId="319ADDB7">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6" w:edGrp="everyone"/>
      <w:r>
        <w:rPr>
          <w:rFonts w:hint="eastAsia" w:ascii="仿宋_GB2312" w:hAnsi="仿宋_GB2312" w:eastAsia="仿宋_GB2312" w:cs="仿宋_GB2312"/>
          <w:color w:val="auto"/>
          <w:sz w:val="24"/>
          <w:szCs w:val="24"/>
          <w:highlight w:val="none"/>
        </w:rPr>
        <w:sym w:font="Wingdings 2" w:char="0051"/>
      </w:r>
      <w:permEnd w:id="26"/>
      <w:r>
        <w:rPr>
          <w:rFonts w:hint="eastAsia" w:ascii="仿宋_GB2312" w:hAnsi="仿宋_GB2312" w:eastAsia="仿宋_GB2312" w:cs="仿宋_GB2312"/>
          <w:color w:val="auto"/>
          <w:sz w:val="24"/>
          <w:szCs w:val="24"/>
          <w:highlight w:val="none"/>
        </w:rPr>
        <w:t>市级安全文明绿色施工样板工地</w:t>
      </w:r>
      <w:r>
        <w:rPr>
          <w:rFonts w:hint="eastAsia" w:ascii="仿宋_GB2312" w:hAnsi="仿宋_GB2312" w:eastAsia="仿宋_GB2312" w:cs="仿宋_GB2312"/>
          <w:color w:val="auto"/>
          <w:kern w:val="0"/>
          <w:sz w:val="24"/>
          <w:szCs w:val="24"/>
          <w:highlight w:val="none"/>
        </w:rPr>
        <w:t>；</w:t>
      </w:r>
    </w:p>
    <w:p w14:paraId="0A99569B">
      <w:pPr>
        <w:autoSpaceDE w:val="0"/>
        <w:autoSpaceDN w:val="0"/>
        <w:adjustRightInd w:val="0"/>
        <w:spacing w:line="420" w:lineRule="exact"/>
        <w:ind w:firstLine="480" w:firstLineChars="200"/>
        <w:jc w:val="left"/>
        <w:rPr>
          <w:rFonts w:hint="eastAsia" w:ascii="仿宋_GB2312" w:hAnsi="仿宋_GB2312" w:eastAsia="仿宋_GB2312" w:cs="仿宋_GB2312"/>
          <w:color w:val="auto"/>
          <w:sz w:val="24"/>
          <w:szCs w:val="24"/>
          <w:highlight w:val="none"/>
        </w:rPr>
      </w:pPr>
      <w:permStart w:id="27" w:edGrp="everyone"/>
      <w:r>
        <w:rPr>
          <w:rFonts w:hint="eastAsia" w:ascii="仿宋_GB2312" w:hAnsi="仿宋_GB2312" w:eastAsia="仿宋_GB2312" w:cs="仿宋_GB2312"/>
          <w:color w:val="auto"/>
          <w:sz w:val="24"/>
          <w:szCs w:val="24"/>
          <w:highlight w:val="none"/>
        </w:rPr>
        <w:sym w:font="Wingdings 2" w:char="0051"/>
      </w:r>
      <w:permEnd w:id="27"/>
      <w:r>
        <w:rPr>
          <w:rFonts w:hint="eastAsia" w:ascii="仿宋_GB2312" w:hAnsi="仿宋_GB2312" w:eastAsia="仿宋_GB2312" w:cs="仿宋_GB2312"/>
          <w:color w:val="auto"/>
          <w:sz w:val="24"/>
          <w:szCs w:val="24"/>
          <w:highlight w:val="none"/>
        </w:rPr>
        <w:t>省级安全文明示范工地；</w:t>
      </w:r>
    </w:p>
    <w:p w14:paraId="43F9A258">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8" w:edGrp="everyone"/>
      <w:r>
        <w:rPr>
          <w:rFonts w:hint="eastAsia" w:ascii="仿宋_GB2312" w:hAnsi="仿宋_GB2312" w:eastAsia="仿宋_GB2312" w:cs="仿宋_GB2312"/>
          <w:color w:val="auto"/>
          <w:sz w:val="24"/>
          <w:szCs w:val="24"/>
          <w:highlight w:val="none"/>
        </w:rPr>
        <w:sym w:font="Wingdings 2" w:char="0051"/>
      </w:r>
      <w:permEnd w:id="28"/>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w:t>
      </w:r>
    </w:p>
    <w:p w14:paraId="5BF2223F">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 w:edGrp="everyone"/>
      <w:r>
        <w:rPr>
          <w:rFonts w:hint="eastAsia" w:ascii="仿宋_GB2312" w:hAnsi="仿宋_GB2312" w:eastAsia="仿宋_GB2312" w:cs="仿宋_GB2312"/>
          <w:color w:val="auto"/>
          <w:sz w:val="24"/>
          <w:szCs w:val="24"/>
          <w:highlight w:val="none"/>
        </w:rPr>
        <w:sym w:font="Wingdings 2" w:char="0051"/>
      </w:r>
      <w:permEnd w:id="29"/>
      <w:r>
        <w:rPr>
          <w:rFonts w:hint="eastAsia" w:ascii="仿宋_GB2312" w:hAnsi="仿宋_GB2312" w:eastAsia="仿宋_GB2312" w:cs="仿宋_GB2312"/>
          <w:color w:val="auto"/>
          <w:kern w:val="0"/>
          <w:sz w:val="24"/>
          <w:szCs w:val="24"/>
          <w:highlight w:val="none"/>
        </w:rPr>
        <w:t>广州市建筑业绿色施工示范工程；</w:t>
      </w:r>
    </w:p>
    <w:p w14:paraId="726A7D60">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 w:edGrp="everyone"/>
      <w:r>
        <w:rPr>
          <w:rFonts w:hint="eastAsia" w:ascii="仿宋_GB2312" w:hAnsi="仿宋_GB2312" w:eastAsia="仿宋_GB2312" w:cs="仿宋_GB2312"/>
          <w:color w:val="auto"/>
          <w:sz w:val="24"/>
          <w:szCs w:val="24"/>
          <w:highlight w:val="none"/>
        </w:rPr>
        <w:sym w:font="Wingdings 2" w:char="0051"/>
      </w:r>
      <w:permEnd w:id="30"/>
      <w:r>
        <w:rPr>
          <w:rFonts w:hint="eastAsia" w:ascii="仿宋_GB2312" w:hAnsi="仿宋_GB2312" w:eastAsia="仿宋_GB2312" w:cs="仿宋_GB2312"/>
          <w:color w:val="auto"/>
          <w:kern w:val="0"/>
          <w:sz w:val="24"/>
          <w:szCs w:val="24"/>
          <w:highlight w:val="none"/>
        </w:rPr>
        <w:t>广东省建筑业绿色施工示范工程；</w:t>
      </w:r>
    </w:p>
    <w:p w14:paraId="050E8A2B">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 w:edGrp="everyone"/>
      <w:r>
        <w:rPr>
          <w:rFonts w:hint="eastAsia" w:ascii="仿宋_GB2312" w:hAnsi="仿宋_GB2312" w:eastAsia="仿宋_GB2312" w:cs="仿宋_GB2312"/>
          <w:color w:val="auto"/>
          <w:sz w:val="24"/>
          <w:szCs w:val="24"/>
          <w:highlight w:val="none"/>
        </w:rPr>
        <w:sym w:font="Wingdings 2" w:char="0051"/>
      </w:r>
      <w:permEnd w:id="31"/>
      <w:r>
        <w:rPr>
          <w:rFonts w:hint="eastAsia" w:ascii="仿宋_GB2312" w:hAnsi="仿宋_GB2312" w:eastAsia="仿宋_GB2312" w:cs="仿宋_GB2312"/>
          <w:color w:val="auto"/>
          <w:kern w:val="0"/>
          <w:sz w:val="24"/>
          <w:szCs w:val="24"/>
          <w:highlight w:val="none"/>
        </w:rPr>
        <w:t>全国建筑业绿色施工示范工程；</w:t>
      </w:r>
    </w:p>
    <w:p w14:paraId="5EE5C91A">
      <w:pPr>
        <w:spacing w:line="420" w:lineRule="exact"/>
        <w:ind w:firstLine="480" w:firstLineChars="200"/>
        <w:rPr>
          <w:rFonts w:hint="default" w:ascii="仿宋_GB2312" w:hAnsi="仿宋_GB2312" w:eastAsia="仿宋_GB2312" w:cs="仿宋_GB2312"/>
          <w:color w:val="auto"/>
          <w:kern w:val="0"/>
          <w:sz w:val="24"/>
          <w:szCs w:val="24"/>
          <w:highlight w:val="none"/>
          <w:lang w:val="en-US" w:eastAsia="zh-CN"/>
        </w:rPr>
      </w:pPr>
      <w:permStart w:id="32" w:edGrp="everyone"/>
      <w:r>
        <w:rPr>
          <w:rFonts w:hint="eastAsia" w:ascii="仿宋_GB2312" w:hAnsi="仿宋_GB2312" w:eastAsia="仿宋_GB2312" w:cs="仿宋_GB2312"/>
          <w:color w:val="auto"/>
          <w:sz w:val="24"/>
          <w:szCs w:val="24"/>
          <w:highlight w:val="none"/>
        </w:rPr>
        <w:sym w:font="Wingdings 2" w:char="0051"/>
      </w:r>
      <w:permEnd w:id="32"/>
      <w:r>
        <w:rPr>
          <w:rFonts w:hint="eastAsia" w:ascii="仿宋_GB2312" w:hAnsi="仿宋_GB2312" w:eastAsia="仿宋_GB2312" w:cs="仿宋_GB2312"/>
          <w:color w:val="auto"/>
          <w:kern w:val="0"/>
          <w:sz w:val="24"/>
          <w:szCs w:val="24"/>
          <w:highlight w:val="none"/>
        </w:rPr>
        <w:t>其它</w:t>
      </w:r>
      <w:permStart w:id="33" w:edGrp="everyone"/>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lang w:val="en-US" w:eastAsia="zh-CN"/>
        </w:rPr>
        <w:t xml:space="preserve">   </w:t>
      </w:r>
    </w:p>
    <w:permEnd w:id="33"/>
    <w:p w14:paraId="59D1BF35">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4.4以上所涉规范、标准、规定若在合同履行期间发生变更的，以合同履行期间有效适用的规定为准。若承包人投标时承诺的质量标准目标优于招标文件要求的，应按承包人投标时承诺的质量标准执行。</w:t>
      </w:r>
    </w:p>
    <w:p w14:paraId="171D2394">
      <w:pPr>
        <w:spacing w:line="420" w:lineRule="exact"/>
        <w:jc w:val="left"/>
        <w:outlineLvl w:val="1"/>
        <w:rPr>
          <w:rFonts w:hint="eastAsia" w:ascii="仿宋_GB2312" w:hAnsi="仿宋_GB2312" w:eastAsia="仿宋_GB2312" w:cs="仿宋_GB2312"/>
          <w:b/>
          <w:bCs/>
          <w:color w:val="auto"/>
          <w:sz w:val="24"/>
          <w:szCs w:val="24"/>
          <w:highlight w:val="none"/>
        </w:rPr>
      </w:pPr>
      <w:bookmarkStart w:id="361" w:name="_Toc469383972"/>
      <w:bookmarkStart w:id="362" w:name="_Toc266892756"/>
      <w:bookmarkStart w:id="363" w:name="_Toc10624812"/>
    </w:p>
    <w:p w14:paraId="4DD4F7F8">
      <w:pPr>
        <w:spacing w:line="420" w:lineRule="exact"/>
        <w:jc w:val="lef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五、合同价款</w:t>
      </w:r>
      <w:bookmarkEnd w:id="361"/>
      <w:bookmarkEnd w:id="362"/>
      <w:bookmarkEnd w:id="363"/>
    </w:p>
    <w:p w14:paraId="6CA76580">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5.1含税合同总价（大写）：</w:t>
      </w:r>
      <w:permStart w:id="34" w:edGrp="everyone"/>
      <w:r>
        <w:rPr>
          <w:rFonts w:hint="eastAsia" w:ascii="仿宋_GB2312" w:hAnsi="仿宋_GB2312" w:eastAsia="仿宋_GB2312" w:cs="仿宋_GB2312"/>
          <w:color w:val="auto"/>
          <w:sz w:val="24"/>
          <w:szCs w:val="24"/>
          <w:highlight w:val="none"/>
          <w:u w:val="single"/>
        </w:rPr>
        <w:t xml:space="preserve">               </w:t>
      </w:r>
      <w:permEnd w:id="34"/>
      <w:r>
        <w:rPr>
          <w:rFonts w:hint="eastAsia" w:ascii="仿宋_GB2312" w:hAnsi="仿宋_GB2312" w:eastAsia="仿宋_GB2312" w:cs="仿宋_GB2312"/>
          <w:color w:val="auto"/>
          <w:sz w:val="24"/>
          <w:szCs w:val="24"/>
          <w:highlight w:val="none"/>
        </w:rPr>
        <w:t>；</w:t>
      </w:r>
    </w:p>
    <w:p w14:paraId="35F3BB51">
      <w:pPr>
        <w:spacing w:line="420" w:lineRule="exact"/>
        <w:ind w:firstLine="2440" w:firstLineChars="1017"/>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w:t>
      </w:r>
      <w:permStart w:id="35" w:edGrp="everyone"/>
      <w:r>
        <w:rPr>
          <w:rFonts w:hint="eastAsia" w:ascii="仿宋_GB2312" w:hAnsi="仿宋_GB2312" w:eastAsia="仿宋_GB2312" w:cs="仿宋_GB2312"/>
          <w:color w:val="auto"/>
          <w:sz w:val="24"/>
          <w:szCs w:val="24"/>
          <w:highlight w:val="none"/>
          <w:u w:val="single"/>
        </w:rPr>
        <w:t xml:space="preserve">          </w:t>
      </w:r>
      <w:permEnd w:id="35"/>
      <w:r>
        <w:rPr>
          <w:rFonts w:hint="eastAsia" w:ascii="仿宋_GB2312" w:hAnsi="仿宋_GB2312" w:eastAsia="仿宋_GB2312" w:cs="仿宋_GB2312"/>
          <w:color w:val="auto"/>
          <w:sz w:val="24"/>
          <w:szCs w:val="24"/>
          <w:highlight w:val="none"/>
        </w:rPr>
        <w:t>元。</w:t>
      </w:r>
    </w:p>
    <w:p w14:paraId="5DF5DDA9">
      <w:pPr>
        <w:autoSpaceDE w:val="0"/>
        <w:autoSpaceDN w:val="0"/>
        <w:adjustRightInd w:val="0"/>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其中：暂列金额</w:t>
      </w:r>
      <w:r>
        <w:rPr>
          <w:rFonts w:hint="eastAsia" w:ascii="仿宋_GB2312" w:hAnsi="仿宋_GB2312" w:eastAsia="仿宋_GB2312" w:cs="仿宋_GB2312"/>
          <w:color w:val="auto"/>
          <w:sz w:val="24"/>
          <w:szCs w:val="24"/>
          <w:highlight w:val="none"/>
        </w:rPr>
        <w:t>（大写）：</w:t>
      </w:r>
      <w:permStart w:id="3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36"/>
      <w:r>
        <w:rPr>
          <w:rFonts w:hint="eastAsia" w:ascii="仿宋_GB2312" w:hAnsi="仿宋_GB2312" w:eastAsia="仿宋_GB2312" w:cs="仿宋_GB2312"/>
          <w:color w:val="auto"/>
          <w:kern w:val="0"/>
          <w:sz w:val="24"/>
          <w:szCs w:val="24"/>
          <w:highlight w:val="none"/>
        </w:rPr>
        <w:t>；</w:t>
      </w:r>
    </w:p>
    <w:p w14:paraId="336A94E1">
      <w:pPr>
        <w:autoSpaceDE w:val="0"/>
        <w:autoSpaceDN w:val="0"/>
        <w:adjustRightInd w:val="0"/>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37" w:edGrp="everyone"/>
      <w:r>
        <w:rPr>
          <w:rFonts w:hint="eastAsia" w:ascii="仿宋_GB2312" w:hAnsi="仿宋_GB2312" w:eastAsia="仿宋_GB2312" w:cs="仿宋_GB2312"/>
          <w:color w:val="auto"/>
          <w:kern w:val="0"/>
          <w:sz w:val="24"/>
          <w:szCs w:val="24"/>
          <w:highlight w:val="none"/>
          <w:u w:val="single"/>
        </w:rPr>
        <w:t xml:space="preserve">          </w:t>
      </w:r>
      <w:permEnd w:id="37"/>
      <w:r>
        <w:rPr>
          <w:rFonts w:hint="eastAsia" w:ascii="仿宋_GB2312" w:hAnsi="仿宋_GB2312" w:eastAsia="仿宋_GB2312" w:cs="仿宋_GB2312"/>
          <w:color w:val="auto"/>
          <w:kern w:val="0"/>
          <w:sz w:val="24"/>
          <w:szCs w:val="24"/>
          <w:highlight w:val="none"/>
        </w:rPr>
        <w:t>元。</w:t>
      </w:r>
    </w:p>
    <w:p w14:paraId="6FC55BC5">
      <w:pPr>
        <w:spacing w:line="420" w:lineRule="exact"/>
        <w:ind w:firstLine="960" w:firstLineChars="4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按系数计算的绿色施工安全防护措施费用</w:t>
      </w:r>
      <w:r>
        <w:rPr>
          <w:rFonts w:hint="eastAsia" w:ascii="仿宋_GB2312" w:hAnsi="仿宋_GB2312" w:eastAsia="仿宋_GB2312" w:cs="仿宋_GB2312"/>
          <w:color w:val="auto"/>
          <w:sz w:val="24"/>
          <w:szCs w:val="24"/>
          <w:highlight w:val="none"/>
        </w:rPr>
        <w:t>（大写）：</w:t>
      </w:r>
      <w:permStart w:id="38" w:edGrp="everyone"/>
      <w:r>
        <w:rPr>
          <w:rFonts w:hint="eastAsia" w:ascii="仿宋_GB2312" w:hAnsi="仿宋_GB2312" w:eastAsia="仿宋_GB2312" w:cs="仿宋_GB2312"/>
          <w:color w:val="auto"/>
          <w:kern w:val="0"/>
          <w:sz w:val="24"/>
          <w:szCs w:val="24"/>
          <w:highlight w:val="none"/>
          <w:u w:val="single"/>
        </w:rPr>
        <w:t xml:space="preserve">              </w:t>
      </w:r>
      <w:permEnd w:id="38"/>
      <w:r>
        <w:rPr>
          <w:rFonts w:hint="eastAsia" w:ascii="仿宋_GB2312" w:hAnsi="仿宋_GB2312" w:eastAsia="仿宋_GB2312" w:cs="仿宋_GB2312"/>
          <w:color w:val="auto"/>
          <w:kern w:val="0"/>
          <w:sz w:val="24"/>
          <w:szCs w:val="24"/>
          <w:highlight w:val="none"/>
        </w:rPr>
        <w:t>；</w:t>
      </w:r>
    </w:p>
    <w:p w14:paraId="01CAFE45">
      <w:pPr>
        <w:spacing w:line="420" w:lineRule="exact"/>
        <w:ind w:firstLine="5280" w:firstLineChars="2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39" w:edGrp="everyone"/>
      <w:r>
        <w:rPr>
          <w:rFonts w:hint="eastAsia" w:ascii="仿宋_GB2312" w:hAnsi="仿宋_GB2312" w:eastAsia="仿宋_GB2312" w:cs="仿宋_GB2312"/>
          <w:color w:val="auto"/>
          <w:kern w:val="0"/>
          <w:sz w:val="24"/>
          <w:szCs w:val="24"/>
          <w:highlight w:val="none"/>
          <w:u w:val="single"/>
        </w:rPr>
        <w:t xml:space="preserve">          </w:t>
      </w:r>
      <w:permEnd w:id="39"/>
      <w:r>
        <w:rPr>
          <w:rFonts w:hint="eastAsia" w:ascii="仿宋_GB2312" w:hAnsi="仿宋_GB2312" w:eastAsia="仿宋_GB2312" w:cs="仿宋_GB2312"/>
          <w:color w:val="auto"/>
          <w:kern w:val="0"/>
          <w:sz w:val="24"/>
          <w:szCs w:val="24"/>
          <w:highlight w:val="none"/>
        </w:rPr>
        <w:t>元。</w:t>
      </w:r>
    </w:p>
    <w:p w14:paraId="2CAAE98D">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专业工程暂估价（大写）：</w:t>
      </w:r>
      <w:permStart w:id="40" w:edGrp="everyone"/>
      <w:r>
        <w:rPr>
          <w:rFonts w:hint="eastAsia" w:ascii="仿宋_GB2312" w:hAnsi="仿宋_GB2312" w:eastAsia="仿宋_GB2312" w:cs="仿宋_GB2312"/>
          <w:color w:val="auto"/>
          <w:kern w:val="0"/>
          <w:sz w:val="24"/>
          <w:szCs w:val="24"/>
          <w:highlight w:val="none"/>
          <w:u w:val="single"/>
        </w:rPr>
        <w:t xml:space="preserve">                   </w:t>
      </w:r>
      <w:permEnd w:id="40"/>
      <w:r>
        <w:rPr>
          <w:rFonts w:hint="eastAsia" w:ascii="仿宋_GB2312" w:hAnsi="仿宋_GB2312" w:eastAsia="仿宋_GB2312" w:cs="仿宋_GB2312"/>
          <w:color w:val="auto"/>
          <w:kern w:val="0"/>
          <w:sz w:val="24"/>
          <w:szCs w:val="24"/>
          <w:highlight w:val="none"/>
        </w:rPr>
        <w:t>；</w:t>
      </w:r>
    </w:p>
    <w:p w14:paraId="08F1A293">
      <w:pPr>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41"/>
      <w:r>
        <w:rPr>
          <w:rFonts w:hint="eastAsia" w:ascii="仿宋_GB2312" w:hAnsi="仿宋_GB2312" w:eastAsia="仿宋_GB2312" w:cs="仿宋_GB2312"/>
          <w:color w:val="auto"/>
          <w:kern w:val="0"/>
          <w:sz w:val="24"/>
          <w:szCs w:val="24"/>
          <w:highlight w:val="none"/>
        </w:rPr>
        <w:t>元；</w:t>
      </w:r>
    </w:p>
    <w:p w14:paraId="5C39BF5C">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耗水费（大写）：</w:t>
      </w:r>
      <w:permStart w:id="42" w:edGrp="everyone"/>
      <w:r>
        <w:rPr>
          <w:rFonts w:hint="eastAsia" w:ascii="仿宋_GB2312" w:hAnsi="仿宋_GB2312" w:eastAsia="仿宋_GB2312" w:cs="仿宋_GB2312"/>
          <w:color w:val="auto"/>
          <w:kern w:val="0"/>
          <w:sz w:val="24"/>
          <w:szCs w:val="24"/>
          <w:highlight w:val="none"/>
          <w:u w:val="single"/>
        </w:rPr>
        <w:t xml:space="preserve">                 </w:t>
      </w:r>
      <w:permEnd w:id="42"/>
      <w:r>
        <w:rPr>
          <w:rFonts w:hint="eastAsia" w:ascii="仿宋_GB2312" w:hAnsi="仿宋_GB2312" w:eastAsia="仿宋_GB2312" w:cs="仿宋_GB2312"/>
          <w:color w:val="auto"/>
          <w:kern w:val="0"/>
          <w:sz w:val="24"/>
          <w:szCs w:val="24"/>
          <w:highlight w:val="none"/>
        </w:rPr>
        <w:t>；</w:t>
      </w:r>
    </w:p>
    <w:p w14:paraId="4A691AC2">
      <w:pPr>
        <w:spacing w:line="420" w:lineRule="exact"/>
        <w:ind w:firstLine="1680" w:firstLineChars="7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43"/>
      <w:r>
        <w:rPr>
          <w:rFonts w:hint="eastAsia" w:ascii="仿宋_GB2312" w:hAnsi="仿宋_GB2312" w:eastAsia="仿宋_GB2312" w:cs="仿宋_GB2312"/>
          <w:color w:val="auto"/>
          <w:kern w:val="0"/>
          <w:sz w:val="24"/>
          <w:szCs w:val="24"/>
          <w:highlight w:val="none"/>
        </w:rPr>
        <w:t>元；</w:t>
      </w:r>
    </w:p>
    <w:p w14:paraId="5C51AF77">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建筑垃圾消纳费（大写）：</w:t>
      </w:r>
      <w:permStart w:id="44" w:edGrp="everyone"/>
      <w:r>
        <w:rPr>
          <w:rFonts w:hint="eastAsia" w:ascii="仿宋_GB2312" w:hAnsi="仿宋_GB2312" w:eastAsia="仿宋_GB2312" w:cs="仿宋_GB2312"/>
          <w:color w:val="auto"/>
          <w:kern w:val="0"/>
          <w:sz w:val="24"/>
          <w:szCs w:val="24"/>
          <w:highlight w:val="none"/>
          <w:u w:val="single"/>
        </w:rPr>
        <w:t xml:space="preserve">                 </w:t>
      </w:r>
      <w:permEnd w:id="44"/>
      <w:r>
        <w:rPr>
          <w:rFonts w:hint="eastAsia" w:ascii="仿宋_GB2312" w:hAnsi="仿宋_GB2312" w:eastAsia="仿宋_GB2312" w:cs="仿宋_GB2312"/>
          <w:color w:val="auto"/>
          <w:kern w:val="0"/>
          <w:sz w:val="24"/>
          <w:szCs w:val="24"/>
          <w:highlight w:val="none"/>
        </w:rPr>
        <w:t>；</w:t>
      </w:r>
    </w:p>
    <w:p w14:paraId="32400F89">
      <w:pPr>
        <w:spacing w:line="420" w:lineRule="exact"/>
        <w:ind w:firstLine="2640" w:firstLineChars="1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5" w:edGrp="everyone"/>
      <w:r>
        <w:rPr>
          <w:rFonts w:hint="eastAsia" w:ascii="仿宋_GB2312" w:hAnsi="仿宋_GB2312" w:eastAsia="仿宋_GB2312" w:cs="仿宋_GB2312"/>
          <w:color w:val="auto"/>
          <w:kern w:val="0"/>
          <w:sz w:val="24"/>
          <w:szCs w:val="24"/>
          <w:highlight w:val="none"/>
          <w:u w:val="single"/>
        </w:rPr>
        <w:t xml:space="preserve">             </w:t>
      </w:r>
      <w:permEnd w:id="45"/>
      <w:r>
        <w:rPr>
          <w:rFonts w:hint="eastAsia" w:ascii="仿宋_GB2312" w:hAnsi="仿宋_GB2312" w:eastAsia="仿宋_GB2312" w:cs="仿宋_GB2312"/>
          <w:color w:val="auto"/>
          <w:kern w:val="0"/>
          <w:sz w:val="24"/>
          <w:szCs w:val="24"/>
          <w:highlight w:val="none"/>
        </w:rPr>
        <w:t>元；</w:t>
      </w:r>
    </w:p>
    <w:p w14:paraId="5DEC07D1">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发包人供应材料运输费（大写）：</w:t>
      </w:r>
      <w:permStart w:id="4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46"/>
      <w:r>
        <w:rPr>
          <w:rFonts w:hint="eastAsia" w:ascii="仿宋_GB2312" w:hAnsi="仿宋_GB2312" w:eastAsia="仿宋_GB2312" w:cs="仿宋_GB2312"/>
          <w:color w:val="auto"/>
          <w:kern w:val="0"/>
          <w:sz w:val="24"/>
          <w:szCs w:val="24"/>
          <w:highlight w:val="none"/>
        </w:rPr>
        <w:t>；</w:t>
      </w:r>
    </w:p>
    <w:p w14:paraId="3C433ABA">
      <w:pPr>
        <w:spacing w:line="420" w:lineRule="exact"/>
        <w:ind w:firstLine="3360" w:firstLineChars="1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47"/>
      <w:r>
        <w:rPr>
          <w:rFonts w:hint="eastAsia" w:ascii="仿宋_GB2312" w:hAnsi="仿宋_GB2312" w:eastAsia="仿宋_GB2312" w:cs="仿宋_GB2312"/>
          <w:color w:val="auto"/>
          <w:kern w:val="0"/>
          <w:sz w:val="24"/>
          <w:szCs w:val="24"/>
          <w:highlight w:val="none"/>
        </w:rPr>
        <w:t>元；</w:t>
      </w:r>
    </w:p>
    <w:p w14:paraId="53639E4D">
      <w:pPr>
        <w:spacing w:line="420" w:lineRule="exact"/>
        <w:ind w:firstLine="960" w:firstLineChars="4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人工费（大写）：</w:t>
      </w:r>
      <w:permStart w:id="48" w:edGrp="everyone"/>
      <w:r>
        <w:rPr>
          <w:rFonts w:hint="eastAsia" w:ascii="仿宋_GB2312" w:hAnsi="仿宋_GB2312" w:eastAsia="仿宋_GB2312" w:cs="仿宋_GB2312"/>
          <w:color w:val="auto"/>
          <w:kern w:val="0"/>
          <w:sz w:val="24"/>
          <w:szCs w:val="24"/>
          <w:highlight w:val="none"/>
          <w:u w:val="single"/>
        </w:rPr>
        <w:t xml:space="preserve">                         </w:t>
      </w:r>
      <w:permEnd w:id="48"/>
      <w:r>
        <w:rPr>
          <w:rFonts w:hint="eastAsia" w:ascii="仿宋_GB2312" w:hAnsi="仿宋_GB2312" w:eastAsia="仿宋_GB2312" w:cs="仿宋_GB2312"/>
          <w:color w:val="auto"/>
          <w:kern w:val="0"/>
          <w:sz w:val="24"/>
          <w:szCs w:val="24"/>
          <w:highlight w:val="none"/>
        </w:rPr>
        <w:t>；</w:t>
      </w:r>
    </w:p>
    <w:p w14:paraId="074CD83A">
      <w:pPr>
        <w:spacing w:line="420" w:lineRule="exact"/>
        <w:ind w:firstLine="1680" w:firstLineChars="7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（小写）：</w:t>
      </w:r>
      <w:r>
        <w:rPr>
          <w:rFonts w:hint="eastAsia" w:ascii="仿宋_GB2312" w:hAnsi="仿宋_GB2312" w:eastAsia="仿宋_GB2312" w:cs="仿宋_GB2312"/>
          <w:color w:val="auto"/>
          <w:sz w:val="24"/>
          <w:szCs w:val="24"/>
          <w:highlight w:val="none"/>
          <w:u w:val="single"/>
        </w:rPr>
        <w:t>￥</w:t>
      </w:r>
      <w:permStart w:id="49" w:edGrp="everyone"/>
      <w:r>
        <w:rPr>
          <w:rFonts w:hint="eastAsia" w:ascii="仿宋_GB2312" w:hAnsi="仿宋_GB2312" w:eastAsia="仿宋_GB2312" w:cs="仿宋_GB2312"/>
          <w:color w:val="auto"/>
          <w:kern w:val="0"/>
          <w:sz w:val="24"/>
          <w:szCs w:val="24"/>
          <w:highlight w:val="none"/>
          <w:u w:val="single"/>
        </w:rPr>
        <w:t xml:space="preserve">                     </w:t>
      </w:r>
      <w:permEnd w:id="49"/>
      <w:r>
        <w:rPr>
          <w:rFonts w:hint="eastAsia" w:ascii="仿宋_GB2312" w:hAnsi="仿宋_GB2312" w:eastAsia="仿宋_GB2312" w:cs="仿宋_GB2312"/>
          <w:color w:val="auto"/>
          <w:kern w:val="0"/>
          <w:sz w:val="24"/>
          <w:szCs w:val="24"/>
          <w:highlight w:val="none"/>
        </w:rPr>
        <w:t>元；</w:t>
      </w:r>
    </w:p>
    <w:p w14:paraId="0730F744">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rPr>
        <w:t>5.2项目单价：详见承包人的投标报价书；</w:t>
      </w:r>
    </w:p>
    <w:p w14:paraId="134E921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5.3投标下浮率：</w:t>
      </w:r>
      <w:permStart w:id="50" w:edGrp="everyone"/>
      <w:r>
        <w:rPr>
          <w:rFonts w:hint="eastAsia" w:ascii="仿宋_GB2312" w:hAnsi="仿宋_GB2312" w:eastAsia="仿宋_GB2312" w:cs="仿宋_GB2312"/>
          <w:color w:val="auto"/>
          <w:kern w:val="0"/>
          <w:sz w:val="24"/>
          <w:szCs w:val="24"/>
          <w:highlight w:val="none"/>
          <w:u w:val="single"/>
        </w:rPr>
        <w:t xml:space="preserve">   </w:t>
      </w:r>
      <w:permEnd w:id="50"/>
      <w:r>
        <w:rPr>
          <w:rFonts w:hint="eastAsia" w:ascii="仿宋_GB2312" w:hAnsi="仿宋_GB2312" w:eastAsia="仿宋_GB2312" w:cs="仿宋_GB2312"/>
          <w:color w:val="auto"/>
          <w:kern w:val="0"/>
          <w:sz w:val="24"/>
          <w:szCs w:val="24"/>
          <w:highlight w:val="none"/>
        </w:rPr>
        <w:t>%，投标下浮率=1-投标报价（扣除包括但不限于绿色施工安全防护措施费、消纳费、暂列金、耗水费、发包人供应材料运输费、暂估价等非竞争性费用）/最高投标限价（扣除包括但不限于绿色施工安全防护措施费、消纳费、暂列金、耗水费、发包人供应材料运输费、暂估价等非竞争性费用），投标下浮率保留小数点后两位有效数字。</w:t>
      </w:r>
    </w:p>
    <w:p w14:paraId="2D72D44B">
      <w:pPr>
        <w:spacing w:line="420" w:lineRule="exact"/>
        <w:outlineLvl w:val="1"/>
        <w:rPr>
          <w:rFonts w:hint="eastAsia" w:ascii="仿宋_GB2312" w:hAnsi="仿宋_GB2312" w:eastAsia="仿宋_GB2312" w:cs="仿宋_GB2312"/>
          <w:b/>
          <w:bCs/>
          <w:color w:val="auto"/>
          <w:sz w:val="24"/>
          <w:szCs w:val="24"/>
          <w:highlight w:val="none"/>
        </w:rPr>
      </w:pPr>
    </w:p>
    <w:p w14:paraId="21E3D231">
      <w:pPr>
        <w:spacing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sz w:val="24"/>
          <w:szCs w:val="24"/>
          <w:highlight w:val="none"/>
        </w:rPr>
        <w:t>六、结算方式</w:t>
      </w:r>
    </w:p>
    <w:p w14:paraId="39D1095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6.1分部分项工程和单项措施项目综合单价包干，</w:t>
      </w:r>
      <w:permStart w:id="51" w:edGrp="everyone"/>
      <w:r>
        <w:rPr>
          <w:rFonts w:hint="eastAsia" w:ascii="仿宋_GB2312" w:hAnsi="仿宋_GB2312" w:eastAsia="仿宋_GB2312" w:cs="仿宋_GB2312"/>
          <w:color w:val="auto"/>
          <w:kern w:val="0"/>
          <w:sz w:val="24"/>
          <w:szCs w:val="24"/>
          <w:highlight w:val="none"/>
        </w:rPr>
        <w:t>☒</w:t>
      </w:r>
      <w:permEnd w:id="51"/>
      <w:r>
        <w:rPr>
          <w:rFonts w:hint="eastAsia" w:ascii="仿宋_GB2312" w:hAnsi="仿宋_GB2312" w:eastAsia="仿宋_GB2312" w:cs="仿宋_GB2312"/>
          <w:color w:val="auto"/>
          <w:kern w:val="0"/>
          <w:sz w:val="24"/>
          <w:szCs w:val="24"/>
          <w:highlight w:val="none"/>
        </w:rPr>
        <w:t>总价措施项目、预算包干费、总承包服务费、发包人供应材料保管费合价包干；</w:t>
      </w:r>
      <w:permStart w:id="52" w:edGrp="everyone"/>
      <w:r>
        <w:rPr>
          <w:rFonts w:hint="eastAsia" w:ascii="仿宋_GB2312" w:hAnsi="仿宋_GB2312" w:eastAsia="仿宋_GB2312" w:cs="仿宋_GB2312"/>
          <w:color w:val="auto"/>
          <w:kern w:val="0"/>
          <w:sz w:val="24"/>
          <w:szCs w:val="24"/>
          <w:highlight w:val="none"/>
        </w:rPr>
        <w:sym w:font="Wingdings" w:char="00FE"/>
      </w:r>
      <w:permEnd w:id="52"/>
      <w:r>
        <w:rPr>
          <w:rFonts w:hint="eastAsia" w:ascii="仿宋_GB2312" w:hAnsi="仿宋_GB2312" w:eastAsia="仿宋_GB2312" w:cs="仿宋_GB2312"/>
          <w:color w:val="auto"/>
          <w:kern w:val="0"/>
          <w:sz w:val="24"/>
          <w:szCs w:val="24"/>
          <w:highlight w:val="none"/>
        </w:rPr>
        <w:t>按系数计算的绿色施工安全防护措施费按实结算，其他总价措施项目、预算包干费、总承包服务费、发包人供应材料保管费合价包干；</w:t>
      </w:r>
      <w:permStart w:id="53" w:edGrp="everyone"/>
      <w:r>
        <w:rPr>
          <w:rFonts w:hint="eastAsia" w:ascii="仿宋_GB2312" w:hAnsi="仿宋_GB2312" w:eastAsia="仿宋_GB2312" w:cs="仿宋_GB2312"/>
          <w:color w:val="auto"/>
          <w:kern w:val="0"/>
          <w:sz w:val="24"/>
          <w:szCs w:val="24"/>
          <w:highlight w:val="none"/>
        </w:rPr>
        <w:t>☒</w:t>
      </w:r>
      <w:permEnd w:id="53"/>
      <w:r>
        <w:rPr>
          <w:rFonts w:hint="eastAsia" w:ascii="仿宋_GB2312" w:hAnsi="仿宋_GB2312" w:eastAsia="仿宋_GB2312" w:cs="仿宋_GB2312"/>
          <w:color w:val="auto"/>
          <w:kern w:val="0"/>
          <w:sz w:val="24"/>
          <w:szCs w:val="24"/>
          <w:highlight w:val="none"/>
        </w:rPr>
        <w:t>装修、修缮工程：若实际采用材料品牌档次高于附件十五材料表中“投标单位拟使用品牌”的，按中标单价结算；若实际采用材料品牌档次低于附件十五材料表中“投标单位拟使用品牌”的，结算综合单价=中标综合单价-（</w:t>
      </w:r>
      <w:r>
        <w:rPr>
          <w:rFonts w:hint="eastAsia" w:ascii="仿宋_GB2312" w:hAnsi="仿宋_GB2312" w:eastAsia="仿宋_GB2312" w:cs="仿宋_GB2312"/>
          <w:color w:val="auto"/>
          <w:kern w:val="0"/>
          <w:sz w:val="24"/>
          <w:szCs w:val="24"/>
          <w:highlight w:val="none"/>
          <w:lang w:val="en-US" w:eastAsia="zh-CN"/>
        </w:rPr>
        <w:t>最高投标限价</w:t>
      </w:r>
      <w:r>
        <w:rPr>
          <w:rFonts w:hint="eastAsia" w:ascii="仿宋_GB2312" w:hAnsi="仿宋_GB2312" w:eastAsia="仿宋_GB2312" w:cs="仿宋_GB2312"/>
          <w:color w:val="auto"/>
          <w:kern w:val="0"/>
          <w:sz w:val="24"/>
          <w:szCs w:val="24"/>
          <w:highlight w:val="none"/>
        </w:rPr>
        <w:t>中对应综合单价的主材费单价-实际采用材料市场价）。</w:t>
      </w:r>
    </w:p>
    <w:p w14:paraId="37A46FCE">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6.2 总价措施项目：</w:t>
      </w:r>
      <w:permStart w:id="54" w:edGrp="everyone"/>
      <w:r>
        <w:rPr>
          <w:rFonts w:hint="eastAsia" w:ascii="仿宋_GB2312" w:hAnsi="仿宋_GB2312" w:eastAsia="仿宋_GB2312" w:cs="仿宋_GB2312"/>
          <w:color w:val="auto"/>
          <w:kern w:val="0"/>
          <w:sz w:val="24"/>
          <w:szCs w:val="24"/>
          <w:highlight w:val="none"/>
        </w:rPr>
        <w:t>☒</w:t>
      </w:r>
      <w:permEnd w:id="54"/>
      <w:r>
        <w:rPr>
          <w:rFonts w:hint="eastAsia" w:ascii="仿宋_GB2312" w:hAnsi="仿宋_GB2312" w:eastAsia="仿宋_GB2312" w:cs="仿宋_GB2312"/>
          <w:color w:val="auto"/>
          <w:kern w:val="0"/>
          <w:sz w:val="24"/>
          <w:szCs w:val="24"/>
          <w:highlight w:val="none"/>
        </w:rPr>
        <w:t>按系数计算的绿色施工安全防护措施费；</w:t>
      </w:r>
      <w:permStart w:id="55" w:edGrp="everyone"/>
      <w:r>
        <w:rPr>
          <w:rFonts w:hint="eastAsia" w:ascii="仿宋_GB2312" w:hAnsi="仿宋_GB2312" w:eastAsia="仿宋_GB2312" w:cs="仿宋_GB2312"/>
          <w:color w:val="auto"/>
          <w:kern w:val="0"/>
          <w:sz w:val="24"/>
          <w:szCs w:val="24"/>
          <w:highlight w:val="none"/>
        </w:rPr>
        <w:t>☒</w:t>
      </w:r>
      <w:permEnd w:id="55"/>
      <w:r>
        <w:rPr>
          <w:rFonts w:hint="eastAsia" w:ascii="仿宋_GB2312" w:hAnsi="仿宋_GB2312" w:eastAsia="仿宋_GB2312" w:cs="仿宋_GB2312"/>
          <w:color w:val="auto"/>
          <w:kern w:val="0"/>
          <w:sz w:val="24"/>
          <w:szCs w:val="24"/>
          <w:highlight w:val="none"/>
        </w:rPr>
        <w:t>地下管线交叉降效费；</w:t>
      </w:r>
      <w:permStart w:id="56" w:edGrp="everyone"/>
      <w:r>
        <w:rPr>
          <w:rFonts w:hint="eastAsia" w:ascii="仿宋_GB2312" w:hAnsi="仿宋_GB2312" w:eastAsia="仿宋_GB2312" w:cs="仿宋_GB2312"/>
          <w:color w:val="auto"/>
          <w:kern w:val="0"/>
          <w:sz w:val="24"/>
          <w:szCs w:val="24"/>
          <w:highlight w:val="none"/>
        </w:rPr>
        <w:t>☒</w:t>
      </w:r>
      <w:permEnd w:id="56"/>
      <w:r>
        <w:rPr>
          <w:rFonts w:hint="eastAsia" w:ascii="仿宋_GB2312" w:hAnsi="仿宋_GB2312" w:eastAsia="仿宋_GB2312" w:cs="仿宋_GB2312"/>
          <w:color w:val="auto"/>
          <w:kern w:val="0"/>
          <w:sz w:val="24"/>
          <w:szCs w:val="24"/>
          <w:highlight w:val="none"/>
        </w:rPr>
        <w:t>夜间施工增加费；</w:t>
      </w:r>
      <w:permStart w:id="57" w:edGrp="everyone"/>
      <w:r>
        <w:rPr>
          <w:rFonts w:hint="eastAsia" w:ascii="仿宋_GB2312" w:hAnsi="仿宋_GB2312" w:eastAsia="仿宋_GB2312" w:cs="仿宋_GB2312"/>
          <w:color w:val="auto"/>
          <w:kern w:val="0"/>
          <w:sz w:val="24"/>
          <w:szCs w:val="24"/>
          <w:highlight w:val="none"/>
        </w:rPr>
        <w:t>☒</w:t>
      </w:r>
      <w:permEnd w:id="57"/>
      <w:r>
        <w:rPr>
          <w:rFonts w:hint="eastAsia" w:ascii="仿宋_GB2312" w:hAnsi="仿宋_GB2312" w:eastAsia="仿宋_GB2312" w:cs="仿宋_GB2312"/>
          <w:color w:val="auto"/>
          <w:kern w:val="0"/>
          <w:sz w:val="24"/>
          <w:szCs w:val="24"/>
          <w:highlight w:val="none"/>
        </w:rPr>
        <w:t>排水、降水；</w:t>
      </w:r>
      <w:permStart w:id="58" w:edGrp="everyone"/>
      <w:r>
        <w:rPr>
          <w:rFonts w:hint="eastAsia" w:ascii="仿宋_GB2312" w:hAnsi="仿宋_GB2312" w:eastAsia="仿宋_GB2312" w:cs="仿宋_GB2312"/>
          <w:color w:val="auto"/>
          <w:kern w:val="0"/>
          <w:sz w:val="24"/>
          <w:szCs w:val="24"/>
          <w:highlight w:val="none"/>
        </w:rPr>
        <w:t>☒</w:t>
      </w:r>
      <w:permEnd w:id="58"/>
      <w:r>
        <w:rPr>
          <w:rFonts w:hint="eastAsia" w:ascii="仿宋_GB2312" w:hAnsi="仿宋_GB2312" w:eastAsia="仿宋_GB2312" w:cs="仿宋_GB2312"/>
          <w:color w:val="auto"/>
          <w:kern w:val="0"/>
          <w:sz w:val="24"/>
          <w:szCs w:val="24"/>
          <w:highlight w:val="none"/>
        </w:rPr>
        <w:t>设备材料二次运输费；</w:t>
      </w:r>
      <w:permStart w:id="59" w:edGrp="everyone"/>
      <w:r>
        <w:rPr>
          <w:rFonts w:hint="eastAsia" w:ascii="仿宋_GB2312" w:hAnsi="仿宋_GB2312" w:eastAsia="仿宋_GB2312" w:cs="仿宋_GB2312"/>
          <w:color w:val="auto"/>
          <w:kern w:val="0"/>
          <w:sz w:val="24"/>
          <w:szCs w:val="24"/>
          <w:highlight w:val="none"/>
        </w:rPr>
        <w:t>☒</w:t>
      </w:r>
      <w:permEnd w:id="59"/>
      <w:r>
        <w:rPr>
          <w:rFonts w:hint="eastAsia" w:ascii="仿宋_GB2312" w:hAnsi="仿宋_GB2312" w:eastAsia="仿宋_GB2312" w:cs="仿宋_GB2312"/>
          <w:color w:val="auto"/>
          <w:kern w:val="0"/>
          <w:sz w:val="24"/>
          <w:szCs w:val="24"/>
          <w:highlight w:val="none"/>
        </w:rPr>
        <w:t>拆除废料的垂直运输；</w:t>
      </w:r>
      <w:permStart w:id="60" w:edGrp="everyone"/>
      <w:r>
        <w:rPr>
          <w:rFonts w:hint="eastAsia" w:ascii="仿宋_GB2312" w:hAnsi="仿宋_GB2312" w:eastAsia="仿宋_GB2312" w:cs="仿宋_GB2312"/>
          <w:color w:val="auto"/>
          <w:kern w:val="0"/>
          <w:sz w:val="24"/>
          <w:szCs w:val="24"/>
          <w:highlight w:val="none"/>
        </w:rPr>
        <w:t>☒</w:t>
      </w:r>
      <w:permEnd w:id="60"/>
      <w:r>
        <w:rPr>
          <w:rFonts w:hint="eastAsia" w:ascii="仿宋_GB2312" w:hAnsi="仿宋_GB2312" w:eastAsia="仿宋_GB2312" w:cs="仿宋_GB2312"/>
          <w:color w:val="auto"/>
          <w:kern w:val="0"/>
          <w:sz w:val="24"/>
          <w:szCs w:val="24"/>
          <w:highlight w:val="none"/>
        </w:rPr>
        <w:t>单独装饰装修工程垂直运输；</w:t>
      </w:r>
      <w:permStart w:id="61" w:edGrp="everyone"/>
      <w:r>
        <w:rPr>
          <w:rFonts w:hint="eastAsia" w:ascii="仿宋_GB2312" w:hAnsi="仿宋_GB2312" w:eastAsia="仿宋_GB2312" w:cs="仿宋_GB2312"/>
          <w:color w:val="auto"/>
          <w:kern w:val="0"/>
          <w:sz w:val="24"/>
          <w:szCs w:val="24"/>
          <w:highlight w:val="none"/>
        </w:rPr>
        <w:t>☒</w:t>
      </w:r>
      <w:permEnd w:id="61"/>
      <w:r>
        <w:rPr>
          <w:rFonts w:hint="eastAsia" w:ascii="仿宋_GB2312" w:hAnsi="仿宋_GB2312" w:eastAsia="仿宋_GB2312" w:cs="仿宋_GB2312"/>
          <w:color w:val="auto"/>
          <w:kern w:val="0"/>
          <w:sz w:val="24"/>
          <w:szCs w:val="24"/>
          <w:highlight w:val="none"/>
        </w:rPr>
        <w:t>已完工程及设备保护；</w:t>
      </w:r>
      <w:permStart w:id="62" w:edGrp="everyone"/>
      <w:r>
        <w:rPr>
          <w:rFonts w:hint="eastAsia" w:ascii="仿宋_GB2312" w:hAnsi="仿宋_GB2312" w:eastAsia="仿宋_GB2312" w:cs="仿宋_GB2312"/>
          <w:color w:val="auto"/>
          <w:kern w:val="0"/>
          <w:sz w:val="24"/>
          <w:szCs w:val="24"/>
          <w:highlight w:val="none"/>
        </w:rPr>
        <w:sym w:font="Wingdings" w:char="00FE"/>
      </w:r>
      <w:permEnd w:id="62"/>
      <w:r>
        <w:rPr>
          <w:rFonts w:hint="eastAsia" w:ascii="仿宋_GB2312" w:hAnsi="仿宋_GB2312" w:eastAsia="仿宋_GB2312" w:cs="仿宋_GB2312"/>
          <w:color w:val="auto"/>
          <w:kern w:val="0"/>
          <w:sz w:val="24"/>
          <w:szCs w:val="24"/>
          <w:highlight w:val="none"/>
        </w:rPr>
        <w:t>其他费用（如有）；</w:t>
      </w:r>
      <w:permStart w:id="63" w:edGrp="everyone"/>
      <w:r>
        <w:rPr>
          <w:rFonts w:hint="eastAsia" w:ascii="仿宋_GB2312" w:hAnsi="仿宋_GB2312" w:eastAsia="仿宋_GB2312" w:cs="仿宋_GB2312"/>
          <w:color w:val="auto"/>
          <w:kern w:val="0"/>
          <w:sz w:val="24"/>
          <w:szCs w:val="24"/>
          <w:highlight w:val="none"/>
        </w:rPr>
        <w:t>☒</w:t>
      </w:r>
      <w:permEnd w:id="63"/>
      <w:r>
        <w:rPr>
          <w:rFonts w:hint="eastAsia" w:ascii="仿宋_GB2312" w:hAnsi="仿宋_GB2312" w:eastAsia="仿宋_GB2312" w:cs="仿宋_GB2312"/>
          <w:color w:val="auto"/>
          <w:kern w:val="0"/>
          <w:sz w:val="24"/>
          <w:szCs w:val="24"/>
          <w:highlight w:val="none"/>
        </w:rPr>
        <w:t>二次搬运（管廊）；</w:t>
      </w:r>
      <w:permStart w:id="64" w:edGrp="everyone"/>
      <w:r>
        <w:rPr>
          <w:rFonts w:hint="eastAsia" w:ascii="仿宋_GB2312" w:hAnsi="仿宋_GB2312" w:eastAsia="仿宋_GB2312" w:cs="仿宋_GB2312"/>
          <w:color w:val="auto"/>
          <w:kern w:val="0"/>
          <w:sz w:val="24"/>
          <w:szCs w:val="24"/>
          <w:highlight w:val="none"/>
        </w:rPr>
        <w:t>☒</w:t>
      </w:r>
      <w:permEnd w:id="64"/>
      <w:r>
        <w:rPr>
          <w:rFonts w:hint="eastAsia" w:ascii="仿宋_GB2312" w:hAnsi="仿宋_GB2312" w:eastAsia="仿宋_GB2312" w:cs="仿宋_GB2312"/>
          <w:color w:val="auto"/>
          <w:kern w:val="0"/>
          <w:sz w:val="24"/>
          <w:szCs w:val="24"/>
          <w:highlight w:val="none"/>
        </w:rPr>
        <w:t>垂直运输（管廊）；</w:t>
      </w:r>
      <w:permStart w:id="65" w:edGrp="everyone"/>
      <w:r>
        <w:rPr>
          <w:rFonts w:hint="eastAsia" w:ascii="仿宋_GB2312" w:hAnsi="仿宋_GB2312" w:eastAsia="仿宋_GB2312" w:cs="仿宋_GB2312"/>
          <w:color w:val="auto"/>
          <w:kern w:val="0"/>
          <w:sz w:val="24"/>
          <w:szCs w:val="24"/>
          <w:highlight w:val="none"/>
        </w:rPr>
        <w:t>☒</w:t>
      </w:r>
      <w:permEnd w:id="65"/>
      <w:r>
        <w:rPr>
          <w:rFonts w:hint="eastAsia" w:ascii="仿宋_GB2312" w:hAnsi="仿宋_GB2312" w:eastAsia="仿宋_GB2312" w:cs="仿宋_GB2312"/>
          <w:color w:val="auto"/>
          <w:kern w:val="0"/>
          <w:sz w:val="24"/>
          <w:szCs w:val="24"/>
          <w:highlight w:val="none"/>
        </w:rPr>
        <w:t>盾构段钢结构工作平台（管廊）</w:t>
      </w:r>
      <w:r>
        <w:rPr>
          <w:rFonts w:hint="eastAsia" w:ascii="仿宋_GB2312" w:hAnsi="仿宋_GB2312" w:eastAsia="仿宋_GB2312" w:cs="仿宋_GB2312"/>
          <w:color w:val="auto"/>
          <w:kern w:val="0"/>
          <w:sz w:val="24"/>
          <w:szCs w:val="24"/>
          <w:highlight w:val="none"/>
        </w:rPr>
        <w:t>；☒人工降效（管廊）；☒通风（管廊）。</w:t>
      </w:r>
    </w:p>
    <w:p w14:paraId="4111493D">
      <w:pPr>
        <w:spacing w:line="420" w:lineRule="exact"/>
        <w:ind w:left="900" w:leftChars="200" w:hanging="480" w:hanging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6.3耗水费结算时凭计算依据及有效增值税普通发票按实支付。</w:t>
      </w:r>
    </w:p>
    <w:p w14:paraId="20F0C850">
      <w:pPr>
        <w:spacing w:line="420" w:lineRule="exact"/>
        <w:ind w:left="900" w:leftChars="200" w:hanging="480" w:hanging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6.4建筑垃圾消纳费以现场签证资料、消纳合同及有效的发票按实进行结算。</w:t>
      </w:r>
    </w:p>
    <w:p w14:paraId="5C5F4FC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6.5若中标的综合单价高于</w:t>
      </w:r>
      <w:r>
        <w:rPr>
          <w:rFonts w:hint="eastAsia" w:ascii="仿宋_GB2312" w:hAnsi="仿宋_GB2312" w:eastAsia="仿宋_GB2312" w:cs="仿宋_GB2312"/>
          <w:color w:val="auto"/>
          <w:kern w:val="0"/>
          <w:sz w:val="24"/>
          <w:szCs w:val="24"/>
          <w:highlight w:val="none"/>
          <w:lang w:val="en-US" w:eastAsia="zh-CN"/>
        </w:rPr>
        <w:t>最高投标限价</w:t>
      </w:r>
      <w:r>
        <w:rPr>
          <w:rFonts w:hint="eastAsia" w:ascii="仿宋_GB2312" w:hAnsi="仿宋_GB2312" w:eastAsia="仿宋_GB2312" w:cs="仿宋_GB2312"/>
          <w:color w:val="auto"/>
          <w:kern w:val="0"/>
          <w:sz w:val="24"/>
          <w:szCs w:val="24"/>
          <w:highlight w:val="none"/>
        </w:rPr>
        <w:t>报告中对应</w:t>
      </w:r>
      <w:r>
        <w:rPr>
          <w:rFonts w:hint="eastAsia" w:ascii="仿宋_GB2312" w:hAnsi="仿宋_GB2312" w:eastAsia="仿宋_GB2312" w:cs="仿宋_GB2312"/>
          <w:color w:val="auto"/>
          <w:kern w:val="0"/>
          <w:sz w:val="24"/>
          <w:szCs w:val="24"/>
          <w:highlight w:val="none"/>
          <w:lang w:val="en-US" w:eastAsia="zh-CN"/>
        </w:rPr>
        <w:t>清单子目</w:t>
      </w:r>
      <w:r>
        <w:rPr>
          <w:rFonts w:hint="eastAsia" w:ascii="仿宋_GB2312" w:hAnsi="仿宋_GB2312" w:eastAsia="仿宋_GB2312" w:cs="仿宋_GB2312"/>
          <w:color w:val="auto"/>
          <w:kern w:val="0"/>
          <w:sz w:val="24"/>
          <w:szCs w:val="24"/>
          <w:highlight w:val="none"/>
        </w:rPr>
        <w:t>的综合单价，发包人有权在结算阶段调整该中标综合单价，调整方式为：结算综合单价＝</w:t>
      </w:r>
      <w:r>
        <w:rPr>
          <w:rFonts w:hint="eastAsia" w:ascii="仿宋_GB2312" w:hAnsi="仿宋_GB2312" w:eastAsia="仿宋_GB2312" w:cs="仿宋_GB2312"/>
          <w:color w:val="auto"/>
          <w:kern w:val="0"/>
          <w:sz w:val="24"/>
          <w:szCs w:val="24"/>
          <w:highlight w:val="none"/>
          <w:lang w:val="en-US" w:eastAsia="zh-CN"/>
        </w:rPr>
        <w:t>最高投标限价</w:t>
      </w:r>
      <w:r>
        <w:rPr>
          <w:rFonts w:hint="eastAsia" w:ascii="仿宋_GB2312" w:hAnsi="仿宋_GB2312" w:eastAsia="仿宋_GB2312" w:cs="仿宋_GB2312"/>
          <w:color w:val="auto"/>
          <w:kern w:val="0"/>
          <w:sz w:val="24"/>
          <w:szCs w:val="24"/>
          <w:highlight w:val="none"/>
        </w:rPr>
        <w:t>对应</w:t>
      </w:r>
      <w:r>
        <w:rPr>
          <w:rFonts w:hint="eastAsia" w:ascii="仿宋_GB2312" w:hAnsi="仿宋_GB2312" w:eastAsia="仿宋_GB2312" w:cs="仿宋_GB2312"/>
          <w:color w:val="auto"/>
          <w:kern w:val="0"/>
          <w:sz w:val="24"/>
          <w:szCs w:val="24"/>
          <w:highlight w:val="none"/>
          <w:lang w:val="en-US" w:eastAsia="zh-CN"/>
        </w:rPr>
        <w:t>清单子目</w:t>
      </w:r>
      <w:r>
        <w:rPr>
          <w:rFonts w:hint="eastAsia" w:ascii="仿宋_GB2312" w:hAnsi="仿宋_GB2312" w:eastAsia="仿宋_GB2312" w:cs="仿宋_GB2312"/>
          <w:color w:val="auto"/>
          <w:kern w:val="0"/>
          <w:sz w:val="24"/>
          <w:szCs w:val="24"/>
          <w:highlight w:val="none"/>
        </w:rPr>
        <w:t>的综合单价×（1-投标下浮率），并按调整后的综合单价</w:t>
      </w:r>
      <w:r>
        <w:rPr>
          <w:rFonts w:hint="eastAsia" w:ascii="仿宋_GB2312" w:hAnsi="仿宋_GB2312" w:eastAsia="仿宋_GB2312" w:cs="仿宋_GB2312"/>
          <w:color w:val="auto"/>
          <w:kern w:val="0"/>
          <w:sz w:val="24"/>
          <w:szCs w:val="24"/>
          <w:highlight w:val="none"/>
          <w:lang w:val="en-US" w:eastAsia="zh-CN"/>
        </w:rPr>
        <w:t>作为</w:t>
      </w:r>
      <w:r>
        <w:rPr>
          <w:rFonts w:hint="eastAsia" w:ascii="仿宋_GB2312" w:hAnsi="仿宋_GB2312" w:eastAsia="仿宋_GB2312" w:cs="仿宋_GB2312"/>
          <w:color w:val="auto"/>
          <w:kern w:val="0"/>
          <w:sz w:val="24"/>
          <w:szCs w:val="24"/>
          <w:highlight w:val="none"/>
          <w:lang w:val="en-US" w:eastAsia="zh-CN"/>
        </w:rPr>
        <w:t>结算综合单价</w:t>
      </w:r>
      <w:r>
        <w:rPr>
          <w:rFonts w:hint="eastAsia" w:ascii="仿宋_GB2312" w:hAnsi="仿宋_GB2312" w:eastAsia="仿宋_GB2312" w:cs="仿宋_GB2312"/>
          <w:color w:val="auto"/>
          <w:kern w:val="0"/>
          <w:sz w:val="24"/>
          <w:szCs w:val="24"/>
          <w:highlight w:val="none"/>
        </w:rPr>
        <w:t>。</w:t>
      </w:r>
    </w:p>
    <w:p w14:paraId="7CD5765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6.6各单项工程中相同的清单子目，中标的</w:t>
      </w:r>
      <w:r>
        <w:rPr>
          <w:rFonts w:hint="eastAsia" w:ascii="仿宋_GB2312" w:hAnsi="仿宋_GB2312" w:eastAsia="仿宋_GB2312" w:cs="仿宋_GB2312"/>
          <w:color w:val="auto"/>
          <w:kern w:val="0"/>
          <w:sz w:val="24"/>
          <w:szCs w:val="24"/>
          <w:highlight w:val="none"/>
          <w:lang w:val="en-US" w:eastAsia="zh-CN"/>
        </w:rPr>
        <w:t>投标</w:t>
      </w:r>
      <w:r>
        <w:rPr>
          <w:rFonts w:hint="eastAsia" w:ascii="仿宋_GB2312" w:hAnsi="仿宋_GB2312" w:eastAsia="仿宋_GB2312" w:cs="仿宋_GB2312"/>
          <w:color w:val="auto"/>
          <w:kern w:val="0"/>
          <w:sz w:val="24"/>
          <w:szCs w:val="24"/>
          <w:highlight w:val="none"/>
        </w:rPr>
        <w:t>单价必须一致，若不一致，发包人有权在结算阶段按就低不就高的原则调整，调整方式为:结算综合单价</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最高限价对应清单子目综合单价x(1-投标下浮率)与中标的综合单价对比低值并按调整后的综合单价作为结算综合单价。</w:t>
      </w:r>
    </w:p>
    <w:p w14:paraId="2768D48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 xml:space="preserve">6.7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lang w:val="en-US" w:eastAsia="zh-CN"/>
        </w:rPr>
        <w:t>结算时，若试压消毒冲洗临时管安拆单独计价，发包人有权调整相关清单的中标综合单价，包括但不限于“管道试压”子目，剔除:(1)钢板(2)石棉橡胶板(3)六角螺栓(4)低碳钢焊条(5)氧气(6)乙炔气(7)镀锌钢管(8)法兰截止阀(9)碳钢平焊法兰(10)水(11)试压泵中的”安拆费“(12)直流弧焊机(13)电焊条烘干箱。</w:t>
      </w:r>
    </w:p>
    <w:p w14:paraId="31141DC8">
      <w:pPr>
        <w:spacing w:line="420" w:lineRule="exact"/>
        <w:ind w:left="0" w:leftChars="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rPr>
        <w:t>本工程采用</w:t>
      </w:r>
      <w:permStart w:id="66" w:edGrp="everyone"/>
      <w:r>
        <w:rPr>
          <w:rFonts w:hint="eastAsia" w:ascii="仿宋_GB2312" w:hAnsi="仿宋_GB2312" w:eastAsia="仿宋_GB2312" w:cs="仿宋_GB2312"/>
          <w:color w:val="auto"/>
          <w:kern w:val="0"/>
          <w:sz w:val="24"/>
          <w:szCs w:val="24"/>
          <w:highlight w:val="none"/>
        </w:rPr>
        <w:sym w:font="Wingdings 2" w:char="0052"/>
      </w:r>
      <w:permEnd w:id="66"/>
      <w:r>
        <w:rPr>
          <w:rFonts w:hint="eastAsia" w:ascii="仿宋_GB2312" w:hAnsi="仿宋_GB2312" w:eastAsia="仿宋_GB2312" w:cs="仿宋_GB2312"/>
          <w:color w:val="auto"/>
          <w:kern w:val="0"/>
          <w:sz w:val="24"/>
          <w:szCs w:val="24"/>
          <w:highlight w:val="none"/>
        </w:rPr>
        <w:t>一般计税；</w:t>
      </w:r>
      <w:permStart w:id="67" w:edGrp="everyone"/>
      <w:r>
        <w:rPr>
          <w:rFonts w:hint="eastAsia" w:ascii="仿宋_GB2312" w:hAnsi="仿宋_GB2312" w:eastAsia="仿宋_GB2312" w:cs="仿宋_GB2312"/>
          <w:color w:val="auto"/>
          <w:kern w:val="0"/>
          <w:sz w:val="24"/>
          <w:szCs w:val="24"/>
          <w:highlight w:val="none"/>
        </w:rPr>
        <w:t>☒</w:t>
      </w:r>
      <w:permEnd w:id="67"/>
      <w:r>
        <w:rPr>
          <w:rFonts w:hint="eastAsia" w:ascii="仿宋_GB2312" w:hAnsi="仿宋_GB2312" w:eastAsia="仿宋_GB2312" w:cs="仿宋_GB2312"/>
          <w:color w:val="auto"/>
          <w:kern w:val="0"/>
          <w:sz w:val="24"/>
          <w:szCs w:val="24"/>
          <w:highlight w:val="none"/>
        </w:rPr>
        <w:t>简易计税</w:t>
      </w:r>
    </w:p>
    <w:p w14:paraId="604D5266">
      <w:pPr>
        <w:widowControl w:val="0"/>
        <w:adjustRightInd w:val="0"/>
        <w:spacing w:line="420" w:lineRule="exact"/>
        <w:ind w:firstLine="0"/>
        <w:jc w:val="both"/>
        <w:textAlignment w:val="baseline"/>
        <w:rPr>
          <w:rFonts w:hint="eastAsia" w:ascii="仿宋_GB2312" w:hAnsi="仿宋_GB2312" w:eastAsia="仿宋_GB2312" w:cs="仿宋_GB2312"/>
          <w:b/>
          <w:bCs/>
          <w:color w:val="auto"/>
          <w:kern w:val="2"/>
          <w:sz w:val="24"/>
          <w:szCs w:val="24"/>
          <w:highlight w:val="none"/>
          <w:lang w:val="en-US" w:eastAsia="zh-CN" w:bidi="ar-SA"/>
        </w:rPr>
      </w:pPr>
    </w:p>
    <w:p w14:paraId="1010978A">
      <w:pPr>
        <w:widowControl w:val="0"/>
        <w:adjustRightInd w:val="0"/>
        <w:spacing w:line="420" w:lineRule="exact"/>
        <w:ind w:firstLine="0"/>
        <w:jc w:val="both"/>
        <w:textAlignment w:val="baseline"/>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七、承包人代表（项目经理）及其他主要管理人员</w:t>
      </w:r>
    </w:p>
    <w:p w14:paraId="22852E8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承包人代表（项目经理）：姓名：</w:t>
      </w:r>
      <w:permStart w:id="68" w:edGrp="everyone"/>
      <w:r>
        <w:rPr>
          <w:rFonts w:hint="eastAsia" w:ascii="仿宋_GB2312" w:hAnsi="仿宋_GB2312" w:eastAsia="仿宋_GB2312" w:cs="仿宋_GB2312"/>
          <w:color w:val="auto"/>
          <w:sz w:val="24"/>
          <w:szCs w:val="24"/>
          <w:highlight w:val="none"/>
          <w:u w:val="single"/>
        </w:rPr>
        <w:t xml:space="preserve">           </w:t>
      </w:r>
      <w:permEnd w:id="68"/>
      <w:r>
        <w:rPr>
          <w:rFonts w:hint="eastAsia" w:ascii="仿宋_GB2312" w:hAnsi="仿宋_GB2312" w:eastAsia="仿宋_GB2312" w:cs="仿宋_GB2312"/>
          <w:color w:val="auto"/>
          <w:sz w:val="24"/>
          <w:szCs w:val="24"/>
          <w:highlight w:val="none"/>
        </w:rPr>
        <w:t>；职称：</w:t>
      </w:r>
      <w:permStart w:id="69" w:edGrp="everyone"/>
      <w:r>
        <w:rPr>
          <w:rFonts w:hint="eastAsia" w:ascii="仿宋_GB2312" w:hAnsi="仿宋_GB2312" w:eastAsia="仿宋_GB2312" w:cs="仿宋_GB2312"/>
          <w:color w:val="auto"/>
          <w:sz w:val="24"/>
          <w:szCs w:val="24"/>
          <w:highlight w:val="none"/>
          <w:u w:val="single"/>
        </w:rPr>
        <w:t xml:space="preserve">          </w:t>
      </w:r>
      <w:permEnd w:id="69"/>
      <w:r>
        <w:rPr>
          <w:rFonts w:hint="eastAsia" w:ascii="仿宋_GB2312" w:hAnsi="仿宋_GB2312" w:eastAsia="仿宋_GB2312" w:cs="仿宋_GB2312"/>
          <w:color w:val="auto"/>
          <w:sz w:val="24"/>
          <w:szCs w:val="24"/>
          <w:highlight w:val="none"/>
        </w:rPr>
        <w:t>；身份证号：</w:t>
      </w:r>
      <w:permStart w:id="70" w:edGrp="everyone"/>
      <w:r>
        <w:rPr>
          <w:rFonts w:hint="eastAsia" w:ascii="仿宋_GB2312" w:hAnsi="仿宋_GB2312" w:eastAsia="仿宋_GB2312" w:cs="仿宋_GB2312"/>
          <w:color w:val="auto"/>
          <w:sz w:val="24"/>
          <w:szCs w:val="24"/>
          <w:highlight w:val="none"/>
          <w:u w:val="single"/>
        </w:rPr>
        <w:t xml:space="preserve">                 </w:t>
      </w:r>
      <w:permEnd w:id="70"/>
      <w:r>
        <w:rPr>
          <w:rFonts w:hint="eastAsia" w:ascii="仿宋_GB2312" w:hAnsi="仿宋_GB2312" w:eastAsia="仿宋_GB2312" w:cs="仿宋_GB2312"/>
          <w:color w:val="auto"/>
          <w:sz w:val="24"/>
          <w:szCs w:val="24"/>
          <w:highlight w:val="none"/>
        </w:rPr>
        <w:t>；建造师执业资格证书号：</w:t>
      </w:r>
      <w:permStart w:id="71" w:edGrp="everyone"/>
      <w:r>
        <w:rPr>
          <w:rFonts w:hint="eastAsia" w:ascii="仿宋_GB2312" w:hAnsi="仿宋_GB2312" w:eastAsia="仿宋_GB2312" w:cs="仿宋_GB2312"/>
          <w:color w:val="auto"/>
          <w:sz w:val="24"/>
          <w:szCs w:val="24"/>
          <w:highlight w:val="none"/>
          <w:u w:val="single"/>
        </w:rPr>
        <w:t xml:space="preserve">              </w:t>
      </w:r>
      <w:permEnd w:id="71"/>
      <w:r>
        <w:rPr>
          <w:rFonts w:hint="eastAsia" w:ascii="仿宋_GB2312" w:hAnsi="仿宋_GB2312" w:eastAsia="仿宋_GB2312" w:cs="仿宋_GB2312"/>
          <w:color w:val="auto"/>
          <w:sz w:val="24"/>
          <w:szCs w:val="24"/>
          <w:highlight w:val="none"/>
        </w:rPr>
        <w:t>；建造师注册证书号：</w:t>
      </w:r>
      <w:permStart w:id="72" w:edGrp="everyone"/>
      <w:r>
        <w:rPr>
          <w:rFonts w:hint="eastAsia" w:ascii="仿宋_GB2312" w:hAnsi="仿宋_GB2312" w:eastAsia="仿宋_GB2312" w:cs="仿宋_GB2312"/>
          <w:color w:val="auto"/>
          <w:sz w:val="24"/>
          <w:szCs w:val="24"/>
          <w:highlight w:val="none"/>
          <w:u w:val="single"/>
        </w:rPr>
        <w:t xml:space="preserve">              </w:t>
      </w:r>
      <w:permEnd w:id="72"/>
      <w:r>
        <w:rPr>
          <w:rFonts w:hint="eastAsia" w:ascii="仿宋_GB2312" w:hAnsi="仿宋_GB2312" w:eastAsia="仿宋_GB2312" w:cs="仿宋_GB2312"/>
          <w:color w:val="auto"/>
          <w:sz w:val="24"/>
          <w:szCs w:val="24"/>
          <w:highlight w:val="none"/>
        </w:rPr>
        <w:t>；建造师执业印章号：</w:t>
      </w:r>
      <w:permStart w:id="73" w:edGrp="everyone"/>
      <w:r>
        <w:rPr>
          <w:rFonts w:hint="eastAsia" w:ascii="仿宋_GB2312" w:hAnsi="仿宋_GB2312" w:eastAsia="仿宋_GB2312" w:cs="仿宋_GB2312"/>
          <w:color w:val="auto"/>
          <w:sz w:val="24"/>
          <w:szCs w:val="24"/>
          <w:highlight w:val="none"/>
          <w:u w:val="single"/>
        </w:rPr>
        <w:t xml:space="preserve">            </w:t>
      </w:r>
      <w:permEnd w:id="73"/>
      <w:r>
        <w:rPr>
          <w:rFonts w:hint="eastAsia" w:ascii="仿宋_GB2312" w:hAnsi="仿宋_GB2312" w:eastAsia="仿宋_GB2312" w:cs="仿宋_GB2312"/>
          <w:color w:val="auto"/>
          <w:sz w:val="24"/>
          <w:szCs w:val="24"/>
          <w:highlight w:val="none"/>
        </w:rPr>
        <w:t>；安全生产考核合格证书号：</w:t>
      </w:r>
      <w:permStart w:id="74" w:edGrp="everyone"/>
      <w:r>
        <w:rPr>
          <w:rFonts w:hint="eastAsia" w:ascii="仿宋_GB2312" w:hAnsi="仿宋_GB2312" w:eastAsia="仿宋_GB2312" w:cs="仿宋_GB2312"/>
          <w:color w:val="auto"/>
          <w:sz w:val="24"/>
          <w:szCs w:val="24"/>
          <w:highlight w:val="none"/>
          <w:u w:val="single"/>
        </w:rPr>
        <w:t xml:space="preserve">                </w:t>
      </w:r>
      <w:permEnd w:id="74"/>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建造师</w:t>
      </w:r>
      <w:r>
        <w:rPr>
          <w:rFonts w:hint="eastAsia" w:ascii="仿宋_GB2312" w:hAnsi="仿宋_GB2312" w:eastAsia="仿宋_GB2312" w:cs="仿宋_GB2312"/>
          <w:color w:val="auto"/>
          <w:sz w:val="24"/>
          <w:szCs w:val="24"/>
          <w:highlight w:val="none"/>
        </w:rPr>
        <w:t>等级：</w:t>
      </w:r>
      <w:permStart w:id="75" w:edGrp="everyone"/>
      <w:r>
        <w:rPr>
          <w:rFonts w:hint="eastAsia" w:ascii="仿宋_GB2312" w:hAnsi="仿宋_GB2312" w:eastAsia="仿宋_GB2312" w:cs="仿宋_GB2312"/>
          <w:color w:val="auto"/>
          <w:sz w:val="24"/>
          <w:szCs w:val="24"/>
          <w:highlight w:val="none"/>
          <w:u w:val="single"/>
        </w:rPr>
        <w:t xml:space="preserve">           </w:t>
      </w:r>
      <w:permEnd w:id="75"/>
      <w:r>
        <w:rPr>
          <w:rFonts w:hint="eastAsia" w:ascii="仿宋_GB2312" w:hAnsi="仿宋_GB2312" w:eastAsia="仿宋_GB2312" w:cs="仿宋_GB2312"/>
          <w:color w:val="auto"/>
          <w:sz w:val="24"/>
          <w:szCs w:val="24"/>
          <w:highlight w:val="none"/>
        </w:rPr>
        <w:t>；建造师专业：</w:t>
      </w:r>
      <w:permStart w:id="76" w:edGrp="everyone"/>
      <w:r>
        <w:rPr>
          <w:rFonts w:hint="eastAsia" w:ascii="仿宋_GB2312" w:hAnsi="仿宋_GB2312" w:eastAsia="仿宋_GB2312" w:cs="仿宋_GB2312"/>
          <w:color w:val="auto"/>
          <w:sz w:val="24"/>
          <w:szCs w:val="24"/>
          <w:highlight w:val="none"/>
          <w:u w:val="single"/>
        </w:rPr>
        <w:t xml:space="preserve">                   </w:t>
      </w:r>
      <w:permEnd w:id="76"/>
      <w:r>
        <w:rPr>
          <w:rFonts w:hint="eastAsia" w:ascii="仿宋_GB2312" w:hAnsi="仿宋_GB2312" w:eastAsia="仿宋_GB2312" w:cs="仿宋_GB2312"/>
          <w:color w:val="auto"/>
          <w:sz w:val="24"/>
          <w:szCs w:val="24"/>
          <w:highlight w:val="none"/>
        </w:rPr>
        <w:t>。</w:t>
      </w:r>
    </w:p>
    <w:p w14:paraId="2DEEAA6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 承包人项目技术负责人：姓名：</w:t>
      </w:r>
      <w:permStart w:id="77" w:edGrp="everyone"/>
      <w:r>
        <w:rPr>
          <w:rFonts w:hint="eastAsia" w:ascii="仿宋_GB2312" w:hAnsi="仿宋_GB2312" w:eastAsia="仿宋_GB2312" w:cs="仿宋_GB2312"/>
          <w:color w:val="auto"/>
          <w:sz w:val="24"/>
          <w:szCs w:val="24"/>
          <w:highlight w:val="none"/>
          <w:u w:val="single"/>
        </w:rPr>
        <w:t xml:space="preserve">          </w:t>
      </w:r>
      <w:permEnd w:id="77"/>
      <w:r>
        <w:rPr>
          <w:rFonts w:hint="eastAsia" w:ascii="仿宋_GB2312" w:hAnsi="仿宋_GB2312" w:eastAsia="仿宋_GB2312" w:cs="仿宋_GB2312"/>
          <w:color w:val="auto"/>
          <w:sz w:val="24"/>
          <w:szCs w:val="24"/>
          <w:highlight w:val="none"/>
        </w:rPr>
        <w:t>；职称：</w:t>
      </w:r>
      <w:permStart w:id="78" w:edGrp="everyone"/>
      <w:r>
        <w:rPr>
          <w:rFonts w:hint="eastAsia" w:ascii="仿宋_GB2312" w:hAnsi="仿宋_GB2312" w:eastAsia="仿宋_GB2312" w:cs="仿宋_GB2312"/>
          <w:color w:val="auto"/>
          <w:sz w:val="24"/>
          <w:szCs w:val="24"/>
          <w:highlight w:val="none"/>
          <w:u w:val="single"/>
        </w:rPr>
        <w:t xml:space="preserve">          </w:t>
      </w:r>
      <w:permEnd w:id="78"/>
      <w:r>
        <w:rPr>
          <w:rFonts w:hint="eastAsia" w:ascii="仿宋_GB2312" w:hAnsi="仿宋_GB2312" w:eastAsia="仿宋_GB2312" w:cs="仿宋_GB2312"/>
          <w:color w:val="auto"/>
          <w:sz w:val="24"/>
          <w:szCs w:val="24"/>
          <w:highlight w:val="none"/>
        </w:rPr>
        <w:t>；身份证号：</w:t>
      </w:r>
      <w:permStart w:id="79" w:edGrp="everyone"/>
      <w:r>
        <w:rPr>
          <w:rFonts w:hint="eastAsia" w:ascii="仿宋_GB2312" w:hAnsi="仿宋_GB2312" w:eastAsia="仿宋_GB2312" w:cs="仿宋_GB2312"/>
          <w:color w:val="auto"/>
          <w:sz w:val="24"/>
          <w:szCs w:val="24"/>
          <w:highlight w:val="none"/>
          <w:u w:val="single"/>
        </w:rPr>
        <w:t xml:space="preserve">                 </w:t>
      </w:r>
      <w:permEnd w:id="79"/>
      <w:r>
        <w:rPr>
          <w:rFonts w:hint="eastAsia" w:ascii="仿宋_GB2312" w:hAnsi="仿宋_GB2312" w:eastAsia="仿宋_GB2312" w:cs="仿宋_GB2312"/>
          <w:color w:val="auto"/>
          <w:sz w:val="24"/>
          <w:szCs w:val="24"/>
          <w:highlight w:val="none"/>
        </w:rPr>
        <w:t>；建造师执业资格证书号：</w:t>
      </w:r>
      <w:permStart w:id="80" w:edGrp="everyone"/>
      <w:r>
        <w:rPr>
          <w:rFonts w:hint="eastAsia" w:ascii="仿宋_GB2312" w:hAnsi="仿宋_GB2312" w:eastAsia="仿宋_GB2312" w:cs="仿宋_GB2312"/>
          <w:color w:val="auto"/>
          <w:sz w:val="24"/>
          <w:szCs w:val="24"/>
          <w:highlight w:val="none"/>
          <w:u w:val="single"/>
        </w:rPr>
        <w:t xml:space="preserve">              </w:t>
      </w:r>
      <w:permEnd w:id="80"/>
      <w:r>
        <w:rPr>
          <w:rFonts w:hint="eastAsia" w:ascii="仿宋_GB2312" w:hAnsi="仿宋_GB2312" w:eastAsia="仿宋_GB2312" w:cs="仿宋_GB2312"/>
          <w:color w:val="auto"/>
          <w:sz w:val="24"/>
          <w:szCs w:val="24"/>
          <w:highlight w:val="none"/>
        </w:rPr>
        <w:t>；建造师注册证书号：</w:t>
      </w:r>
      <w:permStart w:id="81" w:edGrp="everyone"/>
      <w:r>
        <w:rPr>
          <w:rFonts w:hint="eastAsia" w:ascii="仿宋_GB2312" w:hAnsi="仿宋_GB2312" w:eastAsia="仿宋_GB2312" w:cs="仿宋_GB2312"/>
          <w:color w:val="auto"/>
          <w:sz w:val="24"/>
          <w:szCs w:val="24"/>
          <w:highlight w:val="none"/>
          <w:u w:val="single"/>
        </w:rPr>
        <w:t xml:space="preserve">              </w:t>
      </w:r>
      <w:permEnd w:id="81"/>
      <w:r>
        <w:rPr>
          <w:rFonts w:hint="eastAsia" w:ascii="仿宋_GB2312" w:hAnsi="仿宋_GB2312" w:eastAsia="仿宋_GB2312" w:cs="仿宋_GB2312"/>
          <w:color w:val="auto"/>
          <w:sz w:val="24"/>
          <w:szCs w:val="24"/>
          <w:highlight w:val="none"/>
        </w:rPr>
        <w:t>；建造师执业印章号：</w:t>
      </w:r>
      <w:permStart w:id="82" w:edGrp="everyone"/>
      <w:r>
        <w:rPr>
          <w:rFonts w:hint="eastAsia" w:ascii="仿宋_GB2312" w:hAnsi="仿宋_GB2312" w:eastAsia="仿宋_GB2312" w:cs="仿宋_GB2312"/>
          <w:color w:val="auto"/>
          <w:sz w:val="24"/>
          <w:szCs w:val="24"/>
          <w:highlight w:val="none"/>
          <w:u w:val="single"/>
        </w:rPr>
        <w:t xml:space="preserve">            </w:t>
      </w:r>
      <w:permEnd w:id="82"/>
      <w:r>
        <w:rPr>
          <w:rFonts w:hint="eastAsia" w:ascii="仿宋_GB2312" w:hAnsi="仿宋_GB2312" w:eastAsia="仿宋_GB2312" w:cs="仿宋_GB2312"/>
          <w:color w:val="auto"/>
          <w:sz w:val="24"/>
          <w:szCs w:val="24"/>
          <w:highlight w:val="none"/>
        </w:rPr>
        <w:t>；安全生产考核合格证书号：</w:t>
      </w:r>
      <w:permStart w:id="83" w:edGrp="everyone"/>
      <w:r>
        <w:rPr>
          <w:rFonts w:hint="eastAsia" w:ascii="仿宋_GB2312" w:hAnsi="仿宋_GB2312" w:eastAsia="仿宋_GB2312" w:cs="仿宋_GB2312"/>
          <w:color w:val="auto"/>
          <w:sz w:val="24"/>
          <w:szCs w:val="24"/>
          <w:highlight w:val="none"/>
          <w:u w:val="single"/>
        </w:rPr>
        <w:t xml:space="preserve">                 </w:t>
      </w:r>
      <w:permEnd w:id="83"/>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建造师</w:t>
      </w:r>
      <w:r>
        <w:rPr>
          <w:rFonts w:hint="eastAsia" w:ascii="仿宋_GB2312" w:hAnsi="仿宋_GB2312" w:eastAsia="仿宋_GB2312" w:cs="仿宋_GB2312"/>
          <w:color w:val="auto"/>
          <w:sz w:val="24"/>
          <w:szCs w:val="24"/>
          <w:highlight w:val="none"/>
        </w:rPr>
        <w:t>等级：</w:t>
      </w:r>
      <w:permStart w:id="84" w:edGrp="everyone"/>
      <w:r>
        <w:rPr>
          <w:rFonts w:hint="eastAsia" w:ascii="仿宋_GB2312" w:hAnsi="仿宋_GB2312" w:eastAsia="仿宋_GB2312" w:cs="仿宋_GB2312"/>
          <w:color w:val="auto"/>
          <w:sz w:val="24"/>
          <w:szCs w:val="24"/>
          <w:highlight w:val="none"/>
          <w:u w:val="single"/>
        </w:rPr>
        <w:t xml:space="preserve">           </w:t>
      </w:r>
      <w:permEnd w:id="84"/>
      <w:r>
        <w:rPr>
          <w:rFonts w:hint="eastAsia" w:ascii="仿宋_GB2312" w:hAnsi="仿宋_GB2312" w:eastAsia="仿宋_GB2312" w:cs="仿宋_GB2312"/>
          <w:color w:val="auto"/>
          <w:sz w:val="24"/>
          <w:szCs w:val="24"/>
          <w:highlight w:val="none"/>
        </w:rPr>
        <w:t>；建造师专业：</w:t>
      </w:r>
      <w:permStart w:id="85" w:edGrp="everyone"/>
      <w:r>
        <w:rPr>
          <w:rFonts w:hint="eastAsia" w:ascii="仿宋_GB2312" w:hAnsi="仿宋_GB2312" w:eastAsia="仿宋_GB2312" w:cs="仿宋_GB2312"/>
          <w:color w:val="auto"/>
          <w:sz w:val="24"/>
          <w:szCs w:val="24"/>
          <w:highlight w:val="none"/>
          <w:u w:val="single"/>
        </w:rPr>
        <w:t xml:space="preserve">                 </w:t>
      </w:r>
      <w:permEnd w:id="85"/>
      <w:r>
        <w:rPr>
          <w:rFonts w:hint="eastAsia" w:ascii="仿宋_GB2312" w:hAnsi="仿宋_GB2312" w:eastAsia="仿宋_GB2312" w:cs="仿宋_GB2312"/>
          <w:color w:val="auto"/>
          <w:sz w:val="24"/>
          <w:szCs w:val="24"/>
          <w:highlight w:val="none"/>
        </w:rPr>
        <w:t>。</w:t>
      </w:r>
    </w:p>
    <w:p w14:paraId="4BDF4B5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7.3专职安全员：姓名：</w:t>
      </w:r>
      <w:permStart w:id="86" w:edGrp="everyone"/>
      <w:r>
        <w:rPr>
          <w:rFonts w:hint="eastAsia" w:ascii="仿宋_GB2312" w:hAnsi="仿宋_GB2312" w:eastAsia="仿宋_GB2312" w:cs="仿宋_GB2312"/>
          <w:color w:val="auto"/>
          <w:sz w:val="24"/>
          <w:szCs w:val="24"/>
          <w:highlight w:val="none"/>
          <w:u w:val="single"/>
        </w:rPr>
        <w:t xml:space="preserve">          </w:t>
      </w:r>
      <w:permEnd w:id="86"/>
      <w:r>
        <w:rPr>
          <w:rFonts w:hint="eastAsia" w:ascii="仿宋_GB2312" w:hAnsi="仿宋_GB2312" w:eastAsia="仿宋_GB2312" w:cs="仿宋_GB2312"/>
          <w:color w:val="auto"/>
          <w:sz w:val="24"/>
          <w:szCs w:val="24"/>
          <w:highlight w:val="none"/>
        </w:rPr>
        <w:t>；职称：</w:t>
      </w:r>
      <w:permStart w:id="87" w:edGrp="everyone"/>
      <w:r>
        <w:rPr>
          <w:rFonts w:hint="eastAsia" w:ascii="仿宋_GB2312" w:hAnsi="仿宋_GB2312" w:eastAsia="仿宋_GB2312" w:cs="仿宋_GB2312"/>
          <w:color w:val="auto"/>
          <w:sz w:val="24"/>
          <w:szCs w:val="24"/>
          <w:highlight w:val="none"/>
          <w:u w:val="single"/>
        </w:rPr>
        <w:t xml:space="preserve">         </w:t>
      </w:r>
      <w:permEnd w:id="87"/>
      <w:r>
        <w:rPr>
          <w:rFonts w:hint="eastAsia" w:ascii="仿宋_GB2312" w:hAnsi="仿宋_GB2312" w:eastAsia="仿宋_GB2312" w:cs="仿宋_GB2312"/>
          <w:color w:val="auto"/>
          <w:sz w:val="24"/>
          <w:szCs w:val="24"/>
          <w:highlight w:val="none"/>
        </w:rPr>
        <w:t>；身份证号：</w:t>
      </w:r>
      <w:permStart w:id="88" w:edGrp="everyone"/>
      <w:r>
        <w:rPr>
          <w:rFonts w:hint="eastAsia" w:ascii="仿宋_GB2312" w:hAnsi="仿宋_GB2312" w:eastAsia="仿宋_GB2312" w:cs="仿宋_GB2312"/>
          <w:color w:val="auto"/>
          <w:sz w:val="24"/>
          <w:szCs w:val="24"/>
          <w:highlight w:val="none"/>
          <w:u w:val="single"/>
        </w:rPr>
        <w:t xml:space="preserve">        </w:t>
      </w:r>
      <w:permEnd w:id="88"/>
      <w:r>
        <w:rPr>
          <w:rFonts w:hint="eastAsia" w:ascii="仿宋_GB2312" w:hAnsi="仿宋_GB2312" w:eastAsia="仿宋_GB2312" w:cs="仿宋_GB2312"/>
          <w:color w:val="auto"/>
          <w:sz w:val="24"/>
          <w:szCs w:val="24"/>
          <w:highlight w:val="none"/>
        </w:rPr>
        <w:t>；安全生产考核合格证书号：</w:t>
      </w:r>
      <w:permStart w:id="89" w:edGrp="everyone"/>
      <w:r>
        <w:rPr>
          <w:rFonts w:hint="eastAsia" w:ascii="仿宋_GB2312" w:hAnsi="仿宋_GB2312" w:eastAsia="仿宋_GB2312" w:cs="仿宋_GB2312"/>
          <w:color w:val="auto"/>
          <w:sz w:val="24"/>
          <w:szCs w:val="24"/>
          <w:highlight w:val="none"/>
          <w:u w:val="single"/>
        </w:rPr>
        <w:t xml:space="preserve">                 </w:t>
      </w:r>
      <w:permEnd w:id="89"/>
      <w:r>
        <w:rPr>
          <w:rFonts w:hint="eastAsia" w:ascii="仿宋_GB2312" w:hAnsi="仿宋_GB2312" w:eastAsia="仿宋_GB2312" w:cs="仿宋_GB2312"/>
          <w:color w:val="auto"/>
          <w:sz w:val="24"/>
          <w:szCs w:val="24"/>
          <w:highlight w:val="none"/>
        </w:rPr>
        <w:t xml:space="preserve">。         </w:t>
      </w:r>
    </w:p>
    <w:p w14:paraId="38987657">
      <w:pPr>
        <w:spacing w:line="420" w:lineRule="exact"/>
        <w:outlineLvl w:val="1"/>
        <w:rPr>
          <w:rFonts w:hint="eastAsia" w:ascii="仿宋_GB2312" w:hAnsi="仿宋_GB2312" w:eastAsia="仿宋_GB2312" w:cs="仿宋_GB2312"/>
          <w:b/>
          <w:bCs/>
          <w:color w:val="auto"/>
          <w:sz w:val="24"/>
          <w:szCs w:val="24"/>
          <w:highlight w:val="none"/>
        </w:rPr>
      </w:pPr>
    </w:p>
    <w:p w14:paraId="5B396307">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★八、工人工资支付分账</w:t>
      </w:r>
    </w:p>
    <w:p w14:paraId="0854154C">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工人工资款支付专用账户开设的约定内容：</w:t>
      </w:r>
      <w:permStart w:id="90" w:edGrp="everyone"/>
      <w:r>
        <w:rPr>
          <w:rFonts w:hint="eastAsia" w:ascii="仿宋_GB2312" w:hAnsi="仿宋_GB2312" w:eastAsia="仿宋_GB2312" w:cs="仿宋_GB2312"/>
          <w:color w:val="auto"/>
          <w:kern w:val="0"/>
          <w:sz w:val="24"/>
          <w:szCs w:val="24"/>
          <w:highlight w:val="none"/>
          <w:u w:val="single"/>
        </w:rPr>
        <w:t xml:space="preserve"> 开工报建阶段，办理工人工资专账时双方另行约定  </w:t>
      </w:r>
      <w:permEnd w:id="90"/>
      <w:r>
        <w:rPr>
          <w:rFonts w:hint="eastAsia" w:ascii="仿宋_GB2312" w:hAnsi="仿宋_GB2312" w:eastAsia="仿宋_GB2312" w:cs="仿宋_GB2312"/>
          <w:color w:val="auto"/>
          <w:kern w:val="0"/>
          <w:sz w:val="24"/>
          <w:szCs w:val="24"/>
          <w:highlight w:val="none"/>
        </w:rPr>
        <w:t>。</w:t>
      </w:r>
    </w:p>
    <w:p w14:paraId="01D5EDB4">
      <w:pPr>
        <w:spacing w:line="420" w:lineRule="exact"/>
        <w:ind w:firstLine="4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工人工资款支付专用账户开户银行（如有）：</w:t>
      </w:r>
      <w:permStart w:id="91" w:edGrp="everyone"/>
      <w:r>
        <w:rPr>
          <w:rFonts w:hint="eastAsia" w:ascii="仿宋_GB2312" w:hAnsi="仿宋_GB2312" w:eastAsia="仿宋_GB2312" w:cs="仿宋_GB2312"/>
          <w:color w:val="auto"/>
          <w:kern w:val="0"/>
          <w:sz w:val="24"/>
          <w:szCs w:val="24"/>
          <w:highlight w:val="none"/>
          <w:u w:val="single"/>
        </w:rPr>
        <w:t xml:space="preserve"> 开工报建阶段，办理工人工资专账时双方另行约定 </w:t>
      </w:r>
      <w:permEnd w:id="91"/>
      <w:r>
        <w:rPr>
          <w:rFonts w:hint="eastAsia" w:ascii="仿宋_GB2312" w:hAnsi="仿宋_GB2312" w:eastAsia="仿宋_GB2312" w:cs="仿宋_GB2312"/>
          <w:color w:val="auto"/>
          <w:kern w:val="0"/>
          <w:sz w:val="24"/>
          <w:szCs w:val="24"/>
          <w:highlight w:val="none"/>
        </w:rPr>
        <w:t>，</w:t>
      </w:r>
    </w:p>
    <w:p w14:paraId="1C900C3A">
      <w:pPr>
        <w:spacing w:line="420" w:lineRule="exact"/>
        <w:ind w:firstLine="4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工人工资款支付专用账户账号（如有）：</w:t>
      </w:r>
      <w:permStart w:id="92" w:edGrp="everyone"/>
      <w:r>
        <w:rPr>
          <w:rFonts w:hint="eastAsia" w:ascii="仿宋_GB2312" w:hAnsi="仿宋_GB2312" w:eastAsia="仿宋_GB2312" w:cs="仿宋_GB2312"/>
          <w:color w:val="auto"/>
          <w:kern w:val="0"/>
          <w:sz w:val="24"/>
          <w:szCs w:val="24"/>
          <w:highlight w:val="none"/>
          <w:u w:val="single"/>
        </w:rPr>
        <w:t xml:space="preserve"> 开工报建阶段，办理工人工资专账时双方另行约定 </w:t>
      </w:r>
      <w:permEnd w:id="92"/>
      <w:r>
        <w:rPr>
          <w:rFonts w:hint="eastAsia" w:ascii="仿宋_GB2312" w:hAnsi="仿宋_GB2312" w:eastAsia="仿宋_GB2312" w:cs="仿宋_GB2312"/>
          <w:color w:val="auto"/>
          <w:kern w:val="0"/>
          <w:sz w:val="24"/>
          <w:szCs w:val="24"/>
          <w:highlight w:val="none"/>
        </w:rPr>
        <w:t>。</w:t>
      </w:r>
    </w:p>
    <w:p w14:paraId="3BEC421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工程款中的工人工资款比例：</w:t>
      </w:r>
      <w:permStart w:id="93" w:edGrp="everyone"/>
      <w:r>
        <w:rPr>
          <w:rFonts w:hint="eastAsia" w:ascii="仿宋_GB2312" w:hAnsi="仿宋_GB2312" w:eastAsia="仿宋_GB2312" w:cs="仿宋_GB2312"/>
          <w:color w:val="auto"/>
          <w:kern w:val="0"/>
          <w:sz w:val="24"/>
          <w:szCs w:val="24"/>
          <w:highlight w:val="none"/>
          <w:u w:val="single"/>
        </w:rPr>
        <w:t xml:space="preserve">                              </w:t>
      </w:r>
      <w:permEnd w:id="93"/>
      <w:r>
        <w:rPr>
          <w:rFonts w:hint="eastAsia" w:ascii="仿宋_GB2312" w:hAnsi="仿宋_GB2312" w:eastAsia="仿宋_GB2312" w:cs="仿宋_GB2312"/>
          <w:color w:val="auto"/>
          <w:kern w:val="0"/>
          <w:sz w:val="24"/>
          <w:szCs w:val="24"/>
          <w:highlight w:val="none"/>
        </w:rPr>
        <w:t>，其中：每一期工程进度款中的工人工资款比例：</w:t>
      </w:r>
      <w:permStart w:id="94" w:edGrp="everyone"/>
      <w:r>
        <w:rPr>
          <w:rFonts w:hint="eastAsia" w:ascii="仿宋_GB2312" w:hAnsi="仿宋_GB2312" w:eastAsia="仿宋_GB2312" w:cs="仿宋_GB2312"/>
          <w:color w:val="auto"/>
          <w:kern w:val="0"/>
          <w:sz w:val="24"/>
          <w:szCs w:val="24"/>
          <w:highlight w:val="none"/>
          <w:u w:val="single"/>
        </w:rPr>
        <w:t xml:space="preserve">                   </w:t>
      </w:r>
      <w:permEnd w:id="94"/>
      <w:r>
        <w:rPr>
          <w:rFonts w:hint="eastAsia" w:ascii="仿宋_GB2312" w:hAnsi="仿宋_GB2312" w:eastAsia="仿宋_GB2312" w:cs="仿宋_GB2312"/>
          <w:color w:val="auto"/>
          <w:kern w:val="0"/>
          <w:sz w:val="24"/>
          <w:szCs w:val="24"/>
          <w:highlight w:val="none"/>
        </w:rPr>
        <w:t>。</w:t>
      </w:r>
    </w:p>
    <w:p w14:paraId="7AB5367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工人工资支付周期：</w:t>
      </w:r>
      <w:permStart w:id="9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在进度款中同期支付</w:t>
      </w:r>
      <w:r>
        <w:rPr>
          <w:rFonts w:hint="eastAsia" w:ascii="仿宋_GB2312" w:hAnsi="仿宋_GB2312" w:eastAsia="仿宋_GB2312" w:cs="仿宋_GB2312"/>
          <w:color w:val="auto"/>
          <w:kern w:val="0"/>
          <w:sz w:val="24"/>
          <w:szCs w:val="24"/>
          <w:highlight w:val="none"/>
          <w:u w:val="single"/>
        </w:rPr>
        <w:t xml:space="preserve">  </w:t>
      </w:r>
      <w:permEnd w:id="95"/>
      <w:r>
        <w:rPr>
          <w:rFonts w:hint="eastAsia" w:ascii="仿宋_GB2312" w:hAnsi="仿宋_GB2312" w:eastAsia="仿宋_GB2312" w:cs="仿宋_GB2312"/>
          <w:color w:val="auto"/>
          <w:kern w:val="0"/>
          <w:sz w:val="24"/>
          <w:szCs w:val="24"/>
          <w:highlight w:val="none"/>
        </w:rPr>
        <w:t>。</w:t>
      </w:r>
    </w:p>
    <w:p w14:paraId="18FFA5BA">
      <w:pPr>
        <w:spacing w:line="420" w:lineRule="exact"/>
        <w:ind w:firstLine="46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承包人已确认上述约定工程款中的工人工资款比例能满足本工程项目的工人工资支付。</w:t>
      </w:r>
    </w:p>
    <w:p w14:paraId="1238D508">
      <w:pPr>
        <w:spacing w:line="420" w:lineRule="exact"/>
        <w:outlineLvl w:val="1"/>
        <w:rPr>
          <w:rFonts w:hint="eastAsia" w:ascii="仿宋_GB2312" w:hAnsi="仿宋_GB2312" w:eastAsia="仿宋_GB2312" w:cs="仿宋_GB2312"/>
          <w:b/>
          <w:bCs/>
          <w:color w:val="auto"/>
          <w:sz w:val="24"/>
          <w:szCs w:val="24"/>
          <w:highlight w:val="none"/>
        </w:rPr>
      </w:pPr>
      <w:bookmarkStart w:id="364" w:name="_Toc10624813"/>
      <w:bookmarkStart w:id="365" w:name="_Toc266892757"/>
      <w:bookmarkStart w:id="366" w:name="_Toc469383973"/>
    </w:p>
    <w:p w14:paraId="73C5AD6A">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九、组成合同的文件</w:t>
      </w:r>
      <w:bookmarkEnd w:id="364"/>
      <w:bookmarkEnd w:id="365"/>
      <w:bookmarkEnd w:id="366"/>
    </w:p>
    <w:p w14:paraId="411FF0D5">
      <w:pPr>
        <w:widowControl w:val="0"/>
        <w:tabs>
          <w:tab w:val="left" w:pos="1260"/>
        </w:tabs>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组成本合同的文件及其优先解释顺序与本合同第二部分《通用条款》第2.2款赋予的规定一致。</w:t>
      </w:r>
    </w:p>
    <w:p w14:paraId="68DA0460">
      <w:pPr>
        <w:spacing w:line="420" w:lineRule="exact"/>
        <w:outlineLvl w:val="1"/>
        <w:rPr>
          <w:rFonts w:hint="eastAsia" w:ascii="仿宋_GB2312" w:hAnsi="仿宋_GB2312" w:eastAsia="仿宋_GB2312" w:cs="仿宋_GB2312"/>
          <w:b/>
          <w:bCs/>
          <w:color w:val="auto"/>
          <w:sz w:val="24"/>
          <w:szCs w:val="24"/>
          <w:highlight w:val="none"/>
        </w:rPr>
      </w:pPr>
      <w:bookmarkStart w:id="367" w:name="_Toc469383974"/>
      <w:bookmarkStart w:id="368" w:name="_Toc10624814"/>
      <w:bookmarkStart w:id="369" w:name="_Toc266892758"/>
    </w:p>
    <w:p w14:paraId="5CEA96E4">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十、词语含义</w:t>
      </w:r>
      <w:bookmarkEnd w:id="367"/>
      <w:bookmarkEnd w:id="368"/>
      <w:bookmarkEnd w:id="369"/>
    </w:p>
    <w:p w14:paraId="04A72DF7">
      <w:pPr>
        <w:widowControl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本协议书中有关词语含义与本合同第二部分《通用条款》第1条赋予它们的定义相同。</w:t>
      </w:r>
    </w:p>
    <w:p w14:paraId="14E57425">
      <w:pPr>
        <w:spacing w:line="420" w:lineRule="exact"/>
        <w:outlineLvl w:val="1"/>
        <w:rPr>
          <w:rFonts w:hint="eastAsia" w:ascii="仿宋_GB2312" w:hAnsi="仿宋_GB2312" w:eastAsia="仿宋_GB2312" w:cs="仿宋_GB2312"/>
          <w:b/>
          <w:bCs/>
          <w:color w:val="auto"/>
          <w:sz w:val="24"/>
          <w:szCs w:val="24"/>
          <w:highlight w:val="none"/>
        </w:rPr>
      </w:pPr>
      <w:bookmarkStart w:id="370" w:name="_Toc10624815"/>
      <w:bookmarkStart w:id="371" w:name="_Toc469383975"/>
      <w:bookmarkStart w:id="372" w:name="_Toc266892759"/>
    </w:p>
    <w:p w14:paraId="6AA6BE42">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十一、承包人承诺</w:t>
      </w:r>
      <w:bookmarkEnd w:id="370"/>
      <w:bookmarkEnd w:id="371"/>
      <w:bookmarkEnd w:id="372"/>
    </w:p>
    <w:p w14:paraId="701C3FF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承包人向发包人承诺已阅读、理解并接受本合同所有条款，按照本合同约定实施、完成并保修合同工程，履行本合同所约定的全部义务。</w:t>
      </w:r>
    </w:p>
    <w:p w14:paraId="766F78E3">
      <w:pPr>
        <w:spacing w:line="420" w:lineRule="exact"/>
        <w:outlineLvl w:val="1"/>
        <w:rPr>
          <w:rFonts w:hint="eastAsia" w:ascii="仿宋_GB2312" w:hAnsi="仿宋_GB2312" w:eastAsia="仿宋_GB2312" w:cs="仿宋_GB2312"/>
          <w:b/>
          <w:bCs/>
          <w:color w:val="auto"/>
          <w:sz w:val="24"/>
          <w:szCs w:val="24"/>
          <w:highlight w:val="none"/>
        </w:rPr>
      </w:pPr>
      <w:bookmarkStart w:id="373" w:name="_Toc10624816"/>
      <w:bookmarkStart w:id="374" w:name="_Toc266892760"/>
      <w:bookmarkStart w:id="375" w:name="_Toc469383976"/>
    </w:p>
    <w:p w14:paraId="6773463C">
      <w:p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十二、发包人承诺</w:t>
      </w:r>
      <w:bookmarkEnd w:id="373"/>
      <w:bookmarkEnd w:id="374"/>
      <w:bookmarkEnd w:id="375"/>
    </w:p>
    <w:p w14:paraId="2F1B436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发包人向承包人承诺已阅读、理解并接受本合同所有条款，按照本合同约定的时限和方法支付工程款及其他应当支付的款项，履行本合同所约定的全部义务。</w:t>
      </w:r>
    </w:p>
    <w:p w14:paraId="55D6D8DD">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bookmarkStart w:id="376" w:name="_Toc10624817"/>
      <w:bookmarkStart w:id="377" w:name="_Toc266892761"/>
      <w:bookmarkStart w:id="378" w:name="_Toc469383977"/>
    </w:p>
    <w:p w14:paraId="2B7C24C2">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十三、合同生效</w:t>
      </w:r>
      <w:bookmarkEnd w:id="376"/>
      <w:bookmarkEnd w:id="377"/>
      <w:bookmarkEnd w:id="378"/>
    </w:p>
    <w:p w14:paraId="24CAA3FA">
      <w:pPr>
        <w:spacing w:line="420" w:lineRule="exact"/>
        <w:ind w:left="52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本合同订立时间：</w:t>
      </w:r>
      <w:permStart w:id="9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2025</w:t>
      </w:r>
      <w:r>
        <w:rPr>
          <w:rFonts w:hint="eastAsia" w:ascii="仿宋_GB2312" w:hAnsi="仿宋_GB2312" w:eastAsia="仿宋_GB2312" w:cs="仿宋_GB2312"/>
          <w:color w:val="auto"/>
          <w:sz w:val="24"/>
          <w:szCs w:val="24"/>
          <w:highlight w:val="none"/>
          <w:u w:val="single"/>
        </w:rPr>
        <w:t xml:space="preserve">    </w:t>
      </w:r>
      <w:permEnd w:id="96"/>
      <w:r>
        <w:rPr>
          <w:rFonts w:hint="eastAsia" w:ascii="仿宋_GB2312" w:hAnsi="仿宋_GB2312" w:eastAsia="仿宋_GB2312" w:cs="仿宋_GB2312"/>
          <w:color w:val="auto"/>
          <w:sz w:val="24"/>
          <w:szCs w:val="24"/>
          <w:highlight w:val="none"/>
        </w:rPr>
        <w:t>年</w:t>
      </w:r>
      <w:permStart w:id="97" w:edGrp="everyone"/>
      <w:r>
        <w:rPr>
          <w:rFonts w:hint="eastAsia" w:ascii="仿宋_GB2312" w:hAnsi="仿宋_GB2312" w:eastAsia="仿宋_GB2312" w:cs="仿宋_GB2312"/>
          <w:color w:val="auto"/>
          <w:sz w:val="24"/>
          <w:szCs w:val="24"/>
          <w:highlight w:val="none"/>
          <w:u w:val="single"/>
        </w:rPr>
        <w:t xml:space="preserve">           </w:t>
      </w:r>
      <w:permEnd w:id="97"/>
      <w:r>
        <w:rPr>
          <w:rFonts w:hint="eastAsia" w:ascii="仿宋_GB2312" w:hAnsi="仿宋_GB2312" w:eastAsia="仿宋_GB2312" w:cs="仿宋_GB2312"/>
          <w:color w:val="auto"/>
          <w:sz w:val="24"/>
          <w:szCs w:val="24"/>
          <w:highlight w:val="none"/>
        </w:rPr>
        <w:t>月</w:t>
      </w:r>
      <w:permStart w:id="98" w:edGrp="everyone"/>
      <w:r>
        <w:rPr>
          <w:rFonts w:hint="eastAsia" w:ascii="仿宋_GB2312" w:hAnsi="仿宋_GB2312" w:eastAsia="仿宋_GB2312" w:cs="仿宋_GB2312"/>
          <w:color w:val="auto"/>
          <w:sz w:val="24"/>
          <w:szCs w:val="24"/>
          <w:highlight w:val="none"/>
          <w:u w:val="single"/>
        </w:rPr>
        <w:t xml:space="preserve">           </w:t>
      </w:r>
      <w:permEnd w:id="98"/>
      <w:r>
        <w:rPr>
          <w:rFonts w:hint="eastAsia" w:ascii="仿宋_GB2312" w:hAnsi="仿宋_GB2312" w:eastAsia="仿宋_GB2312" w:cs="仿宋_GB2312"/>
          <w:color w:val="auto"/>
          <w:sz w:val="24"/>
          <w:szCs w:val="24"/>
          <w:highlight w:val="none"/>
        </w:rPr>
        <w:t>日</w:t>
      </w:r>
    </w:p>
    <w:p w14:paraId="54C5BD69">
      <w:pPr>
        <w:spacing w:line="420" w:lineRule="exact"/>
        <w:ind w:left="52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本合同订立地点：</w:t>
      </w:r>
      <w:permStart w:id="9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广州市</w:t>
      </w:r>
      <w:r>
        <w:rPr>
          <w:rFonts w:hint="eastAsia" w:ascii="仿宋_GB2312" w:hAnsi="仿宋_GB2312" w:eastAsia="仿宋_GB2312" w:cs="仿宋_GB2312"/>
          <w:color w:val="auto"/>
          <w:sz w:val="24"/>
          <w:szCs w:val="24"/>
          <w:highlight w:val="none"/>
          <w:u w:val="single"/>
        </w:rPr>
        <w:t xml:space="preserve">                      </w:t>
      </w:r>
      <w:permEnd w:id="99"/>
    </w:p>
    <w:p w14:paraId="13DBBA24">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p>
    <w:p w14:paraId="1CF0364F">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十四、合同份数</w:t>
      </w:r>
    </w:p>
    <w:p w14:paraId="186D7A99">
      <w:p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本合同一式</w:t>
      </w:r>
      <w:permStart w:id="10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柒</w:t>
      </w:r>
      <w:r>
        <w:rPr>
          <w:rFonts w:hint="eastAsia" w:ascii="仿宋_GB2312" w:hAnsi="仿宋_GB2312" w:eastAsia="仿宋_GB2312" w:cs="仿宋_GB2312"/>
          <w:color w:val="auto"/>
          <w:sz w:val="24"/>
          <w:szCs w:val="24"/>
          <w:highlight w:val="none"/>
          <w:u w:val="single"/>
        </w:rPr>
        <w:t xml:space="preserve">   </w:t>
      </w:r>
      <w:permEnd w:id="100"/>
      <w:r>
        <w:rPr>
          <w:rFonts w:hint="eastAsia" w:ascii="仿宋_GB2312" w:hAnsi="仿宋_GB2312" w:eastAsia="仿宋_GB2312" w:cs="仿宋_GB2312"/>
          <w:color w:val="auto"/>
          <w:sz w:val="24"/>
          <w:szCs w:val="24"/>
          <w:highlight w:val="none"/>
        </w:rPr>
        <w:t>份，具有同等法律效力，其中甲方执</w:t>
      </w:r>
      <w:permStart w:id="10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肆</w:t>
      </w:r>
      <w:r>
        <w:rPr>
          <w:rFonts w:hint="eastAsia" w:ascii="仿宋_GB2312" w:hAnsi="仿宋_GB2312" w:eastAsia="仿宋_GB2312" w:cs="仿宋_GB2312"/>
          <w:color w:val="auto"/>
          <w:sz w:val="24"/>
          <w:szCs w:val="24"/>
          <w:highlight w:val="none"/>
          <w:u w:val="single"/>
        </w:rPr>
        <w:t xml:space="preserve">   </w:t>
      </w:r>
      <w:permEnd w:id="101"/>
      <w:r>
        <w:rPr>
          <w:rFonts w:hint="eastAsia" w:ascii="仿宋_GB2312" w:hAnsi="仿宋_GB2312" w:eastAsia="仿宋_GB2312" w:cs="仿宋_GB2312"/>
          <w:color w:val="auto"/>
          <w:sz w:val="24"/>
          <w:szCs w:val="24"/>
          <w:highlight w:val="none"/>
        </w:rPr>
        <w:t>份，乙方执</w:t>
      </w:r>
      <w:permStart w:id="10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叁</w:t>
      </w:r>
      <w:r>
        <w:rPr>
          <w:rFonts w:hint="eastAsia" w:ascii="仿宋_GB2312" w:hAnsi="仿宋_GB2312" w:eastAsia="仿宋_GB2312" w:cs="仿宋_GB2312"/>
          <w:color w:val="auto"/>
          <w:sz w:val="24"/>
          <w:szCs w:val="24"/>
          <w:highlight w:val="none"/>
          <w:u w:val="single"/>
        </w:rPr>
        <w:t xml:space="preserve">     </w:t>
      </w:r>
      <w:permEnd w:id="102"/>
      <w:r>
        <w:rPr>
          <w:rFonts w:hint="eastAsia" w:ascii="仿宋_GB2312" w:hAnsi="仿宋_GB2312" w:eastAsia="仿宋_GB2312" w:cs="仿宋_GB2312"/>
          <w:color w:val="auto"/>
          <w:sz w:val="24"/>
          <w:szCs w:val="24"/>
          <w:highlight w:val="none"/>
        </w:rPr>
        <w:t>份，其中一份在合同报送建设行政主管部门备案时留存。</w:t>
      </w:r>
    </w:p>
    <w:p w14:paraId="44C44B7F">
      <w:pPr>
        <w:numPr>
          <w:ilvl w:val="255"/>
          <w:numId w:val="0"/>
        </w:numPr>
        <w:spacing w:line="420" w:lineRule="exact"/>
        <w:outlineLvl w:val="1"/>
        <w:rPr>
          <w:rFonts w:hint="eastAsia" w:ascii="仿宋_GB2312" w:hAnsi="仿宋_GB2312" w:eastAsia="仿宋_GB2312" w:cs="仿宋_GB2312"/>
          <w:b/>
          <w:bCs/>
          <w:color w:val="auto"/>
          <w:sz w:val="24"/>
          <w:szCs w:val="24"/>
          <w:highlight w:val="none"/>
        </w:rPr>
      </w:pPr>
    </w:p>
    <w:p w14:paraId="1179FF2F">
      <w:pPr>
        <w:numPr>
          <w:ilvl w:val="255"/>
          <w:numId w:val="0"/>
        </w:numPr>
        <w:spacing w:line="420" w:lineRule="exact"/>
        <w:outlineLvl w:val="1"/>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十五、合同的生效及其他</w:t>
      </w:r>
    </w:p>
    <w:p w14:paraId="6FE7872F">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合同双方当事人约定本合同自双方签字、盖章后生效。合同未尽事宜，双方另行签订补充协议，但不得背离本合同第一部分《协议书》第九条所约定的合同文件的实质性内容。</w:t>
      </w:r>
    </w:p>
    <w:p w14:paraId="54555889">
      <w:pPr>
        <w:spacing w:line="420" w:lineRule="exact"/>
        <w:ind w:firstLine="523" w:firstLineChars="218"/>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本协议书中有关词语定义与合同条款中的定义相同。</w:t>
      </w:r>
    </w:p>
    <w:p w14:paraId="0944CA5B">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与发包人签订合同时使用的“开户银行名称、账户名称（简称户名，应当与本合同中承包人的名称一致）及账号”应当与投标文件中所填写的“开户银行名称、账户名称（简称户名）及账号”一致，且不得为临时账户，合同签定后原则上不得变更；如因特殊情况需要变更的，应提交发包人认可的证明文件，并征得发包人同意，否则发包人有权拒绝合同授予、有权停止工程款的拨付，所造成的一切后果由承包人承担。</w:t>
      </w:r>
    </w:p>
    <w:p w14:paraId="27447046">
      <w:pPr>
        <w:tabs>
          <w:tab w:val="left" w:pos="525"/>
          <w:tab w:val="left" w:pos="1155"/>
        </w:tabs>
        <w:spacing w:line="420" w:lineRule="exact"/>
        <w:jc w:val="left"/>
        <w:rPr>
          <w:rFonts w:hint="eastAsia" w:ascii="仿宋_GB2312" w:hAnsi="仿宋_GB2312" w:eastAsia="仿宋_GB2312" w:cs="仿宋_GB2312"/>
          <w:color w:val="auto"/>
          <w:sz w:val="24"/>
          <w:szCs w:val="24"/>
          <w:highlight w:val="none"/>
          <w:lang w:eastAsia="zh-CN"/>
        </w:rPr>
      </w:pPr>
    </w:p>
    <w:p w14:paraId="599536B2">
      <w:pPr>
        <w:tabs>
          <w:tab w:val="left" w:pos="525"/>
          <w:tab w:val="left" w:pos="1155"/>
        </w:tabs>
        <w:spacing w:line="42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以下无正文</w:t>
      </w:r>
      <w:r>
        <w:rPr>
          <w:rFonts w:hint="eastAsia" w:ascii="仿宋_GB2312" w:hAnsi="仿宋_GB2312" w:eastAsia="仿宋_GB2312" w:cs="仿宋_GB2312"/>
          <w:color w:val="auto"/>
          <w:sz w:val="24"/>
          <w:szCs w:val="24"/>
          <w:highlight w:val="none"/>
          <w:lang w:eastAsia="zh-CN"/>
        </w:rPr>
        <w:t>）</w:t>
      </w:r>
    </w:p>
    <w:p w14:paraId="7FD4521D">
      <w:pPr>
        <w:spacing w:line="420" w:lineRule="exact"/>
        <w:ind w:firstLine="1200" w:firstLineChars="500"/>
        <w:jc w:val="left"/>
        <w:rPr>
          <w:rFonts w:hint="eastAsia" w:ascii="仿宋_GB2312" w:hAnsi="仿宋_GB2312" w:eastAsia="仿宋_GB2312" w:cs="仿宋_GB2312"/>
          <w:color w:val="auto"/>
          <w:sz w:val="24"/>
          <w:szCs w:val="24"/>
          <w:highlight w:val="none"/>
        </w:rPr>
      </w:pPr>
    </w:p>
    <w:tbl>
      <w:tblPr>
        <w:tblStyle w:val="19"/>
        <w:tblpPr w:leftFromText="180" w:rightFromText="180" w:vertAnchor="text" w:horzAnchor="page" w:tblpX="2111" w:tblpY="96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9"/>
        <w:gridCol w:w="3740"/>
      </w:tblGrid>
      <w:tr w14:paraId="02F9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4237EBEF">
            <w:pPr>
              <w:spacing w:line="420" w:lineRule="exact"/>
              <w:jc w:val="left"/>
              <w:rPr>
                <w:rFonts w:hint="eastAsia" w:ascii="宋体" w:hAnsi="宋体" w:cs="宋体"/>
                <w:color w:val="auto"/>
                <w:sz w:val="24"/>
                <w:szCs w:val="24"/>
                <w:highlight w:val="none"/>
                <w:vertAlign w:val="baseline"/>
              </w:rPr>
            </w:pPr>
            <w:permStart w:id="103" w:edGrp="everyone"/>
            <w:r>
              <w:rPr>
                <w:rFonts w:hint="eastAsia" w:ascii="仿宋_GB2312" w:hAnsi="仿宋_GB2312" w:eastAsia="仿宋_GB2312" w:cs="仿宋_GB2312"/>
                <w:color w:val="auto"/>
                <w:sz w:val="24"/>
                <w:szCs w:val="24"/>
                <w:highlight w:val="none"/>
              </w:rPr>
              <w:t>发包人：（盖章）</w:t>
            </w:r>
          </w:p>
        </w:tc>
        <w:tc>
          <w:tcPr>
            <w:tcW w:w="3740" w:type="dxa"/>
          </w:tcPr>
          <w:p w14:paraId="2DB7C3E5">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承包人：（盖章）</w:t>
            </w:r>
          </w:p>
        </w:tc>
      </w:tr>
      <w:tr w14:paraId="18D52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613B67F8">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地址：</w:t>
            </w:r>
          </w:p>
        </w:tc>
        <w:tc>
          <w:tcPr>
            <w:tcW w:w="3740" w:type="dxa"/>
            <w:vAlign w:val="top"/>
          </w:tcPr>
          <w:p w14:paraId="432F6599">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地址：</w:t>
            </w:r>
          </w:p>
        </w:tc>
      </w:tr>
      <w:tr w14:paraId="5DB0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5A9E034D">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法定代表人或委托代理人：</w:t>
            </w:r>
          </w:p>
        </w:tc>
        <w:tc>
          <w:tcPr>
            <w:tcW w:w="3740" w:type="dxa"/>
            <w:vAlign w:val="top"/>
          </w:tcPr>
          <w:p w14:paraId="141C5E8D">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法定代表人或委托代理人：</w:t>
            </w:r>
          </w:p>
        </w:tc>
      </w:tr>
      <w:tr w14:paraId="1ACE8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4114BD0E">
            <w:pPr>
              <w:spacing w:line="42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联系人：</w:t>
            </w:r>
          </w:p>
        </w:tc>
        <w:tc>
          <w:tcPr>
            <w:tcW w:w="3740" w:type="dxa"/>
            <w:vAlign w:val="top"/>
          </w:tcPr>
          <w:p w14:paraId="748DEDA0">
            <w:pPr>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联系人：</w:t>
            </w:r>
          </w:p>
        </w:tc>
      </w:tr>
      <w:tr w14:paraId="7133F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037240A3">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电话：</w:t>
            </w:r>
          </w:p>
        </w:tc>
        <w:tc>
          <w:tcPr>
            <w:tcW w:w="3740" w:type="dxa"/>
            <w:vAlign w:val="top"/>
          </w:tcPr>
          <w:p w14:paraId="13E13849">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电话：</w:t>
            </w:r>
          </w:p>
        </w:tc>
      </w:tr>
      <w:tr w14:paraId="785E9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3140F1CA">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 xml:space="preserve">传真： </w:t>
            </w:r>
          </w:p>
        </w:tc>
        <w:tc>
          <w:tcPr>
            <w:tcW w:w="3740" w:type="dxa"/>
            <w:vAlign w:val="top"/>
          </w:tcPr>
          <w:p w14:paraId="2B3A921F">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 xml:space="preserve">传真： </w:t>
            </w:r>
          </w:p>
        </w:tc>
      </w:tr>
      <w:tr w14:paraId="35FBC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59509A4B">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账户名称：</w:t>
            </w:r>
          </w:p>
        </w:tc>
        <w:tc>
          <w:tcPr>
            <w:tcW w:w="3740" w:type="dxa"/>
            <w:vAlign w:val="top"/>
          </w:tcPr>
          <w:p w14:paraId="11F1F118">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账户名称：</w:t>
            </w:r>
          </w:p>
        </w:tc>
      </w:tr>
      <w:tr w14:paraId="1288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177AD50B">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开户银行：</w:t>
            </w:r>
          </w:p>
        </w:tc>
        <w:tc>
          <w:tcPr>
            <w:tcW w:w="3740" w:type="dxa"/>
            <w:vAlign w:val="top"/>
          </w:tcPr>
          <w:p w14:paraId="26A931B0">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开户银行：</w:t>
            </w:r>
          </w:p>
        </w:tc>
      </w:tr>
      <w:tr w14:paraId="71F05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78AD8994">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账号：</w:t>
            </w:r>
          </w:p>
        </w:tc>
        <w:tc>
          <w:tcPr>
            <w:tcW w:w="3740" w:type="dxa"/>
            <w:vAlign w:val="top"/>
          </w:tcPr>
          <w:p w14:paraId="4EF6F1AD">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账号：</w:t>
            </w:r>
          </w:p>
        </w:tc>
      </w:tr>
      <w:tr w14:paraId="2B407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512BC021">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 xml:space="preserve">邮政编码：  </w:t>
            </w:r>
          </w:p>
        </w:tc>
        <w:tc>
          <w:tcPr>
            <w:tcW w:w="3740" w:type="dxa"/>
            <w:vAlign w:val="top"/>
          </w:tcPr>
          <w:p w14:paraId="214956CB">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 xml:space="preserve">邮政编码：  </w:t>
            </w:r>
          </w:p>
        </w:tc>
      </w:tr>
      <w:tr w14:paraId="09A16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3739" w:type="dxa"/>
          </w:tcPr>
          <w:p w14:paraId="631F6E0E">
            <w:pPr>
              <w:spacing w:line="420" w:lineRule="exact"/>
              <w:jc w:val="left"/>
              <w:rPr>
                <w:rFonts w:hint="eastAsia" w:ascii="宋体" w:hAnsi="宋体" w:cs="宋体"/>
                <w:color w:val="auto"/>
                <w:sz w:val="24"/>
                <w:szCs w:val="24"/>
                <w:highlight w:val="none"/>
                <w:vertAlign w:val="baseline"/>
              </w:rPr>
            </w:pPr>
            <w:r>
              <w:rPr>
                <w:rFonts w:hint="eastAsia" w:ascii="仿宋_GB2312" w:hAnsi="仿宋_GB2312" w:eastAsia="仿宋_GB2312" w:cs="仿宋_GB2312"/>
                <w:color w:val="auto"/>
                <w:sz w:val="24"/>
                <w:szCs w:val="24"/>
                <w:highlight w:val="none"/>
              </w:rPr>
              <w:t>电子邮箱:</w:t>
            </w:r>
          </w:p>
        </w:tc>
        <w:tc>
          <w:tcPr>
            <w:tcW w:w="3740" w:type="dxa"/>
            <w:vAlign w:val="top"/>
          </w:tcPr>
          <w:p w14:paraId="6BCA5CE6">
            <w:pPr>
              <w:spacing w:line="420" w:lineRule="exact"/>
              <w:jc w:val="left"/>
              <w:rPr>
                <w:rFonts w:hint="eastAsia" w:ascii="宋体" w:hAnsi="宋体" w:eastAsia="宋体" w:cs="宋体"/>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电子邮箱:</w:t>
            </w:r>
          </w:p>
        </w:tc>
      </w:tr>
      <w:permEnd w:id="103"/>
    </w:tbl>
    <w:p w14:paraId="24820F36">
      <w:pPr>
        <w:spacing w:line="420" w:lineRule="exact"/>
        <w:jc w:val="left"/>
        <w:rPr>
          <w:rFonts w:hint="eastAsia" w:ascii="宋体" w:hAnsi="宋体" w:cs="宋体"/>
          <w:color w:val="auto"/>
          <w:sz w:val="24"/>
          <w:szCs w:val="24"/>
          <w:highlight w:val="none"/>
          <w:vertAlign w:val="baseline"/>
        </w:rPr>
      </w:pPr>
      <w:r>
        <w:rPr>
          <w:rFonts w:ascii="Calibri" w:hAnsi="Calibri" w:cs="Calibri"/>
          <w:color w:val="auto"/>
          <w:sz w:val="24"/>
          <w:szCs w:val="24"/>
          <w:highlight w:val="none"/>
        </w:rPr>
        <w:br w:type="page"/>
      </w:r>
    </w:p>
    <w:p w14:paraId="249DE894">
      <w:pPr>
        <w:spacing w:line="420" w:lineRule="exact"/>
        <w:outlineLvl w:val="0"/>
        <w:rPr>
          <w:rFonts w:ascii="方正黑体_GBK" w:hAnsi="方正黑体_GBK" w:eastAsia="方正黑体_GBK" w:cs="方正黑体_GBK"/>
          <w:b/>
          <w:bCs/>
          <w:color w:val="auto"/>
          <w:sz w:val="28"/>
          <w:szCs w:val="28"/>
          <w:highlight w:val="none"/>
        </w:rPr>
      </w:pPr>
      <w:bookmarkStart w:id="379" w:name="_Toc10624818"/>
      <w:bookmarkStart w:id="380" w:name="_Toc469383978"/>
    </w:p>
    <w:p w14:paraId="48946CBA">
      <w:pPr>
        <w:spacing w:line="420" w:lineRule="exact"/>
        <w:jc w:val="center"/>
        <w:outlineLvl w:val="0"/>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第二部分  通用条款</w:t>
      </w:r>
      <w:bookmarkEnd w:id="379"/>
      <w:bookmarkEnd w:id="380"/>
    </w:p>
    <w:p w14:paraId="09D89CDE">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p>
    <w:p w14:paraId="439641EA">
      <w:pPr>
        <w:widowControl w:val="0"/>
        <w:adjustRightInd w:val="0"/>
        <w:snapToGrid w:val="0"/>
        <w:spacing w:line="420" w:lineRule="exact"/>
        <w:jc w:val="center"/>
        <w:outlineLvl w:val="1"/>
        <w:rPr>
          <w:rFonts w:hint="eastAsia" w:ascii="黑体" w:hAnsi="黑体" w:eastAsia="黑体" w:cs="黑体"/>
          <w:b w:val="0"/>
          <w:bCs w:val="0"/>
          <w:color w:val="auto"/>
          <w:kern w:val="2"/>
          <w:sz w:val="24"/>
          <w:szCs w:val="24"/>
          <w:highlight w:val="none"/>
          <w:lang w:val="en-US" w:eastAsia="zh-CN" w:bidi="ar-SA"/>
        </w:rPr>
      </w:pPr>
      <w:bookmarkStart w:id="381" w:name="_Toc10624819"/>
      <w:bookmarkStart w:id="382" w:name="_Toc469383979"/>
      <w:r>
        <w:rPr>
          <w:rFonts w:hint="eastAsia" w:ascii="黑体" w:hAnsi="黑体" w:eastAsia="黑体" w:cs="黑体"/>
          <w:b w:val="0"/>
          <w:bCs w:val="0"/>
          <w:color w:val="auto"/>
          <w:kern w:val="2"/>
          <w:sz w:val="24"/>
          <w:szCs w:val="24"/>
          <w:highlight w:val="none"/>
          <w:lang w:val="en-US" w:eastAsia="zh-CN" w:bidi="ar-SA"/>
        </w:rPr>
        <w:t>一、总  则</w:t>
      </w:r>
      <w:bookmarkEnd w:id="381"/>
      <w:bookmarkEnd w:id="382"/>
    </w:p>
    <w:p w14:paraId="6E36C6DD">
      <w:pPr>
        <w:widowControl w:val="0"/>
        <w:adjustRightInd w:val="0"/>
        <w:snapToGrid w:val="0"/>
        <w:spacing w:line="420" w:lineRule="exact"/>
        <w:jc w:val="center"/>
        <w:outlineLvl w:val="1"/>
        <w:rPr>
          <w:rFonts w:ascii="宋体" w:hAnsi="宋体" w:eastAsia="宋体" w:cs="宋体"/>
          <w:b/>
          <w:bCs/>
          <w:color w:val="auto"/>
          <w:kern w:val="2"/>
          <w:sz w:val="22"/>
          <w:szCs w:val="22"/>
          <w:highlight w:val="none"/>
          <w:lang w:val="en-US" w:eastAsia="zh-CN" w:bidi="ar-SA"/>
        </w:rPr>
      </w:pPr>
    </w:p>
    <w:p w14:paraId="64B55401">
      <w:pPr>
        <w:widowControl w:val="0"/>
        <w:tabs>
          <w:tab w:val="left" w:pos="900"/>
          <w:tab w:val="left" w:pos="1080"/>
        </w:tabs>
        <w:spacing w:before="120" w:beforeLines="50" w:after="120" w:afterLines="50" w:line="420" w:lineRule="exact"/>
        <w:jc w:val="both"/>
        <w:outlineLvl w:val="2"/>
        <w:rPr>
          <w:rFonts w:hint="eastAsia" w:ascii="黑体" w:hAnsi="黑体" w:eastAsia="黑体" w:cs="黑体"/>
          <w:b w:val="0"/>
          <w:bCs w:val="0"/>
          <w:color w:val="auto"/>
          <w:kern w:val="2"/>
          <w:sz w:val="22"/>
          <w:szCs w:val="22"/>
          <w:highlight w:val="none"/>
          <w:lang w:val="en-US" w:eastAsia="zh-CN" w:bidi="ar-SA"/>
        </w:rPr>
      </w:pPr>
      <w:bookmarkStart w:id="383" w:name="_Toc469383980"/>
      <w:bookmarkStart w:id="384" w:name="_Toc10624820"/>
      <w:r>
        <w:rPr>
          <w:rFonts w:hint="eastAsia" w:ascii="黑体" w:hAnsi="黑体" w:eastAsia="黑体" w:cs="黑体"/>
          <w:b w:val="0"/>
          <w:bCs w:val="0"/>
          <w:color w:val="auto"/>
          <w:kern w:val="2"/>
          <w:sz w:val="22"/>
          <w:szCs w:val="22"/>
          <w:highlight w:val="none"/>
          <w:lang w:val="en-US" w:eastAsia="zh-CN" w:bidi="ar-SA"/>
        </w:rPr>
        <w:t>1  定义</w:t>
      </w:r>
      <w:bookmarkEnd w:id="383"/>
      <w:bookmarkEnd w:id="384"/>
    </w:p>
    <w:p w14:paraId="774EF995">
      <w:pPr>
        <w:widowControl w:val="0"/>
        <w:tabs>
          <w:tab w:val="left" w:pos="900"/>
          <w:tab w:val="left" w:pos="1980"/>
        </w:tabs>
        <w:adjustRightIn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t>下列词语或措辞，除非特别说明，在本合同中均具有以下赋予的含义：</w:t>
      </w:r>
    </w:p>
    <w:p w14:paraId="73160773">
      <w:pPr>
        <w:widowControl w:val="0"/>
        <w:tabs>
          <w:tab w:val="left" w:pos="1260"/>
          <w:tab w:val="left" w:pos="2160"/>
        </w:tabs>
        <w:adjustRightInd w:val="0"/>
        <w:spacing w:before="120" w:beforeLines="50" w:line="420" w:lineRule="exact"/>
        <w:ind w:left="1310" w:leftChars="624" w:firstLine="0" w:firstLineChars="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  合同：</w:t>
      </w:r>
      <w:r>
        <w:rPr>
          <w:rFonts w:hint="eastAsia" w:ascii="仿宋_GB2312" w:hAnsi="仿宋_GB2312" w:eastAsia="仿宋_GB2312" w:cs="仿宋_GB2312"/>
          <w:color w:val="auto"/>
          <w:kern w:val="2"/>
          <w:sz w:val="24"/>
          <w:szCs w:val="24"/>
          <w:highlight w:val="none"/>
          <w:lang w:val="en-US" w:eastAsia="zh-CN" w:bidi="ar-SA"/>
        </w:rPr>
        <w:t>指合同双方当事人为实施、完成并保修合同工程所订立的合同文件。合同文件由第2.2款所列的文件组成。</w:t>
      </w:r>
    </w:p>
    <w:p w14:paraId="7C098AD2">
      <w:pPr>
        <w:widowControl w:val="0"/>
        <w:tabs>
          <w:tab w:val="left" w:pos="2160"/>
          <w:tab w:val="left" w:pos="252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  协议书：</w:t>
      </w:r>
      <w:r>
        <w:rPr>
          <w:rFonts w:hint="eastAsia" w:ascii="仿宋_GB2312" w:hAnsi="仿宋_GB2312" w:eastAsia="仿宋_GB2312" w:cs="仿宋_GB2312"/>
          <w:color w:val="auto"/>
          <w:kern w:val="2"/>
          <w:sz w:val="24"/>
          <w:szCs w:val="24"/>
          <w:highlight w:val="none"/>
          <w:lang w:val="en-US" w:eastAsia="zh-CN" w:bidi="ar-SA"/>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14:paraId="40D5B776">
      <w:pPr>
        <w:widowControl w:val="0"/>
        <w:tabs>
          <w:tab w:val="left" w:pos="216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  通用条款：</w:t>
      </w:r>
      <w:r>
        <w:rPr>
          <w:rFonts w:hint="eastAsia" w:ascii="仿宋_GB2312" w:hAnsi="仿宋_GB2312" w:eastAsia="仿宋_GB2312" w:cs="仿宋_GB2312"/>
          <w:color w:val="auto"/>
          <w:kern w:val="2"/>
          <w:sz w:val="24"/>
          <w:szCs w:val="24"/>
          <w:highlight w:val="none"/>
          <w:lang w:val="en-US" w:eastAsia="zh-CN" w:bidi="ar-SA"/>
        </w:rPr>
        <w:t>指根据法律、法规和规章的规定以及建设工程施工的需要所订立的，通用于建设工程施工的条款。</w:t>
      </w:r>
    </w:p>
    <w:p w14:paraId="35C4874C">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  专用条款：</w:t>
      </w:r>
      <w:r>
        <w:rPr>
          <w:rFonts w:hint="eastAsia" w:ascii="仿宋_GB2312" w:hAnsi="仿宋_GB2312" w:eastAsia="仿宋_GB2312" w:cs="仿宋_GB2312"/>
          <w:color w:val="auto"/>
          <w:kern w:val="2"/>
          <w:sz w:val="24"/>
          <w:szCs w:val="24"/>
          <w:highlight w:val="none"/>
          <w:lang w:val="en-US" w:eastAsia="zh-CN" w:bidi="ar-SA"/>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492ABEE9">
      <w:pPr>
        <w:widowControl w:val="0"/>
        <w:tabs>
          <w:tab w:val="left" w:pos="2160"/>
        </w:tabs>
        <w:adjustRightInd w:val="0"/>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u w:val="dotted"/>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  中标通知书：</w:t>
      </w:r>
      <w:r>
        <w:rPr>
          <w:rFonts w:hint="eastAsia" w:ascii="仿宋_GB2312" w:hAnsi="仿宋_GB2312" w:eastAsia="仿宋_GB2312" w:cs="仿宋_GB2312"/>
          <w:color w:val="auto"/>
          <w:kern w:val="2"/>
          <w:sz w:val="24"/>
          <w:szCs w:val="24"/>
          <w:highlight w:val="none"/>
          <w:lang w:val="en-US" w:eastAsia="zh-CN" w:bidi="ar-SA"/>
        </w:rPr>
        <w:t>指发包人正式接受中标人投标文件的书面文件。</w:t>
      </w:r>
    </w:p>
    <w:p w14:paraId="63EE3628">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1.6  承包人投标文件：</w:t>
      </w:r>
      <w:r>
        <w:rPr>
          <w:rFonts w:hint="eastAsia" w:ascii="仿宋_GB2312" w:hAnsi="仿宋_GB2312" w:eastAsia="仿宋_GB2312" w:cs="仿宋_GB2312"/>
          <w:color w:val="auto"/>
          <w:kern w:val="2"/>
          <w:sz w:val="24"/>
          <w:szCs w:val="24"/>
          <w:highlight w:val="none"/>
          <w:lang w:val="en-US" w:eastAsia="zh-CN" w:bidi="ar-SA"/>
        </w:rPr>
        <w:t>指构成合同文件组成部分的，由承包人根据招标文件编制完成、签字并被中标通知书所接受的，承包人为实施、完成并保修合同工程向发包人提交的技术、经济文件。</w:t>
      </w:r>
    </w:p>
    <w:p w14:paraId="2CC90DF0">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1.7  标准、规范及有关技术文件：</w:t>
      </w:r>
      <w:r>
        <w:rPr>
          <w:rFonts w:hint="eastAsia" w:ascii="仿宋_GB2312" w:hAnsi="仿宋_GB2312" w:eastAsia="仿宋_GB2312" w:cs="仿宋_GB2312"/>
          <w:color w:val="auto"/>
          <w:kern w:val="2"/>
          <w:sz w:val="24"/>
          <w:szCs w:val="24"/>
          <w:highlight w:val="none"/>
          <w:lang w:val="en-US" w:eastAsia="zh-CN" w:bidi="ar-SA"/>
        </w:rPr>
        <w:t>指构成合同文件组成部分的，本合同所指明的和合同工程依法应适用的标准与规范，以及监理工程师、造价工程师对有关技术方面问题做出的补充、修改和批准文件。</w:t>
      </w:r>
    </w:p>
    <w:p w14:paraId="190DA586">
      <w:pPr>
        <w:widowControl w:val="0"/>
        <w:tabs>
          <w:tab w:val="left" w:pos="2160"/>
          <w:tab w:val="left" w:pos="252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1.8  施工设计图纸：</w:t>
      </w:r>
      <w:r>
        <w:rPr>
          <w:rFonts w:hint="eastAsia" w:ascii="仿宋_GB2312" w:hAnsi="仿宋_GB2312" w:eastAsia="仿宋_GB2312" w:cs="仿宋_GB2312"/>
          <w:color w:val="auto"/>
          <w:kern w:val="2"/>
          <w:sz w:val="24"/>
          <w:szCs w:val="24"/>
          <w:highlight w:val="none"/>
          <w:lang w:val="en-US" w:eastAsia="zh-CN" w:bidi="ar-SA"/>
        </w:rPr>
        <w:t>指构成合同文件组成部分的，按规定审批的由发包人提供或经发包人批准由承包人提供，满足承包人施工需要的所有设计文件</w:t>
      </w: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2"/>
          <w:sz w:val="24"/>
          <w:szCs w:val="24"/>
          <w:highlight w:val="none"/>
          <w:lang w:val="en-US" w:eastAsia="zh-CN" w:bidi="ar-SA"/>
        </w:rPr>
        <w:t>施工图纸、模型（包括任何补充和修改的施工图纸、配套说明和有关资料）。图纸应当按照法律规定审查合格。</w:t>
      </w:r>
    </w:p>
    <w:p w14:paraId="739241BA">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1.9  工程量清单：</w:t>
      </w:r>
      <w:r>
        <w:rPr>
          <w:rFonts w:hint="eastAsia" w:ascii="仿宋_GB2312" w:hAnsi="仿宋_GB2312" w:eastAsia="仿宋_GB2312" w:cs="仿宋_GB2312"/>
          <w:color w:val="auto"/>
          <w:kern w:val="2"/>
          <w:sz w:val="24"/>
          <w:szCs w:val="24"/>
          <w:highlight w:val="none"/>
          <w:lang w:val="en-US" w:eastAsia="zh-CN" w:bidi="ar-SA"/>
        </w:rPr>
        <w:t>指构成合同文件组成部分的,由发包人在招标文件中提供的,合同工程分部分项工程项目、措施项目、其他项目、规费项目和税金项目的名称和相应数量等的明细清单。</w:t>
      </w:r>
    </w:p>
    <w:p w14:paraId="6E7139C2">
      <w:pPr>
        <w:widowControl w:val="0"/>
        <w:tabs>
          <w:tab w:val="left" w:pos="2160"/>
        </w:tabs>
        <w:adjustRightInd w:val="0"/>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1.10  发包人：</w:t>
      </w:r>
      <w:r>
        <w:rPr>
          <w:rFonts w:hint="eastAsia" w:ascii="仿宋_GB2312" w:hAnsi="仿宋_GB2312" w:eastAsia="仿宋_GB2312" w:cs="仿宋_GB2312"/>
          <w:color w:val="auto"/>
          <w:kern w:val="2"/>
          <w:sz w:val="24"/>
          <w:szCs w:val="24"/>
          <w:highlight w:val="none"/>
          <w:lang w:val="en-US" w:eastAsia="zh-CN" w:bidi="ar-SA"/>
        </w:rPr>
        <w:t>指在协议书中约定，具有工程发包主体资格和支付工程款能力的当事人，以及取得该当事人资格的合法继承人。</w:t>
      </w:r>
    </w:p>
    <w:p w14:paraId="67491EEB">
      <w:pPr>
        <w:widowControl w:val="0"/>
        <w:tabs>
          <w:tab w:val="left" w:pos="1980"/>
        </w:tabs>
        <w:adjustRightInd w:val="0"/>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1.11  承包人：</w:t>
      </w:r>
      <w:r>
        <w:rPr>
          <w:rFonts w:hint="eastAsia" w:ascii="仿宋_GB2312" w:hAnsi="仿宋_GB2312" w:eastAsia="仿宋_GB2312" w:cs="仿宋_GB2312"/>
          <w:color w:val="auto"/>
          <w:kern w:val="2"/>
          <w:sz w:val="24"/>
          <w:szCs w:val="24"/>
          <w:highlight w:val="none"/>
          <w:lang w:val="en-US" w:eastAsia="zh-CN" w:bidi="ar-SA"/>
        </w:rPr>
        <w:t>指在协议书中约定，被发包人接受且具有工程施工承包主体资格的当事人，以及取得该当事人资格的合法继承人。</w:t>
      </w:r>
    </w:p>
    <w:p w14:paraId="09079C2A">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1.12  分包人：</w:t>
      </w:r>
      <w:r>
        <w:rPr>
          <w:rFonts w:hint="eastAsia" w:ascii="仿宋_GB2312" w:hAnsi="仿宋_GB2312" w:eastAsia="仿宋_GB2312" w:cs="仿宋_GB2312"/>
          <w:color w:val="auto"/>
          <w:kern w:val="2"/>
          <w:sz w:val="24"/>
          <w:szCs w:val="24"/>
          <w:highlight w:val="none"/>
          <w:lang w:val="en-US" w:eastAsia="zh-CN" w:bidi="ar-SA"/>
        </w:rPr>
        <w:t>指被发包人接受且具有相应资格，并与承包人签订了分包合同，依法分包合同工程某一部分的当事人，以及取得该当事人资格的合法继承人。</w:t>
      </w:r>
    </w:p>
    <w:p w14:paraId="7A2280DE">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1.13  第三方：</w:t>
      </w:r>
      <w:r>
        <w:rPr>
          <w:rFonts w:hint="eastAsia" w:ascii="仿宋_GB2312" w:hAnsi="仿宋_GB2312" w:eastAsia="仿宋_GB2312" w:cs="仿宋_GB2312"/>
          <w:color w:val="auto"/>
          <w:kern w:val="2"/>
          <w:sz w:val="24"/>
          <w:szCs w:val="24"/>
          <w:highlight w:val="none"/>
          <w:lang w:val="en-US" w:eastAsia="zh-CN" w:bidi="ar-SA"/>
        </w:rPr>
        <w:t>除合同双方当事人(含双方雇员及代表其工作的人员)以外的任何他人或组织。</w:t>
      </w:r>
    </w:p>
    <w:p w14:paraId="0D13CB8A">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1.14  设计人：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指受发包人委托的，负责合同工程的工程设计专业技术且具有相应工程设计资质的当事人，以及取得该当事人资格的合法继承人。</w:t>
      </w:r>
    </w:p>
    <w:p w14:paraId="30D19650">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1.15  监理人：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指受发包人委托的，负责合同工程的工程监理专业技术且具有相应工程监理资质的当事人，以及取得该当事人资格的合法继承人。</w:t>
      </w:r>
    </w:p>
    <w:p w14:paraId="74C763C7">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1.16  工程造价咨询人：</w:t>
      </w:r>
      <w:r>
        <w:rPr>
          <w:rFonts w:hint="eastAsia" w:ascii="仿宋_GB2312" w:hAnsi="仿宋_GB2312" w:eastAsia="仿宋_GB2312" w:cs="仿宋_GB2312"/>
          <w:color w:val="auto"/>
          <w:kern w:val="2"/>
          <w:sz w:val="24"/>
          <w:szCs w:val="24"/>
          <w:highlight w:val="none"/>
          <w:lang w:val="en-US" w:eastAsia="zh-CN" w:bidi="ar-SA"/>
        </w:rPr>
        <w:t>指受发包人委托的，负责合同工程的工程造价专业技术且具有相应工程造价咨询资质的当事人，以及取得该当事人资格的合法继承人。</w:t>
      </w:r>
    </w:p>
    <w:p w14:paraId="25BE77A6">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1.17  工程造价管理机构：</w:t>
      </w:r>
      <w:r>
        <w:rPr>
          <w:rFonts w:hint="eastAsia" w:ascii="仿宋_GB2312" w:hAnsi="仿宋_GB2312" w:eastAsia="仿宋_GB2312" w:cs="仿宋_GB2312"/>
          <w:color w:val="auto"/>
          <w:kern w:val="2"/>
          <w:sz w:val="24"/>
          <w:szCs w:val="24"/>
          <w:highlight w:val="none"/>
          <w:lang w:val="en-US" w:eastAsia="zh-CN" w:bidi="ar-SA"/>
        </w:rPr>
        <w:t>指国务院有关部门、县级以上人民政府建设行政主管部门或受其委托的工程造价管理机构。</w:t>
      </w:r>
    </w:p>
    <w:p w14:paraId="077160BC">
      <w:pPr>
        <w:widowControl w:val="0"/>
        <w:tabs>
          <w:tab w:val="left" w:pos="1980"/>
          <w:tab w:val="left" w:pos="2160"/>
          <w:tab w:val="left" w:pos="252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1.18  发包人代表：</w:t>
      </w:r>
      <w:r>
        <w:rPr>
          <w:rFonts w:hint="eastAsia" w:ascii="仿宋_GB2312" w:hAnsi="仿宋_GB2312" w:eastAsia="仿宋_GB2312" w:cs="仿宋_GB2312"/>
          <w:color w:val="auto"/>
          <w:kern w:val="2"/>
          <w:sz w:val="24"/>
          <w:szCs w:val="24"/>
          <w:highlight w:val="none"/>
          <w:lang w:val="en-US" w:eastAsia="zh-CN" w:bidi="ar-SA"/>
        </w:rPr>
        <w:t>指发包人指定的，履行本合同的全权代表。发包人代表由发包人依据第22.1款规定任命并书面通知承包人。</w:t>
      </w:r>
    </w:p>
    <w:p w14:paraId="7A49FB05">
      <w:pPr>
        <w:widowControl w:val="0"/>
        <w:tabs>
          <w:tab w:val="left" w:pos="1260"/>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1.19  监理工程师：</w:t>
      </w:r>
      <w:r>
        <w:rPr>
          <w:rFonts w:hint="eastAsia" w:ascii="仿宋_GB2312" w:hAnsi="仿宋_GB2312" w:eastAsia="仿宋_GB2312" w:cs="仿宋_GB2312"/>
          <w:color w:val="auto"/>
          <w:kern w:val="2"/>
          <w:sz w:val="24"/>
          <w:szCs w:val="24"/>
          <w:highlight w:val="none"/>
          <w:lang w:val="en-US" w:eastAsia="zh-CN" w:bidi="ar-SA"/>
        </w:rPr>
        <w:t>指监理人委派常驻施工现场负责合同工程的工程监理专业技术的专业人员。监理工程师由监理人提名，经发包人依据第23.1款规定任命并书面通知承包人。</w:t>
      </w:r>
    </w:p>
    <w:p w14:paraId="47608426">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1.20  造价工程师：</w:t>
      </w:r>
      <w:r>
        <w:rPr>
          <w:rFonts w:hint="eastAsia" w:ascii="仿宋_GB2312" w:hAnsi="仿宋_GB2312" w:eastAsia="仿宋_GB2312" w:cs="仿宋_GB2312"/>
          <w:color w:val="auto"/>
          <w:kern w:val="2"/>
          <w:sz w:val="24"/>
          <w:szCs w:val="24"/>
          <w:highlight w:val="none"/>
          <w:lang w:val="en-US" w:eastAsia="zh-CN" w:bidi="ar-SA"/>
        </w:rPr>
        <w:t>指工程造价咨询人或监理人委派常驻施工现场负责合同工程的工程造价专业技术的专业人员。造价工程师由工程造价咨询人或监理人提名，经发包人依据第24.1款规定任命并书面通知承包人。</w:t>
      </w:r>
    </w:p>
    <w:p w14:paraId="7035460E">
      <w:pPr>
        <w:widowControl w:val="0"/>
        <w:tabs>
          <w:tab w:val="left" w:pos="1620"/>
          <w:tab w:val="left" w:pos="198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1.21  承包人代表：</w:t>
      </w:r>
      <w:r>
        <w:rPr>
          <w:rFonts w:hint="eastAsia" w:ascii="仿宋_GB2312" w:hAnsi="仿宋_GB2312" w:eastAsia="仿宋_GB2312" w:cs="仿宋_GB2312"/>
          <w:color w:val="auto"/>
          <w:kern w:val="2"/>
          <w:sz w:val="24"/>
          <w:szCs w:val="24"/>
          <w:highlight w:val="none"/>
          <w:lang w:val="en-US" w:eastAsia="zh-CN" w:bidi="ar-SA"/>
        </w:rPr>
        <w:t>指承包人指定的，履行本合同和负责合同工程施工现场管理的全权代表。承包人代表由承包人依据第25.1款规定任命并书面通知发包人。</w:t>
      </w:r>
    </w:p>
    <w:p w14:paraId="4DE9413D">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1.22  合同工期：</w:t>
      </w:r>
      <w:r>
        <w:rPr>
          <w:rFonts w:hint="eastAsia" w:ascii="仿宋_GB2312" w:hAnsi="仿宋_GB2312" w:eastAsia="仿宋_GB2312" w:cs="仿宋_GB2312"/>
          <w:color w:val="auto"/>
          <w:kern w:val="2"/>
          <w:sz w:val="24"/>
          <w:szCs w:val="24"/>
          <w:highlight w:val="none"/>
          <w:lang w:val="en-US" w:eastAsia="zh-CN" w:bidi="ar-SA"/>
        </w:rPr>
        <w:t>指合同双方当事人在协议书中约定，按照总日历天数（包括法定节假日）计算的从开始实施到完成合同工程的天数。</w:t>
      </w:r>
    </w:p>
    <w:p w14:paraId="13A170F2">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1.23  开工日期：</w:t>
      </w:r>
      <w:r>
        <w:rPr>
          <w:rFonts w:hint="eastAsia" w:ascii="仿宋_GB2312" w:hAnsi="仿宋_GB2312" w:eastAsia="仿宋_GB2312" w:cs="仿宋_GB2312"/>
          <w:color w:val="auto"/>
          <w:kern w:val="2"/>
          <w:sz w:val="24"/>
          <w:szCs w:val="24"/>
          <w:highlight w:val="none"/>
          <w:lang w:val="en-US" w:eastAsia="zh-CN" w:bidi="ar-SA"/>
        </w:rPr>
        <w:t>指根据第34条规定，监理工程师在开工令中写明的、承包人按照合同约定最迟在该日期开工的日期。</w:t>
      </w:r>
    </w:p>
    <w:p w14:paraId="3B748BA2">
      <w:pPr>
        <w:widowControl w:val="0"/>
        <w:tabs>
          <w:tab w:val="left" w:pos="198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1.24  计划竣工日期：</w:t>
      </w:r>
      <w:r>
        <w:rPr>
          <w:rFonts w:hint="eastAsia" w:ascii="仿宋_GB2312" w:hAnsi="仿宋_GB2312" w:eastAsia="仿宋_GB2312" w:cs="仿宋_GB2312"/>
          <w:color w:val="auto"/>
          <w:kern w:val="2"/>
          <w:sz w:val="24"/>
          <w:szCs w:val="24"/>
          <w:highlight w:val="none"/>
          <w:lang w:val="en-US" w:eastAsia="zh-CN" w:bidi="ar-SA"/>
        </w:rPr>
        <w:t>指自开工日期起根据合同约定要求承包人完成合同工程并竣工的全部时间（包括根据第36条和第37.2款规定所做的调整）。</w:t>
      </w:r>
    </w:p>
    <w:p w14:paraId="46EDC86C">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1.25  实际竣工日期：</w:t>
      </w:r>
      <w:r>
        <w:rPr>
          <w:rFonts w:hint="eastAsia" w:ascii="仿宋_GB2312" w:hAnsi="仿宋_GB2312" w:eastAsia="仿宋_GB2312" w:cs="仿宋_GB2312"/>
          <w:color w:val="auto"/>
          <w:kern w:val="2"/>
          <w:sz w:val="24"/>
          <w:szCs w:val="24"/>
          <w:highlight w:val="none"/>
          <w:lang w:val="en-US" w:eastAsia="zh-CN" w:bidi="ar-SA"/>
        </w:rPr>
        <w:t>指承包人实际完成合同工程或某单位工程后，由发包人按照第58条规定组织竣工验收、接收工程并颁发工程接收证书的日期。实际竣工日期，按照第38.2款规定确定。</w:t>
      </w:r>
    </w:p>
    <w:p w14:paraId="7A2D71F8">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1.26  缺陷责任期：</w:t>
      </w:r>
      <w:r>
        <w:rPr>
          <w:rFonts w:hint="eastAsia" w:ascii="仿宋_GB2312" w:hAnsi="仿宋_GB2312" w:eastAsia="仿宋_GB2312" w:cs="仿宋_GB2312"/>
          <w:color w:val="auto"/>
          <w:kern w:val="2"/>
          <w:sz w:val="24"/>
          <w:szCs w:val="24"/>
          <w:highlight w:val="none"/>
          <w:lang w:val="en-US" w:eastAsia="zh-CN" w:bidi="ar-SA"/>
        </w:rPr>
        <w:t>指履行第59.3款规定的缺陷责任的期限。具体期限在专用条款中约定，包括第59.2款规定的延长期限。</w:t>
      </w:r>
    </w:p>
    <w:p w14:paraId="1E58BC71">
      <w:pPr>
        <w:widowControl w:val="0"/>
        <w:tabs>
          <w:tab w:val="left" w:pos="198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1.27  基准日期：</w:t>
      </w:r>
      <w:r>
        <w:rPr>
          <w:rFonts w:hint="eastAsia" w:ascii="仿宋_GB2312" w:hAnsi="仿宋_GB2312" w:eastAsia="仿宋_GB2312" w:cs="仿宋_GB2312"/>
          <w:color w:val="auto"/>
          <w:kern w:val="2"/>
          <w:sz w:val="24"/>
          <w:szCs w:val="24"/>
          <w:highlight w:val="none"/>
          <w:lang w:val="en-US" w:eastAsia="zh-CN" w:bidi="ar-SA"/>
        </w:rPr>
        <w:t>指招标工程递交投标文件截止日期前28天的日期；非招标工程订立合同前28天的日期。</w:t>
      </w:r>
    </w:p>
    <w:p w14:paraId="05A5B04B">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1.28  小时或天：</w:t>
      </w:r>
      <w:r>
        <w:rPr>
          <w:rFonts w:hint="eastAsia" w:ascii="仿宋_GB2312" w:hAnsi="仿宋_GB2312" w:eastAsia="仿宋_GB2312" w:cs="仿宋_GB2312"/>
          <w:color w:val="auto"/>
          <w:kern w:val="2"/>
          <w:sz w:val="24"/>
          <w:szCs w:val="24"/>
          <w:highlight w:val="none"/>
          <w:lang w:val="en-US" w:eastAsia="zh-CN" w:bidi="ar-SA"/>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45271F99">
      <w:pPr>
        <w:widowControl w:val="0"/>
        <w:tabs>
          <w:tab w:val="left" w:pos="900"/>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1.29  中标价格：</w:t>
      </w:r>
      <w:r>
        <w:rPr>
          <w:rFonts w:hint="eastAsia" w:ascii="仿宋_GB2312" w:hAnsi="仿宋_GB2312" w:eastAsia="仿宋_GB2312" w:cs="仿宋_GB2312"/>
          <w:color w:val="auto"/>
          <w:kern w:val="2"/>
          <w:sz w:val="24"/>
          <w:szCs w:val="24"/>
          <w:highlight w:val="none"/>
          <w:lang w:val="en-US" w:eastAsia="zh-CN" w:bidi="ar-SA"/>
        </w:rPr>
        <w:t>指中标通知书中列明的，发包人接受中标人（承包人）实施、完成并保修合同工程的价格。</w:t>
      </w:r>
    </w:p>
    <w:p w14:paraId="5B4F71DF">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1.30  合同价款：</w:t>
      </w:r>
      <w:r>
        <w:rPr>
          <w:rFonts w:hint="eastAsia" w:ascii="仿宋_GB2312" w:hAnsi="仿宋_GB2312" w:eastAsia="仿宋_GB2312" w:cs="仿宋_GB2312"/>
          <w:color w:val="auto"/>
          <w:kern w:val="2"/>
          <w:sz w:val="24"/>
          <w:szCs w:val="24"/>
          <w:highlight w:val="none"/>
          <w:lang w:val="en-US" w:eastAsia="zh-CN" w:bidi="ar-SA"/>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14:paraId="22BCE51D">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1.31  费用：</w:t>
      </w:r>
      <w:r>
        <w:rPr>
          <w:rFonts w:hint="eastAsia" w:ascii="仿宋_GB2312" w:hAnsi="仿宋_GB2312" w:eastAsia="仿宋_GB2312" w:cs="仿宋_GB2312"/>
          <w:color w:val="auto"/>
          <w:kern w:val="2"/>
          <w:sz w:val="24"/>
          <w:szCs w:val="24"/>
          <w:highlight w:val="none"/>
          <w:lang w:val="en-US" w:eastAsia="zh-CN" w:bidi="ar-SA"/>
        </w:rPr>
        <w:t>指为履行合同所发生或将发生的所有合理开支，包括管理费和其他合理分摊的开支，但不包括利润。</w:t>
      </w:r>
    </w:p>
    <w:p w14:paraId="12974976">
      <w:pPr>
        <w:widowControl w:val="0"/>
        <w:tabs>
          <w:tab w:val="left" w:pos="1980"/>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1.32  分部分项工程费：</w:t>
      </w:r>
      <w:r>
        <w:rPr>
          <w:rFonts w:hint="eastAsia" w:ascii="仿宋_GB2312" w:hAnsi="仿宋_GB2312" w:eastAsia="仿宋_GB2312" w:cs="仿宋_GB2312"/>
          <w:color w:val="auto"/>
          <w:kern w:val="2"/>
          <w:sz w:val="24"/>
          <w:szCs w:val="24"/>
          <w:highlight w:val="none"/>
          <w:lang w:val="en-US" w:eastAsia="zh-CN" w:bidi="ar-SA"/>
        </w:rPr>
        <w:t>指为实施、完成并保修永久工程，发生于工程实体项目所需的人工费、材料费、机械使用费、管理费、利润和风险费用。</w:t>
      </w:r>
    </w:p>
    <w:p w14:paraId="46F3667A">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1.33  措施项目费：</w:t>
      </w:r>
      <w:r>
        <w:rPr>
          <w:rFonts w:hint="eastAsia" w:ascii="仿宋_GB2312" w:hAnsi="仿宋_GB2312" w:eastAsia="仿宋_GB2312" w:cs="仿宋_GB2312"/>
          <w:color w:val="auto"/>
          <w:kern w:val="2"/>
          <w:sz w:val="24"/>
          <w:szCs w:val="24"/>
          <w:highlight w:val="none"/>
          <w:lang w:val="en-US" w:eastAsia="zh-CN" w:bidi="ar-SA"/>
        </w:rPr>
        <w:t>指为实施、完成并保修合同工程，发生于合同工程施工准备和施工过程中的技术、生活、安全、环境保护等方面的非工程实体项目费用。</w:t>
      </w:r>
    </w:p>
    <w:p w14:paraId="2A60115C">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1.34  工程款：</w:t>
      </w:r>
      <w:r>
        <w:rPr>
          <w:rFonts w:hint="eastAsia" w:ascii="仿宋_GB2312" w:hAnsi="仿宋_GB2312" w:eastAsia="仿宋_GB2312" w:cs="仿宋_GB2312"/>
          <w:color w:val="auto"/>
          <w:kern w:val="2"/>
          <w:sz w:val="24"/>
          <w:szCs w:val="24"/>
          <w:highlight w:val="none"/>
          <w:lang w:val="en-US" w:eastAsia="zh-CN" w:bidi="ar-SA"/>
        </w:rPr>
        <w:t>指为实施、完成并保修合同工程，发包人支付或应当支付给承包人的各种价款，包括进度款、结算款等。</w:t>
      </w:r>
    </w:p>
    <w:p w14:paraId="5BA2F68F">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1.35  暂列金额：</w:t>
      </w:r>
      <w:r>
        <w:rPr>
          <w:rFonts w:hint="eastAsia" w:ascii="仿宋_GB2312" w:hAnsi="仿宋_GB2312" w:eastAsia="仿宋_GB2312" w:cs="仿宋_GB2312"/>
          <w:color w:val="auto"/>
          <w:kern w:val="2"/>
          <w:sz w:val="24"/>
          <w:szCs w:val="24"/>
          <w:highlight w:val="none"/>
          <w:lang w:val="en-US" w:eastAsia="zh-CN" w:bidi="ar-SA"/>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0D5DF77E">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1.36  暂估价：</w:t>
      </w:r>
      <w:r>
        <w:rPr>
          <w:rFonts w:hint="eastAsia" w:ascii="仿宋_GB2312" w:hAnsi="仿宋_GB2312" w:eastAsia="仿宋_GB2312" w:cs="仿宋_GB2312"/>
          <w:color w:val="auto"/>
          <w:kern w:val="2"/>
          <w:sz w:val="24"/>
          <w:szCs w:val="24"/>
          <w:highlight w:val="none"/>
          <w:lang w:val="en-US" w:eastAsia="zh-CN" w:bidi="ar-SA"/>
        </w:rPr>
        <w:t>指发包人在工程量清单中提供的用于支付必然发生但暂时不能确定价格的材料、工程设备以及专业工程的金额。</w:t>
      </w:r>
    </w:p>
    <w:p w14:paraId="29AF3327">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1.37  计日工：</w:t>
      </w:r>
      <w:r>
        <w:rPr>
          <w:rFonts w:hint="eastAsia" w:ascii="仿宋_GB2312" w:hAnsi="仿宋_GB2312" w:eastAsia="仿宋_GB2312" w:cs="仿宋_GB2312"/>
          <w:color w:val="auto"/>
          <w:kern w:val="2"/>
          <w:sz w:val="24"/>
          <w:szCs w:val="24"/>
          <w:highlight w:val="none"/>
          <w:lang w:val="en-US" w:eastAsia="zh-CN" w:bidi="ar-SA"/>
        </w:rPr>
        <w:t>指在施工过程中，承包人完成发包人提出的施工设计图纸以外的零星项目或工作，按照合同中约定计价付款的一种计价方式。</w:t>
      </w:r>
    </w:p>
    <w:p w14:paraId="5EB92F63">
      <w:pPr>
        <w:widowControl w:val="0"/>
        <w:tabs>
          <w:tab w:val="left" w:pos="2160"/>
        </w:tabs>
        <w:spacing w:before="240" w:beforeLines="10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1.38  质量保证金：</w:t>
      </w:r>
      <w:r>
        <w:rPr>
          <w:rFonts w:hint="eastAsia" w:ascii="仿宋_GB2312" w:hAnsi="仿宋_GB2312" w:eastAsia="仿宋_GB2312" w:cs="仿宋_GB2312"/>
          <w:color w:val="auto"/>
          <w:kern w:val="2"/>
          <w:sz w:val="24"/>
          <w:szCs w:val="24"/>
          <w:highlight w:val="none"/>
          <w:lang w:val="en-US" w:eastAsia="zh-CN" w:bidi="ar-SA"/>
        </w:rPr>
        <w:t>指按照第84条约定用于保证在缺陷责任期内履行缺陷修复义务的金额。</w:t>
      </w:r>
    </w:p>
    <w:p w14:paraId="6A0C4E5C">
      <w:pPr>
        <w:widowControl w:val="0"/>
        <w:tabs>
          <w:tab w:val="left" w:pos="2160"/>
        </w:tabs>
        <w:spacing w:before="240" w:beforeLines="10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1.39  合同工程：</w:t>
      </w:r>
      <w:r>
        <w:rPr>
          <w:rFonts w:hint="eastAsia" w:ascii="仿宋_GB2312" w:hAnsi="仿宋_GB2312" w:eastAsia="仿宋_GB2312" w:cs="仿宋_GB2312"/>
          <w:color w:val="auto"/>
          <w:kern w:val="2"/>
          <w:sz w:val="24"/>
          <w:szCs w:val="24"/>
          <w:highlight w:val="none"/>
          <w:lang w:val="en-US" w:eastAsia="zh-CN" w:bidi="ar-SA"/>
        </w:rPr>
        <w:t>指合同双方当事人在协议书中约定的承包范围内的工程，包括永久工程和（或）临时工程。</w:t>
      </w:r>
    </w:p>
    <w:p w14:paraId="096C4DFF">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1.40  永久工程：</w:t>
      </w:r>
      <w:r>
        <w:rPr>
          <w:rFonts w:hint="eastAsia" w:ascii="仿宋_GB2312" w:hAnsi="仿宋_GB2312" w:eastAsia="仿宋_GB2312" w:cs="仿宋_GB2312"/>
          <w:color w:val="auto"/>
          <w:kern w:val="2"/>
          <w:sz w:val="24"/>
          <w:szCs w:val="24"/>
          <w:highlight w:val="none"/>
          <w:lang w:val="en-US" w:eastAsia="zh-CN" w:bidi="ar-SA"/>
        </w:rPr>
        <w:t>指按照合同约定承包人应当实施、完成并移交给发包人的永久性工程，包括工程设备。</w:t>
      </w:r>
    </w:p>
    <w:p w14:paraId="4E954BBC">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1.41  临时工程：</w:t>
      </w:r>
      <w:r>
        <w:rPr>
          <w:rFonts w:hint="eastAsia" w:ascii="仿宋_GB2312" w:hAnsi="仿宋_GB2312" w:eastAsia="仿宋_GB2312" w:cs="仿宋_GB2312"/>
          <w:color w:val="auto"/>
          <w:kern w:val="2"/>
          <w:sz w:val="24"/>
          <w:szCs w:val="24"/>
          <w:highlight w:val="none"/>
          <w:lang w:val="en-US" w:eastAsia="zh-CN" w:bidi="ar-SA"/>
        </w:rPr>
        <w:t>指实施、完成并保修永久工程过程中所需要的各类临时性工程，不包括施工设备。</w:t>
      </w:r>
    </w:p>
    <w:p w14:paraId="2271A91A">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1.42  分包工程：</w:t>
      </w:r>
      <w:r>
        <w:rPr>
          <w:rFonts w:hint="eastAsia" w:ascii="仿宋_GB2312" w:hAnsi="仿宋_GB2312" w:eastAsia="仿宋_GB2312" w:cs="仿宋_GB2312"/>
          <w:color w:val="auto"/>
          <w:kern w:val="2"/>
          <w:sz w:val="24"/>
          <w:szCs w:val="24"/>
          <w:highlight w:val="none"/>
          <w:lang w:val="en-US" w:eastAsia="zh-CN" w:bidi="ar-SA"/>
        </w:rPr>
        <w:t>指合同工程中，由具有相应分包资质的分包人实施、完成的非主体结构（除钢结构外）的专业性工程。</w:t>
      </w:r>
    </w:p>
    <w:p w14:paraId="0401C4EE">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1.43  单位工程：</w:t>
      </w:r>
      <w:r>
        <w:rPr>
          <w:rFonts w:hint="eastAsia" w:ascii="仿宋_GB2312" w:hAnsi="仿宋_GB2312" w:eastAsia="仿宋_GB2312" w:cs="仿宋_GB2312"/>
          <w:color w:val="auto"/>
          <w:kern w:val="2"/>
          <w:sz w:val="24"/>
          <w:szCs w:val="24"/>
          <w:highlight w:val="none"/>
          <w:lang w:val="en-US" w:eastAsia="zh-CN" w:bidi="ar-SA"/>
        </w:rPr>
        <w:t>指具有独立的设计文件，竣工后可以独立发挥生产能力和效益的永久工程。组成合同工程的单位工程名称、内容和范围等应在专用条款中明确。</w:t>
      </w:r>
    </w:p>
    <w:p w14:paraId="4337DA41">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1.44  施工场地（或工地 、现场）：</w:t>
      </w:r>
      <w:r>
        <w:rPr>
          <w:rFonts w:hint="eastAsia" w:ascii="仿宋_GB2312" w:hAnsi="仿宋_GB2312" w:eastAsia="仿宋_GB2312" w:cs="仿宋_GB2312"/>
          <w:color w:val="auto"/>
          <w:kern w:val="2"/>
          <w:sz w:val="24"/>
          <w:szCs w:val="24"/>
          <w:highlight w:val="none"/>
          <w:lang w:val="en-US" w:eastAsia="zh-CN" w:bidi="ar-SA"/>
        </w:rPr>
        <w:t>指由发包人提供的用于合同工程施工的场所，以及发包人在合同中具体指定的供施工使用的其他任何场所。</w:t>
      </w:r>
    </w:p>
    <w:p w14:paraId="6438512C">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1.45  工程设备：</w:t>
      </w:r>
      <w:r>
        <w:rPr>
          <w:rFonts w:hint="eastAsia" w:ascii="仿宋_GB2312" w:hAnsi="仿宋_GB2312" w:eastAsia="仿宋_GB2312" w:cs="仿宋_GB2312"/>
          <w:color w:val="auto"/>
          <w:kern w:val="2"/>
          <w:sz w:val="24"/>
          <w:szCs w:val="24"/>
          <w:highlight w:val="none"/>
          <w:lang w:val="en-US" w:eastAsia="zh-CN" w:bidi="ar-SA"/>
        </w:rPr>
        <w:t>指构成或计划构成永久工程一部分的机电设备、金属结构设备、仪器装置及其他类似的设备和装置。</w:t>
      </w:r>
    </w:p>
    <w:p w14:paraId="12F82221">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1.46  施工设备：</w:t>
      </w:r>
      <w:r>
        <w:rPr>
          <w:rFonts w:hint="eastAsia" w:ascii="仿宋_GB2312" w:hAnsi="仿宋_GB2312" w:eastAsia="仿宋_GB2312" w:cs="仿宋_GB2312"/>
          <w:color w:val="auto"/>
          <w:kern w:val="2"/>
          <w:sz w:val="24"/>
          <w:szCs w:val="24"/>
          <w:highlight w:val="none"/>
          <w:lang w:val="en-US" w:eastAsia="zh-CN" w:bidi="ar-SA"/>
        </w:rPr>
        <w:t>指承包人临时带入现场用于合同工程施工的仪器、机械、运输工具或其他物品，但不包括用于或安装在合同工程中的工程设备。</w:t>
      </w:r>
    </w:p>
    <w:p w14:paraId="1FEEA544">
      <w:pPr>
        <w:widowControl w:val="0"/>
        <w:tabs>
          <w:tab w:val="left" w:pos="2160"/>
        </w:tabs>
        <w:spacing w:before="192" w:beforeLines="80" w:line="420" w:lineRule="exact"/>
        <w:ind w:left="1310" w:leftChars="624"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1.47  工程变更：</w:t>
      </w:r>
      <w:r>
        <w:rPr>
          <w:rFonts w:hint="eastAsia" w:ascii="仿宋_GB2312" w:hAnsi="仿宋_GB2312" w:eastAsia="仿宋_GB2312" w:cs="仿宋_GB2312"/>
          <w:color w:val="auto"/>
          <w:kern w:val="2"/>
          <w:sz w:val="24"/>
          <w:szCs w:val="24"/>
          <w:highlight w:val="none"/>
          <w:lang w:val="en-US" w:eastAsia="zh-CN" w:bidi="ar-SA"/>
        </w:rPr>
        <w:t>指经发包人批准的，由监理工程师根据第56条规定发出指令的工程任何变更。</w:t>
      </w:r>
    </w:p>
    <w:p w14:paraId="4BAED823">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1.48  索赔：</w:t>
      </w:r>
      <w:r>
        <w:rPr>
          <w:rFonts w:hint="eastAsia" w:ascii="仿宋_GB2312" w:hAnsi="仿宋_GB2312" w:eastAsia="仿宋_GB2312" w:cs="仿宋_GB2312"/>
          <w:color w:val="auto"/>
          <w:kern w:val="2"/>
          <w:sz w:val="24"/>
          <w:szCs w:val="24"/>
          <w:highlight w:val="none"/>
          <w:lang w:val="en-US" w:eastAsia="zh-CN" w:bidi="ar-SA"/>
        </w:rPr>
        <w:t>指合同履行期间，对于非自己的过错而应由对方当事人承担责任的情况所造成的损失，并根据第36条和第74条规定向对方当事人提出费用补偿和（或）工期顺延的要求。</w:t>
      </w:r>
    </w:p>
    <w:p w14:paraId="4D7E83C9">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1.49  现场签证：</w:t>
      </w:r>
      <w:r>
        <w:rPr>
          <w:rFonts w:hint="eastAsia" w:ascii="仿宋_GB2312" w:hAnsi="仿宋_GB2312" w:eastAsia="仿宋_GB2312" w:cs="仿宋_GB2312"/>
          <w:color w:val="auto"/>
          <w:kern w:val="2"/>
          <w:sz w:val="24"/>
          <w:szCs w:val="24"/>
          <w:highlight w:val="none"/>
          <w:lang w:val="en-US" w:eastAsia="zh-CN" w:bidi="ar-SA"/>
        </w:rPr>
        <w:t>指合同双方当事人按照第14.2款约定的指定人选根据第75条规定就施工过程中涉及的责任事件所作的签认证明。</w:t>
      </w:r>
    </w:p>
    <w:p w14:paraId="7674BA72">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1.50  不可抗力：</w:t>
      </w:r>
      <w:r>
        <w:rPr>
          <w:rFonts w:hint="eastAsia" w:ascii="仿宋_GB2312" w:hAnsi="仿宋_GB2312" w:eastAsia="仿宋_GB2312" w:cs="仿宋_GB2312"/>
          <w:color w:val="auto"/>
          <w:kern w:val="2"/>
          <w:sz w:val="24"/>
          <w:szCs w:val="24"/>
          <w:highlight w:val="none"/>
          <w:lang w:val="en-US" w:eastAsia="zh-CN" w:bidi="ar-SA"/>
        </w:rPr>
        <w:t>指不能预见、不能避免并不能克服的客观情况。</w:t>
      </w:r>
    </w:p>
    <w:p w14:paraId="3C5E387E">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1.51  竣工验收：</w:t>
      </w:r>
      <w:r>
        <w:rPr>
          <w:rFonts w:hint="eastAsia" w:ascii="仿宋_GB2312" w:hAnsi="仿宋_GB2312" w:eastAsia="仿宋_GB2312" w:cs="仿宋_GB2312"/>
          <w:color w:val="auto"/>
          <w:kern w:val="2"/>
          <w:sz w:val="24"/>
          <w:szCs w:val="24"/>
          <w:highlight w:val="none"/>
          <w:lang w:val="en-US" w:eastAsia="zh-CN" w:bidi="ar-SA"/>
        </w:rPr>
        <w:t>指承包人完成了全部合同工作后，发包人按照合同要求进行的验收。</w:t>
      </w:r>
    </w:p>
    <w:p w14:paraId="515B8353">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1.52  国家验收：</w:t>
      </w:r>
      <w:r>
        <w:rPr>
          <w:rFonts w:hint="eastAsia" w:ascii="仿宋_GB2312" w:hAnsi="仿宋_GB2312" w:eastAsia="仿宋_GB2312" w:cs="仿宋_GB2312"/>
          <w:color w:val="auto"/>
          <w:kern w:val="2"/>
          <w:sz w:val="24"/>
          <w:szCs w:val="24"/>
          <w:highlight w:val="none"/>
          <w:lang w:val="en-US" w:eastAsia="zh-CN" w:bidi="ar-SA"/>
        </w:rPr>
        <w:t>指政府部门根据法律和政策等有关规定，针对发包人全面组织实施的整个工程正式交付投运前的验收。</w:t>
      </w:r>
    </w:p>
    <w:p w14:paraId="6147AF1C">
      <w:pPr>
        <w:widowControl w:val="0"/>
        <w:tabs>
          <w:tab w:val="left" w:pos="2160"/>
        </w:tabs>
        <w:spacing w:before="192" w:beforeLines="80" w:line="420" w:lineRule="exact"/>
        <w:ind w:left="1310" w:leftChars="624"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1.53  书面形式：</w:t>
      </w:r>
      <w:r>
        <w:rPr>
          <w:rFonts w:hint="eastAsia" w:ascii="仿宋_GB2312" w:hAnsi="仿宋_GB2312" w:eastAsia="仿宋_GB2312" w:cs="仿宋_GB2312"/>
          <w:color w:val="auto"/>
          <w:kern w:val="2"/>
          <w:sz w:val="24"/>
          <w:szCs w:val="24"/>
          <w:highlight w:val="none"/>
          <w:lang w:val="en-US" w:eastAsia="zh-CN" w:bidi="ar-SA"/>
        </w:rPr>
        <w:t>指合同文件、信函、电报、电传、传真、电子数据交换文件、电子邮件等可以有形地表现所载内容的形式。合同双方当事人可在专用条款中注明所采用的书面形式。</w:t>
      </w:r>
    </w:p>
    <w:p w14:paraId="1783F4A0">
      <w:pPr>
        <w:widowControl w:val="0"/>
        <w:tabs>
          <w:tab w:val="left" w:pos="2160"/>
        </w:tabs>
        <w:spacing w:before="192" w:beforeLines="80" w:line="420" w:lineRule="exact"/>
        <w:ind w:firstLine="1446" w:firstLineChars="6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1.54  国家：</w:t>
      </w:r>
      <w:r>
        <w:rPr>
          <w:rFonts w:hint="eastAsia" w:ascii="仿宋_GB2312" w:hAnsi="仿宋_GB2312" w:eastAsia="仿宋_GB2312" w:cs="仿宋_GB2312"/>
          <w:color w:val="auto"/>
          <w:kern w:val="2"/>
          <w:sz w:val="24"/>
          <w:szCs w:val="24"/>
          <w:highlight w:val="none"/>
          <w:lang w:val="en-US" w:eastAsia="zh-CN" w:bidi="ar-SA"/>
        </w:rPr>
        <w:t>指中华人民共和国。</w:t>
      </w:r>
    </w:p>
    <w:p w14:paraId="16D8C850">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14:paraId="769E90C6">
      <w:pPr>
        <w:keepNext/>
        <w:keepLines/>
        <w:widowControl/>
        <w:numPr>
          <w:ilvl w:val="0"/>
          <w:numId w:val="0"/>
        </w:numPr>
        <w:tabs>
          <w:tab w:val="left" w:pos="420"/>
          <w:tab w:val="left" w:pos="1287"/>
        </w:tabs>
        <w:spacing w:before="260" w:after="260" w:line="420" w:lineRule="exact"/>
        <w:ind w:left="720" w:hanging="720"/>
        <w:jc w:val="left"/>
        <w:outlineLvl w:val="2"/>
        <w:rPr>
          <w:rFonts w:hint="eastAsia" w:ascii="黑体" w:hAnsi="黑体" w:eastAsia="黑体" w:cs="黑体"/>
          <w:b w:val="0"/>
          <w:bCs/>
          <w:color w:val="auto"/>
          <w:kern w:val="0"/>
          <w:sz w:val="24"/>
          <w:szCs w:val="24"/>
          <w:highlight w:val="none"/>
          <w:lang w:val="en-US" w:eastAsia="zh-CN" w:bidi="ar-SA"/>
        </w:rPr>
      </w:pPr>
      <w:bookmarkStart w:id="385" w:name="_Toc10624821"/>
      <w:bookmarkStart w:id="386" w:name="_Toc469383981"/>
      <w:r>
        <w:rPr>
          <w:rFonts w:hint="eastAsia" w:ascii="黑体" w:hAnsi="黑体" w:eastAsia="黑体" w:cs="黑体"/>
          <w:b w:val="0"/>
          <w:bCs/>
          <w:color w:val="auto"/>
          <w:kern w:val="0"/>
          <w:sz w:val="24"/>
          <w:szCs w:val="24"/>
          <w:highlight w:val="none"/>
          <w:lang w:val="en-US" w:eastAsia="zh-CN" w:bidi="ar-SA"/>
        </w:rPr>
        <w:t>2  合同文件及解释</w:t>
      </w:r>
      <w:bookmarkEnd w:id="385"/>
      <w:bookmarkEnd w:id="386"/>
    </w:p>
    <w:p w14:paraId="6114E858">
      <w:pPr>
        <w:widowControl w:val="0"/>
        <w:tabs>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 xml:space="preserve">2.1 </w:t>
      </w:r>
      <w:r>
        <w:rPr>
          <w:rFonts w:hint="eastAsia" w:ascii="宋体" w:hAnsi="宋体" w:eastAsia="宋体" w:cs="宋体"/>
          <w:b/>
          <w:bCs/>
          <w:color w:val="auto"/>
          <w:kern w:val="2"/>
          <w:sz w:val="22"/>
          <w:szCs w:val="22"/>
          <w:highlight w:val="none"/>
          <w:lang w:val="en-US" w:eastAsia="zh-CN" w:bidi="ar-SA"/>
        </w:rPr>
        <w:t xml:space="preserve">                                                                                </w:t>
      </w:r>
    </w:p>
    <w:p w14:paraId="24EF5FA3">
      <w:pPr>
        <w:widowControl w:val="0"/>
        <w:tabs>
          <w:tab w:val="left" w:pos="1202"/>
          <w:tab w:val="left" w:pos="1620"/>
          <w:tab w:val="left" w:pos="1800"/>
          <w:tab w:val="left" w:pos="2160"/>
        </w:tabs>
        <w:spacing w:line="420" w:lineRule="exact"/>
        <w:ind w:firstLine="1529" w:firstLineChars="695"/>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20955</wp:posOffset>
                </wp:positionV>
                <wp:extent cx="800100" cy="2971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6F3F4234">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wps:txbx>
                      <wps:bodyPr wrap="square" upright="1"/>
                    </wps:wsp>
                  </a:graphicData>
                </a:graphic>
              </wp:anchor>
            </w:drawing>
          </mc:Choice>
          <mc:Fallback>
            <w:pict>
              <v:shape id="_x0000_s1026" o:spid="_x0000_s1026" o:spt="202" type="#_x0000_t202" style="position:absolute;left:0pt;margin-left:-9pt;margin-top:1.65pt;height:23.4pt;width:63pt;z-index:251661312;mso-width-relative:page;mso-height-relative:page;" filled="f" stroked="f" coordsize="21600,21600" o:gfxdata="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0P&#10;jsvUAAAACAEAAA8AAAAAAAAAAQAgAAAAIgAAAGRycy9kb3ducmV2LnhtbFBLAQIUABQAAAAIAIdO&#10;4kAeqgW+tQEAAFsDAAAOAAAAAAAAAAEAIAAAACMBAABkcnMvZTJvRG9jLnhtbFBLBQYAAAAABgAG&#10;AFkBAABKBQAAAAA=&#10;">
                <v:fill on="f" focussize="0,0"/>
                <v:stroke on="f"/>
                <v:imagedata o:title=""/>
                <o:lock v:ext="edit" aspectratio="f"/>
                <v:textbox>
                  <w:txbxContent>
                    <w:p w14:paraId="6F3F4234">
                      <w:pPr>
                        <w:rPr>
                          <w:rFonts w:hint="eastAsia" w:ascii="仿宋_GB2312" w:hAnsi="仿宋_GB2312" w:eastAsia="仿宋_GB2312" w:cs="仿宋_GB2312"/>
                          <w:b/>
                          <w:bCs/>
                          <w:color w:val="000000"/>
                          <w:sz w:val="18"/>
                          <w:szCs w:val="18"/>
                        </w:rPr>
                      </w:pPr>
                      <w:r>
                        <w:rPr>
                          <w:rFonts w:hint="eastAsia" w:ascii="仿宋_GB2312" w:hAnsi="仿宋_GB2312" w:eastAsia="仿宋_GB2312" w:cs="仿宋_GB2312"/>
                          <w:b/>
                          <w:bCs/>
                          <w:color w:val="000000"/>
                          <w:sz w:val="18"/>
                          <w:szCs w:val="18"/>
                        </w:rPr>
                        <w:t>标题和旁注</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 </w:t>
      </w:r>
      <w:r>
        <w:rPr>
          <w:rFonts w:hint="eastAsia" w:ascii="仿宋_GB2312" w:hAnsi="仿宋_GB2312" w:eastAsia="仿宋_GB2312" w:cs="仿宋_GB2312"/>
          <w:color w:val="auto"/>
          <w:kern w:val="2"/>
          <w:sz w:val="24"/>
          <w:szCs w:val="24"/>
          <w:highlight w:val="none"/>
          <w:lang w:val="en-US" w:eastAsia="zh-CN" w:bidi="ar-SA"/>
        </w:rPr>
        <w:t>本合同条款的标题和旁注不构成合同的组成部分。</w:t>
      </w:r>
    </w:p>
    <w:p w14:paraId="7A05B57E">
      <w:pPr>
        <w:widowControl w:val="0"/>
        <w:tabs>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★2.2</w:t>
      </w:r>
      <w:r>
        <w:rPr>
          <w:rFonts w:hint="eastAsia" w:ascii="宋体" w:hAnsi="宋体" w:eastAsia="宋体" w:cs="宋体"/>
          <w:b/>
          <w:bCs/>
          <w:color w:val="auto"/>
          <w:kern w:val="2"/>
          <w:sz w:val="24"/>
          <w:szCs w:val="24"/>
          <w:highlight w:val="non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14:paraId="57B9BDF0">
      <w:pPr>
        <w:widowControl w:val="0"/>
        <w:tabs>
          <w:tab w:val="left" w:pos="1320"/>
        </w:tabs>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1662336" behindDoc="1" locked="0" layoutInCell="1" allowOverlap="1">
                <wp:simplePos x="0" y="0"/>
                <wp:positionH relativeFrom="column">
                  <wp:posOffset>-40640</wp:posOffset>
                </wp:positionH>
                <wp:positionV relativeFrom="paragraph">
                  <wp:posOffset>67310</wp:posOffset>
                </wp:positionV>
                <wp:extent cx="1007745" cy="706120"/>
                <wp:effectExtent l="0" t="0" r="0" b="0"/>
                <wp:wrapTight wrapText="bothSides">
                  <wp:wrapPolygon>
                    <wp:start x="1960" y="1399"/>
                    <wp:lineTo x="19640" y="1399"/>
                    <wp:lineTo x="19640" y="20201"/>
                    <wp:lineTo x="1960" y="20201"/>
                    <wp:lineTo x="1960" y="1399"/>
                  </wp:wrapPolygon>
                </wp:wrapTight>
                <wp:docPr id="5" name="文本框 3"/>
                <wp:cNvGraphicFramePr/>
                <a:graphic xmlns:a="http://schemas.openxmlformats.org/drawingml/2006/main">
                  <a:graphicData uri="http://schemas.microsoft.com/office/word/2010/wordprocessingShape">
                    <wps:wsp>
                      <wps:cNvSpPr txBox="1"/>
                      <wps:spPr>
                        <a:xfrm>
                          <a:off x="0" y="0"/>
                          <a:ext cx="1007745" cy="706120"/>
                        </a:xfrm>
                        <a:prstGeom prst="rect">
                          <a:avLst/>
                        </a:prstGeom>
                        <a:noFill/>
                        <a:ln>
                          <a:noFill/>
                        </a:ln>
                      </wps:spPr>
                      <wps:txbx>
                        <w:txbxContent>
                          <w:p w14:paraId="301DB5E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14:paraId="5E6490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wps:txbx>
                      <wps:bodyPr wrap="square" upright="1"/>
                    </wps:wsp>
                  </a:graphicData>
                </a:graphic>
              </wp:anchor>
            </w:drawing>
          </mc:Choice>
          <mc:Fallback>
            <w:pict>
              <v:shape id="文本框 3" o:spid="_x0000_s1026" o:spt="202" type="#_x0000_t202" style="position:absolute;left:0pt;margin-left:-3.2pt;margin-top:5.3pt;height:55.6pt;width:79.35pt;mso-wrap-distance-left:9pt;mso-wrap-distance-right:9pt;z-index:-251654144;mso-width-relative:page;mso-height-relative:page;" filled="f" stroked="f" coordsize="21600,21600" wrapcoords="1960 1399 19640 1399 19640 20201 1960 20201 1960 1399" o:gfxdata="UEsDBAoAAAAAAIdO4kAAAAAAAAAAAAAAAAAEAAAAZHJzL1BLAwQUAAAACACHTuJA4TMe7NcAAAAJ&#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TMe7NcAAAAJAQAADwAAAAAAAAABACAAAAAiAAAAZHJzL2Rvd25yZXYueG1sUEsBAhQAFAAA&#10;AAgAh07iQNQT0fa3AQAAXAMAAA4AAAAAAAAAAQAgAAAAJgEAAGRycy9lMm9Eb2MueG1sUEsFBgAA&#10;AAAGAAYAWQEAAE8FAAAAAA==&#10;">
                <v:fill on="f" focussize="0,0"/>
                <v:stroke on="f"/>
                <v:imagedata o:title=""/>
                <o:lock v:ext="edit" aspectratio="f"/>
                <v:textbox>
                  <w:txbxContent>
                    <w:p w14:paraId="301DB5E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合同文件组成</w:t>
                      </w:r>
                    </w:p>
                    <w:p w14:paraId="5E6490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及优先顺序</w:t>
                      </w:r>
                    </w:p>
                  </w:txbxContent>
                </v:textbox>
                <w10:wrap type="tight"/>
              </v:shape>
            </w:pict>
          </mc:Fallback>
        </mc:AlternateContent>
      </w:r>
      <w:r>
        <w:rPr>
          <w:rFonts w:hint="eastAsia" w:ascii="仿宋_GB2312" w:hAnsi="仿宋_GB2312" w:eastAsia="仿宋_GB2312" w:cs="仿宋_GB2312"/>
          <w:color w:val="auto"/>
          <w:kern w:val="2"/>
          <w:sz w:val="24"/>
          <w:szCs w:val="24"/>
          <w:highlight w:val="none"/>
          <w:lang w:val="en-US" w:eastAsia="zh-CN" w:bidi="ar-SA"/>
        </w:rPr>
        <w:t>下列组成本合同的文件是一个合同整体，彼此应当能相互解释，互为说明。当出现相互矛盾时，组成本合同文件的优先解释顺序如下：</w:t>
      </w:r>
    </w:p>
    <w:p w14:paraId="1BD1C767">
      <w:pPr>
        <w:widowControl w:val="0"/>
        <w:numPr>
          <w:ilvl w:val="0"/>
          <w:numId w:val="5"/>
        </w:numPr>
        <w:spacing w:line="420" w:lineRule="exact"/>
        <w:ind w:firstLine="54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履行本合同的相关补充协议（含工程洽商记录、会议纪要、 </w:t>
      </w:r>
    </w:p>
    <w:p w14:paraId="7429AE3C">
      <w:pPr>
        <w:widowControl w:val="0"/>
        <w:numPr>
          <w:ilvl w:val="0"/>
          <w:numId w:val="0"/>
        </w:numPr>
        <w:spacing w:line="420" w:lineRule="exact"/>
        <w:ind w:left="1620" w:left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工程变更、现场签证、等修正文件）；</w:t>
      </w:r>
    </w:p>
    <w:p w14:paraId="0914B359">
      <w:pPr>
        <w:widowControl w:val="0"/>
        <w:numPr>
          <w:ilvl w:val="0"/>
          <w:numId w:val="5"/>
        </w:numPr>
        <w:tabs>
          <w:tab w:val="left" w:pos="1620"/>
        </w:tabs>
        <w:spacing w:line="420" w:lineRule="exact"/>
        <w:ind w:left="1620" w:firstLine="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协议书；</w:t>
      </w:r>
    </w:p>
    <w:p w14:paraId="59CA19AD">
      <w:pPr>
        <w:widowControl w:val="0"/>
        <w:numPr>
          <w:ilvl w:val="0"/>
          <w:numId w:val="5"/>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中标通知书；</w:t>
      </w:r>
    </w:p>
    <w:p w14:paraId="1767BFB7">
      <w:pPr>
        <w:widowControl w:val="0"/>
        <w:numPr>
          <w:ilvl w:val="0"/>
          <w:numId w:val="5"/>
        </w:numPr>
        <w:tabs>
          <w:tab w:val="left" w:pos="1620"/>
        </w:tabs>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承包人投标文件及其附件（含评标期间的澄清文件和补充资料）；</w:t>
      </w:r>
    </w:p>
    <w:p w14:paraId="25EF3C2B">
      <w:pPr>
        <w:widowControl w:val="0"/>
        <w:numPr>
          <w:ilvl w:val="0"/>
          <w:numId w:val="5"/>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专用条款；</w:t>
      </w:r>
    </w:p>
    <w:p w14:paraId="18B05816">
      <w:pPr>
        <w:widowControl w:val="0"/>
        <w:numPr>
          <w:ilvl w:val="0"/>
          <w:numId w:val="5"/>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通用条款；</w:t>
      </w:r>
    </w:p>
    <w:p w14:paraId="667CB0B5">
      <w:pPr>
        <w:widowControl w:val="0"/>
        <w:numPr>
          <w:ilvl w:val="0"/>
          <w:numId w:val="5"/>
        </w:numPr>
        <w:spacing w:line="420" w:lineRule="exact"/>
        <w:ind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标准、规范及有关技术文件；</w:t>
      </w:r>
    </w:p>
    <w:p w14:paraId="38D5B12F">
      <w:pPr>
        <w:widowControl w:val="0"/>
        <w:numPr>
          <w:ilvl w:val="0"/>
          <w:numId w:val="5"/>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施工设计图纸；</w:t>
      </w:r>
    </w:p>
    <w:p w14:paraId="7F93F33C">
      <w:pPr>
        <w:widowControl w:val="0"/>
        <w:numPr>
          <w:ilvl w:val="0"/>
          <w:numId w:val="5"/>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招标文件（包括补充、修改、澄清的文件、招标图纸、答疑 </w:t>
      </w:r>
    </w:p>
    <w:p w14:paraId="3C4A7765">
      <w:pPr>
        <w:widowControl w:val="0"/>
        <w:numPr>
          <w:ilvl w:val="0"/>
          <w:numId w:val="0"/>
        </w:numPr>
        <w:spacing w:line="420" w:lineRule="exact"/>
        <w:ind w:left="1617" w:left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纪要、工程量清单及总说明等）；</w:t>
      </w:r>
    </w:p>
    <w:p w14:paraId="694007C6">
      <w:pPr>
        <w:widowControl w:val="0"/>
        <w:numPr>
          <w:ilvl w:val="0"/>
          <w:numId w:val="5"/>
        </w:numPr>
        <w:spacing w:line="420" w:lineRule="exact"/>
        <w:ind w:left="1077" w:firstLine="54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专用条款约定的其他文件。</w:t>
      </w:r>
    </w:p>
    <w:p w14:paraId="695A7749">
      <w:pPr>
        <w:spacing w:line="420" w:lineRule="exact"/>
        <w:ind w:left="1529" w:leftChars="728"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上述各项合同文件包括合同当事人就该项合同文件所作出的补充和修改，属于同一类内容的文件，应以最新签署的为准。</w:t>
      </w:r>
    </w:p>
    <w:p w14:paraId="7847928C">
      <w:pPr>
        <w:widowControl w:val="0"/>
        <w:tabs>
          <w:tab w:val="left" w:pos="540"/>
          <w:tab w:val="left" w:pos="1202"/>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 xml:space="preserve">2.3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14:paraId="23DE895C">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 name="文本框 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64D6C4A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4" o:spid="_x0000_s1026" o:spt="202" type="#_x0000_t202" style="position:absolute;left:0pt;margin-left:-9pt;margin-top:0pt;height:62.4pt;width:72pt;z-index:25166336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CdPV9HtwEAAFsDAAAOAAAAAAAAAAEAIAAAACQBAABkcnMvZTJvRG9jLnhtbFBLBQYAAAAA&#10;BgAGAFkBAABNBQAAAAA=&#10;">
                <v:fill on="f" focussize="0,0"/>
                <v:stroke on="f"/>
                <v:imagedata o:title=""/>
                <o:lock v:ext="edit" aspectratio="f"/>
                <v:textbox>
                  <w:txbxContent>
                    <w:p w14:paraId="64D6C4A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14:paraId="3C14CAA3">
      <w:pPr>
        <w:spacing w:line="420" w:lineRule="exact"/>
        <w:jc w:val="lef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528FF1C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87" w:name="_Toc10624822"/>
      <w:bookmarkStart w:id="388" w:name="_Toc469383982"/>
      <w:r>
        <w:rPr>
          <w:rFonts w:hint="eastAsia" w:ascii="黑体" w:hAnsi="黑体" w:eastAsia="黑体" w:cs="黑体"/>
          <w:b w:val="0"/>
          <w:bCs/>
          <w:color w:val="auto"/>
          <w:kern w:val="0"/>
          <w:sz w:val="24"/>
          <w:szCs w:val="24"/>
          <w:highlight w:val="none"/>
          <w:lang w:val="en-US" w:eastAsia="zh-CN" w:bidi="ar-SA"/>
        </w:rPr>
        <w:t>3  阅读、理解与接受</w:t>
      </w:r>
      <w:bookmarkEnd w:id="387"/>
      <w:bookmarkEnd w:id="388"/>
    </w:p>
    <w:p w14:paraId="51164DF8">
      <w:pPr>
        <w:tabs>
          <w:tab w:val="left" w:pos="1260"/>
        </w:tabs>
        <w:spacing w:before="240" w:beforeLines="100" w:line="420" w:lineRule="exact"/>
        <w:rPr>
          <w:rFonts w:ascii="宋体" w:hAnsi="宋体" w:cs="宋体"/>
          <w:b/>
          <w:bCs/>
          <w:color w:val="auto"/>
          <w:sz w:val="22"/>
          <w:szCs w:val="22"/>
          <w:highlight w:val="none"/>
        </w:rPr>
      </w:pPr>
      <w:r>
        <w:rPr>
          <w:rFonts w:hint="eastAsia" w:ascii="仿宋_GB2312" w:hAnsi="仿宋_GB2312" w:eastAsia="仿宋_GB2312" w:cs="仿宋_GB2312"/>
          <w:b/>
          <w:bCs/>
          <w:color w:val="auto"/>
          <w:sz w:val="24"/>
          <w:szCs w:val="24"/>
          <w:highlight w:val="none"/>
        </w:rPr>
        <w:t xml:space="preserve">3.1 </w:t>
      </w:r>
    </w:p>
    <w:p w14:paraId="448A4D1C">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 name="文本框 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D03CF9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62.4pt;width:72pt;z-index:25166438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D0hdzXtwEAAFsDAAAOAAAAAAAAAAEAIAAAACQBAABkcnMvZTJvRG9jLnhtbFBLBQYAAAAA&#10;BgAGAFkBAABNBQAAAAA=&#10;">
                <v:fill on="f" focussize="0,0"/>
                <v:stroke on="f"/>
                <v:imagedata o:title=""/>
                <o:lock v:ext="edit" aspectratio="f"/>
                <v:textbox>
                  <w:txbxContent>
                    <w:p w14:paraId="2D03CF9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合同双方当事人应认真阅读和理解本合同的全部内容。除合同双方当事人同意修改外，本合同一旦订立，视为合同双方当事人已全面接受本合同的所有条款。</w:t>
      </w:r>
    </w:p>
    <w:p w14:paraId="176FC342">
      <w:pPr>
        <w:widowControl w:val="0"/>
        <w:tabs>
          <w:tab w:val="left" w:pos="2160"/>
        </w:tabs>
        <w:spacing w:before="192" w:beforeLines="80" w:line="420" w:lineRule="exact"/>
        <w:ind w:left="1485" w:hanging="1485" w:hangingChars="675"/>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14:paraId="7356C5B8">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31.2pt;height:62.4pt;width:75pt;z-index:251665408;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kXlQ7YAAAACgEAAA8AAAAAAAAAAQAgAAAAIgAAAGRycy9kb3ducmV2LnhtbFBLAQIUABQA&#10;AAAIAIdO4kCdOObUtwEAAFwDAAAOAAAAAAAAAAEAIAAAACcBAABkcnMvZTJvRG9jLnhtbFBLBQYA&#10;AAAABgAGAFkBAABQBQAAAAA=&#10;">
                <v:fill on="f" focussize="0,0"/>
                <v:stroke on="f"/>
                <v:imagedata o:title=""/>
                <o:lock v:ext="edit" aspectratio="f"/>
                <v:textbox>
                  <w:txbxContent>
                    <w:p w14:paraId="7356C5B8">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修改合同条款的限制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  </w:t>
      </w:r>
      <w:r>
        <w:rPr>
          <w:rFonts w:hint="eastAsia" w:ascii="宋体" w:hAnsi="宋体" w:eastAsia="宋体" w:cs="宋体"/>
          <w:b/>
          <w:bCs/>
          <w:color w:val="auto"/>
          <w:kern w:val="2"/>
          <w:sz w:val="22"/>
          <w:szCs w:val="22"/>
          <w:highlight w:val="none"/>
          <w:u w:val="dotted"/>
          <w:lang w:val="en-US" w:eastAsia="zh-CN" w:bidi="ar-SA"/>
        </w:rPr>
        <w:t xml:space="preserve">                                                                               </w:t>
      </w:r>
    </w:p>
    <w:p w14:paraId="2F7FADFE">
      <w:pPr>
        <w:spacing w:line="420" w:lineRule="exact"/>
        <w:ind w:left="1529" w:leftChars="728"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41A4092C">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7394A9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89" w:name="_Toc469383983"/>
      <w:bookmarkStart w:id="390" w:name="_Toc10624823"/>
      <w:r>
        <w:rPr>
          <w:rFonts w:hint="eastAsia" w:ascii="黑体" w:hAnsi="黑体" w:eastAsia="黑体" w:cs="黑体"/>
          <w:b w:val="0"/>
          <w:bCs/>
          <w:color w:val="auto"/>
          <w:kern w:val="0"/>
          <w:sz w:val="24"/>
          <w:szCs w:val="24"/>
          <w:highlight w:val="none"/>
          <w:lang w:val="en-US" w:eastAsia="zh-CN" w:bidi="ar-SA"/>
        </w:rPr>
        <w:t>4  语言及适用的法律、标准与规范</w:t>
      </w:r>
      <w:bookmarkEnd w:id="389"/>
      <w:bookmarkEnd w:id="390"/>
    </w:p>
    <w:p w14:paraId="120E7A44">
      <w:pPr>
        <w:tabs>
          <w:tab w:val="left" w:pos="1320"/>
        </w:tabs>
        <w:spacing w:line="420" w:lineRule="exact"/>
        <w:ind w:right="-15" w:rightChars="-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                         </w:t>
      </w:r>
    </w:p>
    <w:p w14:paraId="6E70D17F">
      <w:pPr>
        <w:tabs>
          <w:tab w:val="left" w:pos="1620"/>
        </w:tabs>
        <w:spacing w:line="420" w:lineRule="exact"/>
        <w:ind w:left="1977" w:right="-7" w:hanging="1617" w:hangingChars="895"/>
        <w:rPr>
          <w:rFonts w:hint="eastAsia" w:ascii="仿宋_GB2312" w:hAnsi="仿宋_GB2312" w:eastAsia="仿宋_GB2312" w:cs="仿宋_GB2312"/>
          <w:color w:val="auto"/>
          <w:sz w:val="24"/>
          <w:szCs w:val="24"/>
          <w:highlight w:val="none"/>
        </w:rPr>
      </w:pPr>
      <w:r>
        <w:rPr>
          <w:rFonts w:hint="eastAsia" w:ascii="楷体_GB2312" w:hAnsi="Calibri" w:eastAsia="楷体_GB2312" w:cs="楷体_GB2312"/>
          <w:b/>
          <w:bCs/>
          <w:color w:val="auto"/>
          <w:sz w:val="18"/>
          <w:szCs w:val="18"/>
          <w:highlight w:val="none"/>
        </w:rPr>
        <w:t>语言文字</w:t>
      </w: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rPr>
        <w:t xml:space="preserve"> 本合同所使用的语言文字为中文（汉语）。</w:t>
      </w:r>
    </w:p>
    <w:p w14:paraId="2F6EDAD4">
      <w:pPr>
        <w:tabs>
          <w:tab w:val="left" w:pos="1620"/>
        </w:tabs>
        <w:spacing w:line="420" w:lineRule="exact"/>
        <w:ind w:left="1436" w:leftChars="684" w:firstLine="0" w:firstLineChars="0"/>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对于必须使用外文表达的专用术语等，应附有中文注释。合同当事人在合同中使用两种以上语言时，汉语为优先解释和说明合同的语言。</w:t>
      </w:r>
    </w:p>
    <w:p w14:paraId="3433D89E">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  </w:t>
      </w:r>
      <w:r>
        <w:rPr>
          <w:rFonts w:hint="eastAsia" w:ascii="宋体" w:hAnsi="宋体" w:cs="宋体"/>
          <w:b/>
          <w:bCs/>
          <w:color w:val="auto"/>
          <w:sz w:val="22"/>
          <w:szCs w:val="22"/>
          <w:highlight w:val="none"/>
          <w:u w:val="dotted"/>
        </w:rPr>
        <w:t xml:space="preserve">                                                                                        </w:t>
      </w:r>
    </w:p>
    <w:p w14:paraId="0B5FF21F">
      <w:pPr>
        <w:widowControl w:val="0"/>
        <w:spacing w:line="420" w:lineRule="exact"/>
        <w:ind w:left="1617" w:leftChars="770" w:firstLine="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271EB7BE">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36pt;width:81pt;z-index:25166643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kc&#10;JrPUAAAACAEAAA8AAAAAAAAAAQAgAAAAIgAAAGRycy9kb3ducmV2LnhtbFBLAQIUABQAAAAIAIdO&#10;4kCsoexvtQEAAF0DAAAOAAAAAAAAAAEAIAAAACMBAABkcnMvZTJvRG9jLnhtbFBLBQYAAAAABgAG&#10;AFkBAABKBQAAAAA=&#10;">
                <v:fill on="f" focussize="0,0"/>
                <v:stroke on="f"/>
                <v:imagedata o:title=""/>
                <o:lock v:ext="edit" aspectratio="f"/>
                <v:textbox>
                  <w:txbxContent>
                    <w:p w14:paraId="271EB7BE">
                      <w:pPr>
                        <w:rPr>
                          <w:rFonts w:ascii="楷体_GB2312" w:hAnsi="Calibri" w:eastAsia="楷体_GB2312" w:cs="Times New Roman"/>
                          <w:sz w:val="18"/>
                          <w:szCs w:val="18"/>
                        </w:rPr>
                      </w:pPr>
                      <w:r>
                        <w:rPr>
                          <w:rFonts w:hint="eastAsia" w:ascii="楷体_GB2312" w:hAnsi="Calibri" w:eastAsia="楷体_GB2312" w:cs="楷体_GB2312"/>
                          <w:b/>
                          <w:bCs/>
                          <w:color w:val="000000"/>
                          <w:sz w:val="18"/>
                          <w:szCs w:val="18"/>
                        </w:rPr>
                        <w:t>适用法律</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本合同适用的法律为中华人民共和国的现行法律、行政法规、部门规章和合同工程所在地的地方性法规、地方政府规章、行政规范性文件。</w:t>
      </w:r>
    </w:p>
    <w:p w14:paraId="0477B6B9">
      <w:pPr>
        <w:tabs>
          <w:tab w:val="left" w:pos="1320"/>
        </w:tabs>
        <w:spacing w:line="420" w:lineRule="exact"/>
        <w:ind w:right="-7"/>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4.3  </w:t>
      </w:r>
      <w:r>
        <w:rPr>
          <w:rFonts w:hint="eastAsia" w:ascii="宋体" w:hAnsi="宋体" w:cs="宋体"/>
          <w:b/>
          <w:bCs/>
          <w:color w:val="auto"/>
          <w:sz w:val="22"/>
          <w:szCs w:val="22"/>
          <w:highlight w:val="none"/>
          <w:u w:val="dotted"/>
        </w:rPr>
        <w:t xml:space="preserve">                                                                                        </w:t>
      </w:r>
    </w:p>
    <w:p w14:paraId="0F42D775">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14:paraId="631F7C5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14:paraId="25688EC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8" o:spid="_x0000_s1026" o:spt="202" type="#_x0000_t202" style="position:absolute;left:0pt;margin-left:-9pt;margin-top:0pt;height:34.8pt;width:81pt;z-index:251667456;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i47vVAAAABwEAAA8AAAAAAAAAAQAgAAAAIgAAAGRycy9kb3ducmV2LnhtbFBLAQIUABQAAAAI&#10;AIdO4kBKPHfDtwEAAF0DAAAOAAAAAAAAAAEAIAAAACQBAABkcnMvZTJvRG9jLnhtbFBLBQYAAAAA&#10;BgAGAFkBAABNBQAAAAA=&#10;">
                <v:fill on="f" focussize="0,0"/>
                <v:stroke on="f"/>
                <v:imagedata o:title=""/>
                <o:lock v:ext="edit" aspectratio="f"/>
                <v:textbox>
                  <w:txbxContent>
                    <w:p w14:paraId="631F7C5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w:t>
                      </w:r>
                    </w:p>
                    <w:p w14:paraId="25688EC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_GB2312" w:hAnsi="仿宋_GB2312" w:eastAsia="仿宋_GB2312" w:cs="仿宋_GB2312"/>
          <w:color w:val="auto"/>
          <w:sz w:val="24"/>
          <w:szCs w:val="24"/>
          <w:highlight w:val="none"/>
        </w:rPr>
        <w:t>本合同适用的标准与规范为国家、行业和广东省的标准与规范或规程，以及发包人在合同中要求使用的标准与规范。</w:t>
      </w:r>
    </w:p>
    <w:p w14:paraId="6014D373">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合同双方当事人在专用条款中约定适用的国家标准、规范名称；国家没有但行业有的，约定适用的行业标准、规范名称；国家和行业没有但广东省有的，约定适用的广东省地方标准、规范名称。   </w:t>
      </w:r>
    </w:p>
    <w:p w14:paraId="420D481C">
      <w:pPr>
        <w:spacing w:line="420" w:lineRule="exact"/>
        <w:ind w:left="1619" w:leftChars="771"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27818114">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391" w:name="_Toc10624824"/>
      <w:bookmarkStart w:id="392" w:name="_Toc469383984"/>
      <w:r>
        <w:rPr>
          <w:rFonts w:hint="eastAsia" w:ascii="黑体" w:hAnsi="黑体" w:eastAsia="黑体" w:cs="黑体"/>
          <w:b w:val="0"/>
          <w:bCs/>
          <w:color w:val="auto"/>
          <w:kern w:val="0"/>
          <w:sz w:val="24"/>
          <w:szCs w:val="24"/>
          <w:highlight w:val="none"/>
          <w:lang w:val="en-US" w:eastAsia="zh-CN" w:bidi="ar-SA"/>
        </w:rPr>
        <w:t>5  施工设计图纸</w:t>
      </w:r>
      <w:bookmarkEnd w:id="391"/>
      <w:bookmarkEnd w:id="392"/>
    </w:p>
    <w:p w14:paraId="7D0F2762">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 </w:t>
      </w:r>
    </w:p>
    <w:p w14:paraId="2722B9CD">
      <w:pPr>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14" name="文本框 9"/>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13839A45">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wps:txbx>
                      <wps:bodyPr wrap="square" upright="1"/>
                    </wps:wsp>
                  </a:graphicData>
                </a:graphic>
              </wp:anchor>
            </w:drawing>
          </mc:Choice>
          <mc:Fallback>
            <w:pict>
              <v:shape id="文本框 9" o:spid="_x0000_s1026" o:spt="202" type="#_x0000_t202" style="position:absolute;left:0pt;margin-left:-9pt;margin-top:1.6pt;height:71.8pt;width:63pt;z-index:251668480;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guxZtYAAAAJAQAADwAAAAAAAAABACAAAAAiAAAAZHJzL2Rvd25yZXYueG1sUEsBAhQAFAAAAAgA&#10;h07iQK05bmC1AQAAXAMAAA4AAAAAAAAAAQAgAAAAJQEAAGRycy9lMm9Eb2MueG1sUEsFBgAAAAAG&#10;AAYAWQEAAEwFAAAAAA==&#10;">
                <v:fill on="f" focussize="0,0"/>
                <v:stroke on="f"/>
                <v:imagedata o:title=""/>
                <o:lock v:ext="edit" aspectratio="f"/>
                <v:textbox>
                  <w:txbxContent>
                    <w:p w14:paraId="13839A45">
                      <w:pPr>
                        <w:tabs>
                          <w:tab w:val="left" w:pos="1620"/>
                        </w:tabs>
                        <w:spacing w:line="420" w:lineRule="exact"/>
                        <w:ind w:left="1977" w:right="-7" w:hanging="1617" w:hangingChars="895"/>
                        <w:rPr>
                          <w:rFonts w:hint="eastAsia" w:ascii="楷体_GB2312" w:hAnsi="Calibri" w:eastAsia="楷体_GB2312" w:cs="楷体_GB2312"/>
                          <w:b/>
                          <w:bCs/>
                          <w:color w:val="000000"/>
                          <w:sz w:val="18"/>
                          <w:szCs w:val="18"/>
                        </w:rPr>
                      </w:pPr>
                      <w:r>
                        <w:rPr>
                          <w:rFonts w:hint="eastAsia" w:ascii="楷体_GB2312" w:hAnsi="Calibri" w:eastAsia="楷体_GB2312" w:cs="楷体_GB2312"/>
                          <w:b/>
                          <w:bCs/>
                          <w:color w:val="000000"/>
                          <w:sz w:val="18"/>
                          <w:szCs w:val="18"/>
                        </w:rPr>
                        <w:t>图纸的提供</w:t>
                      </w:r>
                    </w:p>
                  </w:txbxContent>
                </v:textbox>
              </v:shape>
            </w:pict>
          </mc:Fallback>
        </mc:AlternateContent>
      </w:r>
      <w:r>
        <w:rPr>
          <w:rFonts w:hint="eastAsia" w:ascii="仿宋_GB2312" w:hAnsi="仿宋_GB2312" w:eastAsia="仿宋_GB2312" w:cs="仿宋_GB2312"/>
          <w:color w:val="auto"/>
          <w:sz w:val="24"/>
          <w:szCs w:val="24"/>
          <w:highlight w:val="none"/>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14:paraId="6CD351B7">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  </w:t>
      </w:r>
      <w:r>
        <w:rPr>
          <w:rFonts w:hint="eastAsia" w:ascii="宋体" w:hAnsi="宋体" w:eastAsia="宋体" w:cs="宋体"/>
          <w:b/>
          <w:bCs/>
          <w:color w:val="auto"/>
          <w:kern w:val="2"/>
          <w:sz w:val="22"/>
          <w:szCs w:val="22"/>
          <w:highlight w:val="none"/>
          <w:u w:val="dotted"/>
          <w:lang w:val="en-US" w:eastAsia="zh-CN" w:bidi="ar-SA"/>
        </w:rPr>
        <w:t xml:space="preserve">                                                                              </w:t>
      </w:r>
    </w:p>
    <w:p w14:paraId="7881F8CD">
      <w:pPr>
        <w:spacing w:line="420" w:lineRule="exact"/>
        <w:ind w:left="1619" w:leftChars="771"/>
        <w:rPr>
          <w:rFonts w:ascii="宋体" w:hAnsi="宋体" w:cs="宋体"/>
          <w:b/>
          <w:bCs/>
          <w:color w:val="auto"/>
          <w:sz w:val="22"/>
          <w:szCs w:val="22"/>
          <w:highlight w:val="none"/>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15" name="文本框 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5B2FCF0C">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 o:spid="_x0000_s1026" o:spt="202" type="#_x0000_t202" style="position:absolute;left:0pt;margin-left:-9pt;margin-top:0pt;height:71.8pt;width:63pt;z-index:251669504;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ivt&#10;2NQAAAAIAQAADwAAAAAAAAABACAAAAAiAAAAZHJzL2Rvd25yZXYueG1sUEsBAhQAFAAAAAgAh07i&#10;QA66eUG0AQAAXQMAAA4AAAAAAAAAAQAgAAAAIwEAAGRycy9lMm9Eb2MueG1sUEsFBgAAAAAGAAYA&#10;WQEAAEkFAAAAAA==&#10;">
                <v:fill on="f" focussize="0,0"/>
                <v:stroke on="f"/>
                <v:imagedata o:title=""/>
                <o:lock v:ext="edit" aspectratio="f"/>
                <v:textbox>
                  <w:txbxContent>
                    <w:p w14:paraId="5B2FCF0C">
                      <w:pPr>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承包人提供配合施工的图纸</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65437D9D">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5.3  </w:t>
      </w:r>
      <w:r>
        <w:rPr>
          <w:rFonts w:hint="eastAsia" w:ascii="宋体" w:hAnsi="宋体" w:cs="宋体"/>
          <w:b/>
          <w:bCs/>
          <w:color w:val="auto"/>
          <w:sz w:val="22"/>
          <w:szCs w:val="22"/>
          <w:highlight w:val="none"/>
          <w:u w:val="dotted"/>
        </w:rPr>
        <w:t xml:space="preserve">                                                                                        </w:t>
      </w:r>
    </w:p>
    <w:p w14:paraId="775842F8">
      <w:pPr>
        <w:tabs>
          <w:tab w:val="left" w:pos="4970"/>
        </w:tabs>
        <w:spacing w:line="420" w:lineRule="exact"/>
        <w:ind w:left="1619" w:leftChars="771"/>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024055CD">
                            <w:pPr>
                              <w:rPr>
                                <w:rFonts w:ascii="宋体" w:hAnsi="Calibri" w:cs="Times New Roman"/>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1"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KZwHVAAAACAEAAA8AAAAAAAAAAQAgAAAAIgAAAGRycy9kb3ducmV2LnhtbFBLAQIUABQAAAAI&#10;AIdO4kAFxiIstwEAAF0DAAAOAAAAAAAAAAEAIAAAACQBAABkcnMvZTJvRG9jLnhtbFBLBQYAAAAA&#10;BgAGAFkBAABNBQAAAAA=&#10;">
                <v:fill on="f" focussize="0,0"/>
                <v:stroke on="f"/>
                <v:imagedata o:title=""/>
                <o:lock v:ext="edit" aspectratio="f"/>
                <v:textbox>
                  <w:txbxContent>
                    <w:p w14:paraId="024055CD">
                      <w:pPr>
                        <w:rPr>
                          <w:rFonts w:ascii="宋体" w:hAnsi="Calibri"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0DF6DE7C">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5.4  </w:t>
      </w:r>
      <w:r>
        <w:rPr>
          <w:rFonts w:hint="eastAsia" w:ascii="宋体" w:hAnsi="宋体" w:cs="宋体"/>
          <w:b/>
          <w:bCs/>
          <w:color w:val="auto"/>
          <w:sz w:val="22"/>
          <w:szCs w:val="22"/>
          <w:highlight w:val="none"/>
          <w:u w:val="dotted"/>
        </w:rPr>
        <w:t xml:space="preserve">                                                                                        </w:t>
      </w:r>
    </w:p>
    <w:p w14:paraId="4458ED9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7" name="文本框 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73A242B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2" o:spid="_x0000_s1026" o:spt="202" type="#_x0000_t202" style="position:absolute;left:0pt;margin-left:-9pt;margin-top:0pt;height:51.1pt;width:72pt;z-index:25167155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zbMll7gBAABdAwAADgAAAAAAAAABACAAAAAkAQAAZHJzL2Uyb0RvYy54bWxQSwUGAAAA&#10;AAYABgBZAQAATgUAAAAA&#10;">
                <v:fill on="f" focussize="0,0"/>
                <v:stroke on="f"/>
                <v:imagedata o:title=""/>
                <o:lock v:ext="edit" aspectratio="f"/>
                <v:textbox>
                  <w:txbxContent>
                    <w:p w14:paraId="73A242B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0946C73B">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  </w:t>
      </w:r>
      <w:r>
        <w:rPr>
          <w:rFonts w:hint="eastAsia" w:ascii="宋体" w:hAnsi="宋体" w:cs="宋体"/>
          <w:b/>
          <w:bCs/>
          <w:color w:val="auto"/>
          <w:sz w:val="22"/>
          <w:szCs w:val="22"/>
          <w:highlight w:val="none"/>
          <w:u w:val="dotted"/>
        </w:rPr>
        <w:t xml:space="preserve">                                                                                       </w:t>
      </w:r>
    </w:p>
    <w:p w14:paraId="52F0DE7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8" name="文本框 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432991F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3" o:spid="_x0000_s1026" o:spt="202" type="#_x0000_t202" style="position:absolute;left:0pt;margin-left:-9pt;margin-top:0pt;height:51.1pt;width:72pt;z-index:25167257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Nab377gBAABdAwAADgAAAAAAAAABACAAAAAkAQAAZHJzL2Uyb0RvYy54bWxQSwUGAAAA&#10;AAYABgBZAQAATgUAAAAA&#10;">
                <v:fill on="f" focussize="0,0"/>
                <v:stroke on="f"/>
                <v:imagedata o:title=""/>
                <o:lock v:ext="edit" aspectratio="f"/>
                <v:textbox>
                  <w:txbxContent>
                    <w:p w14:paraId="432991F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1C7DEB55">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393" w:name="_Toc10624825"/>
      <w:bookmarkStart w:id="394" w:name="_Toc469383985"/>
      <w:r>
        <w:rPr>
          <w:rFonts w:hint="eastAsia" w:ascii="黑体" w:hAnsi="黑体" w:eastAsia="黑体" w:cs="黑体"/>
          <w:b w:val="0"/>
          <w:bCs/>
          <w:color w:val="auto"/>
          <w:kern w:val="0"/>
          <w:sz w:val="24"/>
          <w:szCs w:val="24"/>
          <w:highlight w:val="none"/>
          <w:lang w:val="en-US" w:eastAsia="zh-CN" w:bidi="ar-SA"/>
        </w:rPr>
        <w:t>6  通讯联络</w:t>
      </w:r>
      <w:bookmarkEnd w:id="393"/>
      <w:bookmarkEnd w:id="394"/>
    </w:p>
    <w:p w14:paraId="2C771ADC">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6.1   </w:t>
      </w:r>
    </w:p>
    <w:p w14:paraId="3549DFD9">
      <w:pPr>
        <w:tabs>
          <w:tab w:val="left" w:pos="1620"/>
        </w:tabs>
        <w:spacing w:line="420" w:lineRule="exact"/>
        <w:ind w:left="1977" w:hanging="1617" w:hangingChars="895"/>
        <w:rPr>
          <w:rFonts w:hint="eastAsia" w:ascii="仿宋_GB2312" w:hAnsi="仿宋_GB2312" w:eastAsia="仿宋_GB2312" w:cs="仿宋_GB2312"/>
          <w:color w:val="auto"/>
          <w:sz w:val="24"/>
          <w:szCs w:val="24"/>
          <w:highlight w:val="none"/>
        </w:rPr>
      </w:pPr>
      <w:r>
        <w:rPr>
          <w:rFonts w:hint="eastAsia" w:ascii="楷体_GB2312" w:hAnsi="宋体" w:eastAsia="楷体_GB2312" w:cs="楷体_GB2312"/>
          <w:b/>
          <w:bCs/>
          <w:color w:val="auto"/>
          <w:sz w:val="18"/>
          <w:szCs w:val="18"/>
          <w:highlight w:val="none"/>
        </w:rPr>
        <w:t>通讯形式</w:t>
      </w:r>
      <w:r>
        <w:rPr>
          <w:rFonts w:hint="eastAsia" w:ascii="宋体" w:hAnsi="宋体" w:cs="宋体"/>
          <w:b/>
          <w:bCs/>
          <w:color w:val="auto"/>
          <w:sz w:val="22"/>
          <w:szCs w:val="22"/>
          <w:highlight w:val="none"/>
        </w:rPr>
        <w:t xml:space="preserve">     </w:t>
      </w:r>
      <w:r>
        <w:rPr>
          <w:rFonts w:hint="eastAsia" w:ascii="宋体" w:hAnsi="宋体" w:cs="宋体"/>
          <w:b/>
          <w:bCs/>
          <w:color w:val="auto"/>
          <w:sz w:val="22"/>
          <w:szCs w:val="22"/>
          <w:highlight w:val="none"/>
          <w:lang w:val="en-US" w:eastAsia="zh-CN"/>
        </w:rPr>
        <w:t xml:space="preserve"> </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17E3FFA2">
      <w:pPr>
        <w:widowControl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  </w:t>
      </w:r>
      <w:r>
        <w:rPr>
          <w:rFonts w:hint="eastAsia" w:ascii="宋体" w:hAnsi="宋体" w:eastAsia="宋体" w:cs="宋体"/>
          <w:b/>
          <w:bCs/>
          <w:color w:val="auto"/>
          <w:kern w:val="2"/>
          <w:sz w:val="22"/>
          <w:szCs w:val="22"/>
          <w:highlight w:val="none"/>
          <w:u w:val="dotted"/>
          <w:lang w:val="en-US" w:eastAsia="zh-CN" w:bidi="ar-SA"/>
        </w:rPr>
        <w:t xml:space="preserve">                                                                              </w:t>
      </w:r>
    </w:p>
    <w:p w14:paraId="5CCCC2D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9" name="文本框 1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1EA2C54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9pt;margin-top:0pt;height:23.4pt;width:63pt;z-index:251673600;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vT69QAAAAHAQAADwAAAAAAAAABACAAAAAiAAAAZHJzL2Rvd25yZXYueG1sUEsBAhQAFAAAAAgA&#10;h07iQGFe8PW3AQAAXQMAAA4AAAAAAAAAAQAgAAAAIwEAAGRycy9lMm9Eb2MueG1sUEsFBgAAAAAG&#10;AAYAWQEAAEwFAAAAAA==&#10;">
                <v:fill on="f" focussize="0,0"/>
                <v:stroke on="f"/>
                <v:imagedata o:title=""/>
                <o:lock v:ext="edit" aspectratio="f"/>
                <v:textbox>
                  <w:txbxContent>
                    <w:p w14:paraId="1EA2C54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14:paraId="3A6EE299">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77640B0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95" w:name="_Toc10624826"/>
      <w:bookmarkStart w:id="396" w:name="_Toc469383986"/>
      <w:r>
        <w:rPr>
          <w:rFonts w:hint="eastAsia" w:ascii="黑体" w:hAnsi="黑体" w:eastAsia="黑体" w:cs="黑体"/>
          <w:b w:val="0"/>
          <w:bCs/>
          <w:color w:val="auto"/>
          <w:kern w:val="0"/>
          <w:sz w:val="24"/>
          <w:szCs w:val="24"/>
          <w:highlight w:val="none"/>
          <w:lang w:val="en-US" w:eastAsia="zh-CN" w:bidi="ar-SA"/>
        </w:rPr>
        <w:t>7  工程分包</w:t>
      </w:r>
      <w:bookmarkEnd w:id="395"/>
      <w:bookmarkEnd w:id="396"/>
    </w:p>
    <w:p w14:paraId="23A169C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20" name="文本框 15"/>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14:paraId="2462FDD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5C56AA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5" o:spid="_x0000_s1026" o:spt="202" type="#_x0000_t202" style="position:absolute;left:0pt;margin-left:-9pt;margin-top:16.7pt;height:35.45pt;width:81pt;z-index:251674624;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dDtV1wAAAAoBAAAPAAAAAAAAAAEAIAAAACIAAABkcnMvZG93bnJldi54bWxQSwECFAAUAAAA&#10;CACHTuJACQnwfrYBAABeAwAADgAAAAAAAAABACAAAAAmAQAAZHJzL2Uyb0RvYy54bWxQSwUGAAAA&#10;AAYABgBZAQAATgUAAAAA&#10;">
                <v:fill on="f" focussize="0,0"/>
                <v:stroke on="f"/>
                <v:imagedata o:title=""/>
                <o:lock v:ext="edit" aspectratio="f"/>
                <v:textbox>
                  <w:txbxContent>
                    <w:p w14:paraId="2462FDD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5C56AA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7.1   </w:t>
      </w:r>
    </w:p>
    <w:p w14:paraId="639774D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承包人应自己实施、完成合同工程的主体结构。承包人不得将其承包的全部工程或将其肢解后以分包的名义转包给第三方，也不得将合同工程主体结构、关键性工作分包给第三方。</w:t>
      </w:r>
    </w:p>
    <w:p w14:paraId="7DA4FF80">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21" name="文本框 16"/>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14:paraId="5E23A6A6">
                            <w:pPr>
                              <w:spacing w:line="240" w:lineRule="exact"/>
                              <w:rPr>
                                <w:rFonts w:ascii="楷体_GB2312" w:hAnsi="宋体" w:eastAsia="楷体_GB2312" w:cs="Times New Roman"/>
                                <w:b/>
                                <w:bCs/>
                                <w:color w:val="000000"/>
                                <w:sz w:val="18"/>
                                <w:szCs w:val="18"/>
                              </w:rPr>
                            </w:pPr>
                          </w:p>
                          <w:p w14:paraId="77B2FBE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1D66C2D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6" o:spid="_x0000_s1026" o:spt="202" type="#_x0000_t202" style="position:absolute;left:0pt;margin-left:-9pt;margin-top:9.6pt;height:62pt;width:81pt;z-index:251675648;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OLUv1wAAAAoBAAAPAAAAAAAAAAEAIAAAACIAAABkcnMvZG93bnJldi54bWxQSwECFAAUAAAA&#10;CACHTuJAzSvN0bYBAABeAwAADgAAAAAAAAABACAAAAAmAQAAZHJzL2Uyb0RvYy54bWxQSwUGAAAA&#10;AAYABgBZAQAATgUAAAAA&#10;">
                <v:fill on="f" focussize="0,0"/>
                <v:stroke on="f"/>
                <v:imagedata o:title=""/>
                <o:lock v:ext="edit" aspectratio="f"/>
                <v:textbox>
                  <w:txbxContent>
                    <w:p w14:paraId="5E23A6A6">
                      <w:pPr>
                        <w:spacing w:line="240" w:lineRule="exact"/>
                        <w:rPr>
                          <w:rFonts w:ascii="楷体_GB2312" w:hAnsi="宋体" w:eastAsia="楷体_GB2312" w:cs="Times New Roman"/>
                          <w:b/>
                          <w:bCs/>
                          <w:color w:val="000000"/>
                          <w:sz w:val="18"/>
                          <w:szCs w:val="18"/>
                        </w:rPr>
                      </w:pPr>
                    </w:p>
                    <w:p w14:paraId="77B2FBE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1D66C2D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14:paraId="433E740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承包人可依法将部分工程分包给具有相应分包资质的分包人，但未经发包人同意，承包人不得将工程的任何部分或任何工作分包给第三方。下列情况则属例外：</w:t>
      </w:r>
    </w:p>
    <w:p w14:paraId="57C8A1B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（1）施工劳务作业分包；</w:t>
      </w:r>
    </w:p>
    <w:p w14:paraId="0B0356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（2）按照合同约定的标准购买材料和工程设备；</w:t>
      </w:r>
    </w:p>
    <w:p w14:paraId="412EC4B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（3）合同中已指定的分包工程。</w:t>
      </w:r>
    </w:p>
    <w:p w14:paraId="2D33FFD1">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7.3  </w:t>
      </w:r>
      <w:r>
        <w:rPr>
          <w:rFonts w:hint="eastAsia" w:ascii="宋体" w:hAnsi="宋体" w:eastAsia="宋体" w:cs="宋体"/>
          <w:b/>
          <w:bCs/>
          <w:color w:val="auto"/>
          <w:kern w:val="2"/>
          <w:sz w:val="22"/>
          <w:szCs w:val="22"/>
          <w:highlight w:val="none"/>
          <w:u w:val="dotted"/>
          <w:lang w:val="en-US" w:eastAsia="zh-CN" w:bidi="ar-SA"/>
        </w:rPr>
        <w:t xml:space="preserve">                                                                                        </w:t>
      </w:r>
    </w:p>
    <w:p w14:paraId="43928B9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22" name="文本框 17"/>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14:paraId="52A317E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7" o:spid="_x0000_s1026" o:spt="202" type="#_x0000_t202" style="position:absolute;left:0pt;margin-left:-9pt;margin-top:0pt;height:24.05pt;width:81pt;z-index:251676672;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JN+cNQAAAAHAQAADwAAAAAAAAABACAAAAAiAAAAZHJzL2Rvd25yZXYueG1sUEsBAhQAFAAAAAgA&#10;h07iQIk09+u3AQAAXgMAAA4AAAAAAAAAAQAgAAAAIwEAAGRycy9lMm9Eb2MueG1sUEsFBgAAAAAG&#10;AAYAWQEAAEwFAAAAAA==&#10;">
                <v:fill on="f" focussize="0,0"/>
                <v:stroke on="f"/>
                <v:imagedata o:title=""/>
                <o:lock v:ext="edit" aspectratio="f"/>
                <v:textbox>
                  <w:txbxContent>
                    <w:p w14:paraId="52A317E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承包人分包工程的，应与分包人签订分包合同，并在分包合同签订后的7天内向发包人和监理工程师、造价工程师各提交一份分包合同。承包人有义务禁止分包人将分包工程再次分包。</w:t>
      </w:r>
    </w:p>
    <w:p w14:paraId="37B334E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23" name="文本框 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3FBEF7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8" o:spid="_x0000_s1026" o:spt="202" type="#_x0000_t202" style="position:absolute;left:0pt;margin-left:-9pt;margin-top:15.95pt;height:39pt;width:72pt;z-index:251677696;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IBXI9cAAAAKAQAADwAAAAAAAAABACAAAAAiAAAAZHJzL2Rvd25yZXYueG1sUEsBAhQAFAAA&#10;AAgAh07iQCSVjni3AQAAXQMAAA4AAAAAAAAAAQAgAAAAJgEAAGRycy9lMm9Eb2MueG1sUEsFBgAA&#10;AAAGAAYAWQEAAE8FAAAAAA==&#10;">
                <v:fill on="f" focussize="0,0"/>
                <v:stroke on="f"/>
                <v:imagedata o:title=""/>
                <o:lock v:ext="edit" aspectratio="f"/>
                <v:textbox>
                  <w:txbxContent>
                    <w:p w14:paraId="03FBEF7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7.4  </w:t>
      </w:r>
      <w:r>
        <w:rPr>
          <w:rFonts w:hint="eastAsia" w:ascii="宋体" w:hAnsi="宋体" w:eastAsia="宋体" w:cs="宋体"/>
          <w:b/>
          <w:bCs/>
          <w:color w:val="auto"/>
          <w:kern w:val="2"/>
          <w:sz w:val="22"/>
          <w:szCs w:val="22"/>
          <w:highlight w:val="none"/>
          <w:u w:val="dotted"/>
          <w:lang w:val="en-US" w:eastAsia="zh-CN" w:bidi="ar-SA"/>
        </w:rPr>
        <w:t xml:space="preserve">                                                                                        </w:t>
      </w:r>
    </w:p>
    <w:p w14:paraId="75E5316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分包工程款由承包人与分包人结算。除合同另有约定或取得承包人的同意外，发包人应将分包工程款按专用条款约定的支付方式全部支付给承包人，禁止发包人直接向分包人支付任何工程款。</w:t>
      </w:r>
    </w:p>
    <w:p w14:paraId="7C65F5C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如发包人有要求时，承包人应提供能证明自己已向分包人支付其分包工程款等证明资料。否则，发包人有权直接向分包人支付承包人应支付而未支付的分包工程款，并在承包人得到的工程款中扣除。</w:t>
      </w:r>
    </w:p>
    <w:p w14:paraId="1DEC986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24" name="文本框 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A5640F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9" o:spid="_x0000_s1026" o:spt="202" type="#_x0000_t202" style="position:absolute;left:0pt;margin-left:-9pt;margin-top:16.15pt;height:39pt;width:72pt;z-index:251678720;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cPty1wAAAAoBAAAPAAAAAAAAAAEAIAAAACIAAABkcnMvZG93bnJldi54bWxQSwECFAAUAAAA&#10;CACHTuJAPCVkGbYBAABdAwAADgAAAAAAAAABACAAAAAmAQAAZHJzL2Uyb0RvYy54bWxQSwUGAAAA&#10;AAYABgBZAQAATgUAAAAA&#10;">
                <v:fill on="f" focussize="0,0"/>
                <v:stroke on="f"/>
                <v:imagedata o:title=""/>
                <o:lock v:ext="edit" aspectratio="f"/>
                <v:textbox>
                  <w:txbxContent>
                    <w:p w14:paraId="4A5640F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7.5  </w:t>
      </w:r>
      <w:r>
        <w:rPr>
          <w:rFonts w:hint="eastAsia" w:ascii="宋体" w:hAnsi="宋体" w:eastAsia="宋体" w:cs="宋体"/>
          <w:b/>
          <w:bCs/>
          <w:color w:val="auto"/>
          <w:kern w:val="2"/>
          <w:sz w:val="22"/>
          <w:szCs w:val="22"/>
          <w:highlight w:val="none"/>
          <w:u w:val="dotted"/>
          <w:lang w:val="en-US" w:eastAsia="zh-CN" w:bidi="ar-SA"/>
        </w:rPr>
        <w:t xml:space="preserve">                                                                                        </w:t>
      </w:r>
    </w:p>
    <w:p w14:paraId="74B4AA9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分包不能免除承包人应承担的任何责任和应履行的任何义务。承包人应在分包场地派驻相应管理人员保证本合同的履行。分包人应对分包工程负责。分包人的任何违约行为或疏忽导致工程损坏、损害或给发包人造成损失的，承包人应承担连带责任。</w:t>
      </w:r>
    </w:p>
    <w:p w14:paraId="44A64644">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5" name="文本框 20"/>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14:paraId="3AA0131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20" o:spid="_x0000_s1026" o:spt="202" type="#_x0000_t202" style="position:absolute;left:0pt;margin-left:-9pt;margin-top:18.05pt;height:22.05pt;width:72pt;z-index:251679744;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hzHMrWAAAACQEAAA8AAAAAAAAAAQAgAAAAIgAAAGRycy9kb3ducmV2LnhtbFBLAQIUABQAAAAI&#10;AIdO4kCXV1xttgEAAF0DAAAOAAAAAAAAAAEAIAAAACUBAABkcnMvZTJvRG9jLnhtbFBLBQYAAAAA&#10;BgAGAFkBAABNBQAAAAA=&#10;">
                <v:fill on="f" focussize="0,0"/>
                <v:stroke on="f"/>
                <v:imagedata o:title=""/>
                <o:lock v:ext="edit" aspectratio="f"/>
                <v:textbox>
                  <w:txbxContent>
                    <w:p w14:paraId="3AA0131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44082F1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无论何种原因，当本合同终止时，分包人与承包人签订的分包合同也随即终止。承包人应在本合同终止前向分包人支付分包人应得所有款项。</w:t>
      </w:r>
    </w:p>
    <w:p w14:paraId="344467F6">
      <w:pPr>
        <w:widowControl w:val="0"/>
        <w:tabs>
          <w:tab w:val="left" w:pos="1260"/>
        </w:tabs>
        <w:adjustRightInd w:val="0"/>
        <w:snapToGrid w:val="0"/>
        <w:spacing w:before="120" w:beforeLines="5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9B057B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97" w:name="_Toc469383987"/>
      <w:bookmarkStart w:id="398" w:name="_Toc10624827"/>
      <w:r>
        <w:rPr>
          <w:rFonts w:hint="eastAsia" w:ascii="黑体" w:hAnsi="黑体" w:eastAsia="黑体" w:cs="黑体"/>
          <w:b w:val="0"/>
          <w:bCs/>
          <w:color w:val="auto"/>
          <w:kern w:val="0"/>
          <w:sz w:val="24"/>
          <w:szCs w:val="24"/>
          <w:highlight w:val="none"/>
          <w:lang w:val="en-US" w:eastAsia="zh-CN" w:bidi="ar-SA"/>
        </w:rPr>
        <w:t>8  现场查勘</w:t>
      </w:r>
      <w:bookmarkEnd w:id="397"/>
      <w:bookmarkEnd w:id="398"/>
    </w:p>
    <w:p w14:paraId="4093204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6" name="文本框 2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2896FF2">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21" o:spid="_x0000_s1026" o:spt="202" type="#_x0000_t202" style="position:absolute;left:0pt;margin-left:-9pt;margin-top:18.65pt;height:39pt;width:72pt;z-index:251680768;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agSY/YAAAACgEAAA8AAAAAAAAAAQAgAAAAIgAAAGRycy9kb3ducmV2LnhtbFBLAQIUABQA&#10;AAAIAIdO4kDibOa+twEAAF0DAAAOAAAAAAAAAAEAIAAAACcBAABkcnMvZTJvRG9jLnhtbFBLBQYA&#10;AAAABgAGAFkBAABQBQAAAAA=&#10;">
                <v:fill on="f" focussize="0,0"/>
                <v:stroke on="f"/>
                <v:imagedata o:title=""/>
                <o:lock v:ext="edit" aspectratio="f"/>
                <v:textbox>
                  <w:txbxContent>
                    <w:p w14:paraId="22896FF2">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8.1                                                                                </w:t>
      </w:r>
    </w:p>
    <w:p w14:paraId="1DD06DC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2EA2A78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  </w:t>
      </w:r>
      <w:r>
        <w:rPr>
          <w:rFonts w:hint="eastAsia" w:ascii="宋体" w:hAnsi="宋体" w:eastAsia="宋体" w:cs="宋体"/>
          <w:b/>
          <w:bCs/>
          <w:color w:val="auto"/>
          <w:kern w:val="2"/>
          <w:sz w:val="22"/>
          <w:szCs w:val="22"/>
          <w:highlight w:val="none"/>
          <w:u w:val="dotted"/>
          <w:lang w:val="en-US" w:eastAsia="zh-CN" w:bidi="ar-SA"/>
        </w:rPr>
        <w:t xml:space="preserve">                                                                                        </w:t>
      </w:r>
    </w:p>
    <w:p w14:paraId="4FDCC03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7" name="文本框 22"/>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14:paraId="31BA000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22" o:spid="_x0000_s1026" o:spt="202" type="#_x0000_t202" style="position:absolute;left:0pt;margin-left:-9pt;margin-top:0pt;height:39.4pt;width:72pt;z-index:251681792;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WmKUfUAAAABwEAAA8AAAAAAAAAAQAgAAAAIgAAAGRycy9kb3ducmV2LnhtbFBLAQIUABQAAAAI&#10;AIdO4kAYxX6JuAEAAF0DAAAOAAAAAAAAAAEAIAAAACMBAABkcnMvZTJvRG9jLnhtbFBLBQYAAAAA&#10;BgAGAFkBAABNBQAAAAA=&#10;">
                <v:fill on="f" focussize="0,0"/>
                <v:stroke on="f"/>
                <v:imagedata o:title=""/>
                <o:lock v:ext="edit" aspectratio="f"/>
                <v:textbox>
                  <w:txbxContent>
                    <w:p w14:paraId="31BA000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14:paraId="2376F67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（1）现场地质情况及地形地貌特征；</w:t>
      </w:r>
    </w:p>
    <w:p w14:paraId="463E880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（2）水文和气候条件；</w:t>
      </w:r>
    </w:p>
    <w:p w14:paraId="0E59D2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（3）为实施、完成并保修合同工程所需的临时工程和措施项目；</w:t>
      </w:r>
    </w:p>
    <w:p w14:paraId="059C05F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（4）为实施、完成并保修合同工程所需的材料采购和加工、设备的采购，及所需的施工设备、周转性材料、人员和管理等；</w:t>
      </w:r>
    </w:p>
    <w:p w14:paraId="0EA611A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（5）场地内外的交通情况及水、电、食宿供应条件；</w:t>
      </w:r>
    </w:p>
    <w:p w14:paraId="0B9A906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（6）可能对投标报价有影响或起作用的其他情况。</w:t>
      </w:r>
    </w:p>
    <w:p w14:paraId="4AEC9DFE">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3401EE6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399" w:name="_Toc10624828"/>
      <w:bookmarkStart w:id="400" w:name="_Toc469383988"/>
      <w:r>
        <w:rPr>
          <w:rFonts w:hint="eastAsia" w:ascii="黑体" w:hAnsi="黑体" w:eastAsia="黑体" w:cs="黑体"/>
          <w:b w:val="0"/>
          <w:bCs/>
          <w:color w:val="auto"/>
          <w:kern w:val="0"/>
          <w:sz w:val="24"/>
          <w:szCs w:val="24"/>
          <w:highlight w:val="none"/>
          <w:lang w:val="en-US" w:eastAsia="zh-CN" w:bidi="ar-SA"/>
        </w:rPr>
        <w:t>9  招标错失的修正</w:t>
      </w:r>
      <w:bookmarkEnd w:id="399"/>
      <w:bookmarkEnd w:id="400"/>
    </w:p>
    <w:p w14:paraId="6A73AF12">
      <w:pPr>
        <w:widowControl w:val="0"/>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8" name="文本框 2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567177F1">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14:paraId="68A660B3">
                            <w:pPr>
                              <w:rPr>
                                <w:rFonts w:ascii="Times New Roman" w:hAnsi="Times New Roman" w:cs="Times New Roman"/>
                                <w:sz w:val="18"/>
                                <w:szCs w:val="18"/>
                              </w:rPr>
                            </w:pPr>
                          </w:p>
                        </w:txbxContent>
                      </wps:txbx>
                      <wps:bodyPr wrap="square" upright="1"/>
                    </wps:wsp>
                  </a:graphicData>
                </a:graphic>
              </wp:anchor>
            </w:drawing>
          </mc:Choice>
          <mc:Fallback>
            <w:pict>
              <v:shape id="文本框 23" o:spid="_x0000_s1026" o:spt="202" type="#_x0000_t202" style="position:absolute;left:0pt;margin-left:-4.8pt;margin-top:31.35pt;height:62.4pt;width:72pt;z-index:251682816;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DqoDXAAAACQEAAA8AAAAAAAAAAQAgAAAAIgAAAGRycy9kb3ducmV2LnhtbFBLAQIUABQA&#10;AAAIAIdO4kBpMAeGuAEAAF0DAAAOAAAAAAAAAAEAIAAAACYBAABkcnMvZTJvRG9jLnhtbFBLBQYA&#10;AAAABgAGAFkBAABQBQAAAAA=&#10;">
                <v:fill on="f" focussize="0,0"/>
                <v:stroke on="f"/>
                <v:imagedata o:title=""/>
                <o:lock v:ext="edit" aspectratio="f"/>
                <v:textbox>
                  <w:txbxContent>
                    <w:p w14:paraId="567177F1">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合同条款及格式完备性和义务</w:t>
                      </w:r>
                    </w:p>
                    <w:p w14:paraId="68A660B3">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9.1  </w:t>
      </w:r>
    </w:p>
    <w:p w14:paraId="5B302B2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发包人招标文件中的合同条款及格式，应被认为是正确的和公平的，并已包括了发包人履行本合同的全部义务，包括但不限于以下内容：</w:t>
      </w:r>
    </w:p>
    <w:p w14:paraId="67CB72C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（1）支付工程款及其他应付款项的义务；</w:t>
      </w:r>
    </w:p>
    <w:p w14:paraId="3084868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（2）完成本合同第19.2款约定工作的义务；</w:t>
      </w:r>
    </w:p>
    <w:p w14:paraId="29B89CF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（3）修正不正确合同条款及格式的义务；</w:t>
      </w:r>
    </w:p>
    <w:p w14:paraId="140C78D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（4）澄清并改正被认定有失公平的合同条款的义务；</w:t>
      </w:r>
    </w:p>
    <w:p w14:paraId="6A46E84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（5）协助承包人实施、完成并保修合同工程的义务。</w:t>
      </w:r>
    </w:p>
    <w:p w14:paraId="594880CB">
      <w:pPr>
        <w:widowControl w:val="0"/>
        <w:tabs>
          <w:tab w:val="left" w:pos="2160"/>
        </w:tabs>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9" name="文本框 24"/>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14:paraId="260E1DBA">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14:paraId="03C2C5D4">
                            <w:pPr>
                              <w:rPr>
                                <w:rFonts w:ascii="Times New Roman" w:hAnsi="Times New Roman" w:cs="Times New Roman"/>
                                <w:sz w:val="18"/>
                                <w:szCs w:val="18"/>
                              </w:rPr>
                            </w:pPr>
                          </w:p>
                        </w:txbxContent>
                      </wps:txbx>
                      <wps:bodyPr wrap="square" upright="1"/>
                    </wps:wsp>
                  </a:graphicData>
                </a:graphic>
              </wp:anchor>
            </w:drawing>
          </mc:Choice>
          <mc:Fallback>
            <w:pict>
              <v:shape id="文本框 24" o:spid="_x0000_s1026" o:spt="202" type="#_x0000_t202" style="position:absolute;left:0pt;margin-left:3.55pt;margin-top:14.75pt;height:65.3pt;width:72pt;z-index:251683840;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7jO2t1QAAAAgBAAAPAAAAAAAAAAEAIAAAACIAAABkcnMvZG93bnJldi54bWxQSwECFAAUAAAA&#10;CACHTuJAef/DbLgBAABdAwAADgAAAAAAAAABACAAAAAkAQAAZHJzL2Uyb0RvYy54bWxQSwUGAAAA&#10;AAYABgBZAQAATgUAAAAA&#10;">
                <v:fill on="f" focussize="0,0"/>
                <v:stroke on="f"/>
                <v:imagedata o:title=""/>
                <o:lock v:ext="edit" aspectratio="f"/>
                <v:textbox>
                  <w:txbxContent>
                    <w:p w14:paraId="260E1DBA">
                      <w:pPr>
                        <w:widowControl w:val="0"/>
                        <w:tabs>
                          <w:tab w:val="left" w:pos="2160"/>
                        </w:tabs>
                        <w:spacing w:before="192" w:beforeLines="80"/>
                        <w:jc w:val="both"/>
                        <w:rPr>
                          <w:rFonts w:ascii="楷体_GB2312" w:hAnsi="宋体" w:eastAsia="楷体_GB2312" w:cs="Times New Roman"/>
                          <w:color w:val="FF00FF"/>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工程量清单准确性和修正</w:t>
                      </w:r>
                    </w:p>
                    <w:p w14:paraId="03C2C5D4">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9.2  </w:t>
      </w:r>
      <w:r>
        <w:rPr>
          <w:rFonts w:hint="eastAsia" w:ascii="宋体" w:hAnsi="宋体" w:eastAsia="宋体" w:cs="宋体"/>
          <w:b/>
          <w:bCs/>
          <w:color w:val="auto"/>
          <w:kern w:val="2"/>
          <w:sz w:val="22"/>
          <w:szCs w:val="22"/>
          <w:highlight w:val="none"/>
          <w:u w:val="dotted"/>
          <w:lang w:val="en-US" w:eastAsia="zh-CN" w:bidi="ar-SA"/>
        </w:rPr>
        <w:t xml:space="preserve">                                                                               </w:t>
      </w:r>
    </w:p>
    <w:p w14:paraId="3B05EB3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发包人招标文件提供的工程量清单及其招标控制价等资料，应被认为是准确的和完整的。当出现下列情形之一的，发包人应及时予以修正，并相应调整合同价款：</w:t>
      </w:r>
    </w:p>
    <w:p w14:paraId="134A2334">
      <w:pPr>
        <w:tabs>
          <w:tab w:val="left" w:pos="4970"/>
        </w:tabs>
        <w:spacing w:line="420" w:lineRule="exact"/>
        <w:ind w:firstLine="1680" w:firstLineChars="7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（1）施工设计图纸发生变化的；</w:t>
      </w:r>
    </w:p>
    <w:p w14:paraId="2EC1BAF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（2）出现第68.2款规定调整合同价款事件的；</w:t>
      </w:r>
    </w:p>
    <w:p w14:paraId="68869BA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（3）未按照国家、省有关计价规定编制的其它情形。</w:t>
      </w:r>
    </w:p>
    <w:p w14:paraId="79E28BD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（4）工程量清单存在缺项、漏项的；</w:t>
      </w:r>
    </w:p>
    <w:p w14:paraId="2FB2EC23">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39DB7402">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1" w:name="_Toc10624829"/>
      <w:bookmarkStart w:id="402" w:name="_Toc469383989"/>
      <w:r>
        <w:rPr>
          <w:rFonts w:hint="eastAsia" w:ascii="黑体" w:hAnsi="黑体" w:eastAsia="黑体" w:cs="黑体"/>
          <w:b w:val="0"/>
          <w:bCs/>
          <w:color w:val="auto"/>
          <w:kern w:val="0"/>
          <w:sz w:val="24"/>
          <w:szCs w:val="24"/>
          <w:highlight w:val="none"/>
          <w:lang w:val="en-US" w:eastAsia="zh-CN" w:bidi="ar-SA"/>
        </w:rPr>
        <w:t>10  投标文件的完备性</w:t>
      </w:r>
      <w:bookmarkEnd w:id="401"/>
      <w:bookmarkEnd w:id="402"/>
    </w:p>
    <w:p w14:paraId="43CCA7A3">
      <w:pPr>
        <w:widowControl w:val="0"/>
        <w:tabs>
          <w:tab w:val="left" w:pos="141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0" name="文本框 25"/>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14:paraId="6AB631EA">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wps:txbx>
                      <wps:bodyPr wrap="square" upright="1"/>
                    </wps:wsp>
                  </a:graphicData>
                </a:graphic>
              </wp:anchor>
            </w:drawing>
          </mc:Choice>
          <mc:Fallback>
            <w:pict>
              <v:shape id="文本框 25" o:spid="_x0000_s1026" o:spt="202" type="#_x0000_t202" style="position:absolute;left:0pt;margin-left:-9pt;margin-top:7.25pt;height:64pt;width:72pt;z-index:251684864;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jyhrWAAAACgEAAA8AAAAAAAAAAQAgAAAAIgAAAGRycy9kb3ducmV2LnhtbFBLAQIUABQAAAAI&#10;AIdO4kDW4L4HtgEAAF0DAAAOAAAAAAAAAAEAIAAAACUBAABkcnMvZTJvRG9jLnhtbFBLBQYAAAAA&#10;BgAGAFkBAABNBQAAAAA=&#10;">
                <v:fill on="f" focussize="0,0"/>
                <v:stroke on="f"/>
                <v:imagedata o:title=""/>
                <o:lock v:ext="edit" aspectratio="f"/>
                <v:textbox>
                  <w:txbxContent>
                    <w:p w14:paraId="6AB631EA">
                      <w:pPr>
                        <w:widowControl w:val="0"/>
                        <w:tabs>
                          <w:tab w:val="left" w:pos="2160"/>
                        </w:tabs>
                        <w:spacing w:before="192" w:beforeLines="80"/>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投标文件完备性和义务</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10.1                                      </w:t>
      </w:r>
    </w:p>
    <w:p w14:paraId="2453474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承包人投标文件中的工程量清单所填单价和合价，应被认为是正确的和完备的，并已包括了承包人履行本合同的全部义务，包括但不限于以下内容：</w:t>
      </w:r>
    </w:p>
    <w:p w14:paraId="5A37F0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（1）提供材料和工程设备、服务的义务及处理意外事件的义务； </w:t>
      </w:r>
    </w:p>
    <w:p w14:paraId="5AEAB67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（2）实施和完成合同工程的义务；</w:t>
      </w:r>
    </w:p>
    <w:p w14:paraId="67123135">
      <w:pPr>
        <w:tabs>
          <w:tab w:val="left" w:pos="4970"/>
        </w:tabs>
        <w:spacing w:line="420" w:lineRule="exact"/>
        <w:ind w:firstLine="1920" w:firstLineChars="8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（3）工程质量保修的一切义务。</w:t>
      </w:r>
    </w:p>
    <w:p w14:paraId="1B6A3E61">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10.2  </w:t>
      </w:r>
      <w:r>
        <w:rPr>
          <w:rFonts w:hint="eastAsia" w:ascii="宋体" w:hAnsi="宋体" w:eastAsia="宋体" w:cs="宋体"/>
          <w:b/>
          <w:bCs/>
          <w:color w:val="auto"/>
          <w:kern w:val="2"/>
          <w:sz w:val="22"/>
          <w:szCs w:val="22"/>
          <w:highlight w:val="none"/>
          <w:u w:val="dotted"/>
          <w:lang w:val="en-US" w:eastAsia="zh-CN" w:bidi="ar-SA"/>
        </w:rPr>
        <w:t xml:space="preserve">                                                                                       </w:t>
      </w:r>
    </w:p>
    <w:p w14:paraId="4F44FB0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1" name="文本框 2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11B8708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26" o:spid="_x0000_s1026" o:spt="202" type="#_x0000_t202" style="position:absolute;left:0pt;margin-left:-9pt;margin-top:0.65pt;height:35.85pt;width:72pt;z-index:25168588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v4xD1QAAAAgBAAAPAAAAAAAAAAEAIAAAACIAAABkcnMvZG93bnJldi54bWxQSwECFAAUAAAA&#10;CACHTuJAGnVF4LgBAABdAwAADgAAAAAAAAABACAAAAAkAQAAZHJzL2Uyb0RvYy54bWxQSwUGAAAA&#10;AAYABgBZAQAATgUAAAAA&#10;">
                <v:fill on="f" focussize="0,0"/>
                <v:stroke on="f"/>
                <v:imagedata o:title=""/>
                <o:lock v:ext="edit" aspectratio="f"/>
                <v:textbox>
                  <w:txbxContent>
                    <w:p w14:paraId="11B8708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承包人投标文件中的工程量清单中没有填入单价或合价的清单项目，应认为该项目价款已包含在工程量清单的其他项目的单价或合价中，发包人将不另行支付。</w:t>
      </w:r>
    </w:p>
    <w:p w14:paraId="5BC1B5B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10.3  </w:t>
      </w:r>
      <w:r>
        <w:rPr>
          <w:rFonts w:hint="eastAsia" w:ascii="宋体" w:hAnsi="宋体" w:eastAsia="宋体" w:cs="宋体"/>
          <w:b/>
          <w:bCs/>
          <w:color w:val="auto"/>
          <w:kern w:val="2"/>
          <w:sz w:val="22"/>
          <w:szCs w:val="22"/>
          <w:highlight w:val="none"/>
          <w:u w:val="dotted"/>
          <w:lang w:val="en-US" w:eastAsia="zh-CN" w:bidi="ar-SA"/>
        </w:rPr>
        <w:t xml:space="preserve">                                                                                       </w:t>
      </w:r>
    </w:p>
    <w:p w14:paraId="631AAF2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 name="文本框 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1D95C1E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27" o:spid="_x0000_s1026" o:spt="202" type="#_x0000_t202" style="position:absolute;left:0pt;margin-left:-9pt;margin-top:0.65pt;height:35.85pt;width:72pt;z-index:25168691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jEPVAAAACAEAAA8AAAAAAAAAAQAgAAAAIgAAAGRycy9kb3ducmV2LnhtbFBLAQIUABQAAAAI&#10;AIdO4kDylzONtwEAAF0DAAAOAAAAAAAAAAEAIAAAACQBAABkcnMvZTJvRG9jLnhtbFBLBQYAAAAA&#10;BgAGAFkBAABNBQAAAAA=&#10;">
                <v:fill on="f" focussize="0,0"/>
                <v:stroke on="f"/>
                <v:imagedata o:title=""/>
                <o:lock v:ext="edit" aspectratio="f"/>
                <v:textbox>
                  <w:txbxContent>
                    <w:p w14:paraId="1D95C1E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承包人投标文件中出现算术性错误，导致其实际总造价与报价总金额不一致时，合同双方当事人可按照国家、省有关规定予以修正，并相应调整合同价款。</w:t>
      </w:r>
    </w:p>
    <w:p w14:paraId="057F2C92">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73FD1D0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3" w:name="_Toc469383990"/>
      <w:bookmarkStart w:id="404" w:name="_Toc10624830"/>
      <w:r>
        <w:rPr>
          <w:rFonts w:hint="eastAsia" w:ascii="黑体" w:hAnsi="黑体" w:eastAsia="黑体" w:cs="黑体"/>
          <w:b w:val="0"/>
          <w:bCs/>
          <w:color w:val="auto"/>
          <w:kern w:val="0"/>
          <w:sz w:val="24"/>
          <w:szCs w:val="24"/>
          <w:highlight w:val="none"/>
          <w:lang w:val="en-US" w:eastAsia="zh-CN" w:bidi="ar-SA"/>
        </w:rPr>
        <w:t>11  文物和地下障碍物</w:t>
      </w:r>
      <w:bookmarkEnd w:id="403"/>
      <w:bookmarkEnd w:id="404"/>
    </w:p>
    <w:p w14:paraId="7FE03884">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11.1  </w:t>
      </w:r>
      <w:r>
        <w:rPr>
          <w:rFonts w:hint="eastAsia" w:ascii="宋体" w:hAnsi="宋体" w:eastAsia="宋体" w:cs="宋体"/>
          <w:color w:val="auto"/>
          <w:kern w:val="2"/>
          <w:sz w:val="22"/>
          <w:szCs w:val="22"/>
          <w:highlight w:val="none"/>
          <w:lang w:val="en-US" w:eastAsia="zh-CN" w:bidi="ar-SA"/>
        </w:rPr>
        <w:t xml:space="preserve">                                     </w:t>
      </w:r>
    </w:p>
    <w:p w14:paraId="4D30A37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3" name="文本框 2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AA40F0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28" o:spid="_x0000_s1026" o:spt="202" type="#_x0000_t202" style="position:absolute;left:0pt;margin-left:-9pt;margin-top:-0.6pt;height:39pt;width:72pt;z-index:25168793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jYe621gAAAAkBAAAPAAAAAAAAAAEAIAAAACIAAABkcnMvZG93bnJldi54bWxQSwECFAAUAAAA&#10;CACHTuJA09iK7bcBAABdAwAADgAAAAAAAAABACAAAAAlAQAAZHJzL2Uyb0RvYy54bWxQSwUGAAAA&#10;AAYABgBZAQAATgUAAAAA&#10;">
                <v:fill on="f" focussize="0,0"/>
                <v:stroke on="f"/>
                <v:imagedata o:title=""/>
                <o:lock v:ext="edit" aspectratio="f"/>
                <v:textbox>
                  <w:txbxContent>
                    <w:p w14:paraId="2AA40F07">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如发现文物后隐瞒不报或报告不及时，导致上述文物丢失或遭受破坏的，由责任方赔偿损失，并承担相应的法律责任。</w:t>
      </w:r>
    </w:p>
    <w:p w14:paraId="7F9D292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4"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08D506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29" o:spid="_x0000_s1026" o:spt="202" type="#_x0000_t202" style="position:absolute;left:0pt;margin-left:-9pt;margin-top:18.35pt;height:39pt;width:72pt;z-index:251688960;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89neDYAAAACgEAAA8AAAAAAAAAAQAgAAAAIgAAAGRycy9kb3ducmV2LnhtbFBLAQIUABQA&#10;AAAIAIdO4kDLaGCMtwEAAF0DAAAOAAAAAAAAAAEAIAAAACcBAABkcnMvZTJvRG9jLnhtbFBLBQYA&#10;AAAABgAGAFkBAABQBQAAAAA=&#10;">
                <v:fill on="f" focussize="0,0"/>
                <v:stroke on="f"/>
                <v:imagedata o:title=""/>
                <o:lock v:ext="edit" aspectratio="f"/>
                <v:textbox>
                  <w:txbxContent>
                    <w:p w14:paraId="308D5063">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11.2  </w:t>
      </w:r>
      <w:r>
        <w:rPr>
          <w:rFonts w:hint="eastAsia" w:ascii="宋体" w:hAnsi="宋体" w:eastAsia="宋体" w:cs="宋体"/>
          <w:b/>
          <w:bCs/>
          <w:color w:val="auto"/>
          <w:kern w:val="2"/>
          <w:sz w:val="22"/>
          <w:szCs w:val="22"/>
          <w:highlight w:val="none"/>
          <w:u w:val="dotted"/>
          <w:lang w:val="en-US" w:eastAsia="zh-CN" w:bidi="ar-SA"/>
        </w:rPr>
        <w:t xml:space="preserve">                                                                                       </w:t>
      </w:r>
    </w:p>
    <w:p w14:paraId="2DFFF53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本合同已明确指出的地下障碍物（发包人招标文件提供的工程量清单有列明或提供的地质资料已明确反映的），应视为承包人在投标报价时已预见其对施工的影响，并已在合同价款中考虑。</w:t>
      </w:r>
    </w:p>
    <w:p w14:paraId="6F08ADB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未有明确指出的地下障碍物（发包人招标文件提供的工程量清单没列明或提供的地质资料不能明确反映的），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14:paraId="25339D0B">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4478A9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5" w:name="_Toc10624831"/>
      <w:bookmarkStart w:id="406" w:name="_Toc469383991"/>
      <w:r>
        <w:rPr>
          <w:rFonts w:hint="eastAsia" w:ascii="黑体" w:hAnsi="黑体" w:eastAsia="黑体" w:cs="黑体"/>
          <w:b w:val="0"/>
          <w:bCs/>
          <w:color w:val="auto"/>
          <w:kern w:val="0"/>
          <w:sz w:val="24"/>
          <w:szCs w:val="24"/>
          <w:highlight w:val="none"/>
          <w:lang w:val="en-US" w:eastAsia="zh-CN" w:bidi="ar-SA"/>
        </w:rPr>
        <w:t>12  事故处理</w:t>
      </w:r>
      <w:bookmarkEnd w:id="405"/>
      <w:bookmarkEnd w:id="406"/>
    </w:p>
    <w:p w14:paraId="409C174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5" name="文本框 30"/>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7AE005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63615DE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7D73AFBF">
                            <w:pPr>
                              <w:rPr>
                                <w:rFonts w:ascii="Times New Roman" w:hAnsi="Times New Roman" w:cs="Times New Roman"/>
                                <w:color w:val="000000"/>
                                <w:sz w:val="18"/>
                                <w:szCs w:val="18"/>
                              </w:rPr>
                            </w:pPr>
                          </w:p>
                        </w:txbxContent>
                      </wps:txbx>
                      <wps:bodyPr wrap="square" upright="1"/>
                    </wps:wsp>
                  </a:graphicData>
                </a:graphic>
              </wp:anchor>
            </w:drawing>
          </mc:Choice>
          <mc:Fallback>
            <w:pict>
              <v:shape id="文本框 30" o:spid="_x0000_s1026" o:spt="202" type="#_x0000_t202" style="position:absolute;left:0pt;margin-left:-9pt;margin-top:18.05pt;height:41.25pt;width:81pt;z-index:251689984;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Gxh/WAAAACgEAAA8AAAAAAAAAAQAgAAAAIgAAAGRycy9kb3ducmV2LnhtbFBLAQIUABQAAAAI&#10;AIdO4kDIlE13tgEAAF4DAAAOAAAAAAAAAAEAIAAAACUBAABkcnMvZTJvRG9jLnhtbFBLBQYAAAAA&#10;BgAGAFkBAABNBQAAAAA=&#10;">
                <v:fill on="f" focussize="0,0"/>
                <v:stroke on="f"/>
                <v:imagedata o:title=""/>
                <o:lock v:ext="edit" aspectratio="f"/>
                <v:textbox>
                  <w:txbxContent>
                    <w:p w14:paraId="7AE005F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63615DE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7D73AFBF">
                      <w:pPr>
                        <w:rPr>
                          <w:rFonts w:ascii="Times New Roman" w:hAnsi="Times New Roman" w:cs="Times New Roman"/>
                          <w:color w:val="000000"/>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12.1                   </w:t>
      </w:r>
    </w:p>
    <w:p w14:paraId="45D769E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合同履行期间，合同工程发生质量与安全事故，承包人立即通知监理工程师和发包人。</w:t>
      </w:r>
    </w:p>
    <w:p w14:paraId="7D764400">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6" name="文本框 3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40E8819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31" o:spid="_x0000_s1026" o:spt="202" type="#_x0000_t202" style="position:absolute;left:0pt;margin-left:-9pt;margin-top:17.7pt;height:23.4pt;width:81pt;z-index:25169100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OVZKqK4AQAAXgMAAA4AAAAAAAAAAQAgAAAAJQEAAGRycy9lMm9Eb2MueG1sUEsFBgAA&#10;AAAGAAYAWQEAAE8FAAAAAA==&#10;">
                <v:fill on="f" focussize="0,0"/>
                <v:stroke on="f"/>
                <v:imagedata o:title=""/>
                <o:lock v:ext="edit" aspectratio="f"/>
                <v:textbox>
                  <w:txbxContent>
                    <w:p w14:paraId="40E8819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677A483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6275E78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合同双方当事人应按照国家规定时限如实上报政府有关部门，配合政府有关部门的调查和处理，由此发生的费用和（或）延误的工期由事故责任方承担。</w:t>
      </w:r>
    </w:p>
    <w:p w14:paraId="76DDA2F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7" name="文本框 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4418831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32" o:spid="_x0000_s1026" o:spt="202" type="#_x0000_t202" style="position:absolute;left:0pt;margin-left:-9pt;margin-top:17.7pt;height:23.4pt;width:81pt;z-index:25169203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1nJll1gAAAAkBAAAPAAAAAAAAAAEAIAAAACIAAABkcnMvZG93bnJldi54bWxQSwECFAAUAAAA&#10;CACHTuJAEhQuN7cBAABeAwAADgAAAAAAAAABACAAAAAlAQAAZHJzL2Uyb0RvYy54bWxQSwUGAAAA&#10;AAYABgBZAQAATgUAAAAA&#10;">
                <v:fill on="f" focussize="0,0"/>
                <v:stroke on="f"/>
                <v:imagedata o:title=""/>
                <o:lock v:ext="edit" aspectratio="f"/>
                <v:textbox>
                  <w:txbxContent>
                    <w:p w14:paraId="4418831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12.3  </w:t>
      </w:r>
      <w:r>
        <w:rPr>
          <w:rFonts w:hint="eastAsia" w:ascii="宋体" w:hAnsi="宋体" w:eastAsia="宋体" w:cs="宋体"/>
          <w:b/>
          <w:bCs/>
          <w:color w:val="auto"/>
          <w:kern w:val="2"/>
          <w:sz w:val="22"/>
          <w:szCs w:val="22"/>
          <w:highlight w:val="none"/>
          <w:u w:val="dotted"/>
          <w:lang w:val="en-US" w:eastAsia="zh-CN" w:bidi="ar-SA"/>
        </w:rPr>
        <w:t xml:space="preserve">                                                                                       </w:t>
      </w:r>
    </w:p>
    <w:p w14:paraId="3F50D82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合同双方当事人对事故责任有争议时，应按照政府有关部门的认定处理。</w:t>
      </w:r>
    </w:p>
    <w:p w14:paraId="298EDA1A">
      <w:pPr>
        <w:widowControl w:val="0"/>
        <w:adjustRightInd w:val="0"/>
        <w:snapToGrid w:val="0"/>
        <w:spacing w:line="420" w:lineRule="exact"/>
        <w:ind w:right="-238"/>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B734FE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07" w:name="_Toc10624832"/>
      <w:bookmarkStart w:id="408" w:name="_Toc469383992"/>
      <w:r>
        <w:rPr>
          <w:rFonts w:hint="eastAsia" w:ascii="黑体" w:hAnsi="黑体" w:eastAsia="黑体" w:cs="黑体"/>
          <w:b w:val="0"/>
          <w:bCs/>
          <w:color w:val="auto"/>
          <w:kern w:val="0"/>
          <w:sz w:val="24"/>
          <w:szCs w:val="24"/>
          <w:highlight w:val="none"/>
          <w:lang w:val="en-US" w:eastAsia="zh-CN" w:bidi="ar-SA"/>
        </w:rPr>
        <w:t>13  交通运输</w:t>
      </w:r>
      <w:bookmarkEnd w:id="407"/>
      <w:bookmarkEnd w:id="408"/>
    </w:p>
    <w:p w14:paraId="2E377956">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8" name="文本框 33"/>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49A8FDA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5B7FE52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0BE61ADD">
                            <w:pPr>
                              <w:rPr>
                                <w:rFonts w:ascii="Times New Roman" w:hAnsi="Times New Roman" w:cs="Times New Roman"/>
                                <w:color w:val="0000FF"/>
                                <w:sz w:val="18"/>
                                <w:szCs w:val="18"/>
                              </w:rPr>
                            </w:pPr>
                          </w:p>
                          <w:p w14:paraId="2FFB58B5">
                            <w:pPr>
                              <w:rPr>
                                <w:rFonts w:ascii="Calibri" w:hAnsi="Calibri" w:cs="Times New Roman"/>
                                <w:sz w:val="18"/>
                                <w:szCs w:val="18"/>
                              </w:rPr>
                            </w:pPr>
                          </w:p>
                        </w:txbxContent>
                      </wps:txbx>
                      <wps:bodyPr wrap="square" upright="1"/>
                    </wps:wsp>
                  </a:graphicData>
                </a:graphic>
              </wp:anchor>
            </w:drawing>
          </mc:Choice>
          <mc:Fallback>
            <w:pict>
              <v:shape id="文本框 33" o:spid="_x0000_s1026" o:spt="202" type="#_x0000_t202" style="position:absolute;left:0pt;margin-left:-9pt;margin-top:18.05pt;height:41.25pt;width:81pt;z-index:25169305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BsYf1gAAAAoBAAAPAAAAAAAAAAEAIAAAACIAAABkcnMvZG93bnJldi54bWxQSwECFAAUAAAA&#10;CACHTuJArG3r/7cBAABeAwAADgAAAAAAAAABACAAAAAlAQAAZHJzL2Uyb0RvYy54bWxQSwUGAAAA&#10;AAYABgBZAQAATgUAAAAA&#10;">
                <v:fill on="f" focussize="0,0"/>
                <v:stroke on="f"/>
                <v:imagedata o:title=""/>
                <o:lock v:ext="edit" aspectratio="f"/>
                <v:textbox>
                  <w:txbxContent>
                    <w:p w14:paraId="49A8FDA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5B7FE52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0BE61ADD">
                      <w:pPr>
                        <w:rPr>
                          <w:rFonts w:ascii="Times New Roman" w:hAnsi="Times New Roman" w:cs="Times New Roman"/>
                          <w:color w:val="0000FF"/>
                          <w:sz w:val="18"/>
                          <w:szCs w:val="18"/>
                        </w:rPr>
                      </w:pPr>
                    </w:p>
                    <w:p w14:paraId="2FFB58B5">
                      <w:pPr>
                        <w:rPr>
                          <w:rFonts w:ascii="Calibri" w:hAnsi="Calibri"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13.1                   </w:t>
      </w:r>
    </w:p>
    <w:p w14:paraId="0234123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14:paraId="57B4C3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3128EAA0">
      <w:pPr>
        <w:widowControl w:val="0"/>
        <w:tabs>
          <w:tab w:val="left" w:pos="1202"/>
        </w:tabs>
        <w:adjustRightInd w:val="0"/>
        <w:snapToGrid w:val="0"/>
        <w:spacing w:line="420" w:lineRule="exact"/>
        <w:ind w:left="1484" w:leftChars="1" w:hanging="1482" w:hangingChars="674"/>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9" name="文本框 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52800EC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39FAF79C">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734F61CF">
                            <w:pPr>
                              <w:rPr>
                                <w:rFonts w:ascii="Times New Roman" w:hAnsi="Calibri" w:cs="Times New Roman"/>
                                <w:color w:val="0000FF"/>
                                <w:sz w:val="18"/>
                                <w:szCs w:val="18"/>
                              </w:rPr>
                            </w:pPr>
                          </w:p>
                          <w:p w14:paraId="7E3E6D53">
                            <w:pPr>
                              <w:rPr>
                                <w:rFonts w:ascii="Calibri" w:hAnsi="Calibri" w:cs="Times New Roman"/>
                                <w:sz w:val="18"/>
                                <w:szCs w:val="18"/>
                              </w:rPr>
                            </w:pPr>
                          </w:p>
                        </w:txbxContent>
                      </wps:txbx>
                      <wps:bodyPr wrap="square" upright="1"/>
                    </wps:wsp>
                  </a:graphicData>
                </a:graphic>
              </wp:anchor>
            </w:drawing>
          </mc:Choice>
          <mc:Fallback>
            <w:pict>
              <v:shape id="文本框 34" o:spid="_x0000_s1026" o:spt="202" type="#_x0000_t202" style="position:absolute;left:0pt;margin-left:-9pt;margin-top:26.25pt;height:41.25pt;width:81pt;z-index:25169408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niuZ2AAAAAoBAAAPAAAAAAAAAAEAIAAAACIAAABkcnMvZG93bnJldi54bWxQSwECFAAU&#10;AAAACACHTuJAq+wuoLgBAABeAwAADgAAAAAAAAABACAAAAAnAQAAZHJzL2Uyb0RvYy54bWxQSwUG&#10;AAAAAAYABgBZAQAAUQUAAAAA&#10;">
                <v:fill on="f" focussize="0,0"/>
                <v:stroke on="f"/>
                <v:imagedata o:title=""/>
                <o:lock v:ext="edit" aspectratio="f"/>
                <v:textbox>
                  <w:txbxContent>
                    <w:p w14:paraId="52800EC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39FAF79C">
                      <w:pPr>
                        <w:rPr>
                          <w:rFonts w:ascii="宋体" w:hAnsi="Times New Roman" w:cs="Times New Roman"/>
                          <w:color w:val="000000"/>
                          <w:sz w:val="24"/>
                          <w:szCs w:val="24"/>
                        </w:rPr>
                      </w:pPr>
                      <w:r>
                        <w:rPr>
                          <w:rFonts w:hint="eastAsia" w:ascii="楷体_GB2312" w:hAnsi="宋体" w:eastAsia="楷体_GB2312" w:cs="楷体_GB2312"/>
                          <w:b/>
                          <w:bCs/>
                          <w:color w:val="000000"/>
                          <w:sz w:val="18"/>
                          <w:szCs w:val="18"/>
                        </w:rPr>
                        <w:t>和交通设施</w:t>
                      </w:r>
                    </w:p>
                    <w:p w14:paraId="734F61CF">
                      <w:pPr>
                        <w:rPr>
                          <w:rFonts w:ascii="Times New Roman" w:hAnsi="Calibri" w:cs="Times New Roman"/>
                          <w:color w:val="0000FF"/>
                          <w:sz w:val="18"/>
                          <w:szCs w:val="18"/>
                        </w:rPr>
                      </w:pPr>
                    </w:p>
                    <w:p w14:paraId="7E3E6D53">
                      <w:pPr>
                        <w:rPr>
                          <w:rFonts w:ascii="Calibri" w:hAnsi="Calibri"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13.2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30C0A9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除专用条款另有约定外，承包人应负责修建、维修、养护和管理施工场地内所需的临时道路和交通设施，包括维修、养护和管理发包人提供的道路和交通设施，并承担相应费用。</w:t>
      </w:r>
    </w:p>
    <w:p w14:paraId="40B1864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承包人修建的临时道路和交通设施应免费提供发包人使用。</w:t>
      </w:r>
    </w:p>
    <w:p w14:paraId="74A3D0F5">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0" name="文本框 3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0476B9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35" o:spid="_x0000_s1026" o:spt="202" type="#_x0000_t202" style="position:absolute;left:0pt;margin-left:-9pt;margin-top:17.7pt;height:23.4pt;width:81pt;z-index:25169510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LfKpe24AQAAXgMAAA4AAAAAAAAAAQAgAAAAJQEAAGRycy9lMm9Eb2MueG1sUEsFBgAA&#10;AAAGAAYAWQEAAE8FAAAAAA==&#10;">
                <v:fill on="f" focussize="0,0"/>
                <v:stroke on="f"/>
                <v:imagedata o:title=""/>
                <o:lock v:ext="edit" aspectratio="f"/>
                <v:textbox>
                  <w:txbxContent>
                    <w:p w14:paraId="60476B99">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13.3  </w:t>
      </w:r>
      <w:r>
        <w:rPr>
          <w:rFonts w:hint="eastAsia" w:ascii="宋体" w:hAnsi="宋体" w:eastAsia="宋体" w:cs="宋体"/>
          <w:b/>
          <w:bCs/>
          <w:color w:val="auto"/>
          <w:kern w:val="2"/>
          <w:sz w:val="22"/>
          <w:szCs w:val="22"/>
          <w:highlight w:val="none"/>
          <w:u w:val="dotted"/>
          <w:lang w:val="en-US" w:eastAsia="zh-CN" w:bidi="ar-SA"/>
        </w:rPr>
        <w:t xml:space="preserve">                                                                                       </w:t>
      </w:r>
    </w:p>
    <w:p w14:paraId="59DC13F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36BD6EF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1" name="文本框 36"/>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3DE920F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4E3B3B3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36" o:spid="_x0000_s1026" o:spt="202" type="#_x0000_t202" style="position:absolute;left:0pt;margin-left:-9pt;margin-top:17.7pt;height:36.7pt;width:81pt;z-index:25169612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vSKrfXAAAACgEAAA8AAAAAAAAAAQAgAAAAIgAAAGRycy9kb3ducmV2LnhtbFBLAQIUABQA&#10;AAAIAIdO4kA4UfZguAEAAF4DAAAOAAAAAAAAAAEAIAAAACYBAABkcnMvZTJvRG9jLnhtbFBLBQYA&#10;AAAABgAGAFkBAABQBQAAAAA=&#10;">
                <v:fill on="f" focussize="0,0"/>
                <v:stroke on="f"/>
                <v:imagedata o:title=""/>
                <o:lock v:ext="edit" aspectratio="f"/>
                <v:textbox>
                  <w:txbxContent>
                    <w:p w14:paraId="3DE920F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4E3B3B3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13.4  </w:t>
      </w:r>
      <w:r>
        <w:rPr>
          <w:rFonts w:hint="eastAsia" w:ascii="宋体" w:hAnsi="宋体" w:eastAsia="宋体" w:cs="宋体"/>
          <w:b/>
          <w:bCs/>
          <w:color w:val="auto"/>
          <w:kern w:val="2"/>
          <w:sz w:val="22"/>
          <w:szCs w:val="22"/>
          <w:highlight w:val="none"/>
          <w:u w:val="dotted"/>
          <w:lang w:val="en-US" w:eastAsia="zh-CN" w:bidi="ar-SA"/>
        </w:rPr>
        <w:t xml:space="preserve">                                                                                       </w:t>
      </w:r>
    </w:p>
    <w:p w14:paraId="3586267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57552EE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2" name="文本框 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093366C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7A7201F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37" o:spid="_x0000_s1026" o:spt="202" type="#_x0000_t202" style="position:absolute;left:0pt;margin-left:-9pt;margin-top:17.7pt;height:36.7pt;width:81pt;z-index:25169715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0iq31wAAAAoBAAAPAAAAAAAAAAEAIAAAACIAAABkcnMvZG93bnJldi54bWxQSwECFAAU&#10;AAAACACHTuJAkE1KzrkBAABeAwAADgAAAAAAAAABACAAAAAmAQAAZHJzL2Uyb0RvYy54bWxQSwUG&#10;AAAAAAYABgBZAQAAUQUAAAAA&#10;">
                <v:fill on="f" focussize="0,0"/>
                <v:stroke on="f"/>
                <v:imagedata o:title=""/>
                <o:lock v:ext="edit" aspectratio="f"/>
                <v:textbox>
                  <w:txbxContent>
                    <w:p w14:paraId="093366C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7A7201F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13.5  </w:t>
      </w:r>
      <w:r>
        <w:rPr>
          <w:rFonts w:hint="eastAsia" w:ascii="宋体" w:hAnsi="宋体" w:eastAsia="宋体" w:cs="宋体"/>
          <w:b/>
          <w:bCs/>
          <w:color w:val="auto"/>
          <w:kern w:val="2"/>
          <w:sz w:val="22"/>
          <w:szCs w:val="22"/>
          <w:highlight w:val="none"/>
          <w:u w:val="dotted"/>
          <w:lang w:val="en-US" w:eastAsia="zh-CN" w:bidi="ar-SA"/>
        </w:rPr>
        <w:t xml:space="preserve">                                                                                       </w:t>
      </w:r>
    </w:p>
    <w:p w14:paraId="14452F3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因承包人运输造成施工场地内外公共道路和桥梁损坏的，由承包人承担修复损坏的全部费用和可能引起的赔偿。</w:t>
      </w:r>
    </w:p>
    <w:p w14:paraId="5AC77DA0">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43" name="文本框 3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14:paraId="6764883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3B57F45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38" o:spid="_x0000_s1026" o:spt="202" type="#_x0000_t202" style="position:absolute;left:0pt;margin-left:-9pt;margin-top:17.7pt;height:47.9pt;width:81pt;z-index:25169817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KadSdcAAAAKAQAADwAAAAAAAAABACAAAAAiAAAAZHJzL2Rvd25yZXYueG1sUEsBAhQAFAAA&#10;AAgAh07iQMui9/y3AQAAXgMAAA4AAAAAAAAAAQAgAAAAJgEAAGRycy9lMm9Eb2MueG1sUEsFBgAA&#10;AAAGAAYAWQEAAE8FAAAAAA==&#10;">
                <v:fill on="f" focussize="0,0"/>
                <v:stroke on="f"/>
                <v:imagedata o:title=""/>
                <o:lock v:ext="edit" aspectratio="f"/>
                <v:textbox>
                  <w:txbxContent>
                    <w:p w14:paraId="6764883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3B57F45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13.6 </w:t>
      </w:r>
      <w:r>
        <w:rPr>
          <w:rFonts w:hint="eastAsia" w:ascii="宋体" w:hAnsi="宋体" w:eastAsia="宋体" w:cs="宋体"/>
          <w:b/>
          <w:bCs/>
          <w:color w:val="auto"/>
          <w:kern w:val="2"/>
          <w:sz w:val="22"/>
          <w:szCs w:val="22"/>
          <w:highlight w:val="none"/>
          <w:u w:val="dotted"/>
          <w:lang w:val="en-US" w:eastAsia="zh-CN" w:bidi="ar-SA"/>
        </w:rPr>
        <w:t xml:space="preserve">                                                                                       </w:t>
      </w:r>
    </w:p>
    <w:p w14:paraId="7368624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本条内容适用于水路运输和航空运输，其中“道路”包括河道、航线、船闸、机场、码头、堤防以及水路或航空运输中其他相似结构物；“车辆”包括船舶和飞机等。</w:t>
      </w:r>
    </w:p>
    <w:p w14:paraId="3DF26601">
      <w:pPr>
        <w:widowControl w:val="0"/>
        <w:tabs>
          <w:tab w:val="left" w:pos="1202"/>
        </w:tabs>
        <w:adjustRightInd w:val="0"/>
        <w:snapToGrid w:val="0"/>
        <w:spacing w:line="420" w:lineRule="exact"/>
        <w:jc w:val="left"/>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14:paraId="2511E031">
      <w:pPr>
        <w:widowControl w:val="0"/>
        <w:tabs>
          <w:tab w:val="left" w:pos="3818"/>
        </w:tabs>
        <w:adjustRightInd w:val="0"/>
        <w:snapToGrid w:val="0"/>
        <w:spacing w:before="240" w:beforeLines="100" w:line="420" w:lineRule="exact"/>
        <w:jc w:val="both"/>
        <w:outlineLvl w:val="2"/>
        <w:rPr>
          <w:rFonts w:ascii="宋体" w:hAnsi="宋体" w:eastAsia="宋体" w:cs="宋体"/>
          <w:b/>
          <w:bCs/>
          <w:color w:val="auto"/>
          <w:kern w:val="2"/>
          <w:sz w:val="22"/>
          <w:szCs w:val="22"/>
          <w:highlight w:val="none"/>
          <w:lang w:val="en-US" w:eastAsia="zh-CN" w:bidi="ar-SA"/>
        </w:rPr>
      </w:pPr>
      <w:bookmarkStart w:id="409" w:name="_Toc10624833"/>
      <w:bookmarkStart w:id="410" w:name="_Toc469383993"/>
      <w:r>
        <w:rPr>
          <w:rFonts w:hint="eastAsia" w:ascii="黑体" w:hAnsi="黑体" w:eastAsia="黑体" w:cs="黑体"/>
          <w:b w:val="0"/>
          <w:bCs/>
          <w:color w:val="auto"/>
          <w:kern w:val="0"/>
          <w:sz w:val="24"/>
          <w:szCs w:val="24"/>
          <w:highlight w:val="none"/>
          <w:lang w:val="en-US" w:eastAsia="zh-CN" w:bidi="ar-SA"/>
        </w:rPr>
        <w:t>14  专项批准事件的签认</w:t>
      </w:r>
      <w:bookmarkEnd w:id="409"/>
      <w:bookmarkEnd w:id="410"/>
      <w:r>
        <w:rPr>
          <w:rFonts w:hint="eastAsia" w:ascii="宋体" w:hAnsi="宋体" w:eastAsia="宋体" w:cs="宋体"/>
          <w:b/>
          <w:bCs/>
          <w:color w:val="auto"/>
          <w:kern w:val="2"/>
          <w:sz w:val="22"/>
          <w:szCs w:val="22"/>
          <w:highlight w:val="none"/>
          <w:lang w:val="en-US" w:eastAsia="zh-CN" w:bidi="ar-SA"/>
        </w:rPr>
        <w:tab/>
      </w:r>
    </w:p>
    <w:p w14:paraId="483D4E4B">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44" name="文本框 39"/>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6154FD8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39" o:spid="_x0000_s1026" o:spt="202" type="#_x0000_t202" style="position:absolute;left:0pt;margin-left:-9pt;margin-top:19.4pt;height:68.95pt;width:72pt;z-index:25169920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HBLGNgAAAAKAQAADwAAAAAAAAABACAAAAAiAAAAZHJzL2Rvd25yZXYueG1sUEsBAhQA&#10;FAAAAAgAh07iQHxHoti5AQAAXQMAAA4AAAAAAAAAAQAgAAAAJwEAAGRycy9lMm9Eb2MueG1sUEsF&#10;BgAAAAAGAAYAWQEAAFIFAAAAAA==&#10;">
                <v:fill on="f" focussize="0,0"/>
                <v:stroke on="f"/>
                <v:imagedata o:title=""/>
                <o:lock v:ext="edit" aspectratio="f"/>
                <v:textbox>
                  <w:txbxContent>
                    <w:p w14:paraId="6154FD8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14.1      </w:t>
      </w:r>
    </w:p>
    <w:p w14:paraId="626DA3E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78AB242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合同双方当事人应按照第14.2款规定对发生的专项批准事件予以签认，并及时将发生事件的相关资料整理、归档，同时按第23.2款、第24.2款规定职权将其中一份送监理工程师和（或）造价工程师留存。</w:t>
      </w:r>
    </w:p>
    <w:p w14:paraId="159B08AB">
      <w:pPr>
        <w:widowControl w:val="0"/>
        <w:tabs>
          <w:tab w:val="left" w:pos="2160"/>
        </w:tabs>
        <w:spacing w:before="192" w:beforeLines="8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14.2  </w:t>
      </w:r>
      <w:r>
        <w:rPr>
          <w:rFonts w:hint="eastAsia" w:ascii="宋体" w:hAnsi="宋体" w:eastAsia="宋体" w:cs="宋体"/>
          <w:b/>
          <w:bCs/>
          <w:color w:val="auto"/>
          <w:kern w:val="2"/>
          <w:sz w:val="22"/>
          <w:szCs w:val="22"/>
          <w:highlight w:val="none"/>
          <w:u w:val="dotted"/>
          <w:lang w:val="en-US" w:eastAsia="zh-CN" w:bidi="ar-SA"/>
        </w:rPr>
        <w:t xml:space="preserve">                                                                                 </w:t>
      </w:r>
    </w:p>
    <w:p w14:paraId="041E14D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45" name="文本框 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70F9877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40" o:spid="_x0000_s1026" o:spt="202" type="#_x0000_t202" style="position:absolute;left:0pt;margin-left:0pt;margin-top:0.85pt;height:68.95pt;width:72pt;z-index:25170022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ak&#10;bmLTAAAABgEAAA8AAAAAAAAAAQAgAAAAIgAAAGRycy9kb3ducmV2LnhtbFBLAQIUABQAAAAIAIdO&#10;4kC6IJfYtgEAAF0DAAAOAAAAAAAAAAEAIAAAACIBAABkcnMvZTJvRG9jLnhtbFBLBQYAAAAABgAG&#10;AFkBAABKBQAAAAA=&#10;">
                <v:fill on="f" focussize="0,0"/>
                <v:stroke on="f"/>
                <v:imagedata o:title=""/>
                <o:lock v:ext="edit" aspectratio="f"/>
                <v:textbox>
                  <w:txbxContent>
                    <w:p w14:paraId="70F9877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1AB03497">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3561EE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1" w:name="_Toc469383994"/>
      <w:bookmarkStart w:id="412" w:name="_Toc10624834"/>
      <w:r>
        <w:rPr>
          <w:rFonts w:hint="eastAsia" w:ascii="黑体" w:hAnsi="黑体" w:eastAsia="黑体" w:cs="黑体"/>
          <w:b w:val="0"/>
          <w:bCs/>
          <w:color w:val="auto"/>
          <w:kern w:val="0"/>
          <w:sz w:val="24"/>
          <w:szCs w:val="24"/>
          <w:highlight w:val="none"/>
          <w:lang w:val="en-US" w:eastAsia="zh-CN" w:bidi="ar-SA"/>
        </w:rPr>
        <w:t>15  专利技术</w:t>
      </w:r>
      <w:bookmarkEnd w:id="411"/>
      <w:bookmarkEnd w:id="412"/>
    </w:p>
    <w:p w14:paraId="358A11D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15.1                                                                                   </w:t>
      </w:r>
      <w:r>
        <w:rPr>
          <w:rFonts w:hint="eastAsia" w:ascii="宋体" w:hAnsi="宋体" w:eastAsia="宋体" w:cs="宋体"/>
          <w:b/>
          <w:bCs/>
          <w:color w:val="auto"/>
          <w:kern w:val="2"/>
          <w:sz w:val="22"/>
          <w:szCs w:val="22"/>
          <w:highlight w:val="none"/>
          <w:u w:val="dotted"/>
          <w:lang w:val="en-US" w:eastAsia="zh-CN" w:bidi="ar-SA"/>
        </w:rPr>
        <w:t xml:space="preserve">      </w:t>
      </w:r>
    </w:p>
    <w:p w14:paraId="094EFA3F">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6" name="文本框 4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7ED3D7C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41" o:spid="_x0000_s1026" o:spt="202" type="#_x0000_t202" style="position:absolute;left:0pt;margin-left:-9pt;margin-top:1.8pt;height:37.15pt;width:72pt;z-index:25170124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6bZOk1gAAAAgBAAAPAAAAAAAAAAEAIAAAACIAAABkcnMvZG93bnJldi54bWxQSwECFAAUAAAA&#10;CACHTuJADGiPAbcBAABdAwAADgAAAAAAAAABACAAAAAlAQAAZHJzL2Uyb0RvYy54bWxQSwUGAAAA&#10;AAYABgBZAQAATgUAAAAA&#10;">
                <v:fill on="f" focussize="0,0"/>
                <v:stroke on="f"/>
                <v:imagedata o:title=""/>
                <o:lock v:ext="edit" aspectratio="f"/>
                <v:textbox>
                  <w:txbxContent>
                    <w:p w14:paraId="7ED3D7C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153020F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15.2</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r>
        <w:rPr>
          <w:rFonts w:hint="eastAsia" w:ascii="宋体" w:hAnsi="宋体" w:eastAsia="宋体" w:cs="宋体"/>
          <w:b/>
          <w:bCs/>
          <w:color w:val="auto"/>
          <w:kern w:val="2"/>
          <w:sz w:val="22"/>
          <w:szCs w:val="22"/>
          <w:highlight w:val="none"/>
          <w:u w:val="dotted"/>
          <w:lang w:val="en-US" w:eastAsia="zh-CN" w:bidi="ar-SA"/>
        </w:rPr>
        <w:t xml:space="preserve">        </w:t>
      </w:r>
    </w:p>
    <w:p w14:paraId="2C1A97B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7" name="文本框 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045CD1C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42" o:spid="_x0000_s1026" o:spt="202" type="#_x0000_t202" style="position:absolute;left:0pt;margin-left:-9pt;margin-top:1.8pt;height:37.15pt;width:72pt;z-index:25170227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6bZOk1gAAAAgBAAAPAAAAAAAAAAEAIAAAACIAAABkcnMvZG93bnJldi54bWxQSwECFAAUAAAA&#10;CACHTuJAxB2IurcBAABdAwAADgAAAAAAAAABACAAAAAlAQAAZHJzL2Uyb0RvYy54bWxQSwUGAAAA&#10;AAYABgBZAQAATgUAAAAA&#10;">
                <v:fill on="f" focussize="0,0"/>
                <v:stroke on="f"/>
                <v:imagedata o:title=""/>
                <o:lock v:ext="edit" aspectratio="f"/>
                <v:textbox>
                  <w:txbxContent>
                    <w:p w14:paraId="045CD1C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承包人在投标文件中采用专利技术的，其发生的费用已包含在投标报价内。承包人的技术秘密和第91条规定的保密信息、资料等，发包人应严格按照第91条规定不得为合同以外的目的泄露给第三方。</w:t>
      </w:r>
    </w:p>
    <w:p w14:paraId="7FA53AE1">
      <w:pPr>
        <w:widowControl w:val="0"/>
        <w:tabs>
          <w:tab w:val="left" w:pos="168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8" name="文本框 43"/>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14:paraId="5E99F48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43" o:spid="_x0000_s1026" o:spt="202" type="#_x0000_t202" style="position:absolute;left:0pt;margin-left:-9pt;margin-top:19pt;height:39.2pt;width:72pt;z-index:25170329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1ehpHXAAAACgEAAA8AAAAAAAAAAQAgAAAAIgAAAGRycy9kb3ducmV2LnhtbFBLAQIUABQA&#10;AAAIAIdO4kAylf0JuAEAAF0DAAAOAAAAAAAAAAEAIAAAACYBAABkcnMvZTJvRG9jLnhtbFBLBQYA&#10;AAAABgAGAFkBAABQBQAAAAA=&#10;">
                <v:fill on="f" focussize="0,0"/>
                <v:stroke on="f"/>
                <v:imagedata o:title=""/>
                <o:lock v:ext="edit" aspectratio="f"/>
                <v:textbox>
                  <w:txbxContent>
                    <w:p w14:paraId="5E99F48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ascii="宋体" w:hAnsi="宋体" w:eastAsia="宋体" w:cs="宋体"/>
          <w:color w:val="auto"/>
          <w:kern w:val="2"/>
          <w:sz w:val="22"/>
          <w:szCs w:val="22"/>
          <w:highlight w:val="none"/>
          <w:lang w:val="en-US" w:eastAsia="zh-CN" w:bidi="ar-SA"/>
        </w:rPr>
        <w:t xml:space="preserve">15.3  </w:t>
      </w:r>
      <w:r>
        <w:rPr>
          <w:rFonts w:hint="eastAsia" w:ascii="宋体" w:hAnsi="宋体" w:eastAsia="宋体" w:cs="宋体"/>
          <w:color w:val="auto"/>
          <w:kern w:val="2"/>
          <w:sz w:val="22"/>
          <w:szCs w:val="22"/>
          <w:highlight w:val="none"/>
          <w:u w:val="dotted"/>
          <w:lang w:val="en-US" w:eastAsia="zh-CN" w:bidi="ar-SA"/>
        </w:rPr>
        <w:t xml:space="preserve">                                                                                        </w:t>
      </w:r>
    </w:p>
    <w:p w14:paraId="252C95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52CA62B8">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BAF18D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3" w:name="_Toc10624835"/>
      <w:bookmarkStart w:id="414" w:name="_Toc469383995"/>
      <w:r>
        <w:rPr>
          <w:rFonts w:hint="eastAsia" w:ascii="黑体" w:hAnsi="黑体" w:eastAsia="黑体" w:cs="黑体"/>
          <w:b w:val="0"/>
          <w:bCs/>
          <w:color w:val="auto"/>
          <w:kern w:val="0"/>
          <w:sz w:val="24"/>
          <w:szCs w:val="24"/>
          <w:highlight w:val="none"/>
          <w:lang w:val="en-US" w:eastAsia="zh-CN" w:bidi="ar-SA"/>
        </w:rPr>
        <w:t>16  联合的责任</w:t>
      </w:r>
      <w:bookmarkEnd w:id="413"/>
      <w:bookmarkEnd w:id="414"/>
    </w:p>
    <w:p w14:paraId="7ECB963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9" name="文本框 44"/>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14:paraId="6AFC53A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44" o:spid="_x0000_s1026" o:spt="202" type="#_x0000_t202" style="position:absolute;left:0pt;margin-left:-9pt;margin-top:18.5pt;height:36.3pt;width:72pt;z-index:251704320;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JrE6n1wAAAAoBAAAPAAAAAAAAAAEAIAAAACIAAABkcnMvZG93bnJldi54bWxQSwECFAAUAAAA&#10;CACHTuJA7Y0VoLYBAABdAwAADgAAAAAAAAABACAAAAAmAQAAZHJzL2Uyb0RvYy54bWxQSwUGAAAA&#10;AAYABgBZAQAATgUAAAAA&#10;">
                <v:fill on="f" focussize="0,0"/>
                <v:stroke on="f"/>
                <v:imagedata o:title=""/>
                <o:lock v:ext="edit" aspectratio="f"/>
                <v:textbox>
                  <w:txbxContent>
                    <w:p w14:paraId="6AFC53A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16.1                     </w:t>
      </w:r>
    </w:p>
    <w:p w14:paraId="33007BE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4259EA7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50" name="文本框 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9092AB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45" o:spid="_x0000_s1026" o:spt="202" type="#_x0000_t202" style="position:absolute;left:0pt;margin-left:-9pt;margin-top:19.35pt;height:39pt;width:72pt;z-index:251705344;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7HiBtgAAAAKAQAADwAAAAAAAAABACAAAAAiAAAAZHJzL2Rvd25yZXYueG1sUEsBAhQAFAAA&#10;AAgAh07iQMlGJkG2AQAAXQMAAA4AAAAAAAAAAQAgAAAAJwEAAGRycy9lMm9Eb2MueG1sUEsFBgAA&#10;AAAGAAYAWQEAAE8FAAAAAA==&#10;">
                <v:fill on="f" focussize="0,0"/>
                <v:stroke on="f"/>
                <v:imagedata o:title=""/>
                <o:lock v:ext="edit" aspectratio="f"/>
                <v:textbox>
                  <w:txbxContent>
                    <w:p w14:paraId="79092ABC">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16.2  </w:t>
      </w:r>
      <w:r>
        <w:rPr>
          <w:rFonts w:hint="eastAsia" w:ascii="宋体" w:hAnsi="宋体" w:eastAsia="宋体" w:cs="宋体"/>
          <w:b/>
          <w:bCs/>
          <w:color w:val="auto"/>
          <w:kern w:val="2"/>
          <w:sz w:val="22"/>
          <w:szCs w:val="22"/>
          <w:highlight w:val="none"/>
          <w:u w:val="dotted"/>
          <w:lang w:val="en-US" w:eastAsia="zh-CN" w:bidi="ar-SA"/>
        </w:rPr>
        <w:t xml:space="preserve">                                                                                       </w:t>
      </w:r>
    </w:p>
    <w:p w14:paraId="461AC7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4547D1D3">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106A31B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5" w:name="_Toc469383996"/>
      <w:bookmarkStart w:id="416" w:name="_Toc10624836"/>
      <w:r>
        <w:rPr>
          <w:rFonts w:hint="eastAsia" w:ascii="黑体" w:hAnsi="黑体" w:eastAsia="黑体" w:cs="黑体"/>
          <w:b w:val="0"/>
          <w:bCs/>
          <w:color w:val="auto"/>
          <w:kern w:val="0"/>
          <w:sz w:val="24"/>
          <w:szCs w:val="24"/>
          <w:highlight w:val="none"/>
          <w:lang w:val="en-US" w:eastAsia="zh-CN" w:bidi="ar-SA"/>
        </w:rPr>
        <w:t>17  保障</w:t>
      </w:r>
      <w:bookmarkEnd w:id="415"/>
      <w:bookmarkEnd w:id="416"/>
    </w:p>
    <w:p w14:paraId="76EC8BAF">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51" name="文本框 4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BB5236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46" o:spid="_x0000_s1026" o:spt="202" type="#_x0000_t202" style="position:absolute;left:0pt;margin-left:0pt;margin-top:14.3pt;height:46.8pt;width:72pt;z-index:251706368;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hgkNUAAAAHAQAADwAAAAAAAAABACAAAAAiAAAAZHJzL2Rvd25yZXYueG1sUEsBAhQAFAAA&#10;AAgAh07iQE4JaaC5AQAAXQMAAA4AAAAAAAAAAQAgAAAAJAEAAGRycy9lMm9Eb2MueG1sUEsFBgAA&#10;AAAGAAYAWQEAAE8FAAAAAA==&#10;">
                <v:fill on="f" focussize="0,0"/>
                <v:stroke on="f"/>
                <v:imagedata o:title=""/>
                <o:lock v:ext="edit" aspectratio="f"/>
                <v:textbox>
                  <w:txbxContent>
                    <w:p w14:paraId="4BB5236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17.1      </w:t>
      </w:r>
    </w:p>
    <w:p w14:paraId="19B603F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4CBD0538">
      <w:pPr>
        <w:widowControl w:val="0"/>
        <w:tabs>
          <w:tab w:val="left" w:pos="1202"/>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52" name="文本框 4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14:paraId="4F3424A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47" o:spid="_x0000_s1026" o:spt="202" type="#_x0000_t202" style="position:absolute;left:0pt;margin-left:-9pt;margin-top:18.95pt;height:42.1pt;width:72pt;z-index:251707392;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eQZ9gAAAAKAQAADwAAAAAAAAABACAAAAAiAAAAZHJzL2Rvd25yZXYueG1sUEsBAhQA&#10;FAAAAAgAh07iQIQ0Owq5AQAAXQMAAA4AAAAAAAAAAQAgAAAAJwEAAGRycy9lMm9Eb2MueG1sUEsF&#10;BgAAAAAGAAYAWQEAAFIFAAAAAA==&#10;">
                <v:fill on="f" focussize="0,0"/>
                <v:stroke on="f"/>
                <v:imagedata o:title=""/>
                <o:lock v:ext="edit" aspectratio="f"/>
                <v:textbox>
                  <w:txbxContent>
                    <w:p w14:paraId="4F3424A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17.2  </w:t>
      </w:r>
      <w:r>
        <w:rPr>
          <w:rFonts w:hint="eastAsia" w:ascii="宋体" w:hAnsi="宋体" w:eastAsia="宋体" w:cs="宋体"/>
          <w:b/>
          <w:bCs/>
          <w:color w:val="auto"/>
          <w:kern w:val="2"/>
          <w:sz w:val="22"/>
          <w:szCs w:val="22"/>
          <w:highlight w:val="none"/>
          <w:u w:val="dotted"/>
          <w:lang w:val="en-US" w:eastAsia="zh-CN" w:bidi="ar-SA"/>
        </w:rPr>
        <w:t xml:space="preserve">                                                                                       </w:t>
      </w:r>
    </w:p>
    <w:p w14:paraId="1F6DF52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承包人应保障发包人不承担因承包人移动或使用施工场地外的施工设备和临时设施所造成的损害而引起的赔偿。</w:t>
      </w:r>
    </w:p>
    <w:p w14:paraId="22E2D1B0">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307247F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17" w:name="_Toc469383997"/>
      <w:bookmarkStart w:id="418" w:name="_Toc10624837"/>
      <w:r>
        <w:rPr>
          <w:rFonts w:hint="eastAsia" w:ascii="黑体" w:hAnsi="黑体" w:eastAsia="黑体" w:cs="黑体"/>
          <w:b w:val="0"/>
          <w:bCs/>
          <w:color w:val="auto"/>
          <w:kern w:val="0"/>
          <w:sz w:val="24"/>
          <w:szCs w:val="24"/>
          <w:highlight w:val="none"/>
          <w:lang w:val="en-US" w:eastAsia="zh-CN" w:bidi="ar-SA"/>
        </w:rPr>
        <w:t>18  财产</w:t>
      </w:r>
      <w:bookmarkEnd w:id="417"/>
      <w:bookmarkEnd w:id="418"/>
    </w:p>
    <w:p w14:paraId="1972F887">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18.1                       </w:t>
      </w:r>
    </w:p>
    <w:p w14:paraId="4DD6D3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53" name="文本框 4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14:paraId="207DFA2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48" o:spid="_x0000_s1026" o:spt="202" type="#_x0000_t202" style="position:absolute;left:0pt;margin-left:-9pt;margin-top:0pt;height:57.05pt;width:72pt;z-index:251708416;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Usi51QAAAAgBAAAPAAAAAAAAAAEAIAAAACIAAABkcnMvZG93bnJldi54bWxQSwECFAAUAAAA&#10;CACHTuJAhSraabgBAABdAwAADgAAAAAAAAABACAAAAAkAQAAZHJzL2Uyb0RvYy54bWxQSwUGAAAA&#10;AAYABgBZAQAATgUAAAAA&#10;">
                <v:fill on="f" focussize="0,0"/>
                <v:stroke on="f"/>
                <v:imagedata o:title=""/>
                <o:lock v:ext="edit" aspectratio="f"/>
                <v:textbox>
                  <w:txbxContent>
                    <w:p w14:paraId="207DFA2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16E547F2">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54" name="文本框 49"/>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544AA04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49" o:spid="_x0000_s1026" o:spt="202" type="#_x0000_t202" style="position:absolute;left:0pt;margin-left:-9pt;margin-top:22.25pt;height:36.25pt;width:72pt;z-index:251709440;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aNS3XAAAACgEAAA8AAAAAAAAAAQAgAAAAIgAAAGRycy9kb3ducmV2LnhtbFBLAQIUABQA&#10;AAAIAIdO4kCSVhtCuAEAAF0DAAAOAAAAAAAAAAEAIAAAACYBAABkcnMvZTJvRG9jLnhtbFBLBQYA&#10;AAAABgAGAFkBAABQBQAAAAA=&#10;">
                <v:fill on="f" focussize="0,0"/>
                <v:stroke on="f"/>
                <v:imagedata o:title=""/>
                <o:lock v:ext="edit" aspectratio="f"/>
                <v:textbox>
                  <w:txbxContent>
                    <w:p w14:paraId="544AA04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宋体" w:hAnsi="宋体" w:cs="宋体"/>
          <w:b/>
          <w:bCs/>
          <w:color w:val="auto"/>
          <w:sz w:val="22"/>
          <w:szCs w:val="22"/>
          <w:highlight w:val="none"/>
        </w:rPr>
        <w:t xml:space="preserve">18.2  </w:t>
      </w:r>
      <w:r>
        <w:rPr>
          <w:rFonts w:hint="eastAsia" w:ascii="宋体" w:hAnsi="宋体" w:cs="宋体"/>
          <w:b/>
          <w:bCs/>
          <w:color w:val="auto"/>
          <w:sz w:val="22"/>
          <w:szCs w:val="22"/>
          <w:highlight w:val="none"/>
          <w:u w:val="dotted"/>
        </w:rPr>
        <w:t xml:space="preserve">                                                                                       </w:t>
      </w:r>
    </w:p>
    <w:p w14:paraId="250C1B4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如果发包人依据第87.3款规定的情形解除合同，则合同工程和临时工程，应认为是发包人的财产。</w:t>
      </w:r>
    </w:p>
    <w:p w14:paraId="5CAD2C5C">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55" name="文本框 50"/>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14:paraId="029ED24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50" o:spid="_x0000_s1026" o:spt="202" type="#_x0000_t202" style="position:absolute;left:0pt;margin-left:-9pt;margin-top:22.25pt;height:42.85pt;width:72pt;z-index:251710464;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uwFc2AAAAAoBAAAPAAAAAAAAAAEAIAAAACIAAABkcnMvZG93bnJldi54bWxQSwECFAAUAAAA&#10;CACHTuJA2VHWnLUBAABdAwAADgAAAAAAAAABACAAAAAnAQAAZHJzL2Uyb0RvYy54bWxQSwUGAAAA&#10;AAYABgBZAQAATgUAAAAA&#10;">
                <v:fill on="f" focussize="0,0"/>
                <v:stroke on="f"/>
                <v:imagedata o:title=""/>
                <o:lock v:ext="edit" aspectratio="f"/>
                <v:textbox>
                  <w:txbxContent>
                    <w:p w14:paraId="029ED24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cs="宋体"/>
          <w:b/>
          <w:bCs/>
          <w:color w:val="auto"/>
          <w:sz w:val="22"/>
          <w:szCs w:val="22"/>
          <w:highlight w:val="none"/>
        </w:rPr>
        <w:t xml:space="preserve">18.3  </w:t>
      </w:r>
      <w:r>
        <w:rPr>
          <w:rFonts w:hint="eastAsia" w:ascii="宋体" w:hAnsi="宋体" w:cs="宋体"/>
          <w:b/>
          <w:bCs/>
          <w:color w:val="auto"/>
          <w:sz w:val="22"/>
          <w:szCs w:val="22"/>
          <w:highlight w:val="none"/>
          <w:u w:val="dotted"/>
        </w:rPr>
        <w:t xml:space="preserve">                                                                                       </w:t>
      </w:r>
    </w:p>
    <w:p w14:paraId="1EB4E13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05F36223">
      <w:pPr>
        <w:spacing w:line="420" w:lineRule="exact"/>
        <w:outlineLvl w:val="1"/>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14:paraId="2A6D02E3">
      <w:pPr>
        <w:spacing w:line="420" w:lineRule="exact"/>
        <w:ind w:firstLine="4305" w:firstLineChars="1793"/>
        <w:outlineLvl w:val="1"/>
        <w:rPr>
          <w:rFonts w:ascii="方正黑体_GBK" w:hAnsi="方正黑体_GBK" w:eastAsia="方正黑体_GBK" w:cs="方正黑体_GBK"/>
          <w:b/>
          <w:bCs/>
          <w:color w:val="auto"/>
          <w:sz w:val="24"/>
          <w:szCs w:val="24"/>
          <w:highlight w:val="none"/>
        </w:rPr>
      </w:pPr>
      <w:bookmarkStart w:id="419" w:name="_Toc469383998"/>
      <w:bookmarkStart w:id="420" w:name="_Toc10624838"/>
      <w:r>
        <w:rPr>
          <w:rFonts w:hint="eastAsia" w:ascii="方正小标宋_GBK" w:hAnsi="方正小标宋_GBK" w:eastAsia="方正小标宋_GBK" w:cs="方正小标宋_GBK"/>
          <w:b/>
          <w:bCs/>
          <w:color w:val="auto"/>
          <w:sz w:val="24"/>
          <w:szCs w:val="24"/>
          <w:highlight w:val="none"/>
        </w:rPr>
        <w:t>二、合同主体</w:t>
      </w:r>
      <w:bookmarkEnd w:id="419"/>
      <w:bookmarkEnd w:id="420"/>
    </w:p>
    <w:p w14:paraId="07F2B8A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1" w:name="_Toc10624839"/>
      <w:bookmarkStart w:id="422" w:name="_Toc469383999"/>
      <w:r>
        <w:rPr>
          <w:rFonts w:hint="eastAsia" w:ascii="黑体" w:hAnsi="黑体" w:eastAsia="黑体" w:cs="黑体"/>
          <w:b w:val="0"/>
          <w:bCs/>
          <w:color w:val="auto"/>
          <w:kern w:val="0"/>
          <w:sz w:val="24"/>
          <w:szCs w:val="24"/>
          <w:highlight w:val="none"/>
          <w:lang w:val="en-US" w:eastAsia="zh-CN" w:bidi="ar-SA"/>
        </w:rPr>
        <w:t>19  发包人</w:t>
      </w:r>
      <w:bookmarkEnd w:id="421"/>
      <w:bookmarkEnd w:id="422"/>
    </w:p>
    <w:p w14:paraId="5D33F5D1">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19.1                                                        </w:t>
      </w:r>
    </w:p>
    <w:p w14:paraId="509F2C5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6" name="文本框 51"/>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4D33D7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1" o:spid="_x0000_s1026" o:spt="202" type="#_x0000_t202" style="position:absolute;left:0pt;margin-left:-9pt;margin-top:0.35pt;height:33.85pt;width:72pt;z-index:25171148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bkb6UrgBAABdAwAADgAAAAAAAAABACAAAAAkAQAAZHJzL2Uyb0RvYy54bWxQSwUGAAAA&#10;AAYABgBZAQAATgUAAAAA&#10;">
                <v:fill on="f" focussize="0,0"/>
                <v:stroke on="f"/>
                <v:imagedata o:title=""/>
                <o:lock v:ext="edit" aspectratio="f"/>
                <v:textbox>
                  <w:txbxContent>
                    <w:p w14:paraId="4D33D723">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B29EB23">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0886910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7" name="文本框 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70DC0E0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52" o:spid="_x0000_s1026" o:spt="202" type="#_x0000_t202" style="position:absolute;left:0pt;margin-left:-9pt;margin-top:0.35pt;height:33.85pt;width:72pt;z-index:25171251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pjP96bgBAABdAwAADgAAAAAAAAABACAAAAAkAQAAZHJzL2Uyb0RvYy54bWxQSwUGAAAA&#10;AAYABgBZAQAATgUAAAAA&#10;">
                <v:fill on="f" focussize="0,0"/>
                <v:stroke on="f"/>
                <v:imagedata o:title=""/>
                <o:lock v:ext="edit" aspectratio="f"/>
                <v:textbox>
                  <w:txbxContent>
                    <w:p w14:paraId="70DC0E0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发包人应按照合同约定完成下列工作，包括但不限于：</w:t>
      </w:r>
    </w:p>
    <w:p w14:paraId="03B0F04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（1）办理土地征用、拆迁、平整施工场地等工作，使施工场地具备施工条件，并在开工后继续负责解决上述工作遗留的问题；</w:t>
      </w:r>
    </w:p>
    <w:p w14:paraId="2F1B969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（2）将施工所需水、电、通讯线路从施工场地外部接驳至专用条款约定的地点，保证施工期间的需要；</w:t>
      </w:r>
    </w:p>
    <w:p w14:paraId="1F3D633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（3）开通施工场地与城乡公共道路间的通道，满足第13条交通运输的需要；</w:t>
      </w:r>
    </w:p>
    <w:p w14:paraId="6038B9F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1ABD7AE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（5）办理施工许可及其他所需证件、批准文件和办理临时用地、停水、停电、中断道路交通、爆破作业等的申请批准手续（承包人自身施工资质的证件除外）；</w:t>
      </w:r>
    </w:p>
    <w:p w14:paraId="2A59703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（6）确定水准点与坐标控制点，组织现场交验并以书面形式移交给承包人；</w:t>
      </w:r>
    </w:p>
    <w:p w14:paraId="446F37D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（7）按照专用条款约定的时间向承包人提供一式两份约定的标准与规范；</w:t>
      </w:r>
    </w:p>
    <w:p w14:paraId="0FFBD99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（8）组织承包人和设计人进行图纸会审和设计交底；</w:t>
      </w:r>
    </w:p>
    <w:p w14:paraId="1C44505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（9）协调处理施工场地周围地形关系问题和做好邻近建筑物、构筑物（包括文物保护建筑）、古树名木等的保护工作；</w:t>
      </w:r>
    </w:p>
    <w:p w14:paraId="696FF28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（10）及时接收已完工程，并按照合同约定及时支付工程款及其他各种款项。</w:t>
      </w:r>
    </w:p>
    <w:p w14:paraId="1E73B42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发包人可将其中部分工作委托给承包人办理，具体由合同双方当事人在专用条款中约定。除合同价款已包括外，由发包人承担所需费用，并向承包人支付合理利润。</w:t>
      </w:r>
    </w:p>
    <w:p w14:paraId="73311434">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19.3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B08054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8" name="文本框 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23802C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53" o:spid="_x0000_s1026" o:spt="202" type="#_x0000_t202" style="position:absolute;left:0pt;margin-left:-9pt;margin-top:0pt;height:39pt;width:72pt;z-index:25171353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uITtQAAAAHAQAADwAAAAAAAAABACAAAAAiAAAAZHJzL2Rvd25yZXYueG1sUEsBAhQAFAAAAAgA&#10;h07iQLxUn8G3AQAAXQMAAA4AAAAAAAAAAQAgAAAAIwEAAGRycy9lMm9Eb2MueG1sUEsFBgAAAAAG&#10;AAYAWQEAAEwFAAAAAA==&#10;">
                <v:fill on="f" focussize="0,0"/>
                <v:stroke on="f"/>
                <v:imagedata o:title=""/>
                <o:lock v:ext="edit" aspectratio="f"/>
                <v:textbox>
                  <w:txbxContent>
                    <w:p w14:paraId="723802C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发包人应按照专用条款约定的时间提供施工场地，并在确保承包人按照计划进度顺利开工的时间内给予承包人进入和使用施工场地的权利。</w:t>
      </w:r>
    </w:p>
    <w:p w14:paraId="08A60A0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发包人保留其工作人员、雇员和相关执法人员进入和使用施工场地的权利。</w:t>
      </w:r>
    </w:p>
    <w:p w14:paraId="5E1C8AE5">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19.4  </w:t>
      </w:r>
      <w:r>
        <w:rPr>
          <w:rFonts w:hint="eastAsia" w:ascii="宋体" w:hAnsi="宋体" w:cs="宋体"/>
          <w:b/>
          <w:bCs/>
          <w:color w:val="auto"/>
          <w:sz w:val="22"/>
          <w:szCs w:val="22"/>
          <w:highlight w:val="none"/>
          <w:u w:val="dotted"/>
        </w:rPr>
        <w:t xml:space="preserve">                                                                                       </w:t>
      </w:r>
    </w:p>
    <w:p w14:paraId="23C0AD8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9" name="文本框 54"/>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14:paraId="12EE26B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54" o:spid="_x0000_s1026" o:spt="202" type="#_x0000_t202" style="position:absolute;left:0pt;margin-left:-9pt;margin-top:1.2pt;height:56.35pt;width:72pt;z-index:251714560;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DE7k1gAAAAkBAAAPAAAAAAAAAAEAIAAAACIAAABkcnMvZG93bnJldi54bWxQSwECFAAUAAAA&#10;CACHTuJAHPeOPrcBAABdAwAADgAAAAAAAAABACAAAAAlAQAAZHJzL2Uyb0RvYy54bWxQSwUGAAAA&#10;AAYABgBZAQAATgUAAAAA&#10;">
                <v:fill on="f" focussize="0,0"/>
                <v:stroke on="f"/>
                <v:imagedata o:title=""/>
                <o:lock v:ext="edit" aspectratio="f"/>
                <v:textbox>
                  <w:txbxContent>
                    <w:p w14:paraId="12EE26B4">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发包人应按照合同约定的期限和方式向承包人支付工程款及其他应支付的款项。</w:t>
      </w:r>
    </w:p>
    <w:p w14:paraId="46C52070">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19.5  </w:t>
      </w:r>
      <w:r>
        <w:rPr>
          <w:rFonts w:hint="eastAsia" w:ascii="宋体" w:hAnsi="宋体" w:cs="宋体"/>
          <w:b/>
          <w:bCs/>
          <w:color w:val="auto"/>
          <w:sz w:val="22"/>
          <w:szCs w:val="22"/>
          <w:highlight w:val="none"/>
          <w:u w:val="dotted"/>
        </w:rPr>
        <w:t xml:space="preserve">                                                                                       </w:t>
      </w:r>
    </w:p>
    <w:p w14:paraId="69EF3E1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60" name="文本框 55"/>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14:paraId="35D7A78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55" o:spid="_x0000_s1026" o:spt="202" type="#_x0000_t202" style="position:absolute;left:0pt;margin-left:-9pt;margin-top:1.2pt;height:67.1pt;width:72pt;z-index:251715584;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csd5dYAAAAJAQAADwAAAAAAAAABACAAAAAiAAAAZHJzL2Rvd25yZXYueG1sUEsBAhQAFAAA&#10;AAgAh07iQBWt+l+4AQAAXQMAAA4AAAAAAAAAAQAgAAAAJQEAAGRycy9lMm9Eb2MueG1sUEsFBgAA&#10;AAAGAAYAWQEAAE8FAAAAAA==&#10;">
                <v:fill on="f" focussize="0,0"/>
                <v:stroke on="f"/>
                <v:imagedata o:title=""/>
                <o:lock v:ext="edit" aspectratio="f"/>
                <v:textbox>
                  <w:txbxContent>
                    <w:p w14:paraId="35D7A780">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发包人应按照第58条规定组织承包人、设计人、监理人和工程造价咨询人（如有）等进行竣工验收。</w:t>
      </w:r>
    </w:p>
    <w:p w14:paraId="4BF7EA7B">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61" name="文本框 56"/>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14:paraId="39ED614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wrap="square" upright="1"/>
                    </wps:wsp>
                  </a:graphicData>
                </a:graphic>
              </wp:anchor>
            </w:drawing>
          </mc:Choice>
          <mc:Fallback>
            <w:pict>
              <v:shape id="文本框 56" o:spid="_x0000_s1026" o:spt="202" type="#_x0000_t202" style="position:absolute;left:0pt;margin-left:-9pt;margin-top:21.5pt;height:91.55pt;width:72pt;z-index:251716608;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yLSXXAAAACgEAAA8AAAAAAAAAAQAgAAAAIgAAAGRycy9kb3ducmV2LnhtbFBLAQIUABQA&#10;AAAIAIdO4kDLNX3RuAEAAF4DAAAOAAAAAAAAAAEAIAAAACYBAABkcnMvZTJvRG9jLnhtbFBLBQYA&#10;AAAABgAGAFkBAABQBQAAAAA=&#10;">
                <v:fill on="f" focussize="0,0"/>
                <v:stroke on="f"/>
                <v:imagedata o:title=""/>
                <o:lock v:ext="edit" aspectratio="f"/>
                <v:textbox>
                  <w:txbxContent>
                    <w:p w14:paraId="39ED614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hint="eastAsia" w:ascii="宋体" w:hAnsi="宋体" w:cs="宋体"/>
          <w:b/>
          <w:bCs/>
          <w:color w:val="auto"/>
          <w:sz w:val="22"/>
          <w:szCs w:val="22"/>
          <w:highlight w:val="none"/>
        </w:rPr>
        <w:t xml:space="preserve">19.6  </w:t>
      </w:r>
      <w:r>
        <w:rPr>
          <w:rFonts w:hint="eastAsia" w:ascii="宋体" w:hAnsi="宋体" w:cs="宋体"/>
          <w:b/>
          <w:bCs/>
          <w:color w:val="auto"/>
          <w:sz w:val="22"/>
          <w:szCs w:val="22"/>
          <w:highlight w:val="none"/>
          <w:u w:val="dotted"/>
        </w:rPr>
        <w:t xml:space="preserve">                                                                                       </w:t>
      </w:r>
    </w:p>
    <w:p w14:paraId="343E996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发包人供应材料和工程设备的，发包人应按照第48条规定向承包人提供材料和工程设备。</w:t>
      </w:r>
    </w:p>
    <w:p w14:paraId="4D166C17">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19.7  </w:t>
      </w:r>
      <w:r>
        <w:rPr>
          <w:rFonts w:hint="eastAsia" w:ascii="宋体" w:hAnsi="宋体" w:cs="宋体"/>
          <w:b/>
          <w:bCs/>
          <w:color w:val="auto"/>
          <w:sz w:val="22"/>
          <w:szCs w:val="22"/>
          <w:highlight w:val="none"/>
          <w:u w:val="dotted"/>
        </w:rPr>
        <w:t xml:space="preserve">                                                                                       </w:t>
      </w:r>
    </w:p>
    <w:p w14:paraId="3AE2438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62" name="文本框 5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624DCF8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57" o:spid="_x0000_s1026" o:spt="202" type="#_x0000_t202" style="position:absolute;left:0pt;margin-left:-9pt;margin-top:0pt;height:35.4pt;width:72pt;z-index:251717632;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cPLa1AAAAAcBAAAPAAAAAAAAAAEAIAAAACIAAABkcnMvZG93bnJldi54bWxQSwECFAAUAAAA&#10;CACHTuJAjiwmQbkBAABdAwAADgAAAAAAAAABACAAAAAjAQAAZHJzL2Uyb0RvYy54bWxQSwUGAAAA&#10;AAYABgBZAQAATgUAAAAA&#10;">
                <v:fill on="f" focussize="0,0"/>
                <v:stroke on="f"/>
                <v:imagedata o:title=""/>
                <o:lock v:ext="edit" aspectratio="f"/>
                <v:textbox>
                  <w:txbxContent>
                    <w:p w14:paraId="624DCF8F">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发包人未能正确完成本合同约定的全部义务，导致费用的增加和（或）延误的工期，由发包人承担；给承包人造成损失的，发包人应予赔偿。</w:t>
      </w:r>
    </w:p>
    <w:p w14:paraId="160DABCA">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33A4A3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3" w:name="_Toc469384000"/>
      <w:bookmarkStart w:id="424" w:name="_Toc10624840"/>
      <w:r>
        <w:rPr>
          <w:rFonts w:hint="eastAsia" w:ascii="黑体" w:hAnsi="黑体" w:eastAsia="黑体" w:cs="黑体"/>
          <w:b w:val="0"/>
          <w:bCs/>
          <w:color w:val="auto"/>
          <w:kern w:val="0"/>
          <w:sz w:val="24"/>
          <w:szCs w:val="24"/>
          <w:highlight w:val="none"/>
          <w:lang w:val="en-US" w:eastAsia="zh-CN" w:bidi="ar-SA"/>
        </w:rPr>
        <w:t>20  承包人</w:t>
      </w:r>
      <w:bookmarkEnd w:id="423"/>
      <w:bookmarkEnd w:id="424"/>
    </w:p>
    <w:p w14:paraId="2E5195FD">
      <w:pPr>
        <w:tabs>
          <w:tab w:val="left" w:pos="1620"/>
        </w:tabs>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20.1                                                        </w:t>
      </w:r>
    </w:p>
    <w:p w14:paraId="40CEC459">
      <w:pPr>
        <w:tabs>
          <w:tab w:val="left" w:pos="1620"/>
        </w:tabs>
        <w:spacing w:line="420" w:lineRule="exact"/>
        <w:ind w:left="1260" w:leftChars="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63" name="文本框 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712F81D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58" o:spid="_x0000_s1026" o:spt="202" type="#_x0000_t202" style="position:absolute;left:0pt;margin-left:-9pt;margin-top:0.35pt;height:33.85pt;width:72pt;z-index:25171865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eEVOX7gBAABdAwAADgAAAAAAAAABACAAAAAkAQAAZHJzL2Uyb0RvYy54bWxQSwUGAAAA&#10;AAYABgBZAQAATgUAAAAA&#10;">
                <v:fill on="f" focussize="0,0"/>
                <v:stroke on="f"/>
                <v:imagedata o:title=""/>
                <o:lock v:ext="edit" aspectratio="f"/>
                <v:textbox>
                  <w:txbxContent>
                    <w:p w14:paraId="712F81D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_GB2312" w:hAnsi="仿宋_GB2312" w:eastAsia="仿宋_GB2312" w:cs="仿宋_GB2312"/>
          <w:color w:val="auto"/>
          <w:sz w:val="24"/>
          <w:szCs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 承担相应法律责任。</w:t>
      </w:r>
    </w:p>
    <w:p w14:paraId="216C2125">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承包人在本项目发包人的工程项目中存在下列行为的，将被拒绝参</w:t>
      </w:r>
    </w:p>
    <w:p w14:paraId="2368D78C">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与发包人后续工程投标。拒绝投标时限由发包人（招标人）视严重</w:t>
      </w:r>
    </w:p>
    <w:p w14:paraId="77782169">
      <w:pPr>
        <w:widowControl/>
        <w:spacing w:before="0" w:beforeAutospacing="0" w:after="0" w:afterAutospacing="0" w:line="420" w:lineRule="exact"/>
        <w:ind w:left="1500" w:leftChars="600"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程度确定，并在专用条款中约定。</w:t>
      </w:r>
    </w:p>
    <w:p w14:paraId="34F997D1">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（1）将中标工程转包或者违法分包的；</w:t>
      </w:r>
    </w:p>
    <w:p w14:paraId="0E501049">
      <w:pPr>
        <w:widowControl/>
        <w:spacing w:before="0" w:beforeAutospacing="0" w:after="0" w:afterAutospacing="0" w:line="420" w:lineRule="exact"/>
        <w:ind w:left="1676" w:leftChars="684" w:hanging="240" w:hangingChars="1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（2）在中标工程中不执行质量、安全生产相关规定的，造成质量或安全事故的；</w:t>
      </w:r>
    </w:p>
    <w:p w14:paraId="3F322A9C">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（3）存在围标或串标情形的；</w:t>
      </w:r>
    </w:p>
    <w:p w14:paraId="0BBD5E37">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（4）存在弄虚作假骗取中标情形的；</w:t>
      </w:r>
    </w:p>
    <w:p w14:paraId="121EADCE">
      <w:pPr>
        <w:widowControl/>
        <w:spacing w:before="0" w:beforeAutospacing="0" w:after="0" w:afterAutospacing="0" w:line="420" w:lineRule="exact"/>
        <w:ind w:firstLine="1440" w:firstLineChars="6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（5）存在因过错行为被生效法律文书认定承担违约或侵权责任的。</w:t>
      </w:r>
    </w:p>
    <w:p w14:paraId="4A8438FA">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20.2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0B53E1F">
      <w:pPr>
        <w:tabs>
          <w:tab w:val="left" w:pos="1620"/>
        </w:tabs>
        <w:spacing w:line="420" w:lineRule="exact"/>
        <w:ind w:left="1619"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64" name="文本框 59"/>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14:paraId="2195CE2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59" o:spid="_x0000_s1026" o:spt="202" type="#_x0000_t202" style="position:absolute;left:0pt;margin-left:-9pt;margin-top:0pt;height:29.4pt;width:72pt;z-index:251719680;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p+2j1AAAAAcBAAAPAAAAAAAAAAEAIAAAACIAAABkcnMvZG93bnJldi54bWxQSwECFAAUAAAA&#10;CACHTuJAx0LlFrkBAABdAwAADgAAAAAAAAABACAAAAAjAQAAZHJzL2Uyb0RvYy54bWxQSwUGAAAA&#10;AAYABgBZAQAATgUAAAAA&#10;">
                <v:fill on="f" focussize="0,0"/>
                <v:stroke on="f"/>
                <v:imagedata o:title=""/>
                <o:lock v:ext="edit" aspectratio="f"/>
                <v:textbox>
                  <w:txbxContent>
                    <w:p w14:paraId="2195CE2B">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_GB2312" w:hAnsi="仿宋_GB2312" w:eastAsia="仿宋_GB2312" w:cs="仿宋_GB2312"/>
          <w:color w:val="auto"/>
          <w:sz w:val="24"/>
          <w:szCs w:val="24"/>
          <w:highlight w:val="none"/>
        </w:rPr>
        <w:t>承包人应按照合同约定完成下列工作，包括但不限于：</w:t>
      </w:r>
    </w:p>
    <w:p w14:paraId="2950C765">
      <w:pPr>
        <w:numPr>
          <w:ilvl w:val="0"/>
          <w:numId w:val="6"/>
        </w:numPr>
        <w:tabs>
          <w:tab w:val="left" w:pos="1980"/>
        </w:tabs>
        <w:spacing w:line="420" w:lineRule="exact"/>
        <w:ind w:firstLine="1440" w:firstLineChars="6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按照合同约定和监理工程师的指令实施、完成并保修合同工</w:t>
      </w:r>
      <w:r>
        <w:rPr>
          <w:rFonts w:hint="eastAsia" w:ascii="仿宋_GB2312" w:hAnsi="仿宋_GB2312" w:eastAsia="仿宋_GB2312" w:cs="仿宋_GB2312"/>
          <w:color w:val="auto"/>
          <w:sz w:val="24"/>
          <w:szCs w:val="24"/>
          <w:highlight w:val="none"/>
          <w:lang w:val="en-US" w:eastAsia="zh-CN"/>
        </w:rPr>
        <w:t xml:space="preserve">   </w:t>
      </w:r>
    </w:p>
    <w:p w14:paraId="76681F2C">
      <w:pPr>
        <w:numPr>
          <w:ilvl w:val="0"/>
          <w:numId w:val="0"/>
        </w:numPr>
        <w:tabs>
          <w:tab w:val="left" w:pos="1980"/>
        </w:tabs>
        <w:spacing w:line="420" w:lineRule="exact"/>
        <w:ind w:firstLine="1680" w:firstLineChars="7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程；</w:t>
      </w:r>
    </w:p>
    <w:p w14:paraId="66FAB393">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按照合同约定和监理工程师的要求提交工程进度报告和进度计划；</w:t>
      </w:r>
    </w:p>
    <w:p w14:paraId="593AD35C">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按照合同约定和造价工程师的要求提交支付申请和工程款报告，包括绿色施工安全防护费、进度款、结算款和调整合同价款等；</w:t>
      </w:r>
    </w:p>
    <w:p w14:paraId="344E7555">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负责施工场地安全保卫工作，防止因工程施工造成的人身伤害和财产损失，提供和维修非夜间施工使用的照明、围栏设施等安全标志；</w:t>
      </w:r>
    </w:p>
    <w:p w14:paraId="6E2B0DF9">
      <w:pPr>
        <w:numPr>
          <w:ilvl w:val="0"/>
          <w:numId w:val="0"/>
        </w:numPr>
        <w:tabs>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3C425CE2">
      <w:pPr>
        <w:numPr>
          <w:ilvl w:val="0"/>
          <w:numId w:val="0"/>
        </w:numPr>
        <w:tabs>
          <w:tab w:val="left" w:pos="198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遵守政府部门有关施工场地交通、环境保护、施工噪声、绿色施工安全防护等的管理规定，办理有关手续，并以书面形式通知发包人，费用按政府有关部门相关文件规定由发（承）包人各自承担； </w:t>
      </w:r>
    </w:p>
    <w:p w14:paraId="0425597C">
      <w:pPr>
        <w:numPr>
          <w:ilvl w:val="0"/>
          <w:numId w:val="0"/>
        </w:numPr>
        <w:tabs>
          <w:tab w:val="left" w:pos="1980"/>
          <w:tab w:val="left" w:pos="252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39C8B49B">
      <w:pPr>
        <w:numPr>
          <w:ilvl w:val="0"/>
          <w:numId w:val="0"/>
        </w:numPr>
        <w:tabs>
          <w:tab w:val="left" w:pos="1980"/>
          <w:tab w:val="left" w:pos="252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做好施工场地地下管线和邻近建筑物、构筑物（包括文物保护建筑）、古树名木的保护工作；</w:t>
      </w:r>
    </w:p>
    <w:p w14:paraId="547DDCEE">
      <w:pPr>
        <w:numPr>
          <w:ilvl w:val="0"/>
          <w:numId w:val="0"/>
        </w:numPr>
        <w:tabs>
          <w:tab w:val="left" w:pos="1980"/>
          <w:tab w:val="left" w:pos="2520"/>
        </w:tabs>
        <w:spacing w:line="420" w:lineRule="exact"/>
        <w:ind w:leftChars="77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遵守政府部门有关环境卫生的管理规定，保证施工场地的清洁和做好交工前施工现场的清理工作，并承担因自身责任造成的损失和罚款；</w:t>
      </w:r>
    </w:p>
    <w:p w14:paraId="3261F790">
      <w:pPr>
        <w:numPr>
          <w:ilvl w:val="0"/>
          <w:numId w:val="0"/>
        </w:numPr>
        <w:tabs>
          <w:tab w:val="left" w:pos="1440"/>
          <w:tab w:val="left" w:pos="1980"/>
        </w:tabs>
        <w:spacing w:line="420" w:lineRule="exact"/>
        <w:ind w:leftChars="7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工程完工后，应按照合同约定提交竣工验收申请报告和竣工结算文件。</w:t>
      </w:r>
    </w:p>
    <w:p w14:paraId="6BF21E6C">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20.3   </w:t>
      </w:r>
      <w:r>
        <w:rPr>
          <w:rFonts w:hint="eastAsia" w:ascii="宋体" w:hAnsi="宋体" w:cs="宋体"/>
          <w:b/>
          <w:bCs/>
          <w:color w:val="auto"/>
          <w:sz w:val="22"/>
          <w:szCs w:val="22"/>
          <w:highlight w:val="none"/>
          <w:u w:val="dotted"/>
        </w:rPr>
        <w:t xml:space="preserve">                                                                                      </w:t>
      </w:r>
    </w:p>
    <w:p w14:paraId="5F78E0A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65" name="文本框 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B0BDBF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60" o:spid="_x0000_s1026" o:spt="202" type="#_x0000_t202" style="position:absolute;left:0pt;margin-left:-9pt;margin-top:0pt;height:46.8pt;width:72pt;z-index:25172070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yfpMtUAAAAHAQAADwAAAAAAAAABACAAAAAiAAAAZHJzL2Rvd25yZXYueG1sUEsBAhQAFAAAAAgA&#10;h07iQPsWqP62AQAAXQMAAA4AAAAAAAAAAQAgAAAAJAEAAGRycy9lMm9Eb2MueG1sUEsFBgAAAAAG&#10;AAYAWQEAAEwFAAAAAA==&#10;">
                <v:fill on="f" focussize="0,0"/>
                <v:stroke on="f"/>
                <v:imagedata o:title=""/>
                <o:lock v:ext="edit" aspectratio="f"/>
                <v:textbox>
                  <w:txbxContent>
                    <w:p w14:paraId="4B0BDBF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185383B7">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20.4   </w:t>
      </w:r>
      <w:r>
        <w:rPr>
          <w:rFonts w:hint="eastAsia" w:ascii="宋体" w:hAnsi="宋体" w:cs="宋体"/>
          <w:b/>
          <w:bCs/>
          <w:color w:val="auto"/>
          <w:sz w:val="22"/>
          <w:szCs w:val="22"/>
          <w:highlight w:val="none"/>
          <w:u w:val="dotted"/>
        </w:rPr>
        <w:t xml:space="preserve">                                                                                      </w:t>
      </w:r>
    </w:p>
    <w:p w14:paraId="6F27C72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6" name="文本框 61"/>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14:paraId="77C0A4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61" o:spid="_x0000_s1026" o:spt="202" type="#_x0000_t202" style="position:absolute;left:0pt;margin-left:-9pt;margin-top:1.8pt;height:79.05pt;width:72pt;z-index:251721728;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r+BCdYAAAAJAQAADwAAAAAAAAABACAAAAAiAAAAZHJzL2Rvd25yZXYueG1sUEsBAhQAFAAA&#10;AAgAh07iQJ/HyU64AQAAXgMAAA4AAAAAAAAAAQAgAAAAJQEAAGRycy9lMm9Eb2MueG1sUEsFBgAA&#10;AAAGAAYAWQEAAE8FAAAAAA==&#10;">
                <v:fill on="f" focussize="0,0"/>
                <v:stroke on="f"/>
                <v:imagedata o:title=""/>
                <o:lock v:ext="edit" aspectratio="f"/>
                <v:textbox>
                  <w:txbxContent>
                    <w:p w14:paraId="77C0A40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495AEA62">
      <w:pPr>
        <w:tabs>
          <w:tab w:val="left" w:pos="497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20.5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09CE834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7" name="文本框 62"/>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14:paraId="2D661667">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wps:txbx>
                      <wps:bodyPr wrap="square" upright="1"/>
                    </wps:wsp>
                  </a:graphicData>
                </a:graphic>
              </wp:anchor>
            </w:drawing>
          </mc:Choice>
          <mc:Fallback>
            <w:pict>
              <v:shape id="文本框 62" o:spid="_x0000_s1026" o:spt="202" type="#_x0000_t202" style="position:absolute;left:0pt;margin-left:-9pt;margin-top:1.2pt;height:51.8pt;width:72pt;z-index:251722752;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lC3wPUAAAACQEAAA8AAAAAAAAAAQAgAAAAIgAAAGRycy9kb3ducmV2LnhtbFBLAQIUABQAAAAI&#10;AIdO4kB0LJR9uAEAAF0DAAAOAAAAAAAAAAEAIAAAACMBAABkcnMvZTJvRG9jLnhtbFBLBQYAAAAA&#10;BgAGAFkBAABNBQAAAAA=&#10;">
                <v:fill on="f" focussize="0,0"/>
                <v:stroke on="f"/>
                <v:imagedata o:title=""/>
                <o:lock v:ext="edit" aspectratio="f"/>
                <v:textbox>
                  <w:txbxContent>
                    <w:p w14:paraId="2D661667">
                      <w:pPr>
                        <w:spacing w:line="240" w:lineRule="exact"/>
                        <w:rPr>
                          <w:rFonts w:ascii="楷体_GB2312" w:hAnsi="宋体" w:eastAsia="楷体_GB2312" w:cs="Times New Roman"/>
                          <w:sz w:val="18"/>
                          <w:szCs w:val="18"/>
                        </w:rPr>
                      </w:pPr>
                      <w:r>
                        <w:rPr>
                          <w:rFonts w:hint="eastAsia" w:ascii="楷体_GB2312" w:hAnsi="Calibri" w:eastAsia="楷体_GB2312" w:cs="楷体_GB2312"/>
                          <w:b/>
                          <w:bCs/>
                          <w:color w:val="000000"/>
                          <w:sz w:val="18"/>
                          <w:szCs w:val="18"/>
                        </w:rPr>
                        <w:t>承包人为发包人的人员提供配合</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承包人应按照合同约定或监理工程师的指令，配合和协助下述人员在施工场地及其附近实施与合同工程有关的各项工作：</w:t>
      </w:r>
    </w:p>
    <w:p w14:paraId="3856E33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（1）发包人的工作人员；</w:t>
      </w:r>
    </w:p>
    <w:p w14:paraId="3507D5F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（2）发包人的雇员；</w:t>
      </w:r>
    </w:p>
    <w:p w14:paraId="38B9A46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（3）任何监督管理机构的执法人员。</w:t>
      </w:r>
    </w:p>
    <w:p w14:paraId="5E20122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此类指令若增加了承包人的工作或支出，包括使用了承包人的设备、临时工程或通行道路等，则视为工程变更，按照第72条规定调整合同价款。</w:t>
      </w:r>
    </w:p>
    <w:p w14:paraId="428C927E">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20.6  </w:t>
      </w:r>
      <w:r>
        <w:rPr>
          <w:rFonts w:hint="eastAsia" w:ascii="宋体" w:hAnsi="宋体" w:cs="宋体"/>
          <w:b/>
          <w:bCs/>
          <w:color w:val="auto"/>
          <w:sz w:val="22"/>
          <w:szCs w:val="22"/>
          <w:highlight w:val="none"/>
          <w:u w:val="dotted"/>
        </w:rPr>
        <w:t xml:space="preserve">                                                                                       </w:t>
      </w:r>
    </w:p>
    <w:p w14:paraId="59BB399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8" name="文本框 6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6F87A8E5">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63" o:spid="_x0000_s1026" o:spt="202" type="#_x0000_t202" style="position:absolute;left:0pt;margin-left:-9pt;margin-top:0pt;height:62.4pt;width:72pt;z-index:25172377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TZUc1QAAAAgBAAAPAAAAAAAAAAEAIAAAACIAAABkcnMvZG93bnJldi54bWxQSwECFAAUAAAA&#10;CACHTuJA15J38bgBAABdAwAADgAAAAAAAAABACAAAAAkAQAAZHJzL2Uyb0RvYy54bWxQSwUGAAAA&#10;AAYABgBZAQAATgUAAAAA&#10;">
                <v:fill on="f" focussize="0,0"/>
                <v:stroke on="f"/>
                <v:imagedata o:title=""/>
                <o:lock v:ext="edit" aspectratio="f"/>
                <v:textbox>
                  <w:txbxContent>
                    <w:p w14:paraId="6F87A8E5">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686CE2D">
      <w:pPr>
        <w:tabs>
          <w:tab w:val="left" w:pos="497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20.7  </w:t>
      </w:r>
      <w:r>
        <w:rPr>
          <w:rFonts w:hint="eastAsia" w:ascii="宋体" w:hAnsi="宋体" w:cs="宋体"/>
          <w:b/>
          <w:bCs/>
          <w:color w:val="auto"/>
          <w:sz w:val="22"/>
          <w:szCs w:val="22"/>
          <w:highlight w:val="none"/>
          <w:u w:val="dotted"/>
        </w:rPr>
        <w:t xml:space="preserve">                                                                                        </w:t>
      </w:r>
    </w:p>
    <w:p w14:paraId="79AEE4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9" name="文本框 6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0AA60C0">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64" o:spid="_x0000_s1026" o:spt="202" type="#_x0000_t202" style="position:absolute;left:0pt;margin-left:-9pt;margin-top:0pt;height:39pt;width:72pt;z-index:251724800;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uITtQAAAAHAQAADwAAAAAAAAABACAAAAAiAAAAZHJzL2Rvd25yZXYueG1sUEsBAhQAFAAAAAgA&#10;h07iQFWhSsq3AQAAXQMAAA4AAAAAAAAAAQAgAAAAIwEAAGRycy9lMm9Eb2MueG1sUEsFBgAAAAAG&#10;AAYAWQEAAEwFAAAAAA==&#10;">
                <v:fill on="f" focussize="0,0"/>
                <v:stroke on="f"/>
                <v:imagedata o:title=""/>
                <o:lock v:ext="edit" aspectratio="f"/>
                <v:textbox>
                  <w:txbxContent>
                    <w:p w14:paraId="70AA60C0">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承包人未能正确完成本合同约定的全部义务，导致费用的增加和（或）延误的工期，由承包人承担；给发包人造成损失的，承包人应予赔偿。</w:t>
      </w:r>
    </w:p>
    <w:p w14:paraId="736B2DB8">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54058A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5" w:name="_Toc469384001"/>
      <w:bookmarkStart w:id="426" w:name="_Toc10624841"/>
      <w:r>
        <w:rPr>
          <w:rFonts w:hint="eastAsia" w:ascii="黑体" w:hAnsi="黑体" w:eastAsia="黑体" w:cs="黑体"/>
          <w:b w:val="0"/>
          <w:bCs/>
          <w:color w:val="auto"/>
          <w:kern w:val="0"/>
          <w:sz w:val="24"/>
          <w:szCs w:val="24"/>
          <w:highlight w:val="none"/>
          <w:lang w:val="en-US" w:eastAsia="zh-CN" w:bidi="ar-SA"/>
        </w:rPr>
        <w:t>21  现场管理人员任命和更换</w:t>
      </w:r>
      <w:bookmarkEnd w:id="425"/>
      <w:bookmarkEnd w:id="426"/>
    </w:p>
    <w:p w14:paraId="36C54230">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21.1</w:t>
      </w:r>
    </w:p>
    <w:p w14:paraId="5EBE12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70" name="文本框 65"/>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14:paraId="5991ED09">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wrap="square" upright="1"/>
                    </wps:wsp>
                  </a:graphicData>
                </a:graphic>
              </wp:anchor>
            </w:drawing>
          </mc:Choice>
          <mc:Fallback>
            <w:pict>
              <v:shape id="文本框 65" o:spid="_x0000_s1026" o:spt="202" type="#_x0000_t202" style="position:absolute;left:0pt;margin-left:-9pt;margin-top:0.6pt;height:47.45pt;width:72pt;z-index:251725824;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db+dQAAAAIAQAADwAAAAAAAAABACAAAAAiAAAAZHJzL2Rvd25yZXYueG1sUEsBAhQAFAAAAAgA&#10;h07iQJDFazK3AQAAXQMAAA4AAAAAAAAAAQAgAAAAIwEAAGRycy9lMm9Eb2MueG1sUEsFBgAAAAAG&#10;AAYAWQEAAEwFAAAAAA==&#10;">
                <v:fill on="f" focussize="0,0"/>
                <v:stroke on="f"/>
                <v:imagedata o:title=""/>
                <o:lock v:ext="edit" aspectratio="f"/>
                <v:textbox>
                  <w:txbxContent>
                    <w:p w14:paraId="5991ED09">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26B2733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40ABDC3C">
      <w:pPr>
        <w:widowControl w:val="0"/>
        <w:tabs>
          <w:tab w:val="left" w:pos="1320"/>
          <w:tab w:val="left" w:pos="16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21.2  </w:t>
      </w:r>
      <w:r>
        <w:rPr>
          <w:rFonts w:hint="eastAsia" w:ascii="宋体" w:hAnsi="宋体" w:eastAsia="宋体" w:cs="宋体"/>
          <w:b/>
          <w:bCs/>
          <w:color w:val="auto"/>
          <w:kern w:val="2"/>
          <w:sz w:val="22"/>
          <w:szCs w:val="22"/>
          <w:highlight w:val="none"/>
          <w:u w:val="dotted"/>
          <w:lang w:val="en-US" w:eastAsia="zh-CN" w:bidi="ar-SA"/>
        </w:rPr>
        <w:t xml:space="preserve">                                                                             </w:t>
      </w:r>
    </w:p>
    <w:p w14:paraId="762FAB5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71" name="文本框 6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14:paraId="02926F5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66" o:spid="_x0000_s1026" o:spt="202" type="#_x0000_t202" style="position:absolute;left:0pt;margin-left:-9pt;margin-top:6.65pt;height:36pt;width:72pt;z-index:251726848;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MCfp1gAAAAkBAAAPAAAAAAAAAAEAIAAAACIAAABkcnMvZG93bnJldi54bWxQSwECFAAUAAAA&#10;CACHTuJA0qs3kbcBAABdAwAADgAAAAAAAAABACAAAAAlAQAAZHJzL2Uyb0RvYy54bWxQSwUGAAAA&#10;AAYABgBZAQAATgUAAAAA&#10;">
                <v:fill on="f" focussize="0,0"/>
                <v:stroke on="f"/>
                <v:imagedata o:title=""/>
                <o:lock v:ext="edit" aspectratio="f"/>
                <v:textbox>
                  <w:txbxContent>
                    <w:p w14:paraId="02926F5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0BA4E17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07F8EF32">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21.3  </w:t>
      </w:r>
      <w:r>
        <w:rPr>
          <w:rFonts w:hint="eastAsia" w:ascii="宋体" w:hAnsi="宋体" w:eastAsia="宋体" w:cs="宋体"/>
          <w:b/>
          <w:bCs/>
          <w:color w:val="auto"/>
          <w:kern w:val="2"/>
          <w:sz w:val="22"/>
          <w:szCs w:val="22"/>
          <w:highlight w:val="none"/>
          <w:u w:val="dotted"/>
          <w:lang w:val="en-US" w:eastAsia="zh-CN" w:bidi="ar-SA"/>
        </w:rPr>
        <w:t xml:space="preserve">                                                                                        </w:t>
      </w:r>
    </w:p>
    <w:p w14:paraId="4BD5A84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7872"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72" name="文本框 6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14:paraId="3376C9A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67EB2C8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139399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67" o:spid="_x0000_s1026" o:spt="202" type="#_x0000_t202" style="position:absolute;left:0pt;margin-left:-6.6pt;margin-top:3.65pt;height:56.75pt;width:97pt;z-index:251727872;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VlyPVAAAACQEAAA8AAAAAAAAAAQAgAAAAIgAAAGRycy9kb3ducmV2LnhtbFBLAQIUABQAAAAI&#10;AIdO4kDE+x9dtwEAAF4DAAAOAAAAAAAAAAEAIAAAACQBAABkcnMvZTJvRG9jLnhtbFBLBQYAAAAA&#10;BgAGAFkBAABNBQAAAAA=&#10;">
                <v:fill on="f" focussize="0,0"/>
                <v:stroke on="f"/>
                <v:imagedata o:title=""/>
                <o:lock v:ext="edit" aspectratio="f"/>
                <v:textbox>
                  <w:txbxContent>
                    <w:p w14:paraId="3376C9A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67EB2C8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139399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14:paraId="46EB42D2">
      <w:pPr>
        <w:widowControl w:val="0"/>
        <w:tabs>
          <w:tab w:val="left" w:pos="1320"/>
        </w:tabs>
        <w:adjustRightInd w:val="0"/>
        <w:snapToGrid w:val="0"/>
        <w:spacing w:line="420" w:lineRule="exact"/>
        <w:ind w:right="-238"/>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21.4  </w:t>
      </w:r>
      <w:r>
        <w:rPr>
          <w:rFonts w:hint="eastAsia" w:ascii="宋体" w:hAnsi="宋体" w:eastAsia="宋体" w:cs="宋体"/>
          <w:color w:val="auto"/>
          <w:kern w:val="2"/>
          <w:sz w:val="22"/>
          <w:szCs w:val="22"/>
          <w:highlight w:val="none"/>
          <w:u w:val="dotted"/>
          <w:lang w:val="en-US" w:eastAsia="zh-CN" w:bidi="ar-SA"/>
        </w:rPr>
        <w:t xml:space="preserve">                                                                             </w:t>
      </w:r>
    </w:p>
    <w:p w14:paraId="48ADE98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73" name="文本框 68"/>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14:paraId="1EC1D84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68" o:spid="_x0000_s1026" o:spt="202" type="#_x0000_t202" style="position:absolute;left:0pt;margin-left:-9pt;margin-top:2.8pt;height:44.05pt;width:72pt;z-index:251728896;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iDhnWAAAACAEAAA8AAAAAAAAAAQAgAAAAIgAAAGRycy9kb3ducmV2LnhtbFBLAQIUABQA&#10;AAAIAIdO4kCQ4e0MuQEAAF0DAAAOAAAAAAAAAAEAIAAAACUBAABkcnMvZTJvRG9jLnhtbFBLBQYA&#10;AAAABgAGAFkBAABQBQAAAAA=&#10;">
                <v:fill on="f" focussize="0,0"/>
                <v:stroke on="f"/>
                <v:imagedata o:title=""/>
                <o:lock v:ext="edit" aspectratio="f"/>
                <v:textbox>
                  <w:txbxContent>
                    <w:p w14:paraId="1EC1D84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14:paraId="174474CE">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bookmarkStart w:id="427" w:name="_Toc10624842"/>
      <w:bookmarkStart w:id="428" w:name="_Toc469384002"/>
      <w:r>
        <w:rPr>
          <w:rFonts w:hint="eastAsia" w:ascii="黑体" w:hAnsi="黑体" w:eastAsia="黑体" w:cs="黑体"/>
          <w:b w:val="0"/>
          <w:bCs/>
          <w:color w:val="auto"/>
          <w:kern w:val="0"/>
          <w:sz w:val="24"/>
          <w:szCs w:val="24"/>
          <w:highlight w:val="none"/>
          <w:lang w:val="en-US" w:eastAsia="zh-CN" w:bidi="ar-SA"/>
        </w:rPr>
        <w:t>22  发包人代表</w:t>
      </w:r>
      <w:bookmarkEnd w:id="427"/>
      <w:bookmarkEnd w:id="428"/>
    </w:p>
    <w:p w14:paraId="13C3D87F">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22.1                           </w:t>
      </w:r>
    </w:p>
    <w:p w14:paraId="7A6F213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74" name="文本框 69"/>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38AF6446">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wps:txbx>
                      <wps:bodyPr wrap="square" upright="1"/>
                    </wps:wsp>
                  </a:graphicData>
                </a:graphic>
              </wp:anchor>
            </w:drawing>
          </mc:Choice>
          <mc:Fallback>
            <w:pict>
              <v:shape id="文本框 69" o:spid="_x0000_s1026" o:spt="202" type="#_x0000_t202" style="position:absolute;left:0pt;margin-left:-9pt;margin-top:4.2pt;height:34.9pt;width:72pt;z-index:251729920;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rusBdUAAAAIAQAADwAAAAAAAAABACAAAAAiAAAAZHJzL2Rvd25yZXYueG1sUEsBAhQAFAAA&#10;AAgAh07iQD+zZGC5AQAAXQMAAA4AAAAAAAAAAQAgAAAAJAEAAGRycy9lMm9Eb2MueG1sUEsFBgAA&#10;AAAGAAYAWQEAAE8FAAAAAA==&#10;">
                <v:fill on="f" focussize="0,0"/>
                <v:stroke on="f"/>
                <v:imagedata o:title=""/>
                <o:lock v:ext="edit" aspectratio="f"/>
                <v:textbox>
                  <w:txbxContent>
                    <w:p w14:paraId="38AF6446">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发包人对其代表授权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663F36E2">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22.2   </w:t>
      </w:r>
      <w:r>
        <w:rPr>
          <w:rFonts w:hint="eastAsia" w:ascii="宋体" w:hAnsi="宋体" w:cs="宋体"/>
          <w:b/>
          <w:bCs/>
          <w:color w:val="auto"/>
          <w:sz w:val="22"/>
          <w:szCs w:val="22"/>
          <w:highlight w:val="none"/>
          <w:u w:val="dotted"/>
        </w:rPr>
        <w:t xml:space="preserve">                                                                                      </w:t>
      </w:r>
    </w:p>
    <w:p w14:paraId="422A063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75" name="文本框 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826CE9D">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wps:txbx>
                      <wps:bodyPr wrap="square" upright="1"/>
                    </wps:wsp>
                  </a:graphicData>
                </a:graphic>
              </wp:anchor>
            </w:drawing>
          </mc:Choice>
          <mc:Fallback>
            <w:pict>
              <v:shape id="文本框 70" o:spid="_x0000_s1026" o:spt="202" type="#_x0000_t202" style="position:absolute;left:0pt;margin-left:-9pt;margin-top:6pt;height:31.2pt;width:72pt;z-index:251730944;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Y3tu1gAAAAkBAAAPAAAAAAAAAAEAIAAAACIAAABkcnMvZG93bnJldi54bWxQSwECFAAUAAAA&#10;CACHTuJAAkSA/rcBAABdAwAADgAAAAAAAAABACAAAAAlAQAAZHJzL2Uyb0RvYy54bWxQSwUGAAAA&#10;AAYABgBZAQAATgUAAAAA&#10;">
                <v:fill on="f" focussize="0,0"/>
                <v:stroke on="f"/>
                <v:imagedata o:title=""/>
                <o:lock v:ext="edit" aspectratio="f"/>
                <v:textbox>
                  <w:txbxContent>
                    <w:p w14:paraId="6826CE9D">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发包人代表职权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发包人代表应代表发包人履行合同规定的职责、行使合同明文规定和必然隐含的权力，对发包人负责。发包人代表在发包人授予职权范围内工作，发包人应予认可。</w:t>
      </w:r>
    </w:p>
    <w:p w14:paraId="4AD736E5">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42DB7A3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29" w:name="_Toc10624843"/>
      <w:bookmarkStart w:id="430" w:name="_Toc469384003"/>
      <w:r>
        <w:rPr>
          <w:rFonts w:hint="eastAsia" w:ascii="黑体" w:hAnsi="黑体" w:eastAsia="黑体" w:cs="黑体"/>
          <w:b w:val="0"/>
          <w:bCs/>
          <w:color w:val="auto"/>
          <w:kern w:val="0"/>
          <w:sz w:val="24"/>
          <w:szCs w:val="24"/>
          <w:highlight w:val="none"/>
          <w:lang w:val="en-US" w:eastAsia="zh-CN" w:bidi="ar-SA"/>
        </w:rPr>
        <w:t>23  监理工程师</w:t>
      </w:r>
      <w:bookmarkEnd w:id="429"/>
      <w:bookmarkEnd w:id="430"/>
    </w:p>
    <w:p w14:paraId="6C32623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23.1  </w:t>
      </w:r>
      <w:r>
        <w:rPr>
          <w:rFonts w:hint="eastAsia" w:ascii="宋体" w:hAnsi="宋体" w:cs="宋体"/>
          <w:b/>
          <w:bCs/>
          <w:color w:val="auto"/>
          <w:sz w:val="22"/>
          <w:szCs w:val="22"/>
          <w:highlight w:val="none"/>
          <w:u w:val="dotted"/>
        </w:rPr>
        <w:t xml:space="preserve">                                                                                       </w:t>
      </w:r>
    </w:p>
    <w:p w14:paraId="56E9AC7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6" name="文本框 71"/>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546C0CE2">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wps:txbx>
                      <wps:bodyPr wrap="square" upright="1"/>
                    </wps:wsp>
                  </a:graphicData>
                </a:graphic>
              </wp:anchor>
            </w:drawing>
          </mc:Choice>
          <mc:Fallback>
            <w:pict>
              <v:shape id="文本框 71" o:spid="_x0000_s1026" o:spt="202" type="#_x0000_t202" style="position:absolute;left:0pt;margin-left:-9pt;margin-top:4.2pt;height:30.7pt;width:72pt;z-index:251731968;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hgEgtUAAAAIAQAADwAAAAAAAAABACAAAAAiAAAAZHJzL2Rvd25yZXYueG1sUEsBAhQAFAAA&#10;AAgAh07iQOxGqLy5AQAAXQMAAA4AAAAAAAAAAQAgAAAAJAEAAGRycy9lMm9Eb2MueG1sUEsFBgAA&#10;AAAGAAYAWQEAAE8FAAAAAA==&#10;">
                <v:fill on="f" focussize="0,0"/>
                <v:stroke on="f"/>
                <v:imagedata o:title=""/>
                <o:lock v:ext="edit" aspectratio="f"/>
                <v:textbox>
                  <w:txbxContent>
                    <w:p w14:paraId="546C0CE2">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发包人对监理工程师授权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4C213E95">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23.2  </w:t>
      </w:r>
      <w:r>
        <w:rPr>
          <w:rFonts w:hint="eastAsia" w:ascii="宋体" w:hAnsi="宋体" w:cs="宋体"/>
          <w:b/>
          <w:bCs/>
          <w:color w:val="auto"/>
          <w:sz w:val="22"/>
          <w:szCs w:val="22"/>
          <w:highlight w:val="none"/>
          <w:u w:val="dotted"/>
        </w:rPr>
        <w:t xml:space="preserve">                                                                                       </w:t>
      </w:r>
    </w:p>
    <w:p w14:paraId="1F7387A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7" name="文本框 72"/>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7DF2FF7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72" o:spid="_x0000_s1026" o:spt="202" type="#_x0000_t202" style="position:absolute;left:0pt;margin-left:-9pt;margin-top:3pt;height:38.1pt;width:72pt;z-index:251732992;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7H5hO1QAAAAgBAAAPAAAAAAAAAAEAIAAAACIAAABkcnMvZG93bnJldi54bWxQSwECFAAUAAAA&#10;CACHTuJA3MopcbgBAABdAwAADgAAAAAAAAABACAAAAAkAQAAZHJzL2Uyb0RvYy54bWxQSwUGAAAA&#10;AAYABgBZAQAATgUAAAAA&#10;">
                <v:fill on="f" focussize="0,0"/>
                <v:stroke on="f"/>
                <v:imagedata o:title=""/>
                <o:lock v:ext="edit" aspectratio="f"/>
                <v:textbox>
                  <w:txbxContent>
                    <w:p w14:paraId="7DF2FF7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496275D8">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23.3  </w:t>
      </w:r>
      <w:r>
        <w:rPr>
          <w:rFonts w:hint="eastAsia" w:ascii="宋体" w:hAnsi="宋体" w:cs="宋体"/>
          <w:b/>
          <w:bCs/>
          <w:color w:val="auto"/>
          <w:sz w:val="22"/>
          <w:szCs w:val="22"/>
          <w:highlight w:val="none"/>
          <w:u w:val="dotted"/>
        </w:rPr>
        <w:t xml:space="preserve">                                                                                       </w:t>
      </w:r>
    </w:p>
    <w:p w14:paraId="24377FE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8" name="文本框 7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160B6ED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73" o:spid="_x0000_s1026" o:spt="202" type="#_x0000_t202" style="position:absolute;left:0pt;margin-left:-9pt;margin-top:5.4pt;height:32.3pt;width:72pt;z-index:251734016;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TBLaHVAAAACQEAAA8AAAAAAAAAAQAgAAAAIgAAAGRycy9kb3ducmV2LnhtbFBLAQIUABQAAAAI&#10;AIdO4kCcKtCUtwEAAF0DAAAOAAAAAAAAAAEAIAAAACQBAABkcnMvZTJvRG9jLnhtbFBLBQYAAAAA&#10;BgAGAFkBAABNBQAAAAA=&#10;">
                <v:fill on="f" focussize="0,0"/>
                <v:stroke on="f"/>
                <v:imagedata o:title=""/>
                <o:lock v:ext="edit" aspectratio="f"/>
                <v:textbox>
                  <w:txbxContent>
                    <w:p w14:paraId="160B6ED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除属于第86条规定的争议外，监理工程师在职权范围内的工作，发包人应予认可，但下列事件应事先取得发包人的专项批准：</w:t>
      </w:r>
    </w:p>
    <w:p w14:paraId="77A06A1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（1）根据第5.2款规定批准承包人提供的配合施工设计图纸；</w:t>
      </w:r>
    </w:p>
    <w:p w14:paraId="604011E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（2）根据第7.2款规定同意承包人分包工程；</w:t>
      </w:r>
    </w:p>
    <w:p w14:paraId="541E72E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（3）根据第18.1款规定批准承包人将材料和工程设备、施工设备移出施工场地；</w:t>
      </w:r>
    </w:p>
    <w:p w14:paraId="24CC66D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（4）根据第33条规定批准承包人的施工组织设计和工程进度计划；</w:t>
      </w:r>
    </w:p>
    <w:p w14:paraId="3DCE597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（5）根据第34.2款规定发出的工程开工令；</w:t>
      </w:r>
    </w:p>
    <w:p w14:paraId="2F49CFC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（6）根据第37.2款规定发出加快进度的变更指令；</w:t>
      </w:r>
    </w:p>
    <w:p w14:paraId="7D56462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（7）根据第49.6款规定使用替换材料；</w:t>
      </w:r>
    </w:p>
    <w:p w14:paraId="0D73195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（8）根据第63条规定发出使用暂列金额的工作指令；</w:t>
      </w:r>
    </w:p>
    <w:p w14:paraId="4FF808D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（9）根据第64条规定发出使用计日工的工作指令；</w:t>
      </w:r>
    </w:p>
    <w:p w14:paraId="31E6103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（10）根据第56条规定指令或批准的工程变更；</w:t>
      </w:r>
    </w:p>
    <w:p w14:paraId="026FF4C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（11）根据第75条规定指令或确认的现场签证；</w:t>
      </w:r>
    </w:p>
    <w:p w14:paraId="2B2E334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（12）专用条款约定需要发包人批准的其他事项。</w:t>
      </w:r>
    </w:p>
    <w:p w14:paraId="5EF48190">
      <w:pPr>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9" name="文本框 74"/>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1DE223F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66811BBC">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74" o:spid="_x0000_s1026" o:spt="202" type="#_x0000_t202" style="position:absolute;left:0pt;margin-left:-9pt;margin-top:21.9pt;height:36pt;width:81pt;z-index:251735040;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ZhKhdcAAAAKAQAADwAAAAAAAAABACAAAAAiAAAAZHJzL2Rvd25yZXYueG1sUEsBAhQAFAAA&#10;AAgAh07iQKLoscu3AQAAXgMAAA4AAAAAAAAAAQAgAAAAJgEAAGRycy9lMm9Eb2MueG1sUEsFBgAA&#10;AAAGAAYAWQEAAE8FAAAAAA==&#10;">
                <v:fill on="f" focussize="0,0"/>
                <v:stroke on="f"/>
                <v:imagedata o:title=""/>
                <o:lock v:ext="edit" aspectratio="f"/>
                <v:textbox>
                  <w:txbxContent>
                    <w:p w14:paraId="1DE223F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66811BBC">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宋体"/>
          <w:b/>
          <w:bCs/>
          <w:color w:val="auto"/>
          <w:sz w:val="22"/>
          <w:szCs w:val="22"/>
          <w:highlight w:val="none"/>
        </w:rPr>
        <w:t xml:space="preserve">23.4  </w:t>
      </w:r>
      <w:r>
        <w:rPr>
          <w:rFonts w:hint="eastAsia" w:ascii="宋体" w:hAnsi="宋体" w:cs="宋体"/>
          <w:b/>
          <w:bCs/>
          <w:color w:val="auto"/>
          <w:sz w:val="22"/>
          <w:szCs w:val="22"/>
          <w:highlight w:val="none"/>
          <w:u w:val="dotted"/>
        </w:rPr>
        <w:t xml:space="preserve">                                                                                      </w:t>
      </w:r>
    </w:p>
    <w:p w14:paraId="2385AEB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监理工程师应按照合同约定时间向承包人提供实施合同工程的进度、质量和安全工作所需的批准、确认和通知等指令。</w:t>
      </w:r>
    </w:p>
    <w:p w14:paraId="2F35136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2B68EBB7">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23.5  </w:t>
      </w:r>
      <w:r>
        <w:rPr>
          <w:rFonts w:hint="eastAsia" w:ascii="宋体" w:hAnsi="宋体" w:cs="宋体"/>
          <w:b/>
          <w:bCs/>
          <w:color w:val="auto"/>
          <w:sz w:val="22"/>
          <w:szCs w:val="22"/>
          <w:highlight w:val="none"/>
          <w:u w:val="dotted"/>
        </w:rPr>
        <w:t xml:space="preserve">                                                                                       </w:t>
      </w:r>
    </w:p>
    <w:p w14:paraId="306D52F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80" name="文本框 7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6B038B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75" o:spid="_x0000_s1026" o:spt="202" type="#_x0000_t202" style="position:absolute;left:0pt;margin-left:-9pt;margin-top:3.9pt;height:33.9pt;width:72pt;z-index:251736064;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Wd8frUAAAACAEAAA8AAAAAAAAAAQAgAAAAIgAAAGRycy9kb3ducmV2LnhtbFBLAQIUABQAAAAI&#10;AIdO4kBwxidRuAEAAF0DAAAOAAAAAAAAAAEAIAAAACMBAABkcnMvZTJvRG9jLnhtbFBLBQYAAAAA&#10;BgAGAFkBAABNBQAAAAA=&#10;">
                <v:fill on="f" focussize="0,0"/>
                <v:stroke on="f"/>
                <v:imagedata o:title=""/>
                <o:lock v:ext="edit" aspectratio="f"/>
                <v:textbox>
                  <w:txbxContent>
                    <w:p w14:paraId="6B038B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14:paraId="47067774">
      <w:pPr>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23.6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6D64B83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81" name="文本框 76"/>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4279B14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76" o:spid="_x0000_s1026" o:spt="202" type="#_x0000_t202" style="position:absolute;left:0pt;margin-left:-9pt;margin-top:1.7pt;height:34.9pt;width:72pt;z-index:251737088;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yGbHWAAAACAEAAA8AAAAAAAAAAQAgAAAAIgAAAGRycy9kb3ducmV2LnhtbFBLAQIUABQA&#10;AAAIAIdO4kAvs/PpuQEAAF0DAAAOAAAAAAAAAAEAIAAAACUBAABkcnMvZTJvRG9jLnhtbFBLBQYA&#10;AAAABgAGAFkBAABQBQAAAAA=&#10;">
                <v:fill on="f" focussize="0,0"/>
                <v:stroke on="f"/>
                <v:imagedata o:title=""/>
                <o:lock v:ext="edit" aspectratio="f"/>
                <v:textbox>
                  <w:txbxContent>
                    <w:p w14:paraId="4279B14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14:paraId="2402C608">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23.7  </w:t>
      </w:r>
      <w:r>
        <w:rPr>
          <w:rFonts w:hint="eastAsia" w:ascii="宋体" w:hAnsi="宋体" w:cs="宋体"/>
          <w:b/>
          <w:bCs/>
          <w:color w:val="auto"/>
          <w:sz w:val="22"/>
          <w:szCs w:val="22"/>
          <w:highlight w:val="none"/>
          <w:u w:val="dotted"/>
        </w:rPr>
        <w:t xml:space="preserve">                                                                                       </w:t>
      </w:r>
    </w:p>
    <w:p w14:paraId="6FF38A9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82" name="文本框 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14:paraId="737F384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77" o:spid="_x0000_s1026" o:spt="202" type="#_x0000_t202" style="position:absolute;left:0pt;margin-left:-9pt;margin-top:2.3pt;height:48.1pt;width:72pt;z-index:251738112;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cz9YAAAAJAQAADwAAAAAAAAABACAAAAAiAAAAZHJzL2Rvd25yZXYueG1sUEsBAhQAFAAA&#10;AAgAh07iQJ5ZrS64AQAAXQMAAA4AAAAAAAAAAQAgAAAAJQEAAGRycy9lMm9Eb2MueG1sUEsFBgAA&#10;AAAGAAYAWQEAAE8FAAAAAA==&#10;">
                <v:fill on="f" focussize="0,0"/>
                <v:stroke on="f"/>
                <v:imagedata o:title=""/>
                <o:lock v:ext="edit" aspectratio="f"/>
                <v:textbox>
                  <w:txbxContent>
                    <w:p w14:paraId="737F384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监理工程师（含其代表）未能正确完成本合同约定的全部义务，或工作出现失误，导致费用的增加和（或）延误的工期，由发包人承担；给承包人造成损失的，发包人应予赔偿。</w:t>
      </w:r>
    </w:p>
    <w:p w14:paraId="38ABFF80">
      <w:pPr>
        <w:tabs>
          <w:tab w:val="left" w:pos="126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4E3E1C2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1" w:name="_Toc10624844"/>
      <w:bookmarkStart w:id="432" w:name="_Toc469384004"/>
      <w:r>
        <w:rPr>
          <w:rFonts w:hint="eastAsia" w:ascii="黑体" w:hAnsi="黑体" w:eastAsia="黑体" w:cs="黑体"/>
          <w:b w:val="0"/>
          <w:bCs/>
          <w:color w:val="auto"/>
          <w:kern w:val="0"/>
          <w:sz w:val="24"/>
          <w:szCs w:val="24"/>
          <w:highlight w:val="none"/>
          <w:lang w:val="en-US" w:eastAsia="zh-CN" w:bidi="ar-SA"/>
        </w:rPr>
        <w:t>24  造价工程师</w:t>
      </w:r>
      <w:bookmarkEnd w:id="431"/>
      <w:bookmarkEnd w:id="432"/>
    </w:p>
    <w:p w14:paraId="171DEB3A">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24.1                                                   </w:t>
      </w:r>
    </w:p>
    <w:p w14:paraId="54663FA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83" name="文本框 7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5E4CEA21">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wps:txbx>
                      <wps:bodyPr wrap="square" upright="1"/>
                    </wps:wsp>
                  </a:graphicData>
                </a:graphic>
              </wp:anchor>
            </w:drawing>
          </mc:Choice>
          <mc:Fallback>
            <w:pict>
              <v:shape id="文本框 78" o:spid="_x0000_s1026" o:spt="202" type="#_x0000_t202" style="position:absolute;left:0pt;margin-left:-9pt;margin-top:3.6pt;height:35.4pt;width:72pt;z-index:251739136;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6OTFDTAAAACAEAAA8AAAAAAAAAAQAgAAAAIgAAAGRycy9kb3ducmV2LnhtbFBLAQIUABQAAAAI&#10;AIdO4kCZMylRuQEAAF0DAAAOAAAAAAAAAAEAIAAAACIBAABkcnMvZTJvRG9jLnhtbFBLBQYAAAAA&#10;BgAGAFkBAABNBQAAAAA=&#10;">
                <v:fill on="f" focussize="0,0"/>
                <v:stroke on="f"/>
                <v:imagedata o:title=""/>
                <o:lock v:ext="edit" aspectratio="f"/>
                <v:textbox>
                  <w:txbxContent>
                    <w:p w14:paraId="5E4CEA21">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发包人对造价工程师授权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67DA2D22">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24.2  </w:t>
      </w:r>
      <w:r>
        <w:rPr>
          <w:rFonts w:hint="eastAsia" w:ascii="宋体" w:hAnsi="宋体" w:cs="宋体"/>
          <w:b/>
          <w:bCs/>
          <w:color w:val="auto"/>
          <w:sz w:val="22"/>
          <w:szCs w:val="22"/>
          <w:highlight w:val="none"/>
          <w:u w:val="dotted"/>
        </w:rPr>
        <w:t xml:space="preserve">                                                                                       </w:t>
      </w:r>
    </w:p>
    <w:p w14:paraId="3001C71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84" name="文本框 79"/>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14:paraId="4D187F5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79" o:spid="_x0000_s1026" o:spt="202" type="#_x0000_t202" style="position:absolute;left:0pt;margin-left:-9pt;margin-top:-0.1pt;height:33.7pt;width:72pt;z-index:251740160;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oraj1QAAAAgBAAAPAAAAAAAAAAEAIAAAACIAAABkcnMvZG93bnJldi54bWxQSwECFAAUAAAA&#10;CACHTuJApPp67bgBAABdAwAADgAAAAAAAAABACAAAAAkAQAAZHJzL2Uyb0RvYy54bWxQSwUGAAAA&#10;AAYABgBZAQAATgUAAAAA&#10;">
                <v:fill on="f" focussize="0,0"/>
                <v:stroke on="f"/>
                <v:imagedata o:title=""/>
                <o:lock v:ext="edit" aspectratio="f"/>
                <v:textbox>
                  <w:txbxContent>
                    <w:p w14:paraId="4D187F5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2D2D8E4B">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24.3  </w:t>
      </w:r>
      <w:r>
        <w:rPr>
          <w:rFonts w:hint="eastAsia" w:ascii="宋体" w:hAnsi="宋体" w:cs="宋体"/>
          <w:b/>
          <w:bCs/>
          <w:color w:val="auto"/>
          <w:sz w:val="22"/>
          <w:szCs w:val="22"/>
          <w:highlight w:val="none"/>
          <w:u w:val="dotted"/>
        </w:rPr>
        <w:t xml:space="preserve">                                                                                       </w:t>
      </w:r>
    </w:p>
    <w:p w14:paraId="63B4C7B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85" name="文本框 8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0CDFDD5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80" o:spid="_x0000_s1026" o:spt="202" type="#_x0000_t202" style="position:absolute;left:0pt;margin-left:-9pt;margin-top:0pt;height:40.2pt;width:72pt;z-index:251741184;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7y521AAAAAcBAAAPAAAAAAAAAAEAIAAAACIAAABkcnMvZG93bnJldi54bWxQSwECFAAUAAAACACH&#10;TuJAnXyozLYBAABdAwAADgAAAAAAAAABACAAAAAjAQAAZHJzL2Uyb0RvYy54bWxQSwUGAAAAAAYA&#10;BgBZAQAASwUAAAAA&#10;">
                <v:fill on="f" focussize="0,0"/>
                <v:stroke on="f"/>
                <v:imagedata o:title=""/>
                <o:lock v:ext="edit" aspectratio="f"/>
                <v:textbox>
                  <w:txbxContent>
                    <w:p w14:paraId="0CDFDD5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除属于第86条规定的争议外，造价工程师在职权范围内的工作，发包人应予认可，但下列事件应事先取得发包人的专项批准：</w:t>
      </w:r>
    </w:p>
    <w:p w14:paraId="7821FA2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（1）根据第63条规定使用暂列金额；</w:t>
      </w:r>
    </w:p>
    <w:p w14:paraId="1A39388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（2）根据第64条规定使用计日工；</w:t>
      </w:r>
    </w:p>
    <w:p w14:paraId="7DD1375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（3）根据第65条规定使用暂估价；</w:t>
      </w:r>
    </w:p>
    <w:p w14:paraId="61FD48A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（4）根据第66条确定的提前竣工奖与误期赔偿费；</w:t>
      </w:r>
    </w:p>
    <w:p w14:paraId="61B0C28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（5）根据第67条确定的工程优质费；</w:t>
      </w:r>
    </w:p>
    <w:p w14:paraId="5B88801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（6）根据第68.2款规定事件调整的合同价款；</w:t>
      </w:r>
    </w:p>
    <w:p w14:paraId="1009F3B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（7）专用条款约定需要发包人批准的其他事项。</w:t>
      </w:r>
    </w:p>
    <w:p w14:paraId="195816DB">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24.4  </w:t>
      </w:r>
      <w:r>
        <w:rPr>
          <w:rFonts w:hint="eastAsia" w:ascii="宋体" w:hAnsi="宋体" w:cs="宋体"/>
          <w:b/>
          <w:bCs/>
          <w:color w:val="auto"/>
          <w:sz w:val="22"/>
          <w:szCs w:val="22"/>
          <w:highlight w:val="none"/>
          <w:u w:val="dotted"/>
        </w:rPr>
        <w:t xml:space="preserve">                                                                                       </w:t>
      </w:r>
    </w:p>
    <w:p w14:paraId="167C6D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6" name="文本框 81"/>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14:paraId="794E92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6CFC64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81" o:spid="_x0000_s1026" o:spt="202" type="#_x0000_t202" style="position:absolute;left:0pt;margin-left:-9pt;margin-top:0pt;height:34.2pt;width:86pt;z-index:251742208;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xjfJ1QAAAAcBAAAPAAAAAAAAAAEAIAAAACIAAABkcnMvZG93bnJldi54bWxQSwECFAAUAAAA&#10;CACHTuJAhDxibLgBAABeAwAADgAAAAAAAAABACAAAAAkAQAAZHJzL2Uyb0RvYy54bWxQSwUGAAAA&#10;AAYABgBZAQAATgUAAAAA&#10;">
                <v:fill on="f" focussize="0,0"/>
                <v:stroke on="f"/>
                <v:imagedata o:title=""/>
                <o:lock v:ext="edit" aspectratio="f"/>
                <v:textbox>
                  <w:txbxContent>
                    <w:p w14:paraId="794E92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6CFC64E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造价工程师应按照合同约定时间向承包人提供实施合同工程的工程造价工作所需的核实、调整和通知等指令。</w:t>
      </w:r>
    </w:p>
    <w:p w14:paraId="20AC1B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4C3E9CBB">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24.5  </w:t>
      </w:r>
      <w:r>
        <w:rPr>
          <w:rFonts w:hint="eastAsia" w:ascii="宋体" w:hAnsi="宋体" w:cs="宋体"/>
          <w:b/>
          <w:bCs/>
          <w:color w:val="auto"/>
          <w:sz w:val="22"/>
          <w:szCs w:val="22"/>
          <w:highlight w:val="none"/>
          <w:u w:val="dotted"/>
        </w:rPr>
        <w:t xml:space="preserve">                                                                                       </w:t>
      </w:r>
    </w:p>
    <w:p w14:paraId="087957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7" name="文本框 82"/>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22F488F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82" o:spid="_x0000_s1026" o:spt="202" type="#_x0000_t202" style="position:absolute;left:0pt;margin-left:-9pt;margin-top:1.2pt;height:35.3pt;width:72pt;z-index:251743232;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Ko11F1QAAAAgBAAAPAAAAAAAAAAEAIAAAACIAAABkcnMvZG93bnJldi54bWxQSwECFAAUAAAA&#10;CACHTuJAUgML1rgBAABdAwAADgAAAAAAAAABACAAAAAkAQAAZHJzL2Uyb0RvYy54bWxQSwUGAAAA&#10;AAYABgBZAQAATgUAAAAA&#10;">
                <v:fill on="f" focussize="0,0"/>
                <v:stroke on="f"/>
                <v:imagedata o:title=""/>
                <o:lock v:ext="edit" aspectratio="f"/>
                <v:textbox>
                  <w:txbxContent>
                    <w:p w14:paraId="22F488F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331B0BDF">
      <w:pPr>
        <w:tabs>
          <w:tab w:val="left" w:pos="126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24.6  </w:t>
      </w:r>
      <w:r>
        <w:rPr>
          <w:rFonts w:hint="eastAsia" w:ascii="宋体" w:hAnsi="宋体" w:cs="宋体"/>
          <w:b/>
          <w:bCs/>
          <w:color w:val="auto"/>
          <w:sz w:val="22"/>
          <w:szCs w:val="22"/>
          <w:highlight w:val="none"/>
          <w:u w:val="dotted"/>
        </w:rPr>
        <w:t xml:space="preserve">                                                                                       </w:t>
      </w:r>
    </w:p>
    <w:p w14:paraId="6CD409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8" name="文本框 8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71A2413E">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83" o:spid="_x0000_s1026" o:spt="202" type="#_x0000_t202" style="position:absolute;left:0pt;margin-left:-9pt;margin-top:0pt;height:46.8pt;width:72pt;z-index:2517442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L4iIvK5AQAAXQMAAA4AAAAAAAAAAQAgAAAAJAEAAGRycy9lMm9Eb2MueG1sUEsFBgAA&#10;AAAGAAYAWQEAAE8FAAAAAA==&#10;">
                <v:fill on="f" focussize="0,0"/>
                <v:stroke on="f"/>
                <v:imagedata o:title=""/>
                <o:lock v:ext="edit" aspectratio="f"/>
                <v:textbox>
                  <w:txbxContent>
                    <w:p w14:paraId="71A2413E">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14:paraId="082074CD">
      <w:pPr>
        <w:tabs>
          <w:tab w:val="left" w:pos="1260"/>
        </w:tabs>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24.7</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1DB2B1F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9" name="文本框 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79C88F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84" o:spid="_x0000_s1026" o:spt="202" type="#_x0000_t202" style="position:absolute;left:0pt;margin-left:-9pt;margin-top:0pt;height:46.8pt;width:72pt;z-index:25174528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J+ky1QAAAAcBAAAPAAAAAAAAAAEAIAAAACIAAABkcnMvZG93bnJldi54bWxQSwECFAAUAAAA&#10;CACHTuJAhy0rMrgBAABdAwAADgAAAAAAAAABACAAAAAkAQAAZHJzL2Uyb0RvYy54bWxQSwUGAAAA&#10;AAYABgBZAQAATgUAAAAA&#10;">
                <v:fill on="f" focussize="0,0"/>
                <v:stroke on="f"/>
                <v:imagedata o:title=""/>
                <o:lock v:ext="edit" aspectratio="f"/>
                <v:textbox>
                  <w:txbxContent>
                    <w:p w14:paraId="79C88F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造价工程师（含其代表）未能正确完成本合同约定的全部义务，或工作出现失误，导致费用的增加和（或）延误的工期，由发包人承担；给承包人造成损失的，发包人应予赔偿。</w:t>
      </w:r>
    </w:p>
    <w:p w14:paraId="6D505E9A">
      <w:pPr>
        <w:tabs>
          <w:tab w:val="left" w:pos="540"/>
          <w:tab w:val="left" w:pos="7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16FA453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3" w:name="_Toc469384005"/>
      <w:bookmarkStart w:id="434" w:name="_Toc10624845"/>
      <w:r>
        <w:rPr>
          <w:rFonts w:hint="eastAsia" w:ascii="黑体" w:hAnsi="黑体" w:eastAsia="黑体" w:cs="黑体"/>
          <w:b w:val="0"/>
          <w:bCs/>
          <w:color w:val="auto"/>
          <w:kern w:val="0"/>
          <w:sz w:val="24"/>
          <w:szCs w:val="24"/>
          <w:highlight w:val="none"/>
          <w:lang w:val="en-US" w:eastAsia="zh-CN" w:bidi="ar-SA"/>
        </w:rPr>
        <w:t>25  承包人代表</w:t>
      </w:r>
      <w:bookmarkEnd w:id="433"/>
      <w:bookmarkEnd w:id="434"/>
    </w:p>
    <w:p w14:paraId="2561544F">
      <w:pPr>
        <w:tabs>
          <w:tab w:val="left" w:pos="540"/>
          <w:tab w:val="left" w:pos="7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25.1                                 </w:t>
      </w:r>
    </w:p>
    <w:p w14:paraId="6F485CF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90" name="文本框 8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14:paraId="59200BD7">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wps:txbx>
                      <wps:bodyPr wrap="square" upright="1"/>
                    </wps:wsp>
                  </a:graphicData>
                </a:graphic>
              </wp:anchor>
            </w:drawing>
          </mc:Choice>
          <mc:Fallback>
            <w:pict>
              <v:shape id="文本框 85" o:spid="_x0000_s1026" o:spt="202" type="#_x0000_t202" style="position:absolute;left:0pt;margin-left:-9pt;margin-top:0pt;height:33pt;width:72pt;z-index:251746304;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c6rI1AAAAAcBAAAPAAAAAAAAAAEAIAAAACIAAABkcnMvZG93bnJldi54bWxQSwECFAAUAAAACACH&#10;TuJA5aKlmrYBAABdAwAADgAAAAAAAAABACAAAAAjAQAAZHJzL2Uyb0RvYy54bWxQSwUGAAAAAAYA&#10;BgBZAQAASwUAAAAA&#10;">
                <v:fill on="f" focussize="0,0"/>
                <v:stroke on="f"/>
                <v:imagedata o:title=""/>
                <o:lock v:ext="edit" aspectratio="f"/>
                <v:textbox>
                  <w:txbxContent>
                    <w:p w14:paraId="59200BD7">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承包人对其代表授权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承包人应依据第21.2款规定在专用条款中写明承包人代表具体人选，同时在开工前将承包人代表任命书以书面形式通知发包人，授予其代表承包人履行合同规定职责所需的一切权力。</w:t>
      </w:r>
    </w:p>
    <w:p w14:paraId="5498341E">
      <w:pPr>
        <w:tabs>
          <w:tab w:val="left" w:pos="540"/>
          <w:tab w:val="left" w:pos="720"/>
          <w:tab w:val="left" w:pos="1260"/>
          <w:tab w:val="left" w:pos="144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25.2  </w:t>
      </w:r>
      <w:r>
        <w:rPr>
          <w:rFonts w:hint="eastAsia" w:ascii="宋体" w:hAnsi="宋体" w:cs="宋体"/>
          <w:b/>
          <w:bCs/>
          <w:color w:val="auto"/>
          <w:sz w:val="22"/>
          <w:szCs w:val="22"/>
          <w:highlight w:val="none"/>
          <w:u w:val="dotted"/>
        </w:rPr>
        <w:t xml:space="preserve">                                                                                       </w:t>
      </w:r>
    </w:p>
    <w:p w14:paraId="30BAEB7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91" name="文本框 86"/>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6F7039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36D4F73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86" o:spid="_x0000_s1026" o:spt="202" type="#_x0000_t202" style="position:absolute;left:0pt;margin-left:-9pt;margin-top:0.6pt;height:31.2pt;width:81pt;z-index:25174732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nwRtUAAAAIAQAADwAAAAAAAAABACAAAAAiAAAAZHJzL2Rvd25yZXYueG1sUEsBAhQAFAAA&#10;AAgAh07iQAnUKVW5AQAAXgMAAA4AAAAAAAAAAQAgAAAAJAEAAGRycy9lMm9Eb2MueG1sUEsFBgAA&#10;AAAGAAYAWQEAAE8FAAAAAA==&#10;">
                <v:fill on="f" focussize="0,0"/>
                <v:stroke on="f"/>
                <v:imagedata o:title=""/>
                <o:lock v:ext="edit" aspectratio="f"/>
                <v:textbox>
                  <w:txbxContent>
                    <w:p w14:paraId="6F7039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36D4F734">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承包人代表应代表承包人履行合同规定的职责、行使合同明文约定或必然隐含的权力，对承包人负责。承包人代表在承包人授予职权范围内的工作，承包人应予认可。</w:t>
      </w:r>
    </w:p>
    <w:p w14:paraId="2EFAFD99">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25.3  </w:t>
      </w:r>
      <w:r>
        <w:rPr>
          <w:rFonts w:hint="eastAsia" w:ascii="宋体" w:hAnsi="宋体" w:cs="宋体"/>
          <w:b/>
          <w:bCs/>
          <w:color w:val="auto"/>
          <w:sz w:val="22"/>
          <w:szCs w:val="22"/>
          <w:highlight w:val="none"/>
          <w:u w:val="dotted"/>
        </w:rPr>
        <w:t xml:space="preserve">                                                                                       </w:t>
      </w:r>
    </w:p>
    <w:p w14:paraId="5A38F7F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94" name="文本框 87"/>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14:paraId="65A9386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87" o:spid="_x0000_s1026" o:spt="202" type="#_x0000_t202" style="position:absolute;left:0pt;margin-left:-9pt;margin-top:0pt;height:38.4pt;width:72pt;z-index:251748352;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u3RXtUAAAAHAQAADwAAAAAAAAABACAAAAAiAAAAZHJzL2Rvd25yZXYueG1sUEsBAhQAFAAA&#10;AAgAh07iQBhATAi5AQAAXQMAAA4AAAAAAAAAAQAgAAAAJAEAAGRycy9lMm9Eb2MueG1sUEsFBgAA&#10;AAAGAAYAWQEAAE8FAAAAAA==&#10;">
                <v:fill on="f" focussize="0,0"/>
                <v:stroke on="f"/>
                <v:imagedata o:title=""/>
                <o:lock v:ext="edit" aspectratio="f"/>
                <v:textbox>
                  <w:txbxContent>
                    <w:p w14:paraId="65A9386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5CC00C08">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25.4  </w:t>
      </w:r>
      <w:r>
        <w:rPr>
          <w:rFonts w:hint="eastAsia" w:ascii="宋体" w:hAnsi="宋体" w:cs="宋体"/>
          <w:b/>
          <w:bCs/>
          <w:color w:val="auto"/>
          <w:sz w:val="22"/>
          <w:szCs w:val="22"/>
          <w:highlight w:val="none"/>
          <w:u w:val="dotted"/>
        </w:rPr>
        <w:t xml:space="preserve">                                                                                       </w:t>
      </w:r>
    </w:p>
    <w:p w14:paraId="6D04F29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96" name="文本框 88"/>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14:paraId="7AB80C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88" o:spid="_x0000_s1026" o:spt="202" type="#_x0000_t202" style="position:absolute;left:0pt;margin-left:-9pt;margin-top:0pt;height:60pt;width:72pt;z-index:251749376;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a72VvUAAAACAEAAA8AAAAAAAAAAQAgAAAAIgAAAGRycy9kb3ducmV2LnhtbFBLAQIUABQAAAAI&#10;AIdO4kCVuJhkuAEAAF0DAAAOAAAAAAAAAAEAIAAAACMBAABkcnMvZTJvRG9jLnhtbFBLBQYAAAAA&#10;BgAGAFkBAABNBQAAAAA=&#10;">
                <v:fill on="f" focussize="0,0"/>
                <v:stroke on="f"/>
                <v:imagedata o:title=""/>
                <o:lock v:ext="edit" aspectratio="f"/>
                <v:textbox>
                  <w:txbxContent>
                    <w:p w14:paraId="7AB80C1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18BE22B4">
      <w:pPr>
        <w:widowControl w:val="0"/>
        <w:tabs>
          <w:tab w:val="left" w:pos="540"/>
        </w:tabs>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bookmarkStart w:id="435" w:name="_Toc468936969"/>
      <w:r>
        <w:rPr>
          <w:rFonts w:hint="eastAsia" w:ascii="宋体" w:hAnsi="宋体" w:eastAsia="宋体" w:cs="宋体"/>
          <w:b/>
          <w:bCs/>
          <w:color w:val="auto"/>
          <w:kern w:val="2"/>
          <w:sz w:val="22"/>
          <w:szCs w:val="22"/>
          <w:highlight w:val="none"/>
          <w:u w:val="single"/>
          <w:lang w:val="en-US" w:eastAsia="zh-CN" w:bidi="ar-SA"/>
        </w:rPr>
        <w:t xml:space="preserve">                                                                                               </w:t>
      </w:r>
    </w:p>
    <w:p w14:paraId="7EC5F7E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6" w:name="_Toc469384006"/>
      <w:bookmarkStart w:id="437" w:name="_Toc10624846"/>
      <w:r>
        <w:rPr>
          <w:rFonts w:hint="eastAsia" w:ascii="黑体" w:hAnsi="黑体" w:eastAsia="黑体" w:cs="黑体"/>
          <w:b w:val="0"/>
          <w:bCs/>
          <w:color w:val="auto"/>
          <w:kern w:val="0"/>
          <w:sz w:val="24"/>
          <w:szCs w:val="24"/>
          <w:highlight w:val="none"/>
          <w:lang w:val="en-US" w:eastAsia="zh-CN" w:bidi="ar-SA"/>
        </w:rPr>
        <w:t>26  指定分包</w:t>
      </w:r>
      <w:bookmarkEnd w:id="435"/>
      <w:r>
        <w:rPr>
          <w:rFonts w:hint="eastAsia" w:ascii="黑体" w:hAnsi="黑体" w:eastAsia="黑体" w:cs="黑体"/>
          <w:b w:val="0"/>
          <w:bCs/>
          <w:color w:val="auto"/>
          <w:kern w:val="0"/>
          <w:sz w:val="24"/>
          <w:szCs w:val="24"/>
          <w:highlight w:val="none"/>
          <w:lang w:val="en-US" w:eastAsia="zh-CN" w:bidi="ar-SA"/>
        </w:rPr>
        <w:t>人</w:t>
      </w:r>
      <w:bookmarkEnd w:id="436"/>
      <w:bookmarkEnd w:id="437"/>
    </w:p>
    <w:p w14:paraId="1B848BCD">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26.1 </w:t>
      </w:r>
    </w:p>
    <w:p w14:paraId="2B57413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98" name="文本框 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4515941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89" o:spid="_x0000_s1026" o:spt="202" type="#_x0000_t202" style="position:absolute;left:0pt;margin-left:-9pt;margin-top:4.75pt;height:54.6pt;width:72pt;z-index:251750400;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ey6tdYAAAAJAQAADwAAAAAAAAABACAAAAAiAAAAZHJzL2Rvd25yZXYueG1sUEsBAhQAFAAA&#10;AAgAh07iQCloRhm4AQAAXQMAAA4AAAAAAAAAAQAgAAAAJQEAAGRycy9lMm9Eb2MueG1sUEsFBgAA&#10;AAAGAAYAWQEAAE8FAAAAAA==&#10;">
                <v:fill on="f" focussize="0,0"/>
                <v:stroke on="f"/>
                <v:imagedata o:title=""/>
                <o:lock v:ext="edit" aspectratio="f"/>
                <v:textbox>
                  <w:txbxContent>
                    <w:p w14:paraId="4515941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指定分包人是指发包人事先指定的从事下列工作之一的分包人：</w:t>
      </w:r>
    </w:p>
    <w:p w14:paraId="0D40905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（1）根据专用条款的约定，发包人依法事先指定的实施、完成部分永久工程的分包人；</w:t>
      </w:r>
    </w:p>
    <w:p w14:paraId="3DA2E1E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（2）根据专用条款的约定，发包人选定的提供合同工程材料、工程设备和服务的分包人。</w:t>
      </w:r>
    </w:p>
    <w:p w14:paraId="02A79A78">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26.2  </w:t>
      </w:r>
      <w:r>
        <w:rPr>
          <w:rFonts w:hint="eastAsia" w:ascii="宋体" w:hAnsi="宋体" w:cs="宋体"/>
          <w:b/>
          <w:bCs/>
          <w:color w:val="auto"/>
          <w:sz w:val="22"/>
          <w:szCs w:val="22"/>
          <w:highlight w:val="none"/>
          <w:u w:val="dotted"/>
        </w:rPr>
        <w:t xml:space="preserve">                                                                             </w:t>
      </w:r>
    </w:p>
    <w:p w14:paraId="5676C4A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103" name="文本框 90"/>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14:paraId="797085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90" o:spid="_x0000_s1026" o:spt="202" type="#_x0000_t202" style="position:absolute;left:0pt;margin-left:-9pt;margin-top:0pt;height:49.4pt;width:81pt;z-index:251751424;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oDsBtQAAAAHAQAADwAAAAAAAAABACAAAAAiAAAAZHJzL2Rvd25yZXYueG1sUEsBAhQAFAAAAAgA&#10;h07iQGgeYCS3AQAAXwMAAA4AAAAAAAAAAQAgAAAAIwEAAGRycy9lMm9Eb2MueG1sUEsFBgAAAAAG&#10;AAYAWQEAAEwFAAAAAA==&#10;">
                <v:fill on="f" focussize="0,0"/>
                <v:stroke on="f"/>
                <v:imagedata o:title=""/>
                <o:lock v:ext="edit" aspectratio="f"/>
                <v:textbox>
                  <w:txbxContent>
                    <w:p w14:paraId="7970857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指定分包人属于承包人的分包人，发包人不应要求承包人有义务接受承包人有理由反对的任何指定分包人。</w:t>
      </w:r>
    </w:p>
    <w:p w14:paraId="569713C7">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104" name="文本框 91"/>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14:paraId="56A6CD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91" o:spid="_x0000_s1026" o:spt="202" type="#_x0000_t202" style="position:absolute;left:0pt;margin-left:-9pt;margin-top:18.7pt;height:55.05pt;width:81pt;z-index:251752448;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ywcu2AAAAAoBAAAPAAAAAAAAAAEAIAAAACIAAABkcnMvZG93bnJldi54bWxQSwECFAAU&#10;AAAACACHTuJAkBKY1LgBAABfAwAADgAAAAAAAAABACAAAAAnAQAAZHJzL2Uyb0RvYy54bWxQSwUG&#10;AAAAAAYABgBZAQAAUQUAAAAA&#10;">
                <v:fill on="f" focussize="0,0"/>
                <v:stroke on="f"/>
                <v:imagedata o:title=""/>
                <o:lock v:ext="edit" aspectratio="f"/>
                <v:textbox>
                  <w:txbxContent>
                    <w:p w14:paraId="56A6CD9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cs="宋体"/>
          <w:b/>
          <w:bCs/>
          <w:color w:val="auto"/>
          <w:sz w:val="22"/>
          <w:szCs w:val="22"/>
          <w:highlight w:val="none"/>
        </w:rPr>
        <w:t xml:space="preserve">26.3  </w:t>
      </w:r>
      <w:r>
        <w:rPr>
          <w:rFonts w:hint="eastAsia" w:ascii="宋体" w:hAnsi="宋体" w:cs="宋体"/>
          <w:b/>
          <w:bCs/>
          <w:color w:val="auto"/>
          <w:sz w:val="22"/>
          <w:szCs w:val="22"/>
          <w:highlight w:val="none"/>
          <w:u w:val="dotted"/>
        </w:rPr>
        <w:t xml:space="preserve">                                                                              </w:t>
      </w:r>
    </w:p>
    <w:p w14:paraId="075D309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发包人应按照合同的约定向承包人支付指定分包人的分包工程配合费。指定分包工程款的结算与支付，按照第7.4款办理。</w:t>
      </w:r>
    </w:p>
    <w:p w14:paraId="7BA3C751">
      <w:pPr>
        <w:spacing w:line="420" w:lineRule="exact"/>
        <w:rPr>
          <w:rFonts w:ascii="宋体" w:hAnsi="宋体" w:cs="宋体"/>
          <w:b/>
          <w:bCs/>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753472"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105" name="文本框 92"/>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14:paraId="5815C1E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355EE70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6F59E3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21454798">
                            <w:pPr>
                              <w:rPr>
                                <w:rFonts w:ascii="楷体_GB2312" w:hAnsi="宋体" w:eastAsia="楷体_GB2312" w:cs="Times New Roman"/>
                                <w:b/>
                                <w:bCs/>
                                <w:color w:val="000000"/>
                                <w:szCs w:val="21"/>
                              </w:rPr>
                            </w:pPr>
                          </w:p>
                          <w:p w14:paraId="35178E36">
                            <w:pPr>
                              <w:rPr>
                                <w:rFonts w:ascii="Times New Roman" w:hAnsi="Times New Roman" w:cs="Times New Roman"/>
                                <w:szCs w:val="21"/>
                              </w:rPr>
                            </w:pPr>
                          </w:p>
                          <w:p w14:paraId="387A8DA5">
                            <w:pPr>
                              <w:rPr>
                                <w:rFonts w:ascii="Calibri" w:hAnsi="Calibri" w:cs="Times New Roman"/>
                                <w:szCs w:val="21"/>
                              </w:rPr>
                            </w:pPr>
                          </w:p>
                        </w:txbxContent>
                      </wps:txbx>
                      <wps:bodyPr wrap="square" upright="1"/>
                    </wps:wsp>
                  </a:graphicData>
                </a:graphic>
              </wp:anchor>
            </w:drawing>
          </mc:Choice>
          <mc:Fallback>
            <w:pict>
              <v:shape id="文本框 92" o:spid="_x0000_s1026" o:spt="202" type="#_x0000_t202" style="position:absolute;left:0pt;margin-left:-5.25pt;margin-top:15.7pt;height:62.35pt;width:89.25pt;z-index:251753472;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TIIv1wAAAAoBAAAPAAAAAAAAAAEAIAAAACIAAABkcnMvZG93bnJldi54bWxQSwECFAAU&#10;AAAACACHTuJAe+HhhrkBAABfAwAADgAAAAAAAAABACAAAAAmAQAAZHJzL2Uyb0RvYy54bWxQSwUG&#10;AAAAAAYABgBZAQAAUQUAAAAA&#10;">
                <v:fill on="f" focussize="0,0"/>
                <v:stroke on="f"/>
                <v:imagedata o:title=""/>
                <o:lock v:ext="edit" aspectratio="f"/>
                <v:textbox>
                  <w:txbxContent>
                    <w:p w14:paraId="5815C1E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355EE70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6F59E3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21454798">
                      <w:pPr>
                        <w:rPr>
                          <w:rFonts w:ascii="楷体_GB2312" w:hAnsi="宋体" w:eastAsia="楷体_GB2312" w:cs="Times New Roman"/>
                          <w:b/>
                          <w:bCs/>
                          <w:color w:val="000000"/>
                          <w:szCs w:val="21"/>
                        </w:rPr>
                      </w:pPr>
                    </w:p>
                    <w:p w14:paraId="35178E36">
                      <w:pPr>
                        <w:rPr>
                          <w:rFonts w:ascii="Times New Roman" w:hAnsi="Times New Roman" w:cs="Times New Roman"/>
                          <w:szCs w:val="21"/>
                        </w:rPr>
                      </w:pPr>
                    </w:p>
                    <w:p w14:paraId="387A8DA5">
                      <w:pPr>
                        <w:rPr>
                          <w:rFonts w:ascii="Calibri" w:hAnsi="Calibri" w:cs="Times New Roman"/>
                          <w:szCs w:val="21"/>
                        </w:rPr>
                      </w:pPr>
                    </w:p>
                  </w:txbxContent>
                </v:textbox>
              </v:shape>
            </w:pict>
          </mc:Fallback>
        </mc:AlternateContent>
      </w:r>
      <w:r>
        <w:rPr>
          <w:rFonts w:hint="eastAsia" w:ascii="宋体" w:hAnsi="宋体" w:cs="宋体"/>
          <w:b/>
          <w:bCs/>
          <w:color w:val="auto"/>
          <w:sz w:val="22"/>
          <w:szCs w:val="22"/>
          <w:highlight w:val="none"/>
        </w:rPr>
        <w:t>26.4</w:t>
      </w:r>
      <w:r>
        <w:rPr>
          <w:rFonts w:hint="eastAsia" w:ascii="宋体" w:hAnsi="宋体" w:cs="宋体"/>
          <w:b/>
          <w:bCs/>
          <w:color w:val="auto"/>
          <w:sz w:val="22"/>
          <w:szCs w:val="22"/>
          <w:highlight w:val="none"/>
          <w:u w:val="dotted"/>
        </w:rPr>
        <w:t xml:space="preserve">                                                                               </w:t>
      </w:r>
    </w:p>
    <w:p w14:paraId="3D8EC94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指定分包人应按照分包合同的约定对承包人负责。承包人有义务协助、配合指定分包人实施分包工程。</w:t>
      </w:r>
    </w:p>
    <w:p w14:paraId="44F3CCB5">
      <w:pPr>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4C6F51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38" w:name="_Toc469384007"/>
      <w:bookmarkStart w:id="439" w:name="_Toc10624847"/>
      <w:r>
        <w:rPr>
          <w:rFonts w:hint="eastAsia" w:ascii="黑体" w:hAnsi="黑体" w:eastAsia="黑体" w:cs="黑体"/>
          <w:b w:val="0"/>
          <w:bCs/>
          <w:color w:val="auto"/>
          <w:kern w:val="0"/>
          <w:sz w:val="24"/>
          <w:szCs w:val="24"/>
          <w:highlight w:val="none"/>
          <w:lang w:val="en-US" w:eastAsia="zh-CN" w:bidi="ar-SA"/>
        </w:rPr>
        <w:t>27  承包人劳务</w:t>
      </w:r>
      <w:bookmarkEnd w:id="438"/>
      <w:bookmarkEnd w:id="439"/>
    </w:p>
    <w:p w14:paraId="61DB28B3">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27.1   </w:t>
      </w:r>
    </w:p>
    <w:p w14:paraId="7D0EEB4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106" name="文本框 93"/>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4F5590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93" o:spid="_x0000_s1026" o:spt="202" type="#_x0000_t202" style="position:absolute;left:0pt;margin-left:-9pt;margin-top:0.65pt;height:54.5pt;width:72pt;z-index:251754496;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s6rC1QAAAAkBAAAPAAAAAAAAAAEAIAAAACIAAABkcnMvZG93bnJldi54bWxQSwECFAAUAAAA&#10;CACHTuJA4Y6DybgBAABeAwAADgAAAAAAAAABACAAAAAkAQAAZHJzL2Uyb0RvYy54bWxQSwUGAAAA&#10;AAYABgBZAQAATgUAAAAA&#10;">
                <v:fill on="f" focussize="0,0"/>
                <v:stroke on="f"/>
                <v:imagedata o:title=""/>
                <o:lock v:ext="edit" aspectratio="f"/>
                <v:textbox>
                  <w:txbxContent>
                    <w:p w14:paraId="4F55905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71473A34">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27.2 </w:t>
      </w:r>
      <w:r>
        <w:rPr>
          <w:rFonts w:hint="eastAsia" w:ascii="宋体" w:hAnsi="宋体" w:cs="宋体"/>
          <w:b/>
          <w:bCs/>
          <w:color w:val="auto"/>
          <w:sz w:val="22"/>
          <w:szCs w:val="22"/>
          <w:highlight w:val="none"/>
          <w:u w:val="dotted"/>
        </w:rPr>
        <w:t xml:space="preserve">                                                                                 </w:t>
      </w:r>
      <w:r>
        <w:rPr>
          <w:rFonts w:hint="eastAsia" w:ascii="宋体" w:hAnsi="宋体" w:cs="宋体"/>
          <w:b/>
          <w:bCs/>
          <w:color w:val="auto"/>
          <w:sz w:val="22"/>
          <w:szCs w:val="22"/>
          <w:highlight w:val="none"/>
        </w:rPr>
        <w:t xml:space="preserve">   </w:t>
      </w:r>
    </w:p>
    <w:p w14:paraId="6396D6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07" name="文本框 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4AD149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94" o:spid="_x0000_s1026" o:spt="202" type="#_x0000_t202" style="position:absolute;left:0pt;margin-left:-9pt;margin-top:0.65pt;height:31.2pt;width:72pt;z-index:25175552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t2iW1QAAAAgBAAAPAAAAAAAAAAEAIAAAACIAAABkcnMvZG93bnJldi54bWxQSwECFAAUAAAA&#10;CACHTuJAGBm+R7gBAABeAwAADgAAAAAAAAABACAAAAAkAQAAZHJzL2Uyb0RvYy54bWxQSwUGAAAA&#10;AAYABgBZAQAATgUAAAAA&#10;">
                <v:fill on="f" focussize="0,0"/>
                <v:stroke on="f"/>
                <v:imagedata o:title=""/>
                <o:lock v:ext="edit" aspectratio="f"/>
                <v:textbox>
                  <w:txbxContent>
                    <w:p w14:paraId="14AD149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承包人除应雇佣投标文件中“主要人员一览表”中指明的人员外，也可以雇佣经监理工程师批准的其他人员，但不得从发包人或服务于发包人的人员中雇佣人员。</w:t>
      </w:r>
    </w:p>
    <w:p w14:paraId="78770A89">
      <w:pPr>
        <w:tabs>
          <w:tab w:val="left" w:pos="1620"/>
        </w:tabs>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27.3  </w:t>
      </w:r>
      <w:r>
        <w:rPr>
          <w:rFonts w:hint="eastAsia" w:ascii="宋体" w:hAnsi="宋体" w:cs="宋体"/>
          <w:b/>
          <w:bCs/>
          <w:color w:val="auto"/>
          <w:sz w:val="22"/>
          <w:szCs w:val="22"/>
          <w:highlight w:val="none"/>
          <w:u w:val="dotted"/>
        </w:rPr>
        <w:t xml:space="preserve">                                                                                      </w:t>
      </w:r>
    </w:p>
    <w:p w14:paraId="2424DA5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108" name="文本框 9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5A61F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95" o:spid="_x0000_s1026" o:spt="202" type="#_x0000_t202" style="position:absolute;left:0pt;margin-left:-9pt;margin-top:4.7pt;height:39pt;width:72pt;z-index:251756544;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VgKKNUAAAAIAQAADwAAAAAAAAABACAAAAAiAAAAZHJzL2Rvd25yZXYueG1sUEsBAhQAFAAAAAgA&#10;h07iQNnPaJW2AQAAXgMAAA4AAAAAAAAAAQAgAAAAJAEAAGRycy9lMm9Eb2MueG1sUEsFBgAAAAAG&#10;AAYAWQEAAEwFAAAAAA==&#10;">
                <v:fill on="f" focussize="0,0"/>
                <v:stroke on="f"/>
                <v:imagedata o:title=""/>
                <o:lock v:ext="edit" aspectratio="f"/>
                <v:textbox>
                  <w:txbxContent>
                    <w:p w14:paraId="65A61F1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承包人应完善雇员的劳务注册手续，并与雇员订立劳动合同，明确双方的权利和义务。雇佣期间，承包人应做好下列工作：</w:t>
      </w:r>
    </w:p>
    <w:p w14:paraId="2DCA596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(1)负责为雇员提供必要的食宿及各种生活设施，采取合理的卫生、劳动保护和安全防护措施，保证雇员的健康和安全；</w:t>
      </w:r>
    </w:p>
    <w:p w14:paraId="7409BB0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(2)保障雇员的合法权利和人身安全，及时采取有效措施抢救和治疗施工中受伤害的雇员；</w:t>
      </w:r>
    </w:p>
    <w:p w14:paraId="24E9D0A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(3)充分考虑和保障雇员的休息时间和法定节假日休假时间，尊重雇员的宗教信仰和风俗习惯；</w:t>
      </w:r>
    </w:p>
    <w:p w14:paraId="2BA7046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(4)在施工现场主要出入口处设榜公布雇员工资发放时间和投诉电话，以及合同工程中标价格、进度款支付情况；</w:t>
      </w:r>
    </w:p>
    <w:p w14:paraId="0D3E138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(5)督促雇员和发包人现场人员应佩戴由合同双方当事人共同盖章、签发的工作证上岗；</w:t>
      </w:r>
    </w:p>
    <w:p w14:paraId="070BC32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(6)办理雇员的意外伤害等一切保险，处理雇员因工伤亡事故的善后事宜。</w:t>
      </w:r>
    </w:p>
    <w:p w14:paraId="14855CA4">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27.4  </w:t>
      </w:r>
      <w:r>
        <w:rPr>
          <w:rFonts w:hint="eastAsia" w:ascii="宋体" w:hAnsi="宋体" w:cs="宋体"/>
          <w:b/>
          <w:bCs/>
          <w:color w:val="auto"/>
          <w:sz w:val="22"/>
          <w:szCs w:val="22"/>
          <w:highlight w:val="none"/>
          <w:u w:val="dotted"/>
        </w:rPr>
        <w:t xml:space="preserve">                                                                                      </w:t>
      </w:r>
    </w:p>
    <w:p w14:paraId="116212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109" name="文本框 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4227637F">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96" o:spid="_x0000_s1026" o:spt="202" type="#_x0000_t202" style="position:absolute;left:0pt;margin-left:-9pt;margin-top:0pt;height:54.6pt;width:72pt;z-index:251757568;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5RFTPUAAAACAEAAA8AAAAAAAAAAQAgAAAAIgAAAGRycy9kb3ducmV2LnhtbFBLAQIUABQAAAAI&#10;AIdO4kDAWbR7uAEAAF4DAAAOAAAAAAAAAAEAIAAAACMBAABkcnMvZTJvRG9jLnhtbFBLBQYAAAAA&#10;BgAGAFkBAABNBQAAAAA=&#10;">
                <v:fill on="f" focussize="0,0"/>
                <v:stroke on="f"/>
                <v:imagedata o:title=""/>
                <o:lock v:ext="edit" aspectratio="f"/>
                <v:textbox>
                  <w:txbxContent>
                    <w:p w14:paraId="4227637F">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承包人特殊时间施工的批准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63437E16">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27.5  </w:t>
      </w:r>
      <w:r>
        <w:rPr>
          <w:rFonts w:hint="eastAsia" w:ascii="宋体" w:hAnsi="宋体" w:cs="宋体"/>
          <w:b/>
          <w:bCs/>
          <w:color w:val="auto"/>
          <w:sz w:val="22"/>
          <w:szCs w:val="22"/>
          <w:highlight w:val="none"/>
          <w:u w:val="dotted"/>
        </w:rPr>
        <w:t xml:space="preserve">                                                                                       </w:t>
      </w:r>
    </w:p>
    <w:p w14:paraId="44859CB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110" name="文本框 97"/>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14:paraId="468F7429">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97" o:spid="_x0000_s1026" o:spt="202" type="#_x0000_t202" style="position:absolute;left:0pt;margin-left:-9pt;margin-top:0pt;height:37.85pt;width:72pt;z-index:251758592;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Y257LVAAAABwEAAA8AAAAAAAAAAQAgAAAAIgAAAGRycy9kb3ducmV2LnhtbFBLAQIUABQAAAAI&#10;AIdO4kC/0GpXtwEAAF4DAAAOAAAAAAAAAAEAIAAAACQBAABkcnMvZTJvRG9jLnhtbFBLBQYAAAAA&#10;BgAGAFkBAABNBQAAAAA=&#10;">
                <v:fill on="f" focussize="0,0"/>
                <v:stroke on="f"/>
                <v:imagedata o:title=""/>
                <o:lock v:ext="edit" aspectratio="f"/>
                <v:textbox>
                  <w:txbxContent>
                    <w:p w14:paraId="468F7429">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承包人向雇员支付劳务工资</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6F71A23E">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27.6  </w:t>
      </w:r>
      <w:r>
        <w:rPr>
          <w:rFonts w:hint="eastAsia" w:ascii="宋体" w:hAnsi="宋体" w:cs="宋体"/>
          <w:b/>
          <w:bCs/>
          <w:color w:val="auto"/>
          <w:sz w:val="22"/>
          <w:szCs w:val="22"/>
          <w:highlight w:val="none"/>
          <w:u w:val="dotted"/>
        </w:rPr>
        <w:t xml:space="preserve">                                                                                       </w:t>
      </w:r>
    </w:p>
    <w:p w14:paraId="7B15AE2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111" name="文本框 98"/>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14:paraId="400BD3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98" o:spid="_x0000_s1026" o:spt="202" type="#_x0000_t202" style="position:absolute;left:0pt;margin-left:-9pt;margin-top:0pt;height:70.2pt;width:72pt;z-index:251759616;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KzjETUAAAACAEAAA8AAAAAAAAAAQAgAAAAIgAAAGRycy9kb3ducmV2LnhtbFBLAQIUABQAAAAI&#10;AIdO4kA6LBaquAEAAF4DAAAOAAAAAAAAAAEAIAAAACMBAABkcnMvZTJvRG9jLnhtbFBLBQYAAAAA&#10;BgAGAFkBAABNBQAAAAA=&#10;">
                <v:fill on="f" focussize="0,0"/>
                <v:stroke on="f"/>
                <v:imagedata o:title=""/>
                <o:lock v:ext="edit" aspectratio="f"/>
                <v:textbox>
                  <w:txbxContent>
                    <w:p w14:paraId="400BD38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承包人的雇员应是在行业或职业内具有相应资格、技能和经验的人员。承包人应向施工场地派遣足够数量的下列雇员：</w:t>
      </w:r>
    </w:p>
    <w:p w14:paraId="6B29A22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（1）具有相应资格的专业技工和合格的普工； </w:t>
      </w:r>
    </w:p>
    <w:p w14:paraId="7BC8D65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（2）具有相应施工经验的技术人员；</w:t>
      </w:r>
    </w:p>
    <w:p w14:paraId="2F440A0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（3）具有相应岗位资格的各级管理人员。</w:t>
      </w:r>
    </w:p>
    <w:p w14:paraId="4C97BE52">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27.7  </w:t>
      </w:r>
      <w:r>
        <w:rPr>
          <w:rFonts w:hint="eastAsia" w:ascii="宋体" w:hAnsi="宋体" w:cs="宋体"/>
          <w:b/>
          <w:bCs/>
          <w:color w:val="auto"/>
          <w:sz w:val="22"/>
          <w:szCs w:val="22"/>
          <w:highlight w:val="none"/>
          <w:u w:val="dotted"/>
        </w:rPr>
        <w:t xml:space="preserve">                                                                                       </w:t>
      </w:r>
    </w:p>
    <w:p w14:paraId="4A835DC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112" name="文本框 99"/>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14:paraId="021498E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99" o:spid="_x0000_s1026" o:spt="202" type="#_x0000_t202" style="position:absolute;left:0pt;margin-left:-9pt;margin-top:0pt;height:40.25pt;width:72pt;z-index:251760640;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ZvzKHUAAAABwEAAA8AAAAAAAAAAQAgAAAAIgAAAGRycy9kb3ducmV2LnhtbFBLAQIUABQAAAAI&#10;AIdO4kA3OufGuAEAAF4DAAAOAAAAAAAAAAEAIAAAACMBAABkcnMvZTJvRG9jLnhtbFBLBQYAAAAA&#10;BgAGAFkBAABNBQAAAAA=&#10;">
                <v:fill on="f" focussize="0,0"/>
                <v:stroke on="f"/>
                <v:imagedata o:title=""/>
                <o:lock v:ext="edit" aspectratio="f"/>
                <v:textbox>
                  <w:txbxContent>
                    <w:p w14:paraId="021498E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承包人安排在施工场地的雇员应保持相对稳定，但有下列行为的任何承包人雇员，监理工程师可要求承包人将其撤换：</w:t>
      </w:r>
    </w:p>
    <w:p w14:paraId="65D85F8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（1）经常行为不当，或工作漫不经心；</w:t>
      </w:r>
    </w:p>
    <w:p w14:paraId="3AD5AEB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（2）无能力履行义务或玩忽职守；</w:t>
      </w:r>
    </w:p>
    <w:p w14:paraId="58FFC41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（3）不遵守合同的约定；</w:t>
      </w:r>
    </w:p>
    <w:p w14:paraId="1E829CA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（4）有损安全、健康和不利于环境保护的行为。</w:t>
      </w:r>
    </w:p>
    <w:p w14:paraId="7D76AF61">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27.8  </w:t>
      </w:r>
      <w:r>
        <w:rPr>
          <w:rFonts w:hint="eastAsia" w:ascii="宋体" w:hAnsi="宋体" w:cs="宋体"/>
          <w:b/>
          <w:bCs/>
          <w:color w:val="auto"/>
          <w:sz w:val="22"/>
          <w:szCs w:val="22"/>
          <w:highlight w:val="none"/>
          <w:u w:val="dotted"/>
        </w:rPr>
        <w:t xml:space="preserve">                                                                                       </w:t>
      </w:r>
    </w:p>
    <w:p w14:paraId="4B38669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113" name="文本框 100"/>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14:paraId="148381C1">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wps:txbx>
                      <wps:bodyPr wrap="square" upright="1"/>
                    </wps:wsp>
                  </a:graphicData>
                </a:graphic>
              </wp:anchor>
            </w:drawing>
          </mc:Choice>
          <mc:Fallback>
            <w:pict>
              <v:shape id="文本框 100" o:spid="_x0000_s1026" o:spt="202" type="#_x0000_t202" style="position:absolute;left:0pt;margin-left:-9pt;margin-top:0pt;height:34.25pt;width:72pt;z-index:251761664;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S12O/VAAAABwEAAA8AAAAAAAAAAQAgAAAAIgAAAGRycy9kb3ducmV2LnhtbFBLAQIUABQAAAAI&#10;AIdO4kBCLjjrtwEAAF8DAAAOAAAAAAAAAAEAIAAAACQBAABkcnMvZTJvRG9jLnhtbFBLBQYAAAAA&#10;BgAGAFkBAABNBQAAAAA=&#10;">
                <v:fill on="f" focussize="0,0"/>
                <v:stroke on="f"/>
                <v:imagedata o:title=""/>
                <o:lock v:ext="edit" aspectratio="f"/>
                <v:textbox>
                  <w:txbxContent>
                    <w:p w14:paraId="148381C1">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承包人对雇员的保护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承包人应自始至终采取各种合理的预防措施，防止雇员内部发生打斗和任何无序、非法的不良行为，以确保现场安定和保护现场及邻近人员的生命、财产安全。</w:t>
      </w:r>
    </w:p>
    <w:p w14:paraId="35AFC13A">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u w:val="single"/>
        </w:rPr>
        <w:t xml:space="preserve">                                                                                             </w:t>
      </w:r>
    </w:p>
    <w:p w14:paraId="0D46BE05">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40" w:name="_Toc10624848"/>
      <w:bookmarkStart w:id="441" w:name="_Toc469384008"/>
      <w:r>
        <w:rPr>
          <w:rFonts w:hint="eastAsia" w:ascii="方正小标宋_GBK" w:hAnsi="方正小标宋_GBK" w:eastAsia="方正小标宋_GBK" w:cs="方正小标宋_GBK"/>
          <w:b/>
          <w:bCs/>
          <w:color w:val="auto"/>
          <w:sz w:val="24"/>
          <w:szCs w:val="24"/>
          <w:highlight w:val="none"/>
        </w:rPr>
        <w:t>三、担保、保险与风险</w:t>
      </w:r>
      <w:bookmarkEnd w:id="440"/>
      <w:bookmarkEnd w:id="441"/>
    </w:p>
    <w:p w14:paraId="5EC889B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2" w:name="_Toc10624849"/>
      <w:bookmarkStart w:id="443" w:name="_Toc469384009"/>
      <w:r>
        <w:rPr>
          <w:rFonts w:hint="eastAsia" w:ascii="黑体" w:hAnsi="黑体" w:eastAsia="黑体" w:cs="黑体"/>
          <w:b w:val="0"/>
          <w:bCs/>
          <w:color w:val="auto"/>
          <w:kern w:val="0"/>
          <w:sz w:val="24"/>
          <w:szCs w:val="24"/>
          <w:highlight w:val="none"/>
          <w:lang w:val="en-US" w:eastAsia="zh-CN" w:bidi="ar-SA"/>
        </w:rPr>
        <w:t>28  工程担保</w:t>
      </w:r>
      <w:bookmarkEnd w:id="442"/>
      <w:bookmarkEnd w:id="443"/>
    </w:p>
    <w:p w14:paraId="534129D1">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14" name="文本框 1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3AF5CF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01" o:spid="_x0000_s1026" o:spt="202" type="#_x0000_t202" style="position:absolute;left:0pt;margin-left:-9pt;margin-top:19.2pt;height:31.2pt;width:72pt;z-index:251762688;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BuUE1wAAAAoBAAAPAAAAAAAAAAEAIAAAACIAAABkcnMvZG93bnJldi54bWxQSwECFAAU&#10;AAAACACHTuJAUi8eV7kBAABfAwAADgAAAAAAAAABACAAAAAmAQAAZHJzL2Uyb0RvYy54bWxQSwUG&#10;AAAAAAYABgBZAQAAUQUAAAAA&#10;">
                <v:fill on="f" focussize="0,0"/>
                <v:stroke on="f"/>
                <v:imagedata o:title=""/>
                <o:lock v:ext="edit" aspectratio="f"/>
                <v:textbox>
                  <w:txbxContent>
                    <w:p w14:paraId="73AF5CF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28.1       </w:t>
      </w:r>
    </w:p>
    <w:p w14:paraId="004652D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14:paraId="6AABD056">
      <w:pPr>
        <w:widowControl w:val="0"/>
        <w:tabs>
          <w:tab w:val="left" w:pos="1320"/>
        </w:tabs>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15" name="文本框 102"/>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14:paraId="1CA84A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02" o:spid="_x0000_s1026" o:spt="202" type="#_x0000_t202" style="position:absolute;left:0pt;margin-left:-9pt;margin-top:20.15pt;height:31.1pt;width:72pt;z-index:251763712;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kedSNcAAAAKAQAADwAAAAAAAAABACAAAAAiAAAAZHJzL2Rvd25yZXYueG1sUEsBAhQA&#10;FAAAAAgAh07iQK4YhA26AQAAXwMAAA4AAAAAAAAAAQAgAAAAJgEAAGRycy9lMm9Eb2MueG1sUEsF&#10;BgAAAAAGAAYAWQEAAFIFAAAAAA==&#10;">
                <v:fill on="f" focussize="0,0"/>
                <v:stroke on="f"/>
                <v:imagedata o:title=""/>
                <o:lock v:ext="edit" aspectratio="f"/>
                <v:textbox>
                  <w:txbxContent>
                    <w:p w14:paraId="1CA84A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28.2  </w:t>
      </w:r>
      <w:r>
        <w:rPr>
          <w:rFonts w:hint="eastAsia" w:ascii="宋体" w:hAnsi="宋体" w:eastAsia="宋体" w:cs="宋体"/>
          <w:b/>
          <w:bCs/>
          <w:color w:val="auto"/>
          <w:kern w:val="2"/>
          <w:sz w:val="22"/>
          <w:szCs w:val="22"/>
          <w:highlight w:val="none"/>
          <w:u w:val="dotted"/>
          <w:lang w:val="en-US" w:eastAsia="zh-CN" w:bidi="ar-SA"/>
        </w:rPr>
        <w:t xml:space="preserve">                                                                             </w:t>
      </w:r>
    </w:p>
    <w:p w14:paraId="340BE28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履约担保的有效期，是从提供履约担保之日起至合同工程竣工验收合格之日止。发包人应在担保有效期满后的14 天内将此担保退还给承包人。</w:t>
      </w:r>
    </w:p>
    <w:p w14:paraId="4E22CBB5">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16" name="文本框 10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21EECB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103" o:spid="_x0000_s1026" o:spt="202" type="#_x0000_t202" style="position:absolute;left:0pt;margin-left:-9pt;margin-top:19.6pt;height:39pt;width:72pt;z-index:251764736;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1uyQ+2AAAAAoBAAAPAAAAAAAAAAEAIAAAACIAAABkcnMvZG93bnJldi54bWxQSwECFAAU&#10;AAAACACHTuJAFOX9c7gBAABfAwAADgAAAAAAAAABACAAAAAnAQAAZHJzL2Uyb0RvYy54bWxQSwUG&#10;AAAAAAYABgBZAQAAUQUAAAAA&#10;">
                <v:fill on="f" focussize="0,0"/>
                <v:stroke on="f"/>
                <v:imagedata o:title=""/>
                <o:lock v:ext="edit" aspectratio="f"/>
                <v:textbox>
                  <w:txbxContent>
                    <w:p w14:paraId="121EECB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28.3  </w:t>
      </w:r>
      <w:r>
        <w:rPr>
          <w:rFonts w:hint="eastAsia" w:ascii="宋体" w:hAnsi="宋体" w:eastAsia="宋体" w:cs="宋体"/>
          <w:b/>
          <w:bCs/>
          <w:color w:val="auto"/>
          <w:kern w:val="2"/>
          <w:sz w:val="22"/>
          <w:szCs w:val="22"/>
          <w:highlight w:val="none"/>
          <w:u w:val="dotted"/>
          <w:lang w:val="en-US" w:eastAsia="zh-CN" w:bidi="ar-SA"/>
        </w:rPr>
        <w:t xml:space="preserve">                                                                             </w:t>
      </w:r>
    </w:p>
    <w:p w14:paraId="0BEF007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3C673E96">
      <w:pPr>
        <w:widowControl w:val="0"/>
        <w:tabs>
          <w:tab w:val="left" w:pos="540"/>
          <w:tab w:val="left" w:pos="7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17" name="文本框 104"/>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14:paraId="478B09A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104" o:spid="_x0000_s1026" o:spt="202" type="#_x0000_t202" style="position:absolute;left:0pt;margin-left:-9pt;margin-top:19.8pt;height:32.9pt;width:72pt;z-index:25176576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xO/mNgAAAAKAQAADwAAAAAAAAABACAAAAAiAAAAZHJzL2Rvd25yZXYueG1sUEsBAhQA&#10;FAAAAAgAh07iQA+OQDS5AQAAXwMAAA4AAAAAAAAAAQAgAAAAJwEAAGRycy9lMm9Eb2MueG1sUEsF&#10;BgAAAAAGAAYAWQEAAFIFAAAAAA==&#10;">
                <v:fill on="f" focussize="0,0"/>
                <v:stroke on="f"/>
                <v:imagedata o:title=""/>
                <o:lock v:ext="edit" aspectratio="f"/>
                <v:textbox>
                  <w:txbxContent>
                    <w:p w14:paraId="478B09A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28.4  </w:t>
      </w:r>
      <w:r>
        <w:rPr>
          <w:rFonts w:hint="eastAsia" w:ascii="宋体" w:hAnsi="宋体" w:eastAsia="宋体" w:cs="宋体"/>
          <w:b/>
          <w:bCs/>
          <w:color w:val="auto"/>
          <w:kern w:val="2"/>
          <w:sz w:val="22"/>
          <w:szCs w:val="22"/>
          <w:highlight w:val="none"/>
          <w:u w:val="dotted"/>
          <w:lang w:val="en-US" w:eastAsia="zh-CN" w:bidi="ar-SA"/>
        </w:rPr>
        <w:t xml:space="preserve">                                                                             </w:t>
      </w:r>
    </w:p>
    <w:p w14:paraId="2A78F78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按照第28.1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14:paraId="39F0F72E">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18" name="文本框 105"/>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4E81FE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05" o:spid="_x0000_s1026" o:spt="202" type="#_x0000_t202" style="position:absolute;left:0pt;margin-left:-9pt;margin-top:18.75pt;height:32.5pt;width:72pt;z-index:25176678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8MnY2AAAAAoBAAAPAAAAAAAAAAEAIAAAACIAAABkcnMvZG93bnJldi54bWxQSwECFAAU&#10;AAAACACHTuJAmgMfmrgBAABfAwAADgAAAAAAAAABACAAAAAnAQAAZHJzL2Uyb0RvYy54bWxQSwUG&#10;AAAAAAYABgBZAQAAUQUAAAAA&#10;">
                <v:fill on="f" focussize="0,0"/>
                <v:stroke on="f"/>
                <v:imagedata o:title=""/>
                <o:lock v:ext="edit" aspectratio="f"/>
                <v:textbox>
                  <w:txbxContent>
                    <w:p w14:paraId="4E81FE2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28.5  </w:t>
      </w:r>
      <w:r>
        <w:rPr>
          <w:rFonts w:hint="eastAsia" w:ascii="宋体" w:hAnsi="宋体" w:eastAsia="宋体" w:cs="宋体"/>
          <w:b/>
          <w:bCs/>
          <w:color w:val="auto"/>
          <w:kern w:val="2"/>
          <w:sz w:val="22"/>
          <w:szCs w:val="22"/>
          <w:highlight w:val="none"/>
          <w:u w:val="dotted"/>
          <w:lang w:val="en-US" w:eastAsia="zh-CN" w:bidi="ar-SA"/>
        </w:rPr>
        <w:t xml:space="preserve">                                                                             </w:t>
      </w:r>
    </w:p>
    <w:p w14:paraId="64B83FE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支付担保的有效期，是从提供支付担保之日起至发包人根据本合同约定支付完除质量保证金以外的全部款项之日止。承包人应在担保有效期满后的14天内将此担保退还给发包人。</w:t>
      </w:r>
    </w:p>
    <w:p w14:paraId="0F168753">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19" name="文本框 1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C2776F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106" o:spid="_x0000_s1026" o:spt="202" type="#_x0000_t202" style="position:absolute;left:0pt;margin-left:-9pt;margin-top:19.5pt;height:31.2pt;width:72pt;z-index:25176780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aQYtYAAAAKAQAADwAAAAAAAAABACAAAAAiAAAAZHJzL2Rvd25yZXYueG1sUEsBAhQAFAAA&#10;AAgAh07iQPdYRku4AQAAXwMAAA4AAAAAAAAAAQAgAAAAJQEAAGRycy9lMm9Eb2MueG1sUEsFBgAA&#10;AAAGAAYAWQEAAE8FAAAAAA==&#10;">
                <v:fill on="f" focussize="0,0"/>
                <v:stroke on="f"/>
                <v:imagedata o:title=""/>
                <o:lock v:ext="edit" aspectratio="f"/>
                <v:textbox>
                  <w:txbxContent>
                    <w:p w14:paraId="6C2776F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28.6  </w:t>
      </w:r>
      <w:r>
        <w:rPr>
          <w:rFonts w:hint="eastAsia" w:ascii="宋体" w:hAnsi="宋体" w:eastAsia="宋体" w:cs="宋体"/>
          <w:b/>
          <w:bCs/>
          <w:color w:val="auto"/>
          <w:kern w:val="2"/>
          <w:sz w:val="22"/>
          <w:szCs w:val="22"/>
          <w:highlight w:val="none"/>
          <w:u w:val="dotted"/>
          <w:lang w:val="en-US" w:eastAsia="zh-CN" w:bidi="ar-SA"/>
        </w:rPr>
        <w:t xml:space="preserve">                                                                             </w:t>
      </w:r>
    </w:p>
    <w:p w14:paraId="304B33A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0BD62637">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20" name="文本框 107"/>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5C012D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107" o:spid="_x0000_s1026" o:spt="202" type="#_x0000_t202" style="position:absolute;left:0pt;margin-left:-9pt;margin-top:19.15pt;height:33.3pt;width:72pt;z-index:251768832;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AE2KnXAAAACgEAAA8AAAAAAAAAAQAgAAAAIgAAAGRycy9kb3ducmV2LnhtbFBLAQIUABQA&#10;AAAIAIdO4kD0KJt6uAEAAF8DAAAOAAAAAAAAAAEAIAAAACYBAABkcnMvZTJvRG9jLnhtbFBLBQYA&#10;AAAABgAGAFkBAABQBQAAAAA=&#10;">
                <v:fill on="f" focussize="0,0"/>
                <v:stroke on="f"/>
                <v:imagedata o:title=""/>
                <o:lock v:ext="edit" aspectratio="f"/>
                <v:textbox>
                  <w:txbxContent>
                    <w:p w14:paraId="5C012D8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28.7  </w:t>
      </w:r>
      <w:r>
        <w:rPr>
          <w:rFonts w:hint="eastAsia" w:ascii="宋体" w:hAnsi="宋体" w:eastAsia="宋体" w:cs="宋体"/>
          <w:b/>
          <w:bCs/>
          <w:color w:val="auto"/>
          <w:kern w:val="2"/>
          <w:sz w:val="22"/>
          <w:szCs w:val="22"/>
          <w:highlight w:val="none"/>
          <w:u w:val="dotted"/>
          <w:lang w:val="en-US" w:eastAsia="zh-CN" w:bidi="ar-SA"/>
        </w:rPr>
        <w:t xml:space="preserve">                                                                             </w:t>
      </w:r>
    </w:p>
    <w:p w14:paraId="432F1C5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合同双方当事人均应确保合同工程担保有效期符合工期合理顺延的要求。若合同一方当事人未能保证延长担保有效期，另一方当事人可向其索赔担保的全部金额。</w:t>
      </w:r>
    </w:p>
    <w:p w14:paraId="4795EC1A">
      <w:pPr>
        <w:widowControl w:val="0"/>
        <w:tabs>
          <w:tab w:val="left" w:pos="1320"/>
        </w:tabs>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21" name="文本框 108"/>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14:paraId="7EE597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108" o:spid="_x0000_s1026" o:spt="202" type="#_x0000_t202" style="position:absolute;left:0pt;margin-left:-9pt;margin-top:20.1pt;height:26.7pt;width:72pt;z-index:251769856;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H3V1wAAAAkBAAAPAAAAAAAAAAEAIAAAACIAAABkcnMvZG93bnJldi54bWxQSwECFAAU&#10;AAAACACHTuJAqF/CGbkBAABfAwAADgAAAAAAAAABACAAAAAmAQAAZHJzL2Uyb0RvYy54bWxQSwUG&#10;AAAAAAYABgBZAQAAUQUAAAAA&#10;">
                <v:fill on="f" focussize="0,0"/>
                <v:stroke on="f"/>
                <v:imagedata o:title=""/>
                <o:lock v:ext="edit" aspectratio="f"/>
                <v:textbox>
                  <w:txbxContent>
                    <w:p w14:paraId="7EE597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28.8  </w:t>
      </w:r>
      <w:r>
        <w:rPr>
          <w:rFonts w:hint="eastAsia" w:ascii="宋体" w:hAnsi="宋体" w:eastAsia="宋体" w:cs="宋体"/>
          <w:b/>
          <w:bCs/>
          <w:color w:val="auto"/>
          <w:kern w:val="2"/>
          <w:sz w:val="22"/>
          <w:szCs w:val="22"/>
          <w:highlight w:val="none"/>
          <w:u w:val="dotted"/>
          <w:lang w:val="en-US" w:eastAsia="zh-CN" w:bidi="ar-SA"/>
        </w:rPr>
        <w:t xml:space="preserve">                                                                             </w:t>
      </w:r>
    </w:p>
    <w:p w14:paraId="4BF65BC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合同双方当事人在专用条款中约定担保内容、方式和责任等事项，并签订担保合同，作为本合同附件。</w:t>
      </w:r>
    </w:p>
    <w:p w14:paraId="65385A71">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A4B736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4" w:name="_Toc469384010"/>
      <w:bookmarkStart w:id="445" w:name="_Toc10624850"/>
      <w:r>
        <w:rPr>
          <w:rFonts w:hint="eastAsia" w:ascii="黑体" w:hAnsi="黑体" w:eastAsia="黑体" w:cs="黑体"/>
          <w:b w:val="0"/>
          <w:bCs/>
          <w:color w:val="auto"/>
          <w:kern w:val="0"/>
          <w:sz w:val="24"/>
          <w:szCs w:val="24"/>
          <w:highlight w:val="none"/>
          <w:lang w:val="en-US" w:eastAsia="zh-CN" w:bidi="ar-SA"/>
        </w:rPr>
        <w:t>29  发包人风险</w:t>
      </w:r>
      <w:bookmarkEnd w:id="444"/>
      <w:bookmarkEnd w:id="445"/>
    </w:p>
    <w:p w14:paraId="3DD48EA9">
      <w:pPr>
        <w:widowControl w:val="0"/>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22" name="文本框 1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32179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109" o:spid="_x0000_s1026" o:spt="202" type="#_x0000_t202" style="position:absolute;left:0pt;margin-left:-9pt;margin-top:17.85pt;height:31.2pt;width:72pt;z-index:251770880;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aOr41wAAAAkBAAAPAAAAAAAAAAEAIAAAACIAAABkcnMvZG93bnJldi54bWxQSwECFAAU&#10;AAAACACHTuJA61iVtbkBAABfAwAADgAAAAAAAAABACAAAAAmAQAAZHJzL2Uyb0RvYy54bWxQSwUG&#10;AAAAAAYABgBZAQAAUQUAAAAA&#10;">
                <v:fill on="f" focussize="0,0"/>
                <v:stroke on="f"/>
                <v:imagedata o:title=""/>
                <o:lock v:ext="edit" aspectratio="f"/>
                <v:textbox>
                  <w:txbxContent>
                    <w:p w14:paraId="532179F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29.1     </w:t>
      </w:r>
    </w:p>
    <w:p w14:paraId="28366E0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发包人应承担本合同中规定应由发包人承担的风险。</w:t>
      </w:r>
    </w:p>
    <w:p w14:paraId="7EC5A609">
      <w:pPr>
        <w:widowControl w:val="0"/>
        <w:adjustRightInd w:val="0"/>
        <w:snapToGrid w:val="0"/>
        <w:spacing w:line="420" w:lineRule="exact"/>
        <w:ind w:right="-24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29.2  </w:t>
      </w:r>
      <w:r>
        <w:rPr>
          <w:rFonts w:hint="eastAsia" w:ascii="宋体" w:hAnsi="宋体" w:eastAsia="宋体" w:cs="宋体"/>
          <w:b/>
          <w:bCs/>
          <w:color w:val="auto"/>
          <w:kern w:val="2"/>
          <w:sz w:val="22"/>
          <w:szCs w:val="22"/>
          <w:highlight w:val="none"/>
          <w:u w:val="dotted"/>
          <w:lang w:val="en-US" w:eastAsia="zh-CN" w:bidi="ar-SA"/>
        </w:rPr>
        <w:t xml:space="preserve">                                                                             </w:t>
      </w:r>
    </w:p>
    <w:p w14:paraId="49C94D5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23" name="文本框 110"/>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14:paraId="26B9BBB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110" o:spid="_x0000_s1026" o:spt="202" type="#_x0000_t202" style="position:absolute;left:0pt;margin-left:-9pt;margin-top:0.85pt;height:28.05pt;width:72pt;z-index:251771904;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EFTY1QAAAAgBAAAPAAAAAAAAAAEAIAAAACIAAABkcnMvZG93bnJldi54bWxQSwECFAAUAAAA&#10;CACHTuJAoyxjXrgBAABfAwAADgAAAAAAAAABACAAAAAkAQAAZHJzL2Uyb0RvYy54bWxQSwUGAAAA&#10;AAYABgBZAQAATgUAAAAA&#10;">
                <v:fill on="f" focussize="0,0"/>
                <v:stroke on="f"/>
                <v:imagedata o:title=""/>
                <o:lock v:ext="edit" aspectratio="f"/>
                <v:textbox>
                  <w:txbxContent>
                    <w:p w14:paraId="26B9BBB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自开工之日起至颁发工程接收证书之日止，发包人风险包括但不限于：</w:t>
      </w:r>
    </w:p>
    <w:p w14:paraId="3D699F2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（1）由于永久工程本身或施工而不可避免造成的财产（除工程本身、材料和工程设备和施工设备外）损失或损坏；</w:t>
      </w:r>
    </w:p>
    <w:p w14:paraId="61DC569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（2）由于发包人工作人员及其相关人员（除承包人外）的疏忽或违规造成的人员伤亡、财产损失或损坏；</w:t>
      </w:r>
    </w:p>
    <w:p w14:paraId="4377729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（3）由于发包人提前使用或占用永久工程或其部分造成的损失或损坏；</w:t>
      </w:r>
    </w:p>
    <w:p w14:paraId="18313F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（4）由于发包人提供或发包人负责的设计造成的对永久工程、材料和工程设备和施工设备的损失或损害；</w:t>
      </w:r>
    </w:p>
    <w:p w14:paraId="3F5BFD3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（5）由于地质、邻近建筑物、古树名木和物价上涨等非承包人原因造成施工过程中费用的增加。</w:t>
      </w:r>
    </w:p>
    <w:p w14:paraId="2FF49A1E">
      <w:pPr>
        <w:widowControl w:val="0"/>
        <w:adjustRightInd w:val="0"/>
        <w:snapToGrid w:val="0"/>
        <w:spacing w:line="420" w:lineRule="exact"/>
        <w:ind w:right="-240"/>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14:paraId="3891FC6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6" w:name="_Toc469384011"/>
      <w:bookmarkStart w:id="447" w:name="_Toc10624851"/>
      <w:r>
        <w:rPr>
          <w:rFonts w:hint="eastAsia" w:ascii="黑体" w:hAnsi="黑体" w:eastAsia="黑体" w:cs="黑体"/>
          <w:b w:val="0"/>
          <w:bCs/>
          <w:color w:val="auto"/>
          <w:kern w:val="0"/>
          <w:sz w:val="24"/>
          <w:szCs w:val="24"/>
          <w:highlight w:val="none"/>
          <w:lang w:val="en-US" w:eastAsia="zh-CN" w:bidi="ar-SA"/>
        </w:rPr>
        <w:t>30  承包人风险</w:t>
      </w:r>
      <w:bookmarkEnd w:id="446"/>
      <w:bookmarkEnd w:id="447"/>
    </w:p>
    <w:p w14:paraId="028BF81B">
      <w:pPr>
        <w:widowControl w:val="0"/>
        <w:tabs>
          <w:tab w:val="left" w:pos="1320"/>
          <w:tab w:val="left" w:pos="144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2928"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124" name="文本框 111"/>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14:paraId="20B7BE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5338C1C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1" o:spid="_x0000_s1026" o:spt="202" type="#_x0000_t202" style="position:absolute;left:0pt;margin-left:-10.5pt;margin-top:20.05pt;height:33.65pt;width:81pt;z-index:251772928;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SqsmdYAAAAKAQAADwAAAAAAAAABACAAAAAiAAAAZHJzL2Rvd25yZXYueG1sUEsBAhQAFAAA&#10;AAgAh07iQG9m3De4AQAAYAMAAA4AAAAAAAAAAQAgAAAAJQEAAGRycy9lMm9Eb2MueG1sUEsFBgAA&#10;AAAGAAYAWQEAAE8FAAAAAA==&#10;">
                <v:fill on="f" focussize="0,0"/>
                <v:stroke on="f"/>
                <v:imagedata o:title=""/>
                <o:lock v:ext="edit" aspectratio="f"/>
                <v:textbox>
                  <w:txbxContent>
                    <w:p w14:paraId="20B7BE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5338C1C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30.1      </w:t>
      </w:r>
    </w:p>
    <w:p w14:paraId="258ADE1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承包人应承担本合同中规定应由承包人承担的风险。</w:t>
      </w:r>
    </w:p>
    <w:p w14:paraId="0C4E7F59">
      <w:pPr>
        <w:widowControl w:val="0"/>
        <w:tabs>
          <w:tab w:val="left" w:pos="1320"/>
          <w:tab w:val="left" w:pos="144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25" name="文本框 112"/>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14:paraId="4BFBD41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112" o:spid="_x0000_s1026" o:spt="202" type="#_x0000_t202" style="position:absolute;left:0pt;margin-left:-9pt;margin-top:20.65pt;height:24.25pt;width:72pt;z-index:251773952;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vk+c1wAAAAkBAAAPAAAAAAAAAAEAIAAAACIAAABkcnMvZG93bnJldi54bWxQSwECFAAU&#10;AAAACACHTuJA91rGZLkBAABfAwAADgAAAAAAAAABACAAAAAmAQAAZHJzL2Uyb0RvYy54bWxQSwUG&#10;AAAAAAYABgBZAQAAUQUAAAAA&#10;">
                <v:fill on="f" focussize="0,0"/>
                <v:stroke on="f"/>
                <v:imagedata o:title=""/>
                <o:lock v:ext="edit" aspectratio="f"/>
                <v:textbox>
                  <w:txbxContent>
                    <w:p w14:paraId="4BFBD41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30.2  </w:t>
      </w:r>
      <w:r>
        <w:rPr>
          <w:rFonts w:hint="eastAsia" w:ascii="宋体" w:hAnsi="宋体" w:eastAsia="宋体" w:cs="宋体"/>
          <w:b/>
          <w:bCs/>
          <w:color w:val="auto"/>
          <w:kern w:val="2"/>
          <w:sz w:val="22"/>
          <w:szCs w:val="22"/>
          <w:highlight w:val="none"/>
          <w:u w:val="dotted"/>
          <w:lang w:val="en-US" w:eastAsia="zh-CN" w:bidi="ar-SA"/>
        </w:rPr>
        <w:t xml:space="preserve">                                                                                       </w:t>
      </w:r>
    </w:p>
    <w:p w14:paraId="17555FF4">
      <w:pPr>
        <w:widowControl w:val="0"/>
        <w:tabs>
          <w:tab w:val="left" w:pos="1440"/>
        </w:tabs>
        <w:adjustRightInd w:val="0"/>
        <w:snapToGrid w:val="0"/>
        <w:spacing w:line="420" w:lineRule="exact"/>
        <w:ind w:left="1619" w:leftChars="771" w:firstLine="2"/>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自开工之日起直到颁发工程接收证书之日止，承包人风险为：除第29条和第31条以外的人员伤亡以及财产（包括但不限于合同工程、材料、工程设备和施工设备）的损失或损坏。</w:t>
      </w:r>
    </w:p>
    <w:p w14:paraId="75B0BDFC">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5575E8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48" w:name="_Toc469384012"/>
      <w:bookmarkStart w:id="449" w:name="_Toc10624852"/>
      <w:r>
        <w:rPr>
          <w:rFonts w:hint="eastAsia" w:ascii="黑体" w:hAnsi="黑体" w:eastAsia="黑体" w:cs="黑体"/>
          <w:b w:val="0"/>
          <w:bCs/>
          <w:color w:val="auto"/>
          <w:kern w:val="0"/>
          <w:sz w:val="24"/>
          <w:szCs w:val="24"/>
          <w:highlight w:val="none"/>
          <w:lang w:val="en-US" w:eastAsia="zh-CN" w:bidi="ar-SA"/>
        </w:rPr>
        <w:t>31  不可抗力</w:t>
      </w:r>
      <w:bookmarkEnd w:id="448"/>
      <w:bookmarkEnd w:id="449"/>
    </w:p>
    <w:p w14:paraId="3B51C5B1">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31.1      </w:t>
      </w:r>
    </w:p>
    <w:p w14:paraId="6F58C25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不可抗力是指合同当事人在签订合同时不可预见，在合同履行过程中不可避免且不能克服的自然灾害和社会性突发事件，如地震、海啸、瘟疫、骚乱、戒严、暴动、战争等。</w:t>
      </w:r>
    </w:p>
    <w:p w14:paraId="7FB03B7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31.2  </w:t>
      </w:r>
      <w:r>
        <w:rPr>
          <w:rFonts w:hint="eastAsia" w:ascii="宋体" w:hAnsi="宋体" w:eastAsia="宋体" w:cs="宋体"/>
          <w:b/>
          <w:bCs/>
          <w:color w:val="auto"/>
          <w:kern w:val="2"/>
          <w:sz w:val="22"/>
          <w:szCs w:val="22"/>
          <w:highlight w:val="none"/>
          <w:u w:val="dotted"/>
          <w:lang w:val="en-US" w:eastAsia="zh-CN" w:bidi="ar-SA"/>
        </w:rPr>
        <w:t xml:space="preserve">                                                                                       </w:t>
      </w:r>
    </w:p>
    <w:p w14:paraId="55DD3D2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26" name="文本框 113"/>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14:paraId="3D695C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113" o:spid="_x0000_s1026" o:spt="202" type="#_x0000_t202" style="position:absolute;left:0pt;margin-left:-9pt;margin-top:0.6pt;height:38.8pt;width:72pt;z-index:251774976;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vtL+3VAAAACAEAAA8AAAAAAAAAAQAgAAAAIgAAAGRycy9kb3ducmV2LnhtbFBLAQIUABQA&#10;AAAIAIdO4kBGcsaaugEAAF8DAAAOAAAAAAAAAAEAIAAAACQBAABkcnMvZTJvRG9jLnhtbFBLBQYA&#10;AAAABgAGAFkBAABQBQAAAAA=&#10;">
                <v:fill on="f" focussize="0,0"/>
                <v:stroke on="f"/>
                <v:imagedata o:title=""/>
                <o:lock v:ext="edit" aspectratio="f"/>
                <v:textbox>
                  <w:txbxContent>
                    <w:p w14:paraId="3D695C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37CF6BA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31.3  </w:t>
      </w:r>
      <w:r>
        <w:rPr>
          <w:rFonts w:hint="eastAsia" w:ascii="宋体" w:hAnsi="宋体" w:eastAsia="宋体" w:cs="宋体"/>
          <w:b/>
          <w:bCs/>
          <w:color w:val="auto"/>
          <w:kern w:val="2"/>
          <w:sz w:val="22"/>
          <w:szCs w:val="22"/>
          <w:highlight w:val="none"/>
          <w:u w:val="dotted"/>
          <w:lang w:val="en-US" w:eastAsia="zh-CN" w:bidi="ar-SA"/>
        </w:rPr>
        <w:t xml:space="preserve">                                                                                       </w:t>
      </w:r>
    </w:p>
    <w:p w14:paraId="4509ECD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27" name="文本框 11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615A8CF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114" o:spid="_x0000_s1026" o:spt="202" type="#_x0000_t202" style="position:absolute;left:0pt;margin-left:-9pt;margin-top:1.75pt;height:54.6pt;width:72pt;z-index:251776000;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S66V1wAAAAkBAAAPAAAAAAAAAAEAIAAAACIAAABkcnMvZG93bnJldi54bWxQSwECFAAU&#10;AAAACACHTuJA/e2S4rkBAABfAwAADgAAAAAAAAABACAAAAAmAQAAZHJzL2Uyb0RvYy54bWxQSwUG&#10;AAAAAAYABgBZAQAAUQUAAAAA&#10;">
                <v:fill on="f" focussize="0,0"/>
                <v:stroke on="f"/>
                <v:imagedata o:title=""/>
                <o:lock v:ext="edit" aspectratio="f"/>
                <v:textbox>
                  <w:txbxContent>
                    <w:p w14:paraId="615A8CF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因不可抗力事件导致的费用，由合同双方当事人按照下列规定承担，并相应调整合同价款：</w:t>
      </w:r>
    </w:p>
    <w:p w14:paraId="6D8741F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（1）永久工程本身的损害、已运至施工场地的材料和工程设备的损害，以及因工程损害导致第三者人员伤亡和财产损失，由发包人承担；</w:t>
      </w:r>
    </w:p>
    <w:p w14:paraId="0606C7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（2）承包人施工设备和用于合同工程的周转材料损坏以及停工损失，由承包人承担；发包人提供的施工设备损坏，由发包人承担；</w:t>
      </w:r>
    </w:p>
    <w:p w14:paraId="2D1196A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（3）施工场地内的人员伤亡和本款第(1)点、第(2)点以外财产损失及其相关费用，由合同双方当事人各自承担；</w:t>
      </w:r>
    </w:p>
    <w:p w14:paraId="42B342A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（4）停工期间，承包人应监理工程师要求照管工程的费用，由发包人承担；</w:t>
      </w:r>
    </w:p>
    <w:p w14:paraId="33EF974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（5）工程所需的清理、修复费用，由发包人承担。</w:t>
      </w:r>
    </w:p>
    <w:p w14:paraId="0BD6168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28" name="文本框 115"/>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7B92D9C1">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115"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AKSI5fuAEAAF8DAAAOAAAAAAAAAAEAIAAAACYBAABkcnMvZTJvRG9jLnhtbFBLBQYA&#10;AAAABgAGAFkBAABQBQAAAAA=&#10;">
                <v:fill on="f" focussize="0,0"/>
                <v:stroke on="f"/>
                <v:imagedata o:title=""/>
                <o:lock v:ext="edit" aspectratio="f"/>
                <v:textbox>
                  <w:txbxContent>
                    <w:p w14:paraId="7B92D9C1">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31.4  </w:t>
      </w:r>
      <w:r>
        <w:rPr>
          <w:rFonts w:hint="eastAsia" w:ascii="宋体" w:hAnsi="宋体" w:eastAsia="宋体" w:cs="宋体"/>
          <w:b/>
          <w:bCs/>
          <w:color w:val="auto"/>
          <w:kern w:val="2"/>
          <w:sz w:val="22"/>
          <w:szCs w:val="22"/>
          <w:highlight w:val="none"/>
          <w:u w:val="dotted"/>
          <w:lang w:val="en-US" w:eastAsia="zh-CN" w:bidi="ar-SA"/>
        </w:rPr>
        <w:t xml:space="preserve">                                                                                       </w:t>
      </w:r>
    </w:p>
    <w:p w14:paraId="0932E4F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因发生不可抗力事件导致工期延误的，工期相应顺延；不能按期竣工的，承包人无需为此支付任何误期赔偿费。发包人要求赶工的，承包人应采取赶工措施，赶工费用由发包人支付。</w:t>
      </w:r>
    </w:p>
    <w:p w14:paraId="6ADF81B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29" name="文本框 1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41FBF4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116" o:spid="_x0000_s1026" o:spt="202" type="#_x0000_t202" style="position:absolute;left:0pt;margin-left:-9pt;margin-top:19.5pt;height:44.35pt;width:72pt;z-index:251778048;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nCGh1wAAAAoBAAAPAAAAAAAAAAEAIAAAACIAAABkcnMvZG93bnJldi54bWxQSwECFAAU&#10;AAAACACHTuJAzfF6JbkBAABfAwAADgAAAAAAAAABACAAAAAmAQAAZHJzL2Uyb0RvYy54bWxQSwUG&#10;AAAAAAYABgBZAQAAUQUAAAAA&#10;">
                <v:fill on="f" focussize="0,0"/>
                <v:stroke on="f"/>
                <v:imagedata o:title=""/>
                <o:lock v:ext="edit" aspectratio="f"/>
                <v:textbox>
                  <w:txbxContent>
                    <w:p w14:paraId="41FBF4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31.5 </w:t>
      </w:r>
      <w:r>
        <w:rPr>
          <w:rFonts w:hint="eastAsia" w:ascii="宋体" w:hAnsi="宋体" w:eastAsia="宋体" w:cs="宋体"/>
          <w:b/>
          <w:bCs/>
          <w:color w:val="auto"/>
          <w:kern w:val="2"/>
          <w:sz w:val="22"/>
          <w:szCs w:val="22"/>
          <w:highlight w:val="none"/>
          <w:u w:val="dotted"/>
          <w:lang w:val="en-US" w:eastAsia="zh-CN" w:bidi="ar-SA"/>
        </w:rPr>
        <w:t xml:space="preserve">                                                                                        </w:t>
      </w:r>
    </w:p>
    <w:p w14:paraId="5726946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合同任何一方当事人延迟履行合同后发生不可抗力事件的，不能免除另一方当事人因不可抗力造成损失的责任。</w:t>
      </w:r>
    </w:p>
    <w:p w14:paraId="2F6C59C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30" name="文本框 1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3DD8E2C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117" o:spid="_x0000_s1026" o:spt="202" type="#_x0000_t202" style="position:absolute;left:0pt;margin-left:-9pt;margin-top:19.5pt;height:44.35pt;width:72pt;z-index:25177907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BhGgh9uAEAAF8DAAAOAAAAAAAAAAEAIAAAACYBAABkcnMvZTJvRG9jLnhtbFBLBQYA&#10;AAAABgAGAFkBAABQBQAAAAA=&#10;">
                <v:fill on="f" focussize="0,0"/>
                <v:stroke on="f"/>
                <v:imagedata o:title=""/>
                <o:lock v:ext="edit" aspectratio="f"/>
                <v:textbox>
                  <w:txbxContent>
                    <w:p w14:paraId="3DD8E2C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31.6 </w:t>
      </w:r>
      <w:r>
        <w:rPr>
          <w:rFonts w:hint="eastAsia" w:ascii="宋体" w:hAnsi="宋体" w:eastAsia="宋体" w:cs="宋体"/>
          <w:b/>
          <w:bCs/>
          <w:color w:val="auto"/>
          <w:kern w:val="2"/>
          <w:sz w:val="22"/>
          <w:szCs w:val="22"/>
          <w:highlight w:val="none"/>
          <w:u w:val="dotted"/>
          <w:lang w:val="en-US" w:eastAsia="zh-CN" w:bidi="ar-SA"/>
        </w:rPr>
        <w:t xml:space="preserve">                                                                                       </w:t>
      </w:r>
    </w:p>
    <w:p w14:paraId="77B85E6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不可抗力事件发生后，合同双方当事人应采取措施尽量避免和减少由此发生的损失。因合同任何一方当事人没有采取有效措施而导致损失扩大的，则损失扩大部分由其自身承担。</w:t>
      </w:r>
    </w:p>
    <w:p w14:paraId="17CBC819">
      <w:pPr>
        <w:widowControl w:val="0"/>
        <w:adjustRightInd w:val="0"/>
        <w:snapToGrid w:val="0"/>
        <w:spacing w:line="420" w:lineRule="exact"/>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u w:val="single"/>
          <w:lang w:val="en-US" w:eastAsia="zh-CN" w:bidi="ar-SA"/>
        </w:rPr>
        <w:t xml:space="preserve">        </w:t>
      </w:r>
    </w:p>
    <w:p w14:paraId="3C4E105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0" w:name="_Toc469384013"/>
      <w:bookmarkStart w:id="451" w:name="_Toc10624853"/>
      <w:r>
        <w:rPr>
          <w:rFonts w:hint="eastAsia" w:ascii="黑体" w:hAnsi="黑体" w:eastAsia="黑体" w:cs="黑体"/>
          <w:b w:val="0"/>
          <w:bCs/>
          <w:color w:val="auto"/>
          <w:kern w:val="0"/>
          <w:sz w:val="24"/>
          <w:szCs w:val="24"/>
          <w:highlight w:val="none"/>
          <w:lang w:val="en-US" w:eastAsia="zh-CN" w:bidi="ar-SA"/>
        </w:rPr>
        <w:t>32  保险</w:t>
      </w:r>
      <w:bookmarkEnd w:id="450"/>
      <w:bookmarkEnd w:id="451"/>
    </w:p>
    <w:p w14:paraId="12513B27">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32.1      </w:t>
      </w:r>
    </w:p>
    <w:p w14:paraId="0D8FAED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31" name="文本框 11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6EF5FEC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18073C6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8" o:spid="_x0000_s1026" o:spt="202" type="#_x0000_t202" style="position:absolute;left:0pt;margin-left:-9pt;margin-top:0.6pt;height:31.2pt;width:81pt;z-index:251780096;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nwRtUAAAAIAQAADwAAAAAAAAABACAAAAAiAAAAZHJzL2Rvd25yZXYueG1sUEsBAhQAFAAA&#10;AAgAh07iQAdUFpK5AQAAYAMAAA4AAAAAAAAAAQAgAAAAJAEAAGRycy9lMm9Eb2MueG1sUEsFBgAA&#10;AAAGAAYAWQEAAE8FAAAAAA==&#10;">
                <v:fill on="f" focussize="0,0"/>
                <v:stroke on="f"/>
                <v:imagedata o:title=""/>
                <o:lock v:ext="edit" aspectratio="f"/>
                <v:textbox>
                  <w:txbxContent>
                    <w:p w14:paraId="6EF5FEC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18073C6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发包人应按照下列规定办理保险，并支付保险费：</w:t>
      </w:r>
    </w:p>
    <w:p w14:paraId="71FD48C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（1）工程开工前，为合同工程办理建筑工程一切险（加保第三者责任险）、安装工程一切险；</w:t>
      </w:r>
    </w:p>
    <w:p w14:paraId="0BE26D5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（2）工程开工前，为施工场地内的自有人员办理工伤保险、意外伤害保险；</w:t>
      </w:r>
    </w:p>
    <w:p w14:paraId="78D774E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保险期从办理保险之日起至工程竣工验收合格之日止。</w:t>
      </w:r>
    </w:p>
    <w:p w14:paraId="42BCFFD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（3）工程开工前，为合同工程办理工程质量保险；并由保险公司对工程质量、施工安全进行综合担保，以及聘请专业的团队进行工程建设全过程风险、质量控制。</w:t>
      </w:r>
    </w:p>
    <w:p w14:paraId="171DCA8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发包人可将其中部分事项委托给承包人办理，具体由合同双方当事人在专用条款中约定。除合同价款已包括外，由发包人承担所需保险费用，并向承包人支付合理利润。</w:t>
      </w:r>
    </w:p>
    <w:p w14:paraId="352D8BDA">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32.2  </w:t>
      </w:r>
      <w:r>
        <w:rPr>
          <w:rFonts w:hint="eastAsia" w:ascii="宋体" w:hAnsi="宋体" w:eastAsia="宋体" w:cs="宋体"/>
          <w:b/>
          <w:bCs/>
          <w:color w:val="auto"/>
          <w:kern w:val="2"/>
          <w:sz w:val="22"/>
          <w:szCs w:val="22"/>
          <w:highlight w:val="none"/>
          <w:u w:val="dotted"/>
          <w:lang w:val="en-US" w:eastAsia="zh-CN" w:bidi="ar-SA"/>
        </w:rPr>
        <w:t xml:space="preserve">                                                                                                        </w:t>
      </w:r>
    </w:p>
    <w:p w14:paraId="6BAA232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32" name="文本框 119"/>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14:paraId="75AC49A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626BA09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119" o:spid="_x0000_s1026" o:spt="202" type="#_x0000_t202" style="position:absolute;left:0pt;margin-left:-9pt;margin-top:0.05pt;height:37.65pt;width:81pt;z-index:251781120;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TssW1AAAAAcBAAAPAAAAAAAAAAEAIAAAACIAAABkcnMvZG93bnJldi54bWxQSwECFAAUAAAA&#10;CACHTuJAPnKNH7kBAABgAwAADgAAAAAAAAABACAAAAAjAQAAZHJzL2Uyb0RvYy54bWxQSwUGAAAA&#10;AAYABgBZAQAATgUAAAAA&#10;">
                <v:fill on="f" focussize="0,0"/>
                <v:stroke on="f"/>
                <v:imagedata o:title=""/>
                <o:lock v:ext="edit" aspectratio="f"/>
                <v:textbox>
                  <w:txbxContent>
                    <w:p w14:paraId="75AC49A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626BA09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承包人应按照下列规定办理保险，并支付保险费：</w:t>
      </w:r>
    </w:p>
    <w:p w14:paraId="604C01E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开工前，为施工场地内自有人员（包括分包人在内）办理工伤保险、意外伤害保险（主要为从事危险作业的人员办理，如涉及安全风险系数较高的深基坑、高空作业等），以及安全生产责任险等法律法规明确要求应当由承包人办理的保险；</w:t>
      </w:r>
    </w:p>
    <w:p w14:paraId="2A97AA7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(2)为施工场地内的自有施工设备、第32.1款第(1)点建筑工程一切险以外采购进场的材料和工程设备等办理保险。</w:t>
      </w:r>
    </w:p>
    <w:p w14:paraId="0C11833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保险期从开工之日起至工程竣工验收合格之日止。</w:t>
      </w:r>
    </w:p>
    <w:p w14:paraId="78D4D713">
      <w:pPr>
        <w:widowControl w:val="0"/>
        <w:tabs>
          <w:tab w:val="left" w:pos="108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33" name="文本框 120"/>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709558B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120" o:spid="_x0000_s1026" o:spt="202" type="#_x0000_t202" style="position:absolute;left:0pt;margin-left:-9pt;margin-top:22.6pt;height:42.6pt;width:72pt;z-index:251782144;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yRneNgAAAAKAQAADwAAAAAAAAABACAAAAAiAAAAZHJzL2Rvd25yZXYueG1sUEsBAhQAFAAA&#10;AAgAh07iQFQHMCS2AQAAXwMAAA4AAAAAAAAAAQAgAAAAJwEAAGRycy9lMm9Eb2MueG1sUEsFBgAA&#10;AAAGAAYAWQEAAE8FAAAAAA==&#10;">
                <v:fill on="f" focussize="0,0"/>
                <v:stroke on="f"/>
                <v:imagedata o:title=""/>
                <o:lock v:ext="edit" aspectratio="f"/>
                <v:textbox>
                  <w:txbxContent>
                    <w:p w14:paraId="709558B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32.3  </w:t>
      </w:r>
      <w:r>
        <w:rPr>
          <w:rFonts w:hint="eastAsia" w:ascii="宋体" w:hAnsi="宋体" w:eastAsia="宋体" w:cs="宋体"/>
          <w:b/>
          <w:bCs/>
          <w:color w:val="auto"/>
          <w:kern w:val="2"/>
          <w:sz w:val="22"/>
          <w:szCs w:val="22"/>
          <w:highlight w:val="none"/>
          <w:u w:val="dotted"/>
          <w:lang w:val="en-US" w:eastAsia="zh-CN" w:bidi="ar-SA"/>
        </w:rPr>
        <w:t xml:space="preserve">                                                                                      </w:t>
      </w:r>
    </w:p>
    <w:p w14:paraId="744B7EB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合同一方当事人应按照本合同要求向另一方当事人提供有效的投保保险单和保险凭证。</w:t>
      </w:r>
    </w:p>
    <w:p w14:paraId="180CFF2B">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34" name="文本框 12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A16CED7">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121" o:spid="_x0000_s1026" o:spt="202" type="#_x0000_t202" style="position:absolute;left:0pt;margin-left:-9pt;margin-top:18.65pt;height:31.2pt;width:72pt;z-index:251783168;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KJDi1wAAAAkBAAAPAAAAAAAAAAEAIAAAACIAAABkcnMvZG93bnJldi54bWxQSwECFAAU&#10;AAAACACHTuJA9qQql7kBAABfAwAADgAAAAAAAAABACAAAAAmAQAAZHJzL2Uyb0RvYy54bWxQSwUG&#10;AAAAAAYABgBZAQAAUQUAAAAA&#10;">
                <v:fill on="f" focussize="0,0"/>
                <v:stroke on="f"/>
                <v:imagedata o:title=""/>
                <o:lock v:ext="edit" aspectratio="f"/>
                <v:textbox>
                  <w:txbxContent>
                    <w:p w14:paraId="2A16CED7">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32.4  </w:t>
      </w:r>
      <w:r>
        <w:rPr>
          <w:rFonts w:hint="eastAsia" w:ascii="宋体" w:hAnsi="宋体" w:eastAsia="宋体" w:cs="宋体"/>
          <w:b/>
          <w:bCs/>
          <w:color w:val="auto"/>
          <w:kern w:val="2"/>
          <w:sz w:val="22"/>
          <w:szCs w:val="22"/>
          <w:highlight w:val="none"/>
          <w:u w:val="dotted"/>
          <w:lang w:val="en-US" w:eastAsia="zh-CN" w:bidi="ar-SA"/>
        </w:rPr>
        <w:t xml:space="preserve">                                                                                      </w:t>
      </w:r>
    </w:p>
    <w:p w14:paraId="32CA8F4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合同双方当事人应遵守本条规定办理有关保险事项。如果未按规定投保的，应按下列规定补偿：</w:t>
      </w:r>
    </w:p>
    <w:p w14:paraId="5CC6BB0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(1)由于负有投保义务的合同一方当事人未按合同约定办理保险，或未能使保险持续有效的，则另一方当事人可代为办理，所需费用由对方当事人承担；</w:t>
      </w:r>
    </w:p>
    <w:p w14:paraId="764A7C8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(2)由于负有投保义务的合同一方当事人未按合同约定办理某项保险，导致受益人未能得到保险人的赔偿，则该项保险金应由负有投保义务的一方当事人支付。</w:t>
      </w:r>
    </w:p>
    <w:p w14:paraId="6386A03B">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35" name="文本框 122"/>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6EC40C7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122" o:spid="_x0000_s1026" o:spt="202" type="#_x0000_t202" style="position:absolute;left:0pt;margin-left:-9pt;margin-top:23pt;height:42.6pt;width:72pt;z-index:251784192;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PKUX1wAAAAoBAAAPAAAAAAAAAAEAIAAAACIAAABkcnMvZG93bnJldi54bWxQSwECFAAU&#10;AAAACACHTuJAZWBmF7kBAABfAwAADgAAAAAAAAABACAAAAAmAQAAZHJzL2Uyb0RvYy54bWxQSwUG&#10;AAAAAAYABgBZAQAAUQUAAAAA&#10;">
                <v:fill on="f" focussize="0,0"/>
                <v:stroke on="f"/>
                <v:imagedata o:title=""/>
                <o:lock v:ext="edit" aspectratio="f"/>
                <v:textbox>
                  <w:txbxContent>
                    <w:p w14:paraId="6EC40C7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583C1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当合同工程发生保险事故时,被保险人应及时通知保险人，并提供有关资料。合同双方当事人有责任采取合理有效措施防止或减少损失，并应相互协助做好向保险人的报告和理赔工作。</w:t>
      </w:r>
    </w:p>
    <w:p w14:paraId="5F64907A">
      <w:pPr>
        <w:widowControl w:val="0"/>
        <w:tabs>
          <w:tab w:val="left" w:pos="1320"/>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32.6  </w:t>
      </w:r>
      <w:r>
        <w:rPr>
          <w:rFonts w:hint="eastAsia" w:ascii="宋体" w:hAnsi="宋体" w:eastAsia="宋体" w:cs="宋体"/>
          <w:b/>
          <w:bCs/>
          <w:color w:val="auto"/>
          <w:kern w:val="2"/>
          <w:sz w:val="22"/>
          <w:szCs w:val="22"/>
          <w:highlight w:val="none"/>
          <w:u w:val="dotted"/>
          <w:lang w:val="en-US" w:eastAsia="zh-CN" w:bidi="ar-SA"/>
        </w:rPr>
        <w:t xml:space="preserve">                                                                                      </w:t>
      </w:r>
    </w:p>
    <w:p w14:paraId="15D2B26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36" name="文本框 12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14:paraId="7CB3C38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123" o:spid="_x0000_s1026" o:spt="202" type="#_x0000_t202" style="position:absolute;left:0pt;margin-left:-9pt;margin-top:0pt;height:43.5pt;width:72pt;z-index:251785216;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0QCftQAAAAHAQAADwAAAAAAAAABACAAAAAiAAAAZHJzL2Rvd25yZXYueG1sUEsBAhQAFAAA&#10;AAgAh07iQBbyrMC6AQAAXwMAAA4AAAAAAAAAAQAgAAAAIwEAAGRycy9lMm9Eb2MueG1sUEsFBgAA&#10;AAAGAAYAWQEAAE8FAAAAAA==&#10;">
                <v:fill on="f" focussize="0,0"/>
                <v:stroke on="f"/>
                <v:imagedata o:title=""/>
                <o:lock v:ext="edit" aspectratio="f"/>
                <v:textbox>
                  <w:txbxContent>
                    <w:p w14:paraId="7CB3C38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当合同工程的性质、规模或计划发生变更时，被保险人应及时通知保险人，并在合同履行期间按照本条规定保证足够的保险额，由此造成的费用由责任方承担。</w:t>
      </w:r>
    </w:p>
    <w:p w14:paraId="386D716E">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32.7  </w:t>
      </w:r>
      <w:r>
        <w:rPr>
          <w:rFonts w:hint="eastAsia" w:ascii="宋体" w:hAnsi="宋体" w:eastAsia="宋体" w:cs="宋体"/>
          <w:b/>
          <w:bCs/>
          <w:color w:val="auto"/>
          <w:kern w:val="2"/>
          <w:sz w:val="22"/>
          <w:szCs w:val="22"/>
          <w:highlight w:val="none"/>
          <w:u w:val="dotted"/>
          <w:lang w:val="en-US" w:eastAsia="zh-CN" w:bidi="ar-SA"/>
        </w:rPr>
        <w:t xml:space="preserve">                                                                                      </w:t>
      </w:r>
    </w:p>
    <w:p w14:paraId="7640555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86240"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37" name="文本框 12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14:paraId="58A5DD9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124" o:spid="_x0000_s1026" o:spt="202" type="#_x0000_t202" style="position:absolute;left:0pt;margin-left:-5.25pt;margin-top:1.1pt;height:33.5pt;width:72pt;z-index:251786240;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T9TUdUAAAAIAQAADwAAAAAAAAABACAAAAAiAAAAZHJzL2Rvd25yZXYueG1sUEsBAhQAFAAA&#10;AAgAh07iQHrfg625AQAAXwMAAA4AAAAAAAAAAQAgAAAAJAEAAGRycy9lMm9Eb2MueG1sUEsFBgAA&#10;AAAGAAYAWQEAAE8FAAAAAA==&#10;">
                <v:fill on="f" focussize="0,0"/>
                <v:stroke on="f"/>
                <v:imagedata o:title=""/>
                <o:lock v:ext="edit" aspectratio="f"/>
                <v:textbox>
                  <w:txbxContent>
                    <w:p w14:paraId="58A5DD9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从保险人收到的因合同工程本身损失或损坏的保险金,应专项用于修复合同工程的损失或损坏，或作为对未能修复合同工程这些损失或损坏的补偿。</w:t>
      </w:r>
    </w:p>
    <w:p w14:paraId="1B937A44">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38" name="文本框 125"/>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14:paraId="755EDB68">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125" o:spid="_x0000_s1026" o:spt="202" type="#_x0000_t202" style="position:absolute;left:0pt;margin-left:-9pt;margin-top:17.9pt;height:32.05pt;width:72pt;z-index:251787264;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XcPLjWAAAACQEAAA8AAAAAAAAAAQAgAAAAIgAAAGRycy9kb3ducmV2LnhtbFBLAQIUABQA&#10;AAAIAIdO4kDgHgAwuQEAAF8DAAAOAAAAAAAAAAEAIAAAACUBAABkcnMvZTJvRG9jLnhtbFBLBQYA&#10;AAAABgAGAFkBAABQBQAAAAA=&#10;">
                <v:fill on="f" focussize="0,0"/>
                <v:stroke on="f"/>
                <v:imagedata o:title=""/>
                <o:lock v:ext="edit" aspectratio="f"/>
                <v:textbox>
                  <w:txbxContent>
                    <w:p w14:paraId="755EDB68">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32.8  </w:t>
      </w:r>
      <w:r>
        <w:rPr>
          <w:rFonts w:hint="eastAsia" w:ascii="宋体" w:hAnsi="宋体" w:eastAsia="宋体" w:cs="宋体"/>
          <w:b/>
          <w:bCs/>
          <w:color w:val="auto"/>
          <w:kern w:val="2"/>
          <w:sz w:val="22"/>
          <w:szCs w:val="22"/>
          <w:highlight w:val="none"/>
          <w:u w:val="dotted"/>
          <w:lang w:val="en-US" w:eastAsia="zh-CN" w:bidi="ar-SA"/>
        </w:rPr>
        <w:t xml:space="preserve">                                                                                      </w:t>
      </w:r>
    </w:p>
    <w:p w14:paraId="3B7BBCB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具体投保内容、保险金、保险期限及相关责任等事项，合同双方当事人应在专用条款中约定。</w:t>
      </w:r>
    </w:p>
    <w:p w14:paraId="7AE1E037">
      <w:pPr>
        <w:widowControl w:val="0"/>
        <w:adjustRightInd w:val="0"/>
        <w:snapToGrid w:val="0"/>
        <w:spacing w:line="420" w:lineRule="exact"/>
        <w:ind w:right="-238"/>
        <w:jc w:val="both"/>
        <w:outlineLvl w:val="1"/>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BBE3411">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52" w:name="_Toc469384014"/>
      <w:bookmarkStart w:id="453" w:name="_Toc10624854"/>
      <w:r>
        <w:rPr>
          <w:rFonts w:hint="eastAsia" w:ascii="方正小标宋_GBK" w:hAnsi="方正小标宋_GBK" w:eastAsia="方正小标宋_GBK" w:cs="方正小标宋_GBK"/>
          <w:b/>
          <w:bCs/>
          <w:color w:val="auto"/>
          <w:sz w:val="24"/>
          <w:szCs w:val="24"/>
          <w:highlight w:val="none"/>
        </w:rPr>
        <w:t>四、工  期</w:t>
      </w:r>
      <w:bookmarkEnd w:id="452"/>
      <w:bookmarkEnd w:id="453"/>
    </w:p>
    <w:p w14:paraId="2766720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4" w:name="_Toc469384015"/>
      <w:bookmarkStart w:id="455" w:name="_Toc10624855"/>
      <w:r>
        <w:rPr>
          <w:rFonts w:hint="eastAsia" w:ascii="黑体" w:hAnsi="黑体" w:eastAsia="黑体" w:cs="黑体"/>
          <w:b w:val="0"/>
          <w:bCs/>
          <w:color w:val="auto"/>
          <w:kern w:val="0"/>
          <w:sz w:val="24"/>
          <w:szCs w:val="24"/>
          <w:highlight w:val="none"/>
          <w:lang w:val="en-US" w:eastAsia="zh-CN" w:bidi="ar-SA"/>
        </w:rPr>
        <w:t>33  进度计划和报告</w:t>
      </w:r>
      <w:bookmarkEnd w:id="454"/>
      <w:bookmarkEnd w:id="455"/>
    </w:p>
    <w:p w14:paraId="4653E13D">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39" name="文本框 12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27D55A94">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126" o:spid="_x0000_s1026" o:spt="202" type="#_x0000_t202" style="position:absolute;left:0pt;margin-left:-9pt;margin-top:22.35pt;height:32.5pt;width:72pt;z-index:251788288;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dxuDvYAAAACgEAAA8AAAAAAAAAAQAgAAAAIgAAAGRycy9kb3ducmV2LnhtbFBLAQIU&#10;ABQAAAAIAIdO4kD5Md8gugEAAF8DAAAOAAAAAAAAAAEAIAAAACcBAABkcnMvZTJvRG9jLnhtbFBL&#10;BQYAAAAABgAGAFkBAABTBQAAAAA=&#10;">
                <v:fill on="f" focussize="0,0"/>
                <v:stroke on="f"/>
                <v:imagedata o:title=""/>
                <o:lock v:ext="edit" aspectratio="f"/>
                <v:textbox>
                  <w:txbxContent>
                    <w:p w14:paraId="27D55A94">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33.1      </w:t>
      </w:r>
    </w:p>
    <w:p w14:paraId="09E632D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签订本合同后的31天内，向监理工程师提交一式两份施工组织设计和合同工程进度计划，向发包人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358E0977">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40" name="文本框 127"/>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27F829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127" o:spid="_x0000_s1026" o:spt="202" type="#_x0000_t202" style="position:absolute;left:0pt;margin-left:-9pt;margin-top:22.15pt;height:37.15pt;width:72pt;z-index:251789312;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ftHjXAAAACgEAAA8AAAAAAAAAAQAgAAAAIgAAAGRycy9kb3ducmV2LnhtbFBLAQIUABQA&#10;AAAIAIdO4kDsvCi+uAEAAF8DAAAOAAAAAAAAAAEAIAAAACYBAABkcnMvZTJvRG9jLnhtbFBLBQYA&#10;AAAABgAGAFkBAABQBQAAAAA=&#10;">
                <v:fill on="f" focussize="0,0"/>
                <v:stroke on="f"/>
                <v:imagedata o:title=""/>
                <o:lock v:ext="edit" aspectratio="f"/>
                <v:textbox>
                  <w:txbxContent>
                    <w:p w14:paraId="27F829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33.2  </w:t>
      </w:r>
      <w:r>
        <w:rPr>
          <w:rFonts w:hint="eastAsia" w:ascii="宋体" w:hAnsi="宋体" w:eastAsia="宋体" w:cs="宋体"/>
          <w:b/>
          <w:bCs/>
          <w:color w:val="auto"/>
          <w:kern w:val="2"/>
          <w:sz w:val="22"/>
          <w:szCs w:val="22"/>
          <w:highlight w:val="none"/>
          <w:u w:val="dotted"/>
          <w:lang w:val="en-US" w:eastAsia="zh-CN" w:bidi="ar-SA"/>
        </w:rPr>
        <w:t xml:space="preserve">                                                                                       </w:t>
      </w:r>
    </w:p>
    <w:p w14:paraId="41D8FAA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承包人应按照经监理工程师确认并由其报发包人批准的进度计划组织施工，接受监理工程师对工程进度的监督和检查。</w:t>
      </w:r>
    </w:p>
    <w:p w14:paraId="4E40EC9A">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41" name="文本框 12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3B2832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128" o:spid="_x0000_s1026" o:spt="202" type="#_x0000_t202" style="position:absolute;left:0pt;margin-left:-9pt;margin-top:20.9pt;height:43.75pt;width:72pt;z-index:251790336;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ubgI1wAAAAoBAAAPAAAAAAAAAAEAIAAAACIAAABkcnMvZG93bnJldi54bWxQSwECFAAU&#10;AAAACACHTuJAulbAh7kBAABfAwAADgAAAAAAAAABACAAAAAmAQAAZHJzL2Uyb0RvYy54bWxQSwUG&#10;AAAAAAYABgBZAQAAUQUAAAAA&#10;">
                <v:fill on="f" focussize="0,0"/>
                <v:stroke on="f"/>
                <v:imagedata o:title=""/>
                <o:lock v:ext="edit" aspectratio="f"/>
                <v:textbox>
                  <w:txbxContent>
                    <w:p w14:paraId="3B2832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33.3  </w:t>
      </w:r>
      <w:r>
        <w:rPr>
          <w:rFonts w:hint="eastAsia" w:ascii="宋体" w:hAnsi="宋体" w:eastAsia="宋体" w:cs="宋体"/>
          <w:b/>
          <w:bCs/>
          <w:color w:val="auto"/>
          <w:kern w:val="2"/>
          <w:sz w:val="22"/>
          <w:szCs w:val="22"/>
          <w:highlight w:val="none"/>
          <w:u w:val="dotted"/>
          <w:lang w:val="en-US" w:eastAsia="zh-CN" w:bidi="ar-SA"/>
        </w:rPr>
        <w:t xml:space="preserve">                                                                                      </w:t>
      </w:r>
    </w:p>
    <w:p w14:paraId="4378BF2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14:paraId="277EE51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（1）施工、安装、试验以及其他发包人工作等进展情况的图表和说明；</w:t>
      </w:r>
    </w:p>
    <w:p w14:paraId="1CF5ECE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（2）材料、设备、货物的采购和制造商名称、地点以及进入现场情况；</w:t>
      </w:r>
    </w:p>
    <w:p w14:paraId="7DCBF9A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（3）索赔情况和安全统计；</w:t>
      </w:r>
    </w:p>
    <w:p w14:paraId="6B23EC0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（4）实际进度与计划进度的对比，以及为消除延误正在或准备采取的措施。</w:t>
      </w:r>
    </w:p>
    <w:p w14:paraId="20F23E37">
      <w:pPr>
        <w:widowControl w:val="0"/>
        <w:tabs>
          <w:tab w:val="left" w:pos="1620"/>
        </w:tabs>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42" name="文本框 129"/>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14:paraId="24CD489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129" o:spid="_x0000_s1026" o:spt="202" type="#_x0000_t202" style="position:absolute;left:0pt;margin-left:-9pt;margin-top:19.2pt;height:50.75pt;width:72pt;z-index:251791360;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6aVQ2AAAAAoBAAAPAAAAAAAAAAEAIAAAACIAAABkcnMvZG93bnJldi54bWxQSwECFAAU&#10;AAAACACHTuJA6LHdcLgBAABfAwAADgAAAAAAAAABACAAAAAnAQAAZHJzL2Uyb0RvYy54bWxQSwUG&#10;AAAAAAYABgBZAQAAUQUAAAAA&#10;">
                <v:fill on="f" focussize="0,0"/>
                <v:stroke on="f"/>
                <v:imagedata o:title=""/>
                <o:lock v:ext="edit" aspectratio="f"/>
                <v:textbox>
                  <w:txbxContent>
                    <w:p w14:paraId="24CD489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33.4  </w:t>
      </w:r>
      <w:r>
        <w:rPr>
          <w:rFonts w:hint="eastAsia" w:ascii="宋体" w:hAnsi="宋体" w:eastAsia="宋体" w:cs="宋体"/>
          <w:color w:val="auto"/>
          <w:kern w:val="2"/>
          <w:sz w:val="22"/>
          <w:szCs w:val="22"/>
          <w:highlight w:val="none"/>
          <w:u w:val="dotted"/>
          <w:lang w:val="en-US" w:eastAsia="zh-CN" w:bidi="ar-SA"/>
        </w:rPr>
        <w:t xml:space="preserve">                                                                                       </w:t>
      </w:r>
    </w:p>
    <w:p w14:paraId="3B802FC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27F19524">
      <w:pPr>
        <w:widowControl w:val="0"/>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2AA6874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6" w:name="_Toc10624856"/>
      <w:bookmarkStart w:id="457" w:name="_Toc469384016"/>
      <w:r>
        <w:rPr>
          <w:rFonts w:hint="eastAsia" w:ascii="黑体" w:hAnsi="黑体" w:eastAsia="黑体" w:cs="黑体"/>
          <w:b w:val="0"/>
          <w:bCs/>
          <w:color w:val="auto"/>
          <w:kern w:val="0"/>
          <w:sz w:val="24"/>
          <w:szCs w:val="24"/>
          <w:highlight w:val="none"/>
          <w:lang w:val="en-US" w:eastAsia="zh-CN" w:bidi="ar-SA"/>
        </w:rPr>
        <w:t>34  开工</w:t>
      </w:r>
      <w:bookmarkEnd w:id="456"/>
      <w:bookmarkEnd w:id="457"/>
    </w:p>
    <w:p w14:paraId="1F3FA059">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43" name="文本框 130"/>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14:paraId="3E83C1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130" o:spid="_x0000_s1026" o:spt="202" type="#_x0000_t202" style="position:absolute;left:0pt;margin-left:-9pt;margin-top:19.45pt;height:24.45pt;width:63pt;z-index:251792384;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fiVgNUAAAAJAQAADwAAAAAAAAABACAAAAAiAAAAZHJzL2Rvd25yZXYueG1sUEsBAhQAFAAAAAgA&#10;h07iQPo6WyC2AQAAXwMAAA4AAAAAAAAAAQAgAAAAJAEAAGRycy9lMm9Eb2MueG1sUEsFBgAAAAAG&#10;AAYAWQEAAEwFAAAAAA==&#10;">
                <v:fill on="f" focussize="0,0"/>
                <v:stroke on="f"/>
                <v:imagedata o:title=""/>
                <o:lock v:ext="edit" aspectratio="f"/>
                <v:textbox>
                  <w:txbxContent>
                    <w:p w14:paraId="3E83C1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34.1    </w:t>
      </w:r>
    </w:p>
    <w:p w14:paraId="143277A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工程开工必须具备法律规定的开工条件，并已经领取了施工许可证。</w:t>
      </w:r>
    </w:p>
    <w:p w14:paraId="7A870C24">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44" name="文本框 1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0B7266A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131" o:spid="_x0000_s1026" o:spt="202" type="#_x0000_t202" style="position:absolute;left:0pt;margin-left:-9pt;margin-top:19.1pt;height:23.4pt;width:63pt;z-index:251793408;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Fm6V9YAAAAJAQAADwAAAAAAAAABACAAAAAiAAAAZHJzL2Rvd25yZXYueG1sUEsBAhQAFAAA&#10;AAgAh07iQGI1r+q4AQAAXwMAAA4AAAAAAAAAAQAgAAAAJQEAAGRycy9lMm9Eb2MueG1sUEsFBgAA&#10;AAAGAAYAWQEAAE8FAAAAAA==&#10;">
                <v:fill on="f" focussize="0,0"/>
                <v:stroke on="f"/>
                <v:imagedata o:title=""/>
                <o:lock v:ext="edit" aspectratio="f"/>
                <v:textbox>
                  <w:txbxContent>
                    <w:p w14:paraId="0B7266A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34.2  </w:t>
      </w:r>
      <w:r>
        <w:rPr>
          <w:rFonts w:hint="eastAsia" w:ascii="宋体" w:hAnsi="宋体" w:eastAsia="宋体" w:cs="宋体"/>
          <w:b/>
          <w:bCs/>
          <w:color w:val="auto"/>
          <w:kern w:val="2"/>
          <w:sz w:val="22"/>
          <w:szCs w:val="22"/>
          <w:highlight w:val="none"/>
          <w:u w:val="dotted"/>
          <w:lang w:val="en-US" w:eastAsia="zh-CN" w:bidi="ar-SA"/>
        </w:rPr>
        <w:t xml:space="preserve">                                                                                       </w:t>
      </w:r>
    </w:p>
    <w:p w14:paraId="416C2D4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07C04EF8">
      <w:pPr>
        <w:widowControl w:val="0"/>
        <w:tabs>
          <w:tab w:val="left" w:pos="1320"/>
        </w:tabs>
        <w:adjustRightInd w:val="0"/>
        <w:snapToGrid w:val="0"/>
        <w:spacing w:line="420" w:lineRule="exact"/>
        <w:ind w:right="3"/>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45" name="文本框 13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F2A8D7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132" o:spid="_x0000_s1026" o:spt="202" type="#_x0000_t202" style="position:absolute;left:0pt;margin-left:-9pt;margin-top:21.25pt;height:46.8pt;width:72pt;z-index:251794432;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egpODYAAAACgEAAA8AAAAAAAAAAQAgAAAAIgAAAGRycy9kb3ducmV2LnhtbFBLAQIU&#10;ABQAAAAIAIdO4kCwEQVJugEAAF8DAAAOAAAAAAAAAAEAIAAAACcBAABkcnMvZTJvRG9jLnhtbFBL&#10;BQYAAAAABgAGAFkBAABTBQAAAAA=&#10;">
                <v:fill on="f" focussize="0,0"/>
                <v:stroke on="f"/>
                <v:imagedata o:title=""/>
                <o:lock v:ext="edit" aspectratio="f"/>
                <v:textbox>
                  <w:txbxContent>
                    <w:p w14:paraId="4F2A8D7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34.3  </w:t>
      </w:r>
      <w:r>
        <w:rPr>
          <w:rFonts w:hint="eastAsia" w:ascii="宋体" w:hAnsi="宋体" w:eastAsia="宋体" w:cs="宋体"/>
          <w:b/>
          <w:bCs/>
          <w:color w:val="auto"/>
          <w:kern w:val="2"/>
          <w:sz w:val="22"/>
          <w:szCs w:val="22"/>
          <w:highlight w:val="none"/>
          <w:u w:val="dotted"/>
          <w:lang w:val="en-US" w:eastAsia="zh-CN" w:bidi="ar-SA"/>
        </w:rPr>
        <w:t xml:space="preserve">                                                                                       </w:t>
      </w:r>
    </w:p>
    <w:p w14:paraId="4C78621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14:paraId="16213549">
      <w:pPr>
        <w:widowControl w:val="0"/>
        <w:tabs>
          <w:tab w:val="left" w:pos="1320"/>
        </w:tabs>
        <w:adjustRightInd w:val="0"/>
        <w:snapToGrid w:val="0"/>
        <w:spacing w:line="420" w:lineRule="exact"/>
        <w:ind w:right="3"/>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46" name="文本框 133"/>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14:paraId="0DB390A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wrap="square" upright="1"/>
                    </wps:wsp>
                  </a:graphicData>
                </a:graphic>
              </wp:anchor>
            </w:drawing>
          </mc:Choice>
          <mc:Fallback>
            <w:pict>
              <v:shape id="文本框 133" o:spid="_x0000_s1026" o:spt="202" type="#_x0000_t202" style="position:absolute;left:0pt;margin-left:-9pt;margin-top:18.7pt;height:44.75pt;width:72pt;z-index:251795456;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HdkS1wAAAAoBAAAPAAAAAAAAAAEAIAAAACIAAABkcnMvZG93bnJldi54bWxQSwECFAAU&#10;AAAACACHTuJAuPJyKLkBAABfAwAADgAAAAAAAAABACAAAAAmAQAAZHJzL2Uyb0RvYy54bWxQSwUG&#10;AAAAAAYABgBZAQAAUQUAAAAA&#10;">
                <v:fill on="f" focussize="0,0"/>
                <v:stroke on="f"/>
                <v:imagedata o:title=""/>
                <o:lock v:ext="edit" aspectratio="f"/>
                <v:textbox>
                  <w:txbxContent>
                    <w:p w14:paraId="0DB390A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34.4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5AE032A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14:paraId="3BB16BF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14:paraId="0F2F3B3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58" w:name="_Toc10624857"/>
      <w:bookmarkStart w:id="459" w:name="_Toc469384017"/>
      <w:r>
        <w:rPr>
          <w:rFonts w:hint="eastAsia" w:ascii="黑体" w:hAnsi="黑体" w:eastAsia="黑体" w:cs="黑体"/>
          <w:b w:val="0"/>
          <w:bCs/>
          <w:color w:val="auto"/>
          <w:kern w:val="0"/>
          <w:sz w:val="24"/>
          <w:szCs w:val="24"/>
          <w:highlight w:val="none"/>
          <w:lang w:val="en-US" w:eastAsia="zh-CN" w:bidi="ar-SA"/>
        </w:rPr>
        <w:t>35  暂停施工和复工</w:t>
      </w:r>
      <w:bookmarkEnd w:id="458"/>
      <w:bookmarkEnd w:id="459"/>
    </w:p>
    <w:p w14:paraId="5648523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47" name="文本框 13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6189EA2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134" o:spid="_x0000_s1026" o:spt="202" type="#_x0000_t202" style="position:absolute;left:0pt;margin-left:-9pt;margin-top:20.6pt;height:39.15pt;width:72pt;z-index:251796480;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tU3o1wAAAAoBAAAPAAAAAAAAAAEAIAAAACIAAABkcnMvZG93bnJldi54bWxQSwECFAAU&#10;AAAACACHTuJAzoDzK7kBAABfAwAADgAAAAAAAAABACAAAAAmAQAAZHJzL2Uyb0RvYy54bWxQSwUG&#10;AAAAAAYABgBZAQAAUQUAAAAA&#10;">
                <v:fill on="f" focussize="0,0"/>
                <v:stroke on="f"/>
                <v:imagedata o:title=""/>
                <o:lock v:ext="edit" aspectratio="f"/>
                <v:textbox>
                  <w:txbxContent>
                    <w:p w14:paraId="6189EA2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35.1      </w:t>
      </w:r>
    </w:p>
    <w:p w14:paraId="4B29711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67D0AE4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14:paraId="27B89FB1">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35.2</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14:paraId="40AB745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48" name="文本框 1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55CB32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135" o:spid="_x0000_s1026" o:spt="202" type="#_x0000_t202" style="position:absolute;left:0pt;margin-left:-9pt;margin-top:1.6pt;height:39.15pt;width:72pt;z-index:251797504;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E3PLTVAAAACAEAAA8AAAAAAAAAAQAgAAAAIgAAAGRycy9kb3ducmV2LnhtbFBLAQIUABQA&#10;AAAIAIdO4kDlhELCugEAAF8DAAAOAAAAAAAAAAEAIAAAACQBAABkcnMvZTJvRG9jLnhtbFBLBQYA&#10;AAAABgAGAFkBAABQBQAAAAA=&#10;">
                <v:fill on="f" focussize="0,0"/>
                <v:stroke on="f"/>
                <v:imagedata o:title=""/>
                <o:lock v:ext="edit" aspectratio="f"/>
                <v:textbox>
                  <w:txbxContent>
                    <w:p w14:paraId="55CB324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14:paraId="3231EE1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承包人无故拖延或拒绝复工的，由此增加的费用和（或）延误的工期由承包人承担；因发包人的原因无法按时复工的，承包人有权要求发包人增加发生的费用和（或）顺延工期，并支付合理利润。</w:t>
      </w:r>
    </w:p>
    <w:p w14:paraId="2DE3CA7F">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49" name="文本框 13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4D849877">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136" o:spid="_x0000_s1026" o:spt="202" type="#_x0000_t202" style="position:absolute;left:0pt;margin-left:-9pt;margin-top:19.25pt;height:62.4pt;width:72pt;z-index:251798528;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RwnZ31wAAAAoBAAAPAAAAAAAAAAEAIAAAACIAAABkcnMvZG93bnJldi54bWxQSwECFAAU&#10;AAAACACHTuJAJtnVjrkBAABfAwAADgAAAAAAAAABACAAAAAmAQAAZHJzL2Uyb0RvYy54bWxQSwUG&#10;AAAAAAYABgBZAQAAUQUAAAAA&#10;">
                <v:fill on="f" focussize="0,0"/>
                <v:stroke on="f"/>
                <v:imagedata o:title=""/>
                <o:lock v:ext="edit" aspectratio="f"/>
                <v:textbox>
                  <w:txbxContent>
                    <w:p w14:paraId="4D849877">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35.3  </w:t>
      </w:r>
      <w:r>
        <w:rPr>
          <w:rFonts w:hint="eastAsia" w:ascii="宋体" w:hAnsi="宋体" w:eastAsia="宋体" w:cs="宋体"/>
          <w:b/>
          <w:bCs/>
          <w:color w:val="auto"/>
          <w:kern w:val="2"/>
          <w:sz w:val="22"/>
          <w:szCs w:val="22"/>
          <w:highlight w:val="none"/>
          <w:u w:val="dotted"/>
          <w:lang w:val="en-US" w:eastAsia="zh-CN" w:bidi="ar-SA"/>
        </w:rPr>
        <w:t xml:space="preserve">                                                                                       </w:t>
      </w:r>
    </w:p>
    <w:p w14:paraId="78BD07F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11132BD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（1）如果此项停工仅影响合同工程的一部分时，则根据第56.2款规定及时提出工程变更，取消该部分工程，并书面通知发包人，抄送监理工程师和造价工程师；</w:t>
      </w:r>
    </w:p>
    <w:p w14:paraId="1A20BFF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（2）如果此项停工影响整个合同工程时，则根据第87.4款规定解除合同。</w:t>
      </w:r>
    </w:p>
    <w:p w14:paraId="7541B4C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（3）因承包人的原因引起暂停施工持续56天以上，承包人不采取有效的复工措施，造成工期延误的，发包人可根据第87.3款规定解除合同。</w:t>
      </w:r>
    </w:p>
    <w:p w14:paraId="1F5B10E8">
      <w:pPr>
        <w:widowControl w:val="0"/>
        <w:tabs>
          <w:tab w:val="left" w:pos="216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35.4  </w:t>
      </w:r>
      <w:r>
        <w:rPr>
          <w:rFonts w:hint="eastAsia" w:ascii="宋体" w:hAnsi="宋体" w:eastAsia="宋体" w:cs="宋体"/>
          <w:b/>
          <w:bCs/>
          <w:color w:val="auto"/>
          <w:kern w:val="2"/>
          <w:sz w:val="22"/>
          <w:szCs w:val="22"/>
          <w:highlight w:val="none"/>
          <w:u w:val="dotted"/>
          <w:lang w:val="en-US" w:eastAsia="zh-CN" w:bidi="ar-SA"/>
        </w:rPr>
        <w:t xml:space="preserve">                                                                                       </w:t>
      </w:r>
    </w:p>
    <w:p w14:paraId="5F2E601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50" name="文本框 1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0D653799">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wrap="square" upright="1"/>
                    </wps:wsp>
                  </a:graphicData>
                </a:graphic>
              </wp:anchor>
            </w:drawing>
          </mc:Choice>
          <mc:Fallback>
            <w:pict>
              <v:shape id="文本框 137" o:spid="_x0000_s1026" o:spt="202" type="#_x0000_t202" style="position:absolute;left:0pt;margin-left:-9pt;margin-top:0.05pt;height:62.4pt;width:72pt;z-index:25179955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2odL1AAAAAgBAAAPAAAAAAAAAAEAIAAAACIAAABkcnMvZG93bnJldi54bWxQSwECFAAUAAAA&#10;CACHTuJAijKn1rkBAABfAwAADgAAAAAAAAABACAAAAAjAQAAZHJzL2Uyb0RvYy54bWxQSwUGAAAA&#10;AAYABgBZAQAATgUAAAAA&#10;">
                <v:fill on="f" focussize="0,0"/>
                <v:stroke on="f"/>
                <v:imagedata o:title=""/>
                <o:lock v:ext="edit" aspectratio="f"/>
                <v:textbox>
                  <w:txbxContent>
                    <w:p w14:paraId="0D653799">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因发包人的原因造成暂停施工且引起工期延误的，承包人有权要求发包人增加由此发生的费用和（或）顺延工期，并支付合理利润。</w:t>
      </w:r>
    </w:p>
    <w:p w14:paraId="5F99634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（1）因承包人下列原因造成的暂停施工，增加的费用和（或）延误的工期由承包人承担：</w:t>
      </w:r>
    </w:p>
    <w:p w14:paraId="48A3B4B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（2）工作失误或违约造成的；</w:t>
      </w:r>
    </w:p>
    <w:p w14:paraId="19BCD7D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（3）为合同工程合理施工和安全保障所必需的；</w:t>
      </w:r>
    </w:p>
    <w:p w14:paraId="251C2EB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（4）施工现场气候条件（除不可抗力停工外）导致的；</w:t>
      </w:r>
    </w:p>
    <w:p w14:paraId="3728D57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（5）擅自停工的；</w:t>
      </w:r>
    </w:p>
    <w:p w14:paraId="4A14BD9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（6）专用条款约定的其他原因。</w:t>
      </w:r>
    </w:p>
    <w:p w14:paraId="7BF6129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因不可抗力因素造成暂停施工的，按照第31条规定处理。</w:t>
      </w:r>
    </w:p>
    <w:p w14:paraId="2A30E33C">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35.5  </w:t>
      </w:r>
      <w:r>
        <w:rPr>
          <w:rFonts w:hint="eastAsia" w:ascii="宋体" w:hAnsi="宋体" w:eastAsia="宋体" w:cs="宋体"/>
          <w:b/>
          <w:bCs/>
          <w:color w:val="auto"/>
          <w:kern w:val="2"/>
          <w:sz w:val="22"/>
          <w:szCs w:val="22"/>
          <w:highlight w:val="none"/>
          <w:u w:val="dotted"/>
          <w:lang w:val="en-US" w:eastAsia="zh-CN" w:bidi="ar-SA"/>
        </w:rPr>
        <w:t xml:space="preserve">                                                                                      </w:t>
      </w:r>
    </w:p>
    <w:p w14:paraId="0CBB293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51" name="文本框 13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023E620A">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wrap="square" upright="1"/>
                    </wps:wsp>
                  </a:graphicData>
                </a:graphic>
              </wp:anchor>
            </w:drawing>
          </mc:Choice>
          <mc:Fallback>
            <w:pict>
              <v:shape id="文本框 138" o:spid="_x0000_s1026" o:spt="202" type="#_x0000_t202" style="position:absolute;left:0pt;margin-left:-5.25pt;margin-top:0.5pt;height:54.6pt;width:72pt;z-index:251800576;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Us3tQAAAAJAQAADwAAAAAAAAABACAAAAAiAAAAZHJzL2Rvd25yZXYueG1sUEsBAhQAFAAA&#10;AAgAh07iQDTbro+6AQAAXwMAAA4AAAAAAAAAAQAgAAAAIwEAAGRycy9lMm9Eb2MueG1sUEsFBgAA&#10;AAAGAAYAWQEAAE8FAAAAAA==&#10;">
                <v:fill on="f" focussize="0,0"/>
                <v:stroke on="f"/>
                <v:imagedata o:title=""/>
                <o:lock v:ext="edit" aspectratio="f"/>
                <v:textbox>
                  <w:txbxContent>
                    <w:p w14:paraId="023E620A">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14:paraId="1B70BFE0">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35.6  </w:t>
      </w:r>
      <w:r>
        <w:rPr>
          <w:rFonts w:hint="eastAsia" w:ascii="宋体" w:hAnsi="宋体" w:eastAsia="宋体" w:cs="宋体"/>
          <w:b/>
          <w:bCs/>
          <w:color w:val="auto"/>
          <w:kern w:val="2"/>
          <w:sz w:val="22"/>
          <w:szCs w:val="22"/>
          <w:highlight w:val="none"/>
          <w:u w:val="dotted"/>
          <w:lang w:val="en-US" w:eastAsia="zh-CN" w:bidi="ar-SA"/>
        </w:rPr>
        <w:t xml:space="preserve">                                                                                       </w:t>
      </w:r>
    </w:p>
    <w:p w14:paraId="13B3FA0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52"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B68ED3E">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139" o:spid="_x0000_s1026" o:spt="202" type="#_x0000_t202" style="position:absolute;left:0pt;margin-left:-9pt;margin-top:0.05pt;height:31.2pt;width:72pt;z-index:251801600;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wb0t0wAAAAcBAAAPAAAAAAAAAAEAIAAAACIAAABkcnMvZG93bnJldi54bWxQSwECFAAUAAAA&#10;CACHTuJAZEtihLoBAABfAwAADgAAAAAAAAABACAAAAAiAQAAZHJzL2Uyb0RvYy54bWxQSwUGAAAA&#10;AAYABgBZAQAATgUAAAAA&#10;">
                <v:fill on="f" focussize="0,0"/>
                <v:stroke on="f"/>
                <v:imagedata o:title=""/>
                <o:lock v:ext="edit" aspectratio="f"/>
                <v:textbox>
                  <w:txbxContent>
                    <w:p w14:paraId="3B68ED3E">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0B489653">
      <w:pPr>
        <w:widowControl w:val="0"/>
        <w:adjustRightInd w:val="0"/>
        <w:snapToGrid w:val="0"/>
        <w:spacing w:line="420" w:lineRule="exact"/>
        <w:jc w:val="both"/>
        <w:outlineLvl w:val="2"/>
        <w:rPr>
          <w:rFonts w:ascii="宋体" w:hAnsi="宋体" w:eastAsia="宋体" w:cs="宋体"/>
          <w:b/>
          <w:bCs/>
          <w:color w:val="auto"/>
          <w:kern w:val="2"/>
          <w:sz w:val="22"/>
          <w:szCs w:val="22"/>
          <w:highlight w:val="none"/>
          <w:lang w:val="en-US" w:eastAsia="zh-CN" w:bidi="ar-SA"/>
        </w:rPr>
      </w:pPr>
      <w:bookmarkStart w:id="460" w:name="_Toc10624858"/>
      <w:bookmarkStart w:id="461" w:name="_Toc469384018"/>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黑体" w:hAnsi="黑体" w:eastAsia="黑体" w:cs="黑体"/>
          <w:b w:val="0"/>
          <w:bCs/>
          <w:color w:val="auto"/>
          <w:kern w:val="0"/>
          <w:sz w:val="24"/>
          <w:szCs w:val="24"/>
          <w:highlight w:val="none"/>
          <w:lang w:val="en-US" w:eastAsia="zh-CN" w:bidi="ar-SA"/>
        </w:rPr>
        <w:t>36  工期和工期延误</w:t>
      </w:r>
      <w:bookmarkEnd w:id="460"/>
      <w:bookmarkEnd w:id="461"/>
    </w:p>
    <w:p w14:paraId="77CAC16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36.1     </w:t>
      </w:r>
    </w:p>
    <w:p w14:paraId="3556982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合同工程的工期，由合同双方当事人根据广东省建设工程工期定额等有关规定，结合合同工程拟实施的施工组织设计或施工方案等情况，科学合理地编制工期，并在合同中约定。</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53" name="文本框 140"/>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14:paraId="08A9BBAF">
                            <w:pPr>
                              <w:rPr>
                                <w:rFonts w:ascii="Calibri" w:hAnsi="Calibri" w:cs="Times New Roman"/>
                                <w:szCs w:val="21"/>
                              </w:rPr>
                            </w:pPr>
                          </w:p>
                        </w:txbxContent>
                      </wps:txbx>
                      <wps:bodyPr wrap="square" upright="1"/>
                    </wps:wsp>
                  </a:graphicData>
                </a:graphic>
              </wp:anchor>
            </w:drawing>
          </mc:Choice>
          <mc:Fallback>
            <w:pict>
              <v:shape id="文本框 140" o:spid="_x0000_s1026" o:spt="202" type="#_x0000_t202" style="position:absolute;left:0pt;margin-left:-9pt;margin-top:31pt;height:26.45pt;width:77pt;z-index:251802624;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l/3ojXAAAACgEAAA8AAAAAAAAAAQAgAAAAIgAAAGRycy9kb3ducmV2LnhtbFBLAQIUABQA&#10;AAAIAIdO4kCU/vdBuAEAAF8DAAAOAAAAAAAAAAEAIAAAACYBAABkcnMvZTJvRG9jLnhtbFBLBQYA&#10;AAAABgAGAFkBAABQBQAAAAA=&#10;">
                <v:fill on="f" focussize="0,0"/>
                <v:stroke on="f"/>
                <v:imagedata o:title=""/>
                <o:lock v:ext="edit" aspectratio="f"/>
                <v:textbox>
                  <w:txbxContent>
                    <w:p w14:paraId="08A9BBAF">
                      <w:pPr>
                        <w:rPr>
                          <w:rFonts w:ascii="Calibri" w:hAnsi="Calibri"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54" name="文本框 14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0E7AB3C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141" o:spid="_x0000_s1026" o:spt="202" type="#_x0000_t202" style="position:absolute;left:0pt;margin-left:-9pt;margin-top:2.5pt;height:36.2pt;width:63pt;z-index:251803648;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MZdM065AQAAXwMAAA4AAAAAAAAAAQAgAAAAJAEAAGRycy9lMm9Eb2MueG1sUEsFBgAA&#10;AAAGAAYAWQEAAE8FAAAAAA==&#10;">
                <v:fill on="f" focussize="0,0"/>
                <v:stroke on="f"/>
                <v:imagedata o:title=""/>
                <o:lock v:ext="edit" aspectratio="f"/>
                <v:textbox>
                  <w:txbxContent>
                    <w:p w14:paraId="0E7AB3CE">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如合同工期与广东省建设工程工期定额规定不一致的，需说明与省工期定额规定不一致的原因，并制定保障措施，确保质量、施工安全。</w:t>
      </w:r>
    </w:p>
    <w:p w14:paraId="79D33B87">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36.2 </w:t>
      </w:r>
      <w:r>
        <w:rPr>
          <w:rFonts w:hint="eastAsia" w:ascii="宋体" w:hAnsi="宋体" w:eastAsia="宋体" w:cs="宋体"/>
          <w:color w:val="auto"/>
          <w:kern w:val="2"/>
          <w:sz w:val="22"/>
          <w:szCs w:val="22"/>
          <w:highlight w:val="none"/>
          <w:u w:val="dotted"/>
          <w:lang w:val="en-US" w:eastAsia="zh-CN" w:bidi="ar-SA"/>
        </w:rPr>
        <w:t xml:space="preserve">                                                                          </w:t>
      </w:r>
    </w:p>
    <w:p w14:paraId="4E3124D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55" name="文本框 1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6159117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142" o:spid="_x0000_s1026" o:spt="202" type="#_x0000_t202" style="position:absolute;left:0pt;margin-left:-9pt;margin-top:2.5pt;height:36.2pt;width:63pt;z-index:251804672;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AHkxzS5AQAAXwMAAA4AAAAAAAAAAQAgAAAAJAEAAGRycy9lMm9Eb2MueG1sUEsFBgAA&#10;AAAGAAYAWQEAAE8FAAAAAA==&#10;">
                <v:fill on="f" focussize="0,0"/>
                <v:stroke on="f"/>
                <v:imagedata o:title=""/>
                <o:lock v:ext="edit" aspectratio="f"/>
                <v:textbox>
                  <w:txbxContent>
                    <w:p w14:paraId="6159117A">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合同双方当事人应在专用条款中约定合同工程的工期，工期从开工日期开始计算。合同中包括有多个单位工程的，应在专用条款中约定各单位工程的工期。</w:t>
      </w:r>
    </w:p>
    <w:p w14:paraId="28A78F63">
      <w:pPr>
        <w:widowControl w:val="0"/>
        <w:adjustRightInd w:val="0"/>
        <w:snapToGrid w:val="0"/>
        <w:spacing w:line="420" w:lineRule="exact"/>
        <w:ind w:right="-2"/>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36.3  </w:t>
      </w:r>
      <w:r>
        <w:rPr>
          <w:rFonts w:hint="eastAsia" w:ascii="宋体" w:hAnsi="宋体" w:eastAsia="宋体" w:cs="宋体"/>
          <w:b/>
          <w:bCs/>
          <w:color w:val="auto"/>
          <w:kern w:val="2"/>
          <w:sz w:val="22"/>
          <w:szCs w:val="22"/>
          <w:highlight w:val="none"/>
          <w:u w:val="dotted"/>
          <w:lang w:val="en-US" w:eastAsia="zh-CN" w:bidi="ar-SA"/>
        </w:rPr>
        <w:t xml:space="preserve">                                                                                      </w:t>
      </w:r>
    </w:p>
    <w:p w14:paraId="63D6725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56" name="文本框 143"/>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14:paraId="597626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143" o:spid="_x0000_s1026" o:spt="202" type="#_x0000_t202" style="position:absolute;left:0pt;margin-left:-9pt;margin-top:1.3pt;height:20.6pt;width:63pt;z-index:251805696;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x24I1QAAAAgBAAAPAAAAAAAAAAEAIAAAACIAAABkcnMvZG93bnJldi54bWxQSwECFAAUAAAA&#10;CACHTuJAN/X0ybgBAABfAwAADgAAAAAAAAABACAAAAAkAQAAZHJzL2Uyb0RvYy54bWxQSwUGAAAA&#10;AAYABgBZAQAATgUAAAAA&#10;">
                <v:fill on="f" focussize="0,0"/>
                <v:stroke on="f"/>
                <v:imagedata o:title=""/>
                <o:lock v:ext="edit" aspectratio="f"/>
                <v:textbox>
                  <w:txbxContent>
                    <w:p w14:paraId="5976269D">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595A4F2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发包人未能按照专用条款的约定提供施工设计图纸及其它开工条件；</w:t>
      </w:r>
    </w:p>
    <w:p w14:paraId="3A5F5F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（2）发包人未能按照专用条款约定的时间支付工程预付款、绿色施工安全防护费和进度款；</w:t>
      </w:r>
    </w:p>
    <w:p w14:paraId="05B640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发包人代表或施工现场发包人雇用的其他人员造成的人为因素；</w:t>
      </w:r>
    </w:p>
    <w:p w14:paraId="456C646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监理工程师未按照合同约定及时提供所需指令、回复等；</w:t>
      </w:r>
    </w:p>
    <w:p w14:paraId="18E63F4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工程变更（含增加合同工作内容、改变合同的任何一项工作等）；</w:t>
      </w:r>
    </w:p>
    <w:p w14:paraId="18B633C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 工程量增加；</w:t>
      </w:r>
    </w:p>
    <w:p w14:paraId="2507B50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 一周内非承包人原因停水、停电、停气造成停工累计超过8小时；</w:t>
      </w:r>
    </w:p>
    <w:p w14:paraId="45BD442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 不可抗力；</w:t>
      </w:r>
    </w:p>
    <w:p w14:paraId="65D8503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 发包人风险事件；</w:t>
      </w:r>
    </w:p>
    <w:p w14:paraId="21E760C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（10）因发包人的原因导致的暂停施工；</w:t>
      </w:r>
    </w:p>
    <w:p w14:paraId="5526CD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（11）非承包人失误、违约，以及监理工程师同意的工期顺延。</w:t>
      </w:r>
    </w:p>
    <w:p w14:paraId="203AC38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（12）发包人造成工期延误的其他原因。</w:t>
      </w:r>
    </w:p>
    <w:p w14:paraId="683BCD1F">
      <w:pPr>
        <w:widowControl w:val="0"/>
        <w:adjustRightInd w:val="0"/>
        <w:snapToGrid w:val="0"/>
        <w:spacing w:line="420" w:lineRule="exact"/>
        <w:ind w:right="-2"/>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36.4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9374CE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57" name="文本框 14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ABE81A8">
                            <w:pPr>
                              <w:spacing w:line="220" w:lineRule="exact"/>
                              <w:rPr>
                                <w:rFonts w:ascii="宋体" w:hAnsi="Calibri" w:cs="Times New Roman"/>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144" o:spid="_x0000_s1026" o:spt="202" type="#_x0000_t202" style="position:absolute;left:0pt;margin-left:-9pt;margin-top:4.9pt;height:31.2pt;width:72pt;z-index:251806720;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uW5mtUAAAAIAQAADwAAAAAAAAABACAAAAAiAAAAZHJzL2Rvd25yZXYueG1sUEsBAhQAFAAA&#10;AAgAh07iQBL0G4O5AQAAXwMAAA4AAAAAAAAAAQAgAAAAJAEAAGRycy9lMm9Eb2MueG1sUEsFBgAA&#10;AAAGAAYAWQEAAE8FAAAAAA==&#10;">
                <v:fill on="f" focussize="0,0"/>
                <v:stroke on="f"/>
                <v:imagedata o:title=""/>
                <o:lock v:ext="edit" aspectratio="f"/>
                <v:textbox>
                  <w:txbxContent>
                    <w:p w14:paraId="4ABE81A8">
                      <w:pPr>
                        <w:spacing w:line="220" w:lineRule="exact"/>
                        <w:rPr>
                          <w:rFonts w:ascii="宋体" w:hAnsi="Calibri"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当第36.3款所述事件首次发生后，承包人应在14天内向监理工程师发出工期顺延意向书，并抄送发包人。承包人应在发出工期顺延意向书后的14天内，向监理工程师提交工期顺延报告和有关详细资料。</w:t>
      </w:r>
    </w:p>
    <w:p w14:paraId="45DABA92">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36.5 </w:t>
      </w:r>
      <w:r>
        <w:rPr>
          <w:rFonts w:hint="eastAsia" w:ascii="宋体" w:hAnsi="宋体" w:eastAsia="宋体" w:cs="宋体"/>
          <w:b/>
          <w:bCs/>
          <w:color w:val="auto"/>
          <w:kern w:val="2"/>
          <w:sz w:val="22"/>
          <w:szCs w:val="22"/>
          <w:highlight w:val="none"/>
          <w:u w:val="dotted"/>
          <w:lang w:val="en-US" w:eastAsia="zh-CN" w:bidi="ar-SA"/>
        </w:rPr>
        <w:t xml:space="preserve">                                                                                        </w:t>
      </w:r>
    </w:p>
    <w:p w14:paraId="212AB43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58"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6383A4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145" o:spid="_x0000_s1026" o:spt="202" type="#_x0000_t202" style="position:absolute;left:0pt;margin-left:-9pt;margin-top:3.7pt;height:31.2pt;width:72pt;z-index:251807744;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9yQatUAAAAIAQAADwAAAAAAAAABACAAAAAiAAAAZHJzL2Rvd25yZXYueG1sUEsBAhQAFAAA&#10;AAgAh07iQDnwqmq5AQAAXwMAAA4AAAAAAAAAAQAgAAAAJAEAAGRycy9lMm9Eb2MueG1sUEsFBgAA&#10;AAAGAAYAWQEAAE8FAAAAAA==&#10;">
                <v:fill on="f" focussize="0,0"/>
                <v:stroke on="f"/>
                <v:imagedata o:title=""/>
                <o:lock v:ext="edit" aspectratio="f"/>
                <v:textbox>
                  <w:txbxContent>
                    <w:p w14:paraId="26383A4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如果工期顺延事件持续发生时，承包人应每隔7天向监理工程师发出工期顺延意向书，并在工期顺延事件终结后的14天内，向监理工程师提交最终工期顺延报告和详细资料。</w:t>
      </w:r>
    </w:p>
    <w:p w14:paraId="06AB02B6">
      <w:pPr>
        <w:widowControl w:val="0"/>
        <w:adjustRightInd w:val="0"/>
        <w:snapToGrid w:val="0"/>
        <w:spacing w:line="420" w:lineRule="exact"/>
        <w:ind w:right="-2"/>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36.6  </w:t>
      </w:r>
      <w:r>
        <w:rPr>
          <w:rFonts w:hint="eastAsia" w:ascii="宋体" w:hAnsi="宋体" w:eastAsia="宋体" w:cs="宋体"/>
          <w:b/>
          <w:bCs/>
          <w:color w:val="auto"/>
          <w:kern w:val="2"/>
          <w:sz w:val="22"/>
          <w:szCs w:val="22"/>
          <w:highlight w:val="none"/>
          <w:u w:val="dotted"/>
          <w:lang w:val="en-US" w:eastAsia="zh-CN" w:bidi="ar-SA"/>
        </w:rPr>
        <w:t xml:space="preserve">                                                                                       </w:t>
      </w:r>
    </w:p>
    <w:p w14:paraId="00BBAED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59" name="文本框 14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0FDF294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146" o:spid="_x0000_s1026" o:spt="202" type="#_x0000_t202" style="position:absolute;left:0pt;margin-left:-9pt;margin-top:3.6pt;height:38.1pt;width:72pt;z-index:25180876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0PH1gAAAAgBAAAPAAAAAAAAAAEAIAAAACIAAABkcnMvZG93bnJldi54bWxQSwECFAAU&#10;AAAACACHTuJAAFCGSboBAABfAwAADgAAAAAAAAABACAAAAAlAQAAZHJzL2Uyb0RvYy54bWxQSwUG&#10;AAAAAAYABgBZAQAAUQUAAAAA&#10;">
                <v:fill on="f" focussize="0,0"/>
                <v:stroke on="f"/>
                <v:imagedata o:title=""/>
                <o:lock v:ext="edit" aspectratio="f"/>
                <v:textbox>
                  <w:txbxContent>
                    <w:p w14:paraId="0FDF294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如果承包人未能在第36.4款和第36.5款（发生时）规定的时间内提交（最终）工期顺延报告和详细资料，则视为该事件不影响施工进度或承包人放弃顺延工期的权利。 </w:t>
      </w:r>
    </w:p>
    <w:p w14:paraId="6794BAEC">
      <w:pPr>
        <w:widowControl w:val="0"/>
        <w:adjustRightInd w:val="0"/>
        <w:snapToGrid w:val="0"/>
        <w:spacing w:line="420" w:lineRule="exact"/>
        <w:ind w:right="-2"/>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36.7  </w:t>
      </w:r>
      <w:r>
        <w:rPr>
          <w:rFonts w:hint="eastAsia" w:ascii="宋体" w:hAnsi="宋体" w:eastAsia="宋体" w:cs="宋体"/>
          <w:b/>
          <w:bCs/>
          <w:color w:val="auto"/>
          <w:kern w:val="2"/>
          <w:sz w:val="22"/>
          <w:szCs w:val="22"/>
          <w:highlight w:val="none"/>
          <w:u w:val="dotted"/>
          <w:lang w:val="en-US" w:eastAsia="zh-CN" w:bidi="ar-SA"/>
        </w:rPr>
        <w:t xml:space="preserve">                                                                                       </w:t>
      </w:r>
    </w:p>
    <w:p w14:paraId="28EE4F7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60" name="文本框 1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700DFEC9">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147" o:spid="_x0000_s1026" o:spt="202" type="#_x0000_t202" style="position:absolute;left:0pt;margin-left:-9pt;margin-top:3.6pt;height:38.1pt;width:72pt;z-index:251809792;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qXQ8fWAAAACAEAAA8AAAAAAAAAAQAgAAAAIgAAAGRycy9kb3ducmV2LnhtbFBLAQIUABQA&#10;AAAIAIdO4kBw1qC0uQEAAF8DAAAOAAAAAAAAAAEAIAAAACUBAABkcnMvZTJvRG9jLnhtbFBLBQYA&#10;AAAABgAGAFkBAABQBQAAAAA=&#10;">
                <v:fill on="f" focussize="0,0"/>
                <v:stroke on="f"/>
                <v:imagedata o:title=""/>
                <o:lock v:ext="edit" aspectratio="f"/>
                <v:textbox>
                  <w:txbxContent>
                    <w:p w14:paraId="700DFEC9">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7E803E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如果监理工程师在收到上述报告和资料后的28天内未予核实也未对承包人作出进一步要求，则视为监理工程师已认可承包人上述报告中提出的顺延工期天数。</w:t>
      </w:r>
    </w:p>
    <w:p w14:paraId="6F8C0DA0">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36.8  </w:t>
      </w:r>
      <w:r>
        <w:rPr>
          <w:rFonts w:hint="eastAsia" w:ascii="宋体" w:hAnsi="宋体" w:eastAsia="宋体" w:cs="宋体"/>
          <w:b/>
          <w:bCs/>
          <w:color w:val="auto"/>
          <w:kern w:val="2"/>
          <w:sz w:val="22"/>
          <w:szCs w:val="22"/>
          <w:highlight w:val="none"/>
          <w:u w:val="dotted"/>
          <w:lang w:val="en-US" w:eastAsia="zh-CN" w:bidi="ar-SA"/>
        </w:rPr>
        <w:t xml:space="preserve">                                                                                       </w:t>
      </w:r>
    </w:p>
    <w:p w14:paraId="5CA9337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61" name="文本框 148"/>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14:paraId="35FE9C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148" o:spid="_x0000_s1026" o:spt="202" type="#_x0000_t202" style="position:absolute;left:0pt;margin-left:-9pt;margin-top:3.6pt;height:46.75pt;width:72pt;z-index:251810816;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qOK/WAAAACQEAAA8AAAAAAAAAAQAgAAAAIgAAAGRycy9kb3ducmV2LnhtbFBLAQIUABQA&#10;AAAIAIdO4kAPNhXKuQEAAF8DAAAOAAAAAAAAAAEAIAAAACUBAABkcnMvZTJvRG9jLnhtbFBLBQYA&#10;AAAABgAGAFkBAABQBQAAAAA=&#10;">
                <v:fill on="f" focussize="0,0"/>
                <v:stroke on="f"/>
                <v:imagedata o:title=""/>
                <o:lock v:ext="edit" aspectratio="f"/>
                <v:textbox>
                  <w:txbxContent>
                    <w:p w14:paraId="35FE9C9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承包人未能按照合同进度计划完成工作，或因承包人的原因造成工期延误，发包人可按照本条规定的时限和第66.2款规定要求承包人支付该支付期的误期赔偿费。</w:t>
      </w:r>
    </w:p>
    <w:p w14:paraId="27C71A88">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36.9  </w:t>
      </w:r>
      <w:r>
        <w:rPr>
          <w:rFonts w:hint="eastAsia" w:ascii="宋体" w:hAnsi="宋体" w:cs="宋体"/>
          <w:b/>
          <w:bCs/>
          <w:color w:val="auto"/>
          <w:sz w:val="22"/>
          <w:szCs w:val="22"/>
          <w:highlight w:val="none"/>
          <w:u w:val="dotted"/>
        </w:rPr>
        <w:t xml:space="preserve">                                                                                </w:t>
      </w:r>
    </w:p>
    <w:p w14:paraId="1A70CBA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77056"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149"/>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14:paraId="28230721">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49" o:spid="_x0000_s1026" o:spt="202" type="#_x0000_t202" style="position:absolute;left:0pt;margin-left:-5.1pt;margin-top:5.15pt;height:35.75pt;width:72.7pt;z-index:252077056;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rYro9UAAAAJAQAADwAAAAAAAAABACAAAAAiAAAAZHJzL2Rvd25yZXYueG1sUEsBAhQAFAAA&#10;AAgAh07iQNOmIt65AQAAXwMAAA4AAAAAAAAAAQAgAAAAJAEAAGRycy9lMm9Eb2MueG1sUEsFBgAA&#10;AAAGAAYAWQEAAE8FAAAAAA==&#10;">
                <v:fill on="f" focussize="0,0"/>
                <v:stroke on="f"/>
                <v:imagedata o:title=""/>
                <o:lock v:ext="edit" aspectratio="f"/>
                <v:textbox>
                  <w:txbxContent>
                    <w:p w14:paraId="28230721">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25536F84">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C4F51C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2" w:name="_Toc10624859"/>
      <w:bookmarkStart w:id="463" w:name="_Toc469384019"/>
      <w:r>
        <w:rPr>
          <w:rFonts w:hint="eastAsia" w:ascii="黑体" w:hAnsi="黑体" w:eastAsia="黑体" w:cs="黑体"/>
          <w:b w:val="0"/>
          <w:bCs/>
          <w:color w:val="auto"/>
          <w:kern w:val="0"/>
          <w:sz w:val="24"/>
          <w:szCs w:val="24"/>
          <w:highlight w:val="none"/>
          <w:lang w:val="en-US" w:eastAsia="zh-CN" w:bidi="ar-SA"/>
        </w:rPr>
        <w:t>37  加快进度</w:t>
      </w:r>
      <w:bookmarkEnd w:id="462"/>
      <w:bookmarkEnd w:id="463"/>
    </w:p>
    <w:p w14:paraId="37EB9529">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62" name="文本框 150"/>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14:paraId="766D2EF0">
                            <w:pPr>
                              <w:rPr>
                                <w:rFonts w:ascii="宋体" w:hAnsi="Calibri"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150" o:spid="_x0000_s1026" o:spt="202" type="#_x0000_t202" style="position:absolute;left:0pt;margin-left:-9pt;margin-top:12.65pt;height:42.55pt;width:72pt;z-index:251811840;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g0UYNcAAAAKAQAADwAAAAAAAAABACAAAAAiAAAAZHJzL2Rvd25yZXYueG1sUEsBAhQAFAAA&#10;AAgAh07iQD44dZ+3AQAAXwMAAA4AAAAAAAAAAQAgAAAAJgEAAGRycy9lMm9Eb2MueG1sUEsFBgAA&#10;AAAGAAYAWQEAAE8FAAAAAA==&#10;">
                <v:fill on="f" focussize="0,0"/>
                <v:stroke on="f"/>
                <v:imagedata o:title=""/>
                <o:lock v:ext="edit" aspectratio="f"/>
                <v:textbox>
                  <w:txbxContent>
                    <w:p w14:paraId="766D2EF0">
                      <w:pPr>
                        <w:rPr>
                          <w:rFonts w:ascii="宋体" w:hAnsi="Calibri"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37.1     </w:t>
      </w:r>
    </w:p>
    <w:p w14:paraId="7414FD2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14:paraId="30B1516D">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63" name="文本框 151"/>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14:paraId="3818C9B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wrap="square" upright="1"/>
                    </wps:wsp>
                  </a:graphicData>
                </a:graphic>
              </wp:anchor>
            </w:drawing>
          </mc:Choice>
          <mc:Fallback>
            <w:pict>
              <v:shape id="文本框 151" o:spid="_x0000_s1026" o:spt="202" type="#_x0000_t202" style="position:absolute;left:0pt;margin-left:-9pt;margin-top:21.9pt;height:38.95pt;width:72pt;z-index:251812864;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n2u81wAAAAoBAAAPAAAAAAAAAAEAIAAAACIAAABkcnMvZG93bnJldi54bWxQSwECFAAU&#10;AAAACACHTuJAOF1dtLkBAABfAwAADgAAAAAAAAABACAAAAAmAQAAZHJzL2Uyb0RvYy54bWxQSwUG&#10;AAAAAAYABgBZAQAAUQUAAAAA&#10;">
                <v:fill on="f" focussize="0,0"/>
                <v:stroke on="f"/>
                <v:imagedata o:title=""/>
                <o:lock v:ext="edit" aspectratio="f"/>
                <v:textbox>
                  <w:txbxContent>
                    <w:p w14:paraId="3818C9B6">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37.2  </w:t>
      </w:r>
      <w:r>
        <w:rPr>
          <w:rFonts w:hint="eastAsia" w:ascii="宋体" w:hAnsi="宋体" w:eastAsia="宋体" w:cs="宋体"/>
          <w:b/>
          <w:bCs/>
          <w:color w:val="auto"/>
          <w:kern w:val="2"/>
          <w:sz w:val="22"/>
          <w:szCs w:val="22"/>
          <w:highlight w:val="none"/>
          <w:u w:val="dotted"/>
          <w:lang w:val="en-US" w:eastAsia="zh-CN" w:bidi="ar-SA"/>
        </w:rPr>
        <w:t xml:space="preserve">                                                                                       </w:t>
      </w:r>
    </w:p>
    <w:p w14:paraId="2F57038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09F4792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（1）加快进度拟采取的措施；</w:t>
      </w:r>
    </w:p>
    <w:p w14:paraId="6307C04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（2）加快进度后的进度计划,以及与原计划的对比；</w:t>
      </w:r>
    </w:p>
    <w:p w14:paraId="171796A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（3）加快进度所需的合同价款增加额（含第66.1款规定的提前竣工奖）。该增加额按照第72.2款、第72.3款和第72.5款规定计算。</w:t>
      </w:r>
    </w:p>
    <w:p w14:paraId="512D91B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发包人应在接到建议书后的7天内予以答复。如果发包人接受了该建议书，则监理工程师应以书面形式发出变更指令，相应调整工期；造价工程师应核实并相应调整合同价款。</w:t>
      </w:r>
    </w:p>
    <w:p w14:paraId="6B7D234B">
      <w:pPr>
        <w:widowControl w:val="0"/>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BBA07B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4" w:name="_Toc469384020"/>
      <w:bookmarkStart w:id="465" w:name="_Toc10624860"/>
      <w:r>
        <w:rPr>
          <w:rFonts w:hint="eastAsia" w:ascii="黑体" w:hAnsi="黑体" w:eastAsia="黑体" w:cs="黑体"/>
          <w:b w:val="0"/>
          <w:bCs/>
          <w:color w:val="auto"/>
          <w:kern w:val="0"/>
          <w:sz w:val="24"/>
          <w:szCs w:val="24"/>
          <w:highlight w:val="none"/>
          <w:lang w:val="en-US" w:eastAsia="zh-CN" w:bidi="ar-SA"/>
        </w:rPr>
        <w:t>38  竣工日期</w:t>
      </w:r>
      <w:bookmarkEnd w:id="464"/>
      <w:bookmarkEnd w:id="465"/>
    </w:p>
    <w:p w14:paraId="5A4306E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13888"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64" name="文本框 15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1C8D594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152" o:spid="_x0000_s1026" o:spt="202" type="#_x0000_t202" style="position:absolute;left:0pt;margin-left:-10.5pt;margin-top:10.7pt;height:31.2pt;width:77pt;z-index:251813888;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OHVX1wAAAAkBAAAPAAAAAAAAAAEAIAAAACIAAABkcnMvZG93bnJldi54bWxQSwECFAAU&#10;AAAACACHTuJAByRe67kBAABfAwAADgAAAAAAAAABACAAAAAmAQAAZHJzL2Uyb0RvYy54bWxQSwUG&#10;AAAAAAYABgBZAQAAUQUAAAAA&#10;">
                <v:fill on="f" focussize="0,0"/>
                <v:stroke on="f"/>
                <v:imagedata o:title=""/>
                <o:lock v:ext="edit" aspectratio="f"/>
                <v:textbox>
                  <w:txbxContent>
                    <w:p w14:paraId="1C8D594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38.1   </w:t>
      </w:r>
    </w:p>
    <w:p w14:paraId="653FFAD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合同双方当事人应在协议书和专用条款中约定合同工程的计划竣工日期。</w:t>
      </w:r>
    </w:p>
    <w:p w14:paraId="6CD50442">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38.2  </w:t>
      </w:r>
      <w:r>
        <w:rPr>
          <w:rFonts w:hint="eastAsia" w:ascii="宋体" w:hAnsi="宋体" w:eastAsia="宋体" w:cs="宋体"/>
          <w:b/>
          <w:bCs/>
          <w:color w:val="auto"/>
          <w:kern w:val="2"/>
          <w:sz w:val="22"/>
          <w:szCs w:val="22"/>
          <w:highlight w:val="none"/>
          <w:u w:val="dotted"/>
          <w:lang w:val="en-US" w:eastAsia="zh-CN" w:bidi="ar-SA"/>
        </w:rPr>
        <w:t xml:space="preserve">                                                                                       </w:t>
      </w:r>
    </w:p>
    <w:p w14:paraId="3B9293B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65" name="文本框 1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03D72CC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153" o:spid="_x0000_s1026" o:spt="202" type="#_x0000_t202" style="position:absolute;left:0pt;margin-left:-9pt;margin-top:0.45pt;height:31.2pt;width:77pt;z-index:251814912;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CYI5VBugEAAF8DAAAOAAAAAAAAAAEAIAAAACQBAABkcnMvZTJvRG9jLnhtbFBLBQYA&#10;AAAABgAGAFkBAABQBQAAAAA=&#10;">
                <v:fill on="f" focussize="0,0"/>
                <v:stroke on="f"/>
                <v:imagedata o:title=""/>
                <o:lock v:ext="edit" aspectratio="f"/>
                <v:textbox>
                  <w:txbxContent>
                    <w:p w14:paraId="03D72CC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除发生不可抗力事件致使发包人不能按时竣工验收外，实际竣工日期按照下列情况分别确定：</w:t>
      </w:r>
    </w:p>
    <w:p w14:paraId="242CC9F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（1）工程经竣工验收合格的，以承包人提交竣工验收申请报告之日为实际竣工日期；</w:t>
      </w:r>
    </w:p>
    <w:p w14:paraId="0108423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（2）承包人已按照第57.2款规定提交竣工验收申请报告，但发包人未按照第58.3款规定完成合同工程验收的，以承包人提交竣工验收申请报告之日为实际竣工日期；</w:t>
      </w:r>
    </w:p>
    <w:p w14:paraId="4D66651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（3）工程未经竣工验收，发包人擅自使用的，以转移占有工程之日为实际竣工日期。</w:t>
      </w:r>
    </w:p>
    <w:p w14:paraId="554CF16E">
      <w:pPr>
        <w:widowControl w:val="0"/>
        <w:adjustRightInd w:val="0"/>
        <w:snapToGrid w:val="0"/>
        <w:spacing w:line="420" w:lineRule="exact"/>
        <w:ind w:left="1491" w:leftChars="1" w:hanging="1489" w:hangingChars="674"/>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38.3  </w:t>
      </w:r>
      <w:r>
        <w:rPr>
          <w:rFonts w:hint="eastAsia" w:ascii="宋体" w:hAnsi="宋体" w:eastAsia="宋体" w:cs="宋体"/>
          <w:b/>
          <w:bCs/>
          <w:color w:val="auto"/>
          <w:kern w:val="2"/>
          <w:sz w:val="22"/>
          <w:szCs w:val="22"/>
          <w:highlight w:val="none"/>
          <w:u w:val="dotted"/>
          <w:lang w:val="en-US" w:eastAsia="zh-CN" w:bidi="ar-SA"/>
        </w:rPr>
        <w:t xml:space="preserve">                                                                                       </w:t>
      </w:r>
    </w:p>
    <w:p w14:paraId="3F06B38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66" name="文本框 154"/>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14:paraId="0A5BB7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154" o:spid="_x0000_s1026" o:spt="202" type="#_x0000_t202" style="position:absolute;left:0pt;margin-left:-9pt;margin-top:3.75pt;height:35.9pt;width:72pt;z-index:251815936;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gQzcrVAAAACAEAAA8AAAAAAAAAAQAgAAAAIgAAAGRycy9kb3ducmV2LnhtbFBLAQIUABQA&#10;AAAIAIdO4kAhgEVeugEAAF8DAAAOAAAAAAAAAAEAIAAAACQBAABkcnMvZTJvRG9jLnhtbFBLBQYA&#10;AAAABgAGAFkBAABQBQAAAAA=&#10;">
                <v:fill on="f" focussize="0,0"/>
                <v:stroke on="f"/>
                <v:imagedata o:title=""/>
                <o:lock v:ext="edit" aspectratio="f"/>
                <v:textbox>
                  <w:txbxContent>
                    <w:p w14:paraId="0A5BB7C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因发包人的原因导致实际竣工日期迟于计划竣工日期的，发包人应承担由此增加的费用和（或）延误的工期，并向承包人支付合理利润。</w:t>
      </w:r>
    </w:p>
    <w:p w14:paraId="42FEC6A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因承包人的原因导致实际竣工日期迟于计划竣工日期的，承包人应按照第40条规定赔偿发包人由此造成的损失，并向发包人支付误期赔偿费。</w:t>
      </w:r>
    </w:p>
    <w:p w14:paraId="084D9B34">
      <w:pPr>
        <w:spacing w:line="420" w:lineRule="exact"/>
        <w:rPr>
          <w:rFonts w:ascii="宋体" w:hAnsi="宋体" w:cs="宋体"/>
          <w:caps/>
          <w:color w:val="auto"/>
          <w:sz w:val="22"/>
          <w:szCs w:val="22"/>
          <w:highlight w:val="none"/>
          <w:u w:val="single"/>
        </w:rPr>
      </w:pPr>
      <w:r>
        <w:rPr>
          <w:rFonts w:hint="eastAsia" w:ascii="宋体" w:hAnsi="宋体" w:cs="宋体"/>
          <w:b/>
          <w:bCs/>
          <w:caps/>
          <w:color w:val="auto"/>
          <w:sz w:val="22"/>
          <w:szCs w:val="22"/>
          <w:highlight w:val="none"/>
          <w:u w:val="single"/>
        </w:rPr>
        <w:t xml:space="preserve">                                                                                    </w:t>
      </w:r>
      <w:r>
        <w:rPr>
          <w:rFonts w:hint="eastAsia" w:ascii="宋体" w:hAnsi="宋体" w:cs="宋体"/>
          <w:caps/>
          <w:color w:val="auto"/>
          <w:sz w:val="22"/>
          <w:szCs w:val="22"/>
          <w:highlight w:val="none"/>
          <w:u w:val="single"/>
        </w:rPr>
        <w:t xml:space="preserve">         </w:t>
      </w:r>
    </w:p>
    <w:p w14:paraId="519DA0C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6" w:name="_Toc10624861"/>
      <w:bookmarkStart w:id="467" w:name="_Toc469384021"/>
      <w:r>
        <w:rPr>
          <w:rFonts w:hint="eastAsia" w:ascii="黑体" w:hAnsi="黑体" w:eastAsia="黑体" w:cs="黑体"/>
          <w:b w:val="0"/>
          <w:bCs/>
          <w:color w:val="auto"/>
          <w:kern w:val="0"/>
          <w:sz w:val="24"/>
          <w:szCs w:val="24"/>
          <w:highlight w:val="none"/>
          <w:lang w:val="en-US" w:eastAsia="zh-CN" w:bidi="ar-SA"/>
        </w:rPr>
        <w:t>39  提前竣工</w:t>
      </w:r>
      <w:bookmarkEnd w:id="466"/>
      <w:bookmarkEnd w:id="467"/>
    </w:p>
    <w:p w14:paraId="31DAF2A5">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39.1   </w:t>
      </w:r>
    </w:p>
    <w:p w14:paraId="53F9652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6960"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67" name="文本框 15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5323443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155" o:spid="_x0000_s1026" o:spt="202" type="#_x0000_t202" style="position:absolute;left:0pt;margin-left:-5.25pt;margin-top:2.4pt;height:31.2pt;width:77pt;z-index:251816960;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YdP4/VAAAACAEAAA8AAAAAAAAAAQAgAAAAIgAAAGRycy9kb3ducmV2LnhtbFBLAQIUABQA&#10;AAAIAIdO4kAWUHy0ugEAAF8DAAAOAAAAAAAAAAEAIAAAACQBAABkcnMvZTJvRG9jLnhtbFBLBQYA&#10;AAAABgAGAFkBAABQBQAAAAA=&#10;">
                <v:fill on="f" focussize="0,0"/>
                <v:stroke on="f"/>
                <v:imagedata o:title=""/>
                <o:lock v:ext="edit" aspectratio="f"/>
                <v:textbox>
                  <w:txbxContent>
                    <w:p w14:paraId="5323443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发包人要求承包人提前竣工，或承包人按照第37.2款规定提交提前竣工建议书为发包人接受的，监理工程师应与承包人商定采取加快工程进度的措施，并修订合同工程进度计划。</w:t>
      </w:r>
    </w:p>
    <w:p w14:paraId="4616C7D8">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39.2  </w:t>
      </w:r>
      <w:r>
        <w:rPr>
          <w:rFonts w:hint="eastAsia" w:ascii="宋体" w:hAnsi="宋体" w:eastAsia="宋体" w:cs="宋体"/>
          <w:b/>
          <w:bCs/>
          <w:color w:val="auto"/>
          <w:kern w:val="2"/>
          <w:sz w:val="22"/>
          <w:szCs w:val="22"/>
          <w:highlight w:val="none"/>
          <w:u w:val="dotted"/>
          <w:lang w:val="en-US" w:eastAsia="zh-CN" w:bidi="ar-SA"/>
        </w:rPr>
        <w:t xml:space="preserve">                                                                                       </w:t>
      </w:r>
    </w:p>
    <w:p w14:paraId="39388E1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68" name="文本框 1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7F102D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156" o:spid="_x0000_s1026" o:spt="202" type="#_x0000_t202" style="position:absolute;left:0pt;margin-left:-9pt;margin-top:0.45pt;height:31.2pt;width:77pt;z-index:25181798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JmhxtUAAAAHAQAADwAAAAAAAAABACAAAAAiAAAAZHJzL2Rvd25yZXYueG1sUEsBAhQAFAAA&#10;AAgAh07iQGXq8o25AQAAXwMAAA4AAAAAAAAAAQAgAAAAJAEAAGRycy9lMm9Eb2MueG1sUEsFBgAA&#10;AAAGAAYAWQEAAE8FAAAAAA==&#10;">
                <v:fill on="f" focussize="0,0"/>
                <v:stroke on="f"/>
                <v:imagedata o:title=""/>
                <o:lock v:ext="edit" aspectratio="f"/>
                <v:textbox>
                  <w:txbxContent>
                    <w:p w14:paraId="7F102D0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提前竣工天数按照第38.2款规定确定的计划竣工天数减去实际竣工天数计算，其公式为：</w:t>
      </w:r>
    </w:p>
    <w:p w14:paraId="5A50E47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提前竣工天数=计划竣工天数 — 实际竣工天数</w:t>
      </w:r>
    </w:p>
    <w:p w14:paraId="37939FD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合同工程提前竣工，发包人应承担承包人由此增加的费用，并按照第66.1款规定向承包人支付提前竣工奖。</w:t>
      </w:r>
    </w:p>
    <w:p w14:paraId="36071107">
      <w:pPr>
        <w:widowControl w:val="0"/>
        <w:tabs>
          <w:tab w:val="left" w:pos="540"/>
        </w:tabs>
        <w:adjustRightInd w:val="0"/>
        <w:snapToGrid w:val="0"/>
        <w:spacing w:before="240" w:beforeLines="100" w:line="420" w:lineRule="exact"/>
        <w:jc w:val="both"/>
        <w:rPr>
          <w:rFonts w:ascii="宋体" w:hAnsi="宋体" w:eastAsia="宋体" w:cs="宋体"/>
          <w:b/>
          <w:bCs/>
          <w:caps/>
          <w:color w:val="auto"/>
          <w:kern w:val="2"/>
          <w:sz w:val="22"/>
          <w:szCs w:val="22"/>
          <w:highlight w:val="none"/>
          <w:u w:val="single"/>
          <w:lang w:val="en-US" w:eastAsia="zh-CN" w:bidi="ar-SA"/>
        </w:rPr>
      </w:pPr>
      <w:r>
        <w:rPr>
          <w:rFonts w:hint="eastAsia" w:ascii="宋体" w:hAnsi="宋体" w:eastAsia="宋体" w:cs="宋体"/>
          <w:b/>
          <w:bCs/>
          <w:caps/>
          <w:color w:val="auto"/>
          <w:kern w:val="2"/>
          <w:sz w:val="22"/>
          <w:szCs w:val="22"/>
          <w:highlight w:val="none"/>
          <w:u w:val="single"/>
          <w:lang w:val="en-US" w:eastAsia="zh-CN" w:bidi="ar-SA"/>
        </w:rPr>
        <w:t xml:space="preserve">                                                                                </w:t>
      </w:r>
    </w:p>
    <w:p w14:paraId="2DD4236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68" w:name="_Toc469384022"/>
      <w:bookmarkStart w:id="469" w:name="_Toc10624862"/>
      <w:r>
        <w:rPr>
          <w:rFonts w:hint="eastAsia" w:ascii="黑体" w:hAnsi="黑体" w:eastAsia="黑体" w:cs="黑体"/>
          <w:b w:val="0"/>
          <w:bCs/>
          <w:color w:val="auto"/>
          <w:kern w:val="0"/>
          <w:sz w:val="24"/>
          <w:szCs w:val="24"/>
          <w:highlight w:val="none"/>
          <w:lang w:val="en-US" w:eastAsia="zh-CN" w:bidi="ar-SA"/>
        </w:rPr>
        <w:t>40  误期赔偿</w:t>
      </w:r>
      <w:bookmarkEnd w:id="468"/>
      <w:bookmarkEnd w:id="469"/>
    </w:p>
    <w:p w14:paraId="462D71AF">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40.1</w:t>
      </w:r>
    </w:p>
    <w:p w14:paraId="4BC0C4A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19008"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69" name="文本框 157"/>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14:paraId="636F52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157" o:spid="_x0000_s1026" o:spt="202" type="#_x0000_t202" style="position:absolute;left:0pt;margin-left:-10.5pt;margin-top:8.2pt;height:25.85pt;width:77pt;z-index:251819008;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dbURHWAAAACQEAAA8AAAAAAAAAAQAgAAAAIgAAAGRycy9kb3ducmV2LnhtbFBLAQIUABQA&#10;AAAIAIdO4kAZ9Y9PuQEAAF8DAAAOAAAAAAAAAAEAIAAAACUBAABkcnMvZTJvRG9jLnhtbFBLBQYA&#10;AAAABgAGAFkBAABQBQAAAAA=&#10;">
                <v:fill on="f" focussize="0,0"/>
                <v:stroke on="f"/>
                <v:imagedata o:title=""/>
                <o:lock v:ext="edit" aspectratio="f"/>
                <v:textbox>
                  <w:txbxContent>
                    <w:p w14:paraId="636F524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5CF42659">
      <w:pPr>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40.2  </w:t>
      </w:r>
      <w:r>
        <w:rPr>
          <w:rFonts w:hint="eastAsia" w:ascii="宋体" w:hAnsi="宋体" w:cs="宋体"/>
          <w:b/>
          <w:bCs/>
          <w:color w:val="auto"/>
          <w:sz w:val="22"/>
          <w:szCs w:val="22"/>
          <w:highlight w:val="none"/>
          <w:u w:val="dotted"/>
        </w:rPr>
        <w:t xml:space="preserve">                                                                                       </w:t>
      </w:r>
    </w:p>
    <w:p w14:paraId="4C299BE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70" name="文本框 158"/>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14:paraId="3ED399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177FB33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158" o:spid="_x0000_s1026" o:spt="202" type="#_x0000_t202" style="position:absolute;left:0pt;margin-left:-9pt;margin-top:2.5pt;height:62.35pt;width:84.35pt;z-index:251820032;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5n7idYAAAAJAQAADwAAAAAAAAABACAAAAAiAAAAZHJzL2Rvd25yZXYueG1sUEsBAhQAFAAA&#10;AAgAh07iQHujd/a4AQAAYAMAAA4AAAAAAAAAAQAgAAAAJQEAAGRycy9lMm9Eb2MueG1sUEsFBgAA&#10;AAAGAAYAWQEAAE8FAAAAAA==&#10;">
                <v:fill on="f" focussize="0,0"/>
                <v:stroke on="f"/>
                <v:imagedata o:title=""/>
                <o:lock v:ext="edit" aspectratio="f"/>
                <v:textbox>
                  <w:txbxContent>
                    <w:p w14:paraId="3ED399D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177FB33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误期（实际延误天数）按照实际施工天数减去计划施工天数计算，其公式为：</w:t>
      </w:r>
    </w:p>
    <w:p w14:paraId="64E123C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实际延误天数＝实际施工天数 － 计划施工天数</w:t>
      </w:r>
    </w:p>
    <w:p w14:paraId="5589AA1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合同工程发生误期，承包人应赔偿发包人由此造成的损失，并按照第66.2款规定向发包人支付误期赔偿费。</w:t>
      </w:r>
    </w:p>
    <w:p w14:paraId="740C9B83">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24863C3B">
      <w:pPr>
        <w:spacing w:line="420" w:lineRule="exact"/>
        <w:jc w:val="center"/>
        <w:outlineLvl w:val="1"/>
        <w:rPr>
          <w:rFonts w:ascii="方正小标宋_GBK" w:hAnsi="方正小标宋_GBK" w:eastAsia="方正小标宋_GBK" w:cs="方正小标宋_GBK"/>
          <w:b/>
          <w:bCs/>
          <w:color w:val="auto"/>
          <w:sz w:val="24"/>
          <w:szCs w:val="24"/>
          <w:highlight w:val="none"/>
        </w:rPr>
      </w:pPr>
      <w:bookmarkStart w:id="470" w:name="_Toc469384023"/>
      <w:bookmarkStart w:id="471" w:name="_Toc10624863"/>
      <w:r>
        <w:rPr>
          <w:rFonts w:hint="eastAsia" w:ascii="方正小标宋_GBK" w:hAnsi="方正小标宋_GBK" w:eastAsia="方正小标宋_GBK" w:cs="方正小标宋_GBK"/>
          <w:b/>
          <w:bCs/>
          <w:color w:val="auto"/>
          <w:sz w:val="24"/>
          <w:szCs w:val="24"/>
          <w:highlight w:val="none"/>
        </w:rPr>
        <w:t>五、质量与安全</w:t>
      </w:r>
      <w:bookmarkEnd w:id="470"/>
      <w:bookmarkEnd w:id="471"/>
    </w:p>
    <w:p w14:paraId="2DEF460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2" w:name="_Toc10624864"/>
      <w:bookmarkStart w:id="473" w:name="_Toc469384024"/>
      <w:r>
        <w:rPr>
          <w:rFonts w:hint="eastAsia" w:ascii="黑体" w:hAnsi="黑体" w:eastAsia="黑体" w:cs="黑体"/>
          <w:b w:val="0"/>
          <w:bCs/>
          <w:color w:val="auto"/>
          <w:kern w:val="0"/>
          <w:sz w:val="24"/>
          <w:szCs w:val="24"/>
          <w:highlight w:val="none"/>
          <w:lang w:val="en-US" w:eastAsia="zh-CN" w:bidi="ar-SA"/>
        </w:rPr>
        <w:t>★41  质量与安全管理</w:t>
      </w:r>
      <w:bookmarkEnd w:id="472"/>
      <w:bookmarkEnd w:id="473"/>
    </w:p>
    <w:p w14:paraId="5E332F29">
      <w:pPr>
        <w:tabs>
          <w:tab w:val="left" w:pos="78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41.1 </w:t>
      </w:r>
      <w:r>
        <w:rPr>
          <w:rFonts w:hint="eastAsia" w:ascii="宋体" w:hAnsi="宋体" w:cs="宋体"/>
          <w:b/>
          <w:bCs/>
          <w:color w:val="auto"/>
          <w:sz w:val="22"/>
          <w:szCs w:val="22"/>
          <w:highlight w:val="none"/>
        </w:rPr>
        <w:tab/>
      </w:r>
    </w:p>
    <w:p w14:paraId="4C223FB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71" name="文本框 159"/>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14:paraId="7CADF8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159" o:spid="_x0000_s1026" o:spt="202" type="#_x0000_t202" style="position:absolute;left:0pt;margin-left:-9pt;margin-top:-0.5pt;height:41.45pt;width:72pt;z-index:251821056;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Z8091QAAAAkBAAAPAAAAAAAAAAEAIAAAACIAAABkcnMvZG93bnJldi54bWxQSwECFAAUAAAA&#10;CACHTuJAR5WqF7gBAABfAwAADgAAAAAAAAABACAAAAAkAQAAZHJzL2Uyb0RvYy54bWxQSwUGAAAA&#10;AAYABgBZAQAATgUAAAAA&#10;">
                <v:fill on="f" focussize="0,0"/>
                <v:stroke on="f"/>
                <v:imagedata o:title=""/>
                <o:lock v:ext="edit" aspectratio="f"/>
                <v:textbox>
                  <w:txbxContent>
                    <w:p w14:paraId="7CADF86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3248E961">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41.2  </w:t>
      </w:r>
      <w:r>
        <w:rPr>
          <w:rFonts w:hint="eastAsia" w:ascii="宋体" w:hAnsi="宋体" w:eastAsia="宋体" w:cs="宋体"/>
          <w:b/>
          <w:bCs/>
          <w:color w:val="auto"/>
          <w:kern w:val="2"/>
          <w:sz w:val="22"/>
          <w:szCs w:val="22"/>
          <w:highlight w:val="none"/>
          <w:u w:val="dotted"/>
          <w:lang w:val="en-US" w:eastAsia="zh-CN" w:bidi="ar-SA"/>
        </w:rPr>
        <w:t xml:space="preserve">                                                                               </w:t>
      </w:r>
    </w:p>
    <w:p w14:paraId="72AE432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72" name="文本框 160"/>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082B14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160" o:spid="_x0000_s1026" o:spt="202" type="#_x0000_t202" style="position:absolute;left:0pt;margin-left:-9pt;margin-top:2.8pt;height:32.3pt;width:72pt;z-index:251822080;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S7iW9UAAAAIAQAADwAAAAAAAAABACAAAAAiAAAAZHJzL2Rvd25yZXYueG1sUEsBAhQAFAAAAAgA&#10;h07iQPxft4O2AQAAXwMAAA4AAAAAAAAAAQAgAAAAJAEAAGRycy9lMm9Eb2MueG1sUEsFBgAAAAAG&#10;AAYAWQEAAEwFAAAAAA==&#10;">
                <v:fill on="f" focussize="0,0"/>
                <v:stroke on="f"/>
                <v:imagedata o:title=""/>
                <o:lock v:ext="edit" aspectratio="f"/>
                <v:textbox>
                  <w:txbxContent>
                    <w:p w14:paraId="082B14D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75CF52E7">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73" name="文本框 16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14:paraId="7EC2A6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161" o:spid="_x0000_s1026" o:spt="202" type="#_x0000_t202" style="position:absolute;left:0pt;margin-left:-9pt;margin-top:21.85pt;height:27pt;width:72pt;z-index:251823104;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M7vXAAAACQEAAA8AAAAAAAAAAQAgAAAAIgAAAGRycy9kb3ducmV2LnhtbFBLAQIUABQA&#10;AAAIAIdO4kAwl+TmuAEAAF8DAAAOAAAAAAAAAAEAIAAAACYBAABkcnMvZTJvRG9jLnhtbFBLBQYA&#10;AAAABgAGAFkBAABQBQAAAAA=&#10;">
                <v:fill on="f" focussize="0,0"/>
                <v:stroke on="f"/>
                <v:imagedata o:title=""/>
                <o:lock v:ext="edit" aspectratio="f"/>
                <v:textbox>
                  <w:txbxContent>
                    <w:p w14:paraId="7EC2A68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41.3  </w:t>
      </w:r>
      <w:r>
        <w:rPr>
          <w:rFonts w:hint="eastAsia" w:ascii="宋体" w:hAnsi="宋体" w:eastAsia="宋体" w:cs="宋体"/>
          <w:b/>
          <w:bCs/>
          <w:color w:val="auto"/>
          <w:kern w:val="2"/>
          <w:sz w:val="22"/>
          <w:szCs w:val="22"/>
          <w:highlight w:val="none"/>
          <w:u w:val="dotted"/>
          <w:lang w:val="en-US" w:eastAsia="zh-CN" w:bidi="ar-SA"/>
        </w:rPr>
        <w:t xml:space="preserve">                                                                                      </w:t>
      </w:r>
    </w:p>
    <w:p w14:paraId="19A2202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70AA23BA">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24128"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74" name="文本框 16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18428B7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162" o:spid="_x0000_s1026" o:spt="202" type="#_x0000_t202" style="position:absolute;left:0pt;margin-left:-9.1pt;margin-top:22pt;height:30.7pt;width:72pt;z-index:251824128;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d2EEvWAAAACgEAAA8AAAAAAAAAAQAgAAAAIgAAAGRycy9kb3ducmV2LnhtbFBLAQIUABQA&#10;AAAIAIdO4kCNNExbuQEAAF8DAAAOAAAAAAAAAAEAIAAAACUBAABkcnMvZTJvRG9jLnhtbFBLBQYA&#10;AAAABgAGAFkBAABQBQAAAAA=&#10;">
                <v:fill on="f" focussize="0,0"/>
                <v:stroke on="f"/>
                <v:imagedata o:title=""/>
                <o:lock v:ext="edit" aspectratio="f"/>
                <v:textbox>
                  <w:txbxContent>
                    <w:p w14:paraId="18428B75">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41.4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6544BF7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2C94CF4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因承包人原因造成工程质量未达到合同约定标准的，发包人有权要求承包人返工直至工程质量达到合同约定的标准为止，并由承包人承担由此增加的费用和延误工期的责任。</w:t>
      </w:r>
    </w:p>
    <w:p w14:paraId="00645D3D">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41.5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684ECC5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75" name="文本框 16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CEF2282">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wrap="square" upright="1"/>
                    </wps:wsp>
                  </a:graphicData>
                </a:graphic>
              </wp:anchor>
            </w:drawing>
          </mc:Choice>
          <mc:Fallback>
            <w:pict>
              <v:shape id="文本框 163" o:spid="_x0000_s1026" o:spt="202" type="#_x0000_t202" style="position:absolute;left:0pt;margin-left:-9pt;margin-top:1.1pt;height:46.8pt;width:72pt;z-index:251825152;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Y0NLVAAAACAEAAA8AAAAAAAAAAQAgAAAAIgAAAGRycy9kb3ducmV2LnhtbFBLAQIUABQA&#10;AAAIAIdO4kBiKpUuugEAAF8DAAAOAAAAAAAAAAEAIAAAACQBAABkcnMvZTJvRG9jLnhtbFBLBQYA&#10;AAAABgAGAFkBAABQBQAAAAA=&#10;">
                <v:fill on="f" focussize="0,0"/>
                <v:stroke on="f"/>
                <v:imagedata o:title=""/>
                <o:lock v:ext="edit" aspectratio="f"/>
                <v:textbox>
                  <w:txbxContent>
                    <w:p w14:paraId="4CEF2282">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因发包人原因造成工程质量未达到合同约定标准的，由发包人承担由此增加的费用和延误工期的责任，增加的费用按本合同相关条款以及投标报价或预算的计价原则计算。</w:t>
      </w:r>
    </w:p>
    <w:p w14:paraId="0E2DD7BD">
      <w:pPr>
        <w:autoSpaceDE w:val="0"/>
        <w:autoSpaceDN w:val="0"/>
        <w:adjustRightInd w:val="0"/>
        <w:spacing w:line="420" w:lineRule="exact"/>
        <w:jc w:val="lef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41.6 </w:t>
      </w:r>
      <w:r>
        <w:rPr>
          <w:rFonts w:hint="eastAsia" w:ascii="宋体" w:hAnsi="宋体" w:cs="宋体"/>
          <w:b/>
          <w:bCs/>
          <w:color w:val="auto"/>
          <w:sz w:val="22"/>
          <w:szCs w:val="22"/>
          <w:highlight w:val="none"/>
          <w:u w:val="dotted"/>
        </w:rPr>
        <w:t xml:space="preserve"> </w:t>
      </w:r>
      <w:r>
        <w:rPr>
          <w:rFonts w:hint="eastAsia" w:ascii="宋体" w:hAnsi="宋体" w:cs="宋体"/>
          <w:color w:val="auto"/>
          <w:sz w:val="22"/>
          <w:szCs w:val="22"/>
          <w:highlight w:val="none"/>
          <w:u w:val="dotted"/>
        </w:rPr>
        <w:t xml:space="preserve">                                                                               </w:t>
      </w:r>
    </w:p>
    <w:p w14:paraId="63449A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76" name="文本框 1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14:paraId="5005871E">
                            <w:pPr>
                              <w:rPr>
                                <w:rFonts w:ascii="Calibri" w:hAnsi="Calibri" w:cs="Times New Roman"/>
                                <w:color w:val="FF0000"/>
                                <w:szCs w:val="21"/>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164" o:spid="_x0000_s1026" o:spt="202" type="#_x0000_t202" style="position:absolute;left:0pt;margin-left:-9pt;margin-top:1.3pt;height:39pt;width:63pt;z-index:251826176;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GxBNQAAAAIAQAADwAAAAAAAAABACAAAAAiAAAAZHJzL2Rvd25yZXYueG1sUEsBAhQAFAAAAAgA&#10;h07iQE8xrcS3AQAAXwMAAA4AAAAAAAAAAQAgAAAAIwEAAGRycy9lMm9Eb2MueG1sUEsFBgAAAAAG&#10;AAYAWQEAAEwFAAAAAA==&#10;">
                <v:fill on="f" focussize="0,0"/>
                <v:stroke on="f"/>
                <v:imagedata o:title=""/>
                <o:lock v:ext="edit" aspectratio="f"/>
                <v:textbox>
                  <w:txbxContent>
                    <w:p w14:paraId="5005871E">
                      <w:pPr>
                        <w:rPr>
                          <w:rFonts w:ascii="Calibri" w:hAnsi="Calibri" w:cs="Times New Roman"/>
                          <w:color w:val="FF0000"/>
                          <w:szCs w:val="21"/>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347BD9D">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7BEC89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4" w:name="_Toc469384025"/>
      <w:bookmarkStart w:id="475" w:name="_Toc10624865"/>
      <w:r>
        <w:rPr>
          <w:rFonts w:hint="eastAsia" w:ascii="黑体" w:hAnsi="黑体" w:eastAsia="黑体" w:cs="黑体"/>
          <w:b w:val="0"/>
          <w:bCs/>
          <w:color w:val="auto"/>
          <w:kern w:val="0"/>
          <w:sz w:val="24"/>
          <w:szCs w:val="24"/>
          <w:highlight w:val="none"/>
          <w:lang w:val="en-US" w:eastAsia="zh-CN" w:bidi="ar-SA"/>
        </w:rPr>
        <w:t>★42  质量标准</w:t>
      </w:r>
      <w:bookmarkEnd w:id="474"/>
      <w:bookmarkEnd w:id="475"/>
    </w:p>
    <w:p w14:paraId="54C5F764">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42.1 </w:t>
      </w:r>
    </w:p>
    <w:p w14:paraId="1FD9583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77"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20B7B18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165" o:spid="_x0000_s1026" o:spt="202" type="#_x0000_t202" style="position:absolute;left:0pt;margin-left:-9pt;margin-top:0.65pt;height:30.7pt;width:72pt;z-index:251827200;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MD/PVAAAACAEAAA8AAAAAAAAAAQAgAAAAIgAAAGRycy9kb3ducmV2LnhtbFBLAQIUABQA&#10;AAAIAIdO4kCcQG4EugEAAF8DAAAOAAAAAAAAAAEAIAAAACQBAABkcnMvZTJvRG9jLnhtbFBLBQYA&#10;AAAABgAGAFkBAABQBQAAAAA=&#10;">
                <v:fill on="f" focussize="0,0"/>
                <v:stroke on="f"/>
                <v:imagedata o:title=""/>
                <o:lock v:ext="edit" aspectratio="f"/>
                <v:textbox>
                  <w:txbxContent>
                    <w:p w14:paraId="20B7B183">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合同双方当事人应在专用条款中约定工程质量标准，但不得低于国家或行业的强制性标准。工程质量应当达到专用条款约定的质量标准。</w:t>
      </w:r>
    </w:p>
    <w:p w14:paraId="7AC6E5C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工程质量验收，按照合同约定的标准执行；合同没有约定的，按照国家或行业的质量验收标准执行。</w:t>
      </w:r>
    </w:p>
    <w:p w14:paraId="785CB0F7">
      <w:pPr>
        <w:adjustRightInd w:val="0"/>
        <w:snapToGrid w:val="0"/>
        <w:spacing w:line="42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78" name="文本框 166"/>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14:paraId="036EB27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166" o:spid="_x0000_s1026" o:spt="202" type="#_x0000_t202" style="position:absolute;left:0pt;margin-left:-9pt;margin-top:20.2pt;height:37.15pt;width:77pt;z-index:251828224;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n1YIv1wAAAAoBAAAPAAAAAAAAAAEAIAAAACIAAABkcnMvZG93bnJldi54bWxQSwECFAAU&#10;AAAACACHTuJA+X0t0bkBAABfAwAADgAAAAAAAAABACAAAAAmAQAAZHJzL2Uyb0RvYy54bWxQSwUG&#10;AAAAAAYABgBZAQAAUQUAAAAA&#10;">
                <v:fill on="f" focussize="0,0"/>
                <v:stroke on="f"/>
                <v:imagedata o:title=""/>
                <o:lock v:ext="edit" aspectratio="f"/>
                <v:textbox>
                  <w:txbxContent>
                    <w:p w14:paraId="036EB27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cs="宋体"/>
          <w:b/>
          <w:bCs/>
          <w:color w:val="auto"/>
          <w:sz w:val="22"/>
          <w:szCs w:val="22"/>
          <w:highlight w:val="none"/>
        </w:rPr>
        <w:t>42.2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6861584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承包人对合同工程的质量向发包人负责，其职责包括但不限于下列内容：</w:t>
      </w:r>
    </w:p>
    <w:p w14:paraId="247B3E8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（1）编制施工技术方案，确定施工技术措施；</w:t>
      </w:r>
    </w:p>
    <w:p w14:paraId="5AA2E8B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（2）提供和组织足够的工程技术人员，检查和控制工程施工质量；</w:t>
      </w:r>
    </w:p>
    <w:p w14:paraId="0DE7B1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（3）控制施工所用的材料和工程设备，使其符合标准与规范、设计要求及合同约定的标准；</w:t>
      </w:r>
    </w:p>
    <w:p w14:paraId="29F072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（4）负责合同工程施工中出现质量问题或竣工验收不合格的返修工作；</w:t>
      </w:r>
    </w:p>
    <w:p w14:paraId="4FC84E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（5）参加合同工程的所有验收工作，包括隐蔽验收、中间验收；参加竣工验收，组织分包人参加工程验收工作；</w:t>
      </w:r>
    </w:p>
    <w:p w14:paraId="7BB2D22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（6）承担质量保修期的工程保修责任；</w:t>
      </w:r>
    </w:p>
    <w:p w14:paraId="52E949E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（7）承担其他工程质量责任。</w:t>
      </w:r>
    </w:p>
    <w:p w14:paraId="2DAF8E07">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79" name="文本框 167"/>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14:paraId="470AF30C">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167" o:spid="_x0000_s1026" o:spt="202" type="#_x0000_t202" style="position:absolute;left:0pt;margin-left:-9pt;margin-top:22.95pt;height:19.35pt;width:81pt;z-index:251829248;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LMCsPWAAAACQEAAA8AAAAAAAAAAQAgAAAAIgAAAGRycy9kb3ducmV2LnhtbFBLAQIUABQA&#10;AAAIAIdO4kC7NG5KuQEAAGADAAAOAAAAAAAAAAEAIAAAACUBAABkcnMvZTJvRG9jLnhtbFBLBQYA&#10;AAAABgAGAFkBAABQBQAAAAA=&#10;">
                <v:fill on="f" focussize="0,0"/>
                <v:stroke on="f"/>
                <v:imagedata o:title=""/>
                <o:lock v:ext="edit" aspectratio="f"/>
                <v:textbox>
                  <w:txbxContent>
                    <w:p w14:paraId="470AF30C">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cs="宋体"/>
          <w:b/>
          <w:bCs/>
          <w:color w:val="auto"/>
          <w:sz w:val="22"/>
          <w:szCs w:val="22"/>
          <w:highlight w:val="none"/>
        </w:rPr>
        <w:t xml:space="preserve">42.3 </w:t>
      </w:r>
      <w:r>
        <w:rPr>
          <w:rFonts w:hint="eastAsia" w:ascii="宋体" w:hAnsi="宋体" w:cs="宋体"/>
          <w:b/>
          <w:bCs/>
          <w:color w:val="auto"/>
          <w:sz w:val="22"/>
          <w:szCs w:val="22"/>
          <w:highlight w:val="none"/>
          <w:u w:val="dotted"/>
        </w:rPr>
        <w:t xml:space="preserve">                                                                                        </w:t>
      </w:r>
    </w:p>
    <w:p w14:paraId="11DFBB6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承包人应建立健全完善的质量保证体系。</w:t>
      </w:r>
    </w:p>
    <w:p w14:paraId="3155F01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（1）承包人应向发包人和监理人提交工程质量保证体系及措施文件，建立完善的质量检查制度，并提交相应的工程质量文件。对于发包人和监理人违反法律规定和合同约定的错误指示，承包人有权拒绝实施。</w:t>
      </w:r>
    </w:p>
    <w:p w14:paraId="40EB7C5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2402C6FC">
      <w:pPr>
        <w:adjustRightInd w:val="0"/>
        <w:snapToGrid w:val="0"/>
        <w:spacing w:line="420" w:lineRule="exact"/>
        <w:jc w:val="lef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80" name="文本框 168"/>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14:paraId="23FAD22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168" o:spid="_x0000_s1026" o:spt="202" type="#_x0000_t202" style="position:absolute;left:0pt;margin-left:-9pt;margin-top:21.75pt;height:35.4pt;width:76.2pt;z-index:251830272;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iSrL2AAAAAoBAAAPAAAAAAAAAAEAIAAAACIAAABkcnMvZG93bnJldi54bWxQSwECFAAU&#10;AAAACACHTuJA7m7nbrgBAABfAwAADgAAAAAAAAABACAAAAAnAQAAZHJzL2Uyb0RvYy54bWxQSwUG&#10;AAAAAAYABgBZAQAAUQUAAAAA&#10;">
                <v:fill on="f" focussize="0,0"/>
                <v:stroke on="f"/>
                <v:imagedata o:title=""/>
                <o:lock v:ext="edit" aspectratio="f"/>
                <v:textbox>
                  <w:txbxContent>
                    <w:p w14:paraId="23FAD22D">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cs="宋体"/>
          <w:b/>
          <w:bCs/>
          <w:color w:val="auto"/>
          <w:sz w:val="22"/>
          <w:szCs w:val="22"/>
          <w:highlight w:val="none"/>
        </w:rPr>
        <w:t xml:space="preserve">42.4 </w:t>
      </w:r>
      <w:r>
        <w:rPr>
          <w:rFonts w:hint="eastAsia" w:ascii="宋体" w:hAnsi="宋体" w:cs="宋体"/>
          <w:b/>
          <w:bCs/>
          <w:color w:val="auto"/>
          <w:sz w:val="22"/>
          <w:szCs w:val="22"/>
          <w:highlight w:val="none"/>
          <w:u w:val="dotted"/>
        </w:rPr>
        <w:t xml:space="preserve">                                                                                        </w:t>
      </w:r>
    </w:p>
    <w:p w14:paraId="3914943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合同双方当事人对工程质量有争议的，按照第86.4款规定调解或认定，所需的费用及由此造成的损失，由责任方承担。双方均有责任的，由双方根据其责任划分分别承担。</w:t>
      </w:r>
    </w:p>
    <w:p w14:paraId="028828D4">
      <w:pPr>
        <w:tabs>
          <w:tab w:val="left" w:pos="1620"/>
        </w:tabs>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6BF1F352">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6" w:name="_Toc469384026"/>
      <w:bookmarkStart w:id="477" w:name="_Toc10624866"/>
      <w:r>
        <w:rPr>
          <w:rFonts w:hint="eastAsia" w:ascii="黑体" w:hAnsi="黑体" w:eastAsia="黑体" w:cs="黑体"/>
          <w:b w:val="0"/>
          <w:bCs/>
          <w:color w:val="auto"/>
          <w:kern w:val="0"/>
          <w:sz w:val="24"/>
          <w:szCs w:val="24"/>
          <w:highlight w:val="none"/>
          <w:lang w:val="en-US" w:eastAsia="zh-CN" w:bidi="ar-SA"/>
        </w:rPr>
        <w:t>★43  工程质量创优</w:t>
      </w:r>
      <w:bookmarkEnd w:id="476"/>
      <w:bookmarkEnd w:id="477"/>
    </w:p>
    <w:p w14:paraId="5E991659">
      <w:pPr>
        <w:spacing w:line="420" w:lineRule="exact"/>
        <w:rPr>
          <w:rFonts w:ascii="宋体" w:hAnsi="宋体" w:cs="宋体"/>
          <w:b/>
          <w:bCs/>
          <w:caps/>
          <w:color w:val="auto"/>
          <w:sz w:val="22"/>
          <w:szCs w:val="22"/>
          <w:highlight w:val="none"/>
        </w:rPr>
      </w:pPr>
      <w:r>
        <w:rPr>
          <w:rFonts w:hint="eastAsia" w:ascii="宋体" w:hAnsi="宋体" w:cs="宋体"/>
          <w:b/>
          <w:bCs/>
          <w:caps/>
          <w:color w:val="auto"/>
          <w:sz w:val="22"/>
          <w:szCs w:val="22"/>
          <w:highlight w:val="none"/>
        </w:rPr>
        <w:t>43.1</w:t>
      </w:r>
    </w:p>
    <w:p w14:paraId="5869790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81" name="文本框 16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022D75C">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169" o:spid="_x0000_s1026" o:spt="202" type="#_x0000_t202" style="position:absolute;left:0pt;margin-left:-9pt;margin-top:3pt;height:39pt;width:72pt;z-index:251831296;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hA++1QAAAAgBAAAPAAAAAAAAAAEAIAAAACIAAABkcnMvZG93bnJldi54bWxQSwECFAAUAAAA&#10;CACHTuJAoQ6qcbgBAABfAwAADgAAAAAAAAABACAAAAAkAQAAZHJzL2Uyb0RvYy54bWxQSwUGAAAA&#10;AAYABgBZAQAATgUAAAAA&#10;">
                <v:fill on="f" focussize="0,0"/>
                <v:stroke on="f"/>
                <v:imagedata o:title=""/>
                <o:lock v:ext="edit" aspectratio="f"/>
                <v:textbox>
                  <w:txbxContent>
                    <w:p w14:paraId="2022D75C">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14:paraId="42C7FF0A">
      <w:pPr>
        <w:spacing w:line="420" w:lineRule="exact"/>
        <w:rPr>
          <w:rFonts w:ascii="宋体" w:hAnsi="宋体" w:cs="宋体"/>
          <w:b/>
          <w:bCs/>
          <w:caps/>
          <w:color w:val="auto"/>
          <w:sz w:val="22"/>
          <w:szCs w:val="22"/>
          <w:highlight w:val="none"/>
        </w:rPr>
      </w:pPr>
      <w:r>
        <w:rPr>
          <w:rFonts w:hint="eastAsia" w:ascii="宋体" w:hAnsi="宋体" w:cs="宋体"/>
          <w:b/>
          <w:bCs/>
          <w:color w:val="auto"/>
          <w:sz w:val="22"/>
          <w:szCs w:val="22"/>
          <w:highlight w:val="none"/>
        </w:rPr>
        <w:t xml:space="preserve">43.2 </w:t>
      </w:r>
      <w:r>
        <w:rPr>
          <w:rFonts w:hint="eastAsia" w:ascii="宋体" w:hAnsi="宋体" w:cs="宋体"/>
          <w:b/>
          <w:bCs/>
          <w:color w:val="auto"/>
          <w:sz w:val="22"/>
          <w:szCs w:val="22"/>
          <w:highlight w:val="none"/>
          <w:u w:val="dotted"/>
        </w:rPr>
        <w:t xml:space="preserve">                                                                              </w:t>
      </w:r>
    </w:p>
    <w:p w14:paraId="37767F7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82" name="文本框 1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93CE506">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170" o:spid="_x0000_s1026" o:spt="202" type="#_x0000_t202" style="position:absolute;left:0pt;margin-left:-9pt;margin-top:13.45pt;height:39pt;width:72pt;z-index:251832320;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HDXzdcAAAAKAQAADwAAAAAAAAABACAAAAAiAAAAZHJzL2Rvd25yZXYueG1sUEsBAhQAFAAA&#10;AAgAh07iQMc4FUG3AQAAXwMAAA4AAAAAAAAAAQAgAAAAJgEAAGRycy9lMm9Eb2MueG1sUEsFBgAA&#10;AAAGAAYAWQEAAE8FAAAAAA==&#10;">
                <v:fill on="f" focussize="0,0"/>
                <v:stroke on="f"/>
                <v:imagedata o:title=""/>
                <o:lock v:ext="edit" aspectratio="f"/>
                <v:textbox>
                  <w:txbxContent>
                    <w:p w14:paraId="593CE506">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承包人应采取有效措施确保合同工程质量与施工安全，在保证工程质量、施工安全达到国家或行业的强制性标准的前提下，提高工程质量与施工安全管理水平，争取合同工程质量创优。</w:t>
      </w:r>
    </w:p>
    <w:p w14:paraId="431B9605">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aps/>
          <w:color w:val="auto"/>
          <w:sz w:val="22"/>
          <w:szCs w:val="22"/>
          <w:highlight w:val="none"/>
          <w:u w:val="single"/>
        </w:rPr>
        <w:t xml:space="preserve">                                                                                             </w:t>
      </w:r>
    </w:p>
    <w:p w14:paraId="69600F2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78" w:name="_Toc10624867"/>
      <w:bookmarkStart w:id="479" w:name="_Toc469384027"/>
      <w:r>
        <w:rPr>
          <w:rFonts w:hint="eastAsia" w:ascii="黑体" w:hAnsi="黑体" w:eastAsia="黑体" w:cs="黑体"/>
          <w:b w:val="0"/>
          <w:bCs/>
          <w:color w:val="auto"/>
          <w:kern w:val="0"/>
          <w:sz w:val="24"/>
          <w:szCs w:val="24"/>
          <w:highlight w:val="none"/>
          <w:lang w:val="en-US" w:eastAsia="zh-CN" w:bidi="ar-SA"/>
        </w:rPr>
        <w:t>44  工程的照管</w:t>
      </w:r>
      <w:bookmarkEnd w:id="478"/>
      <w:bookmarkEnd w:id="479"/>
    </w:p>
    <w:p w14:paraId="6CB8214C">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83" name="文本框 171"/>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14:paraId="4E566B6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171" o:spid="_x0000_s1026" o:spt="202" type="#_x0000_t202" style="position:absolute;left:0pt;margin-left:-9pt;margin-top:20.8pt;height:20.2pt;width:63pt;z-index:251833344;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eCgxNUAAAAJAQAADwAAAAAAAAABACAAAAAiAAAAZHJzL2Rvd25yZXYueG1sUEsBAhQAFAAA&#10;AAgAh07iQK8cPYO5AQAAXwMAAA4AAAAAAAAAAQAgAAAAJAEAAGRycy9lMm9Eb2MueG1sUEsFBgAA&#10;AAAGAAYAWQEAAE8FAAAAAA==&#10;">
                <v:fill on="f" focussize="0,0"/>
                <v:stroke on="f"/>
                <v:imagedata o:title=""/>
                <o:lock v:ext="edit" aspectratio="f"/>
                <v:textbox>
                  <w:txbxContent>
                    <w:p w14:paraId="4E566B68">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cs="宋体"/>
          <w:b/>
          <w:bCs/>
          <w:color w:val="auto"/>
          <w:sz w:val="22"/>
          <w:szCs w:val="22"/>
          <w:highlight w:val="none"/>
        </w:rPr>
        <w:t xml:space="preserve">44.1  </w:t>
      </w:r>
    </w:p>
    <w:p w14:paraId="3BD11CD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从开工之日起，承包人应全面负责照管合同工程及运至现场将用于和安装在合同工程中的材料和工程设备，直到合同双方当事人确认工程移交之日止。此后，工程的照管即转由发包人负责。</w:t>
      </w:r>
    </w:p>
    <w:p w14:paraId="45F416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31A751D1">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84" name="文本框 172"/>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129E319B">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172" o:spid="_x0000_s1026" o:spt="202" type="#_x0000_t202" style="position:absolute;left:0pt;margin-left:-9pt;margin-top:21.8pt;height:56.55pt;width:72pt;z-index:251834368;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bKxc2AAAAAoBAAAPAAAAAAAAAAEAIAAAACIAAABkcnMvZG93bnJldi54bWxQSwECFAAU&#10;AAAACACHTuJAoG9ENLgBAABfAwAADgAAAAAAAAABACAAAAAnAQAAZHJzL2Uyb0RvYy54bWxQSwUG&#10;AAAAAAYABgBZAQAAUQUAAAAA&#10;">
                <v:fill on="f" focussize="0,0"/>
                <v:stroke on="f"/>
                <v:imagedata o:title=""/>
                <o:lock v:ext="edit" aspectratio="f"/>
                <v:textbox>
                  <w:txbxContent>
                    <w:p w14:paraId="129E319B">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cs="宋体"/>
          <w:b/>
          <w:bCs/>
          <w:color w:val="auto"/>
          <w:sz w:val="22"/>
          <w:szCs w:val="22"/>
          <w:highlight w:val="none"/>
        </w:rPr>
        <w:t>44.2</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64E5835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承包人在负责工程照管期间，如因自身原因造成合同工程或其任何部分，以及材料和工程设备或临时工程的损坏，承包人应自费修复上述损坏，保证合同工程质量达到合同约定的标准。</w:t>
      </w:r>
    </w:p>
    <w:p w14:paraId="6C863114">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1FEBF6C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0" w:name="_Toc469384028"/>
      <w:bookmarkStart w:id="481" w:name="_Toc10624868"/>
      <w:r>
        <w:rPr>
          <w:rFonts w:hint="eastAsia" w:ascii="黑体" w:hAnsi="黑体" w:eastAsia="黑体" w:cs="黑体"/>
          <w:b w:val="0"/>
          <w:bCs/>
          <w:color w:val="auto"/>
          <w:kern w:val="0"/>
          <w:sz w:val="24"/>
          <w:szCs w:val="24"/>
          <w:highlight w:val="none"/>
          <w:lang w:val="en-US" w:eastAsia="zh-CN" w:bidi="ar-SA"/>
        </w:rPr>
        <w:t xml:space="preserve">★45  </w:t>
      </w:r>
      <w:bookmarkEnd w:id="480"/>
      <w:r>
        <w:rPr>
          <w:rFonts w:hint="eastAsia" w:ascii="黑体" w:hAnsi="黑体" w:eastAsia="黑体" w:cs="黑体"/>
          <w:b w:val="0"/>
          <w:bCs/>
          <w:color w:val="auto"/>
          <w:kern w:val="0"/>
          <w:sz w:val="24"/>
          <w:szCs w:val="24"/>
          <w:highlight w:val="none"/>
          <w:lang w:val="en-US" w:eastAsia="zh-CN" w:bidi="ar-SA"/>
        </w:rPr>
        <w:t>绿色施工安全防护</w:t>
      </w:r>
      <w:bookmarkEnd w:id="481"/>
    </w:p>
    <w:p w14:paraId="201D98CB">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85" name="文本框 173"/>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14:paraId="76E3504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173" o:spid="_x0000_s1026" o:spt="202" type="#_x0000_t202" style="position:absolute;left:0pt;margin-left:-9pt;margin-top:17.6pt;height:54.25pt;width:77pt;z-index:251835392;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r7RE9gAAAAKAQAADwAAAAAAAAABACAAAAAiAAAAZHJzL2Rvd25yZXYueG1sUEsBAhQA&#10;FAAAAAgAh07iQEtKX4a5AQAAXwMAAA4AAAAAAAAAAQAgAAAAJwEAAGRycy9lMm9Eb2MueG1sUEsF&#10;BgAAAAAGAAYAWQEAAFIFAAAAAA==&#10;">
                <v:fill on="f" focussize="0,0"/>
                <v:stroke on="f"/>
                <v:imagedata o:title=""/>
                <o:lock v:ext="edit" aspectratio="f"/>
                <v:textbox>
                  <w:txbxContent>
                    <w:p w14:paraId="76E35041">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cs="宋体"/>
          <w:b/>
          <w:bCs/>
          <w:color w:val="auto"/>
          <w:sz w:val="22"/>
          <w:szCs w:val="22"/>
          <w:highlight w:val="none"/>
        </w:rPr>
        <w:t xml:space="preserve">45.1 </w:t>
      </w:r>
      <w:r>
        <w:rPr>
          <w:rFonts w:hint="eastAsia" w:ascii="宋体" w:hAnsi="宋体" w:cs="宋体"/>
          <w:b/>
          <w:bCs/>
          <w:color w:val="auto"/>
          <w:sz w:val="22"/>
          <w:szCs w:val="22"/>
          <w:highlight w:val="none"/>
        </w:rPr>
        <w:tab/>
      </w:r>
    </w:p>
    <w:p w14:paraId="7D8EA35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67493B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在施工过程中，如遇到突发的地质变动、事先未知的地下施工障碍等影响施工安全的紧急情况，承包人应及时报告监理人和发包人，发包人应当及时下令停工并报政府有关行政管理部门采取应急措施。</w:t>
      </w:r>
    </w:p>
    <w:p w14:paraId="217E229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发包人应组织承包人和有关单位进行安全检查，授权监理工程师按合同约定的绿色施工安全防护内容监督、检查承包人实施绿色施工安全防护，并按照第 80 条规定及时向承包人支付绿色施工安全防护费。</w:t>
      </w:r>
    </w:p>
    <w:p w14:paraId="5998FB7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7D969DE8">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45.2  </w:t>
      </w:r>
      <w:r>
        <w:rPr>
          <w:rFonts w:hint="eastAsia" w:ascii="宋体" w:hAnsi="宋体" w:cs="宋体"/>
          <w:b/>
          <w:bCs/>
          <w:color w:val="auto"/>
          <w:sz w:val="22"/>
          <w:szCs w:val="22"/>
          <w:highlight w:val="none"/>
          <w:u w:val="dotted"/>
        </w:rPr>
        <w:t xml:space="preserve">                                                                               </w:t>
      </w:r>
    </w:p>
    <w:p w14:paraId="0FAA42CD">
      <w:pPr>
        <w:adjustRightInd w:val="0"/>
        <w:snapToGrid w:val="0"/>
        <w:spacing w:line="420" w:lineRule="exact"/>
        <w:ind w:left="1539" w:hanging="1539" w:hangingChars="697"/>
        <w:rPr>
          <w:rFonts w:ascii="宋体" w:hAnsi="宋体" w:cs="宋体"/>
          <w:b/>
          <w:bCs/>
          <w:color w:val="auto"/>
          <w:sz w:val="22"/>
          <w:szCs w:val="22"/>
          <w:highlight w:val="none"/>
        </w:rPr>
      </w:pPr>
    </w:p>
    <w:p w14:paraId="7032E3A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房屋建筑和市政基础设施工程应按国家、省、市住房城乡建设主管部门发布的有关用工实名制、工人工资支付分账管理办法、规定等文件要求实施用工实名制、工人工资支付分账。</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84224"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14" name="文本框 174"/>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14:paraId="1C34B38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upright="1"/>
                    </wps:wsp>
                  </a:graphicData>
                </a:graphic>
              </wp:anchor>
            </w:drawing>
          </mc:Choice>
          <mc:Fallback>
            <w:pict>
              <v:shape id="文本框 174" o:spid="_x0000_s1026" o:spt="202" type="#_x0000_t202" style="position:absolute;left:0pt;margin-left:-9pt;margin-top:0.1pt;height:47.8pt;width:77pt;z-index:252084224;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faILDVAAAABwEAAA8AAAAAAAAAAQAgAAAAIgAAAGRycy9kb3ducmV2LnhtbFBLAQIUABQA&#10;AAAIAIdO4kCtCiyzugEAAF8DAAAOAAAAAAAAAAEAIAAAACQBAABkcnMvZTJvRG9jLnhtbFBLBQYA&#10;AAAABgAGAFkBAABQBQAAAAA=&#10;">
                <v:fill on="f" focussize="0,0"/>
                <v:stroke on="f"/>
                <v:imagedata o:title=""/>
                <o:lock v:ext="edit" aspectratio="f"/>
                <v:textbox>
                  <w:txbxContent>
                    <w:p w14:paraId="1C34B382">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53BC090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7F1DF59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建筑施工实名制以建设项目为管理单位。施工总承包企业对实名制管理负总责；专业承包企业和劳务分包企业按照合同约定，对本企业施工范围的实名制管理负责。建设单位、施工总承包企业、专业承包企业和劳务分包企业存在违反有关文件规定情形的，需承担相应的责任。</w:t>
      </w:r>
    </w:p>
    <w:p w14:paraId="367CACC6">
      <w:pPr>
        <w:adjustRightInd w:val="0"/>
        <w:snapToGrid w:val="0"/>
        <w:spacing w:line="420" w:lineRule="exact"/>
        <w:ind w:left="1539" w:hanging="1539" w:hangingChars="697"/>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45.3  </w:t>
      </w:r>
      <w:r>
        <w:rPr>
          <w:rFonts w:hint="eastAsia" w:ascii="宋体" w:hAnsi="宋体" w:cs="宋体"/>
          <w:b/>
          <w:bCs/>
          <w:color w:val="auto"/>
          <w:sz w:val="22"/>
          <w:szCs w:val="22"/>
          <w:highlight w:val="none"/>
          <w:u w:val="dotted"/>
        </w:rPr>
        <w:t xml:space="preserve">                                                                               </w:t>
      </w:r>
    </w:p>
    <w:p w14:paraId="48757108">
      <w:pPr>
        <w:adjustRightInd w:val="0"/>
        <w:snapToGrid w:val="0"/>
        <w:spacing w:line="420" w:lineRule="exact"/>
        <w:ind w:left="1539" w:hanging="1539" w:hangingChars="697"/>
        <w:rPr>
          <w:rFonts w:ascii="宋体" w:hAnsi="宋体" w:cs="宋体"/>
          <w:b/>
          <w:bCs/>
          <w:color w:val="auto"/>
          <w:sz w:val="22"/>
          <w:szCs w:val="22"/>
          <w:highlight w:val="none"/>
        </w:rPr>
      </w:pPr>
    </w:p>
    <w:p w14:paraId="138CC87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86" name="文本框 17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34D07E0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175" o:spid="_x0000_s1026" o:spt="202" type="#_x0000_t202" style="position:absolute;left:0pt;margin-left:-9pt;margin-top:0.1pt;height:31.2pt;width:77pt;z-index:251836416;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OUMidQAAAAHAQAADwAAAAAAAAABACAAAAAiAAAAZHJzL2Rvd25yZXYueG1sUEsBAhQAFAAA&#10;AAgAh07iQEtjh9+6AQAAXwMAAA4AAAAAAAAAAQAgAAAAIwEAAGRycy9lMm9Eb2MueG1sUEsFBgAA&#10;AAAGAAYAWQEAAE8FAAAAAA==&#10;">
                <v:fill on="f" focussize="0,0"/>
                <v:stroke on="f"/>
                <v:imagedata o:title=""/>
                <o:lock v:ext="edit" aspectratio="f"/>
                <v:textbox>
                  <w:txbxContent>
                    <w:p w14:paraId="34D07E0F">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在合同工程实施、完成及保修期间，发包人承担下列责任：</w:t>
      </w:r>
    </w:p>
    <w:p w14:paraId="38F3F59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（1）发包人应配合承包人做好绿色施工安全防护工作，定期对其现场机构雇佣的全部人员进行绿色施工安全防护教育和培训。</w:t>
      </w:r>
    </w:p>
    <w:p w14:paraId="5D3AFB4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（2）发包人应对其现场机构雇佣的全部人员的安全事故承担责任，但由于承包人原因造成发包人人员安全事故的，应由承包人承担责任。</w:t>
      </w:r>
    </w:p>
    <w:p w14:paraId="7C75928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（3）发包人有下列行为之一或由于发包人原因造成安全事故的，由发包人承担责任，由此增加的费用和延误的工期由发包人承担。</w:t>
      </w:r>
    </w:p>
    <w:p w14:paraId="30CB545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1）要求承包人违反绿色施工安全防护操作规程施工的；</w:t>
      </w:r>
    </w:p>
    <w:p w14:paraId="65EA5AB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2）对承包人提出不符合国家、省有关安绿色施工安全防护全文明施工法律和强制性标准规定要求的；</w:t>
      </w:r>
    </w:p>
    <w:p w14:paraId="23B2096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3）明示或暗示承包人购买、租赁、使用不符合安全施工要求的安全防护用具、机械设备、施工机具及配件、消防设施和器材的。</w:t>
      </w:r>
    </w:p>
    <w:p w14:paraId="0AD3C91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（4）发包人应负责赔偿下列情形造成的第三者人身伤亡和财产损失。</w:t>
      </w:r>
    </w:p>
    <w:p w14:paraId="49CEE93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1）工程或工程的任何部分对土地的占用所造成的第三者财产损失；</w:t>
      </w:r>
    </w:p>
    <w:p w14:paraId="7241013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2）由于发包人原因在施工场地及其毗邻造成的第三者人身伤亡和财产损失。</w:t>
      </w:r>
    </w:p>
    <w:p w14:paraId="6D926D01">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45.4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74820955">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87" name="文本框 176"/>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14:paraId="6DA8350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176" o:spid="_x0000_s1026" o:spt="202" type="#_x0000_t202" style="position:absolute;left:0pt;margin-left:-9pt;margin-top:15.6pt;height:44.65pt;width:81pt;z-index:251837440;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FmwW2AAAAAoBAAAPAAAAAAAAAAEAIAAAACIAAABkcnMvZG93bnJldi54bWxQSwECFAAU&#10;AAAACACHTuJA/ZljEbgBAABgAwAADgAAAAAAAAABACAAAAAnAQAAZHJzL2Uyb0RvYy54bWxQSwUG&#10;AAAAAAYABgBZAQAAUQUAAAAA&#10;">
                <v:fill on="f" focussize="0,0"/>
                <v:stroke on="f"/>
                <v:imagedata o:title=""/>
                <o:lock v:ext="edit" aspectratio="f"/>
                <v:textbox>
                  <w:txbxContent>
                    <w:p w14:paraId="6DA8350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37116B9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在合同工程实施、完成及保修期间，承包人承担下列责任：</w:t>
      </w:r>
    </w:p>
    <w:p w14:paraId="452A18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（1）承包人应严格按照国家、省、市有关绿色施工安全防护的标准、内容与规范制定绿色施工安全防护操作规程，配备必要的安全生产和劳动保护设施，加强对承包人人员的施工安全教育和培训。</w:t>
      </w:r>
    </w:p>
    <w:p w14:paraId="54AB858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（2）承包人应对合同工程的绿色施工安全防护负责，采取有效的安全措施消除安全事故隐患，并接受和配合依法实施的监督检查。</w:t>
      </w:r>
    </w:p>
    <w:p w14:paraId="52008DA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5359458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（4）承包人应按监理工程师的指令制定应对灾害的紧急预案，并按预案做好安全检查，配置必要的救助物资和器材，切实保护好有关人员的人身和财产安全。</w:t>
      </w:r>
    </w:p>
    <w:p w14:paraId="637A0AA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（5）承包人违反本条规定或由于承包人原因造成安全事故的，由承包人承担责任，由此增加的费用和延误的工期由承包人承担。</w:t>
      </w:r>
    </w:p>
    <w:p w14:paraId="5F1B31A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（6）承包人应对其履行合同所雇佣的全部人员，包括分包人人员的安全事故承担责任，但由于发包人原因造成承包人人员安全事故的，应由发包人承担责任。</w:t>
      </w:r>
    </w:p>
    <w:p w14:paraId="29C3427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（7）由于承包人原因在施工场地内及其毗邻造成的第三者人身伤亡和财产损失，由承包人负责赔偿。</w:t>
      </w:r>
    </w:p>
    <w:p w14:paraId="7132527D">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45.5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458B35D7">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88" name="文本框 177"/>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14:paraId="3B133D3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177" o:spid="_x0000_s1026" o:spt="202" type="#_x0000_t202" style="position:absolute;left:0pt;margin-left:-9pt;margin-top:17.3pt;height:37.75pt;width:75.15pt;z-index:251838464;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bHsGtcAAAAKAQAADwAAAAAAAAABACAAAAAiAAAAZHJzL2Rvd25yZXYueG1sUEsBAhQA&#10;FAAAAAgAh07iQOcbu+W6AQAAXwMAAA4AAAAAAAAAAQAgAAAAJgEAAGRycy9lMm9Eb2MueG1sUEsF&#10;BgAAAAAGAAYAWQEAAFIFAAAAAA==&#10;">
                <v:fill on="f" focussize="0,0"/>
                <v:stroke on="f"/>
                <v:imagedata o:title=""/>
                <o:lock v:ext="edit" aspectratio="f"/>
                <v:textbox>
                  <w:txbxContent>
                    <w:p w14:paraId="3B133D35">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245CD09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04FDCD30">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45.6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304018F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39488"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89" name="文本框 17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14:paraId="7BD4D5A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178" o:spid="_x0000_s1026" o:spt="202" type="#_x0000_t202" style="position:absolute;left:0pt;margin-left:-6.6pt;margin-top:0.9pt;height:56.7pt;width:63pt;z-index:251839488;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YEY0dQAAAAJAQAADwAAAAAAAAABACAAAAAiAAAAZHJzL2Rvd25yZXYueG1sUEsBAhQAFAAAAAgA&#10;h07iQGVUZsq3AQAAXwMAAA4AAAAAAAAAAQAgAAAAIwEAAGRycy9lMm9Eb2MueG1sUEsFBgAAAAAG&#10;AAYAWQEAAEwFAAAAAA==&#10;">
                <v:fill on="f" focussize="0,0"/>
                <v:stroke on="f"/>
                <v:imagedata o:title=""/>
                <o:lock v:ext="edit" aspectratio="f"/>
                <v:textbox>
                  <w:txbxContent>
                    <w:p w14:paraId="7BD4D5A1">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合同双方当事人不仅应协助现场治安管理机构或联防组织维护施工场地的社会治安，而且应做好包括有关人员现场生活、居住场所在内的施工场地内的治安保卫工作。</w:t>
      </w:r>
    </w:p>
    <w:p w14:paraId="438AC22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19D4F30D">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45.7  </w:t>
      </w:r>
      <w:r>
        <w:rPr>
          <w:rFonts w:hint="eastAsia" w:ascii="宋体" w:hAnsi="宋体" w:cs="宋体"/>
          <w:b/>
          <w:bCs/>
          <w:color w:val="auto"/>
          <w:sz w:val="22"/>
          <w:szCs w:val="22"/>
          <w:highlight w:val="none"/>
          <w:u w:val="dotted"/>
        </w:rPr>
        <w:t xml:space="preserve">                                                                                      </w:t>
      </w:r>
    </w:p>
    <w:p w14:paraId="294A876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0512"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90" name="文本框 17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14:paraId="6310036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文本框 179" o:spid="_x0000_s1026" o:spt="202" type="#_x0000_t202" style="position:absolute;left:0pt;margin-left:-5.8pt;margin-top:1.25pt;height:51.25pt;width:68.8pt;z-index:251840512;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wBm/WAAAACQEAAA8AAAAAAAAAAQAgAAAAIgAAAGRycy9kb3ducmV2LnhtbFBLAQIUABQA&#10;AAAIAIdO4kDEcsFSuQEAAF8DAAAOAAAAAAAAAAEAIAAAACUBAABkcnMvZTJvRG9jLnhtbFBLBQYA&#10;AAAABgAGAFkBAABQBQAAAAA=&#10;">
                <v:fill on="f" focussize="0,0"/>
                <v:stroke on="f"/>
                <v:imagedata o:title=""/>
                <o:lock v:ext="edit" aspectratio="f"/>
                <v:textbox>
                  <w:txbxContent>
                    <w:p w14:paraId="63100368">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375F3EB3">
      <w:pPr>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 xml:space="preserve">45.8  </w:t>
      </w:r>
      <w:r>
        <w:rPr>
          <w:rFonts w:hint="eastAsia" w:ascii="宋体" w:hAnsi="宋体" w:cs="宋体"/>
          <w:b/>
          <w:bCs/>
          <w:color w:val="auto"/>
          <w:sz w:val="22"/>
          <w:szCs w:val="22"/>
          <w:highlight w:val="none"/>
          <w:u w:val="dotted"/>
        </w:rPr>
        <w:t xml:space="preserve">                                                                                 </w:t>
      </w:r>
    </w:p>
    <w:p w14:paraId="763706B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91" name="文本框 180"/>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57D2CD33">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wrap="square" upright="1"/>
                    </wps:wsp>
                  </a:graphicData>
                </a:graphic>
              </wp:anchor>
            </w:drawing>
          </mc:Choice>
          <mc:Fallback>
            <w:pict>
              <v:shape id="文本框 180" o:spid="_x0000_s1026" o:spt="202" type="#_x0000_t202" style="position:absolute;left:0pt;margin-left:0pt;margin-top:1.35pt;height:46.8pt;width:68.8pt;z-index:25184153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7enTDUAAAABQEAAA8AAAAAAAAAAQAgAAAAIgAAAGRycy9kb3ducmV2LnhtbFBLAQIUABQAAAAI&#10;AIdO4kDVOjFNuAEAAF8DAAAOAAAAAAAAAAEAIAAAACMBAABkcnMvZTJvRG9jLnhtbFBLBQYAAAAA&#10;BgAGAFkBAABNBQAAAAA=&#10;">
                <v:fill on="f" focussize="0,0"/>
                <v:stroke on="f"/>
                <v:imagedata o:title=""/>
                <o:lock v:ext="edit" aspectratio="f"/>
                <v:textbox>
                  <w:txbxContent>
                    <w:p w14:paraId="57D2CD33">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发包人应配合承包人加强绿色施工安全防护管理，鼓励承包人实施省、市级或其它级别文明工地。对于工程获得省、市级或其它级别文明工地的，应按照第80条规定向承包人支付文明工地增加费。</w:t>
      </w:r>
    </w:p>
    <w:p w14:paraId="54180CF3">
      <w:pPr>
        <w:adjustRightInd w:val="0"/>
        <w:snapToGrid w:val="0"/>
        <w:spacing w:line="420" w:lineRule="exact"/>
        <w:rPr>
          <w:rFonts w:hint="eastAsia" w:ascii="仿宋_GB2312" w:hAnsi="仿宋_GB2312" w:eastAsia="仿宋_GB2312" w:cs="仿宋_GB2312"/>
          <w:color w:val="auto"/>
          <w:sz w:val="24"/>
          <w:szCs w:val="24"/>
          <w:highlight w:val="none"/>
          <w:lang w:val="en-US" w:eastAsia="zh-CN"/>
        </w:rPr>
      </w:pPr>
      <w:r>
        <w:rPr>
          <w:rFonts w:hint="eastAsia" w:ascii="宋体" w:hAnsi="宋体" w:cs="宋体"/>
          <w:b/>
          <w:bCs/>
          <w:color w:val="auto"/>
          <w:sz w:val="22"/>
          <w:szCs w:val="22"/>
          <w:highlight w:val="none"/>
        </w:rPr>
        <w:t xml:space="preserve">45.9 </w:t>
      </w:r>
      <w:r>
        <w:rPr>
          <w:rFonts w:hint="eastAsia" w:ascii="宋体" w:hAnsi="宋体" w:cs="宋体"/>
          <w:b/>
          <w:bCs/>
          <w:color w:val="auto"/>
          <w:sz w:val="22"/>
          <w:szCs w:val="22"/>
          <w:highlight w:val="none"/>
          <w:u w:val="dotted"/>
        </w:rPr>
        <w:t xml:space="preserve">                                                                                 </w:t>
      </w:r>
    </w:p>
    <w:p w14:paraId="2B96472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78080"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1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4450C035">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181" o:spid="_x0000_s1026" o:spt="202" type="#_x0000_t202" style="position:absolute;left:0pt;margin-left:0pt;margin-top:1.35pt;height:46.8pt;width:68.8pt;z-index:252078080;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3p0w1AAAAAUBAAAPAAAAAAAAAAEAIAAAACIAAABkcnMvZG93bnJldi54bWxQSwECFAAUAAAA&#10;CACHTuJA5pqRbrkBAABfAwAADgAAAAAAAAABACAAAAAjAQAAZHJzL2Uyb0RvYy54bWxQSwUGAAAA&#10;AAYABgBZAQAATgUAAAAA&#10;">
                <v:fill on="f" focussize="0,0"/>
                <v:stroke on="f"/>
                <v:imagedata o:title=""/>
                <o:lock v:ext="edit" aspectratio="f"/>
                <v:textbox>
                  <w:txbxContent>
                    <w:p w14:paraId="4450C035">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E2C668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承包人在动力设备、输电线路、地下管道、密封防震车间、易燃易爆地段以及临街交通要道附近施工时，施工开始前应向发包人和监理人提出安全防护措施，经发包人认可后实施。 </w:t>
      </w:r>
    </w:p>
    <w:p w14:paraId="5E7D303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实施爆破作业，在放射、毒害性环境中施工（含储存、运输、使用）及使用毒害性、腐蚀性物品施工时，承包人应在施工前7天以书面通知发包人和监理人，并报送相应的安全防护措施，经发包人认可后实施。</w:t>
      </w:r>
    </w:p>
    <w:p w14:paraId="7320DDF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需单独编制危险性较大分部分项专项工程施工方案的，及要求进行专家论证的超过一定规模的危险性较大的分部分项工程，承包人应及时编制和组织论证。</w:t>
      </w:r>
    </w:p>
    <w:p w14:paraId="4A1273D9">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670F6F3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2" w:name="_Toc10624869"/>
      <w:bookmarkStart w:id="483" w:name="_Toc469384029"/>
      <w:r>
        <w:rPr>
          <w:rFonts w:hint="eastAsia" w:ascii="黑体" w:hAnsi="黑体" w:eastAsia="黑体" w:cs="黑体"/>
          <w:b w:val="0"/>
          <w:bCs/>
          <w:color w:val="auto"/>
          <w:kern w:val="0"/>
          <w:sz w:val="24"/>
          <w:szCs w:val="24"/>
          <w:highlight w:val="none"/>
          <w:lang w:val="en-US" w:eastAsia="zh-CN" w:bidi="ar-SA"/>
        </w:rPr>
        <w:t>46  测量放线</w:t>
      </w:r>
      <w:bookmarkEnd w:id="482"/>
      <w:bookmarkEnd w:id="483"/>
    </w:p>
    <w:p w14:paraId="77EC40C9">
      <w:pPr>
        <w:widowControl w:val="0"/>
        <w:tabs>
          <w:tab w:val="left" w:pos="1202"/>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92" name="文本框 182"/>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14:paraId="4428E3A3">
                            <w:pPr>
                              <w:rPr>
                                <w:rFonts w:ascii="宋体" w:hAnsi="Calibri" w:cs="Times New Roman"/>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182" o:spid="_x0000_s1026" o:spt="202" type="#_x0000_t202" style="position:absolute;left:0pt;margin-left:-9pt;margin-top:22.55pt;height:43pt;width:72pt;z-index:251842560;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t63nXAAAACgEAAA8AAAAAAAAAAQAgAAAAIgAAAGRycy9kb3ducmV2LnhtbFBLAQIUABQA&#10;AAAIAIdO4kCvjYvluAEAAF8DAAAOAAAAAAAAAAEAIAAAACYBAABkcnMvZTJvRG9jLnhtbFBLBQYA&#10;AAAABgAGAFkBAABQBQAAAAA=&#10;">
                <v:fill on="f" focussize="0,0"/>
                <v:stroke on="f"/>
                <v:imagedata o:title=""/>
                <o:lock v:ext="edit" aspectratio="f"/>
                <v:textbox>
                  <w:txbxContent>
                    <w:p w14:paraId="4428E3A3">
                      <w:pPr>
                        <w:rPr>
                          <w:rFonts w:ascii="宋体" w:hAnsi="Calibri"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46.1</w:t>
      </w:r>
    </w:p>
    <w:p w14:paraId="1C7F0A0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39714D8B">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46.2  </w:t>
      </w:r>
      <w:r>
        <w:rPr>
          <w:rFonts w:hint="eastAsia" w:ascii="宋体" w:hAnsi="宋体" w:cs="宋体"/>
          <w:b/>
          <w:bCs/>
          <w:color w:val="auto"/>
          <w:sz w:val="22"/>
          <w:szCs w:val="22"/>
          <w:highlight w:val="none"/>
          <w:u w:val="dotted"/>
        </w:rPr>
        <w:t xml:space="preserve">                                                                              </w:t>
      </w:r>
    </w:p>
    <w:p w14:paraId="356B6431">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93" name="文本框 183"/>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14:paraId="31D02645">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183" o:spid="_x0000_s1026" o:spt="202" type="#_x0000_t202" style="position:absolute;left:0pt;margin-left:-9pt;margin-top:16.9pt;height:53.35pt;width:72pt;z-index:251843584;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k0tp1wAAAAoBAAAPAAAAAAAAAAEAIAAAACIAAABkcnMvZG93bnJldi54bWxQSwECFAAU&#10;AAAACACHTuJA5F4x5bkBAABfAwAADgAAAAAAAAABACAAAAAmAQAAZHJzL2Uyb0RvYy54bWxQSwUG&#10;AAAAAAYABgBZAQAAUQUAAAAA&#10;">
                <v:fill on="f" focussize="0,0"/>
                <v:stroke on="f"/>
                <v:imagedata o:title=""/>
                <o:lock v:ext="edit" aspectratio="f"/>
                <v:textbox>
                  <w:txbxContent>
                    <w:p w14:paraId="31D02645">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57A8F78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承包人应负责施工控制网点的管理。施工控制网点丢失或损坏的，承包人应及时修复。承包人应承担施工控制网点的管理与修复费用，并在工程竣工后将施工控制网点移交发包人。</w:t>
      </w:r>
    </w:p>
    <w:p w14:paraId="733E4B2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监理工程师需要使用施工控制网的，承包人应提供必要的协助，发包人无需为此支付任何费用。</w:t>
      </w:r>
    </w:p>
    <w:p w14:paraId="240EEC3D">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46.3  </w:t>
      </w:r>
      <w:r>
        <w:rPr>
          <w:rFonts w:hint="eastAsia" w:ascii="宋体" w:hAnsi="宋体" w:cs="宋体"/>
          <w:b/>
          <w:bCs/>
          <w:color w:val="auto"/>
          <w:sz w:val="22"/>
          <w:szCs w:val="22"/>
          <w:highlight w:val="none"/>
          <w:u w:val="dotted"/>
        </w:rPr>
        <w:t xml:space="preserve">                                                                              </w:t>
      </w:r>
    </w:p>
    <w:p w14:paraId="2B5F9D44">
      <w:pPr>
        <w:adjustRightInd w:val="0"/>
        <w:snapToGrid w:val="0"/>
        <w:spacing w:line="420" w:lineRule="exact"/>
        <w:rPr>
          <w:rFonts w:ascii="宋体" w:hAnsi="宋体" w:cs="宋体"/>
          <w:color w:val="auto"/>
          <w:sz w:val="22"/>
          <w:szCs w:val="22"/>
          <w:highlight w:val="none"/>
        </w:rPr>
      </w:pPr>
    </w:p>
    <w:p w14:paraId="44DCBB5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94" name="文本框 18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030D6F2A">
                            <w:pPr>
                              <w:spacing w:line="200" w:lineRule="exact"/>
                              <w:rPr>
                                <w:rFonts w:ascii="Calibri" w:hAnsi="Calibri"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184" o:spid="_x0000_s1026" o:spt="202" type="#_x0000_t202" style="position:absolute;left:0pt;margin-left:-9pt;margin-top:-0.5pt;height:42.6pt;width:72pt;z-index:251844608;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LLC81QAAAAkBAAAPAAAAAAAAAAEAIAAAACIAAABkcnMvZG93bnJldi54bWxQSwECFAAUAAAA&#10;CACHTuJAydWHCLgBAABfAwAADgAAAAAAAAABACAAAAAkAQAAZHJzL2Uyb0RvYy54bWxQSwUGAAAA&#10;AAYABgBZAQAATgUAAAAA&#10;">
                <v:fill on="f" focussize="0,0"/>
                <v:stroke on="f"/>
                <v:imagedata o:title=""/>
                <o:lock v:ext="edit" aspectratio="f"/>
                <v:textbox>
                  <w:txbxContent>
                    <w:p w14:paraId="030D6F2A">
                      <w:pPr>
                        <w:spacing w:line="200" w:lineRule="exact"/>
                        <w:rPr>
                          <w:rFonts w:ascii="Calibri" w:hAnsi="Calibri"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40E7CE86">
      <w:pPr>
        <w:widowControl w:val="0"/>
        <w:tabs>
          <w:tab w:val="left" w:pos="720"/>
          <w:tab w:val="left" w:pos="1080"/>
        </w:tabs>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46.4 </w:t>
      </w:r>
      <w:r>
        <w:rPr>
          <w:rFonts w:hint="eastAsia" w:ascii="宋体" w:hAnsi="宋体" w:eastAsia="宋体" w:cs="宋体"/>
          <w:b/>
          <w:bCs/>
          <w:color w:val="auto"/>
          <w:kern w:val="2"/>
          <w:sz w:val="22"/>
          <w:szCs w:val="22"/>
          <w:highlight w:val="none"/>
          <w:u w:val="dotted"/>
          <w:lang w:val="en-US" w:eastAsia="zh-CN" w:bidi="ar-SA"/>
        </w:rPr>
        <w:t xml:space="preserve">                                                                               </w:t>
      </w:r>
    </w:p>
    <w:p w14:paraId="0F23A423">
      <w:pPr>
        <w:spacing w:line="420" w:lineRule="exact"/>
        <w:rPr>
          <w:rFonts w:ascii="宋体" w:hAnsi="宋体" w:cs="宋体"/>
          <w:color w:val="auto"/>
          <w:sz w:val="22"/>
          <w:szCs w:val="22"/>
          <w:highlight w:val="none"/>
        </w:rPr>
      </w:pPr>
    </w:p>
    <w:p w14:paraId="4E4A3B7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45632"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95" name="文本框 185"/>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14:paraId="4E3E69D1">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185" o:spid="_x0000_s1026" o:spt="202" type="#_x0000_t202" style="position:absolute;left:0pt;margin-left:-5.25pt;margin-top:0.65pt;height:29.6pt;width:72pt;z-index:251845632;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ssAs0wAAAAgBAAAPAAAAAAAAAAEAIAAAACIAAABkcnMvZG93bnJldi54bWxQSwECFAAUAAAA&#10;CACHTuJA4W20droBAABfAwAADgAAAAAAAAABACAAAAAiAQAAZHJzL2Uyb0RvYy54bWxQSwUGAAAA&#10;AAYABgBZAQAATgUAAAAA&#10;">
                <v:fill on="f" focussize="0,0"/>
                <v:stroke on="f"/>
                <v:imagedata o:title=""/>
                <o:lock v:ext="edit" aspectratio="f"/>
                <v:textbox>
                  <w:txbxContent>
                    <w:p w14:paraId="4E3E69D1">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4455F64C">
      <w:pPr>
        <w:widowControl w:val="0"/>
        <w:tabs>
          <w:tab w:val="left" w:pos="720"/>
          <w:tab w:val="left" w:pos="108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46.5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96" name="文本框 18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50B2E5E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186" o:spid="_x0000_s1026" o:spt="202" type="#_x0000_t202" style="position:absolute;left:0pt;margin-left:-9pt;margin-top:21.9pt;height:35.3pt;width:72pt;z-index:251846656;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S6lP1wAAAAoBAAAPAAAAAAAAAAEAIAAAACIAAABkcnMvZG93bnJldi54bWxQSwECFAAU&#10;AAAACACHTuJAgGxv0LkBAABfAwAADgAAAAAAAAABACAAAAAmAQAAZHJzL2Uyb0RvYy54bWxQSwUG&#10;AAAAAAYABgBZAQAAUQUAAAAA&#10;">
                <v:fill on="f" focussize="0,0"/>
                <v:stroke on="f"/>
                <v:imagedata o:title=""/>
                <o:lock v:ext="edit" aspectratio="f"/>
                <v:textbox>
                  <w:txbxContent>
                    <w:p w14:paraId="50B2E5E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auto"/>
          <w:kern w:val="2"/>
          <w:sz w:val="22"/>
          <w:szCs w:val="22"/>
          <w:highlight w:val="none"/>
          <w:u w:val="dotted"/>
          <w:lang w:val="en-US" w:eastAsia="zh-CN" w:bidi="ar-SA"/>
        </w:rPr>
        <w:t xml:space="preserve">      </w:t>
      </w:r>
    </w:p>
    <w:p w14:paraId="7E0EC3A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72CAA047">
      <w:pPr>
        <w:widowControl w:val="0"/>
        <w:tabs>
          <w:tab w:val="left" w:pos="2070"/>
        </w:tabs>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393868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4" w:name="_Toc10624870"/>
      <w:bookmarkStart w:id="485" w:name="_Toc469384030"/>
      <w:r>
        <w:rPr>
          <w:rFonts w:hint="eastAsia" w:ascii="黑体" w:hAnsi="黑体" w:eastAsia="黑体" w:cs="黑体"/>
          <w:b w:val="0"/>
          <w:bCs/>
          <w:color w:val="auto"/>
          <w:kern w:val="0"/>
          <w:sz w:val="24"/>
          <w:szCs w:val="24"/>
          <w:highlight w:val="none"/>
          <w:lang w:val="en-US" w:eastAsia="zh-CN" w:bidi="ar-SA"/>
        </w:rPr>
        <w:t>47  钻孔与勘探性开挖</w:t>
      </w:r>
      <w:bookmarkEnd w:id="484"/>
      <w:bookmarkEnd w:id="485"/>
    </w:p>
    <w:p w14:paraId="24ECE4A3">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97" name="文本框 18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14:paraId="744F103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187" o:spid="_x0000_s1026" o:spt="202" type="#_x0000_t202" style="position:absolute;left:0pt;margin-left:-10.5pt;margin-top:22.45pt;height:51.05pt;width:72pt;z-index:251847680;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YtmqtcAAAAKAQAADwAAAAAAAAABACAAAAAiAAAAZHJzL2Rvd25yZXYueG1sUEsBAhQA&#10;FAAAAAgAh07iQM2HXtC6AQAAXwMAAA4AAAAAAAAAAQAgAAAAJgEAAGRycy9lMm9Eb2MueG1sUEsF&#10;BgAAAAAGAAYAWQEAAFIFAAAAAA==&#10;">
                <v:fill on="f" focussize="0,0"/>
                <v:stroke on="f"/>
                <v:imagedata o:title=""/>
                <o:lock v:ext="edit" aspectratio="f"/>
                <v:textbox>
                  <w:txbxContent>
                    <w:p w14:paraId="744F103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47.1</w:t>
      </w:r>
    </w:p>
    <w:p w14:paraId="6922787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在施工过程中，如果需要承包人进行钻孔或勘探性开挖（含疏浚工作在内）工作的，监理工程师应就此项工作按照第56条规定书面发出专项指令。承包人在接到监理工程师指令后，应及时实施相关工作。</w:t>
      </w:r>
    </w:p>
    <w:p w14:paraId="696E2E80">
      <w:pPr>
        <w:widowControl w:val="0"/>
        <w:tabs>
          <w:tab w:val="left" w:pos="720"/>
          <w:tab w:val="left" w:pos="108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8704"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98" name="文本框 188"/>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14:paraId="7CC225C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7525D232">
                            <w:pPr>
                              <w:spacing w:line="200" w:lineRule="exact"/>
                              <w:rPr>
                                <w:rFonts w:ascii="Times New Roman" w:hAnsi="Times New Roman" w:cs="Times New Roman"/>
                                <w:sz w:val="18"/>
                                <w:szCs w:val="18"/>
                              </w:rPr>
                            </w:pPr>
                          </w:p>
                        </w:txbxContent>
                      </wps:txbx>
                      <wps:bodyPr wrap="square" upright="1"/>
                    </wps:wsp>
                  </a:graphicData>
                </a:graphic>
              </wp:anchor>
            </w:drawing>
          </mc:Choice>
          <mc:Fallback>
            <w:pict>
              <v:shape id="文本框 188" o:spid="_x0000_s1026" o:spt="202" type="#_x0000_t202" style="position:absolute;left:0pt;margin-left:-10.5pt;margin-top:15.7pt;height:55.05pt;width:72pt;z-index:251848704;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QzzG1wAAAAoBAAAPAAAAAAAAAAEAIAAAACIAAABkcnMvZG93bnJldi54bWxQSwECFAAU&#10;AAAACACHTuJAhgzJybkBAABfAwAADgAAAAAAAAABACAAAAAmAQAAZHJzL2Uyb0RvYy54bWxQSwUG&#10;AAAAAAYABgBZAQAAUQUAAAAA&#10;">
                <v:fill on="f" focussize="0,0"/>
                <v:stroke on="f"/>
                <v:imagedata o:title=""/>
                <o:lock v:ext="edit" aspectratio="f"/>
                <v:textbox>
                  <w:txbxContent>
                    <w:p w14:paraId="7CC225C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7525D232">
                      <w:pPr>
                        <w:spacing w:line="200" w:lineRule="exact"/>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47.2 </w:t>
      </w:r>
      <w:r>
        <w:rPr>
          <w:rFonts w:hint="eastAsia" w:ascii="宋体" w:hAnsi="宋体" w:eastAsia="宋体" w:cs="宋体"/>
          <w:b/>
          <w:bCs/>
          <w:color w:val="auto"/>
          <w:kern w:val="2"/>
          <w:sz w:val="22"/>
          <w:szCs w:val="22"/>
          <w:highlight w:val="none"/>
          <w:u w:val="dotted"/>
          <w:lang w:val="en-US" w:eastAsia="zh-CN" w:bidi="ar-SA"/>
        </w:rPr>
        <w:t xml:space="preserve">                                                                               </w:t>
      </w:r>
    </w:p>
    <w:p w14:paraId="1A537A5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除工程量清单中已列有此类工作的支付项目和额度外，此项工作所发生的一切费用，经造价工程师核实后，由合同双方当事人按照第72条规定办理。</w:t>
      </w:r>
    </w:p>
    <w:p w14:paraId="354C50E7">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445F8D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6" w:name="_Toc469384031"/>
      <w:bookmarkStart w:id="487" w:name="_Toc10624871"/>
      <w:r>
        <w:rPr>
          <w:rFonts w:hint="eastAsia" w:ascii="黑体" w:hAnsi="黑体" w:eastAsia="黑体" w:cs="黑体"/>
          <w:b w:val="0"/>
          <w:bCs/>
          <w:color w:val="auto"/>
          <w:kern w:val="0"/>
          <w:sz w:val="24"/>
          <w:szCs w:val="24"/>
          <w:highlight w:val="none"/>
          <w:lang w:val="en-US" w:eastAsia="zh-CN" w:bidi="ar-SA"/>
        </w:rPr>
        <w:t>48  发包人供应材料和工程设备</w:t>
      </w:r>
      <w:bookmarkEnd w:id="486"/>
      <w:bookmarkEnd w:id="487"/>
    </w:p>
    <w:p w14:paraId="54E53ABC">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99" name="文本框 189"/>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53BC327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189" o:spid="_x0000_s1026" o:spt="202" type="#_x0000_t202" style="position:absolute;left:0pt;margin-left:-9pt;margin-top:21.95pt;height:40.55pt;width:72pt;z-index:251849728;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46Eg41wAAAAoBAAAPAAAAAAAAAAEAIAAAACIAAABkcnMvZG93bnJldi54bWxQSwECFAAU&#10;AAAACACHTuJAy208yLkBAABfAwAADgAAAAAAAAABACAAAAAmAQAAZHJzL2Uyb0RvYy54bWxQSwUG&#10;AAAAAAYABgBZAQAAUQUAAAAA&#10;">
                <v:fill on="f" focussize="0,0"/>
                <v:stroke on="f"/>
                <v:imagedata o:title=""/>
                <o:lock v:ext="edit" aspectratio="f"/>
                <v:textbox>
                  <w:txbxContent>
                    <w:p w14:paraId="53BC327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48.1</w:t>
      </w:r>
    </w:p>
    <w:p w14:paraId="1AB9756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750EB684">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25FD536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0752"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00" name="文本框 1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79A94C2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190" o:spid="_x0000_s1026" o:spt="202" type="#_x0000_t202" style="position:absolute;left:0pt;margin-left:-5.25pt;margin-top:3.75pt;height:40.55pt;width:72pt;z-index:251850752;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RngLzVAAAACAEAAA8AAAAAAAAAAQAgAAAAIgAAAGRycy9kb3ducmV2LnhtbFBLAQIUABQAAAAI&#10;AIdO4kDREgBktwEAAF8DAAAOAAAAAAAAAAEAIAAAACQBAABkcnMvZTJvRG9jLnhtbFBLBQYAAAAA&#10;BgAGAFkBAABNBQAAAAA=&#10;">
                <v:fill on="f" focussize="0,0"/>
                <v:stroke on="f"/>
                <v:imagedata o:title=""/>
                <o:lock v:ext="edit" aspectratio="f"/>
                <v:textbox>
                  <w:txbxContent>
                    <w:p w14:paraId="79A94C2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2604E70D">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48.3  </w:t>
      </w:r>
      <w:r>
        <w:rPr>
          <w:rFonts w:hint="eastAsia" w:ascii="宋体" w:hAnsi="宋体" w:eastAsia="宋体" w:cs="宋体"/>
          <w:b/>
          <w:bCs/>
          <w:color w:val="auto"/>
          <w:kern w:val="2"/>
          <w:sz w:val="22"/>
          <w:szCs w:val="22"/>
          <w:highlight w:val="none"/>
          <w:u w:val="dotted"/>
          <w:lang w:val="en-US" w:eastAsia="zh-CN" w:bidi="ar-SA"/>
        </w:rPr>
        <w:t xml:space="preserve">                                                                                       </w:t>
      </w:r>
    </w:p>
    <w:p w14:paraId="1894B7E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01" name="文本框 191"/>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14:paraId="79BD5A0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wrap="square" upright="1"/>
                    </wps:wsp>
                  </a:graphicData>
                </a:graphic>
              </wp:anchor>
            </w:drawing>
          </mc:Choice>
          <mc:Fallback>
            <w:pict>
              <v:shape id="文本框 191" o:spid="_x0000_s1026" o:spt="202" type="#_x0000_t202" style="position:absolute;left:0pt;margin-left:-9pt;margin-top:0.2pt;height:35.65pt;width:76.2pt;z-index:251851776;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813xdUAAAAHAQAADwAAAAAAAAABACAAAAAiAAAAZHJzL2Rvd25yZXYueG1sUEsBAhQAFAAA&#10;AAgAh07iQJe/hVO5AQAAXwMAAA4AAAAAAAAAAQAgAAAAJAEAAGRycy9lMm9Eb2MueG1sUEsFBgAA&#10;AAAGAAYAWQEAAE8FAAAAAA==&#10;">
                <v:fill on="f" focussize="0,0"/>
                <v:stroke on="f"/>
                <v:imagedata o:title=""/>
                <o:lock v:ext="edit" aspectratio="f"/>
                <v:textbox>
                  <w:txbxContent>
                    <w:p w14:paraId="79BD5A0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0F3081FE">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48.4  </w:t>
      </w:r>
      <w:r>
        <w:rPr>
          <w:rFonts w:hint="eastAsia" w:ascii="宋体" w:hAnsi="宋体" w:eastAsia="宋体" w:cs="宋体"/>
          <w:b/>
          <w:bCs/>
          <w:color w:val="auto"/>
          <w:kern w:val="2"/>
          <w:sz w:val="22"/>
          <w:szCs w:val="22"/>
          <w:highlight w:val="none"/>
          <w:u w:val="dotted"/>
          <w:lang w:val="en-US" w:eastAsia="zh-CN" w:bidi="ar-SA"/>
        </w:rPr>
        <w:t xml:space="preserve">                                                                                       </w:t>
      </w:r>
    </w:p>
    <w:p w14:paraId="024BBBC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02" name="文本框 192"/>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14:paraId="6B82575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wrap="square" upright="1"/>
                    </wps:wsp>
                  </a:graphicData>
                </a:graphic>
              </wp:anchor>
            </w:drawing>
          </mc:Choice>
          <mc:Fallback>
            <w:pict>
              <v:shape id="文本框 192" o:spid="_x0000_s1026" o:spt="202" type="#_x0000_t202" style="position:absolute;left:0pt;margin-left:-9pt;margin-top:0.7pt;height:80.25pt;width:72pt;z-index:251852800;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nwNh9UAAAAJAQAADwAAAAAAAAABACAAAAAiAAAAZHJzL2Rvd25yZXYueG1sUEsBAhQAFAAA&#10;AAgAh07iQB3nCDK5AQAAYAMAAA4AAAAAAAAAAQAgAAAAJAEAAGRycy9lMm9Eb2MueG1sUEsFBgAA&#10;AAAGAAYAWQEAAE8FAAAAAA==&#10;">
                <v:fill on="f" focussize="0,0"/>
                <v:stroke on="f"/>
                <v:imagedata o:title=""/>
                <o:lock v:ext="edit" aspectratio="f"/>
                <v:textbox>
                  <w:txbxContent>
                    <w:p w14:paraId="6B82575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26B97C29">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48.5  </w:t>
      </w:r>
      <w:r>
        <w:rPr>
          <w:rFonts w:hint="eastAsia" w:ascii="宋体" w:hAnsi="宋体" w:eastAsia="宋体" w:cs="宋体"/>
          <w:color w:val="auto"/>
          <w:kern w:val="2"/>
          <w:sz w:val="22"/>
          <w:szCs w:val="22"/>
          <w:highlight w:val="none"/>
          <w:u w:val="dotted"/>
          <w:lang w:val="en-US" w:eastAsia="zh-CN" w:bidi="ar-SA"/>
        </w:rPr>
        <w:t xml:space="preserve">                                                                                        </w:t>
      </w:r>
    </w:p>
    <w:p w14:paraId="56C52F4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03" name="文本框 19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1BF3505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wrap="square" upright="1"/>
                    </wps:wsp>
                  </a:graphicData>
                </a:graphic>
              </wp:anchor>
            </w:drawing>
          </mc:Choice>
          <mc:Fallback>
            <w:pict>
              <v:shape id="文本框 193" o:spid="_x0000_s1026" o:spt="202" type="#_x0000_t202" style="position:absolute;left:0pt;margin-left:-9pt;margin-top:0.7pt;height:46.8pt;width:72pt;z-index:251853824;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w3QSNQAAAAIAQAADwAAAAAAAAABACAAAAAiAAAAZHJzL2Rvd25yZXYueG1sUEsBAhQAFAAA&#10;AAgAh07iQA4cGLC6AQAAXwMAAA4AAAAAAAAAAQAgAAAAIwEAAGRycy9lMm9Eb2MueG1sUEsFBgAA&#10;AAAGAAYAWQEAAE8FAAAAAA==&#10;">
                <v:fill on="f" focussize="0,0"/>
                <v:stroke on="f"/>
                <v:imagedata o:title=""/>
                <o:lock v:ext="edit" aspectratio="f"/>
                <v:textbox>
                  <w:txbxContent>
                    <w:p w14:paraId="1BF3505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0072B4C8">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48.6  </w:t>
      </w:r>
      <w:r>
        <w:rPr>
          <w:rFonts w:hint="eastAsia" w:ascii="宋体" w:hAnsi="宋体" w:eastAsia="宋体" w:cs="宋体"/>
          <w:b/>
          <w:bCs/>
          <w:color w:val="auto"/>
          <w:kern w:val="2"/>
          <w:sz w:val="22"/>
          <w:szCs w:val="22"/>
          <w:highlight w:val="none"/>
          <w:u w:val="dotted"/>
          <w:lang w:val="en-US" w:eastAsia="zh-CN" w:bidi="ar-SA"/>
        </w:rPr>
        <w:t xml:space="preserve">                                                                                       </w:t>
      </w:r>
    </w:p>
    <w:p w14:paraId="59E109D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04" name="文本框 194"/>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14:paraId="6B5C33C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wrap="square" upright="1"/>
                    </wps:wsp>
                  </a:graphicData>
                </a:graphic>
              </wp:anchor>
            </w:drawing>
          </mc:Choice>
          <mc:Fallback>
            <w:pict>
              <v:shape id="文本框 194" o:spid="_x0000_s1026" o:spt="202" type="#_x0000_t202" style="position:absolute;left:0pt;margin-left:-9pt;margin-top:1.45pt;height:71.55pt;width:72pt;z-index:251854848;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KojI9UAAAAJAQAADwAAAAAAAAABACAAAAAiAAAAZHJzL2Rvd25yZXYueG1sUEsBAhQAFAAA&#10;AAgAh07iQK1vatq5AQAAXwMAAA4AAAAAAAAAAQAgAAAAJAEAAGRycy9lMm9Eb2MueG1sUEsFBgAA&#10;AAAGAAYAWQEAAE8FAAAAAA==&#10;">
                <v:fill on="f" focussize="0,0"/>
                <v:stroke on="f"/>
                <v:imagedata o:title=""/>
                <o:lock v:ext="edit" aspectratio="f"/>
                <v:textbox>
                  <w:txbxContent>
                    <w:p w14:paraId="6B5C33C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发包人供应的材料和工程设备与一览表不符时，发包人应按照下列规定承担相应责任：</w:t>
      </w:r>
    </w:p>
    <w:p w14:paraId="7200E44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（1）材料和工程设备的单价与一览表不符，由发包人承担所有价差；</w:t>
      </w:r>
    </w:p>
    <w:p w14:paraId="342D4BA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（2）材料和工程设备的品种、规格、型号、质量标准与一览表不符，承包人可以拒绝接受保管，由发包人运出施工场地并重新采购；</w:t>
      </w:r>
    </w:p>
    <w:p w14:paraId="12D3E81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（3）材料和工程设备的品种、规格、型号、质量标准与一览表不符，经发包人同意，承包人可代为调剂替换，由发包人承担相应费用；</w:t>
      </w:r>
    </w:p>
    <w:p w14:paraId="2E73505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（4）交货地点与一览表不符，除合同双方当事人协商确定外，由发包人重新运至一览表指定地点，并承担由此增加的费用和（或）延误的工期；</w:t>
      </w:r>
    </w:p>
    <w:p w14:paraId="1D042F6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（5）供应数量少于一览表约定的数量时，由发包人补齐；多于一览表约定的数量时，发包人应将多出的部分运出施工场地；</w:t>
      </w:r>
    </w:p>
    <w:p w14:paraId="5E616FD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（6）交货时间早于一览表约定计划和第48.2款交货日期，由发包人承担由此发生的保管费；交货时间迟于一览表约定计划和第48.2款交货日期，由发包人承担由此增加的费用和（或）延误的工期。</w:t>
      </w:r>
    </w:p>
    <w:p w14:paraId="46306AD7">
      <w:pPr>
        <w:widowControl w:val="0"/>
        <w:tabs>
          <w:tab w:val="left" w:pos="216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48.7 </w:t>
      </w:r>
      <w:r>
        <w:rPr>
          <w:rFonts w:hint="eastAsia" w:ascii="宋体" w:hAnsi="宋体" w:eastAsia="宋体" w:cs="宋体"/>
          <w:b/>
          <w:bCs/>
          <w:color w:val="auto"/>
          <w:kern w:val="2"/>
          <w:sz w:val="22"/>
          <w:szCs w:val="22"/>
          <w:highlight w:val="none"/>
          <w:u w:val="dotted"/>
          <w:lang w:val="en-US" w:eastAsia="zh-CN" w:bidi="ar-SA"/>
        </w:rPr>
        <w:t xml:space="preserve">                                                                                 </w:t>
      </w:r>
    </w:p>
    <w:p w14:paraId="62E3611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05" name="文本框 195"/>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14:paraId="63F83E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195" o:spid="_x0000_s1026" o:spt="202" type="#_x0000_t202" style="position:absolute;left:0pt;margin-left:-9pt;margin-top:1.35pt;height:48.15pt;width:72pt;z-index:251855872;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nRnpdUAAAAIAQAADwAAAAAAAAABACAAAAAiAAAAZHJzL2Rvd25yZXYueG1sUEsBAhQAFAAA&#10;AAgAh07iQKgL25i5AQAAXwMAAA4AAAAAAAAAAQAgAAAAJAEAAGRycy9lMm9Eb2MueG1sUEsFBgAA&#10;AAAGAAYAWQEAAE8FAAAAAA==&#10;">
                <v:fill on="f" focussize="0,0"/>
                <v:stroke on="f"/>
                <v:imagedata o:title=""/>
                <o:lock v:ext="edit" aspectratio="f"/>
                <v:textbox>
                  <w:txbxContent>
                    <w:p w14:paraId="63F83E9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4AF53364">
      <w:pPr>
        <w:widowControl w:val="0"/>
        <w:adjustRightInd w:val="0"/>
        <w:snapToGrid w:val="0"/>
        <w:spacing w:before="120" w:beforeLines="50"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48.8  </w:t>
      </w:r>
      <w:r>
        <w:rPr>
          <w:rFonts w:hint="eastAsia" w:ascii="宋体" w:hAnsi="宋体" w:eastAsia="宋体" w:cs="宋体"/>
          <w:b/>
          <w:bCs/>
          <w:color w:val="auto"/>
          <w:kern w:val="2"/>
          <w:sz w:val="22"/>
          <w:szCs w:val="22"/>
          <w:highlight w:val="none"/>
          <w:u w:val="dotted"/>
          <w:lang w:val="en-US" w:eastAsia="zh-CN" w:bidi="ar-SA"/>
        </w:rPr>
        <w:t xml:space="preserve">                                                                                      </w:t>
      </w:r>
    </w:p>
    <w:p w14:paraId="6C8AF30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06" name="文本框 19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76B5D9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196" o:spid="_x0000_s1026" o:spt="202" type="#_x0000_t202" style="position:absolute;left:0pt;margin-left:-9pt;margin-top:0.6pt;height:23.4pt;width:81pt;z-index:251856896;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WJoN1AAAAAgBAAAPAAAAAAAAAAEAIAAAACIAAABkcnMvZG93bnJldi54bWxQSwECFAAUAAAA&#10;CACHTuJAPLNUq7kBAABgAwAADgAAAAAAAAABACAAAAAjAQAAZHJzL2Uyb0RvYy54bWxQSwUGAAAA&#10;AAYABgBZAQAATgUAAAAA&#10;">
                <v:fill on="f" focussize="0,0"/>
                <v:stroke on="f"/>
                <v:imagedata o:title=""/>
                <o:lock v:ext="edit" aspectratio="f"/>
                <v:textbox>
                  <w:txbxContent>
                    <w:p w14:paraId="676B5D95">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435FDB93">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EE627D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88" w:name="_Toc469384032"/>
      <w:bookmarkStart w:id="489" w:name="_Toc10624872"/>
      <w:r>
        <w:rPr>
          <w:rFonts w:hint="eastAsia" w:ascii="黑体" w:hAnsi="黑体" w:eastAsia="黑体" w:cs="黑体"/>
          <w:b w:val="0"/>
          <w:bCs/>
          <w:color w:val="auto"/>
          <w:kern w:val="0"/>
          <w:sz w:val="24"/>
          <w:szCs w:val="24"/>
          <w:highlight w:val="none"/>
          <w:lang w:val="en-US" w:eastAsia="zh-CN" w:bidi="ar-SA"/>
        </w:rPr>
        <w:t>49  承包人采购材料和工程设备</w:t>
      </w:r>
      <w:bookmarkEnd w:id="488"/>
      <w:bookmarkEnd w:id="489"/>
    </w:p>
    <w:p w14:paraId="0FD6C2D9">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49.1 </w:t>
      </w:r>
    </w:p>
    <w:p w14:paraId="51C5061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07" name="文本框 197"/>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6EEC01A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197" o:spid="_x0000_s1026" o:spt="202" type="#_x0000_t202" style="position:absolute;left:0pt;margin-left:-9pt;margin-top:1.35pt;height:38.3pt;width:72pt;z-index:25185792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BP/plnuQEAAF8DAAAOAAAAAAAAAAEAIAAAACUBAABkcnMvZTJvRG9jLnhtbFBLBQYA&#10;AAAABgAGAFkBAABQBQAAAAA=&#10;">
                <v:fill on="f" focussize="0,0"/>
                <v:stroke on="f"/>
                <v:imagedata o:title=""/>
                <o:lock v:ext="edit" aspectratio="f"/>
                <v:textbox>
                  <w:txbxContent>
                    <w:p w14:paraId="6EEC01A7">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54A52147">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49.2 </w:t>
      </w:r>
      <w:r>
        <w:rPr>
          <w:rFonts w:hint="eastAsia" w:ascii="宋体" w:hAnsi="宋体" w:eastAsia="宋体" w:cs="宋体"/>
          <w:b/>
          <w:bCs/>
          <w:color w:val="auto"/>
          <w:kern w:val="2"/>
          <w:sz w:val="22"/>
          <w:szCs w:val="22"/>
          <w:highlight w:val="none"/>
          <w:u w:val="dotted"/>
          <w:lang w:val="en-US" w:eastAsia="zh-CN" w:bidi="ar-SA"/>
        </w:rPr>
        <w:t xml:space="preserve">                                                                               </w:t>
      </w:r>
    </w:p>
    <w:p w14:paraId="6138E69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08" name="文本框 1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37459CB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198" o:spid="_x0000_s1026" o:spt="202" type="#_x0000_t202" style="position:absolute;left:0pt;margin-left:-9pt;margin-top:1.35pt;height:38.3pt;width:72pt;z-index:251858944;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AvywXTuQEAAF8DAAAOAAAAAAAAAAEAIAAAACUBAABkcnMvZTJvRG9jLnhtbFBLBQYA&#10;AAAABgAGAFkBAABQBQAAAAA=&#10;">
                <v:fill on="f" focussize="0,0"/>
                <v:stroke on="f"/>
                <v:imagedata o:title=""/>
                <o:lock v:ext="edit" aspectratio="f"/>
                <v:textbox>
                  <w:txbxContent>
                    <w:p w14:paraId="37459CB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48AC7D41">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49.3  </w:t>
      </w:r>
      <w:r>
        <w:rPr>
          <w:rFonts w:hint="eastAsia" w:ascii="宋体" w:hAnsi="宋体" w:eastAsia="宋体" w:cs="宋体"/>
          <w:b/>
          <w:bCs/>
          <w:color w:val="auto"/>
          <w:kern w:val="2"/>
          <w:sz w:val="22"/>
          <w:szCs w:val="22"/>
          <w:highlight w:val="none"/>
          <w:u w:val="dotted"/>
          <w:lang w:val="en-US" w:eastAsia="zh-CN" w:bidi="ar-SA"/>
        </w:rPr>
        <w:t xml:space="preserve">                                                                                      </w:t>
      </w:r>
    </w:p>
    <w:p w14:paraId="3684845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09" name="文本框 1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4765B2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199" o:spid="_x0000_s1026" o:spt="202" type="#_x0000_t202" style="position:absolute;left:0pt;margin-left:-9pt;margin-top:0.1pt;height:62.4pt;width:72pt;z-index:251859968;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Q8Kq1AAAAAgBAAAPAAAAAAAAAAEAIAAAACIAAABkcnMvZG93bnJldi54bWxQSwECFAAUAAAA&#10;CACHTuJAujyMybkBAABfAwAADgAAAAAAAAABACAAAAAjAQAAZHJzL2Uyb0RvYy54bWxQSwUGAAAA&#10;AAYABgBZAQAATgUAAAAA&#10;">
                <v:fill on="f" focussize="0,0"/>
                <v:stroke on="f"/>
                <v:imagedata o:title=""/>
                <o:lock v:ext="edit" aspectratio="f"/>
                <v:textbox>
                  <w:txbxContent>
                    <w:p w14:paraId="14765B2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11CC9534">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49.4  </w:t>
      </w:r>
      <w:r>
        <w:rPr>
          <w:rFonts w:hint="eastAsia" w:ascii="宋体" w:hAnsi="宋体" w:eastAsia="宋体" w:cs="宋体"/>
          <w:b/>
          <w:bCs/>
          <w:color w:val="auto"/>
          <w:kern w:val="2"/>
          <w:sz w:val="22"/>
          <w:szCs w:val="22"/>
          <w:highlight w:val="none"/>
          <w:u w:val="dotted"/>
          <w:lang w:val="en-US" w:eastAsia="zh-CN" w:bidi="ar-SA"/>
        </w:rPr>
        <w:t xml:space="preserve">                                                                                      </w:t>
      </w:r>
    </w:p>
    <w:p w14:paraId="60545CE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10" name="文本框 2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4F50236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00" o:spid="_x0000_s1026" o:spt="202" type="#_x0000_t202" style="position:absolute;left:0pt;margin-left:-9pt;margin-top:-0.4pt;height:62.4pt;width:72pt;z-index:251860992;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46q4vUAAAACQEAAA8AAAAAAAAAAQAgAAAAIgAAAGRycy9kb3ducmV2LnhtbFBLAQIUABQAAAAI&#10;AIdO4kB1m0ZquAEAAF8DAAAOAAAAAAAAAAEAIAAAACMBAABkcnMvZTJvRG9jLnhtbFBLBQYAAAAA&#10;BgAGAFkBAABNBQAAAAA=&#10;">
                <v:fill on="f" focussize="0,0"/>
                <v:stroke on="f"/>
                <v:imagedata o:title=""/>
                <o:lock v:ext="edit" aspectratio="f"/>
                <v:textbox>
                  <w:txbxContent>
                    <w:p w14:paraId="4F50236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189D0037">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11" name="文本框 201"/>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14:paraId="6923D1C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01" o:spid="_x0000_s1026" o:spt="202" type="#_x0000_t202" style="position:absolute;left:0pt;margin-left:-9pt;margin-top:19.1pt;height:34.8pt;width:72pt;z-index:251862016;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3mNR1wAAAAoBAAAPAAAAAAAAAAEAIAAAACIAAABkcnMvZG93bnJldi54bWxQSwECFAAU&#10;AAAACACHTuJAkiZIF7kBAABfAwAADgAAAAAAAAABACAAAAAmAQAAZHJzL2Uyb0RvYy54bWxQSwUG&#10;AAAAAAYABgBZAQAAUQUAAAAA&#10;">
                <v:fill on="f" focussize="0,0"/>
                <v:stroke on="f"/>
                <v:imagedata o:title=""/>
                <o:lock v:ext="edit" aspectratio="f"/>
                <v:textbox>
                  <w:txbxContent>
                    <w:p w14:paraId="6923D1CC">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49.5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C83C0A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14:paraId="44E421C3">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49.6  </w:t>
      </w:r>
      <w:r>
        <w:rPr>
          <w:rFonts w:hint="eastAsia" w:ascii="宋体" w:hAnsi="宋体" w:eastAsia="宋体" w:cs="宋体"/>
          <w:b/>
          <w:bCs/>
          <w:color w:val="auto"/>
          <w:kern w:val="2"/>
          <w:sz w:val="22"/>
          <w:szCs w:val="22"/>
          <w:highlight w:val="none"/>
          <w:u w:val="dotted"/>
          <w:lang w:val="en-US" w:eastAsia="zh-CN" w:bidi="ar-SA"/>
        </w:rPr>
        <w:t xml:space="preserve">                                                                                       </w:t>
      </w:r>
    </w:p>
    <w:p w14:paraId="17A893D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12" name="文本框 202"/>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14:paraId="765F63C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02" o:spid="_x0000_s1026" o:spt="202" type="#_x0000_t202" style="position:absolute;left:0pt;margin-left:-9pt;margin-top:3.6pt;height:32.35pt;width:72pt;z-index:251863040;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f+s3bUAAAACAEAAA8AAAAAAAAAAQAgAAAAIgAAAGRycy9kb3ducmV2LnhtbFBLAQIUABQAAAAI&#10;AIdO4kD4prALuAEAAF8DAAAOAAAAAAAAAAEAIAAAACMBAABkcnMvZTJvRG9jLnhtbFBLBQYAAAAA&#10;BgAGAFkBAABNBQAAAAA=&#10;">
                <v:fill on="f" focussize="0,0"/>
                <v:stroke on="f"/>
                <v:imagedata o:title=""/>
                <o:lock v:ext="edit" aspectratio="f"/>
                <v:textbox>
                  <w:txbxContent>
                    <w:p w14:paraId="765F63C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340AEE05">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49.7  </w:t>
      </w:r>
      <w:r>
        <w:rPr>
          <w:rFonts w:hint="eastAsia" w:ascii="宋体" w:hAnsi="宋体" w:eastAsia="宋体" w:cs="宋体"/>
          <w:b/>
          <w:bCs/>
          <w:color w:val="auto"/>
          <w:kern w:val="2"/>
          <w:sz w:val="22"/>
          <w:szCs w:val="22"/>
          <w:highlight w:val="none"/>
          <w:u w:val="dotted"/>
          <w:lang w:val="en-US" w:eastAsia="zh-CN" w:bidi="ar-SA"/>
        </w:rPr>
        <w:t xml:space="preserve">                                                                                       </w:t>
      </w:r>
    </w:p>
    <w:p w14:paraId="47537C6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13" name="文本框 203"/>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14:paraId="18B7EC3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03" o:spid="_x0000_s1026" o:spt="202" type="#_x0000_t202" style="position:absolute;left:0pt;margin-left:-9pt;margin-top:2.4pt;height:64.5pt;width:72pt;z-index:251864064;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v9s9z1gAAAAkBAAAPAAAAAAAAAAEAIAAAACIAAABkcnMvZG93bnJldi54bWxQSwECFAAU&#10;AAAACACHTuJAxzIBSLoBAABfAwAADgAAAAAAAAABACAAAAAlAQAAZHJzL2Uyb0RvYy54bWxQSwUG&#10;AAAAAAYABgBZAQAAUQUAAAAA&#10;">
                <v:fill on="f" focussize="0,0"/>
                <v:stroke on="f"/>
                <v:imagedata o:title=""/>
                <o:lock v:ext="edit" aspectratio="f"/>
                <v:textbox>
                  <w:txbxContent>
                    <w:p w14:paraId="18B7EC34">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47F406F9">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14" name="文本框 20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52B14E9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04" o:spid="_x0000_s1026" o:spt="202" type="#_x0000_t202" style="position:absolute;left:0pt;margin-left:-9pt;margin-top:16.3pt;height:56.05pt;width:72pt;z-index:251865088;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UP621wAAAAoBAAAPAAAAAAAAAAEAIAAAACIAAABkcnMvZG93bnJldi54bWxQSwECFAAU&#10;AAAACACHTuJAUnFrMLkBAABfAwAADgAAAAAAAAABACAAAAAmAQAAZHJzL2Uyb0RvYy54bWxQSwUG&#10;AAAAAAYABgBZAQAAUQUAAAAA&#10;">
                <v:fill on="f" focussize="0,0"/>
                <v:stroke on="f"/>
                <v:imagedata o:title=""/>
                <o:lock v:ext="edit" aspectratio="f"/>
                <v:textbox>
                  <w:txbxContent>
                    <w:p w14:paraId="52B14E9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49.8  </w:t>
      </w:r>
      <w:r>
        <w:rPr>
          <w:rFonts w:hint="eastAsia" w:ascii="宋体" w:hAnsi="宋体" w:eastAsia="宋体" w:cs="宋体"/>
          <w:b/>
          <w:bCs/>
          <w:color w:val="auto"/>
          <w:kern w:val="2"/>
          <w:sz w:val="22"/>
          <w:szCs w:val="22"/>
          <w:highlight w:val="none"/>
          <w:u w:val="dotted"/>
          <w:lang w:val="en-US" w:eastAsia="zh-CN" w:bidi="ar-SA"/>
        </w:rPr>
        <w:t xml:space="preserve">                                                                                       </w:t>
      </w:r>
    </w:p>
    <w:p w14:paraId="6663D20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承包人采购材料和工程设备的，除专用条款另有约定外，发包人不得指定生产厂家或供应商。</w:t>
      </w:r>
    </w:p>
    <w:p w14:paraId="65594264">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033C09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0" w:name="_Toc469384033"/>
      <w:bookmarkStart w:id="491" w:name="_Toc10624873"/>
      <w:r>
        <w:rPr>
          <w:rFonts w:hint="eastAsia" w:ascii="黑体" w:hAnsi="黑体" w:eastAsia="黑体" w:cs="黑体"/>
          <w:b w:val="0"/>
          <w:bCs/>
          <w:color w:val="auto"/>
          <w:kern w:val="0"/>
          <w:sz w:val="24"/>
          <w:szCs w:val="24"/>
          <w:highlight w:val="none"/>
          <w:lang w:val="en-US" w:eastAsia="zh-CN" w:bidi="ar-SA"/>
        </w:rPr>
        <w:t>50  材料和工程设备的检验试验</w:t>
      </w:r>
      <w:bookmarkEnd w:id="490"/>
      <w:bookmarkEnd w:id="491"/>
    </w:p>
    <w:p w14:paraId="362C48F7">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50.1</w:t>
      </w:r>
    </w:p>
    <w:p w14:paraId="2D50071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15" name="文本框 205"/>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14:paraId="2AF1AF2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05" o:spid="_x0000_s1026" o:spt="202" type="#_x0000_t202" style="position:absolute;left:0pt;margin-left:-9pt;margin-top:0.05pt;height:39.85pt;width:72pt;z-index:251866112;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kk+t9QAAAAHAQAADwAAAAAAAAABACAAAAAiAAAAZHJzL2Rvd25yZXYueG1sUEsBAhQAFAAA&#10;AAgAh07iQMncazi6AQAAXwMAAA4AAAAAAAAAAQAgAAAAIwEAAGRycy9lMm9Eb2MueG1sUEsFBgAA&#10;AAAGAAYAWQEAAE8FAAAAAA==&#10;">
                <v:fill on="f" focussize="0,0"/>
                <v:stroke on="f"/>
                <v:imagedata o:title=""/>
                <o:lock v:ext="edit" aspectratio="f"/>
                <v:textbox>
                  <w:txbxContent>
                    <w:p w14:paraId="2AF1AF21">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监理工程师及其委派的代表可进入施工场地、材料和工程设备的制造、加工或制配车间等场所参加材料和工程设备等产品的检验试验。承包人应为他们进入上述场所及开展相关工作提供便利和协助。</w:t>
      </w:r>
    </w:p>
    <w:p w14:paraId="4419BA5E">
      <w:pPr>
        <w:widowControl w:val="0"/>
        <w:tabs>
          <w:tab w:val="left" w:pos="360"/>
          <w:tab w:val="left" w:pos="720"/>
        </w:tabs>
        <w:adjustRightInd w:val="0"/>
        <w:snapToGrid w:val="0"/>
        <w:spacing w:line="420" w:lineRule="exact"/>
        <w:ind w:firstLine="0"/>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50.2  </w:t>
      </w:r>
      <w:r>
        <w:rPr>
          <w:rFonts w:hint="eastAsia" w:ascii="宋体" w:hAnsi="宋体" w:eastAsia="宋体" w:cs="宋体"/>
          <w:b/>
          <w:bCs/>
          <w:color w:val="auto"/>
          <w:kern w:val="2"/>
          <w:sz w:val="22"/>
          <w:szCs w:val="22"/>
          <w:highlight w:val="none"/>
          <w:u w:val="dotted"/>
          <w:lang w:val="en-US" w:eastAsia="zh-CN" w:bidi="ar-SA"/>
        </w:rPr>
        <w:t xml:space="preserve">                                                                              </w:t>
      </w:r>
    </w:p>
    <w:p w14:paraId="6DDACBA8">
      <w:pPr>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16" name="文本框 206"/>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14:paraId="3794D96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06" o:spid="_x0000_s1026" o:spt="202" type="#_x0000_t202" style="position:absolute;left:0pt;margin-left:-9pt;margin-top:12.15pt;height:45.1pt;width:72pt;z-index:251867136;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2bk3TYAAAACgEAAA8AAAAAAAAAAQAgAAAAIgAAAGRycy9kb3ducmV2LnhtbFBLAQIU&#10;ABQAAAAIAIdO4kCUXk9lugEAAF8DAAAOAAAAAAAAAAEAIAAAACcBAABkcnMvZTJvRG9jLnhtbFBL&#10;BQYAAAAABgAGAFkBAABTBQAAAAA=&#10;">
                <v:fill on="f" focussize="0,0"/>
                <v:stroke on="f"/>
                <v:imagedata o:title=""/>
                <o:lock v:ext="edit" aspectratio="f"/>
                <v:textbox>
                  <w:txbxContent>
                    <w:p w14:paraId="3794D962">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5F74F7F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材料和工程设备等产品的检验试验，包括见证取样和不见证取样两种情形：</w:t>
      </w:r>
    </w:p>
    <w:p w14:paraId="03D98D2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14:paraId="01DED37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3276DBE3">
      <w:pPr>
        <w:widowControl w:val="0"/>
        <w:adjustRightInd w:val="0"/>
        <w:snapToGrid w:val="0"/>
        <w:spacing w:line="420" w:lineRule="exact"/>
        <w:ind w:left="1484" w:leftChars="1" w:hanging="1482" w:hangingChars="671"/>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50.3 </w:t>
      </w:r>
      <w:r>
        <w:rPr>
          <w:rFonts w:hint="eastAsia" w:ascii="宋体" w:hAnsi="宋体" w:eastAsia="宋体" w:cs="宋体"/>
          <w:b/>
          <w:bCs/>
          <w:color w:val="auto"/>
          <w:kern w:val="2"/>
          <w:sz w:val="22"/>
          <w:szCs w:val="22"/>
          <w:highlight w:val="none"/>
          <w:u w:val="dotted"/>
          <w:lang w:val="en-US" w:eastAsia="zh-CN" w:bidi="ar-SA"/>
        </w:rPr>
        <w:t xml:space="preserve">                                                                               </w:t>
      </w:r>
    </w:p>
    <w:p w14:paraId="6D039E3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8160"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17" name="文本框 207"/>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14:paraId="314E220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07" o:spid="_x0000_s1026" o:spt="202" type="#_x0000_t202" style="position:absolute;left:0pt;margin-left:-5.25pt;margin-top:0.9pt;height:43.9pt;width:72pt;z-index:251868160;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h+lsNQAAAAIAQAADwAAAAAAAAABACAAAAAiAAAAZHJzL2Rvd25yZXYueG1sUEsBAhQAFAAA&#10;AAgAh07iQGTMMhC6AQAAXwMAAA4AAAAAAAAAAQAgAAAAIwEAAGRycy9lMm9Eb2MueG1sUEsFBgAA&#10;AAAGAAYAWQEAAE8FAAAAAA==&#10;">
                <v:fill on="f" focussize="0,0"/>
                <v:stroke on="f"/>
                <v:imagedata o:title=""/>
                <o:lock v:ext="edit" aspectratio="f"/>
                <v:textbox>
                  <w:txbxContent>
                    <w:p w14:paraId="314E2203">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材料和工程设备等产品检验试验合格的，可在合同工程中使用。材料和工程设备等产品检验试验不合格的，禁止在合同工程中使用，并及时清出施工场地。</w:t>
      </w:r>
    </w:p>
    <w:p w14:paraId="570DC5CC">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50.4  </w:t>
      </w:r>
      <w:r>
        <w:rPr>
          <w:rFonts w:hint="eastAsia" w:ascii="宋体" w:hAnsi="宋体" w:eastAsia="宋体" w:cs="宋体"/>
          <w:b/>
          <w:bCs/>
          <w:color w:val="auto"/>
          <w:kern w:val="2"/>
          <w:sz w:val="22"/>
          <w:szCs w:val="22"/>
          <w:highlight w:val="none"/>
          <w:u w:val="dotted"/>
          <w:lang w:val="en-US" w:eastAsia="zh-CN" w:bidi="ar-SA"/>
        </w:rPr>
        <w:t xml:space="preserve">                                                                              </w:t>
      </w:r>
    </w:p>
    <w:p w14:paraId="529D5BC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18" name="文本框 208"/>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6F7E586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08" o:spid="_x0000_s1026" o:spt="202" type="#_x0000_t202" style="position:absolute;left:0pt;margin-left:-9pt;margin-top:1.2pt;height:43.75pt;width:72pt;z-index:251869184;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EegNUAAAAIAQAADwAAAAAAAAABACAAAAAiAAAAZHJzL2Rvd25yZXYueG1sUEsBAhQAFAAA&#10;AAgAh07iQHyj0vq5AQAAXwMAAA4AAAAAAAAAAQAgAAAAJAEAAGRycy9lMm9Eb2MueG1sUEsFBgAA&#10;AAAGAAYAWQEAAE8FAAAAAA==&#10;">
                <v:fill on="f" focussize="0,0"/>
                <v:stroke on="f"/>
                <v:imagedata o:title=""/>
                <o:lock v:ext="edit" aspectratio="f"/>
                <v:textbox>
                  <w:txbxContent>
                    <w:p w14:paraId="6F7E5868">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除合同价款已包括外，材料和工程设备等产品的检验试验费，按照实际发生的费用计算。</w:t>
      </w:r>
    </w:p>
    <w:p w14:paraId="18D37D2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（1）现场使用前材料和工程设备等产品的检验试验，发包人供应的，检验试验费由发包人承担；承包人采购的，检验试验费由承包人承担。</w:t>
      </w:r>
    </w:p>
    <w:p w14:paraId="0E9B2A9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（2）施工过程中材料和工程设备等产品的检验试验，合格的，检验试验费由发包人承担。不合格的，发包人供应的，检验试验费由发包人承担；承包人采购的，检验试验费由承包人承担。</w:t>
      </w:r>
    </w:p>
    <w:p w14:paraId="70577804">
      <w:pPr>
        <w:widowControl w:val="0"/>
        <w:tabs>
          <w:tab w:val="left" w:pos="1620"/>
          <w:tab w:val="left" w:pos="1980"/>
          <w:tab w:val="left" w:pos="2520"/>
          <w:tab w:val="left" w:pos="270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50.5 </w:t>
      </w:r>
      <w:r>
        <w:rPr>
          <w:rFonts w:hint="eastAsia" w:ascii="宋体" w:hAnsi="宋体" w:eastAsia="宋体" w:cs="宋体"/>
          <w:b/>
          <w:bCs/>
          <w:color w:val="auto"/>
          <w:kern w:val="2"/>
          <w:sz w:val="22"/>
          <w:szCs w:val="22"/>
          <w:highlight w:val="none"/>
          <w:u w:val="dotted"/>
          <w:lang w:val="en-US" w:eastAsia="zh-CN" w:bidi="ar-SA"/>
        </w:rPr>
        <w:t xml:space="preserve">                                                                                        </w:t>
      </w:r>
    </w:p>
    <w:p w14:paraId="33978C4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19" name="文本框 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4FAC39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209" o:spid="_x0000_s1026" o:spt="202" type="#_x0000_t202" style="position:absolute;left:0pt;margin-left:-9pt;margin-top:0.65pt;height:31.2pt;width:72pt;z-index:25187020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doltUAAAAIAQAADwAAAAAAAAABACAAAAAiAAAAZHJzL2Rvd25yZXYueG1sUEsBAhQAFAAA&#10;AAgAh07iQFdMsse5AQAAXwMAAA4AAAAAAAAAAQAgAAAAJAEAAGRycy9lMm9Eb2MueG1sUEsFBgAA&#10;AAAGAAYAWQEAAE8FAAAAAA==&#10;">
                <v:fill on="f" focussize="0,0"/>
                <v:stroke on="f"/>
                <v:imagedata o:title=""/>
                <o:lock v:ext="edit" aspectratio="f"/>
                <v:textbox>
                  <w:txbxContent>
                    <w:p w14:paraId="74FAC39A">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监理工程师对承包人自行检验试验结果有疑问的，或重新查验检验试验结果的，可要求承包人共同对材料和工程设备等产品再次检验试验。</w:t>
      </w:r>
    </w:p>
    <w:p w14:paraId="003BCC0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（1）合格的，再次检验试验费和（或）延误的工期由发包人承担，并向承包人支付合理利润。</w:t>
      </w:r>
    </w:p>
    <w:p w14:paraId="581887B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（2）不合格的，发包人供应的，再次检验试验费和（或）延误的工期由发包人承担，并向承包人支付合理利润；承包人采购的，再次检验试验费和（或）延误的工期由承包人承担。</w:t>
      </w:r>
    </w:p>
    <w:p w14:paraId="6080749B">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50.6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20" name="文本框 210"/>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14:paraId="02C25F8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210" o:spid="_x0000_s1026" o:spt="202" type="#_x0000_t202" style="position:absolute;left:0pt;margin-left:-9pt;margin-top:19.3pt;height:54.35pt;width:72pt;z-index:251871232;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c+h9gAAAAKAQAADwAAAAAAAAABACAAAAAiAAAAZHJzL2Rvd25yZXYueG1sUEsBAhQAFAAA&#10;AAgAh07iQEGOcO62AQAAXwMAAA4AAAAAAAAAAQAgAAAAJwEAAGRycy9lMm9Eb2MueG1sUEsFBgAA&#10;AAAGAAYAWQEAAE8FAAAAAA==&#10;">
                <v:fill on="f" focussize="0,0"/>
                <v:stroke on="f"/>
                <v:imagedata o:title=""/>
                <o:lock v:ext="edit" aspectratio="f"/>
                <v:textbox>
                  <w:txbxContent>
                    <w:p w14:paraId="02C25F8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auto"/>
          <w:kern w:val="2"/>
          <w:sz w:val="22"/>
          <w:szCs w:val="22"/>
          <w:highlight w:val="none"/>
          <w:u w:val="dotted"/>
          <w:lang w:val="en-US" w:eastAsia="zh-CN" w:bidi="ar-SA"/>
        </w:rPr>
        <w:t xml:space="preserve">    </w:t>
      </w:r>
    </w:p>
    <w:p w14:paraId="433563A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合同双方当事人对材料和工程设备等产品质量有争议的，所需的检验试验费由责任方承担。双方均有责任的，由双方根据其责任划分分别承担。</w:t>
      </w:r>
    </w:p>
    <w:p w14:paraId="04033920">
      <w:pPr>
        <w:widowControl w:val="0"/>
        <w:adjustRightInd w:val="0"/>
        <w:snapToGrid w:val="0"/>
        <w:spacing w:line="420" w:lineRule="exact"/>
        <w:ind w:firstLine="0"/>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u w:val="single"/>
          <w:lang w:val="en-US" w:eastAsia="zh-CN" w:bidi="ar-SA"/>
        </w:rPr>
        <w:t xml:space="preserve">           </w:t>
      </w:r>
    </w:p>
    <w:p w14:paraId="79BB6BA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2" w:name="_Toc10624874"/>
      <w:bookmarkStart w:id="493" w:name="_Toc469384034"/>
      <w:r>
        <w:rPr>
          <w:rFonts w:hint="eastAsia" w:ascii="黑体" w:hAnsi="黑体" w:eastAsia="黑体" w:cs="黑体"/>
          <w:b w:val="0"/>
          <w:bCs/>
          <w:color w:val="auto"/>
          <w:kern w:val="0"/>
          <w:sz w:val="24"/>
          <w:szCs w:val="24"/>
          <w:highlight w:val="none"/>
          <w:lang w:val="en-US" w:eastAsia="zh-CN" w:bidi="ar-SA"/>
        </w:rPr>
        <w:t>51  施工设备和临时设施</w:t>
      </w:r>
      <w:bookmarkEnd w:id="492"/>
      <w:bookmarkEnd w:id="493"/>
    </w:p>
    <w:p w14:paraId="657B14C3">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51.1 </w:t>
      </w:r>
    </w:p>
    <w:p w14:paraId="2E676C6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21" name="文本框 21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14:paraId="5B4FB57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211" o:spid="_x0000_s1026" o:spt="202" type="#_x0000_t202" style="position:absolute;left:0pt;margin-left:-5.8pt;margin-top:0.45pt;height:59.3pt;width:77.8pt;z-index:251872256;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rW6xzVAAAACAEAAA8AAAAAAAAAAQAgAAAAIgAAAGRycy9kb3ducmV2LnhtbFBLAQIUABQA&#10;AAAIAIdO4kAzEW5MugEAAF8DAAAOAAAAAAAAAAEAIAAAACQBAABkcnMvZTJvRG9jLnhtbFBLBQYA&#10;AAAABgAGAFkBAABQBQAAAAA=&#10;">
                <v:fill on="f" focussize="0,0"/>
                <v:stroke on="f"/>
                <v:imagedata o:title=""/>
                <o:lock v:ext="edit" aspectratio="f"/>
                <v:textbox>
                  <w:txbxContent>
                    <w:p w14:paraId="5B4FB57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12D6B2A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进入施工场地的承包人施工设备，需经监理工程师核查后才能投入使用。承包人更换合同约定自身施工设备的，应经监理工程师同意并由其报发包人批准后方可实施。</w:t>
      </w:r>
    </w:p>
    <w:p w14:paraId="6CBBAD7C">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22" name="文本框 212"/>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14:paraId="6A6673D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182AA19B">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212" o:spid="_x0000_s1026" o:spt="202" type="#_x0000_t202" style="position:absolute;left:0pt;margin-left:-5.25pt;margin-top:17pt;height:54pt;width:68.8pt;z-index:251873280;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iT7A91wAAAAoBAAAPAAAAAAAAAAEAIAAAACIAAABkcnMvZG93bnJldi54bWxQSwECFAAU&#10;AAAACACHTuJApmD/LbkBAABfAwAADgAAAAAAAAABACAAAAAmAQAAZHJzL2Uyb0RvYy54bWxQSwUG&#10;AAAAAAYABgBZAQAAUQUAAAAA&#10;">
                <v:fill on="f" focussize="0,0"/>
                <v:stroke on="f"/>
                <v:imagedata o:title=""/>
                <o:lock v:ext="edit" aspectratio="f"/>
                <v:textbox>
                  <w:txbxContent>
                    <w:p w14:paraId="6A6673DD">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182AA19B">
                      <w:pPr>
                        <w:spacing w:line="240" w:lineRule="exact"/>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51.2 </w:t>
      </w:r>
      <w:r>
        <w:rPr>
          <w:rFonts w:hint="eastAsia" w:ascii="宋体" w:hAnsi="宋体" w:eastAsia="宋体" w:cs="宋体"/>
          <w:color w:val="auto"/>
          <w:kern w:val="2"/>
          <w:sz w:val="22"/>
          <w:szCs w:val="22"/>
          <w:highlight w:val="none"/>
          <w:u w:val="dotted"/>
          <w:lang w:val="en-US" w:eastAsia="zh-CN" w:bidi="ar-SA"/>
        </w:rPr>
        <w:t xml:space="preserve">                                                                                        </w:t>
      </w:r>
    </w:p>
    <w:p w14:paraId="2E87E2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如果发包人提供施工设备或临时设施的，合同双方当事人应在专用条款中约定施工设备或临时设施的品种、规格、型号和提供的时间、地点等内容。</w:t>
      </w:r>
    </w:p>
    <w:p w14:paraId="7CF93A70">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51.3 </w:t>
      </w:r>
      <w:r>
        <w:rPr>
          <w:rFonts w:hint="eastAsia" w:ascii="宋体" w:hAnsi="宋体" w:eastAsia="宋体" w:cs="宋体"/>
          <w:b/>
          <w:bCs/>
          <w:color w:val="auto"/>
          <w:kern w:val="2"/>
          <w:sz w:val="22"/>
          <w:szCs w:val="22"/>
          <w:highlight w:val="none"/>
          <w:u w:val="dotted"/>
          <w:lang w:val="en-US" w:eastAsia="zh-CN" w:bidi="ar-SA"/>
        </w:rPr>
        <w:t xml:space="preserve">                                                                                        </w:t>
      </w:r>
    </w:p>
    <w:p w14:paraId="464625B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23" name="文本框 213"/>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572C832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213" o:spid="_x0000_s1026" o:spt="202" type="#_x0000_t202" style="position:absolute;left:0pt;margin-left:-5.8pt;margin-top:0.7pt;height:51.95pt;width:68.8pt;z-index:251874304;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AXP6CWugEAAF8DAAAOAAAAAAAAAAEAIAAAACQBAABkcnMvZTJvRG9jLnhtbFBLBQYA&#10;AAAABgAGAFkBAABQBQAAAAA=&#10;">
                <v:fill on="f" focussize="0,0"/>
                <v:stroke on="f"/>
                <v:imagedata o:title=""/>
                <o:lock v:ext="edit" aspectratio="f"/>
                <v:textbox>
                  <w:txbxContent>
                    <w:p w14:paraId="572C832B">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如果承包人使用的施工设备不能满足合同工程进度计划和（或）质量要求的，监理工程师有权要求承包人增加或更换施工设备，承包人应及时增加或更换，由此增加的费用和（或）延误的工期由承包人承担。</w:t>
      </w:r>
    </w:p>
    <w:p w14:paraId="74261A82">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51.4  </w:t>
      </w:r>
      <w:r>
        <w:rPr>
          <w:rFonts w:hint="eastAsia" w:ascii="宋体" w:hAnsi="宋体" w:eastAsia="宋体" w:cs="宋体"/>
          <w:b/>
          <w:bCs/>
          <w:color w:val="auto"/>
          <w:kern w:val="2"/>
          <w:sz w:val="22"/>
          <w:szCs w:val="22"/>
          <w:highlight w:val="none"/>
          <w:u w:val="dotted"/>
          <w:lang w:val="en-US" w:eastAsia="zh-CN" w:bidi="ar-SA"/>
        </w:rPr>
        <w:t xml:space="preserve">                                                                                      </w:t>
      </w:r>
    </w:p>
    <w:p w14:paraId="4DC607D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24" name="文本框 214"/>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14:paraId="1BB8078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214" o:spid="_x0000_s1026" o:spt="202" type="#_x0000_t202" style="position:absolute;left:0pt;margin-left:-9pt;margin-top:3.65pt;height:51.9pt;width:72pt;z-index:251875328;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OqUjVAAAACQEAAA8AAAAAAAAAAQAgAAAAIgAAAGRycy9kb3ducmV2LnhtbFBLAQIUABQA&#10;AAAIAIdO4kDu1jgOugEAAF8DAAAOAAAAAAAAAAEAIAAAACQBAABkcnMvZTJvRG9jLnhtbFBLBQYA&#10;AAAABgAGAFkBAABQBQAAAAA=&#10;">
                <v:fill on="f" focussize="0,0"/>
                <v:stroke on="f"/>
                <v:imagedata o:title=""/>
                <o:lock v:ext="edit" aspectratio="f"/>
                <v:textbox>
                  <w:txbxContent>
                    <w:p w14:paraId="1BB8078F">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外，承包人不得将上述施工设备和临时设施中的任何部分运出施工场地或挪作他用。</w:t>
      </w:r>
    </w:p>
    <w:p w14:paraId="0713FE9D">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344E4F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4" w:name="_Toc469384035"/>
      <w:bookmarkStart w:id="495" w:name="_Toc10624875"/>
      <w:r>
        <w:rPr>
          <w:rFonts w:hint="eastAsia" w:ascii="黑体" w:hAnsi="黑体" w:eastAsia="黑体" w:cs="黑体"/>
          <w:b w:val="0"/>
          <w:bCs/>
          <w:color w:val="auto"/>
          <w:kern w:val="0"/>
          <w:sz w:val="24"/>
          <w:szCs w:val="24"/>
          <w:highlight w:val="none"/>
          <w:lang w:val="en-US" w:eastAsia="zh-CN" w:bidi="ar-SA"/>
        </w:rPr>
        <w:t>★52  工程质量检查</w:t>
      </w:r>
      <w:bookmarkEnd w:id="494"/>
      <w:bookmarkEnd w:id="495"/>
    </w:p>
    <w:p w14:paraId="34A35042">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52.1 </w:t>
      </w:r>
    </w:p>
    <w:p w14:paraId="28CE4A7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25" name="文本框 215"/>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14:paraId="7C28204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48A46EA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47C12E3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215" o:spid="_x0000_s1026" o:spt="202" type="#_x0000_t202" style="position:absolute;left:0pt;margin-left:-5.8pt;margin-top:0.45pt;height:41.15pt;width:77.8pt;z-index:251876352;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bvpUdUAAAAHAQAADwAAAAAAAAABACAAAAAiAAAAZHJzL2Rvd25yZXYueG1sUEsBAhQAFAAA&#10;AAgAh07iQAalco65AQAAXwMAAA4AAAAAAAAAAQAgAAAAJAEAAGRycy9lMm9Eb2MueG1sUEsFBgAA&#10;AAAGAAYAWQEAAE8FAAAAAA==&#10;">
                <v:fill on="f" focussize="0,0"/>
                <v:stroke on="f"/>
                <v:imagedata o:title=""/>
                <o:lock v:ext="edit" aspectratio="f"/>
                <v:textbox>
                  <w:txbxContent>
                    <w:p w14:paraId="7C28204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48A46EA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47C12E36">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2ED86A22">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52.2 </w:t>
      </w:r>
      <w:r>
        <w:rPr>
          <w:rFonts w:hint="eastAsia" w:ascii="宋体" w:hAnsi="宋体" w:eastAsia="宋体" w:cs="宋体"/>
          <w:b/>
          <w:bCs/>
          <w:color w:val="auto"/>
          <w:kern w:val="2"/>
          <w:sz w:val="22"/>
          <w:szCs w:val="22"/>
          <w:highlight w:val="none"/>
          <w:u w:val="dotted"/>
          <w:lang w:val="en-US" w:eastAsia="zh-CN" w:bidi="ar-SA"/>
        </w:rPr>
        <w:t xml:space="preserve">                                                                                        </w:t>
      </w:r>
    </w:p>
    <w:p w14:paraId="322BBB0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26" name="文本框 216"/>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14:paraId="5FA33A2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216" o:spid="_x0000_s1026" o:spt="202" type="#_x0000_t202" style="position:absolute;left:0pt;margin-left:-5.8pt;margin-top:0.7pt;height:35.3pt;width:68.8pt;z-index:251877376;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WpPVAAAACAEAAA8AAAAAAAAAAQAgAAAAIgAAAGRycy9kb3ducmV2LnhtbFBLAQIUABQA&#10;AAAIAIdO4kBpO/5RugEAAF8DAAAOAAAAAAAAAAEAIAAAACQBAABkcnMvZTJvRG9jLnhtbFBLBQYA&#10;AAAABgAGAFkBAABQBQAAAAA=&#10;">
                <v:fill on="f" focussize="0,0"/>
                <v:stroke on="f"/>
                <v:imagedata o:title=""/>
                <o:lock v:ext="edit" aspectratio="f"/>
                <v:textbox>
                  <w:txbxContent>
                    <w:p w14:paraId="5FA33A23">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7BCB0C4F">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52.3 </w:t>
      </w:r>
      <w:r>
        <w:rPr>
          <w:rFonts w:hint="eastAsia" w:ascii="宋体" w:hAnsi="宋体" w:eastAsia="宋体" w:cs="宋体"/>
          <w:b/>
          <w:bCs/>
          <w:color w:val="auto"/>
          <w:kern w:val="2"/>
          <w:sz w:val="22"/>
          <w:szCs w:val="22"/>
          <w:highlight w:val="none"/>
          <w:u w:val="dotted"/>
          <w:lang w:val="en-US" w:eastAsia="zh-CN" w:bidi="ar-SA"/>
        </w:rPr>
        <w:t xml:space="preserve">                                                                                        </w:t>
      </w:r>
    </w:p>
    <w:p w14:paraId="4257D79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840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27" name="文本框 21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1E4AD4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217" o:spid="_x0000_s1026" o:spt="202" type="#_x0000_t202" style="position:absolute;left:0pt;margin-left:-5.8pt;margin-top:0.7pt;height:51.95pt;width:68.8pt;z-index:25187840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FIAdUAAAAJAQAADwAAAAAAAAABACAAAAAiAAAAZHJzL2Rvd25yZXYueG1sUEsBAhQAFAAA&#10;AAgAh07iQKgrH1C5AQAAXwMAAA4AAAAAAAAAAQAgAAAAJAEAAGRycy9lMm9Eb2MueG1sUEsFBgAA&#10;AAAGAAYAWQEAAE8FAAAAAA==&#10;">
                <v:fill on="f" focussize="0,0"/>
                <v:stroke on="f"/>
                <v:imagedata o:title=""/>
                <o:lock v:ext="edit" aspectratio="f"/>
                <v:textbox>
                  <w:txbxContent>
                    <w:p w14:paraId="1E4AD4F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A9A7DAE">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52.4  </w:t>
      </w:r>
      <w:r>
        <w:rPr>
          <w:rFonts w:hint="eastAsia" w:ascii="宋体" w:hAnsi="宋体" w:eastAsia="宋体" w:cs="宋体"/>
          <w:b/>
          <w:bCs/>
          <w:color w:val="auto"/>
          <w:kern w:val="2"/>
          <w:sz w:val="22"/>
          <w:szCs w:val="22"/>
          <w:highlight w:val="none"/>
          <w:u w:val="dotted"/>
          <w:lang w:val="en-US" w:eastAsia="zh-CN" w:bidi="ar-SA"/>
        </w:rPr>
        <w:t xml:space="preserve">                                                                                       </w:t>
      </w:r>
    </w:p>
    <w:p w14:paraId="5ACABDF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28" name="文本框 218"/>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4582620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218" o:spid="_x0000_s1026" o:spt="202" type="#_x0000_t202" style="position:absolute;left:0pt;margin-left:-9pt;margin-top:3.65pt;height:34.65pt;width:72pt;z-index:2518794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GhhB1AAAAAgBAAAPAAAAAAAAAAEAIAAAACIAAABkcnMvZG93bnJldi54bWxQSwECFAAUAAAACACH&#10;TuJAexWAT7YBAABfAwAADgAAAAAAAAABACAAAAAjAQAAZHJzL2Uyb0RvYy54bWxQSwUGAAAAAAYA&#10;BgBZAQAASwUAAAAA&#10;">
                <v:fill on="f" focussize="0,0"/>
                <v:stroke on="f"/>
                <v:imagedata o:title=""/>
                <o:lock v:ext="edit" aspectratio="f"/>
                <v:textbox>
                  <w:txbxContent>
                    <w:p w14:paraId="4582620C">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监理工程师对合同工程质量的检查，不得影响承包人的正常施工。如影响施工正常进行，承包人应向发包人、监理工程师发出书面改正通知；监理工程师应及时予以改正，否则承包人有权提出并得到补偿。</w:t>
      </w:r>
    </w:p>
    <w:p w14:paraId="71B88BBC">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52.5  </w:t>
      </w:r>
      <w:r>
        <w:rPr>
          <w:rFonts w:hint="eastAsia" w:ascii="宋体" w:hAnsi="宋体" w:eastAsia="宋体" w:cs="宋体"/>
          <w:b/>
          <w:bCs/>
          <w:color w:val="auto"/>
          <w:kern w:val="2"/>
          <w:sz w:val="22"/>
          <w:szCs w:val="22"/>
          <w:highlight w:val="none"/>
          <w:u w:val="dotted"/>
          <w:lang w:val="en-US" w:eastAsia="zh-CN" w:bidi="ar-SA"/>
        </w:rPr>
        <w:t xml:space="preserve">                                                                                       </w:t>
      </w:r>
    </w:p>
    <w:p w14:paraId="1FB033C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29" name="文本框 2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1E72F8E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219" o:spid="_x0000_s1026" o:spt="202" type="#_x0000_t202" style="position:absolute;left:0pt;margin-left:-9pt;margin-top:3.65pt;height:34.65pt;width:72pt;z-index:25188044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GhhB1AAAAAgBAAAPAAAAAAAAAAEAIAAAACIAAABkcnMvZG93bnJldi54bWxQSwECFAAUAAAACACH&#10;TuJA5BJL5bYBAABfAwAADgAAAAAAAAABACAAAAAjAQAAZHJzL2Uyb0RvYy54bWxQSwUGAAAAAAYA&#10;BgBZAQAASwUAAAAA&#10;">
                <v:fill on="f" focussize="0,0"/>
                <v:stroke on="f"/>
                <v:imagedata o:title=""/>
                <o:lock v:ext="edit" aspectratio="f"/>
                <v:textbox>
                  <w:txbxContent>
                    <w:p w14:paraId="1E72F8E0">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0B6E67F3">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E21014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6" w:name="_Toc469384036"/>
      <w:bookmarkStart w:id="497" w:name="_Toc10624876"/>
      <w:r>
        <w:rPr>
          <w:rFonts w:hint="eastAsia" w:ascii="黑体" w:hAnsi="黑体" w:eastAsia="黑体" w:cs="黑体"/>
          <w:b w:val="0"/>
          <w:bCs/>
          <w:color w:val="auto"/>
          <w:kern w:val="0"/>
          <w:sz w:val="24"/>
          <w:szCs w:val="24"/>
          <w:highlight w:val="none"/>
          <w:lang w:val="en-US" w:eastAsia="zh-CN" w:bidi="ar-SA"/>
        </w:rPr>
        <w:t>★53  隐蔽工程和中间验收</w:t>
      </w:r>
      <w:bookmarkEnd w:id="496"/>
      <w:bookmarkEnd w:id="497"/>
    </w:p>
    <w:p w14:paraId="23CE3CF3">
      <w:pPr>
        <w:widowControl w:val="0"/>
        <w:tabs>
          <w:tab w:val="left" w:pos="132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53.1</w:t>
      </w:r>
    </w:p>
    <w:p w14:paraId="762EF93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1472"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30" name="文本框 220"/>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14:paraId="28183AF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220" o:spid="_x0000_s1026" o:spt="202" type="#_x0000_t202" style="position:absolute;left:0pt;margin-left:-5.8pt;margin-top:1.4pt;height:35.8pt;width:68.8pt;z-index:251881472;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iyA7NQAAAAIAQAADwAAAAAAAAABACAAAAAiAAAAZHJzL2Rvd25yZXYueG1sUEsBAhQAFAAAAAgA&#10;h07iQOUTOnG3AQAAXwMAAA4AAAAAAAAAAQAgAAAAIwEAAGRycy9lMm9Eb2MueG1sUEsFBgAAAAAG&#10;AAYAWQEAAEwFAAAAAA==&#10;">
                <v:fill on="f" focussize="0,0"/>
                <v:stroke on="f"/>
                <v:imagedata o:title=""/>
                <o:lock v:ext="edit" aspectratio="f"/>
                <v:textbox>
                  <w:txbxContent>
                    <w:p w14:paraId="28183AFD">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54FF4348">
      <w:pPr>
        <w:widowControl w:val="0"/>
        <w:tabs>
          <w:tab w:val="left" w:pos="72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53.2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C0F945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31" name="文本框 221"/>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14:paraId="10A6474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221" o:spid="_x0000_s1026" o:spt="202" type="#_x0000_t202" style="position:absolute;left:0pt;margin-left:-9pt;margin-top:4.1pt;height:36.75pt;width:72pt;z-index:251882496;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qNPRtUAAAAIAQAADwAAAAAAAAABACAAAAAiAAAAZHJzL2Rvd25yZXYueG1sUEsBAhQAFAAA&#10;AAgAh07iQMMbgW25AQAAXwMAAA4AAAAAAAAAAQAgAAAAJAEAAGRycy9lMm9Eb2MueG1sUEsFBgAA&#10;AAAGAAYAWQEAAE8FAAAAAA==&#10;">
                <v:fill on="f" focussize="0,0"/>
                <v:stroke on="f"/>
                <v:imagedata o:title=""/>
                <o:lock v:ext="edit" aspectratio="f"/>
                <v:textbox>
                  <w:txbxContent>
                    <w:p w14:paraId="10A6474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14:paraId="2CFBB1E1">
      <w:pPr>
        <w:widowControl w:val="0"/>
        <w:tabs>
          <w:tab w:val="left" w:pos="72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53.3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1F65114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32" name="文本框 222"/>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68CA55C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222" o:spid="_x0000_s1026" o:spt="202" type="#_x0000_t202" style="position:absolute;left:0pt;margin-left:-9pt;margin-top:0.3pt;height:37.5pt;width:72pt;z-index:251883520;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QcWs1AAAAAcBAAAPAAAAAAAAAAEAIAAAACIAAABkcnMvZG93bnJldi54bWxQSwECFAAUAAAA&#10;CACHTuJAXBUc1LkBAABfAwAADgAAAAAAAAABACAAAAAjAQAAZHJzL2Uyb0RvYy54bWxQSwUGAAAA&#10;AAYABgBZAQAATgUAAAAA&#10;">
                <v:fill on="f" focussize="0,0"/>
                <v:stroke on="f"/>
                <v:imagedata o:title=""/>
                <o:lock v:ext="edit" aspectratio="f"/>
                <v:textbox>
                  <w:txbxContent>
                    <w:p w14:paraId="68CA55C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验收合格的，监理工程师应在验收记录上签字，并形成验收文件，承包人可进行隐蔽或继续施工。验收合格24小时后，监理工程师仍不在验收记录上签字，视为监理工程师已认可验收记录。</w:t>
      </w:r>
    </w:p>
    <w:p w14:paraId="1F68B59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验收不合格的，承包人应按照监理工程师的指令修改后重新验收，由此增加的费用和（或）延误的工期由承包人承担。</w:t>
      </w:r>
    </w:p>
    <w:p w14:paraId="602FA90D">
      <w:pPr>
        <w:widowControl w:val="0"/>
        <w:tabs>
          <w:tab w:val="left" w:pos="540"/>
        </w:tabs>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33" name="文本框 2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B0E1AB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223" o:spid="_x0000_s1026" o:spt="202" type="#_x0000_t202" style="position:absolute;left:0pt;margin-left:-9pt;margin-top:19.3pt;height:31.2pt;width:72pt;z-index:25188454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LPhbt+6AQAAXwMAAA4AAAAAAAAAAQAgAAAAJgEAAGRycy9lMm9Eb2MueG1sUEsF&#10;BgAAAAAGAAYAWQEAAFIFAAAAAA==&#10;">
                <v:fill on="f" focussize="0,0"/>
                <v:stroke on="f"/>
                <v:imagedata o:title=""/>
                <o:lock v:ext="edit" aspectratio="f"/>
                <v:textbox>
                  <w:txbxContent>
                    <w:p w14:paraId="0B0E1AB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53.4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2EC6908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如监理工程师有指令，承包人应对隐蔽工程进行拍摄或照相，保证监理工程师能充分检查和测量隐蔽的工程。</w:t>
      </w:r>
    </w:p>
    <w:p w14:paraId="5B3373A5">
      <w:pPr>
        <w:widowControl w:val="0"/>
        <w:tabs>
          <w:tab w:val="left" w:pos="54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34" name="文本框 2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DCC8D29">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224" o:spid="_x0000_s1026" o:spt="202" type="#_x0000_t202" style="position:absolute;left:0pt;margin-left:-9pt;margin-top:19.3pt;height:31.2pt;width:72pt;z-index:25188556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Oz7/T26AQAAXwMAAA4AAAAAAAAAAQAgAAAAJgEAAGRycy9lMm9Eb2MueG1sUEsF&#10;BgAAAAAGAAYAWQEAAFIFAAAAAA==&#10;">
                <v:fill on="f" focussize="0,0"/>
                <v:stroke on="f"/>
                <v:imagedata o:title=""/>
                <o:lock v:ext="edit" aspectratio="f"/>
                <v:textbox>
                  <w:txbxContent>
                    <w:p w14:paraId="3DCC8D29">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53.5  </w:t>
      </w:r>
      <w:r>
        <w:rPr>
          <w:rFonts w:hint="eastAsia" w:ascii="宋体" w:hAnsi="宋体" w:eastAsia="宋体" w:cs="宋体"/>
          <w:b/>
          <w:bCs/>
          <w:color w:val="auto"/>
          <w:kern w:val="2"/>
          <w:sz w:val="22"/>
          <w:szCs w:val="22"/>
          <w:highlight w:val="none"/>
          <w:u w:val="dotted"/>
          <w:lang w:val="en-US" w:eastAsia="zh-CN" w:bidi="ar-SA"/>
        </w:rPr>
        <w:t xml:space="preserve">                                                                                       </w:t>
      </w:r>
    </w:p>
    <w:p w14:paraId="522419D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承包人未通知监理工程师到场验收，私自将隐蔽工程覆盖的，监理工程师有权指令承包人进行钻孔探测或剥露验收，由此增加的费用和（或）延误的工期由承包人承担。</w:t>
      </w:r>
    </w:p>
    <w:p w14:paraId="594F0052">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6388201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498" w:name="_Toc469384037"/>
      <w:bookmarkStart w:id="499" w:name="_Toc10624877"/>
      <w:r>
        <w:rPr>
          <w:rFonts w:hint="eastAsia" w:ascii="黑体" w:hAnsi="黑体" w:eastAsia="黑体" w:cs="黑体"/>
          <w:b w:val="0"/>
          <w:bCs/>
          <w:color w:val="auto"/>
          <w:kern w:val="0"/>
          <w:sz w:val="24"/>
          <w:szCs w:val="24"/>
          <w:highlight w:val="none"/>
          <w:lang w:val="en-US" w:eastAsia="zh-CN" w:bidi="ar-SA"/>
        </w:rPr>
        <w:t>★54  重新验收和额外检查检验</w:t>
      </w:r>
      <w:bookmarkEnd w:id="498"/>
      <w:bookmarkEnd w:id="499"/>
    </w:p>
    <w:p w14:paraId="0E82291C">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35" name="文本框 225"/>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14:paraId="164A0DE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225" o:spid="_x0000_s1026" o:spt="202" type="#_x0000_t202" style="position:absolute;left:0pt;margin-left:-9pt;margin-top:19.4pt;height:22.5pt;width:63pt;z-index:251886592;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xwhb1QAAAAkBAAAPAAAAAAAAAAEAIAAAACIAAABkcnMvZG93bnJldi54bWxQSwECFAAUAAAA&#10;CACHTuJACMMmkbgBAABfAwAADgAAAAAAAAABACAAAAAkAQAAZHJzL2Uyb0RvYy54bWxQSwUGAAAA&#10;AAYABgBZAQAATgUAAAAA&#10;">
                <v:fill on="f" focussize="0,0"/>
                <v:stroke on="f"/>
                <v:imagedata o:title=""/>
                <o:lock v:ext="edit" aspectratio="f"/>
                <v:textbox>
                  <w:txbxContent>
                    <w:p w14:paraId="164A0DEB">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54.1</w:t>
      </w:r>
    </w:p>
    <w:p w14:paraId="1E33537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EE755F6">
      <w:pPr>
        <w:widowControl w:val="0"/>
        <w:tabs>
          <w:tab w:val="left" w:pos="540"/>
          <w:tab w:val="left" w:pos="720"/>
        </w:tabs>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54.2 </w:t>
      </w:r>
      <w:r>
        <w:rPr>
          <w:rFonts w:hint="eastAsia" w:ascii="宋体" w:hAnsi="宋体" w:eastAsia="宋体" w:cs="宋体"/>
          <w:b/>
          <w:bCs/>
          <w:color w:val="auto"/>
          <w:kern w:val="2"/>
          <w:sz w:val="22"/>
          <w:szCs w:val="22"/>
          <w:highlight w:val="none"/>
          <w:u w:val="dotted"/>
          <w:lang w:val="en-US" w:eastAsia="zh-CN" w:bidi="ar-SA"/>
        </w:rPr>
        <w:t xml:space="preserve">                                                                                        </w:t>
      </w:r>
    </w:p>
    <w:p w14:paraId="645EC1C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36" name="文本框 226"/>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14:paraId="2B19947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226" o:spid="_x0000_s1026" o:spt="202" type="#_x0000_t202" style="position:absolute;left:0pt;margin-left:-9pt;margin-top:0.6pt;height:49.4pt;width:76.4pt;z-index:251887616;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xgWidUAAAAJAQAADwAAAAAAAAABACAAAAAiAAAAZHJzL2Rvd25yZXYueG1sUEsBAhQAFAAA&#10;AAgAh07iQFO+Iz+5AQAAXwMAAA4AAAAAAAAAAQAgAAAAJAEAAGRycy9lMm9Eb2MueG1sUEsFBgAA&#10;AAAGAAYAWQEAAE8FAAAAAA==&#10;">
                <v:fill on="f" focussize="0,0"/>
                <v:stroke on="f"/>
                <v:imagedata o:title=""/>
                <o:lock v:ext="edit" aspectratio="f"/>
                <v:textbox>
                  <w:txbxContent>
                    <w:p w14:paraId="2B19947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14:paraId="7BBB76FD">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FE2921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0" w:name="_Toc469384038"/>
      <w:bookmarkStart w:id="501" w:name="_Toc10624878"/>
      <w:r>
        <w:rPr>
          <w:rFonts w:hint="eastAsia" w:ascii="黑体" w:hAnsi="黑体" w:eastAsia="黑体" w:cs="黑体"/>
          <w:b w:val="0"/>
          <w:bCs/>
          <w:color w:val="auto"/>
          <w:kern w:val="0"/>
          <w:sz w:val="24"/>
          <w:szCs w:val="24"/>
          <w:highlight w:val="none"/>
          <w:lang w:val="en-US" w:eastAsia="zh-CN" w:bidi="ar-SA"/>
        </w:rPr>
        <w:t>55  工程试车</w:t>
      </w:r>
      <w:bookmarkEnd w:id="500"/>
      <w:bookmarkEnd w:id="501"/>
    </w:p>
    <w:p w14:paraId="055E3583">
      <w:pPr>
        <w:adjustRightInd w:val="0"/>
        <w:snapToGrid w:val="0"/>
        <w:spacing w:line="420" w:lineRule="exact"/>
        <w:ind w:left="-2" w:leftChars="-1" w:firstLine="1"/>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55.1 </w:t>
      </w:r>
    </w:p>
    <w:p w14:paraId="6B3FB90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37" name="文本框 2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28615CE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227" o:spid="_x0000_s1026" o:spt="202" type="#_x0000_t202" style="position:absolute;left:0pt;margin-left:-9pt;margin-top:1.3pt;height:23.4pt;width:63pt;z-index:251888640;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B3sr/UAAAACAEAAA8AAAAAAAAAAQAgAAAAIgAAAGRycy9kb3ducmV2LnhtbFBLAQIUABQAAAAI&#10;AIdO4kBvkcMwuAEAAF8DAAAOAAAAAAAAAAEAIAAAACMBAABkcnMvZTJvRG9jLnhtbFBLBQYAAAAA&#10;BgAGAFkBAABNBQAAAAA=&#10;">
                <v:fill on="f" focussize="0,0"/>
                <v:stroke on="f"/>
                <v:imagedata o:title=""/>
                <o:lock v:ext="edit" aspectratio="f"/>
                <v:textbox>
                  <w:txbxContent>
                    <w:p w14:paraId="28615CE8">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按照合同约定需要试车的，试车的内容应与承包人承包的安装范围相一致。</w:t>
      </w:r>
    </w:p>
    <w:p w14:paraId="3265DCE3">
      <w:pPr>
        <w:tabs>
          <w:tab w:val="left" w:pos="54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55.2  </w:t>
      </w:r>
      <w:r>
        <w:rPr>
          <w:rFonts w:hint="eastAsia" w:ascii="宋体" w:hAnsi="宋体" w:cs="宋体"/>
          <w:b/>
          <w:bCs/>
          <w:color w:val="auto"/>
          <w:sz w:val="22"/>
          <w:szCs w:val="22"/>
          <w:highlight w:val="none"/>
          <w:u w:val="dotted"/>
        </w:rPr>
        <w:t xml:space="preserve">                                                                                       </w:t>
      </w:r>
    </w:p>
    <w:p w14:paraId="39F1F0A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38" name="文本框 228"/>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14:paraId="5D900AD8">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228" o:spid="_x0000_s1026" o:spt="202" type="#_x0000_t202" style="position:absolute;left:0pt;margin-left:-9pt;margin-top:0.25pt;height:36.95pt;width:72pt;z-index:251889664;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B/bZ1AAAAAcBAAAPAAAAAAAAAAEAIAAAACIAAABkcnMvZG93bnJldi54bWxQSwECFAAUAAAA&#10;CACHTuJAM/W3tbkBAABfAwAADgAAAAAAAAABACAAAAAjAQAAZHJzL2Uyb0RvYy54bWxQSwUGAAAA&#10;AAYABgBZAQAATgUAAAAA&#10;">
                <v:fill on="f" focussize="0,0"/>
                <v:stroke on="f"/>
                <v:imagedata o:title=""/>
                <o:lock v:ext="edit" aspectratio="f"/>
                <v:textbox>
                  <w:txbxContent>
                    <w:p w14:paraId="5D900AD8">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14:paraId="698E7F2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14:paraId="6E563719">
      <w:pPr>
        <w:adjustRightInd w:val="0"/>
        <w:snapToGrid w:val="0"/>
        <w:spacing w:line="420" w:lineRule="exact"/>
        <w:rPr>
          <w:rFonts w:ascii="宋体" w:hAnsi="宋体" w:cs="宋体"/>
          <w:color w:val="auto"/>
          <w:sz w:val="22"/>
          <w:szCs w:val="22"/>
          <w:highlight w:val="none"/>
          <w:u w:val="dotted"/>
        </w:rPr>
      </w:pPr>
      <w:r>
        <w:rPr>
          <w:rFonts w:hint="eastAsia" w:ascii="宋体" w:hAnsi="宋体" w:cs="宋体"/>
          <w:b/>
          <w:bCs/>
          <w:color w:val="auto"/>
          <w:sz w:val="22"/>
          <w:szCs w:val="22"/>
          <w:highlight w:val="none"/>
        </w:rPr>
        <w:t xml:space="preserve">55.3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3C49A6A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0688"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39" name="文本框 229"/>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14:paraId="4FA8EA33">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229" o:spid="_x0000_s1026" o:spt="202" type="#_x0000_t202" style="position:absolute;left:0pt;margin-left:-5.8pt;margin-top:0.05pt;height:37.15pt;width:68.8pt;z-index:251890688;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gLOg9QAAAAHAQAADwAAAAAAAAABACAAAAAiAAAAZHJzL2Rvd25yZXYueG1sUEsBAhQAFAAA&#10;AAgAh07iQPdUChW6AQAAXwMAAA4AAAAAAAAAAQAgAAAAIwEAAGRycy9lMm9Eb2MueG1sUEsFBgAA&#10;AAAGAAYAWQEAAE8FAAAAAA==&#10;">
                <v:fill on="f" focussize="0,0"/>
                <v:stroke on="f"/>
                <v:imagedata o:title=""/>
                <o:lock v:ext="edit" aspectratio="f"/>
                <v:textbox>
                  <w:txbxContent>
                    <w:p w14:paraId="4FA8EA33">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单机试车合格，监理工程师应在试车记录上签字，承包人可继续施工或申请办理竣工验收手续。单机试车合格24小时后，监理工程师仍不在试车记录上签字的，视为监理工程师已认可试车记录。</w:t>
      </w:r>
    </w:p>
    <w:p w14:paraId="72FFC02F">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55.4  </w:t>
      </w:r>
      <w:r>
        <w:rPr>
          <w:rFonts w:hint="eastAsia" w:ascii="宋体" w:hAnsi="宋体" w:cs="宋体"/>
          <w:b/>
          <w:bCs/>
          <w:color w:val="auto"/>
          <w:sz w:val="22"/>
          <w:szCs w:val="22"/>
          <w:highlight w:val="none"/>
          <w:u w:val="dotted"/>
        </w:rPr>
        <w:t xml:space="preserve">                                                                                      </w:t>
      </w:r>
    </w:p>
    <w:p w14:paraId="0E509D3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1712"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40" name="文本框 230"/>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14:paraId="5143EA4E">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230" o:spid="_x0000_s1026" o:spt="202" type="#_x0000_t202" style="position:absolute;left:0pt;margin-left:-5.8pt;margin-top:0.9pt;height:38.8pt;width:68.8pt;z-index:251891712;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cVsADVAAAACAEAAA8AAAAAAAAAAQAgAAAAIgAAAGRycy9kb3ducmV2LnhtbFBLAQIUABQAAAAI&#10;AIdO4kDzwY1itwEAAF8DAAAOAAAAAAAAAAEAIAAAACQBAABkcnMvZTJvRG9jLnhtbFBLBQYAAAAA&#10;BgAGAFkBAABNBQAAAAA=&#10;">
                <v:fill on="f" focussize="0,0"/>
                <v:stroke on="f"/>
                <v:imagedata o:title=""/>
                <o:lock v:ext="edit" aspectratio="f"/>
                <v:textbox>
                  <w:txbxContent>
                    <w:p w14:paraId="5143EA4E">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14:paraId="6A7A6147">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55.5  </w:t>
      </w:r>
      <w:r>
        <w:rPr>
          <w:rFonts w:hint="eastAsia" w:ascii="宋体" w:hAnsi="宋体" w:cs="宋体"/>
          <w:b/>
          <w:bCs/>
          <w:color w:val="auto"/>
          <w:sz w:val="22"/>
          <w:szCs w:val="22"/>
          <w:highlight w:val="none"/>
          <w:u w:val="dotted"/>
        </w:rPr>
        <w:t xml:space="preserve">                                                                                       </w:t>
      </w:r>
    </w:p>
    <w:p w14:paraId="62697A5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41" name="文本框 231"/>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14:paraId="2141AE1A">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231" o:spid="_x0000_s1026" o:spt="202" type="#_x0000_t202" style="position:absolute;left:0pt;margin-left:-9pt;margin-top:-0.5pt;height:33.7pt;width:69.6pt;z-index:251892736;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mHzh1gAAAAkBAAAPAAAAAAAAAAEAIAAAACIAAABkcnMvZG93bnJldi54bWxQSwECFAAU&#10;AAAACACHTuJA7nDWC7oBAABfAwAADgAAAAAAAAABACAAAAAlAQAAZHJzL2Uyb0RvYy54bWxQSwUG&#10;AAAAAAYABgBZAQAAUQUAAAAA&#10;">
                <v:fill on="f" focussize="0,0"/>
                <v:stroke on="f"/>
                <v:imagedata o:title=""/>
                <o:lock v:ext="edit" aspectratio="f"/>
                <v:textbox>
                  <w:txbxContent>
                    <w:p w14:paraId="2141AE1A">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试车费用，除已含在合同价款外，由发包人承担。试车达不到验收要求的，按照下列规定处理： </w:t>
      </w:r>
    </w:p>
    <w:p w14:paraId="0D5A168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（1）由于设计原因试车达不到验收要求，发包人应要求设计人修改设计，承包人按照修改后的设计重新安装。发包人承担修改设计、拆除及重新安装的全部费用和延误的工期。</w:t>
      </w:r>
    </w:p>
    <w:p w14:paraId="0FFE7AA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23EDB7D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（3）由于承包人施工原因试车达不到验收要求，承包人应按照监理工程师要求重新安装和试车，并承担拆除、重新安装和重新试车的费用和延误的工期。</w:t>
      </w:r>
    </w:p>
    <w:p w14:paraId="69064386">
      <w:pPr>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55.6  </w:t>
      </w:r>
      <w:r>
        <w:rPr>
          <w:rFonts w:hint="eastAsia" w:ascii="宋体" w:hAnsi="宋体" w:cs="宋体"/>
          <w:b/>
          <w:bCs/>
          <w:color w:val="auto"/>
          <w:sz w:val="22"/>
          <w:szCs w:val="22"/>
          <w:highlight w:val="none"/>
          <w:u w:val="dotted"/>
        </w:rPr>
        <w:t xml:space="preserve">                                                                               </w:t>
      </w:r>
    </w:p>
    <w:p w14:paraId="20E31B07">
      <w:pPr>
        <w:adjustRightInd w:val="0"/>
        <w:snapToGrid w:val="0"/>
        <w:spacing w:line="420" w:lineRule="exact"/>
        <w:rPr>
          <w:rFonts w:ascii="宋体" w:hAnsi="宋体" w:cs="宋体"/>
          <w:b/>
          <w:bCs/>
          <w:color w:val="auto"/>
          <w:sz w:val="22"/>
          <w:szCs w:val="22"/>
          <w:highlight w:val="none"/>
          <w:u w:val="dotted"/>
        </w:rPr>
      </w:pPr>
    </w:p>
    <w:p w14:paraId="34091BD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42" name="文本框 2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74F8D558">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wps:txbx>
                      <wps:bodyPr wrap="square" upright="1"/>
                    </wps:wsp>
                  </a:graphicData>
                </a:graphic>
              </wp:anchor>
            </w:drawing>
          </mc:Choice>
          <mc:Fallback>
            <w:pict>
              <v:shape id="文本框 232" o:spid="_x0000_s1026" o:spt="202" type="#_x0000_t202" style="position:absolute;left:0pt;margin-left:-9pt;margin-top:0.8pt;height:23.4pt;width:63pt;z-index:251893760;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ztIDUAAAACAEAAA8AAAAAAAAAAQAgAAAAIgAAAGRycy9kb3ducmV2LnhtbFBLAQIUABQAAAAI&#10;AIdO4kC4dyAIuAEAAF8DAAAOAAAAAAAAAAEAIAAAACMBAABkcnMvZTJvRG9jLnhtbFBLBQYAAAAA&#10;BgAGAFkBAABNBQAAAAA=&#10;">
                <v:fill on="f" focussize="0,0"/>
                <v:stroke on="f"/>
                <v:imagedata o:title=""/>
                <o:lock v:ext="edit" aspectratio="f"/>
                <v:textbox>
                  <w:txbxContent>
                    <w:p w14:paraId="74F8D558">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投料试车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投料试车应在永久工程竣工验收后，由发包人负责。如果发包人要求在永久工程竣工验收前进行试车或需要承包人配合时，应事先取得承包人同意，并另行签订补充协议。</w:t>
      </w:r>
    </w:p>
    <w:p w14:paraId="164B4876">
      <w:pPr>
        <w:widowControl w:val="0"/>
        <w:adjustRightInd w:val="0"/>
        <w:snapToGrid w:val="0"/>
        <w:spacing w:line="420" w:lineRule="exact"/>
        <w:ind w:firstLine="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60032C1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2" w:name="_Toc10624879"/>
      <w:bookmarkStart w:id="503" w:name="_Toc469384039"/>
      <w:r>
        <w:rPr>
          <w:rFonts w:hint="eastAsia" w:ascii="黑体" w:hAnsi="黑体" w:eastAsia="黑体" w:cs="黑体"/>
          <w:b w:val="0"/>
          <w:bCs/>
          <w:color w:val="auto"/>
          <w:kern w:val="0"/>
          <w:sz w:val="24"/>
          <w:szCs w:val="24"/>
          <w:highlight w:val="none"/>
          <w:lang w:val="en-US" w:eastAsia="zh-CN" w:bidi="ar-SA"/>
        </w:rPr>
        <w:t>★56  工程变更</w:t>
      </w:r>
      <w:bookmarkEnd w:id="502"/>
      <w:bookmarkEnd w:id="503"/>
    </w:p>
    <w:p w14:paraId="4F45208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56.1</w:t>
      </w:r>
    </w:p>
    <w:p w14:paraId="6DA4FD3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43" name="文本框 2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3CA71E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233" o:spid="_x0000_s1026" o:spt="202" type="#_x0000_t202" style="position:absolute;left:0pt;margin-left:-9pt;margin-top:0.1pt;height:23.4pt;width:81pt;z-index:251894784;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zJMq0wAAAAcBAAAPAAAAAAAAAAEAIAAAACIAAABkcnMvZG93bnJldi54bWxQSwECFAAUAAAA&#10;CACHTuJAkTbyv7oBAABgAwAADgAAAAAAAAABACAAAAAiAQAAZHJzL2Uyb0RvYy54bWxQSwUGAAAA&#10;AAYABgBZAQAATgUAAAAA&#10;">
                <v:fill on="f" focussize="0,0"/>
                <v:stroke on="f"/>
                <v:imagedata o:title=""/>
                <o:lock v:ext="edit" aspectratio="f"/>
                <v:textbox>
                  <w:txbxContent>
                    <w:p w14:paraId="3CA71ED4">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合同履行期间，经发包人批准，监理工程师可按照第56.3款约定的变更程序向承包人发出变更指令，承包人应按照合同约定实施变更工作。</w:t>
      </w:r>
    </w:p>
    <w:p w14:paraId="6C5B8EA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没有经发包人批准也没有监理工程师的工程变更指令，承包人应按照合同约定施工，无权对合同工程作出任何变更。</w:t>
      </w:r>
    </w:p>
    <w:p w14:paraId="3C6FC37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工程量偏差不属于工程变更，该项工程量增减不需要任何指令。</w:t>
      </w:r>
    </w:p>
    <w:p w14:paraId="7D4B87F1">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04D02DE9">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p>
    <w:p w14:paraId="2393EF4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44" name="文本框 2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753EA1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234" o:spid="_x0000_s1026" o:spt="202" type="#_x0000_t202" style="position:absolute;left:0pt;margin-left:-9pt;margin-top:5.5pt;height:31.2pt;width:72pt;z-index:251895808;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7V1gAAAAkBAAAPAAAAAAAAAAEAIAAAACIAAABkcnMvZG93bnJldi54bWxQSwECFAAU&#10;AAAACACHTuJAGw5qaboBAABfAwAADgAAAAAAAAABACAAAAAlAQAAZHJzL2Uyb0RvYy54bWxQSwUG&#10;AAAAAAYABgBZAQAAUQUAAAAA&#10;">
                <v:fill on="f" focussize="0,0"/>
                <v:stroke on="f"/>
                <v:imagedata o:title=""/>
                <o:lock v:ext="edit" aspectratio="f"/>
                <v:textbox>
                  <w:txbxContent>
                    <w:p w14:paraId="5753EA1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合同履行期间，发包人可对合同工程或其任何部分的形式、质量或数量作出变更。发生下列情形之一，应按照本条规定进行变更。</w:t>
      </w:r>
    </w:p>
    <w:p w14:paraId="30A047F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改变合同工程中任何工程数量；</w:t>
      </w:r>
    </w:p>
    <w:p w14:paraId="55F3927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 删减任何工作，但删减的工作不能转由发包人或其他人实施；   </w:t>
      </w:r>
    </w:p>
    <w:p w14:paraId="779852E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改变任何工作内容的性质、质量或其他特征；</w:t>
      </w:r>
    </w:p>
    <w:p w14:paraId="710C2E8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改变工程任何部分的标高、基线、位置和(或)尺寸；</w:t>
      </w:r>
    </w:p>
    <w:p w14:paraId="4FE6939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为完成永久工程所必须的任何额外工作；</w:t>
      </w:r>
    </w:p>
    <w:p w14:paraId="44C9438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但对合同工程工期、质量标准等实质性变更的，应在作出变更前，与承包人签订补充协议书，作为本合同的补充文件。</w:t>
      </w:r>
    </w:p>
    <w:p w14:paraId="475B9DDE">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56.3  </w:t>
      </w:r>
      <w:r>
        <w:rPr>
          <w:rFonts w:hint="eastAsia" w:ascii="宋体" w:hAnsi="宋体" w:eastAsia="宋体" w:cs="宋体"/>
          <w:b/>
          <w:bCs/>
          <w:color w:val="auto"/>
          <w:kern w:val="2"/>
          <w:sz w:val="22"/>
          <w:szCs w:val="22"/>
          <w:highlight w:val="none"/>
          <w:u w:val="dotted"/>
          <w:lang w:val="en-US" w:eastAsia="zh-CN" w:bidi="ar-SA"/>
        </w:rPr>
        <w:t xml:space="preserve">                                                                               </w:t>
      </w:r>
    </w:p>
    <w:p w14:paraId="7CD3C3D0">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14:paraId="73C1DE0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45" name="文本框 235"/>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14:paraId="4945D46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235" o:spid="_x0000_s1026" o:spt="202" type="#_x0000_t202" style="position:absolute;left:0pt;margin-left:-9pt;margin-top:1.25pt;height:43.85pt;width:72pt;z-index:251896832;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w/9jVAAAACAEAAA8AAAAAAAAAAQAgAAAAIgAAAGRycy9kb3ducmV2LnhtbFBLAQIUABQA&#10;AAAIAIdO4kDfit16ugEAAF8DAAAOAAAAAAAAAAEAIAAAACQBAABkcnMvZTJvRG9jLnhtbFBLBQYA&#10;AAAABgAGAFkBAABQBQAAAAA=&#10;">
                <v:fill on="f" focussize="0,0"/>
                <v:stroke on="f"/>
                <v:imagedata o:title=""/>
                <o:lock v:ext="edit" aspectratio="f"/>
                <v:textbox>
                  <w:txbxContent>
                    <w:p w14:paraId="4945D46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504" w:name="OLE_LINK1"/>
      <w:r>
        <w:rPr>
          <w:rFonts w:hint="eastAsia" w:ascii="仿宋_GB2312" w:hAnsi="仿宋_GB2312" w:eastAsia="仿宋_GB2312" w:cs="仿宋_GB2312"/>
          <w:color w:val="auto"/>
          <w:sz w:val="24"/>
          <w:szCs w:val="24"/>
          <w:highlight w:val="none"/>
          <w:lang w:val="en-US" w:eastAsia="zh-CN"/>
        </w:rPr>
        <w:t>合同工程发生变更</w:t>
      </w:r>
      <w:bookmarkEnd w:id="504"/>
      <w:r>
        <w:rPr>
          <w:rFonts w:hint="eastAsia" w:ascii="仿宋_GB2312" w:hAnsi="仿宋_GB2312" w:eastAsia="仿宋_GB2312" w:cs="仿宋_GB2312"/>
          <w:color w:val="auto"/>
          <w:sz w:val="24"/>
          <w:szCs w:val="24"/>
          <w:highlight w:val="none"/>
          <w:lang w:val="en-US" w:eastAsia="zh-CN"/>
        </w:rPr>
        <w:t>，合同双方当事人以及监理工程师、造价工程师应遵循下列程序实施工程变更的相关工作。</w:t>
      </w:r>
    </w:p>
    <w:p w14:paraId="080AC97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(1)合同工程可能发生或发生工程变更时，监理工程师或承包人可依据下列情况及时提出。</w:t>
      </w:r>
    </w:p>
    <w:p w14:paraId="7335435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3FB874E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2）合同工程发生第56.2款所列情形的，监理工程师应至少提前14天以书面形式向承包人发出变更指令，并提供变更的施工设计图纸及其说明等资料。</w:t>
      </w:r>
    </w:p>
    <w:p w14:paraId="67E110D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6CD70CC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4）若承包人收到监理工程师的变更意向书后认为难以实施此项变更的，应立即通知监理工程师，说明原因并附详细依据。监理工程师与合同双方当事人协商后确定撤销、改变或不改变原变更意向书。</w:t>
      </w:r>
    </w:p>
    <w:p w14:paraId="24C20CC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518F150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变更工作影响工期的，承包人应提出调整工期的要求。发包人认为有必要时，可要求承包人提交提前或者延长工期的施工进度计划或相应施工措施等资料。</w:t>
      </w:r>
    </w:p>
    <w:p w14:paraId="0925135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0AAC9A6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(4)承包人应在发包人确定工程变更报告后的7天内，按照监理工程师发出的变更指令及时组织实施变更工作。否则，由此引起的损失和（或）延误的工期由承包人承担。</w:t>
      </w:r>
    </w:p>
    <w:p w14:paraId="110AA53C">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56.4  </w:t>
      </w:r>
      <w:r>
        <w:rPr>
          <w:rFonts w:hint="eastAsia" w:ascii="宋体" w:hAnsi="宋体" w:eastAsia="宋体" w:cs="宋体"/>
          <w:b/>
          <w:bCs/>
          <w:color w:val="auto"/>
          <w:kern w:val="2"/>
          <w:sz w:val="22"/>
          <w:szCs w:val="22"/>
          <w:highlight w:val="none"/>
          <w:u w:val="dotted"/>
          <w:lang w:val="en-US" w:eastAsia="zh-CN" w:bidi="ar-SA"/>
        </w:rPr>
        <w:t xml:space="preserve">                                                                               </w:t>
      </w:r>
    </w:p>
    <w:p w14:paraId="799E9EA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14:paraId="5ED13B4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46" name="文本框 236"/>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14:paraId="7BE0005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236" o:spid="_x0000_s1026" o:spt="202" type="#_x0000_t202" style="position:absolute;left:0pt;margin-left:-9pt;margin-top:0.6pt;height:32.45pt;width:72pt;z-index:251897856;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7hOtdQAAAAIAQAADwAAAAAAAAABACAAAAAiAAAAZHJzL2Rvd25yZXYueG1sUEsBAhQAFAAA&#10;AAgAh07iQNIkgfK6AQAAXwMAAA4AAAAAAAAAAQAgAAAAIwEAAGRycy9lMm9Eb2MueG1sUEsFBgAA&#10;AAAGAAYAWQEAAE8FAAAAAA==&#10;">
                <v:fill on="f" focussize="0,0"/>
                <v:stroke on="f"/>
                <v:imagedata o:title=""/>
                <o:lock v:ext="edit" aspectratio="f"/>
                <v:textbox>
                  <w:txbxContent>
                    <w:p w14:paraId="7BE0005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4A3F265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发包人采纳承包人的建议，给发包人带来降低合同价款、缩短工期或提交工程经济效益等利益的，发包人应按照国家有关规定并在专用条款中约定的计算方法予以奖励。</w:t>
      </w:r>
    </w:p>
    <w:p w14:paraId="5EF4B0B0">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56.5  </w:t>
      </w:r>
      <w:r>
        <w:rPr>
          <w:rFonts w:hint="eastAsia" w:ascii="宋体" w:hAnsi="宋体" w:eastAsia="宋体" w:cs="宋体"/>
          <w:b/>
          <w:bCs/>
          <w:color w:val="auto"/>
          <w:kern w:val="2"/>
          <w:sz w:val="22"/>
          <w:szCs w:val="22"/>
          <w:highlight w:val="none"/>
          <w:u w:val="dotted"/>
          <w:lang w:val="en-US" w:eastAsia="zh-CN" w:bidi="ar-SA"/>
        </w:rPr>
        <w:t xml:space="preserve">                                                                                </w:t>
      </w:r>
    </w:p>
    <w:p w14:paraId="77C694B0">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p>
    <w:p w14:paraId="23250F8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47" name="文本框 237"/>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14:paraId="63760B6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237" o:spid="_x0000_s1026" o:spt="202" type="#_x0000_t202" style="position:absolute;left:0pt;margin-left:-9pt;margin-top:1.2pt;height:46.3pt;width:72pt;z-index:251898880;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KxEtUAAAAIAQAADwAAAAAAAAABACAAAAAiAAAAZHJzL2Rvd25yZXYueG1sUEsBAhQAFAAA&#10;AAgAh07iQLpWFPW5AQAAXwMAAA4AAAAAAAAAAQAgAAAAJAEAAGRycy9lMm9Eb2MueG1sUEsFBgAA&#10;AAAGAAYAWQEAAE8FAAAAAA==&#10;">
                <v:fill on="f" focussize="0,0"/>
                <v:stroke on="f"/>
                <v:imagedata o:title=""/>
                <o:lock v:ext="edit" aspectratio="f"/>
                <v:textbox>
                  <w:txbxContent>
                    <w:p w14:paraId="63760B6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工程变更不应使合同作废或无效。工程变更应按照第72条规定确定变更的工程款；影响工期的，工期应相应调整。但由于下列原因引起的变更，承包人无权要求任何额外或附加的费用，工期不予顺延：</w:t>
      </w:r>
    </w:p>
    <w:p w14:paraId="5681448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（1）为了便于组织施工而采取的技术措施变更或临时工程变更；</w:t>
      </w:r>
    </w:p>
    <w:p w14:paraId="7CA53A4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（2）为了施工安全、避免干扰等原因而采取的技术措施变更或临时工</w:t>
      </w:r>
    </w:p>
    <w:p w14:paraId="78B878C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程变更；</w:t>
      </w:r>
    </w:p>
    <w:p w14:paraId="1A335FA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（3）因承包人违约、过错或承包人引起的其他变更。</w:t>
      </w:r>
    </w:p>
    <w:p w14:paraId="43743366">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AB0571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5" w:name="_Toc469384040"/>
      <w:bookmarkStart w:id="506" w:name="_Toc10624880"/>
      <w:r>
        <w:rPr>
          <w:rFonts w:hint="eastAsia" w:ascii="黑体" w:hAnsi="黑体" w:eastAsia="黑体" w:cs="黑体"/>
          <w:b w:val="0"/>
          <w:bCs/>
          <w:color w:val="auto"/>
          <w:kern w:val="0"/>
          <w:sz w:val="24"/>
          <w:szCs w:val="24"/>
          <w:highlight w:val="none"/>
          <w:lang w:val="en-US" w:eastAsia="zh-CN" w:bidi="ar-SA"/>
        </w:rPr>
        <w:t>57  竣工验收条件</w:t>
      </w:r>
      <w:bookmarkEnd w:id="505"/>
      <w:bookmarkEnd w:id="506"/>
    </w:p>
    <w:p w14:paraId="3A8424C0">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57.1</w:t>
      </w:r>
    </w:p>
    <w:p w14:paraId="65E5F15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48" name="文本框 23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07366E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238" o:spid="_x0000_s1026" o:spt="202" type="#_x0000_t202" style="position:absolute;left:0pt;margin-left:-9pt;margin-top:1pt;height:33.3pt;width:72pt;z-index:25189990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OjDITW5AQAAXwMAAA4AAAAAAAAAAQAgAAAAJAEAAGRycy9lMm9Eb2MueG1sUEsFBgAA&#10;AAAGAAYAWQEAAE8FAAAAAA==&#10;">
                <v:fill on="f" focussize="0,0"/>
                <v:stroke on="f"/>
                <v:imagedata o:title=""/>
                <o:lock v:ext="edit" aspectratio="f"/>
                <v:textbox>
                  <w:txbxContent>
                    <w:p w14:paraId="07366EA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承包人实施、完成合同工程的全部工作内容，经自检评定并符合下列条件的，则认为合同工程已具备竣工验收条件。</w:t>
      </w:r>
    </w:p>
    <w:p w14:paraId="55CF010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(1）除监理工程师同意列入缺陷责任期内完成的尾工（甩项）工程和缺陷修补工作外，包括合同约定的试验、检验和验收等工作在内的合同范围内全部工作均已完成，并符合施工设计图纸和合同约定的要求；</w:t>
      </w:r>
    </w:p>
    <w:p w14:paraId="445F280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(2）已按照合同约定的内容和份数备齐了符合国家或行业、省要求的竣工资料（质量控制资料、竣工结算文件等）；</w:t>
      </w:r>
    </w:p>
    <w:p w14:paraId="576BFEA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(3）已按照监理工程师的指令编制了在缺陷责任期内完成的尾工（甩项）工程和缺陷修补工作清单，以及相应的实施计划；</w:t>
      </w:r>
    </w:p>
    <w:p w14:paraId="061F77B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(4）监理工程师要求在竣工验收前应完成的其他工作：</w:t>
      </w:r>
    </w:p>
    <w:p w14:paraId="02C766E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(5）监理工程师要求提交的竣工验收资料清单。</w:t>
      </w:r>
    </w:p>
    <w:p w14:paraId="7F2FEEE0">
      <w:pPr>
        <w:widowControl w:val="0"/>
        <w:adjustRightInd w:val="0"/>
        <w:snapToGrid w:val="0"/>
        <w:spacing w:line="420" w:lineRule="exact"/>
        <w:ind w:firstLine="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57.2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5A7EAB6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49" name="文本框 2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6B038BC9">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239" o:spid="_x0000_s1026" o:spt="202" type="#_x0000_t202" style="position:absolute;left:0pt;margin-left:-9pt;margin-top:1pt;height:33.3pt;width:72pt;z-index:251900928;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HfE6p+5AQAAXwMAAA4AAAAAAAAAAQAgAAAAJAEAAGRycy9lMm9Eb2MueG1sUEsFBgAA&#10;AAAGAAYAWQEAAE8FAAAAAA==&#10;">
                <v:fill on="f" focussize="0,0"/>
                <v:stroke on="f"/>
                <v:imagedata o:title=""/>
                <o:lock v:ext="edit" aspectratio="f"/>
                <v:textbox>
                  <w:txbxContent>
                    <w:p w14:paraId="6B038BC9">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14:paraId="4AA8C267">
      <w:pPr>
        <w:widowControl w:val="0"/>
        <w:adjustRightInd w:val="0"/>
        <w:snapToGrid w:val="0"/>
        <w:spacing w:line="420" w:lineRule="exact"/>
        <w:ind w:firstLine="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57.3  </w:t>
      </w:r>
      <w:r>
        <w:rPr>
          <w:rFonts w:hint="eastAsia" w:ascii="宋体" w:hAnsi="宋体" w:eastAsia="宋体" w:cs="宋体"/>
          <w:b/>
          <w:bCs/>
          <w:color w:val="auto"/>
          <w:kern w:val="2"/>
          <w:sz w:val="22"/>
          <w:szCs w:val="22"/>
          <w:highlight w:val="none"/>
          <w:u w:val="dotted"/>
          <w:lang w:val="en-US" w:eastAsia="zh-CN" w:bidi="ar-SA"/>
        </w:rPr>
        <w:t xml:space="preserve">                                                                                       </w:t>
      </w:r>
    </w:p>
    <w:p w14:paraId="0CA664A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50" name="文本框 240"/>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14:paraId="0E0C1E9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240" o:spid="_x0000_s1026" o:spt="202" type="#_x0000_t202" style="position:absolute;left:0pt;margin-left:-9pt;margin-top:3.05pt;height:32.05pt;width:68.8pt;z-index:251901952;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H8RN1QAAAAgBAAAPAAAAAAAAAAEAIAAAACIAAABkcnMvZG93bnJldi54bWxQSwECFAAUAAAA&#10;CACHTuJAuKbB6rgBAABfAwAADgAAAAAAAAABACAAAAAkAQAAZHJzL2Uyb0RvYy54bWxQSwUGAAAA&#10;AAYABgBZAQAATgUAAAAA&#10;">
                <v:fill on="f" focussize="0,0"/>
                <v:stroke on="f"/>
                <v:imagedata o:title=""/>
                <o:lock v:ext="edit" aspectratio="f"/>
                <v:textbox>
                  <w:txbxContent>
                    <w:p w14:paraId="0E0C1E93">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如果承包人不按照规定提交竣工资料或提交的资料不符合要求，则认为合同工程尚未具备竣工验收条件。</w:t>
      </w:r>
    </w:p>
    <w:p w14:paraId="77BF1416">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0BAC311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7" w:name="_Toc10624881"/>
      <w:bookmarkStart w:id="508" w:name="_Toc469384041"/>
      <w:r>
        <w:rPr>
          <w:rFonts w:hint="eastAsia" w:ascii="黑体" w:hAnsi="黑体" w:eastAsia="黑体" w:cs="黑体"/>
          <w:b w:val="0"/>
          <w:bCs/>
          <w:color w:val="auto"/>
          <w:kern w:val="0"/>
          <w:sz w:val="24"/>
          <w:szCs w:val="24"/>
          <w:highlight w:val="none"/>
          <w:lang w:val="en-US" w:eastAsia="zh-CN" w:bidi="ar-SA"/>
        </w:rPr>
        <w:t>58  竣工验收</w:t>
      </w:r>
      <w:bookmarkEnd w:id="507"/>
      <w:bookmarkEnd w:id="508"/>
    </w:p>
    <w:p w14:paraId="1A83C7BC">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w:t>
      </w:r>
      <w:r>
        <w:rPr>
          <w:rFonts w:hint="eastAsia" w:ascii="宋体" w:hAnsi="宋体" w:cs="宋体"/>
          <w:color w:val="auto"/>
          <w:sz w:val="22"/>
          <w:szCs w:val="22"/>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51" name="文本框 241"/>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624F21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241"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O2Cr/roBAABfAwAADgAAAAAAAAABACAAAAAlAQAAZHJzL2Uyb0RvYy54bWxQSwUG&#10;AAAAAAYABgBZAQAAUQUAAAAA&#10;">
                <v:fill on="f" focussize="0,0"/>
                <v:stroke on="f"/>
                <v:imagedata o:title=""/>
                <o:lock v:ext="edit" aspectratio="f"/>
                <v:textbox>
                  <w:txbxContent>
                    <w:p w14:paraId="624F216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cs="宋体"/>
          <w:b/>
          <w:bCs/>
          <w:color w:val="auto"/>
          <w:sz w:val="22"/>
          <w:szCs w:val="22"/>
          <w:highlight w:val="none"/>
        </w:rPr>
        <w:t>58.1</w:t>
      </w:r>
    </w:p>
    <w:p w14:paraId="3C659B1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合同双方当事人应在专用条款中约定合同工程竣工验收标准，但约定的竣工验收标准应符合国家或行业、省的有关规定。</w:t>
      </w:r>
    </w:p>
    <w:p w14:paraId="09BB30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合同工程需要进行国家验收的，竣工验收是国家验收的一部分。</w:t>
      </w:r>
    </w:p>
    <w:p w14:paraId="7F7CADA2">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52" name="文本框 2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33007BF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242"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226H2roBAABfAwAADgAAAAAAAAABACAAAAAlAQAAZHJzL2Uyb0RvYy54bWxQSwUG&#10;AAAAAAYABgBZAQAAUQUAAAAA&#10;">
                <v:fill on="f" focussize="0,0"/>
                <v:stroke on="f"/>
                <v:imagedata o:title=""/>
                <o:lock v:ext="edit" aspectratio="f"/>
                <v:textbox>
                  <w:txbxContent>
                    <w:p w14:paraId="33007BF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cs="宋体"/>
          <w:b/>
          <w:bCs/>
          <w:color w:val="auto"/>
          <w:sz w:val="22"/>
          <w:szCs w:val="22"/>
          <w:highlight w:val="none"/>
        </w:rPr>
        <w:t>58.2</w:t>
      </w:r>
      <w:r>
        <w:rPr>
          <w:rFonts w:hint="eastAsia" w:ascii="宋体" w:hAnsi="宋体" w:cs="宋体"/>
          <w:color w:val="auto"/>
          <w:sz w:val="22"/>
          <w:szCs w:val="22"/>
          <w:highlight w:val="none"/>
          <w:u w:val="dotted"/>
        </w:rPr>
        <w:t xml:space="preserve">                                                                             </w:t>
      </w:r>
    </w:p>
    <w:p w14:paraId="03AC1C5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发包人收到承包人按照第57.2 款规定提交的竣工验收申请报告后，应及时通知监理工程师核查合同工程是否具备竣工验收条件。</w:t>
      </w:r>
    </w:p>
    <w:p w14:paraId="562948F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2EA6823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(2）经核查已具备竣工验收条件的，监理工程师应在收到竣工验收申请报告后的14天内书面提请发包人组织合同工程验收。</w:t>
      </w:r>
    </w:p>
    <w:p w14:paraId="2BAA826E">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53" name="文本框 2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255F485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243" o:spid="_x0000_s1026" o:spt="202" type="#_x0000_t202" style="position:absolute;left:0pt;margin-left:-9pt;margin-top:20.3pt;height:32.1pt;width:68.8pt;z-index:251905024;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RGlMcLoBAABfAwAADgAAAAAAAAABACAAAAAlAQAAZHJzL2Uyb0RvYy54bWxQSwUG&#10;AAAAAAYABgBZAQAAUQUAAAAA&#10;">
                <v:fill on="f" focussize="0,0"/>
                <v:stroke on="f"/>
                <v:imagedata o:title=""/>
                <o:lock v:ext="edit" aspectratio="f"/>
                <v:textbox>
                  <w:txbxContent>
                    <w:p w14:paraId="255F4859">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cs="宋体"/>
          <w:b/>
          <w:bCs/>
          <w:color w:val="auto"/>
          <w:sz w:val="22"/>
          <w:szCs w:val="22"/>
          <w:highlight w:val="none"/>
        </w:rPr>
        <w:t xml:space="preserve">58.3 </w:t>
      </w:r>
      <w:r>
        <w:rPr>
          <w:rFonts w:hint="eastAsia" w:ascii="宋体" w:hAnsi="宋体" w:cs="宋体"/>
          <w:b/>
          <w:bCs/>
          <w:color w:val="auto"/>
          <w:sz w:val="22"/>
          <w:szCs w:val="22"/>
          <w:highlight w:val="none"/>
          <w:u w:val="dotted"/>
        </w:rPr>
        <w:t xml:space="preserve">                                                                             </w:t>
      </w:r>
    </w:p>
    <w:p w14:paraId="3F5E32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14:paraId="5E93CB5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竣工验收完成后，承包人应及时向发包人提交竣工验收记录。竣工验收合格的，发包人及参加验收各方应及时在竣工验收记录上签字，并由监理工程师会同参加验收各方形成合同工程竣工验收报告。</w:t>
      </w:r>
    </w:p>
    <w:p w14:paraId="79436F42">
      <w:pPr>
        <w:adjustRightInd w:val="0"/>
        <w:snapToGrid w:val="0"/>
        <w:spacing w:line="420" w:lineRule="exact"/>
        <w:ind w:left="1491" w:leftChars="1" w:hanging="1489" w:hangingChars="674"/>
        <w:rPr>
          <w:rFonts w:ascii="宋体" w:hAnsi="宋体" w:cs="宋体"/>
          <w:color w:val="auto"/>
          <w:sz w:val="22"/>
          <w:szCs w:val="22"/>
          <w:highlight w:val="none"/>
        </w:rPr>
      </w:pPr>
      <w:r>
        <w:rPr>
          <w:rFonts w:hint="eastAsia" w:ascii="宋体" w:hAnsi="宋体" w:cs="宋体"/>
          <w:b/>
          <w:bCs/>
          <w:color w:val="auto"/>
          <w:sz w:val="22"/>
          <w:szCs w:val="22"/>
          <w:highlight w:val="none"/>
        </w:rPr>
        <w:t>58.4</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5F08F8E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54" name="文本框 244"/>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14:paraId="28FBF58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244" o:spid="_x0000_s1026" o:spt="202" type="#_x0000_t202" style="position:absolute;left:0pt;margin-left:-9pt;margin-top:1.55pt;height:35.55pt;width:68.8pt;z-index:25190604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tYrt1gAAAAgBAAAPAAAAAAAAAAEAIAAAACIAAABkcnMvZG93bnJldi54bWxQSwECFAAU&#10;AAAACACHTuJAhPKlrLoBAABfAwAADgAAAAAAAAABACAAAAAlAQAAZHJzL2Uyb0RvYy54bWxQSwUG&#10;AAAAAAYABgBZAQAAUQUAAAAA&#10;">
                <v:fill on="f" focussize="0,0"/>
                <v:stroke on="f"/>
                <v:imagedata o:title=""/>
                <o:lock v:ext="edit" aspectratio="f"/>
                <v:textbox>
                  <w:txbxContent>
                    <w:p w14:paraId="28FBF58E">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发包人未按照第58.3款规定完成合同工程验收，或验收后14天内未予确认也未提出修改意见，视为承包人提交的竣工验收申请报告已被认可。</w:t>
      </w:r>
    </w:p>
    <w:p w14:paraId="3273892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竣工验收申请报告被认可，则表明已完成合同工程，视为竣工验收合格，但由于不可抗力事件致使发包人不能完成验收的除外。</w:t>
      </w:r>
    </w:p>
    <w:p w14:paraId="446C5CAD">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58.5 </w:t>
      </w:r>
      <w:r>
        <w:rPr>
          <w:rFonts w:hint="eastAsia" w:ascii="宋体" w:hAnsi="宋体" w:cs="宋体"/>
          <w:b/>
          <w:bCs/>
          <w:color w:val="auto"/>
          <w:sz w:val="22"/>
          <w:szCs w:val="22"/>
          <w:highlight w:val="none"/>
          <w:u w:val="dotted"/>
        </w:rPr>
        <w:t xml:space="preserve">                                                                                        </w:t>
      </w:r>
    </w:p>
    <w:p w14:paraId="0EB597A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55" name="文本框 2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1EDF17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245" o:spid="_x0000_s1026" o:spt="202" type="#_x0000_t202" style="position:absolute;left:0pt;margin-left:-9pt;margin-top:1.55pt;height:31.2pt;width:72pt;z-index:25190707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q/5N1QAAAAgBAAAPAAAAAAAAAAEAIAAAACIAAABkcnMvZG93bnJldi54bWxQSwECFAAU&#10;AAAACACHTuJA3mYaDLsBAABfAwAADgAAAAAAAAABACAAAAAkAQAAZHJzL2Uyb0RvYy54bWxQSwUG&#10;AAAAAAYABgBZAQAAUQUAAAAA&#10;">
                <v:fill on="f" focussize="0,0"/>
                <v:stroke on="f"/>
                <v:imagedata o:title=""/>
                <o:lock v:ext="edit" aspectratio="f"/>
                <v:textbox>
                  <w:txbxContent>
                    <w:p w14:paraId="31EDF17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发包人未按照第58.3款规定完成合同工程验收，从收到监理工程师书面提请后的第29天起承担合同工程照管责任和其他一切意外责任。</w:t>
      </w:r>
    </w:p>
    <w:p w14:paraId="2A8A34C6">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b/>
          <w:bCs/>
          <w:color w:val="auto"/>
          <w:sz w:val="22"/>
          <w:szCs w:val="22"/>
          <w:highlight w:val="none"/>
        </w:rPr>
        <w:t>58.6</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51170FB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56" name="文本框 246"/>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46C506E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246" o:spid="_x0000_s1026" o:spt="202" type="#_x0000_t202" style="position:absolute;left:0pt;margin-left:-9pt;margin-top:0.35pt;height:31.15pt;width:72pt;z-index:25190809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HCwfx+6AQAAXwMAAA4AAAAAAAAAAQAgAAAAIwEAAGRycy9lMm9Eb2MueG1sUEsFBgAA&#10;AAAGAAYAWQEAAE8FAAAAAA==&#10;">
                <v:fill on="f" focussize="0,0"/>
                <v:stroke on="f"/>
                <v:imagedata o:title=""/>
                <o:lock v:ext="edit" aspectratio="f"/>
                <v:textbox>
                  <w:txbxContent>
                    <w:p w14:paraId="46C506E2">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验收合格的，发包人应接收工程，并在收到承包人提交的竣工验收申请报告后的56天内向承包人颁发工程接收证书。</w:t>
      </w:r>
    </w:p>
    <w:p w14:paraId="5DFD291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竣工验收后，发包人同意接收工程但提出限期整修和完善要求的，发包人应缓发工程接收证书。承包人整修和完善工作完成后，监理工程师核查达到要求的，发包人应向承包人颁发工程接收证书。</w:t>
      </w:r>
    </w:p>
    <w:p w14:paraId="403FD3F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53EE68D">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58.7 </w:t>
      </w:r>
      <w:r>
        <w:rPr>
          <w:rFonts w:hint="eastAsia" w:ascii="宋体" w:hAnsi="宋体" w:cs="宋体"/>
          <w:b/>
          <w:bCs/>
          <w:color w:val="auto"/>
          <w:sz w:val="22"/>
          <w:szCs w:val="22"/>
          <w:highlight w:val="none"/>
          <w:u w:val="dotted"/>
        </w:rPr>
        <w:t xml:space="preserve">                                                                                        </w:t>
      </w:r>
    </w:p>
    <w:p w14:paraId="6D2D1F5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57" name="文本框 2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035B4731">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247" o:spid="_x0000_s1026" o:spt="202" type="#_x0000_t202" style="position:absolute;left:0pt;margin-left:-9pt;margin-top:0.35pt;height:31.15pt;width:72pt;z-index:25190912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O+3tLW6AQAAXwMAAA4AAAAAAAAAAQAgAAAAIwEAAGRycy9lMm9Eb2MueG1sUEsFBgAA&#10;AAAGAAYAWQEAAE8FAAAAAA==&#10;">
                <v:fill on="f" focussize="0,0"/>
                <v:stroke on="f"/>
                <v:imagedata o:title=""/>
                <o:lock v:ext="edit" aspectratio="f"/>
                <v:textbox>
                  <w:txbxContent>
                    <w:p w14:paraId="035B4731">
                      <w:pPr>
                        <w:spacing w:line="240" w:lineRule="exact"/>
                        <w:rPr>
                          <w:rFonts w:ascii="宋体" w:hAnsi="Calibri"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竣工验收合格的合同工程，发包人应按照第38.2款规定在工程接收证书上写明合同工程的实际竣工日期。</w:t>
      </w:r>
    </w:p>
    <w:p w14:paraId="0B8BE32C">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58.8  </w:t>
      </w:r>
      <w:r>
        <w:rPr>
          <w:rFonts w:hint="eastAsia" w:ascii="宋体" w:hAnsi="宋体" w:cs="宋体"/>
          <w:b/>
          <w:bCs/>
          <w:color w:val="auto"/>
          <w:sz w:val="22"/>
          <w:szCs w:val="22"/>
          <w:highlight w:val="none"/>
          <w:u w:val="dotted"/>
        </w:rPr>
        <w:t xml:space="preserve">                                                                                      </w:t>
      </w:r>
    </w:p>
    <w:p w14:paraId="2B6FA80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58" name="文本框 248"/>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14:paraId="6DC8EE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248" o:spid="_x0000_s1026" o:spt="202" type="#_x0000_t202" style="position:absolute;left:0pt;margin-left:-9pt;margin-top:0.35pt;height:98.65pt;width:72pt;z-index:251910144;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o/crNUAAAAIAQAADwAAAAAAAAABACAAAAAiAAAAZHJzL2Rvd25yZXYueG1sUEsBAhQAFAAA&#10;AAgAh07iQNNA4pq5AQAAYAMAAA4AAAAAAAAAAQAgAAAAJAEAAGRycy9lMm9Eb2MueG1sUEsFBgAA&#10;AAAGAAYAWQEAAE8FAAAAAA==&#10;">
                <v:fill on="f" focussize="0,0"/>
                <v:stroke on="f"/>
                <v:imagedata o:title=""/>
                <o:lock v:ext="edit" aspectratio="f"/>
                <v:textbox>
                  <w:txbxContent>
                    <w:p w14:paraId="6DC8EEA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发包人要求某一单位工程或任一工程部位提前办理竣工验收的，应与承包人签订单位工程或工程部位竣工验收协议，作为本合同的附件。</w:t>
      </w:r>
    </w:p>
    <w:p w14:paraId="199B465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14:paraId="6E361E0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（2）发包人在全部工程竣工前，使用已接收的单位工程或工程部位导致承包人费用增加的，发包人应承担由此增加的费用和（或）延误的工期，并向承包人支付合理利润。</w:t>
      </w:r>
    </w:p>
    <w:p w14:paraId="346CF629">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58.9  </w:t>
      </w:r>
      <w:r>
        <w:rPr>
          <w:rFonts w:hint="eastAsia" w:ascii="宋体" w:hAnsi="宋体" w:cs="宋体"/>
          <w:b/>
          <w:bCs/>
          <w:color w:val="auto"/>
          <w:sz w:val="22"/>
          <w:szCs w:val="22"/>
          <w:highlight w:val="none"/>
          <w:u w:val="dotted"/>
        </w:rPr>
        <w:t xml:space="preserve">                                                                                       </w:t>
      </w:r>
    </w:p>
    <w:p w14:paraId="475281C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59" name="文本框 249"/>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412CBBA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249"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0Cn71AAAAAcBAAAPAAAAAAAAAAEAIAAAACIAAABkcnMvZG93bnJldi54bWxQSwECFAAUAAAA&#10;CACHTuJATctlFbkBAABfAwAADgAAAAAAAAABACAAAAAjAQAAZHJzL2Uyb0RvYy54bWxQSwUGAAAA&#10;AAYABgBZAQAATgUAAAAA&#10;">
                <v:fill on="f" focussize="0,0"/>
                <v:stroke on="f"/>
                <v:imagedata o:title=""/>
                <o:lock v:ext="edit" aspectratio="f"/>
                <v:textbox>
                  <w:txbxContent>
                    <w:p w14:paraId="412CBBA8">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合同工程尚未全部竣工（其中某项或某几项单位工程或工程部位已竣工），根据合同约定需要在施工期运行的，应由发包人按照第58.8款规定验收合格，并确保安全后，才能投入施工期运行。</w:t>
      </w:r>
    </w:p>
    <w:p w14:paraId="28223F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在施工期运行中，发现单位工程或工程部位存在缺陷或损坏的，由承包人按照第59.3款规定进行修复。</w:t>
      </w:r>
    </w:p>
    <w:p w14:paraId="763F96F0">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58.10  </w:t>
      </w:r>
      <w:r>
        <w:rPr>
          <w:rFonts w:hint="eastAsia" w:ascii="宋体" w:hAnsi="宋体" w:cs="宋体"/>
          <w:b/>
          <w:bCs/>
          <w:color w:val="auto"/>
          <w:sz w:val="22"/>
          <w:szCs w:val="22"/>
          <w:highlight w:val="none"/>
          <w:u w:val="dotted"/>
        </w:rPr>
        <w:t xml:space="preserve">                                                                                      </w:t>
      </w:r>
    </w:p>
    <w:p w14:paraId="7EA1160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60" name="文本框 2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3962314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250"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9Ap+9QAAAAHAQAADwAAAAAAAAABACAAAAAiAAAAZHJzL2Rvd25yZXYueG1sUEsBAhQAFAAAAAgA&#10;h07iQOPL7yy3AQAAXwMAAA4AAAAAAAAAAQAgAAAAIwEAAGRycy9lMm9Eb2MueG1sUEsFBgAAAAAG&#10;AAYAWQEAAEwFAAAAAA==&#10;">
                <v:fill on="f" focussize="0,0"/>
                <v:stroke on="f"/>
                <v:imagedata o:title=""/>
                <o:lock v:ext="edit" aspectratio="f"/>
                <v:textbox>
                  <w:txbxContent>
                    <w:p w14:paraId="3962314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专用条款没有约定的，工程接收证书颁发后，承包人应按照下列要求对施工场地进行清理，直至监理工程师检验合格为止。竣工清场费用由承包人承担。</w:t>
      </w:r>
    </w:p>
    <w:p w14:paraId="04C2210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（1）施工场地内残留的垃圾已全部清除出场；</w:t>
      </w:r>
    </w:p>
    <w:p w14:paraId="2A8135D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（2）临时设施已拆除，场地已按照合同要求进行清理、平整或复原；</w:t>
      </w:r>
    </w:p>
    <w:p w14:paraId="6AF0A1E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（3）按照合同约定应撤离的承包人设备和剩余的材料，包括废弃的施</w:t>
      </w:r>
    </w:p>
    <w:p w14:paraId="4581580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工设备和材料，已按照计划撤离施工场地；</w:t>
      </w:r>
    </w:p>
    <w:p w14:paraId="3123F89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（4）建筑物周边及其附近道路、河道的施工堆积物，已按照监理工程</w:t>
      </w:r>
    </w:p>
    <w:p w14:paraId="01A7592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师指令全部清理；</w:t>
      </w:r>
    </w:p>
    <w:p w14:paraId="3613FDE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（5）监理工程师指令的其他场地清理工作已全部完成。</w:t>
      </w:r>
    </w:p>
    <w:p w14:paraId="1CAA05F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如承包人未按照监理工程师的要求恢复临时占地，或者场地清理未达到合同约定的，发包人可自行或委托第三方恢复或清理，所发生的费用从应支付或将支付给承包人的款项中扣除。</w:t>
      </w:r>
    </w:p>
    <w:p w14:paraId="2C70F159">
      <w:pPr>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 xml:space="preserve">58.11 </w:t>
      </w:r>
      <w:r>
        <w:rPr>
          <w:rFonts w:hint="eastAsia" w:ascii="宋体" w:hAnsi="宋体" w:cs="宋体"/>
          <w:b/>
          <w:bCs/>
          <w:color w:val="auto"/>
          <w:sz w:val="22"/>
          <w:szCs w:val="22"/>
          <w:highlight w:val="none"/>
          <w:u w:val="dotted"/>
        </w:rPr>
        <w:t xml:space="preserve">                                                                                       </w:t>
      </w:r>
    </w:p>
    <w:p w14:paraId="06014EC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61" name="文本框 2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09822F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251" o:spid="_x0000_s1026" o:spt="202" type="#_x0000_t202" style="position:absolute;left:0pt;margin-left:-9pt;margin-top:0.3pt;height:46.5pt;width:72pt;z-index:25191321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HzMJIa6AQAAXwMAAA4AAAAAAAAAAQAgAAAAIwEAAGRycy9lMm9Eb2MueG1sUEsFBgAA&#10;AAAGAAYAWQEAAE8FAAAAAA==&#10;">
                <v:fill on="f" focussize="0,0"/>
                <v:stroke on="f"/>
                <v:imagedata o:title=""/>
                <o:lock v:ext="edit" aspectratio="f"/>
                <v:textbox>
                  <w:txbxContent>
                    <w:p w14:paraId="09822F2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10CC48C5">
      <w:pPr>
        <w:tabs>
          <w:tab w:val="left" w:pos="1620"/>
        </w:tabs>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4240"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62" name="文本框 25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1A732C4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252" o:spid="_x0000_s1026" o:spt="202" type="#_x0000_t202" style="position:absolute;left:0pt;margin-left:-5.25pt;margin-top:23.55pt;height:46.55pt;width:72pt;z-index:251914240;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acUR1wAAAAoBAAAPAAAAAAAAAAEAIAAAACIAAABkcnMvZG93bnJldi54bWxQSwECFAAU&#10;AAAACACHTuJAisKHW7kBAABfAwAADgAAAAAAAAABACAAAAAmAQAAZHJzL2Uyb0RvYy54bWxQSwUG&#10;AAAAAAYABgBZAQAAUQUAAAAA&#10;">
                <v:fill on="f" focussize="0,0"/>
                <v:stroke on="f"/>
                <v:imagedata o:title=""/>
                <o:lock v:ext="edit" aspectratio="f"/>
                <v:textbox>
                  <w:txbxContent>
                    <w:p w14:paraId="1A732C4F">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cs="宋体"/>
          <w:b/>
          <w:bCs/>
          <w:color w:val="auto"/>
          <w:sz w:val="22"/>
          <w:szCs w:val="22"/>
          <w:highlight w:val="none"/>
        </w:rPr>
        <w:t>58.12</w:t>
      </w:r>
      <w:r>
        <w:rPr>
          <w:rFonts w:hint="eastAsia" w:ascii="宋体" w:hAnsi="宋体" w:cs="宋体"/>
          <w:color w:val="auto"/>
          <w:sz w:val="22"/>
          <w:szCs w:val="22"/>
          <w:highlight w:val="none"/>
          <w:u w:val="dotted"/>
        </w:rPr>
        <w:t xml:space="preserve">                                                                                        </w:t>
      </w:r>
    </w:p>
    <w:p w14:paraId="6A7098BD">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合同工程未经竣工验收或竣工验收不合格的，发包人不得使用。发包人强行使用的，由此发生的质量问题及其他问题，由发包人承担责任。</w:t>
      </w:r>
    </w:p>
    <w:p w14:paraId="2A4BECA9">
      <w:pPr>
        <w:tabs>
          <w:tab w:val="left" w:pos="1620"/>
        </w:tabs>
        <w:adjustRightInd w:val="0"/>
        <w:snapToGrid w:val="0"/>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58.13</w:t>
      </w:r>
      <w:r>
        <w:rPr>
          <w:rFonts w:hint="eastAsia" w:ascii="宋体" w:hAnsi="宋体" w:cs="宋体"/>
          <w:b/>
          <w:bCs/>
          <w:color w:val="auto"/>
          <w:sz w:val="22"/>
          <w:szCs w:val="22"/>
          <w:highlight w:val="none"/>
          <w:u w:val="dotted"/>
        </w:rPr>
        <w:t xml:space="preserve">                                                                                        </w:t>
      </w:r>
    </w:p>
    <w:p w14:paraId="120BA50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63" name="文本框 253"/>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14:paraId="48B1B66B">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253" o:spid="_x0000_s1026" o:spt="202" type="#_x0000_t202" style="position:absolute;left:0pt;margin-left:-9pt;margin-top:1.05pt;height:32pt;width:72pt;z-index:251915264;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M+L1QAAAAgBAAAPAAAAAAAAAAEAIAAAACIAAABkcnMvZG93bnJldi54bWxQSwECFAAUAAAA&#10;CACHTuJABu/UibgBAABfAwAADgAAAAAAAAABACAAAAAkAQAAZHJzL2Uyb0RvYy54bWxQSwUGAAAA&#10;AAYABgBZAQAATgUAAAAA&#10;">
                <v:fill on="f" focussize="0,0"/>
                <v:stroke on="f"/>
                <v:imagedata o:title=""/>
                <o:lock v:ext="edit" aspectratio="f"/>
                <v:textbox>
                  <w:txbxContent>
                    <w:p w14:paraId="48B1B66B">
                      <w:pPr>
                        <w:spacing w:line="240" w:lineRule="exact"/>
                        <w:rPr>
                          <w:rFonts w:ascii="楷体_GB2312" w:hAnsi="宋体" w:eastAsia="楷体_GB2312" w:cs="Times New Roman"/>
                          <w:b/>
                          <w:bCs/>
                          <w:color w:val="000000"/>
                          <w:sz w:val="18"/>
                          <w:szCs w:val="18"/>
                        </w:rPr>
                      </w:pPr>
                      <w:r>
                        <w:rPr>
                          <w:rFonts w:hint="eastAsia" w:ascii="楷体_GB2312" w:hAnsi="Calibri" w:eastAsia="楷体_GB2312" w:cs="楷体_GB2312"/>
                          <w:b/>
                          <w:bCs/>
                          <w:color w:val="000000"/>
                          <w:sz w:val="18"/>
                          <w:szCs w:val="18"/>
                        </w:rPr>
                        <w:t>工程竣工质量争议的责任</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合同工程竣工验收时发生工程质量争议，经第86.4款规定调解或认定工程质量符合合同要求的，由发包人承担由此增加的费用和（或）延误的工期。</w:t>
      </w:r>
    </w:p>
    <w:p w14:paraId="647A880F">
      <w:pPr>
        <w:adjustRightInd w:val="0"/>
        <w:snapToGrid w:val="0"/>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B650E8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09" w:name="_Toc10624882"/>
      <w:bookmarkStart w:id="510" w:name="_Toc469384042"/>
      <w:r>
        <w:rPr>
          <w:rFonts w:hint="eastAsia" w:ascii="黑体" w:hAnsi="黑体" w:eastAsia="黑体" w:cs="黑体"/>
          <w:b w:val="0"/>
          <w:bCs/>
          <w:color w:val="auto"/>
          <w:kern w:val="0"/>
          <w:sz w:val="24"/>
          <w:szCs w:val="24"/>
          <w:highlight w:val="none"/>
          <w:lang w:val="en-US" w:eastAsia="zh-CN" w:bidi="ar-SA"/>
        </w:rPr>
        <w:t>59  缺陷责任与质量保修</w:t>
      </w:r>
      <w:bookmarkEnd w:id="509"/>
      <w:bookmarkEnd w:id="510"/>
    </w:p>
    <w:p w14:paraId="2D183359">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4" name="文本框 25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509BE3B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489D98B">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254"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CLfmBUugEAAF8DAAAOAAAAAAAAAAEAIAAAACcBAABkcnMvZTJvRG9jLnhtbFBL&#10;BQYAAAAABgAGAFkBAABTBQAAAAA=&#10;">
                <v:fill on="f" focussize="0,0"/>
                <v:stroke on="f"/>
                <v:imagedata o:title=""/>
                <o:lock v:ext="edit" aspectratio="f"/>
                <v:textbox>
                  <w:txbxContent>
                    <w:p w14:paraId="509BE3B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6489D98B">
                      <w:pPr>
                        <w:spacing w:line="240" w:lineRule="exact"/>
                        <w:rPr>
                          <w:rFonts w:ascii="宋体" w:hAnsi="Times New Roman"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cs="宋体"/>
          <w:b/>
          <w:bCs/>
          <w:color w:val="auto"/>
          <w:sz w:val="22"/>
          <w:szCs w:val="22"/>
          <w:highlight w:val="none"/>
        </w:rPr>
        <w:t xml:space="preserve">59.1  </w:t>
      </w:r>
    </w:p>
    <w:p w14:paraId="37EE09F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合同双方当事人应在专用条款中约定缺陷责任期。</w:t>
      </w:r>
    </w:p>
    <w:p w14:paraId="62DA16E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缺陷责任期自实际竣工之日起计算。在全部工程竣工验收前，已经发包人提前验收的单位工程，其缺陷责任期的起算日期相应提前。</w:t>
      </w:r>
    </w:p>
    <w:p w14:paraId="3646AC43">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5" name="文本框 2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3D2C9C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1F54D23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255"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FHmr/rsBAABfAwAADgAAAAAAAAABACAAAAAnAQAAZHJzL2Uyb0RvYy54bWxQ&#10;SwUGAAAAAAYABgBZAQAAVAUAAAAA&#10;">
                <v:fill on="f" focussize="0,0"/>
                <v:stroke on="f"/>
                <v:imagedata o:title=""/>
                <o:lock v:ext="edit" aspectratio="f"/>
                <v:textbox>
                  <w:txbxContent>
                    <w:p w14:paraId="3D2C9C98">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1F54D23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cs="宋体"/>
          <w:b/>
          <w:bCs/>
          <w:color w:val="auto"/>
          <w:sz w:val="22"/>
          <w:szCs w:val="22"/>
          <w:highlight w:val="none"/>
        </w:rPr>
        <w:t xml:space="preserve">59.2  </w:t>
      </w:r>
      <w:r>
        <w:rPr>
          <w:rFonts w:hint="eastAsia" w:ascii="宋体" w:hAnsi="宋体" w:cs="宋体"/>
          <w:b/>
          <w:bCs/>
          <w:color w:val="auto"/>
          <w:sz w:val="22"/>
          <w:szCs w:val="22"/>
          <w:highlight w:val="none"/>
          <w:u w:val="dotted"/>
        </w:rPr>
        <w:t xml:space="preserve">                                                                              </w:t>
      </w:r>
    </w:p>
    <w:p w14:paraId="10FB87A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由于承包人原因造成某项缺陷或损坏使某项工程或工程设备不能按照原定目标使用而需要再次检查、检验和修复的，发包人有权要求承包人相应延长缺陷责任期，但缺陷责任期最长不超过2年。</w:t>
      </w:r>
    </w:p>
    <w:p w14:paraId="296E9F08">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6" name="文本框 2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27967BC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256"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D0d4faugEAAF8DAAAOAAAAAAAAAAEAIAAAACcBAABkcnMvZTJvRG9jLnhtbFBL&#10;BQYAAAAABgAGAFkBAABTBQAAAAA=&#10;">
                <v:fill on="f" focussize="0,0"/>
                <v:stroke on="f"/>
                <v:imagedata o:title=""/>
                <o:lock v:ext="edit" aspectratio="f"/>
                <v:textbox>
                  <w:txbxContent>
                    <w:p w14:paraId="27967BCA">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cs="宋体"/>
          <w:b/>
          <w:bCs/>
          <w:color w:val="auto"/>
          <w:sz w:val="22"/>
          <w:szCs w:val="22"/>
          <w:highlight w:val="none"/>
        </w:rPr>
        <w:t xml:space="preserve">59.3  </w:t>
      </w:r>
      <w:r>
        <w:rPr>
          <w:rFonts w:hint="eastAsia" w:ascii="宋体" w:hAnsi="宋体" w:cs="宋体"/>
          <w:b/>
          <w:bCs/>
          <w:color w:val="auto"/>
          <w:sz w:val="22"/>
          <w:szCs w:val="22"/>
          <w:highlight w:val="none"/>
          <w:u w:val="dotted"/>
        </w:rPr>
        <w:t xml:space="preserve">                                                                              </w:t>
      </w:r>
    </w:p>
    <w:p w14:paraId="22B7B7B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合同工程存在某项缺陷或损坏的，合同双方当事人应按照下列规定承担缺陷责任以及由此产生的费用。</w:t>
      </w:r>
    </w:p>
    <w:p w14:paraId="359DF0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（1）承包人应在缺陷责任期内对已交付使用的工程承担缺陷责任。</w:t>
      </w:r>
    </w:p>
    <w:p w14:paraId="1D903CF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4E061B1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06FAE08A">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7" name="文本框 2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C5C77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257"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rcExwugEAAF8DAAAOAAAAAAAAAAEAIAAAACcBAABkcnMvZTJvRG9jLnhtbFBL&#10;BQYAAAAABgAGAFkBAABTBQAAAAA=&#10;">
                <v:fill on="f" focussize="0,0"/>
                <v:stroke on="f"/>
                <v:imagedata o:title=""/>
                <o:lock v:ext="edit" aspectratio="f"/>
                <v:textbox>
                  <w:txbxContent>
                    <w:p w14:paraId="0C5C77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cs="宋体"/>
          <w:b/>
          <w:bCs/>
          <w:color w:val="auto"/>
          <w:sz w:val="22"/>
          <w:szCs w:val="22"/>
          <w:highlight w:val="none"/>
        </w:rPr>
        <w:t xml:space="preserve">59.4  </w:t>
      </w:r>
      <w:r>
        <w:rPr>
          <w:rFonts w:hint="eastAsia" w:ascii="宋体" w:hAnsi="宋体" w:cs="宋体"/>
          <w:b/>
          <w:bCs/>
          <w:color w:val="auto"/>
          <w:sz w:val="22"/>
          <w:szCs w:val="22"/>
          <w:highlight w:val="none"/>
          <w:u w:val="dotted"/>
        </w:rPr>
        <w:t xml:space="preserve">                                                                            </w:t>
      </w:r>
    </w:p>
    <w:p w14:paraId="7F9EDAF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任何一项缺陷或损坏修复后，经检查证明其影响了工程或工程设备的使用性能，承包人应按照第54条规定重新检（试）验，重新检（试）验的费用由责任方承担。</w:t>
      </w:r>
    </w:p>
    <w:p w14:paraId="749A3659">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8" name="文本框 2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9FF50C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258"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ALRdDEugEAAF8DAAAOAAAAAAAAAAEAIAAAACcBAABkcnMvZTJvRG9jLnhtbFBL&#10;BQYAAAAABgAGAFkBAABTBQAAAAA=&#10;">
                <v:fill on="f" focussize="0,0"/>
                <v:stroke on="f"/>
                <v:imagedata o:title=""/>
                <o:lock v:ext="edit" aspectratio="f"/>
                <v:textbox>
                  <w:txbxContent>
                    <w:p w14:paraId="09FF50C5">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cs="宋体"/>
          <w:b/>
          <w:bCs/>
          <w:color w:val="auto"/>
          <w:sz w:val="22"/>
          <w:szCs w:val="22"/>
          <w:highlight w:val="none"/>
        </w:rPr>
        <w:t xml:space="preserve">59.5  </w:t>
      </w:r>
      <w:r>
        <w:rPr>
          <w:rFonts w:hint="eastAsia" w:ascii="宋体" w:hAnsi="宋体" w:cs="宋体"/>
          <w:b/>
          <w:bCs/>
          <w:color w:val="auto"/>
          <w:sz w:val="22"/>
          <w:szCs w:val="22"/>
          <w:highlight w:val="none"/>
          <w:u w:val="dotted"/>
        </w:rPr>
        <w:t xml:space="preserve">                                                                            </w:t>
      </w:r>
    </w:p>
    <w:p w14:paraId="01751B4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缺陷责任期内承包人为缺陷修复工作需要，有权进入工程现场，但应遵守发包人的保安和保密等规定。</w:t>
      </w:r>
    </w:p>
    <w:p w14:paraId="76A8366E">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69" name="文本框 2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7E417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259"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CUQhtuugEAAF8DAAAOAAAAAAAAAAEAIAAAACcBAABkcnMvZTJvRG9jLnhtbFBL&#10;BQYAAAAABgAGAFkBAABTBQAAAAA=&#10;">
                <v:fill on="f" focussize="0,0"/>
                <v:stroke on="f"/>
                <v:imagedata o:title=""/>
                <o:lock v:ext="edit" aspectratio="f"/>
                <v:textbox>
                  <w:txbxContent>
                    <w:p w14:paraId="07E41786">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cs="宋体"/>
          <w:b/>
          <w:bCs/>
          <w:color w:val="auto"/>
          <w:sz w:val="22"/>
          <w:szCs w:val="22"/>
          <w:highlight w:val="none"/>
        </w:rPr>
        <w:t xml:space="preserve">59.6  </w:t>
      </w:r>
      <w:r>
        <w:rPr>
          <w:rFonts w:hint="eastAsia" w:ascii="宋体" w:hAnsi="宋体" w:cs="宋体"/>
          <w:b/>
          <w:bCs/>
          <w:color w:val="auto"/>
          <w:sz w:val="22"/>
          <w:szCs w:val="22"/>
          <w:highlight w:val="none"/>
          <w:u w:val="dotted"/>
        </w:rPr>
        <w:t xml:space="preserve">                                                                            </w:t>
      </w:r>
    </w:p>
    <w:p w14:paraId="2C7DAC2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在专用条款约定的缺陷责任期（包括第59.2款延长的期限）终止后的14天内，发包人应向承包人颁发缺陷责任期终止证书。</w:t>
      </w:r>
    </w:p>
    <w:p w14:paraId="6A36B51B">
      <w:pPr>
        <w:adjustRightInd w:val="0"/>
        <w:snapToGrid w:val="0"/>
        <w:spacing w:line="420" w:lineRule="exact"/>
        <w:rPr>
          <w:rFonts w:ascii="宋体" w:hAnsi="宋体" w:cs="宋体"/>
          <w:b/>
          <w:bCs/>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70" name="文本框 2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7C73895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260"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xZv6d2AAAAAoBAAAPAAAAAAAAAAEAIAAAACIAAABkcnMvZG93bnJldi54bWxQSwECFAAU&#10;AAAACACHTuJAnsmll7gBAABfAwAADgAAAAAAAAABACAAAAAnAQAAZHJzL2Uyb0RvYy54bWxQSwUG&#10;AAAAAAYABgBZAQAAUQUAAAAA&#10;">
                <v:fill on="f" focussize="0,0"/>
                <v:stroke on="f"/>
                <v:imagedata o:title=""/>
                <o:lock v:ext="edit" aspectratio="f"/>
                <v:textbox>
                  <w:txbxContent>
                    <w:p w14:paraId="7C738951">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cs="宋体"/>
          <w:b/>
          <w:bCs/>
          <w:color w:val="auto"/>
          <w:sz w:val="22"/>
          <w:szCs w:val="22"/>
          <w:highlight w:val="none"/>
        </w:rPr>
        <w:t xml:space="preserve">59.7  </w:t>
      </w:r>
      <w:r>
        <w:rPr>
          <w:rFonts w:hint="eastAsia" w:ascii="宋体" w:hAnsi="宋体" w:cs="宋体"/>
          <w:b/>
          <w:bCs/>
          <w:color w:val="auto"/>
          <w:sz w:val="22"/>
          <w:szCs w:val="22"/>
          <w:highlight w:val="none"/>
          <w:u w:val="dotted"/>
        </w:rPr>
        <w:t xml:space="preserve">                                                                            </w:t>
      </w:r>
    </w:p>
    <w:p w14:paraId="0FC0A93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6D132909">
      <w:pPr>
        <w:adjustRightInd w:val="0"/>
        <w:snapToGrid w:val="0"/>
        <w:spacing w:line="420" w:lineRule="exact"/>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71" name="文本框 2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49562F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261" o:spid="_x0000_s1026" o:spt="202" type="#_x0000_t202" style="position:absolute;left:0pt;margin-left:-9pt;margin-top:22.6pt;height:33.85pt;width:76.2pt;z-index:25192345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ABzm49ugEAAF8DAAAOAAAAAAAAAAEAIAAAACcBAABkcnMvZTJvRG9jLnhtbFBL&#10;BQYAAAAABgAGAFkBAABTBQAAAAA=&#10;">
                <v:fill on="f" focussize="0,0"/>
                <v:stroke on="f"/>
                <v:imagedata o:title=""/>
                <o:lock v:ext="edit" aspectratio="f"/>
                <v:textbox>
                  <w:txbxContent>
                    <w:p w14:paraId="49562F27">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cs="宋体"/>
          <w:b/>
          <w:bCs/>
          <w:color w:val="auto"/>
          <w:sz w:val="22"/>
          <w:szCs w:val="22"/>
          <w:highlight w:val="none"/>
        </w:rPr>
        <w:t xml:space="preserve">59.8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178B62E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合同双方当事人应在专用条款和合同工程质量保修书中约定质量保修期。质量保修期自实际竣工之日起计算。在全部工程竣工验收前，已经发包人提前验收的单位工程，其质量保修期的起算日期相应提前。</w:t>
      </w:r>
    </w:p>
    <w:p w14:paraId="25E8F8DE">
      <w:pPr>
        <w:tabs>
          <w:tab w:val="left" w:pos="360"/>
          <w:tab w:val="left" w:pos="900"/>
        </w:tabs>
        <w:adjustRightInd w:val="0"/>
        <w:snapToGrid w:val="0"/>
        <w:spacing w:line="420" w:lineRule="exact"/>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59.9  </w:t>
      </w:r>
      <w:r>
        <w:rPr>
          <w:rFonts w:hint="eastAsia" w:ascii="宋体" w:hAnsi="宋体" w:cs="宋体"/>
          <w:b/>
          <w:bCs/>
          <w:color w:val="auto"/>
          <w:sz w:val="22"/>
          <w:szCs w:val="22"/>
          <w:highlight w:val="none"/>
          <w:u w:val="dotted"/>
        </w:rPr>
        <w:t xml:space="preserve">                                                                                       </w:t>
      </w:r>
    </w:p>
    <w:p w14:paraId="357463D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4480"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72" name="文本框 262"/>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14:paraId="2FF9DDB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262" o:spid="_x0000_s1026" o:spt="202" type="#_x0000_t202" style="position:absolute;left:0pt;margin-left:-5.8pt;margin-top:1.2pt;height:28.8pt;width:77.8pt;z-index:251924480;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iiUO1QAAAAgBAAAPAAAAAAAAAAEAIAAAACIAAABkcnMvZG93bnJldi54bWxQSwECFAAUAAAA&#10;CACHTuJALIszDrgBAABfAwAADgAAAAAAAAABACAAAAAkAQAAZHJzL2Uyb0RvYy54bWxQSwUGAAAA&#10;AAYABgBZAQAATgUAAAAA&#10;">
                <v:fill on="f" focussize="0,0"/>
                <v:stroke on="f"/>
                <v:imagedata o:title=""/>
                <o:lock v:ext="edit" aspectratio="f"/>
                <v:textbox>
                  <w:txbxContent>
                    <w:p w14:paraId="2FF9DDB4">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6E93B768">
      <w:pPr>
        <w:adjustRightInd w:val="0"/>
        <w:snapToGrid w:val="0"/>
        <w:spacing w:line="420" w:lineRule="exact"/>
        <w:rPr>
          <w:rFonts w:ascii="宋体" w:hAnsi="宋体" w:cs="宋体"/>
          <w:color w:val="auto"/>
          <w:sz w:val="22"/>
          <w:szCs w:val="22"/>
          <w:highlight w:val="none"/>
          <w:u w:val="dotted"/>
        </w:rPr>
      </w:pPr>
      <w:r>
        <w:rPr>
          <w:rFonts w:hint="eastAsia" w:ascii="宋体" w:hAnsi="宋体" w:cs="宋体"/>
          <w:color w:val="auto"/>
          <w:sz w:val="22"/>
          <w:szCs w:val="22"/>
          <w:highlight w:val="none"/>
        </w:rPr>
        <mc:AlternateContent>
          <mc:Choice Requires="wps">
            <w:drawing>
              <wp:anchor distT="0" distB="0" distL="114300" distR="114300" simplePos="0" relativeHeight="251925504"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73" name="文本框 263"/>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14:paraId="2AE7F53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263" o:spid="_x0000_s1026" o:spt="202" type="#_x0000_t202" style="position:absolute;left:0pt;margin-left:-5.25pt;margin-top:20.4pt;height:35.6pt;width:75.55pt;z-index:251925504;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IcZnrWAAAACgEAAA8AAAAAAAAAAQAgAAAAIgAAAGRycy9kb3ducmV2LnhtbFBLAQIU&#10;ABQAAAAIAIdO4kB+EkgKvAEAAF8DAAAOAAAAAAAAAAEAIAAAACUBAABkcnMvZTJvRG9jLnhtbFBL&#10;BQYAAAAABgAGAFkBAABTBQAAAAA=&#10;">
                <v:fill on="f" focussize="0,0"/>
                <v:stroke on="f"/>
                <v:imagedata o:title=""/>
                <o:lock v:ext="edit" aspectratio="f"/>
                <v:textbox>
                  <w:txbxContent>
                    <w:p w14:paraId="2AE7F537">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cs="宋体"/>
          <w:b/>
          <w:bCs/>
          <w:color w:val="auto"/>
          <w:sz w:val="22"/>
          <w:szCs w:val="22"/>
          <w:highlight w:val="none"/>
        </w:rPr>
        <w:t xml:space="preserve">59.10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u w:val="dotted"/>
        </w:rPr>
        <w:t xml:space="preserve">                                                                                      </w:t>
      </w:r>
    </w:p>
    <w:p w14:paraId="58C2DD0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承包人修复属于质量缺陷以外的费用，由责任方承担。</w:t>
      </w:r>
    </w:p>
    <w:p w14:paraId="3977561D">
      <w:pPr>
        <w:adjustRightInd w:val="0"/>
        <w:snapToGrid w:val="0"/>
        <w:spacing w:line="420" w:lineRule="exact"/>
        <w:rPr>
          <w:rFonts w:ascii="宋体" w:hAnsi="宋体" w:cs="宋体"/>
          <w:color w:val="auto"/>
          <w:sz w:val="22"/>
          <w:szCs w:val="22"/>
          <w:highlight w:val="none"/>
          <w:u w:val="single"/>
        </w:rPr>
      </w:pP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p>
    <w:p w14:paraId="546D4CB7">
      <w:pPr>
        <w:tabs>
          <w:tab w:val="left" w:pos="1620"/>
        </w:tabs>
        <w:adjustRightInd w:val="0"/>
        <w:snapToGrid w:val="0"/>
        <w:spacing w:line="420" w:lineRule="exact"/>
        <w:jc w:val="center"/>
        <w:outlineLvl w:val="1"/>
        <w:rPr>
          <w:rFonts w:ascii="宋体" w:hAnsi="宋体" w:cs="宋体"/>
          <w:b/>
          <w:bCs/>
          <w:color w:val="auto"/>
          <w:sz w:val="22"/>
          <w:szCs w:val="22"/>
          <w:highlight w:val="none"/>
        </w:rPr>
      </w:pPr>
      <w:bookmarkStart w:id="511" w:name="_Toc10624883"/>
      <w:bookmarkStart w:id="512" w:name="_Toc469384043"/>
      <w:r>
        <w:rPr>
          <w:rFonts w:hint="eastAsia" w:ascii="方正小标宋_GBK" w:hAnsi="方正小标宋_GBK" w:eastAsia="方正小标宋_GBK" w:cs="方正小标宋_GBK"/>
          <w:b/>
          <w:bCs/>
          <w:color w:val="auto"/>
          <w:sz w:val="24"/>
          <w:szCs w:val="24"/>
          <w:highlight w:val="none"/>
        </w:rPr>
        <w:t>六、造  价</w:t>
      </w:r>
      <w:bookmarkEnd w:id="511"/>
      <w:bookmarkEnd w:id="512"/>
    </w:p>
    <w:p w14:paraId="7DAF3B4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3" w:name="_Toc469384044"/>
      <w:bookmarkStart w:id="514" w:name="_Toc10624884"/>
      <w:r>
        <w:rPr>
          <w:rFonts w:hint="eastAsia" w:ascii="黑体" w:hAnsi="黑体" w:eastAsia="黑体" w:cs="黑体"/>
          <w:b w:val="0"/>
          <w:bCs/>
          <w:color w:val="auto"/>
          <w:kern w:val="0"/>
          <w:sz w:val="24"/>
          <w:szCs w:val="24"/>
          <w:highlight w:val="none"/>
          <w:lang w:val="en-US" w:eastAsia="zh-CN" w:bidi="ar-SA"/>
        </w:rPr>
        <w:t>60  资金计划和安排</w:t>
      </w:r>
      <w:bookmarkEnd w:id="513"/>
      <w:bookmarkEnd w:id="514"/>
    </w:p>
    <w:p w14:paraId="7EE9E170">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60.1</w:t>
      </w:r>
    </w:p>
    <w:p w14:paraId="1A1CE6C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6528"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74" name="文本框 264"/>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14:paraId="2330B623">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wps:txbx>
                      <wps:bodyPr wrap="square" upright="1"/>
                    </wps:wsp>
                  </a:graphicData>
                </a:graphic>
              </wp:anchor>
            </w:drawing>
          </mc:Choice>
          <mc:Fallback>
            <w:pict>
              <v:shape id="文本框 264" o:spid="_x0000_s1026" o:spt="202" type="#_x0000_t202" style="position:absolute;left:0pt;margin-left:-10.5pt;margin-top:5.4pt;height:34pt;width:72pt;z-index:251926528;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Qv9z9YAAAAJAQAADwAAAAAAAAABACAAAAAiAAAAZHJzL2Rvd25yZXYueG1sUEsBAhQAFAAA&#10;AAgAh07iQPbpkMS4AQAAXwMAAA4AAAAAAAAAAQAgAAAAJQEAAGRycy9lMm9Eb2MueG1sUEsFBgAA&#10;AAAGAAYAWQEAAE8FAAAAAA==&#10;">
                <v:fill on="f" focussize="0,0"/>
                <v:stroke on="f"/>
                <v:imagedata o:title=""/>
                <o:lock v:ext="edit" aspectratio="f"/>
                <v:textbox>
                  <w:txbxContent>
                    <w:p w14:paraId="2330B623">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承包人提交资金需求计划书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工程进度计划被批准后，承包人应向发包人提交一份合同工程资金需求计划书；工程进度计划更新后，承包人应及时向发包人提交一份更新后的工程资金需求计划书。</w:t>
      </w:r>
    </w:p>
    <w:p w14:paraId="4B14E553">
      <w:pPr>
        <w:widowControl w:val="0"/>
        <w:adjustRightInd w:val="0"/>
        <w:snapToGrid w:val="0"/>
        <w:spacing w:line="420" w:lineRule="exact"/>
        <w:ind w:left="1484" w:leftChars="1" w:hanging="1482" w:hangingChars="671"/>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60.2  </w:t>
      </w:r>
      <w:r>
        <w:rPr>
          <w:rFonts w:hint="eastAsia" w:ascii="宋体" w:hAnsi="宋体" w:eastAsia="宋体" w:cs="宋体"/>
          <w:b/>
          <w:bCs/>
          <w:color w:val="auto"/>
          <w:kern w:val="2"/>
          <w:sz w:val="22"/>
          <w:szCs w:val="22"/>
          <w:highlight w:val="none"/>
          <w:u w:val="dotted"/>
          <w:lang w:val="en-US" w:eastAsia="zh-CN" w:bidi="ar-SA"/>
        </w:rPr>
        <w:t xml:space="preserve">                                                                                       </w:t>
      </w:r>
    </w:p>
    <w:p w14:paraId="2154FC1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75" name="文本框 26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7FE74F7E">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wps:txbx>
                      <wps:bodyPr wrap="square" upright="1"/>
                    </wps:wsp>
                  </a:graphicData>
                </a:graphic>
              </wp:anchor>
            </w:drawing>
          </mc:Choice>
          <mc:Fallback>
            <w:pict>
              <v:shape id="文本框 265" o:spid="_x0000_s1026" o:spt="202" type="#_x0000_t202" style="position:absolute;left:0pt;margin-left:-9pt;margin-top:2.7pt;height:36.6pt;width:72pt;z-index:251927552;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sHe1QAAAAgBAAAPAAAAAAAAAAEAIAAAACIAAABkcnMvZG93bnJldi54bWxQSwECFAAU&#10;AAAACACHTuJAJ6IparsBAABfAwAADgAAAAAAAAABACAAAAAkAQAAZHJzL2Uyb0RvYy54bWxQSwUG&#10;AAAAAAYABgBZAQAAUQUAAAAA&#10;">
                <v:fill on="f" focussize="0,0"/>
                <v:stroke on="f"/>
                <v:imagedata o:title=""/>
                <o:lock v:ext="edit" aspectratio="f"/>
                <v:textbox>
                  <w:txbxContent>
                    <w:p w14:paraId="7FE74F7E">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发包人提供资金安排证据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14:paraId="27BCB3A8">
      <w:pPr>
        <w:widowControl w:val="0"/>
        <w:tabs>
          <w:tab w:val="left" w:pos="180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3BD5095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5" w:name="_Toc10624885"/>
      <w:bookmarkStart w:id="516" w:name="_Toc469384045"/>
      <w:r>
        <w:rPr>
          <w:rFonts w:hint="eastAsia" w:ascii="黑体" w:hAnsi="黑体" w:eastAsia="黑体" w:cs="黑体"/>
          <w:b w:val="0"/>
          <w:bCs/>
          <w:color w:val="auto"/>
          <w:kern w:val="0"/>
          <w:sz w:val="24"/>
          <w:szCs w:val="24"/>
          <w:highlight w:val="none"/>
          <w:lang w:val="en-US" w:eastAsia="zh-CN" w:bidi="ar-SA"/>
        </w:rPr>
        <w:t>★61  工程量</w:t>
      </w:r>
      <w:bookmarkEnd w:id="515"/>
      <w:bookmarkEnd w:id="516"/>
    </w:p>
    <w:p w14:paraId="330D7AC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61.1</w:t>
      </w:r>
    </w:p>
    <w:p w14:paraId="0E270CC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76" name="文本框 266"/>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4228F131">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wps:txbx>
                      <wps:bodyPr wrap="square" upright="1"/>
                    </wps:wsp>
                  </a:graphicData>
                </a:graphic>
              </wp:anchor>
            </w:drawing>
          </mc:Choice>
          <mc:Fallback>
            <w:pict>
              <v:shape id="文本框 266" o:spid="_x0000_s1026" o:spt="202" type="#_x0000_t202" style="position:absolute;left:0pt;margin-left:-9pt;margin-top:0.9pt;height:37.5pt;width:72pt;z-index:251928576;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bjnddQAAAAIAQAADwAAAAAAAAABACAAAAAiAAAAZHJzL2Rvd25yZXYueG1sUEsBAhQAFAAA&#10;AAgAh07iQOoQu0m6AQAAXwMAAA4AAAAAAAAAAQAgAAAAIwEAAGRycy9lMm9Eb2MueG1sUEsFBgAA&#10;AAAGAAYAWQEAAE8FAAAAAA==&#10;">
                <v:fill on="f" focussize="0,0"/>
                <v:stroke on="f"/>
                <v:imagedata o:title=""/>
                <o:lock v:ext="edit" aspectratio="f"/>
                <v:textbox>
                  <w:txbxContent>
                    <w:p w14:paraId="4228F131">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清单工程量包括的工作内容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14:paraId="0A530B8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61.2  </w:t>
      </w:r>
      <w:r>
        <w:rPr>
          <w:rFonts w:hint="eastAsia" w:ascii="宋体" w:hAnsi="宋体" w:eastAsia="宋体" w:cs="宋体"/>
          <w:b/>
          <w:bCs/>
          <w:color w:val="auto"/>
          <w:kern w:val="2"/>
          <w:sz w:val="22"/>
          <w:szCs w:val="22"/>
          <w:highlight w:val="none"/>
          <w:u w:val="dotted"/>
          <w:lang w:val="en-US" w:eastAsia="zh-CN" w:bidi="ar-SA"/>
        </w:rPr>
        <w:t xml:space="preserve">                                                                                       </w:t>
      </w:r>
    </w:p>
    <w:p w14:paraId="30E2165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77" name="文本框 267"/>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23787ABD">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wps:txbx>
                      <wps:bodyPr wrap="square" upright="1"/>
                    </wps:wsp>
                  </a:graphicData>
                </a:graphic>
              </wp:anchor>
            </w:drawing>
          </mc:Choice>
          <mc:Fallback>
            <w:pict>
              <v:shape id="文本框 267" o:spid="_x0000_s1026" o:spt="202" type="#_x0000_t202" style="position:absolute;left:0pt;margin-left:-9pt;margin-top:0.9pt;height:28.5pt;width:81pt;z-index:251929600;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NjRGtQAAAAIAQAADwAAAAAAAAABACAAAAAiAAAAZHJzL2Rvd25yZXYueG1sUEsBAhQAFAAA&#10;AAgAh07iQLFop866AQAAYAMAAA4AAAAAAAAAAQAgAAAAIwEAAGRycy9lMm9Eb2MueG1sUEsFBgAA&#10;AAAGAAYAWQEAAE8FAAAAAA==&#10;">
                <v:fill on="f" focussize="0,0"/>
                <v:stroke on="f"/>
                <v:imagedata o:title=""/>
                <o:lock v:ext="edit" aspectratio="f"/>
                <v:textbox>
                  <w:txbxContent>
                    <w:p w14:paraId="23787ABD">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清单的工程量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工程量清单中开列的工程量是根据合同工程施工设计图纸提供的预计工程量，不能作为承包人履行合同义务中应予完成合同工程的实际和准确工程量。</w:t>
      </w:r>
    </w:p>
    <w:p w14:paraId="10BEB13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发包人应按照承包人实际完成的应予计量的工程量与其在工程量清单中填报的单价或合价的乘积向承包人支付工程款。</w:t>
      </w:r>
    </w:p>
    <w:p w14:paraId="4EEC0BBC">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D4CD5A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7" w:name="_Toc10624886"/>
      <w:bookmarkStart w:id="518" w:name="_Toc469384046"/>
      <w:r>
        <w:rPr>
          <w:rFonts w:hint="eastAsia" w:ascii="黑体" w:hAnsi="黑体" w:eastAsia="黑体" w:cs="黑体"/>
          <w:b w:val="0"/>
          <w:bCs/>
          <w:color w:val="auto"/>
          <w:kern w:val="0"/>
          <w:sz w:val="24"/>
          <w:szCs w:val="24"/>
          <w:highlight w:val="none"/>
          <w:lang w:val="en-US" w:eastAsia="zh-CN" w:bidi="ar-SA"/>
        </w:rPr>
        <w:t>★62  工程计量和计价</w:t>
      </w:r>
      <w:bookmarkEnd w:id="517"/>
      <w:bookmarkEnd w:id="518"/>
    </w:p>
    <w:p w14:paraId="781B7AC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62.1</w:t>
      </w:r>
    </w:p>
    <w:p w14:paraId="2396C57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78" name="文本框 26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6131A522">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wps:txbx>
                      <wps:bodyPr wrap="square" upright="1"/>
                    </wps:wsp>
                  </a:graphicData>
                </a:graphic>
              </wp:anchor>
            </w:drawing>
          </mc:Choice>
          <mc:Fallback>
            <w:pict>
              <v:shape id="文本框 268" o:spid="_x0000_s1026" o:spt="202" type="#_x0000_t202" style="position:absolute;left:0pt;margin-left:-9pt;margin-top:1pt;height:32.75pt;width:72pt;z-index:25193062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HrCS1gAAAAgBAAAPAAAAAAAAAAEAIAAAACIAAABkcnMvZG93bnJldi54bWxQSwECFAAU&#10;AAAACACHTuJARvfCWLoBAABfAwAADgAAAAAAAAABACAAAAAlAQAAZHJzL2Uyb0RvYy54bWxQSwUG&#10;AAAAAAYABgBZAQAAUQUAAAAA&#10;">
                <v:fill on="f" focussize="0,0"/>
                <v:stroke on="f"/>
                <v:imagedata o:title=""/>
                <o:lock v:ext="edit" aspectratio="f"/>
                <v:textbox>
                  <w:txbxContent>
                    <w:p w14:paraId="6131A522">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工程计量和计价的依据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0B5361D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62.2  </w:t>
      </w:r>
      <w:r>
        <w:rPr>
          <w:rFonts w:hint="eastAsia" w:ascii="宋体" w:hAnsi="宋体" w:eastAsia="宋体" w:cs="宋体"/>
          <w:b/>
          <w:bCs/>
          <w:color w:val="auto"/>
          <w:kern w:val="2"/>
          <w:sz w:val="22"/>
          <w:szCs w:val="22"/>
          <w:highlight w:val="none"/>
          <w:u w:val="dotted"/>
          <w:lang w:val="en-US" w:eastAsia="zh-CN" w:bidi="ar-SA"/>
        </w:rPr>
        <w:t xml:space="preserve">                                                                                  </w:t>
      </w:r>
    </w:p>
    <w:p w14:paraId="0ADED8F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79" name="文本框 2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F836EED">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wps:txbx>
                      <wps:bodyPr wrap="square" upright="1"/>
                    </wps:wsp>
                  </a:graphicData>
                </a:graphic>
              </wp:anchor>
            </w:drawing>
          </mc:Choice>
          <mc:Fallback>
            <w:pict>
              <v:shape id="文本框 269" o:spid="_x0000_s1026" o:spt="202" type="#_x0000_t202" style="position:absolute;left:0pt;margin-left:-9pt;margin-top:4pt;height:32.75pt;width:72pt;z-index:25193164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zsEXWAAAACAEAAA8AAAAAAAAAAQAgAAAAIgAAAGRycy9kb3ducmV2LnhtbFBLAQIUABQA&#10;AAAIAIdO4kDZ8AnyuQEAAF8DAAAOAAAAAAAAAAEAIAAAACUBAABkcnMvZTJvRG9jLnhtbFBLBQYA&#10;AAAABgAGAFkBAABQBQAAAAA=&#10;">
                <v:fill on="f" focussize="0,0"/>
                <v:stroke on="f"/>
                <v:imagedata o:title=""/>
                <o:lock v:ext="edit" aspectratio="f"/>
                <v:textbox>
                  <w:txbxContent>
                    <w:p w14:paraId="5F836EED">
                      <w:pPr>
                        <w:widowControl w:val="0"/>
                        <w:spacing w:after="120" w:line="22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工程计量和计价的要求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7701E4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造价工程师负责工程计量和计价的核实工作。</w:t>
      </w:r>
    </w:p>
    <w:p w14:paraId="7244BC9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62.3  </w:t>
      </w:r>
      <w:r>
        <w:rPr>
          <w:rFonts w:hint="eastAsia" w:ascii="宋体" w:hAnsi="宋体" w:eastAsia="宋体" w:cs="宋体"/>
          <w:b/>
          <w:bCs/>
          <w:color w:val="auto"/>
          <w:kern w:val="2"/>
          <w:sz w:val="22"/>
          <w:szCs w:val="22"/>
          <w:highlight w:val="none"/>
          <w:u w:val="dotted"/>
          <w:lang w:val="en-US" w:eastAsia="zh-CN" w:bidi="ar-SA"/>
        </w:rPr>
        <w:t xml:space="preserve">                                                                                      </w:t>
      </w:r>
    </w:p>
    <w:p w14:paraId="5338B2A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80" name="文本框 270"/>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14:paraId="2BAE786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wps:txbx>
                      <wps:bodyPr wrap="square" upright="1"/>
                    </wps:wsp>
                  </a:graphicData>
                </a:graphic>
              </wp:anchor>
            </w:drawing>
          </mc:Choice>
          <mc:Fallback>
            <w:pict>
              <v:shape id="文本框 270" o:spid="_x0000_s1026" o:spt="202" type="#_x0000_t202" style="position:absolute;left:0pt;margin-left:-9pt;margin-top:-0.15pt;height:43.15pt;width:72pt;z-index:251932672;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kfa9NQAAAAIAQAADwAAAAAAAAABACAAAAAiAAAAZHJzL2Rvd25yZXYueG1sUEsBAhQAFAAAAAgA&#10;h07iQORkJ6a3AQAAXwMAAA4AAAAAAAAAAQAgAAAAIwEAAGRycy9lMm9Eb2MueG1sUEsFBgAAAAAG&#10;AAYAWQEAAEwFAAAAAA==&#10;">
                <v:fill on="f" focussize="0,0"/>
                <v:stroke on="f"/>
                <v:imagedata o:title=""/>
                <o:lock v:ext="edit" aspectratio="f"/>
                <v:textbox>
                  <w:txbxContent>
                    <w:p w14:paraId="2BAE786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已完工程款额报告的提交和核实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承包人应按照第81.1款规定向造价工程师提交已完工程款额报告。造价工程师应在收到报告后的14天内核实工程量，并将核实结果通知承包人、抄报发包人，作为工程计价和工程款支付的依据。</w:t>
      </w:r>
    </w:p>
    <w:p w14:paraId="7AB4439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62.4  </w:t>
      </w:r>
      <w:r>
        <w:rPr>
          <w:rFonts w:hint="eastAsia" w:ascii="宋体" w:hAnsi="宋体" w:eastAsia="宋体" w:cs="宋体"/>
          <w:b/>
          <w:bCs/>
          <w:color w:val="auto"/>
          <w:kern w:val="2"/>
          <w:sz w:val="22"/>
          <w:szCs w:val="22"/>
          <w:highlight w:val="none"/>
          <w:u w:val="dotted"/>
          <w:lang w:val="en-US" w:eastAsia="zh-CN" w:bidi="ar-SA"/>
        </w:rPr>
        <w:t xml:space="preserve">                                                                                       </w:t>
      </w:r>
    </w:p>
    <w:p w14:paraId="16798E0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81" name="文本框 271"/>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14:paraId="102D4C2A">
                            <w:pPr>
                              <w:rPr>
                                <w:rFonts w:ascii="宋体" w:hAnsi="Calibri" w:cs="Times New Roman"/>
                                <w:sz w:val="18"/>
                                <w:szCs w:val="18"/>
                              </w:rPr>
                            </w:pPr>
                            <w:r>
                              <w:rPr>
                                <w:rFonts w:hint="eastAsia" w:ascii="Calibri" w:hAnsi="宋体" w:cs="Calibri"/>
                                <w:b/>
                                <w:bCs/>
                                <w:color w:val="000000"/>
                                <w:sz w:val="18"/>
                                <w:szCs w:val="18"/>
                              </w:rPr>
                              <w:t>现场计量</w:t>
                            </w:r>
                          </w:p>
                        </w:txbxContent>
                      </wps:txbx>
                      <wps:bodyPr wrap="square" upright="1"/>
                    </wps:wsp>
                  </a:graphicData>
                </a:graphic>
              </wp:anchor>
            </w:drawing>
          </mc:Choice>
          <mc:Fallback>
            <w:pict>
              <v:shape id="文本框 271" o:spid="_x0000_s1026" o:spt="202" type="#_x0000_t202" style="position:absolute;left:0pt;margin-left:-9pt;margin-top:3.95pt;height:27.9pt;width:63pt;z-index:251933696;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OGbdUAAAAIAQAADwAAAAAAAAABACAAAAAiAAAAZHJzL2Rvd25yZXYueG1sUEsBAhQAFAAA&#10;AAgAh07iQETJUAG5AQAAXwMAAA4AAAAAAAAAAQAgAAAAJAEAAGRycy9lMm9Eb2MueG1sUEsFBgAA&#10;AAAGAAYAWQEAAE8FAAAAAA==&#10;">
                <v:fill on="f" focussize="0,0"/>
                <v:stroke on="f"/>
                <v:imagedata o:title=""/>
                <o:lock v:ext="edit" aspectratio="f"/>
                <v:textbox>
                  <w:txbxContent>
                    <w:p w14:paraId="102D4C2A">
                      <w:pPr>
                        <w:rPr>
                          <w:rFonts w:ascii="宋体" w:hAnsi="Calibri" w:cs="Times New Roman"/>
                          <w:sz w:val="18"/>
                          <w:szCs w:val="18"/>
                        </w:rPr>
                      </w:pPr>
                      <w:r>
                        <w:rPr>
                          <w:rFonts w:hint="eastAsia" w:ascii="Calibri" w:hAnsi="宋体" w:cs="Calibri"/>
                          <w:b/>
                          <w:bCs/>
                          <w:color w:val="000000"/>
                          <w:sz w:val="18"/>
                          <w:szCs w:val="18"/>
                        </w:rPr>
                        <w:t>现场计量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75378F1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62.5 </w:t>
      </w:r>
      <w:r>
        <w:rPr>
          <w:rFonts w:hint="eastAsia" w:ascii="宋体" w:hAnsi="宋体" w:eastAsia="宋体" w:cs="宋体"/>
          <w:b/>
          <w:bCs/>
          <w:color w:val="auto"/>
          <w:kern w:val="2"/>
          <w:sz w:val="22"/>
          <w:szCs w:val="22"/>
          <w:highlight w:val="none"/>
          <w:u w:val="dotted"/>
          <w:lang w:val="en-US" w:eastAsia="zh-CN" w:bidi="ar-SA"/>
        </w:rPr>
        <w:t xml:space="preserve">                                                                                        </w:t>
      </w:r>
    </w:p>
    <w:p w14:paraId="53BB201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82" name="文本框 27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14:paraId="63CDEE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wps:txbx>
                      <wps:bodyPr wrap="square" upright="1"/>
                    </wps:wsp>
                  </a:graphicData>
                </a:graphic>
              </wp:anchor>
            </w:drawing>
          </mc:Choice>
          <mc:Fallback>
            <w:pict>
              <v:shape id="文本框 272" o:spid="_x0000_s1026" o:spt="202" type="#_x0000_t202" style="position:absolute;left:0pt;margin-left:-9pt;margin-top:3.5pt;height:47.5pt;width:72pt;z-index:251934720;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WfXVAAAACQEAAA8AAAAAAAAAAQAgAAAAIgAAAGRycy9kb3ducmV2LnhtbFBLAQIUABQA&#10;AAAIAIdO4kAGgi+xugEAAF8DAAAOAAAAAAAAAAEAIAAAACQBAABkcnMvZTJvRG9jLnhtbFBLBQYA&#10;AAAABgAGAFkBAABQBQAAAAA=&#10;">
                <v:fill on="f" focussize="0,0"/>
                <v:stroke on="f"/>
                <v:imagedata o:title=""/>
                <o:lock v:ext="edit" aspectratio="f"/>
                <v:textbox>
                  <w:txbxContent>
                    <w:p w14:paraId="63CDEE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收到已完工程款额报告的限制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7F9E1E9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62.6  </w:t>
      </w:r>
      <w:r>
        <w:rPr>
          <w:rFonts w:hint="eastAsia" w:ascii="宋体" w:hAnsi="宋体" w:eastAsia="宋体" w:cs="宋体"/>
          <w:b/>
          <w:bCs/>
          <w:color w:val="auto"/>
          <w:kern w:val="2"/>
          <w:sz w:val="22"/>
          <w:szCs w:val="22"/>
          <w:highlight w:val="none"/>
          <w:u w:val="dotted"/>
          <w:lang w:val="en-US" w:eastAsia="zh-CN" w:bidi="ar-SA"/>
        </w:rPr>
        <w:t xml:space="preserve">                                                                                      </w:t>
      </w:r>
    </w:p>
    <w:p w14:paraId="1169131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83" name="文本框 273"/>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14:paraId="7E1F359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wps:txbx>
                      <wps:bodyPr wrap="square" upright="1"/>
                    </wps:wsp>
                  </a:graphicData>
                </a:graphic>
              </wp:anchor>
            </w:drawing>
          </mc:Choice>
          <mc:Fallback>
            <w:pict>
              <v:shape id="文本框 273" o:spid="_x0000_s1026" o:spt="202" type="#_x0000_t202" style="position:absolute;left:0pt;margin-left:-9pt;margin-top:3.6pt;height:23.4pt;width:72pt;z-index:251935744;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sr5n1QAAAAgBAAAPAAAAAAAAAAEAIAAAACIAAABkcnMvZG93bnJldi54bWxQSwECFAAU&#10;AAAACACHTuJA7olj7rsBAABfAwAADgAAAAAAAAABACAAAAAkAQAAZHJzL2Uyb0RvYy54bWxQSwUG&#10;AAAAAAYABgBZAQAAUQUAAAAA&#10;">
                <v:fill on="f" focussize="0,0"/>
                <v:stroke on="f"/>
                <v:imagedata o:title=""/>
                <o:lock v:ext="edit" aspectratio="f"/>
                <v:textbox>
                  <w:txbxContent>
                    <w:p w14:paraId="7E1F359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复核计量结果</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64317D8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62.7  </w:t>
      </w:r>
      <w:r>
        <w:rPr>
          <w:rFonts w:hint="eastAsia" w:ascii="宋体" w:hAnsi="宋体" w:eastAsia="宋体" w:cs="宋体"/>
          <w:b/>
          <w:bCs/>
          <w:color w:val="auto"/>
          <w:kern w:val="2"/>
          <w:sz w:val="22"/>
          <w:szCs w:val="22"/>
          <w:highlight w:val="none"/>
          <w:u w:val="dotted"/>
          <w:lang w:val="en-US" w:eastAsia="zh-CN" w:bidi="ar-SA"/>
        </w:rPr>
        <w:t xml:space="preserve">                                                                                       </w:t>
      </w:r>
    </w:p>
    <w:p w14:paraId="357881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84" name="文本框 27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2D2D5135">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wps:txbx>
                      <wps:bodyPr wrap="square" upright="1"/>
                    </wps:wsp>
                  </a:graphicData>
                </a:graphic>
              </wp:anchor>
            </w:drawing>
          </mc:Choice>
          <mc:Fallback>
            <w:pict>
              <v:shape id="文本框 274" o:spid="_x0000_s1026" o:spt="202" type="#_x0000_t202" style="position:absolute;left:0pt;margin-left:-9pt;margin-top:2.85pt;height:23.4pt;width:63pt;z-index:251936768;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Urpk1AAAAAgBAAAPAAAAAAAAAAEAIAAAACIAAABkcnMvZG93bnJldi54bWxQSwECFAAUAAAA&#10;CACHTuJAwsai47kBAABfAwAADgAAAAAAAAABACAAAAAjAQAAZHJzL2Uyb0RvYy54bWxQSwUGAAAA&#10;AAYABgBZAQAATgUAAAAA&#10;">
                <v:fill on="f" focussize="0,0"/>
                <v:stroke on="f"/>
                <v:imagedata o:title=""/>
                <o:lock v:ext="edit" aspectratio="f"/>
                <v:textbox>
                  <w:txbxContent>
                    <w:p w14:paraId="2D2D5135">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不予计量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对承包人超出施工设计图纸范围或因承包人的原因造成返工的工程量，造价工程师均不予计量。</w:t>
      </w:r>
    </w:p>
    <w:p w14:paraId="4818B13B">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62.8  </w:t>
      </w:r>
      <w:r>
        <w:rPr>
          <w:rFonts w:hint="eastAsia" w:ascii="宋体" w:hAnsi="宋体" w:eastAsia="宋体" w:cs="宋体"/>
          <w:b/>
          <w:bCs/>
          <w:color w:val="auto"/>
          <w:kern w:val="2"/>
          <w:sz w:val="22"/>
          <w:szCs w:val="22"/>
          <w:highlight w:val="none"/>
          <w:u w:val="dotted"/>
          <w:lang w:val="en-US" w:eastAsia="zh-CN" w:bidi="ar-SA"/>
        </w:rPr>
        <w:t xml:space="preserve">                                                                                      </w:t>
      </w:r>
    </w:p>
    <w:p w14:paraId="3398A45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85" name="文本框 275"/>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14:paraId="4E65025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wps:txbx>
                      <wps:bodyPr wrap="square" upright="1"/>
                    </wps:wsp>
                  </a:graphicData>
                </a:graphic>
              </wp:anchor>
            </w:drawing>
          </mc:Choice>
          <mc:Fallback>
            <w:pict>
              <v:shape id="文本框 275" o:spid="_x0000_s1026" o:spt="202" type="#_x0000_t202" style="position:absolute;left:0pt;margin-left:-9pt;margin-top:1.9pt;height:38.9pt;width:72pt;z-index:251937792;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2vWpbUAAAACAEAAA8AAAAAAAAAAQAgAAAAIgAAAGRycy9kb3ducmV2LnhtbFBLAQIUABQA&#10;AAAIAIdO4kAdu/ENuwEAAF8DAAAOAAAAAAAAAAEAIAAAACMBAABkcnMvZTJvRG9jLnhtbFBLBQYA&#10;AAAABgAGAFkBAABQBQAAAAA=&#10;">
                <v:fill on="f" focussize="0,0"/>
                <v:stroke on="f"/>
                <v:imagedata o:title=""/>
                <o:lock v:ext="edit" aspectratio="f"/>
                <v:textbox>
                  <w:txbxContent>
                    <w:p w14:paraId="4E65025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各项工作价款的计算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468F95AE">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E7133F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19" w:name="_Toc10624887"/>
      <w:bookmarkStart w:id="520" w:name="_Toc469384047"/>
      <w:r>
        <w:rPr>
          <w:rFonts w:hint="eastAsia" w:ascii="黑体" w:hAnsi="黑体" w:eastAsia="黑体" w:cs="黑体"/>
          <w:b w:val="0"/>
          <w:bCs/>
          <w:color w:val="auto"/>
          <w:kern w:val="0"/>
          <w:sz w:val="24"/>
          <w:szCs w:val="24"/>
          <w:highlight w:val="none"/>
          <w:lang w:val="en-US" w:eastAsia="zh-CN" w:bidi="ar-SA"/>
        </w:rPr>
        <w:t>★63  暂列金额</w:t>
      </w:r>
      <w:bookmarkEnd w:id="519"/>
      <w:bookmarkEnd w:id="520"/>
    </w:p>
    <w:p w14:paraId="139E542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63.1</w:t>
      </w:r>
    </w:p>
    <w:p w14:paraId="0014362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8816"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86" name="文本框 276"/>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14:paraId="555BA4D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14:paraId="1AC8B47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wps:txbx>
                      <wps:bodyPr wrap="square" upright="1"/>
                    </wps:wsp>
                  </a:graphicData>
                </a:graphic>
              </wp:anchor>
            </w:drawing>
          </mc:Choice>
          <mc:Fallback>
            <w:pict>
              <v:shape id="文本框 276" o:spid="_x0000_s1026" o:spt="202" type="#_x0000_t202" style="position:absolute;left:0pt;margin-left:-18pt;margin-top:7.5pt;height:54.2pt;width:90pt;z-index:251938816;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AjDPVAAAACgEAAA8AAAAAAAAAAQAgAAAAIgAAAGRycy9kb3ducmV2LnhtbFBLAQIUABQA&#10;AAAIAIdO4kBSJVrCugEAAGADAAAOAAAAAAAAAAEAIAAAACQBAABkcnMvZTJvRG9jLnhtbFBLBQYA&#10;AAAABgAGAFkBAABQBQAAAAA=&#10;">
                <v:fill on="f" focussize="0,0"/>
                <v:stroke on="f"/>
                <v:imagedata o:title=""/>
                <o:lock v:ext="edit" aspectratio="f"/>
                <v:textbox>
                  <w:txbxContent>
                    <w:p w14:paraId="555BA4D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暂列金额的用</w:t>
                      </w:r>
                    </w:p>
                    <w:p w14:paraId="1AC8B47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合同双方当事人应在专用条款中明确工程量清单中开列的已标价的暂列金额。</w:t>
      </w:r>
    </w:p>
    <w:p w14:paraId="3CD728B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0630749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63.2  </w:t>
      </w:r>
      <w:r>
        <w:rPr>
          <w:rFonts w:hint="eastAsia" w:ascii="宋体" w:hAnsi="宋体" w:eastAsia="宋体" w:cs="宋体"/>
          <w:b/>
          <w:bCs/>
          <w:color w:val="auto"/>
          <w:kern w:val="2"/>
          <w:sz w:val="22"/>
          <w:szCs w:val="22"/>
          <w:highlight w:val="none"/>
          <w:u w:val="dotted"/>
          <w:lang w:val="en-US" w:eastAsia="zh-CN" w:bidi="ar-SA"/>
        </w:rPr>
        <w:t xml:space="preserve">                                                                                       </w:t>
      </w:r>
    </w:p>
    <w:p w14:paraId="0E391B7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39840"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87" name="文本框 277"/>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14:paraId="49899DB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14:paraId="16FB69E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wps:txbx>
                      <wps:bodyPr wrap="square" upright="1"/>
                    </wps:wsp>
                  </a:graphicData>
                </a:graphic>
              </wp:anchor>
            </w:drawing>
          </mc:Choice>
          <mc:Fallback>
            <w:pict>
              <v:shape id="文本框 277" o:spid="_x0000_s1026" o:spt="202" type="#_x0000_t202" style="position:absolute;left:0pt;margin-left:-10.5pt;margin-top:7.85pt;height:43.55pt;width:81pt;z-index:251939840;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t8mf1gAAAAoBAAAPAAAAAAAAAAEAIAAAACIAAABkcnMvZG93bnJldi54bWxQSwECFAAUAAAA&#10;CACHTuJAP8lTKbcBAABgAwAADgAAAAAAAAABACAAAAAlAQAAZHJzL2Uyb0RvYy54bWxQSwUGAAAA&#10;AAYABgBZAQAATgUAAAAA&#10;">
                <v:fill on="f" focussize="0,0"/>
                <v:stroke on="f"/>
                <v:imagedata o:title=""/>
                <o:lock v:ext="edit" aspectratio="f"/>
                <v:textbox>
                  <w:txbxContent>
                    <w:p w14:paraId="49899DB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暂列金额的支</w:t>
                      </w:r>
                    </w:p>
                    <w:p w14:paraId="16FB69E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经发包人批准后，监理工程师应就承包人实施第63.1款规定的工作发出书面指令。承包人应就此项指令提出所需价款，经造价工程师核实并由其报发包人确认后，向承包人支付相关款项。</w:t>
      </w:r>
    </w:p>
    <w:p w14:paraId="76889FB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63.3  </w:t>
      </w:r>
      <w:r>
        <w:rPr>
          <w:rFonts w:hint="eastAsia" w:ascii="宋体" w:hAnsi="宋体" w:eastAsia="宋体" w:cs="宋体"/>
          <w:b/>
          <w:bCs/>
          <w:color w:val="auto"/>
          <w:kern w:val="2"/>
          <w:sz w:val="22"/>
          <w:szCs w:val="22"/>
          <w:highlight w:val="none"/>
          <w:u w:val="dotted"/>
          <w:lang w:val="en-US" w:eastAsia="zh-CN" w:bidi="ar-SA"/>
        </w:rPr>
        <w:t xml:space="preserve">                                                                                        </w:t>
      </w:r>
    </w:p>
    <w:p w14:paraId="46C27C1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88" name="文本框 2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76B78F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wps:txbx>
                      <wps:bodyPr wrap="square" upright="1"/>
                    </wps:wsp>
                  </a:graphicData>
                </a:graphic>
              </wp:anchor>
            </w:drawing>
          </mc:Choice>
          <mc:Fallback>
            <w:pict>
              <v:shape id="文本框 278" o:spid="_x0000_s1026" o:spt="202" type="#_x0000_t202" style="position:absolute;left:0pt;margin-left:-9pt;margin-top:1.25pt;height:31.2pt;width:72pt;z-index:25194086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hmQBaugEAAF8DAAAOAAAAAAAAAAEAIAAAACQBAABkcnMvZTJvRG9jLnhtbFBLBQYA&#10;AAAABgAGAFkBAABQBQAAAAA=&#10;">
                <v:fill on="f" focussize="0,0"/>
                <v:stroke on="f"/>
                <v:imagedata o:title=""/>
                <o:lock v:ext="edit" aspectratio="f"/>
                <v:textbox>
                  <w:txbxContent>
                    <w:p w14:paraId="176B78F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提供暂列金额支付票据</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造价工程师有要求时，承包人应提供使用暂列金额支付项目的所有报价单、发票、账单或收据。</w:t>
      </w:r>
    </w:p>
    <w:p w14:paraId="3B3F0C51">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7311F2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1" w:name="_Toc10624888"/>
      <w:bookmarkStart w:id="522" w:name="_Toc469384048"/>
      <w:r>
        <w:rPr>
          <w:rFonts w:hint="eastAsia" w:ascii="黑体" w:hAnsi="黑体" w:eastAsia="黑体" w:cs="黑体"/>
          <w:b w:val="0"/>
          <w:bCs/>
          <w:color w:val="auto"/>
          <w:kern w:val="0"/>
          <w:sz w:val="24"/>
          <w:szCs w:val="24"/>
          <w:highlight w:val="none"/>
          <w:lang w:val="en-US" w:eastAsia="zh-CN" w:bidi="ar-SA"/>
        </w:rPr>
        <w:t>★64  计日工</w:t>
      </w:r>
      <w:bookmarkEnd w:id="521"/>
      <w:bookmarkEnd w:id="522"/>
    </w:p>
    <w:p w14:paraId="5FA2639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64.1</w:t>
      </w:r>
    </w:p>
    <w:p w14:paraId="05F0E8B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89" name="文本框 27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14:paraId="6017466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wps:txbx>
                      <wps:bodyPr wrap="square" upright="1"/>
                    </wps:wsp>
                  </a:graphicData>
                </a:graphic>
              </wp:anchor>
            </w:drawing>
          </mc:Choice>
          <mc:Fallback>
            <w:pict>
              <v:shape id="文本框 279" o:spid="_x0000_s1026" o:spt="202" type="#_x0000_t202" style="position:absolute;left:0pt;margin-left:-9pt;margin-top:1.25pt;height:30.55pt;width:72pt;z-index:251941888;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L/K9LVAAAACAEAAA8AAAAAAAAAAQAgAAAAIgAAAGRycy9kb3ducmV2LnhtbFBLAQIUABQA&#10;AAAIAIdO4kA4AdKlugEAAF8DAAAOAAAAAAAAAAEAIAAAACQBAABkcnMvZTJvRG9jLnhtbFBLBQYA&#10;AAAABgAGAFkBAABQBQAAAAA=&#10;">
                <v:fill on="f" focussize="0,0"/>
                <v:stroke on="f"/>
                <v:imagedata o:title=""/>
                <o:lock v:ext="edit" aspectratio="f"/>
                <v:textbox>
                  <w:txbxContent>
                    <w:p w14:paraId="6017466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计日工单价的用途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承包人投标文件中填报的计日工单价或价格是用于实施发包人要求的合同以外零星工作项目所需的人工单价、材料、工程设备价格和施工设备机械台班单价。</w:t>
      </w:r>
    </w:p>
    <w:p w14:paraId="304BB2C9">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64.2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2C0DC2D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经发包人批准后，监理工程师应就使用计日工项目发出书面指令。</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90" name="文本框 28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4EB7820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wps:txbx>
                      <wps:bodyPr wrap="square" upright="1"/>
                    </wps:wsp>
                  </a:graphicData>
                </a:graphic>
              </wp:anchor>
            </w:drawing>
          </mc:Choice>
          <mc:Fallback>
            <w:pict>
              <v:shape id="文本框 280" o:spid="_x0000_s1026" o:spt="202" type="#_x0000_t202" style="position:absolute;left:0pt;margin-left:-9pt;margin-top:1.15pt;height:32.5pt;width:72pt;z-index:251942912;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W6Ma9YAAAAIAQAADwAAAAAAAAABACAAAAAiAAAAZHJzL2Rvd25yZXYueG1sUEsBAhQAFAAA&#10;AAgAh07iQE+k6ya4AQAAXwMAAA4AAAAAAAAAAQAgAAAAJQEAAGRycy9lMm9Eb2MueG1sUEsFBgAA&#10;AAAGAAYAWQEAAE8FAAAAAA==&#10;">
                <v:fill on="f" focussize="0,0"/>
                <v:stroke on="f"/>
                <v:imagedata o:title=""/>
                <o:lock v:ext="edit" aspectratio="f"/>
                <v:textbox>
                  <w:txbxContent>
                    <w:p w14:paraId="4EB7820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任一按照计日工方式计价的工作，承包人应在该项工作实施结束后的24小时内，向监理工程师提交有计日工记录的现场签证报告一式两份。</w:t>
      </w:r>
    </w:p>
    <w:p w14:paraId="3DCB8B8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14:paraId="5F15304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64.3  </w:t>
      </w:r>
      <w:r>
        <w:rPr>
          <w:rFonts w:hint="eastAsia" w:ascii="宋体" w:hAnsi="宋体" w:eastAsia="宋体" w:cs="宋体"/>
          <w:b/>
          <w:bCs/>
          <w:color w:val="auto"/>
          <w:kern w:val="2"/>
          <w:sz w:val="22"/>
          <w:szCs w:val="22"/>
          <w:highlight w:val="none"/>
          <w:u w:val="dotted"/>
          <w:lang w:val="en-US" w:eastAsia="zh-CN" w:bidi="ar-SA"/>
        </w:rPr>
        <w:t xml:space="preserve">                                                                                       </w:t>
      </w:r>
    </w:p>
    <w:p w14:paraId="3BE7F74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91" name="文本框 2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317E42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wps:txbx>
                      <wps:bodyPr wrap="square" upright="1"/>
                    </wps:wsp>
                  </a:graphicData>
                </a:graphic>
              </wp:anchor>
            </w:drawing>
          </mc:Choice>
          <mc:Fallback>
            <w:pict>
              <v:shape id="文本框 281" o:spid="_x0000_s1026" o:spt="202" type="#_x0000_t202" style="position:absolute;left:0pt;margin-left:-9pt;margin-top:0.4pt;height:31.2pt;width:72pt;z-index:251943936;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RQ059QAAAAHAQAADwAAAAAAAAABACAAAAAiAAAAZHJzL2Rvd25yZXYueG1sUEsBAhQAFAAA&#10;AAgAh07iQHpBjSe6AQAAXwMAAA4AAAAAAAAAAQAgAAAAIwEAAGRycy9lMm9Eb2MueG1sUEsFBgAA&#10;AAAGAAYAWQEAAE8FAAAAAA==&#10;">
                <v:fill on="f" focussize="0,0"/>
                <v:stroke on="f"/>
                <v:imagedata o:title=""/>
                <o:lock v:ext="edit" aspectratio="f"/>
                <v:textbox>
                  <w:txbxContent>
                    <w:p w14:paraId="3317E42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计日工的支付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515A25B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每个支付期末，承包人应按照第81.1款规定向发包人提交本期间所有计日工记录的签证汇总表，以说明本期间自己认为有权得到的计日工费用。 </w:t>
      </w:r>
    </w:p>
    <w:p w14:paraId="780D386E">
      <w:pPr>
        <w:widowControl w:val="0"/>
        <w:tabs>
          <w:tab w:val="left" w:pos="540"/>
        </w:tabs>
        <w:adjustRightInd w:val="0"/>
        <w:snapToGrid w:val="0"/>
        <w:spacing w:before="240" w:beforeLines="100"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DC4187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3" w:name="_Toc469384049"/>
      <w:bookmarkStart w:id="524" w:name="_Toc10624889"/>
      <w:r>
        <w:rPr>
          <w:rFonts w:hint="eastAsia" w:ascii="黑体" w:hAnsi="黑体" w:eastAsia="黑体" w:cs="黑体"/>
          <w:b w:val="0"/>
          <w:bCs/>
          <w:color w:val="auto"/>
          <w:kern w:val="0"/>
          <w:sz w:val="24"/>
          <w:szCs w:val="24"/>
          <w:highlight w:val="none"/>
          <w:lang w:val="en-US" w:eastAsia="zh-CN" w:bidi="ar-SA"/>
        </w:rPr>
        <w:t>★65  暂估价</w:t>
      </w:r>
      <w:bookmarkEnd w:id="523"/>
      <w:bookmarkEnd w:id="524"/>
    </w:p>
    <w:p w14:paraId="6F284AA4">
      <w:pPr>
        <w:widowControl w:val="0"/>
        <w:adjustRightInd w:val="0"/>
        <w:snapToGrid w:val="0"/>
        <w:spacing w:line="420" w:lineRule="exact"/>
        <w:ind w:left="1540" w:hanging="1540" w:hangingChars="700"/>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4960"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92" name="文本框 282"/>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14:paraId="3E135D8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14:paraId="5A7258F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14:paraId="212815ED">
                            <w:pPr>
                              <w:rPr>
                                <w:rFonts w:ascii="楷体_GB2312" w:hAnsi="宋体" w:eastAsia="楷体_GB2312" w:cs="Times New Roman"/>
                                <w:b/>
                                <w:bCs/>
                                <w:color w:val="000000"/>
                                <w:sz w:val="18"/>
                                <w:szCs w:val="18"/>
                              </w:rPr>
                            </w:pPr>
                          </w:p>
                          <w:p w14:paraId="5407C6C7">
                            <w:pPr>
                              <w:rPr>
                                <w:rFonts w:ascii="Times New Roman" w:hAnsi="Times New Roman" w:cs="Times New Roman"/>
                                <w:sz w:val="18"/>
                                <w:szCs w:val="18"/>
                              </w:rPr>
                            </w:pPr>
                          </w:p>
                        </w:txbxContent>
                      </wps:txbx>
                      <wps:bodyPr wrap="square" upright="1"/>
                    </wps:wsp>
                  </a:graphicData>
                </a:graphic>
              </wp:anchor>
            </w:drawing>
          </mc:Choice>
          <mc:Fallback>
            <w:pict>
              <v:shape id="文本框 282" o:spid="_x0000_s1026" o:spt="202" type="#_x0000_t202" style="position:absolute;left:0pt;margin-left:-10.5pt;margin-top:25.2pt;height:38.1pt;width:82.5pt;z-index:251944960;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PjXAAAACgEAAA8AAAAAAAAAAQAgAAAAIgAAAGRycy9kb3ducmV2LnhtbFBLAQIU&#10;ABQAAAAIAIdO4kCQLVQUuwEAAGADAAAOAAAAAAAAAAEAIAAAACYBAABkcnMvZTJvRG9jLnhtbFBL&#10;BQYAAAAABgAGAFkBAABTBQAAAAA=&#10;">
                <v:fill on="f" focussize="0,0"/>
                <v:stroke on="f"/>
                <v:imagedata o:title=""/>
                <o:lock v:ext="edit" aspectratio="f"/>
                <v:textbox>
                  <w:txbxContent>
                    <w:p w14:paraId="3E135D8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招标暂估价项</w:t>
                      </w:r>
                    </w:p>
                    <w:p w14:paraId="5A7258F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目的要求</w:t>
                      </w:r>
                    </w:p>
                    <w:p w14:paraId="212815ED">
                      <w:pPr>
                        <w:rPr>
                          <w:rFonts w:ascii="楷体_GB2312" w:hAnsi="宋体" w:eastAsia="楷体_GB2312" w:cs="Times New Roman"/>
                          <w:b/>
                          <w:bCs/>
                          <w:color w:val="000000"/>
                          <w:sz w:val="18"/>
                          <w:szCs w:val="18"/>
                        </w:rPr>
                      </w:pPr>
                    </w:p>
                    <w:p w14:paraId="5407C6C7">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65.1</w:t>
      </w:r>
      <w:r>
        <w:rPr>
          <w:rFonts w:hint="eastAsia" w:ascii="宋体" w:hAnsi="宋体" w:eastAsia="宋体" w:cs="宋体"/>
          <w:color w:val="auto"/>
          <w:kern w:val="2"/>
          <w:sz w:val="22"/>
          <w:szCs w:val="22"/>
          <w:highlight w:val="none"/>
          <w:lang w:val="en-US" w:eastAsia="zh-CN" w:bidi="ar-SA"/>
        </w:rPr>
        <w:t xml:space="preserve">                                                                                         </w:t>
      </w:r>
      <w:r>
        <w:rPr>
          <w:rFonts w:hint="eastAsia" w:ascii="仿宋_GB2312" w:hAnsi="仿宋_GB2312" w:eastAsia="仿宋_GB2312" w:cs="仿宋_GB2312"/>
          <w:color w:val="auto"/>
          <w:sz w:val="24"/>
          <w:szCs w:val="24"/>
          <w:highlight w:val="none"/>
          <w:lang w:val="en-US" w:eastAsia="zh-CN"/>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19CCD21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93" name="文本框 283"/>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14:paraId="682BB61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14:paraId="08C6946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14:paraId="5E7DCF3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14:paraId="7796250D">
                            <w:pPr>
                              <w:rPr>
                                <w:rFonts w:ascii="Times New Roman" w:hAnsi="Times New Roman" w:cs="Times New Roman"/>
                                <w:sz w:val="18"/>
                                <w:szCs w:val="18"/>
                              </w:rPr>
                            </w:pPr>
                          </w:p>
                        </w:txbxContent>
                      </wps:txbx>
                      <wps:bodyPr wrap="square" upright="1"/>
                    </wps:wsp>
                  </a:graphicData>
                </a:graphic>
              </wp:anchor>
            </w:drawing>
          </mc:Choice>
          <mc:Fallback>
            <w:pict>
              <v:shape id="文本框 283" o:spid="_x0000_s1026" o:spt="202" type="#_x0000_t202" style="position:absolute;left:0pt;margin-left:-9pt;margin-top:19.55pt;height:75.3pt;width:81pt;z-index:251945984;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DBSttcAAAAKAQAADwAAAAAAAAABACAAAAAiAAAAZHJzL2Rvd25yZXYueG1sUEsBAhQA&#10;FAAAAAgAh07iQPDofkC6AQAAYAMAAA4AAAAAAAAAAQAgAAAAJgEAAGRycy9lMm9Eb2MueG1sUEsF&#10;BgAAAAAGAAYAWQEAAFIFAAAAAA==&#10;">
                <v:fill on="f" focussize="0,0"/>
                <v:stroke on="f"/>
                <v:imagedata o:title=""/>
                <o:lock v:ext="edit" aspectratio="f"/>
                <v:textbox>
                  <w:txbxContent>
                    <w:p w14:paraId="682BB61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非招标材料和</w:t>
                      </w:r>
                    </w:p>
                    <w:p w14:paraId="08C6946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工程设备暂估</w:t>
                      </w:r>
                    </w:p>
                    <w:p w14:paraId="5E7DCF3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价的要求</w:t>
                      </w:r>
                    </w:p>
                    <w:p w14:paraId="7796250D">
                      <w:pPr>
                        <w:rPr>
                          <w:rFonts w:ascii="Times New Roman" w:hAnsi="Times New Roman" w:cs="Times New Roman"/>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65.2  </w:t>
      </w:r>
      <w:r>
        <w:rPr>
          <w:rFonts w:hint="eastAsia" w:ascii="宋体" w:hAnsi="宋体" w:eastAsia="宋体" w:cs="宋体"/>
          <w:b/>
          <w:bCs/>
          <w:color w:val="auto"/>
          <w:kern w:val="2"/>
          <w:sz w:val="22"/>
          <w:szCs w:val="22"/>
          <w:highlight w:val="none"/>
          <w:u w:val="dotted"/>
          <w:lang w:val="en-US" w:eastAsia="zh-CN" w:bidi="ar-SA"/>
        </w:rPr>
        <w:t xml:space="preserve">                                                                                   </w:t>
      </w:r>
    </w:p>
    <w:p w14:paraId="014E9EC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14:paraId="5EF50C9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65.3  </w:t>
      </w:r>
      <w:r>
        <w:rPr>
          <w:rFonts w:hint="eastAsia" w:ascii="宋体" w:hAnsi="宋体" w:eastAsia="宋体" w:cs="宋体"/>
          <w:b/>
          <w:bCs/>
          <w:color w:val="auto"/>
          <w:kern w:val="2"/>
          <w:sz w:val="22"/>
          <w:szCs w:val="22"/>
          <w:highlight w:val="none"/>
          <w:u w:val="dotted"/>
          <w:lang w:val="en-US" w:eastAsia="zh-CN" w:bidi="ar-SA"/>
        </w:rPr>
        <w:t xml:space="preserve">                                                                                   </w:t>
      </w:r>
    </w:p>
    <w:p w14:paraId="1E85D4B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7008" behindDoc="0" locked="0" layoutInCell="1" allowOverlap="1">
                <wp:simplePos x="0" y="0"/>
                <wp:positionH relativeFrom="column">
                  <wp:posOffset>-133350</wp:posOffset>
                </wp:positionH>
                <wp:positionV relativeFrom="paragraph">
                  <wp:posOffset>71755</wp:posOffset>
                </wp:positionV>
                <wp:extent cx="1028700" cy="863600"/>
                <wp:effectExtent l="0" t="0" r="0" b="0"/>
                <wp:wrapNone/>
                <wp:docPr id="294" name="文本框 2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14:paraId="34500FD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14:paraId="4128D69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14:paraId="250FB69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wps:txbx>
                      <wps:bodyPr wrap="square" upright="1"/>
                    </wps:wsp>
                  </a:graphicData>
                </a:graphic>
              </wp:anchor>
            </w:drawing>
          </mc:Choice>
          <mc:Fallback>
            <w:pict>
              <v:shape id="文本框 284" o:spid="_x0000_s1026" o:spt="202" type="#_x0000_t202" style="position:absolute;left:0pt;margin-left:-10.5pt;margin-top:5.65pt;height:68pt;width:81pt;z-index:251947008;mso-width-relative:page;mso-height-relative:page;" filled="f" stroked="f" coordsize="21600,21600" o:gfxdata="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FOuOdYAAAAKAQAADwAAAAAAAAABACAAAAAiAAAAZHJzL2Rvd25yZXYueG1sUEsBAhQAFAAA&#10;AAgAh07iQFmNyVe4AQAAYAMAAA4AAAAAAAAAAQAgAAAAJQEAAGRycy9lMm9Eb2MueG1sUEsFBgAA&#10;AAAGAAYAWQEAAE8FAAAAAA==&#10;">
                <v:fill on="f" focussize="0,0"/>
                <v:stroke on="f"/>
                <v:imagedata o:title=""/>
                <o:lock v:ext="edit" aspectratio="f"/>
                <v:textbox>
                  <w:txbxContent>
                    <w:p w14:paraId="34500FD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非招标专业工</w:t>
                      </w:r>
                    </w:p>
                    <w:p w14:paraId="4128D69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程暂估价的要</w:t>
                      </w:r>
                    </w:p>
                    <w:p w14:paraId="250FB69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14:paraId="4073494B">
      <w:pPr>
        <w:widowControl w:val="0"/>
        <w:tabs>
          <w:tab w:val="left" w:pos="3038"/>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3FD1B5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5" w:name="_Toc10624890"/>
      <w:bookmarkStart w:id="526" w:name="_Toc469384050"/>
      <w:r>
        <w:rPr>
          <w:rFonts w:hint="eastAsia" w:ascii="黑体" w:hAnsi="黑体" w:eastAsia="黑体" w:cs="黑体"/>
          <w:b w:val="0"/>
          <w:bCs/>
          <w:color w:val="auto"/>
          <w:kern w:val="0"/>
          <w:sz w:val="24"/>
          <w:szCs w:val="24"/>
          <w:highlight w:val="none"/>
          <w:lang w:val="en-US" w:eastAsia="zh-CN" w:bidi="ar-SA"/>
        </w:rPr>
        <w:t>★66  提前竣工奖与误期赔偿费</w:t>
      </w:r>
      <w:bookmarkEnd w:id="525"/>
      <w:bookmarkEnd w:id="526"/>
    </w:p>
    <w:p w14:paraId="34E53B5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66.1  </w:t>
      </w:r>
    </w:p>
    <w:p w14:paraId="15BEB9D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95" name="文本框 28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14:paraId="4ECCAD0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wps:txbx>
                      <wps:bodyPr wrap="square" upright="1"/>
                    </wps:wsp>
                  </a:graphicData>
                </a:graphic>
              </wp:anchor>
            </w:drawing>
          </mc:Choice>
          <mc:Fallback>
            <w:pict>
              <v:shape id="文本框 285" o:spid="_x0000_s1026" o:spt="202" type="#_x0000_t202" style="position:absolute;left:0pt;margin-left:-9pt;margin-top:2.4pt;height:31.9pt;width:81pt;z-index:25194803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UNERvVAAAACAEAAA8AAAAAAAAAAQAgAAAAIgAAAGRycy9kb3ducmV2LnhtbFBLAQIUABQA&#10;AAAIAIdO4kC907bvugEAAGADAAAOAAAAAAAAAAEAIAAAACQBAABkcnMvZTJvRG9jLnhtbFBLBQYA&#10;AAAABgAGAFkBAABQBQAAAAA=&#10;">
                <v:fill on="f" focussize="0,0"/>
                <v:stroke on="f"/>
                <v:imagedata o:title=""/>
                <o:lock v:ext="edit" aspectratio="f"/>
                <v:textbox>
                  <w:txbxContent>
                    <w:p w14:paraId="4ECCAD04">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提前竣工奖</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26D3ED9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66.2  </w:t>
      </w:r>
      <w:r>
        <w:rPr>
          <w:rFonts w:hint="eastAsia" w:ascii="宋体" w:hAnsi="宋体" w:eastAsia="宋体" w:cs="宋体"/>
          <w:b/>
          <w:bCs/>
          <w:color w:val="auto"/>
          <w:kern w:val="2"/>
          <w:sz w:val="22"/>
          <w:szCs w:val="22"/>
          <w:highlight w:val="none"/>
          <w:u w:val="dotted"/>
          <w:lang w:val="en-US" w:eastAsia="zh-CN" w:bidi="ar-SA"/>
        </w:rPr>
        <w:t xml:space="preserve">                                                                                       </w:t>
      </w:r>
    </w:p>
    <w:p w14:paraId="3AD052B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96" name="文本框 28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14:paraId="111D11C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wps:txbx>
                      <wps:bodyPr wrap="square" upright="1"/>
                    </wps:wsp>
                  </a:graphicData>
                </a:graphic>
              </wp:anchor>
            </w:drawing>
          </mc:Choice>
          <mc:Fallback>
            <w:pict>
              <v:shape id="文本框 286" o:spid="_x0000_s1026" o:spt="202" type="#_x0000_t202" style="position:absolute;left:0pt;margin-left:-9pt;margin-top:1.3pt;height:29.75pt;width:72pt;z-index:25194905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SSmdQAAAAIAQAADwAAAAAAAAABACAAAAAiAAAAZHJzL2Rvd25yZXYueG1sUEsBAhQAFAAA&#10;AAgAh07iQHlBCSa6AQAAXwMAAA4AAAAAAAAAAQAgAAAAIwEAAGRycy9lMm9Eb2MueG1sUEsFBgAA&#10;AAAGAAYAWQEAAE8FAAAAAA==&#10;">
                <v:fill on="f" focussize="0,0"/>
                <v:stroke on="f"/>
                <v:imagedata o:title=""/>
                <o:lock v:ext="edit" aspectratio="f"/>
                <v:textbox>
                  <w:txbxContent>
                    <w:p w14:paraId="111D11C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误期赔偿费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56DBCB43">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BE28915">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7" w:name="_Toc469384051"/>
      <w:bookmarkStart w:id="528" w:name="_Toc10624891"/>
      <w:r>
        <w:rPr>
          <w:rFonts w:hint="eastAsia" w:ascii="黑体" w:hAnsi="黑体" w:eastAsia="黑体" w:cs="黑体"/>
          <w:b w:val="0"/>
          <w:bCs/>
          <w:color w:val="auto"/>
          <w:kern w:val="0"/>
          <w:sz w:val="24"/>
          <w:szCs w:val="24"/>
          <w:highlight w:val="none"/>
          <w:lang w:val="en-US" w:eastAsia="zh-CN" w:bidi="ar-SA"/>
        </w:rPr>
        <w:t>★67  工程优质费</w:t>
      </w:r>
      <w:bookmarkEnd w:id="527"/>
      <w:bookmarkEnd w:id="528"/>
    </w:p>
    <w:p w14:paraId="5DAE8D4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67.1 </w:t>
      </w:r>
    </w:p>
    <w:p w14:paraId="02B3ACA9">
      <w:pPr>
        <w:widowControl w:val="0"/>
        <w:adjustRightInd w:val="0"/>
        <w:snapToGrid w:val="0"/>
        <w:spacing w:line="420" w:lineRule="exact"/>
        <w:ind w:left="1619" w:leftChars="771"/>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97" name="文本框 287"/>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14:paraId="31E0EF9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14:paraId="340E554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wps:txbx>
                      <wps:bodyPr wrap="square" upright="1"/>
                    </wps:wsp>
                  </a:graphicData>
                </a:graphic>
              </wp:anchor>
            </w:drawing>
          </mc:Choice>
          <mc:Fallback>
            <w:pict>
              <v:shape id="文本框 287" o:spid="_x0000_s1026" o:spt="202" type="#_x0000_t202" style="position:absolute;left:0pt;margin-left:-9pt;margin-top:2.4pt;height:41.3pt;width:81pt;z-index:25195008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d/XA1AAAAAgBAAAPAAAAAAAAAAEAIAAAACIAAABkcnMvZG93bnJldi54bWxQSwECFAAUAAAA&#10;CACHTuJAjto167kBAABgAwAADgAAAAAAAAABACAAAAAjAQAAZHJzL2Uyb0RvYy54bWxQSwUGAAAA&#10;AAYABgBZAQAATgUAAAAA&#10;">
                <v:fill on="f" focussize="0,0"/>
                <v:stroke on="f"/>
                <v:imagedata o:title=""/>
                <o:lock v:ext="edit" aspectratio="f"/>
                <v:textbox>
                  <w:txbxContent>
                    <w:p w14:paraId="31E0EF9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工程优质费的</w:t>
                      </w:r>
                    </w:p>
                    <w:p w14:paraId="340E554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6F22E3E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98" name="文本框 288"/>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14:paraId="16DA7C1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14:paraId="066AD63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wps:txbx>
                      <wps:bodyPr wrap="square" upright="1"/>
                    </wps:wsp>
                  </a:graphicData>
                </a:graphic>
              </wp:anchor>
            </w:drawing>
          </mc:Choice>
          <mc:Fallback>
            <w:pict>
              <v:shape id="文本框 288" o:spid="_x0000_s1026" o:spt="202" type="#_x0000_t202" style="position:absolute;left:0pt;margin-left:-9pt;margin-top:18.45pt;height:48.9pt;width:72pt;z-index:251951104;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O89bNgAAAAKAQAADwAAAAAAAAABACAAAAAiAAAAZHJzL2Rvd25yZXYueG1sUEsBAhQA&#10;FAAAAAgAh07iQPMMgHG5AQAAXwMAAA4AAAAAAAAAAQAgAAAAJwEAAGRycy9lMm9Eb2MueG1sUEsF&#10;BgAAAAAGAAYAWQEAAFIFAAAAAA==&#10;">
                <v:fill on="f" focussize="0,0"/>
                <v:stroke on="f"/>
                <v:imagedata o:title=""/>
                <o:lock v:ext="edit" aspectratio="f"/>
                <v:textbox>
                  <w:txbxContent>
                    <w:p w14:paraId="16DA7C1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工程优质费计</w:t>
                      </w:r>
                    </w:p>
                    <w:p w14:paraId="066AD63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67.2  </w:t>
      </w:r>
      <w:r>
        <w:rPr>
          <w:rFonts w:hint="eastAsia" w:ascii="宋体" w:hAnsi="宋体" w:eastAsia="宋体" w:cs="宋体"/>
          <w:b/>
          <w:bCs/>
          <w:color w:val="auto"/>
          <w:kern w:val="2"/>
          <w:sz w:val="22"/>
          <w:szCs w:val="22"/>
          <w:highlight w:val="none"/>
          <w:u w:val="dotted"/>
          <w:lang w:val="en-US" w:eastAsia="zh-CN" w:bidi="ar-SA"/>
        </w:rPr>
        <w:t xml:space="preserve">                                                                              </w:t>
      </w:r>
    </w:p>
    <w:p w14:paraId="259846C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28天内支付。</w:t>
      </w:r>
    </w:p>
    <w:p w14:paraId="1E0343F8">
      <w:pPr>
        <w:widowControl w:val="0"/>
        <w:adjustRightInd w:val="0"/>
        <w:snapToGrid w:val="0"/>
        <w:spacing w:line="420" w:lineRule="exact"/>
        <w:jc w:val="left"/>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7E1F19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29" w:name="_Toc469384052"/>
      <w:bookmarkStart w:id="530" w:name="_Toc10624892"/>
      <w:r>
        <w:rPr>
          <w:rFonts w:hint="eastAsia" w:ascii="黑体" w:hAnsi="黑体" w:eastAsia="黑体" w:cs="黑体"/>
          <w:b w:val="0"/>
          <w:bCs/>
          <w:color w:val="auto"/>
          <w:kern w:val="0"/>
          <w:sz w:val="24"/>
          <w:szCs w:val="24"/>
          <w:highlight w:val="none"/>
          <w:lang w:val="en-US" w:eastAsia="zh-CN" w:bidi="ar-SA"/>
        </w:rPr>
        <w:t>★68  合同价款的约定与调整</w:t>
      </w:r>
      <w:bookmarkEnd w:id="529"/>
      <w:bookmarkEnd w:id="530"/>
    </w:p>
    <w:p w14:paraId="416267ED">
      <w:pPr>
        <w:widowControl w:val="0"/>
        <w:adjustRightInd w:val="0"/>
        <w:snapToGrid w:val="0"/>
        <w:spacing w:line="420" w:lineRule="exact"/>
        <w:ind w:left="1325" w:hanging="1325" w:hangingChars="600"/>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68.1       </w:t>
      </w:r>
    </w:p>
    <w:p w14:paraId="266C890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99" name="文本框 289"/>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14:paraId="1BFD96A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wps:txbx>
                      <wps:bodyPr wrap="square" upright="1"/>
                    </wps:wsp>
                  </a:graphicData>
                </a:graphic>
              </wp:anchor>
            </w:drawing>
          </mc:Choice>
          <mc:Fallback>
            <w:pict>
              <v:shape id="文本框 289" o:spid="_x0000_s1026" o:spt="202" type="#_x0000_t202" style="position:absolute;left:0pt;margin-left:-9pt;margin-top:4.5pt;height:24.65pt;width:79.5pt;z-index:251952128;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VZCG9UAAAAIAQAADwAAAAAAAAABACAAAAAiAAAAZHJzL2Rvd25yZXYueG1sUEsBAhQAFAAA&#10;AAgAh07iQDlJN6a5AQAAYAMAAA4AAAAAAAAAAQAgAAAAJAEAAGRycy9lMm9Eb2MueG1sUEsFBgAA&#10;AAAGAAYAWQEAAE8FAAAAAA==&#10;">
                <v:fill on="f" focussize="0,0"/>
                <v:stroke on="f"/>
                <v:imagedata o:title=""/>
                <o:lock v:ext="edit" aspectratio="f"/>
                <v:textbox>
                  <w:txbxContent>
                    <w:p w14:paraId="1BFD96A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约定合同价款</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6FFF25CD">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mc:AlternateContent>
          <mc:Choice Requires="wps">
            <w:drawing>
              <wp:anchor distT="0" distB="0" distL="114300" distR="114300" simplePos="0" relativeHeight="251953152" behindDoc="0" locked="0" layoutInCell="1" allowOverlap="1">
                <wp:simplePos x="0" y="0"/>
                <wp:positionH relativeFrom="column">
                  <wp:posOffset>-102235</wp:posOffset>
                </wp:positionH>
                <wp:positionV relativeFrom="paragraph">
                  <wp:posOffset>219710</wp:posOffset>
                </wp:positionV>
                <wp:extent cx="726440" cy="483235"/>
                <wp:effectExtent l="0" t="0" r="0" b="0"/>
                <wp:wrapNone/>
                <wp:docPr id="300" name="文本框 290"/>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14:paraId="5B409082">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wps:txbx>
                      <wps:bodyPr wrap="square" upright="1"/>
                    </wps:wsp>
                  </a:graphicData>
                </a:graphic>
              </wp:anchor>
            </w:drawing>
          </mc:Choice>
          <mc:Fallback>
            <w:pict>
              <v:shape id="文本框 290" o:spid="_x0000_s1026" o:spt="202" type="#_x0000_t202" style="position:absolute;left:0pt;margin-left:-8.05pt;margin-top:17.3pt;height:38.05pt;width:57.2pt;z-index:251953152;mso-width-relative:page;mso-height-relative:page;" filled="f" stroked="f" coordsize="21600,21600" o:gfxdata="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dQyNtYAAAAJAQAADwAAAAAAAAABACAAAAAiAAAAZHJzL2Rvd25yZXYueG1sUEsBAhQAFAAA&#10;AAgAh07iQBs1/824AQAAXwMAAA4AAAAAAAAAAQAgAAAAJQEAAGRycy9lMm9Eb2MueG1sUEsFBgAA&#10;AAAGAAYAWQEAAE8FAAAAAA==&#10;">
                <v:fill on="f" focussize="0,0"/>
                <v:stroke on="f"/>
                <v:imagedata o:title=""/>
                <o:lock v:ext="edit" aspectratio="f"/>
                <v:textbox>
                  <w:txbxContent>
                    <w:p w14:paraId="5B409082">
                      <w:pPr>
                        <w:widowControl w:val="0"/>
                        <w:spacing w:after="120"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合同价款的方式</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68.2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45594867">
      <w:pPr>
        <w:widowControl w:val="0"/>
        <w:adjustRightInd w:val="0"/>
        <w:snapToGrid w:val="0"/>
        <w:spacing w:line="420" w:lineRule="exact"/>
        <w:ind w:firstLine="1325" w:firstLineChars="600"/>
        <w:jc w:val="both"/>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b/>
          <w:bCs/>
          <w:color w:val="auto"/>
          <w:kern w:val="2"/>
          <w:sz w:val="22"/>
          <w:szCs w:val="22"/>
          <w:highlight w:val="none"/>
          <w:lang w:val="en-US" w:eastAsia="zh-CN" w:bidi="ar-SA"/>
        </w:rPr>
        <w:t>下列各种确定合同价款的方式，双方可在专用条款内约定采用其中一种：</w:t>
      </w:r>
    </w:p>
    <w:p w14:paraId="058CA54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14:paraId="1D42A8C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14:paraId="6C6A7A2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（3）按实结算合同。承包人根据相关资料编制预算，合同价款是暂定价，双方在专用条款内约定合同价款调整方法。</w:t>
      </w:r>
    </w:p>
    <w:p w14:paraId="2373E4F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（4）其它价格形式。合同当事人可在专用条款中约定其他合同价格形式。</w:t>
      </w:r>
    </w:p>
    <w:p w14:paraId="1840A1C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68.3  </w:t>
      </w:r>
      <w:r>
        <w:rPr>
          <w:rFonts w:hint="eastAsia" w:ascii="宋体" w:hAnsi="宋体" w:eastAsia="宋体" w:cs="宋体"/>
          <w:b/>
          <w:bCs/>
          <w:color w:val="auto"/>
          <w:kern w:val="2"/>
          <w:sz w:val="22"/>
          <w:szCs w:val="22"/>
          <w:highlight w:val="none"/>
          <w:u w:val="dotted"/>
          <w:lang w:val="en-US" w:eastAsia="zh-CN" w:bidi="ar-SA"/>
        </w:rPr>
        <w:t xml:space="preserve">                                                                                       </w:t>
      </w:r>
    </w:p>
    <w:p w14:paraId="277D5AB1">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301" name="文本框 291"/>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4A7CBBE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wps:txbx>
                      <wps:bodyPr wrap="square" upright="1"/>
                    </wps:wsp>
                  </a:graphicData>
                </a:graphic>
              </wp:anchor>
            </w:drawing>
          </mc:Choice>
          <mc:Fallback>
            <w:pict>
              <v:shape id="文本框 291" o:spid="_x0000_s1026" o:spt="202" type="#_x0000_t202" style="position:absolute;left:0pt;margin-left:-9pt;margin-top:0.4pt;height:41.05pt;width:72pt;z-index:2519541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DGVih9uQEAAF8DAAAOAAAAAAAAAAEAIAAAACIBAABkcnMvZTJvRG9jLnhtbFBLBQYAAAAA&#10;BgAGAFkBAABNBQAAAAA=&#10;">
                <v:fill on="f" focussize="0,0"/>
                <v:stroke on="f"/>
                <v:imagedata o:title=""/>
                <o:lock v:ext="edit" aspectratio="f"/>
                <v:textbox>
                  <w:txbxContent>
                    <w:p w14:paraId="4A7CBBE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合同价款的调整事件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合同双方当事人应明确合同价款的调整事件。除专用条款另有约定外，调整事件应包括：</w:t>
      </w:r>
    </w:p>
    <w:p w14:paraId="3BC3A46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（1）后继法律变化事件；</w:t>
      </w:r>
    </w:p>
    <w:p w14:paraId="65F0107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（2）项目特征描述不符事件；</w:t>
      </w:r>
    </w:p>
    <w:p w14:paraId="4625E06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（3）分部分项工程量清单缺项漏项事件；</w:t>
      </w:r>
    </w:p>
    <w:p w14:paraId="277C09F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（4）工程变更事件；</w:t>
      </w:r>
    </w:p>
    <w:p w14:paraId="466D3FF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（5）工程量偏差事件；</w:t>
      </w:r>
    </w:p>
    <w:p w14:paraId="4601109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（6）费用索赔事件；</w:t>
      </w:r>
    </w:p>
    <w:p w14:paraId="5E12A91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（7）现场签证事件；</w:t>
      </w:r>
    </w:p>
    <w:p w14:paraId="2FEE528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（8）物价涨落事件；</w:t>
      </w:r>
    </w:p>
    <w:p w14:paraId="427DFFB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（9）专用条款约定的其他事件。</w:t>
      </w:r>
    </w:p>
    <w:p w14:paraId="10A4357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本款(1)至(9)调整事件应分别按照第69条至第76条的规定调整合同价款。</w:t>
      </w:r>
    </w:p>
    <w:p w14:paraId="25B9836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68.4  </w:t>
      </w:r>
      <w:r>
        <w:rPr>
          <w:rFonts w:hint="eastAsia" w:ascii="宋体" w:hAnsi="宋体" w:eastAsia="宋体" w:cs="宋体"/>
          <w:b/>
          <w:bCs/>
          <w:color w:val="auto"/>
          <w:kern w:val="2"/>
          <w:sz w:val="22"/>
          <w:szCs w:val="22"/>
          <w:highlight w:val="none"/>
          <w:u w:val="dotted"/>
          <w:lang w:val="en-US" w:eastAsia="zh-CN" w:bidi="ar-SA"/>
        </w:rPr>
        <w:t xml:space="preserve">                                                                                       </w:t>
      </w:r>
    </w:p>
    <w:p w14:paraId="2551B6E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302" name="文本框 2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4DAA5B68">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wps:txbx>
                      <wps:bodyPr wrap="square" upright="1"/>
                    </wps:wsp>
                  </a:graphicData>
                </a:graphic>
              </wp:anchor>
            </w:drawing>
          </mc:Choice>
          <mc:Fallback>
            <w:pict>
              <v:shape id="文本框 292" o:spid="_x0000_s1026" o:spt="202" type="#_x0000_t202" style="position:absolute;left:0pt;margin-left:-9pt;margin-top:0.4pt;height:41.05pt;width:72pt;z-index:25195520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AmWARZuQEAAF8DAAAOAAAAAAAAAAEAIAAAACIBAABkcnMvZTJvRG9jLnhtbFBLBQYAAAAA&#10;BgAGAFkBAABNBQAAAAA=&#10;">
                <v:fill on="f" focussize="0,0"/>
                <v:stroke on="f"/>
                <v:imagedata o:title=""/>
                <o:lock v:ext="edit" aspectratio="f"/>
                <v:textbox>
                  <w:txbxContent>
                    <w:p w14:paraId="4DAA5B68">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调整合同价款</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14:paraId="0DDBF0C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根据第68.2款规定事件调整合同价款，如果是按照第48条规定由发包人自行供应或发包人招标、承包人采购材料和工程设备的，均不应考虑第72.2款规定的承包人报价下浮率因素。</w:t>
      </w:r>
    </w:p>
    <w:p w14:paraId="25CFE30C">
      <w:pPr>
        <w:widowControl w:val="0"/>
        <w:tabs>
          <w:tab w:val="left" w:pos="348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6A1A4E43">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1" w:name="_Toc10624893"/>
      <w:bookmarkStart w:id="532" w:name="_Toc469384053"/>
      <w:r>
        <w:rPr>
          <w:rFonts w:hint="eastAsia" w:ascii="黑体" w:hAnsi="黑体" w:eastAsia="黑体" w:cs="黑体"/>
          <w:b w:val="0"/>
          <w:bCs/>
          <w:color w:val="auto"/>
          <w:kern w:val="0"/>
          <w:sz w:val="24"/>
          <w:szCs w:val="24"/>
          <w:highlight w:val="none"/>
          <w:lang w:val="en-US" w:eastAsia="zh-CN" w:bidi="ar-SA"/>
        </w:rPr>
        <w:t>★69  后继法律变化事件</w:t>
      </w:r>
      <w:bookmarkEnd w:id="531"/>
      <w:bookmarkEnd w:id="532"/>
    </w:p>
    <w:p w14:paraId="152E478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56224"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303" name="文本框 29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2058E07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wps:txbx>
                      <wps:bodyPr wrap="square" upright="1"/>
                    </wps:wsp>
                  </a:graphicData>
                </a:graphic>
              </wp:anchor>
            </w:drawing>
          </mc:Choice>
          <mc:Fallback>
            <w:pict>
              <v:shape id="文本框 293" o:spid="_x0000_s1026" o:spt="202" type="#_x0000_t202" style="position:absolute;left:0pt;margin-left:-10.5pt;margin-top:21.55pt;height:48.75pt;width:72pt;z-index:251956224;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dgAc1wAAAAoBAAAPAAAAAAAAAAEAIAAAACIAAABkcnMvZG93bnJldi54bWxQSwECFAAU&#10;AAAACACHTuJAKPm+NLkBAABfAwAADgAAAAAAAAABACAAAAAmAQAAZHJzL2Uyb0RvYy54bWxQSwUG&#10;AAAAAAYABgBZAQAAUQUAAAAA&#10;">
                <v:fill on="f" focussize="0,0"/>
                <v:stroke on="f"/>
                <v:imagedata o:title=""/>
                <o:lock v:ext="edit" aspectratio="f"/>
                <v:textbox>
                  <w:txbxContent>
                    <w:p w14:paraId="2058E07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后继法律变化的价款调整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69.1 </w:t>
      </w:r>
    </w:p>
    <w:p w14:paraId="4970EC9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合同履行期间，出现国家或省颁布的法律和政策在合同工程基准日期后发生变化，且因执行上述法律和政策引起除第76条规定以外的工程造价增减事件的，合同双方当事人应调整合同价款。</w:t>
      </w:r>
    </w:p>
    <w:p w14:paraId="77B93C49">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69.2  </w:t>
      </w:r>
      <w:r>
        <w:rPr>
          <w:rFonts w:hint="eastAsia" w:ascii="宋体" w:hAnsi="宋体" w:eastAsia="宋体" w:cs="宋体"/>
          <w:b/>
          <w:bCs/>
          <w:color w:val="auto"/>
          <w:kern w:val="2"/>
          <w:sz w:val="22"/>
          <w:szCs w:val="22"/>
          <w:highlight w:val="none"/>
          <w:u w:val="dotted"/>
          <w:lang w:val="en-US" w:eastAsia="zh-CN" w:bidi="ar-SA"/>
        </w:rPr>
        <w:t xml:space="preserve">                                                                                       </w:t>
      </w:r>
    </w:p>
    <w:p w14:paraId="5F87698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04" name="文本框 2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4E54941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wps:txbx>
                      <wps:bodyPr wrap="square" upright="1"/>
                    </wps:wsp>
                  </a:graphicData>
                </a:graphic>
              </wp:anchor>
            </w:drawing>
          </mc:Choice>
          <mc:Fallback>
            <w:pict>
              <v:shape id="文本框 294" o:spid="_x0000_s1026" o:spt="202" type="#_x0000_t202" style="position:absolute;left:0pt;margin-left:-9pt;margin-top:1.25pt;height:48.75pt;width:72pt;z-index:25195724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8gMB9UAAAAJAQAADwAAAAAAAAABACAAAAAiAAAAZHJzL2Rvd25yZXYueG1sUEsBAhQAFAAA&#10;AAgAh07iQHfjLda5AQAAXwMAAA4AAAAAAAAAAQAgAAAAJAEAAGRycy9lMm9Eb2MueG1sUEsFBgAA&#10;AAAGAAYAWQEAAE8FAAAAAA==&#10;">
                <v:fill on="f" focussize="0,0"/>
                <v:stroke on="f"/>
                <v:imagedata o:title=""/>
                <o:lock v:ext="edit" aspectratio="f"/>
                <v:textbox>
                  <w:txbxContent>
                    <w:p w14:paraId="4E54941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发生第69.1款情况的，应根据合同工程实际情况，按照上述法律和政策规定计算调整的合同价款。</w:t>
      </w:r>
    </w:p>
    <w:p w14:paraId="2A5F6F0F">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276B344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3" w:name="_Toc10624894"/>
      <w:bookmarkStart w:id="534" w:name="_Toc469384054"/>
      <w:r>
        <w:rPr>
          <w:rFonts w:hint="eastAsia" w:ascii="黑体" w:hAnsi="黑体" w:eastAsia="黑体" w:cs="黑体"/>
          <w:b w:val="0"/>
          <w:bCs/>
          <w:color w:val="auto"/>
          <w:kern w:val="0"/>
          <w:sz w:val="24"/>
          <w:szCs w:val="24"/>
          <w:highlight w:val="none"/>
          <w:lang w:val="en-US" w:eastAsia="zh-CN" w:bidi="ar-SA"/>
        </w:rPr>
        <w:t>★70  项目特征描述不符事件</w:t>
      </w:r>
      <w:bookmarkEnd w:id="533"/>
      <w:bookmarkEnd w:id="534"/>
    </w:p>
    <w:p w14:paraId="48BE05C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70.1 </w:t>
      </w:r>
    </w:p>
    <w:p w14:paraId="3785DAC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305" name="文本框 2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4006046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wps:txbx>
                      <wps:bodyPr wrap="square" upright="1"/>
                    </wps:wsp>
                  </a:graphicData>
                </a:graphic>
              </wp:anchor>
            </w:drawing>
          </mc:Choice>
          <mc:Fallback>
            <w:pict>
              <v:shape id="文本框 295" o:spid="_x0000_s1026" o:spt="202" type="#_x0000_t202" style="position:absolute;left:0pt;margin-left:-9pt;margin-top:2.7pt;height:48.75pt;width:72pt;z-index:251958272;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HJKYXWAAAACQEAAA8AAAAAAAAAAQAgAAAAIgAAAGRycy9kb3ducmV2LnhtbFBLAQIUABQA&#10;AAAIAIdO4kDo5OZ8uQEAAF8DAAAOAAAAAAAAAAEAIAAAACUBAABkcnMvZTJvRG9jLnhtbFBLBQYA&#10;AAAABgAGAFkBAABQBQAAAAA=&#10;">
                <v:fill on="f" focussize="0,0"/>
                <v:stroke on="f"/>
                <v:imagedata o:title=""/>
                <o:lock v:ext="edit" aspectratio="f"/>
                <v:textbox>
                  <w:txbxContent>
                    <w:p w14:paraId="4006046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项目特征的准确性</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3D37B1D1">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70.2  </w:t>
      </w:r>
      <w:r>
        <w:rPr>
          <w:rFonts w:hint="eastAsia" w:ascii="宋体" w:hAnsi="宋体" w:eastAsia="宋体" w:cs="宋体"/>
          <w:b/>
          <w:bCs/>
          <w:color w:val="auto"/>
          <w:kern w:val="2"/>
          <w:sz w:val="22"/>
          <w:szCs w:val="22"/>
          <w:highlight w:val="none"/>
          <w:u w:val="dotted"/>
          <w:lang w:val="en-US" w:eastAsia="zh-CN" w:bidi="ar-SA"/>
        </w:rPr>
        <w:t xml:space="preserve">                                                                               </w:t>
      </w:r>
    </w:p>
    <w:p w14:paraId="7EDC3C9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306" name="文本框 2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7F7E20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14:paraId="73B14BB3">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wrap="square" upright="1"/>
                    </wps:wsp>
                  </a:graphicData>
                </a:graphic>
              </wp:anchor>
            </w:drawing>
          </mc:Choice>
          <mc:Fallback>
            <w:pict>
              <v:shape id="文本框 296" o:spid="_x0000_s1026" o:spt="202" type="#_x0000_t202" style="position:absolute;left:0pt;margin-left:-9pt;margin-top:0.45pt;height:48.75pt;width:72pt;z-index:25195929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3/+R1AAAAAcBAAAPAAAAAAAAAAEAIAAAACIAAABkcnMvZG93bnJldi54bWxQSwECFAAUAAAA&#10;CACHTuJACOrKWLkBAABfAwAADgAAAAAAAAABACAAAAAjAQAAZHJzL2Uyb0RvYy54bWxQSwUGAAAA&#10;AAYABgBZAQAATgUAAAAA&#10;">
                <v:fill on="f" focussize="0,0"/>
                <v:stroke on="f"/>
                <v:imagedata o:title=""/>
                <o:lock v:ext="edit" aspectratio="f"/>
                <v:textbox>
                  <w:txbxContent>
                    <w:p w14:paraId="37F7E20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项目特征描述不符的价款调整</w:t>
                      </w:r>
                    </w:p>
                    <w:p w14:paraId="73B14BB3">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合同履行期间，出现实际施工设计图纸（含设计变更）与招标文件提供的工程量清单任一项目特征描述不符，且该变化引起工程造价增减事件的，合同双方当事人应调整合同价款。</w:t>
      </w:r>
    </w:p>
    <w:p w14:paraId="2B4272A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70.3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14:paraId="5C1FD5C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307" name="文本框 2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4AD6531A">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14:paraId="771EDEE7">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wps:txbx>
                      <wps:bodyPr wrap="square" upright="1"/>
                    </wps:wsp>
                  </a:graphicData>
                </a:graphic>
              </wp:anchor>
            </w:drawing>
          </mc:Choice>
          <mc:Fallback>
            <w:pict>
              <v:shape id="文本框 297" o:spid="_x0000_s1026" o:spt="202" type="#_x0000_t202" style="position:absolute;left:0pt;margin-left:-9pt;margin-top:0.45pt;height:48.75pt;width:72pt;z-index:251960320;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d//kdQAAAAHAQAADwAAAAAAAAABACAAAAAiAAAAZHJzL2Rvd25yZXYueG1sUEsBAhQAFAAA&#10;AAgAh07iQJftAfK6AQAAXwMAAA4AAAAAAAAAAQAgAAAAIwEAAGRycy9lMm9Eb2MueG1sUEsFBgAA&#10;AAAGAAYAWQEAAE8FAAAAAA==&#10;">
                <v:fill on="f" focussize="0,0"/>
                <v:stroke on="f"/>
                <v:imagedata o:title=""/>
                <o:lock v:ext="edit" aspectratio="f"/>
                <v:textbox>
                  <w:txbxContent>
                    <w:p w14:paraId="4AD6531A">
                      <w:pPr>
                        <w:widowControl w:val="0"/>
                        <w:spacing w:after="120" w:line="200" w:lineRule="exact"/>
                        <w:jc w:val="both"/>
                        <w:rPr>
                          <w:rFonts w:ascii="宋体" w:hAnsi="Times New Roman" w:eastAsia="宋体" w:cs="Times New Roman"/>
                          <w:color w:val="FF0000"/>
                          <w:kern w:val="2"/>
                          <w:sz w:val="24"/>
                          <w:szCs w:val="24"/>
                          <w:lang w:val="en-US" w:eastAsia="zh-CN" w:bidi="ar-SA"/>
                        </w:rPr>
                      </w:pPr>
                      <w:r>
                        <w:rPr>
                          <w:rFonts w:hint="eastAsia" w:ascii="楷体_GB2312" w:hAnsi="宋体" w:eastAsia="楷体_GB2312" w:cs="楷体_GB2312"/>
                          <w:b/>
                          <w:bCs/>
                          <w:color w:val="000000"/>
                          <w:kern w:val="2"/>
                          <w:sz w:val="18"/>
                          <w:szCs w:val="18"/>
                          <w:lang w:val="en-US" w:eastAsia="zh-CN" w:bidi="ar-SA"/>
                        </w:rPr>
                        <w:t>调整价款的方法</w:t>
                      </w:r>
                    </w:p>
                    <w:p w14:paraId="771EDEE7">
                      <w:pPr>
                        <w:widowControl w:val="0"/>
                        <w:spacing w:line="200" w:lineRule="exact"/>
                        <w:jc w:val="both"/>
                        <w:rPr>
                          <w:rFonts w:ascii="Times New Roman" w:hAnsi="Times New Roman" w:eastAsia="楷体_GB2312" w:cs="Times New Roman"/>
                          <w:b/>
                          <w:bCs/>
                          <w:kern w:val="2"/>
                          <w:sz w:val="18"/>
                          <w:szCs w:val="18"/>
                          <w:lang w:val="en-US" w:eastAsia="zh-CN" w:bidi="ar-SA"/>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发生第70.2款情况的，应按照实际施工的项目特征重新确定相应工程量清单项目的综合单价，计算调整的合同价款。</w:t>
      </w:r>
    </w:p>
    <w:p w14:paraId="3BAD9BF0">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69B953A">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5" w:name="_Toc469384055"/>
      <w:bookmarkStart w:id="536" w:name="_Toc10624895"/>
      <w:r>
        <w:rPr>
          <w:rFonts w:hint="eastAsia" w:ascii="黑体" w:hAnsi="黑体" w:eastAsia="黑体" w:cs="黑体"/>
          <w:b w:val="0"/>
          <w:bCs/>
          <w:color w:val="auto"/>
          <w:kern w:val="0"/>
          <w:sz w:val="24"/>
          <w:szCs w:val="24"/>
          <w:highlight w:val="none"/>
          <w:lang w:val="en-US" w:eastAsia="zh-CN" w:bidi="ar-SA"/>
        </w:rPr>
        <w:t>★71  分部分项工程量清单缺项漏项事件</w:t>
      </w:r>
      <w:bookmarkEnd w:id="535"/>
      <w:bookmarkEnd w:id="536"/>
    </w:p>
    <w:p w14:paraId="2073CFAB">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71.1  </w:t>
      </w:r>
    </w:p>
    <w:p w14:paraId="1A56838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308" name="文本框 298"/>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3590D81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wps:txbx>
                      <wps:bodyPr wrap="square" upright="1"/>
                    </wps:wsp>
                  </a:graphicData>
                </a:graphic>
              </wp:anchor>
            </w:drawing>
          </mc:Choice>
          <mc:Fallback>
            <w:pict>
              <v:shape id="文本框 298" o:spid="_x0000_s1026" o:spt="202" type="#_x0000_t202" style="position:absolute;left:0pt;margin-left:-10.5pt;margin-top:0.5pt;height:54.5pt;width:72pt;z-index:251961344;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WTeMNQAAAAJAQAADwAAAAAAAAABACAAAAAiAAAAZHJzL2Rvd25yZXYueG1sUEsBAhQAFAAA&#10;AAgAh07iQDJsRUq6AQAAXwMAAA4AAAAAAAAAAQAgAAAAIwEAAGRycy9lMm9Eb2MueG1sUEsFBgAA&#10;AAAGAAYAWQEAAE8FAAAAAA==&#10;">
                <v:fill on="f" focussize="0,0"/>
                <v:stroke on="f"/>
                <v:imagedata o:title=""/>
                <o:lock v:ext="edit" aspectratio="f"/>
                <v:textbox>
                  <w:txbxContent>
                    <w:p w14:paraId="3590D81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清单缺项漏项的价款调整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309" name="文本框 29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6C47E918">
                            <w:pPr>
                              <w:rPr>
                                <w:rFonts w:ascii="Calibri" w:hAnsi="Calibri" w:cs="Times New Roman"/>
                                <w:szCs w:val="21"/>
                              </w:rPr>
                            </w:pPr>
                          </w:p>
                        </w:txbxContent>
                      </wps:txbx>
                      <wps:bodyPr wrap="square" upright="1"/>
                    </wps:wsp>
                  </a:graphicData>
                </a:graphic>
              </wp:anchor>
            </w:drawing>
          </mc:Choice>
          <mc:Fallback>
            <w:pict>
              <v:shape id="文本框 299" o:spid="_x0000_s1026" o:spt="202" type="#_x0000_t202" style="position:absolute;left:0pt;margin-left:-10.5pt;margin-top:0.5pt;height:54.6pt;width:72pt;z-index:251962368;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GJqRNQAAAAJAQAADwAAAAAAAAABACAAAAAiAAAAZHJzL2Rvd25yZXYueG1sUEsBAhQAFAAA&#10;AAgAh07iQIXTZVG6AQAAXwMAAA4AAAAAAAAAAQAgAAAAIwEAAGRycy9lMm9Eb2MueG1sUEsFBgAA&#10;AAAGAAYAWQEAAE8FAAAAAA==&#10;">
                <v:fill on="f" focussize="0,0"/>
                <v:stroke on="f"/>
                <v:imagedata o:title=""/>
                <o:lock v:ext="edit" aspectratio="f"/>
                <v:textbox>
                  <w:txbxContent>
                    <w:p w14:paraId="6C47E918">
                      <w:pPr>
                        <w:rPr>
                          <w:rFonts w:ascii="Calibri" w:hAnsi="Calibri"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合同履行期间，出现工程量清单中分部分项工程缺项漏项事件的，合同双方当事人应调整合同价款。</w:t>
      </w:r>
    </w:p>
    <w:p w14:paraId="6081E42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71.2   </w:t>
      </w:r>
      <w:r>
        <w:rPr>
          <w:rFonts w:hint="eastAsia" w:ascii="宋体" w:hAnsi="宋体" w:eastAsia="宋体" w:cs="宋体"/>
          <w:b/>
          <w:bCs/>
          <w:color w:val="auto"/>
          <w:kern w:val="2"/>
          <w:sz w:val="22"/>
          <w:szCs w:val="22"/>
          <w:highlight w:val="none"/>
          <w:u w:val="dotted"/>
          <w:lang w:val="en-US" w:eastAsia="zh-CN" w:bidi="ar-SA"/>
        </w:rPr>
        <w:t xml:space="preserve">                                                                               </w:t>
      </w:r>
    </w:p>
    <w:p w14:paraId="74E134A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3392"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310" name="文本框 3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06B4104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14:paraId="6D4D8D48">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0" o:spid="_x0000_s1026" o:spt="202" type="#_x0000_t202" style="position:absolute;left:0pt;margin-left:-5.25pt;margin-top:0.7pt;height:54.5pt;width:72pt;z-index:251963392;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oijLdQAAAAJAQAADwAAAAAAAAABACAAAAAiAAAAZHJzL2Rvd25yZXYueG1sUEsBAhQAFAAAAAgA&#10;h07iQIpV/x23AQAAXwMAAA4AAAAAAAAAAQAgAAAAIwEAAGRycy9lMm9Eb2MueG1sUEsFBgAAAAAG&#10;AAYAWQEAAEwFAAAAAA==&#10;">
                <v:fill on="f" focussize="0,0"/>
                <v:stroke on="f"/>
                <v:imagedata o:title=""/>
                <o:lock v:ext="edit" aspectratio="f"/>
                <v:textbox>
                  <w:txbxContent>
                    <w:p w14:paraId="06B4104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p w14:paraId="6D4D8D48">
                      <w:pPr>
                        <w:spacing w:line="240" w:lineRule="exact"/>
                        <w:rPr>
                          <w:rFonts w:ascii="Times New Roman" w:hAnsi="Times New Roman" w:cs="Times New Roman"/>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工程量清单中分部分项工程出现缺项漏项，造成新增工程量清单项目的，应按照第72.2款规定计算调整的分部分项工程费。</w:t>
      </w:r>
    </w:p>
    <w:p w14:paraId="46FDB500">
      <w:pPr>
        <w:widowControl w:val="0"/>
        <w:tabs>
          <w:tab w:val="left" w:pos="540"/>
        </w:tabs>
        <w:adjustRightInd w:val="0"/>
        <w:snapToGrid w:val="0"/>
        <w:spacing w:before="240" w:beforeLines="100"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71.3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8C842E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4416"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311" name="文本框 3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0161ECE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14:paraId="17C36A0E">
                            <w:pPr>
                              <w:spacing w:line="240" w:lineRule="exact"/>
                              <w:rPr>
                                <w:rFonts w:ascii="Times New Roman" w:hAnsi="Times New Roman" w:cs="Times New Roman"/>
                                <w:sz w:val="18"/>
                                <w:szCs w:val="18"/>
                              </w:rPr>
                            </w:pPr>
                          </w:p>
                        </w:txbxContent>
                      </wps:txbx>
                      <wps:bodyPr wrap="square" upright="1"/>
                    </wps:wsp>
                  </a:graphicData>
                </a:graphic>
              </wp:anchor>
            </w:drawing>
          </mc:Choice>
          <mc:Fallback>
            <w:pict>
              <v:shape id="文本框 301" o:spid="_x0000_s1026" o:spt="202" type="#_x0000_t202" style="position:absolute;left:0pt;margin-left:-10.5pt;margin-top:0.4pt;height:54.5pt;width:72pt;z-index:251964416;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ffHDnVAAAACAEAAA8AAAAAAAAAAQAgAAAAIgAAAGRycy9kb3ducmV2LnhtbFBLAQIUABQA&#10;AAAIAIdO4kAVUjS3ugEAAF8DAAAOAAAAAAAAAAEAIAAAACQBAABkcnMvZTJvRG9jLnhtbFBLBQYA&#10;AAAABgAGAFkBAABQBQAAAAA=&#10;">
                <v:fill on="f" focussize="0,0"/>
                <v:stroke on="f"/>
                <v:imagedata o:title=""/>
                <o:lock v:ext="edit" aspectratio="f"/>
                <v:textbox>
                  <w:txbxContent>
                    <w:p w14:paraId="0161ECE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p w14:paraId="17C36A0E">
                      <w:pPr>
                        <w:spacing w:line="240" w:lineRule="exact"/>
                        <w:rPr>
                          <w:rFonts w:ascii="Times New Roman" w:hAnsi="Times New Roman" w:cs="Times New Roman"/>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工程量清单中分部分项工程出现缺项漏项，引起增加措施项目的，应按照第72.3款规定在提交的实施方案被批准后计算调整的措施项目费。</w:t>
      </w:r>
    </w:p>
    <w:p w14:paraId="3831CBB3">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774FD7E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7" w:name="_Toc10624896"/>
      <w:bookmarkStart w:id="538" w:name="_Toc469384056"/>
      <w:r>
        <w:rPr>
          <w:rFonts w:hint="eastAsia" w:ascii="黑体" w:hAnsi="黑体" w:eastAsia="黑体" w:cs="黑体"/>
          <w:b w:val="0"/>
          <w:bCs/>
          <w:color w:val="auto"/>
          <w:kern w:val="0"/>
          <w:sz w:val="24"/>
          <w:szCs w:val="24"/>
          <w:highlight w:val="none"/>
          <w:lang w:val="en-US" w:eastAsia="zh-CN" w:bidi="ar-SA"/>
        </w:rPr>
        <w:t>★72  工程变更事件</w:t>
      </w:r>
      <w:bookmarkEnd w:id="537"/>
      <w:bookmarkEnd w:id="538"/>
    </w:p>
    <w:p w14:paraId="5EB5A70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312" name="文本框 30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7C974C3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14:paraId="11ED7FF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wrap="square" upright="1"/>
                    </wps:wsp>
                  </a:graphicData>
                </a:graphic>
              </wp:anchor>
            </w:drawing>
          </mc:Choice>
          <mc:Fallback>
            <w:pict>
              <v:shape id="文本框 302" o:spid="_x0000_s1026" o:spt="202" type="#_x0000_t202" style="position:absolute;left:0pt;margin-left:-9pt;margin-top:14.6pt;height:31.2pt;width:81pt;z-index:251965440;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rj9K1wAAAAkBAAAPAAAAAAAAAAEAIAAAACIAAABkcnMvZG93bnJldi54bWxQSwECFAAU&#10;AAAACACHTuJA+5PmXrkBAABgAwAADgAAAAAAAAABACAAAAAmAQAAZHJzL2Uyb0RvYy54bWxQSwUG&#10;AAAAAAYABgBZAQAAUQUAAAAA&#10;">
                <v:fill on="f" focussize="0,0"/>
                <v:stroke on="f"/>
                <v:imagedata o:title=""/>
                <o:lock v:ext="edit" aspectratio="f"/>
                <v:textbox>
                  <w:txbxContent>
                    <w:p w14:paraId="7C974C3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工程变更的价</w:t>
                      </w:r>
                    </w:p>
                    <w:p w14:paraId="11ED7FF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72.1      </w:t>
      </w:r>
    </w:p>
    <w:p w14:paraId="7ECE248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合同履行期间，出现第56条工程变更事件的，合同双方当事人应调整合同价款。</w:t>
      </w:r>
    </w:p>
    <w:p w14:paraId="66EAA9F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b/>
          <w:bCs/>
          <w:color w:val="auto"/>
          <w:kern w:val="2"/>
          <w:sz w:val="22"/>
          <w:szCs w:val="22"/>
          <w:highlight w:val="none"/>
          <w:lang w:val="en-US" w:eastAsia="zh-CN" w:bidi="ar-SA"/>
        </w:rPr>
        <w:t xml:space="preserve">    </w:t>
      </w:r>
    </w:p>
    <w:p w14:paraId="5A11424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313" name="文本框 303"/>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14:paraId="48820A3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wrap="square" upright="1"/>
                    </wps:wsp>
                  </a:graphicData>
                </a:graphic>
              </wp:anchor>
            </w:drawing>
          </mc:Choice>
          <mc:Fallback>
            <w:pict>
              <v:shape id="文本框 303" o:spid="_x0000_s1026" o:spt="202" type="#_x0000_t202" style="position:absolute;left:0pt;margin-left:-9pt;margin-top:0.5pt;height:46.7pt;width:72pt;z-index:251966464;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GOP/NUAAAAIAQAADwAAAAAAAAABACAAAAAiAAAAZHJzL2Rvd25yZXYueG1sUEsBAhQAFAAA&#10;AAgAh07iQJgYc0W5AQAAXwMAAA4AAAAAAAAAAQAgAAAAJAEAAGRycy9lMm9Eb2MueG1sUEsFBgAA&#10;AAAGAAYAWQEAAE8FAAAAAA==&#10;">
                <v:fill on="f" focussize="0,0"/>
                <v:stroke on="f"/>
                <v:imagedata o:title=""/>
                <o:lock v:ext="edit" aspectratio="f"/>
                <v:textbox>
                  <w:txbxContent>
                    <w:p w14:paraId="48820A3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工程变更引起分部分项工程项目发生变化，属于第73.2款规定情况的，按照其规定调整；否则按照下列规定调整分部分项工程费：</w:t>
      </w:r>
    </w:p>
    <w:p w14:paraId="04CDAE6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(1)合同中有适用于变更工程项目的，按照该项目的单价或合价调整；</w:t>
      </w:r>
    </w:p>
    <w:p w14:paraId="096A462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(2)合同中没有适用、只有类似于变更工程项目的，可在合理范围内参照类似项目的单价或合价调整；</w:t>
      </w:r>
    </w:p>
    <w:p w14:paraId="556F54D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14:paraId="53C864B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其中，招标工程：承包人报价浮动率L=（1—中标价格/招标控制价）×100%；</w:t>
      </w:r>
    </w:p>
    <w:p w14:paraId="773A8CC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非招标工程：承包人报价浮动率L=（1—报价值/施工图预算）×100%。</w:t>
      </w:r>
    </w:p>
    <w:p w14:paraId="2C9D65C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式中：中标价格、招标控制价或报价值、施工图预算，均不含绿色施工安全防护费。</w:t>
      </w:r>
    </w:p>
    <w:p w14:paraId="067400A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14:paraId="0F036096">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72.3  </w:t>
      </w:r>
      <w:r>
        <w:rPr>
          <w:rFonts w:hint="eastAsia" w:ascii="宋体" w:hAnsi="宋体" w:eastAsia="宋体" w:cs="宋体"/>
          <w:b/>
          <w:bCs/>
          <w:color w:val="auto"/>
          <w:kern w:val="2"/>
          <w:sz w:val="22"/>
          <w:szCs w:val="22"/>
          <w:highlight w:val="none"/>
          <w:u w:val="dotted"/>
          <w:lang w:val="en-US" w:eastAsia="zh-CN" w:bidi="ar-SA"/>
        </w:rPr>
        <w:t xml:space="preserve">                                                                                       </w:t>
      </w:r>
    </w:p>
    <w:p w14:paraId="0278CD8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14"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1E8E66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wrap="square" upright="1"/>
                    </wps:wsp>
                  </a:graphicData>
                </a:graphic>
              </wp:anchor>
            </w:drawing>
          </mc:Choice>
          <mc:Fallback>
            <w:pict>
              <v:shape id="文本框 304"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9LTfVAAAACAEAAA8AAAAAAAAAAQAgAAAAIgAAAGRycy9kb3ducmV2LnhtbFBLAQIUABQA&#10;AAAIAIdO4kD12XSVugEAAF8DAAAOAAAAAAAAAAEAIAAAACQBAABkcnMvZTJvRG9jLnhtbFBLBQYA&#10;AAAABgAGAFkBAABQBQAAAAA=&#10;">
                <v:fill on="f" focussize="0,0"/>
                <v:stroke on="f"/>
                <v:imagedata o:title=""/>
                <o:lock v:ext="edit" aspectratio="f"/>
                <v:textbox>
                  <w:txbxContent>
                    <w:p w14:paraId="21E8E66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31B9CFC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(1)按系数计算的绿色施工安全防护费，按照实际发生变化的措施项目调整，不得浮动。</w:t>
      </w:r>
    </w:p>
    <w:p w14:paraId="54CB2AD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(2)凡可计算工程量的措施项目费，按照实际发生变化的措施项目的工程量乘以第72.2款规定的单价或合价调整。</w:t>
      </w:r>
    </w:p>
    <w:p w14:paraId="68DB8C9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(3)凡按系数计算的措施项目费，除本款第(1)点情形外，按照实际发生变化的措施项目调整，但应考虑承包人报价浮动因素，即调整金额按照实际调整金额乘以第72.2款规定的承包人报价浮动率计算。</w:t>
      </w:r>
    </w:p>
    <w:p w14:paraId="0E18E74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如果不利一方当事人未按本款规定事先将拟实施的方案提交给另一方当事人，则认为工程变更不引起措施项目费的调整或不利一方当事人放弃调整措施项目费的权利。</w:t>
      </w:r>
    </w:p>
    <w:p w14:paraId="0FE047B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72.4  </w:t>
      </w:r>
      <w:r>
        <w:rPr>
          <w:rFonts w:hint="eastAsia" w:ascii="宋体" w:hAnsi="宋体" w:eastAsia="宋体" w:cs="宋体"/>
          <w:b/>
          <w:bCs/>
          <w:color w:val="auto"/>
          <w:kern w:val="2"/>
          <w:sz w:val="22"/>
          <w:szCs w:val="22"/>
          <w:highlight w:val="none"/>
          <w:u w:val="dotted"/>
          <w:lang w:val="en-US" w:eastAsia="zh-CN" w:bidi="ar-SA"/>
        </w:rPr>
        <w:t xml:space="preserve">                                                                                      </w:t>
      </w:r>
    </w:p>
    <w:p w14:paraId="0044711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15" name="文本框 3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14:paraId="5CED8A6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14:paraId="24201D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wps:txbx>
                      <wps:bodyPr wrap="square" upright="1"/>
                    </wps:wsp>
                  </a:graphicData>
                </a:graphic>
              </wp:anchor>
            </w:drawing>
          </mc:Choice>
          <mc:Fallback>
            <w:pict>
              <v:shape id="文本框 305" o:spid="_x0000_s1026" o:spt="202" type="#_x0000_t202" style="position:absolute;left:0pt;margin-left:-9pt;margin-top:1.05pt;height:60.35pt;width:81pt;z-index:251968512;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DLkB1gAAAAkBAAAPAAAAAAAAAAEAIAAAACIAAABkcnMvZG93bnJldi54bWxQSwECFAAU&#10;AAAACACHTuJAqoWj6boBAABgAwAADgAAAAAAAAABACAAAAAlAQAAZHJzL2Uyb0RvYy54bWxQSwUG&#10;AAAAAAYABgBZAQAAUQUAAAAA&#10;">
                <v:fill on="f" focussize="0,0"/>
                <v:stroke on="f"/>
                <v:imagedata o:title=""/>
                <o:lock v:ext="edit" aspectratio="f"/>
                <v:textbox>
                  <w:txbxContent>
                    <w:p w14:paraId="5CED8A6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调整承包人报</w:t>
                      </w:r>
                    </w:p>
                    <w:p w14:paraId="24201DD0">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价偏差的方法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14:paraId="354CD04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(1)当P0 &lt;P1 ×(1-L)×(1-15%)时，该类项目的综合单价按照P1 ×(1-L)×(1-15%)调整。 </w:t>
      </w:r>
    </w:p>
    <w:p w14:paraId="1AF7351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(2)当P0 &gt;P1 × (1+15%)时，该类项目的综合单价按照P1 ×（1+15%)调整。 </w:t>
      </w:r>
    </w:p>
    <w:p w14:paraId="4B08507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式中：P0——承包人在工程量清单中填报的综合单价。</w:t>
      </w:r>
    </w:p>
    <w:p w14:paraId="4631A64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P1——发包人招标控制价或施工预算相应清单项目的综合单价。</w:t>
      </w:r>
    </w:p>
    <w:p w14:paraId="4769D07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L——第72.2款规定的承包人报价浮动率。</w:t>
      </w:r>
    </w:p>
    <w:p w14:paraId="685EFDD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72.5  </w:t>
      </w:r>
      <w:r>
        <w:rPr>
          <w:rFonts w:hint="eastAsia" w:ascii="宋体" w:hAnsi="宋体" w:eastAsia="宋体" w:cs="宋体"/>
          <w:b/>
          <w:bCs/>
          <w:color w:val="auto"/>
          <w:kern w:val="2"/>
          <w:sz w:val="22"/>
          <w:szCs w:val="22"/>
          <w:highlight w:val="none"/>
          <w:u w:val="dotted"/>
          <w:lang w:val="en-US" w:eastAsia="zh-CN" w:bidi="ar-SA"/>
        </w:rPr>
        <w:t xml:space="preserve">                                                                                      </w:t>
      </w:r>
    </w:p>
    <w:p w14:paraId="35048A1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16" name="文本框 3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3A2688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wps:txbx>
                      <wps:bodyPr wrap="square" upright="1"/>
                    </wps:wsp>
                  </a:graphicData>
                </a:graphic>
              </wp:anchor>
            </w:drawing>
          </mc:Choice>
          <mc:Fallback>
            <w:pict>
              <v:shape id="文本框 306" o:spid="_x0000_s1026" o:spt="202" type="#_x0000_t202" style="position:absolute;left:0pt;margin-left:-9pt;margin-top:3.6pt;height:31.2pt;width:72pt;z-index:251969536;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T0tN9UAAAAIAQAADwAAAAAAAAABACAAAAAiAAAAZHJzL2Rvd25yZXYueG1sUEsBAhQAFAAA&#10;AAgAh07iQIrQkxu5AQAAXwMAAA4AAAAAAAAAAQAgAAAAJAEAAGRycy9lMm9Eb2MueG1sUEsFBgAA&#10;AAAGAAYAWQEAAE8FAAAAAA==&#10;">
                <v:fill on="f" focussize="0,0"/>
                <v:stroke on="f"/>
                <v:imagedata o:title=""/>
                <o:lock v:ext="edit" aspectratio="f"/>
                <v:textbox>
                  <w:txbxContent>
                    <w:p w14:paraId="03A2688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删减工作或工程的补偿</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265901CE">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7A7FB99">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39" w:name="_Toc469384057"/>
      <w:bookmarkStart w:id="540" w:name="_Toc10624897"/>
      <w:r>
        <w:rPr>
          <w:rFonts w:hint="eastAsia" w:ascii="黑体" w:hAnsi="黑体" w:eastAsia="黑体" w:cs="黑体"/>
          <w:b w:val="0"/>
          <w:bCs/>
          <w:color w:val="auto"/>
          <w:kern w:val="0"/>
          <w:sz w:val="24"/>
          <w:szCs w:val="24"/>
          <w:highlight w:val="none"/>
          <w:lang w:val="en-US" w:eastAsia="zh-CN" w:bidi="ar-SA"/>
        </w:rPr>
        <w:t>★73  工程量偏差事件</w:t>
      </w:r>
      <w:bookmarkEnd w:id="539"/>
      <w:bookmarkEnd w:id="540"/>
    </w:p>
    <w:p w14:paraId="6AA2FF5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73.1</w:t>
      </w:r>
    </w:p>
    <w:p w14:paraId="4AFD49B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17" name="文本框 307"/>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14:paraId="27D5DEC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14:paraId="528E938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wps:txbx>
                      <wps:bodyPr wrap="square" upright="1"/>
                    </wps:wsp>
                  </a:graphicData>
                </a:graphic>
              </wp:anchor>
            </w:drawing>
          </mc:Choice>
          <mc:Fallback>
            <w:pict>
              <v:shape id="文本框 307" o:spid="_x0000_s1026" o:spt="202" type="#_x0000_t202" style="position:absolute;left:0pt;margin-left:-9pt;margin-top:0.15pt;height:59.85pt;width:81pt;z-index:251970560;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fPVO1AAAAAgBAAAPAAAAAAAAAAEAIAAAACIAAABkcnMvZG93bnJldi54bWxQSwECFAAUAAAA&#10;CACHTuJARkoSmrkBAABgAwAADgAAAAAAAAABACAAAAAjAQAAZHJzL2Uyb0RvYy54bWxQSwUGAAAA&#10;AAYABgBZAQAATgUAAAAA&#10;">
                <v:fill on="f" focussize="0,0"/>
                <v:stroke on="f"/>
                <v:imagedata o:title=""/>
                <o:lock v:ext="edit" aspectratio="f"/>
                <v:textbox>
                  <w:txbxContent>
                    <w:p w14:paraId="27D5DEC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工程量偏差价</w:t>
                      </w:r>
                    </w:p>
                    <w:p w14:paraId="528E938F">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2031D0A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合同履行期间，出现工程量偏差，且符合第73.2款、第73.3款规定事件的，合同双方当事人应调整合同价款。调整合同价款时，出现第72.4款情形的，应先按照其规定调整，再按照本条规定调整。</w:t>
      </w:r>
    </w:p>
    <w:p w14:paraId="461E496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73.2  </w:t>
      </w:r>
      <w:r>
        <w:rPr>
          <w:rFonts w:hint="eastAsia" w:ascii="宋体" w:hAnsi="宋体" w:eastAsia="宋体" w:cs="宋体"/>
          <w:b/>
          <w:bCs/>
          <w:color w:val="auto"/>
          <w:kern w:val="2"/>
          <w:sz w:val="22"/>
          <w:szCs w:val="22"/>
          <w:highlight w:val="none"/>
          <w:u w:val="dotted"/>
          <w:lang w:val="en-US" w:eastAsia="zh-CN" w:bidi="ar-SA"/>
        </w:rPr>
        <w:t xml:space="preserve">                                                                                       </w:t>
      </w:r>
    </w:p>
    <w:p w14:paraId="353E460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18" name="文本框 308"/>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14:paraId="7034CBE0">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wps:txbx>
                      <wps:bodyPr wrap="square" upright="1"/>
                    </wps:wsp>
                  </a:graphicData>
                </a:graphic>
              </wp:anchor>
            </w:drawing>
          </mc:Choice>
          <mc:Fallback>
            <w:pict>
              <v:shape id="文本框 308" o:spid="_x0000_s1026" o:spt="202" type="#_x0000_t202" style="position:absolute;left:0pt;margin-left:-9pt;margin-top:2.1pt;height:35pt;width:72pt;z-index:251971584;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qvrdUAAAAIAQAADwAAAAAAAAABACAAAAAiAAAAZHJzL2Rvd25yZXYueG1sUEsBAhQAFAAA&#10;AAgAh07iQPmxmzu5AQAAXwMAAA4AAAAAAAAAAQAgAAAAJAEAAGRycy9lMm9Eb2MueG1sUEsFBgAA&#10;AAAGAAYAWQEAAE8FAAAAAA==&#10;">
                <v:fill on="f" focussize="0,0"/>
                <v:stroke on="f"/>
                <v:imagedata o:title=""/>
                <o:lock v:ext="edit" aspectratio="f"/>
                <v:textbox>
                  <w:txbxContent>
                    <w:p w14:paraId="7034CBE0">
                      <w:pPr>
                        <w:widowControl w:val="0"/>
                        <w:spacing w:after="120" w:line="200" w:lineRule="exact"/>
                        <w:jc w:val="both"/>
                        <w:rPr>
                          <w:rFonts w:ascii="宋体" w:hAnsi="Times New Roman" w:eastAsia="宋体" w:cs="Times New Roman"/>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调整分部分项工程费的方法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14:paraId="6C855C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（1）当Q1﹥1.1Q0时，S=1.1Q0×P0+（Q1-1.1Q0）×P1</w:t>
      </w:r>
    </w:p>
    <w:p w14:paraId="2C12348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（2）当Q1﹤0.9Q0时，S=0.9Q0×P0-（0.9Q0-Q1）×P1</w:t>
      </w:r>
    </w:p>
    <w:p w14:paraId="4559DB8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式中S——调整后的某一分部分项工程费结算价；</w:t>
      </w:r>
    </w:p>
    <w:p w14:paraId="74FA640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Q1——最终完成的工程量；</w:t>
      </w:r>
    </w:p>
    <w:p w14:paraId="6C64291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Q0——工程量清单中开列的工程量；</w:t>
      </w:r>
    </w:p>
    <w:p w14:paraId="08EDA17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P1——按照最终完成工程量重新调整后的综合单价；</w:t>
      </w:r>
    </w:p>
    <w:p w14:paraId="32095E6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P0——承包人在工程量清单中填报的综合单价。</w:t>
      </w:r>
    </w:p>
    <w:p w14:paraId="7A118C99">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73.3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1F5CA92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19" name="文本框 309"/>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14:paraId="1FDC7E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wps:txbx>
                      <wps:bodyPr wrap="square" upright="1"/>
                    </wps:wsp>
                  </a:graphicData>
                </a:graphic>
              </wp:anchor>
            </w:drawing>
          </mc:Choice>
          <mc:Fallback>
            <w:pict>
              <v:shape id="文本框 309" o:spid="_x0000_s1026" o:spt="202" type="#_x0000_t202" style="position:absolute;left:0pt;margin-left:-9pt;margin-top:4.05pt;height:39.8pt;width:72pt;z-index:251972608;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UWMptQAAAAIAQAADwAAAAAAAAABACAAAAAiAAAAZHJzL2Rvd25yZXYueG1sUEsBAhQAFAAA&#10;AAgAh07iQKWX4Bu6AQAAXwMAAA4AAAAAAAAAAQAgAAAAIwEAAGRycy9lMm9Eb2MueG1sUEsFBgAA&#10;AAAGAAYAWQEAAE8FAAAAAA==&#10;">
                <v:fill on="f" focussize="0,0"/>
                <v:stroke on="f"/>
                <v:imagedata o:title=""/>
                <o:lock v:ext="edit" aspectratio="f"/>
                <v:textbox>
                  <w:txbxContent>
                    <w:p w14:paraId="1FDC7E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调整措施项目费的方法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14:paraId="4E443D5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（1）当S1﹥1.1S0时，M1=M0+△M</w:t>
      </w:r>
    </w:p>
    <w:p w14:paraId="0247403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（2）当S1﹤0.9S0时，M1=M0–△M</w:t>
      </w:r>
    </w:p>
    <w:p w14:paraId="50E2C7C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式中M1——调整后的发生变化措施项目费结算价；</w:t>
      </w:r>
    </w:p>
    <w:p w14:paraId="0B4DA43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M0——承包人在工程量清单中填报的措施项目费；</w:t>
      </w:r>
    </w:p>
    <w:p w14:paraId="13F9133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∆M——按照第72.3款规定调整的发生变化部分的措施项目费；</w:t>
      </w:r>
    </w:p>
    <w:p w14:paraId="44469FB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S1——调整后的某一分部分项工程费结算价；</w:t>
      </w:r>
    </w:p>
    <w:p w14:paraId="1178B40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S0——承包人报价文件对应的某一分部分项工程费。</w:t>
      </w:r>
    </w:p>
    <w:p w14:paraId="76AB6E68">
      <w:pPr>
        <w:tabs>
          <w:tab w:val="left" w:pos="1620"/>
        </w:tabs>
        <w:spacing w:line="420" w:lineRule="exact"/>
        <w:rPr>
          <w:rFonts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 xml:space="preserve">                                                                                       </w:t>
      </w:r>
    </w:p>
    <w:p w14:paraId="60E34A8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1" w:name="_Toc10624898"/>
      <w:bookmarkStart w:id="542" w:name="_Toc469384058"/>
      <w:r>
        <w:rPr>
          <w:rFonts w:hint="eastAsia" w:ascii="黑体" w:hAnsi="黑体" w:eastAsia="黑体" w:cs="黑体"/>
          <w:b w:val="0"/>
          <w:bCs/>
          <w:color w:val="auto"/>
          <w:kern w:val="0"/>
          <w:sz w:val="24"/>
          <w:szCs w:val="24"/>
          <w:highlight w:val="none"/>
          <w:lang w:val="en-US" w:eastAsia="zh-CN" w:bidi="ar-SA"/>
        </w:rPr>
        <w:t>★74  费用索赔事件</w:t>
      </w:r>
      <w:bookmarkEnd w:id="541"/>
      <w:bookmarkEnd w:id="542"/>
    </w:p>
    <w:p w14:paraId="35FB4DB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74.1      </w:t>
      </w:r>
    </w:p>
    <w:p w14:paraId="7761750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0" name="文本框 3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F38B99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wps:txbx>
                      <wps:bodyPr wrap="square" upright="1"/>
                    </wps:wsp>
                  </a:graphicData>
                </a:graphic>
              </wp:anchor>
            </w:drawing>
          </mc:Choice>
          <mc:Fallback>
            <w:pict>
              <v:shape id="文本框 310"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P8HDVAAAACAEAAA8AAAAAAAAAAQAgAAAAIgAAAGRycy9kb3ducmV2LnhtbFBLAQIUABQAAAAI&#10;AIdO4kBE5YWWtwEAAF8DAAAOAAAAAAAAAAEAIAAAACQBAABkcnMvZTJvRG9jLnhtbFBLBQYAAAAA&#10;BgAGAFkBAABNBQAAAAA=&#10;">
                <v:fill on="f" focussize="0,0"/>
                <v:stroke on="f"/>
                <v:imagedata o:title=""/>
                <o:lock v:ext="edit" aspectratio="f"/>
                <v:textbox>
                  <w:txbxContent>
                    <w:p w14:paraId="2F38B99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费用索赔是指合同履行期间，对于非自己过错而应由对方当事人承担责任的情况造成的损失，向对方当事人提出经济补偿要求的行为。</w:t>
      </w:r>
    </w:p>
    <w:p w14:paraId="351EC64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合同履行期间，出现费用索赔事件的，合同双方当事人应调整合同价款。</w:t>
      </w:r>
    </w:p>
    <w:p w14:paraId="7CA2448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74.2  </w:t>
      </w:r>
      <w:r>
        <w:rPr>
          <w:rFonts w:hint="eastAsia" w:ascii="宋体" w:hAnsi="宋体" w:eastAsia="宋体" w:cs="宋体"/>
          <w:b/>
          <w:bCs/>
          <w:color w:val="auto"/>
          <w:kern w:val="2"/>
          <w:sz w:val="22"/>
          <w:szCs w:val="22"/>
          <w:highlight w:val="none"/>
          <w:u w:val="dotted"/>
          <w:lang w:val="en-US" w:eastAsia="zh-CN" w:bidi="ar-SA"/>
        </w:rPr>
        <w:t xml:space="preserve">                                                                                      </w:t>
      </w:r>
    </w:p>
    <w:p w14:paraId="1615472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1" name="文本框 3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340FE8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wps:txbx>
                      <wps:bodyPr wrap="square" upright="1"/>
                    </wps:wsp>
                  </a:graphicData>
                </a:graphic>
              </wp:anchor>
            </w:drawing>
          </mc:Choice>
          <mc:Fallback>
            <w:pict>
              <v:shape id="文本框 311" o:spid="_x0000_s1026" o:spt="202" type="#_x0000_t202" style="position:absolute;left:0pt;margin-left:-9pt;margin-top:1.25pt;height:31.2pt;width:72pt;z-index:2519746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b4k48ugEAAF8DAAAOAAAAAAAAAAEAIAAAACQBAABkcnMvZTJvRG9jLnhtbFBLBQYA&#10;AAAABgAGAFkBAABQBQAAAAA=&#10;">
                <v:fill on="f" focussize="0,0"/>
                <v:stroke on="f"/>
                <v:imagedata o:title=""/>
                <o:lock v:ext="edit" aspectratio="f"/>
                <v:textbox>
                  <w:txbxContent>
                    <w:p w14:paraId="1340FE8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发出索赔意向书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如果承包人根据合同约定提出任何费用或其它形式的损失索赔时，应在该索赔事件首次发生之后的14天内向造价工程师发出索赔意向书，并抄送发包人。</w:t>
      </w:r>
    </w:p>
    <w:p w14:paraId="6FBD8D1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74.3  </w:t>
      </w:r>
      <w:r>
        <w:rPr>
          <w:rFonts w:hint="eastAsia" w:ascii="宋体" w:hAnsi="宋体" w:eastAsia="宋体" w:cs="宋体"/>
          <w:b/>
          <w:bCs/>
          <w:color w:val="auto"/>
          <w:kern w:val="2"/>
          <w:sz w:val="22"/>
          <w:szCs w:val="22"/>
          <w:highlight w:val="none"/>
          <w:u w:val="dotted"/>
          <w:lang w:val="en-US" w:eastAsia="zh-CN" w:bidi="ar-SA"/>
        </w:rPr>
        <w:t xml:space="preserve">                                                                                      </w:t>
      </w:r>
    </w:p>
    <w:p w14:paraId="543A9EC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22" name="文本框 312"/>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14:paraId="3A1827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wps:txbx>
                      <wps:bodyPr wrap="square" upright="1"/>
                    </wps:wsp>
                  </a:graphicData>
                </a:graphic>
              </wp:anchor>
            </w:drawing>
          </mc:Choice>
          <mc:Fallback>
            <w:pict>
              <v:shape id="文本框 312" o:spid="_x0000_s1026" o:spt="202" type="#_x0000_t202" style="position:absolute;left:0pt;margin-left:-9pt;margin-top:0.05pt;height:41.15pt;width:72pt;z-index:251975680;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NkCnTAAAABwEAAA8AAAAAAAAAAQAgAAAAIgAAAGRycy9kb3ducmV2LnhtbFBLAQIUABQAAAAI&#10;AIdO4kBydvaZuQEAAF8DAAAOAAAAAAAAAAEAIAAAACIBAABkcnMvZTJvRG9jLnhtbFBLBQYAAAAA&#10;BgAGAFkBAABNBQAAAAA=&#10;">
                <v:fill on="f" focussize="0,0"/>
                <v:stroke on="f"/>
                <v:imagedata o:title=""/>
                <o:lock v:ext="edit" aspectratio="f"/>
                <v:textbox>
                  <w:txbxContent>
                    <w:p w14:paraId="3A1827F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索赔记录的保存和审查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5A8E949F">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069D7C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23" name="文本框 313"/>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14:paraId="553DB24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14:paraId="34B9C7D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wps:txbx>
                      <wps:bodyPr wrap="square" upright="1"/>
                    </wps:wsp>
                  </a:graphicData>
                </a:graphic>
              </wp:anchor>
            </w:drawing>
          </mc:Choice>
          <mc:Fallback>
            <w:pict>
              <v:shape id="文本框 313" o:spid="_x0000_s1026" o:spt="202" type="#_x0000_t202" style="position:absolute;left:0pt;margin-left:-9pt;margin-top:0.4pt;height:37.8pt;width:81pt;z-index:251976704;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ZrJc0wAAAAcBAAAPAAAAAAAAAAEAIAAAACIAAABkcnMvZG93bnJldi54bWxQSwECFAAUAAAA&#10;CACHTuJAUWo66LoBAABgAwAADgAAAAAAAAABACAAAAAiAQAAZHJzL2Uyb0RvYy54bWxQSwUGAAAA&#10;AAYABgBZAQAATgUAAAAA&#10;">
                <v:fill on="f" focussize="0,0"/>
                <v:stroke on="f"/>
                <v:imagedata o:title=""/>
                <o:lock v:ext="edit" aspectratio="f"/>
                <v:textbox>
                  <w:txbxContent>
                    <w:p w14:paraId="553DB24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提交费用索赔</w:t>
                      </w:r>
                    </w:p>
                    <w:p w14:paraId="34B9C7DE">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报告</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2471EA9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24" name="文本框 314"/>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14:paraId="3E14DC3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wps:txbx>
                      <wps:bodyPr wrap="square" upright="1"/>
                    </wps:wsp>
                  </a:graphicData>
                </a:graphic>
              </wp:anchor>
            </w:drawing>
          </mc:Choice>
          <mc:Fallback>
            <w:pict>
              <v:shape id="文本框 314" o:spid="_x0000_s1026" o:spt="202" type="#_x0000_t202" style="position:absolute;left:0pt;margin-left:-9pt;margin-top:19.75pt;height:25.55pt;width:63pt;z-index:251977728;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NXai1gAAAAkBAAAPAAAAAAAAAAEAIAAAACIAAABkcnMvZG93bnJldi54bWxQSwECFAAUAAAA&#10;CACHTuJAhSI2RbcBAABfAwAADgAAAAAAAAABACAAAAAlAQAAZHJzL2Uyb0RvYy54bWxQSwUGAAAA&#10;AAYABgBZAQAATgUAAAAA&#10;">
                <v:fill on="f" focussize="0,0"/>
                <v:stroke on="f"/>
                <v:imagedata o:title=""/>
                <o:lock v:ext="edit" aspectratio="f"/>
                <v:textbox>
                  <w:txbxContent>
                    <w:p w14:paraId="3E14DC38">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无权索赔</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74.5  </w:t>
      </w:r>
      <w:r>
        <w:rPr>
          <w:rFonts w:hint="eastAsia" w:ascii="宋体" w:hAnsi="宋体" w:eastAsia="宋体" w:cs="宋体"/>
          <w:b/>
          <w:bCs/>
          <w:color w:val="auto"/>
          <w:kern w:val="2"/>
          <w:sz w:val="22"/>
          <w:szCs w:val="22"/>
          <w:highlight w:val="none"/>
          <w:u w:val="dotted"/>
          <w:lang w:val="en-US" w:eastAsia="zh-CN" w:bidi="ar-SA"/>
        </w:rPr>
        <w:t xml:space="preserve">                                                                                       </w:t>
      </w:r>
    </w:p>
    <w:p w14:paraId="34F9E44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如果承包人提出的索赔未能遵守第74.2款至第74.4款规定，则承包人无权获得索赔或只限于获得由造价工程师按照提供记录予以核实的部分款额。</w:t>
      </w:r>
    </w:p>
    <w:p w14:paraId="4DDC2325">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74.6  </w:t>
      </w:r>
      <w:r>
        <w:rPr>
          <w:rFonts w:hint="eastAsia" w:ascii="宋体" w:hAnsi="宋体" w:eastAsia="宋体" w:cs="宋体"/>
          <w:b/>
          <w:bCs/>
          <w:color w:val="auto"/>
          <w:kern w:val="2"/>
          <w:sz w:val="22"/>
          <w:szCs w:val="22"/>
          <w:highlight w:val="none"/>
          <w:u w:val="dotted"/>
          <w:lang w:val="en-US" w:eastAsia="zh-CN" w:bidi="ar-SA"/>
        </w:rPr>
        <w:t xml:space="preserve">                                                                                      </w:t>
      </w:r>
    </w:p>
    <w:p w14:paraId="682A3B3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25" name="文本框 315"/>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14:paraId="557BBEA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wps:txbx>
                      <wps:bodyPr wrap="square" upright="1"/>
                    </wps:wsp>
                  </a:graphicData>
                </a:graphic>
              </wp:anchor>
            </w:drawing>
          </mc:Choice>
          <mc:Fallback>
            <w:pict>
              <v:shape id="文本框 315" o:spid="_x0000_s1026" o:spt="202" type="#_x0000_t202" style="position:absolute;left:0pt;margin-left:-9pt;margin-top:0.65pt;height:34.55pt;width:72pt;z-index:251978752;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TQXVAAAACAEAAA8AAAAAAAAAAQAgAAAAIgAAAGRycy9kb3ducmV2LnhtbFBLAQIUABQA&#10;AAAIAIdO4kAkIuzfugEAAF8DAAAOAAAAAAAAAAEAIAAAACQBAABkcnMvZTJvRG9jLnhtbFBLBQYA&#10;AAAABgAGAFkBAABQBQAAAAA=&#10;">
                <v:fill on="f" focussize="0,0"/>
                <v:stroke on="f"/>
                <v:imagedata o:title=""/>
                <o:lock v:ext="edit" aspectratio="f"/>
                <v:textbox>
                  <w:txbxContent>
                    <w:p w14:paraId="557BBEA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核实费用索赔报告的限制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43660D65">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74.7  </w:t>
      </w:r>
      <w:r>
        <w:rPr>
          <w:rFonts w:hint="eastAsia" w:ascii="宋体" w:hAnsi="宋体" w:eastAsia="宋体" w:cs="宋体"/>
          <w:b/>
          <w:bCs/>
          <w:color w:val="auto"/>
          <w:kern w:val="2"/>
          <w:sz w:val="22"/>
          <w:szCs w:val="22"/>
          <w:highlight w:val="none"/>
          <w:u w:val="dotted"/>
          <w:lang w:val="en-US" w:eastAsia="zh-CN" w:bidi="ar-SA"/>
        </w:rPr>
        <w:t xml:space="preserve">                                                                                       </w:t>
      </w:r>
    </w:p>
    <w:p w14:paraId="40D70F1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26" name="文本框 316"/>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14:paraId="669B912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wps:txbx>
                      <wps:bodyPr wrap="square" upright="1"/>
                    </wps:wsp>
                  </a:graphicData>
                </a:graphic>
              </wp:anchor>
            </w:drawing>
          </mc:Choice>
          <mc:Fallback>
            <w:pict>
              <v:shape id="文本框 316" o:spid="_x0000_s1026" o:spt="202" type="#_x0000_t202" style="position:absolute;left:0pt;margin-left:-9pt;margin-top:3.05pt;height:27.55pt;width:63pt;z-index:251979776;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rekmnTAAAACAEAAA8AAAAAAAAAAQAgAAAAIgAAAGRycy9kb3ducmV2LnhtbFBLAQIUABQAAAAI&#10;AIdO4kBKyasMuQEAAF8DAAAOAAAAAAAAAAEAIAAAACIBAABkcnMvZTJvRG9jLnhtbFBLBQYAAAAA&#10;BgAGAFkBAABNBQAAAAA=&#10;">
                <v:fill on="f" focussize="0,0"/>
                <v:stroke on="f"/>
                <v:imagedata o:title=""/>
                <o:lock v:ext="edit" aspectratio="f"/>
                <v:textbox>
                  <w:txbxContent>
                    <w:p w14:paraId="669B912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反索赔</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承包人未能按照合同约定履行各项义务或发生错误，给发包人造成损失，发包人可按照本条规定的时限和要求向承包人提出索赔。</w:t>
      </w:r>
    </w:p>
    <w:p w14:paraId="6A5CA07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74.8  </w:t>
      </w:r>
      <w:r>
        <w:rPr>
          <w:rFonts w:hint="eastAsia" w:ascii="宋体" w:hAnsi="宋体" w:eastAsia="宋体" w:cs="宋体"/>
          <w:b/>
          <w:bCs/>
          <w:color w:val="auto"/>
          <w:kern w:val="2"/>
          <w:sz w:val="22"/>
          <w:szCs w:val="22"/>
          <w:highlight w:val="none"/>
          <w:u w:val="dotted"/>
          <w:lang w:val="en-US" w:eastAsia="zh-CN" w:bidi="ar-SA"/>
        </w:rPr>
        <w:t xml:space="preserve">                                                                                      </w:t>
      </w:r>
    </w:p>
    <w:p w14:paraId="13EA1F4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27" name="文本框 317"/>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14:paraId="09E81D4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wps:txbx>
                      <wps:bodyPr wrap="square" upright="1"/>
                    </wps:wsp>
                  </a:graphicData>
                </a:graphic>
              </wp:anchor>
            </w:drawing>
          </mc:Choice>
          <mc:Fallback>
            <w:pict>
              <v:shape id="文本框 317" o:spid="_x0000_s1026" o:spt="202" type="#_x0000_t202" style="position:absolute;left:0pt;margin-left:-9pt;margin-top:1.45pt;height:49pt;width:72pt;z-index:251980800;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uumvWAAAACQEAAA8AAAAAAAAAAQAgAAAAIgAAAGRycy9kb3ducmV2LnhtbFBLAQIUABQA&#10;AAAIAIdO4kA+sy7/uQEAAF8DAAAOAAAAAAAAAAEAIAAAACUBAABkcnMvZTJvRG9jLnhtbFBLBQYA&#10;AAAABgAGAFkBAABQBQAAAAA=&#10;">
                <v:fill on="f" focussize="0,0"/>
                <v:stroke on="f"/>
                <v:imagedata o:title=""/>
                <o:lock v:ext="edit" aspectratio="f"/>
                <v:textbox>
                  <w:txbxContent>
                    <w:p w14:paraId="09E81D4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费用索赔报告被认可，则表明该事件已索赔成功，合同双方当事人应确认由此引起调整的合同价款，并作为追加（减）合同价款，与工程进度款或结算款同期支付。</w:t>
      </w:r>
    </w:p>
    <w:p w14:paraId="7C393C35">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3834CEC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3" w:name="_Toc469384059"/>
      <w:bookmarkStart w:id="544" w:name="_Toc10624899"/>
      <w:r>
        <w:rPr>
          <w:rFonts w:hint="eastAsia" w:ascii="黑体" w:hAnsi="黑体" w:eastAsia="黑体" w:cs="黑体"/>
          <w:b w:val="0"/>
          <w:bCs/>
          <w:color w:val="auto"/>
          <w:kern w:val="0"/>
          <w:sz w:val="24"/>
          <w:szCs w:val="24"/>
          <w:highlight w:val="none"/>
          <w:lang w:val="en-US" w:eastAsia="zh-CN" w:bidi="ar-SA"/>
        </w:rPr>
        <w:t>★75  现场签证事件</w:t>
      </w:r>
      <w:bookmarkEnd w:id="543"/>
      <w:bookmarkEnd w:id="544"/>
    </w:p>
    <w:p w14:paraId="528A1547">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75.1 </w:t>
      </w:r>
    </w:p>
    <w:p w14:paraId="7DBDC17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28" name="文本框 31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34986FB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14:paraId="64E7A3BE">
                            <w:pPr>
                              <w:rPr>
                                <w:rFonts w:ascii="Times New Roman" w:hAnsi="Times New Roman" w:cs="Times New Roman"/>
                                <w:szCs w:val="21"/>
                              </w:rPr>
                            </w:pPr>
                          </w:p>
                        </w:txbxContent>
                      </wps:txbx>
                      <wps:bodyPr wrap="square" upright="1"/>
                    </wps:wsp>
                  </a:graphicData>
                </a:graphic>
              </wp:anchor>
            </w:drawing>
          </mc:Choice>
          <mc:Fallback>
            <w:pict>
              <v:shape id="文本框 318"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VuNf7TAAAABwEAAA8AAAAAAAAAAQAgAAAAIgAAAGRycy9kb3ducmV2LnhtbFBLAQIUABQAAAAI&#10;AIdO4kD27++guQEAAF8DAAAOAAAAAAAAAAEAIAAAACIBAABkcnMvZTJvRG9jLnhtbFBLBQYAAAAA&#10;BgAGAFkBAABNBQAAAAA=&#10;">
                <v:fill on="f" focussize="0,0"/>
                <v:stroke on="f"/>
                <v:imagedata o:title=""/>
                <o:lock v:ext="edit" aspectratio="f"/>
                <v:textbox>
                  <w:txbxContent>
                    <w:p w14:paraId="34986FB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现场签证的价款调整</w:t>
                      </w:r>
                    </w:p>
                    <w:p w14:paraId="64E7A3BE">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现场签证是指合同双方当事人就施工过程中涉及的责任事件所作的签认证明。</w:t>
      </w:r>
    </w:p>
    <w:p w14:paraId="15F5D25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合同履行期间，出现现场签证事件的，合同双方当事人应调整合同价款。</w:t>
      </w:r>
    </w:p>
    <w:p w14:paraId="6105EA3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75.2  </w:t>
      </w:r>
      <w:r>
        <w:rPr>
          <w:rFonts w:hint="eastAsia" w:ascii="宋体" w:hAnsi="宋体" w:eastAsia="宋体" w:cs="宋体"/>
          <w:b/>
          <w:bCs/>
          <w:color w:val="auto"/>
          <w:kern w:val="2"/>
          <w:sz w:val="22"/>
          <w:szCs w:val="22"/>
          <w:highlight w:val="none"/>
          <w:u w:val="dotted"/>
          <w:lang w:val="en-US" w:eastAsia="zh-CN" w:bidi="ar-SA"/>
        </w:rPr>
        <w:t xml:space="preserve">                                                                          </w:t>
      </w:r>
    </w:p>
    <w:p w14:paraId="2A4BBB03">
      <w:pPr>
        <w:widowControl w:val="0"/>
        <w:adjustRightInd w:val="0"/>
        <w:snapToGrid w:val="0"/>
        <w:spacing w:line="420" w:lineRule="exact"/>
        <w:ind w:left="1617" w:leftChars="770" w:firstLine="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29" name="文本框 3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3795AA4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14:paraId="5C986574">
                            <w:pPr>
                              <w:rPr>
                                <w:rFonts w:ascii="Times New Roman" w:hAnsi="Times New Roman" w:cs="Times New Roman"/>
                                <w:szCs w:val="21"/>
                              </w:rPr>
                            </w:pPr>
                          </w:p>
                        </w:txbxContent>
                      </wps:txbx>
                      <wps:bodyPr wrap="square" upright="1"/>
                    </wps:wsp>
                  </a:graphicData>
                </a:graphic>
              </wp:anchor>
            </w:drawing>
          </mc:Choice>
          <mc:Fallback>
            <w:pict>
              <v:shape id="文本框 319" o:spid="_x0000_s1026" o:spt="202" type="#_x0000_t202" style="position:absolute;left:0pt;margin-left:-9pt;margin-top:1.45pt;height:40.2pt;width:72pt;z-index:251982848;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GXnnfVAAAACAEAAA8AAAAAAAAAAQAgAAAAIgAAAGRycy9kb3ducmV2LnhtbFBLAQIUABQA&#10;AAAIAIdO4kBp6CQKugEAAF8DAAAOAAAAAAAAAAEAIAAAACQBAABkcnMvZTJvRG9jLnhtbFBLBQYA&#10;AAAABgAGAFkBAABQBQAAAAA=&#10;">
                <v:fill on="f" focussize="0,0"/>
                <v:stroke on="f"/>
                <v:imagedata o:title=""/>
                <o:lock v:ext="edit" aspectratio="f"/>
                <v:textbox>
                  <w:txbxContent>
                    <w:p w14:paraId="3795AA47">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现场签证的提出</w:t>
                      </w:r>
                    </w:p>
                    <w:p w14:paraId="5C986574">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355D6AC0">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75.3  </w:t>
      </w:r>
      <w:r>
        <w:rPr>
          <w:rFonts w:hint="eastAsia" w:ascii="宋体" w:hAnsi="宋体" w:eastAsia="宋体" w:cs="宋体"/>
          <w:b/>
          <w:bCs/>
          <w:color w:val="auto"/>
          <w:kern w:val="2"/>
          <w:sz w:val="22"/>
          <w:szCs w:val="22"/>
          <w:highlight w:val="none"/>
          <w:u w:val="dotted"/>
          <w:lang w:val="en-US" w:eastAsia="zh-CN" w:bidi="ar-SA"/>
        </w:rPr>
        <w:t xml:space="preserve">                                                                          </w:t>
      </w:r>
    </w:p>
    <w:p w14:paraId="0D41EE9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30" name="文本框 3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3119936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14:paraId="5BD769B4">
                            <w:pPr>
                              <w:rPr>
                                <w:rFonts w:ascii="Times New Roman" w:hAnsi="Times New Roman" w:cs="Times New Roman"/>
                                <w:szCs w:val="21"/>
                              </w:rPr>
                            </w:pPr>
                          </w:p>
                        </w:txbxContent>
                      </wps:txbx>
                      <wps:bodyPr wrap="square" upright="1"/>
                    </wps:wsp>
                  </a:graphicData>
                </a:graphic>
              </wp:anchor>
            </w:drawing>
          </mc:Choice>
          <mc:Fallback>
            <w:pict>
              <v:shape id="文本框 320" o:spid="_x0000_s1026" o:spt="202" type="#_x0000_t202" style="position:absolute;left:0pt;margin-left:-9pt;margin-top:0.4pt;height:40.2pt;width:72pt;z-index:251983872;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bjX+0wAAAAcBAAAPAAAAAAAAAAEAIAAAACIAAABkcnMvZG93bnJldi54bWxQSwECFAAUAAAACACH&#10;TuJAY2Oa87cBAABfAwAADgAAAAAAAAABACAAAAAiAQAAZHJzL2Uyb0RvYy54bWxQSwUGAAAAAAYA&#10;BgBZAQAASwUAAAAA&#10;">
                <v:fill on="f" focussize="0,0"/>
                <v:stroke on="f"/>
                <v:imagedata o:title=""/>
                <o:lock v:ext="edit" aspectratio="f"/>
                <v:textbox>
                  <w:txbxContent>
                    <w:p w14:paraId="3119936B">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现场签证报告的确认</w:t>
                      </w:r>
                    </w:p>
                    <w:p w14:paraId="5BD769B4">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14:paraId="20E83AA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75.4  </w:t>
      </w:r>
      <w:r>
        <w:rPr>
          <w:rFonts w:hint="eastAsia" w:ascii="宋体" w:hAnsi="宋体" w:eastAsia="宋体" w:cs="宋体"/>
          <w:b/>
          <w:bCs/>
          <w:color w:val="auto"/>
          <w:kern w:val="2"/>
          <w:sz w:val="22"/>
          <w:szCs w:val="22"/>
          <w:highlight w:val="none"/>
          <w:u w:val="dotted"/>
          <w:lang w:val="en-US" w:eastAsia="zh-CN" w:bidi="ar-SA"/>
        </w:rPr>
        <w:t xml:space="preserve">                                                                          </w:t>
      </w:r>
    </w:p>
    <w:p w14:paraId="77A1905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31" name="文本框 321"/>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655998C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14:paraId="452524A2">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4E99FD62">
                            <w:pPr>
                              <w:rPr>
                                <w:rFonts w:ascii="Times New Roman" w:hAnsi="Times New Roman" w:cs="Times New Roman"/>
                                <w:szCs w:val="21"/>
                              </w:rPr>
                            </w:pPr>
                          </w:p>
                        </w:txbxContent>
                      </wps:txbx>
                      <wps:bodyPr wrap="square" upright="1"/>
                    </wps:wsp>
                  </a:graphicData>
                </a:graphic>
              </wp:anchor>
            </w:drawing>
          </mc:Choice>
          <mc:Fallback>
            <w:pict>
              <v:shape id="文本框 321" o:spid="_x0000_s1026" o:spt="202" type="#_x0000_t202" style="position:absolute;left:0pt;margin-left:-9pt;margin-top:2.7pt;height:37.8pt;width:72pt;z-index:251984896;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zO099UAAAAIAQAADwAAAAAAAAABACAAAAAiAAAAZHJzL2Rvd25yZXYueG1sUEsBAhQAFAAA&#10;AAgAh07iQCaejwi5AQAAXwMAAA4AAAAAAAAAAQAgAAAAJAEAAGRycy9lMm9Eb2MueG1sUEsFBgAA&#10;AAAGAAYAWQEAAE8FAAAAAA==&#10;">
                <v:fill on="f" focussize="0,0"/>
                <v:stroke on="f"/>
                <v:imagedata o:title=""/>
                <o:lock v:ext="edit" aspectratio="f"/>
                <v:textbox>
                  <w:txbxContent>
                    <w:p w14:paraId="655998C6">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现场签证的要求</w:t>
                      </w:r>
                    </w:p>
                    <w:p w14:paraId="452524A2">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4E99FD62">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计日工有相应单价或合同中有适用单价的项目，合同双方当事人仅在现场签证报告中列明完成该类项目所需的人工、材料、工程设备和施工设备机械台班的数量。</w:t>
      </w:r>
    </w:p>
    <w:p w14:paraId="6426B766">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计日工没有相应单价或合同中没有适用单价的项目，合同双方当事人应在现场签证报告中列明完成这类项目所需的人工、材料、工程设备和施工设备机械台班的数量和单价。</w:t>
      </w:r>
    </w:p>
    <w:p w14:paraId="2D5A17C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75.5  </w:t>
      </w:r>
      <w:r>
        <w:rPr>
          <w:rFonts w:hint="eastAsia" w:ascii="宋体" w:hAnsi="宋体" w:eastAsia="宋体" w:cs="宋体"/>
          <w:b/>
          <w:bCs/>
          <w:color w:val="auto"/>
          <w:kern w:val="2"/>
          <w:sz w:val="22"/>
          <w:szCs w:val="22"/>
          <w:highlight w:val="none"/>
          <w:u w:val="dotted"/>
          <w:lang w:val="en-US" w:eastAsia="zh-CN" w:bidi="ar-SA"/>
        </w:rPr>
        <w:t xml:space="preserve">                                                                          </w:t>
      </w:r>
    </w:p>
    <w:p w14:paraId="7716095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32" name="文本框 3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11FFE00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14:paraId="076D772E">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3967CC36">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17A1C27C">
                            <w:pPr>
                              <w:rPr>
                                <w:rFonts w:ascii="Times New Roman" w:hAnsi="Times New Roman" w:cs="Times New Roman"/>
                                <w:szCs w:val="21"/>
                              </w:rPr>
                            </w:pPr>
                          </w:p>
                        </w:txbxContent>
                      </wps:txbx>
                      <wps:bodyPr wrap="square" upright="1"/>
                    </wps:wsp>
                  </a:graphicData>
                </a:graphic>
              </wp:anchor>
            </w:drawing>
          </mc:Choice>
          <mc:Fallback>
            <w:pict>
              <v:shape id="文本框 322"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DGkKMsuQEAAF8DAAAOAAAAAAAAAAEAIAAAACUBAABkcnMvZTJvRG9jLnhtbFBLBQYA&#10;AAAABgAGAFkBAABQBQAAAAA=&#10;">
                <v:fill on="f" focussize="0,0"/>
                <v:stroke on="f"/>
                <v:imagedata o:title=""/>
                <o:lock v:ext="edit" aspectratio="f"/>
                <v:textbox>
                  <w:txbxContent>
                    <w:p w14:paraId="11FFE00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现场签证工作的实施</w:t>
                      </w:r>
                    </w:p>
                    <w:p w14:paraId="076D772E">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3967CC36">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17A1C27C">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承包人应在发包人确认现场签证报告后的48小时内，按照监理工程师发出的工作指令及时组织实施相关工作。否则，由此引起的损失和（或）延误的工期由承包人承担。</w:t>
      </w:r>
    </w:p>
    <w:p w14:paraId="54226A86">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75.6  </w:t>
      </w:r>
      <w:r>
        <w:rPr>
          <w:rFonts w:hint="eastAsia" w:ascii="宋体" w:hAnsi="宋体" w:eastAsia="宋体" w:cs="宋体"/>
          <w:b/>
          <w:bCs/>
          <w:color w:val="auto"/>
          <w:kern w:val="2"/>
          <w:sz w:val="22"/>
          <w:szCs w:val="22"/>
          <w:highlight w:val="none"/>
          <w:u w:val="dotted"/>
          <w:lang w:val="en-US" w:eastAsia="zh-CN" w:bidi="ar-SA"/>
        </w:rPr>
        <w:t xml:space="preserve">                                                                           </w:t>
      </w:r>
    </w:p>
    <w:p w14:paraId="4F48A6D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33" name="文本框 3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79B792A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14:paraId="49E0C6E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14:paraId="68D7B91F">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220AF299">
                            <w:pPr>
                              <w:rPr>
                                <w:rFonts w:ascii="Times New Roman" w:hAnsi="Times New Roman" w:cs="Times New Roman"/>
                                <w:szCs w:val="21"/>
                              </w:rPr>
                            </w:pPr>
                          </w:p>
                        </w:txbxContent>
                      </wps:txbx>
                      <wps:bodyPr wrap="square" upright="1"/>
                    </wps:wsp>
                  </a:graphicData>
                </a:graphic>
              </wp:anchor>
            </w:drawing>
          </mc:Choice>
          <mc:Fallback>
            <w:pict>
              <v:shape id="文本框 323"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BZl2iGuQEAAF8DAAAOAAAAAAAAAAEAIAAAACUBAABkcnMvZTJvRG9jLnhtbFBLBQYA&#10;AAAABgAGAFkBAABQBQAAAAA=&#10;">
                <v:fill on="f" focussize="0,0"/>
                <v:stroke on="f"/>
                <v:imagedata o:title=""/>
                <o:lock v:ext="edit" aspectratio="f"/>
                <v:textbox>
                  <w:txbxContent>
                    <w:p w14:paraId="79B792A1">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现场签证的限制</w:t>
                      </w:r>
                    </w:p>
                    <w:p w14:paraId="49E0C6E9">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p>
                    <w:p w14:paraId="68D7B91F">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220AF299">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合同工程发生现场签证事件，未经发包人签证、确认，承包人便擅自实施相关工作的，除非征得发包人同意，否则发生的费用由承包人承担。</w:t>
      </w:r>
    </w:p>
    <w:p w14:paraId="079F7F8F">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75.7  </w:t>
      </w:r>
      <w:r>
        <w:rPr>
          <w:rFonts w:hint="eastAsia" w:ascii="宋体" w:hAnsi="宋体" w:eastAsia="宋体" w:cs="宋体"/>
          <w:b/>
          <w:bCs/>
          <w:color w:val="auto"/>
          <w:kern w:val="2"/>
          <w:sz w:val="22"/>
          <w:szCs w:val="22"/>
          <w:highlight w:val="none"/>
          <w:u w:val="dotted"/>
          <w:lang w:val="en-US" w:eastAsia="zh-CN" w:bidi="ar-SA"/>
        </w:rPr>
        <w:t xml:space="preserve">                                                                           </w:t>
      </w:r>
    </w:p>
    <w:p w14:paraId="5D5306E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34" name="文本框 3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37C83BB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14:paraId="329843C9">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09C8C02D">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6D2CC533">
                            <w:pPr>
                              <w:rPr>
                                <w:rFonts w:ascii="Times New Roman" w:hAnsi="Times New Roman" w:cs="Times New Roman"/>
                                <w:szCs w:val="21"/>
                              </w:rPr>
                            </w:pPr>
                          </w:p>
                        </w:txbxContent>
                      </wps:txbx>
                      <wps:bodyPr wrap="square" upright="1"/>
                    </wps:wsp>
                  </a:graphicData>
                </a:graphic>
              </wp:anchor>
            </w:drawing>
          </mc:Choice>
          <mc:Fallback>
            <w:pict>
              <v:shape id="文本框 324" o:spid="_x0000_s1026" o:spt="202" type="#_x0000_t202" style="position:absolute;left:0pt;margin-left:-9pt;margin-top:6.1pt;height:37.8pt;width:72pt;z-index:25198796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AGjftkuQEAAF8DAAAOAAAAAAAAAAEAIAAAACUBAABkcnMvZTJvRG9jLnhtbFBLBQYA&#10;AAAABgAGAFkBAABQBQAAAAA=&#10;">
                <v:fill on="f" focussize="0,0"/>
                <v:stroke on="f"/>
                <v:imagedata o:title=""/>
                <o:lock v:ext="edit" aspectratio="f"/>
                <v:textbox>
                  <w:txbxContent>
                    <w:p w14:paraId="37C83BB3">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调整价款的确认与支付</w:t>
                      </w:r>
                    </w:p>
                    <w:p w14:paraId="329843C9">
                      <w:pPr>
                        <w:widowControl w:val="0"/>
                        <w:adjustRightInd w:val="0"/>
                        <w:snapToGrid w:val="0"/>
                        <w:jc w:val="both"/>
                        <w:rPr>
                          <w:rFonts w:ascii="Times New Roman" w:hAnsi="Times New Roman" w:eastAsia="楷体_GB2312" w:cs="Times New Roman"/>
                          <w:b/>
                          <w:bCs/>
                          <w:kern w:val="2"/>
                          <w:sz w:val="18"/>
                          <w:szCs w:val="18"/>
                          <w:lang w:val="en-US" w:eastAsia="zh-CN" w:bidi="ar-SA"/>
                        </w:rPr>
                      </w:pPr>
                    </w:p>
                    <w:p w14:paraId="09C8C02D">
                      <w:pPr>
                        <w:widowControl w:val="0"/>
                        <w:adjustRightInd w:val="0"/>
                        <w:snapToGrid w:val="0"/>
                        <w:spacing w:line="360" w:lineRule="auto"/>
                        <w:jc w:val="both"/>
                        <w:rPr>
                          <w:rFonts w:ascii="Times New Roman" w:hAnsi="Times New Roman" w:eastAsia="楷体_GB2312" w:cs="Times New Roman"/>
                          <w:b/>
                          <w:bCs/>
                          <w:kern w:val="2"/>
                          <w:sz w:val="18"/>
                          <w:szCs w:val="18"/>
                          <w:lang w:val="en-US" w:eastAsia="zh-CN" w:bidi="ar-SA"/>
                        </w:rPr>
                      </w:pPr>
                    </w:p>
                    <w:p w14:paraId="6D2CC533">
                      <w:pPr>
                        <w:rPr>
                          <w:rFonts w:ascii="Times New Roman" w:hAnsi="Times New Roman" w:cs="Times New Roman"/>
                          <w:szCs w:val="21"/>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现场签证工作完成后的48小时内，合同双方当事人应确认由此引起调整的合同价款，并作为追加合同价款，与工程进度款同期支付。</w:t>
      </w:r>
    </w:p>
    <w:p w14:paraId="54089727">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2F8142F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5" w:name="_Toc10624900"/>
      <w:bookmarkStart w:id="546" w:name="_Toc469384060"/>
      <w:r>
        <w:rPr>
          <w:rFonts w:hint="eastAsia" w:ascii="黑体" w:hAnsi="黑体" w:eastAsia="黑体" w:cs="黑体"/>
          <w:b w:val="0"/>
          <w:bCs/>
          <w:color w:val="auto"/>
          <w:kern w:val="0"/>
          <w:sz w:val="24"/>
          <w:szCs w:val="24"/>
          <w:highlight w:val="none"/>
          <w:lang w:val="en-US" w:eastAsia="zh-CN" w:bidi="ar-SA"/>
        </w:rPr>
        <w:t>★76  物价涨落事件</w:t>
      </w:r>
      <w:bookmarkEnd w:id="545"/>
      <w:bookmarkEnd w:id="546"/>
    </w:p>
    <w:p w14:paraId="613F601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35" name="文本框 325"/>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5D647B9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wps:txbx>
                      <wps:bodyPr wrap="square" upright="1"/>
                    </wps:wsp>
                  </a:graphicData>
                </a:graphic>
              </wp:anchor>
            </w:drawing>
          </mc:Choice>
          <mc:Fallback>
            <w:pict>
              <v:shape id="文本框 325" o:spid="_x0000_s1026" o:spt="202" type="#_x0000_t202" style="position:absolute;left:0pt;margin-left:-9pt;margin-top:21.6pt;height:46.55pt;width:72pt;z-index:251988992;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zKqLdcAAAAKAQAADwAAAAAAAAABACAAAAAiAAAAZHJzL2Rvd25yZXYueG1sUEsBAhQA&#10;FAAAAAgAh07iQMvDy4+6AQAAXwMAAA4AAAAAAAAAAQAgAAAAJgEAAGRycy9lMm9Eb2MueG1sUEsF&#10;BgAAAAAGAAYAWQEAAFIFAAAAAA==&#10;">
                <v:fill on="f" focussize="0,0"/>
                <v:stroke on="f"/>
                <v:imagedata o:title=""/>
                <o:lock v:ext="edit" aspectratio="f"/>
                <v:textbox>
                  <w:txbxContent>
                    <w:p w14:paraId="5D647B92">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物价涨落的价款调整</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76.1      </w:t>
      </w:r>
    </w:p>
    <w:p w14:paraId="53FE6F69">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 xml:space="preserve">合同履行期间，除专用合同条款另有约定外，市场价格波动超过合同当事人约定的范围，合同价格应当调整。合同当事人可以在专用条款中约定按通用条款76.3款选择一种方式对合同价格进行调整。 </w:t>
      </w:r>
      <w:r>
        <w:rPr>
          <w:rFonts w:hint="eastAsia" w:ascii="宋体" w:hAnsi="宋体" w:eastAsia="宋体" w:cs="宋体"/>
          <w:color w:val="auto"/>
          <w:kern w:val="2"/>
          <w:sz w:val="22"/>
          <w:szCs w:val="22"/>
          <w:highlight w:val="none"/>
          <w:lang w:val="en-US" w:eastAsia="zh-CN" w:bidi="ar-SA"/>
        </w:rPr>
        <w:t xml:space="preserve">   </w:t>
      </w:r>
    </w:p>
    <w:p w14:paraId="24D9827B">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0016"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36" name="文本框 32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9B9690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wps:txbx>
                      <wps:bodyPr wrap="square" upright="1"/>
                    </wps:wsp>
                  </a:graphicData>
                </a:graphic>
              </wp:anchor>
            </w:drawing>
          </mc:Choice>
          <mc:Fallback>
            <w:pict>
              <v:shape id="文本框 326" o:spid="_x0000_s1026" o:spt="202" type="#_x0000_t202" style="position:absolute;left:0pt;margin-left:-10.5pt;margin-top:19.5pt;height:48.75pt;width:72pt;z-index:251990016;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z62X1wAAAAoBAAAPAAAAAAAAAAEAIAAAACIAAABkcnMvZG93bnJldi54bWxQSwECFAAU&#10;AAAACACHTuJAK3dLmbkBAABfAwAADgAAAAAAAAABACAAAAAmAQAAZHJzL2Uyb0RvYy54bWxQSwUG&#10;AAAAAAYABgBZAQAAUQUAAAAA&#10;">
                <v:fill on="f" focussize="0,0"/>
                <v:stroke on="f"/>
                <v:imagedata o:title=""/>
                <o:lock v:ext="edit" aspectratio="f"/>
                <v:textbox>
                  <w:txbxContent>
                    <w:p w14:paraId="39B9690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人工费的调整方法</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76.2  </w:t>
      </w:r>
      <w:r>
        <w:rPr>
          <w:rFonts w:hint="eastAsia" w:ascii="宋体" w:hAnsi="宋体" w:eastAsia="宋体" w:cs="宋体"/>
          <w:b/>
          <w:bCs/>
          <w:color w:val="auto"/>
          <w:kern w:val="2"/>
          <w:sz w:val="22"/>
          <w:szCs w:val="22"/>
          <w:highlight w:val="none"/>
          <w:u w:val="dotted"/>
          <w:lang w:val="en-US" w:eastAsia="zh-CN" w:bidi="ar-SA"/>
        </w:rPr>
        <w:t xml:space="preserve">                                                                                       </w:t>
      </w:r>
    </w:p>
    <w:p w14:paraId="42FD979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执行第76.3款“第1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0C22B341">
      <w:pPr>
        <w:widowControl w:val="0"/>
        <w:tabs>
          <w:tab w:val="left" w:pos="540"/>
        </w:tabs>
        <w:adjustRightInd w:val="0"/>
        <w:snapToGrid w:val="0"/>
        <w:spacing w:line="420" w:lineRule="exact"/>
        <w:jc w:val="both"/>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b/>
          <w:bCs/>
          <w:color w:val="auto"/>
          <w:kern w:val="2"/>
          <w:sz w:val="22"/>
          <w:szCs w:val="22"/>
          <w:highlight w:val="none"/>
          <w:lang w:val="en-US" w:eastAsia="zh-CN" w:bidi="ar-SA"/>
        </w:rPr>
        <w:t xml:space="preserve">76.3  </w:t>
      </w:r>
      <w:r>
        <w:rPr>
          <w:rFonts w:hint="eastAsia" w:ascii="宋体" w:hAnsi="宋体" w:eastAsia="宋体" w:cs="宋体"/>
          <w:b/>
          <w:bCs/>
          <w:color w:val="auto"/>
          <w:kern w:val="2"/>
          <w:sz w:val="22"/>
          <w:szCs w:val="22"/>
          <w:highlight w:val="none"/>
          <w:u w:val="dotted"/>
          <w:lang w:val="en-US" w:eastAsia="zh-CN" w:bidi="ar-SA"/>
        </w:rPr>
        <w:t xml:space="preserve">                                                                                       </w:t>
      </w:r>
    </w:p>
    <w:p w14:paraId="19E50C9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37" name="文本框 32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14:paraId="7722BFB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wps:txbx>
                      <wps:bodyPr wrap="square" upright="1"/>
                    </wps:wsp>
                  </a:graphicData>
                </a:graphic>
              </wp:anchor>
            </w:drawing>
          </mc:Choice>
          <mc:Fallback>
            <w:pict>
              <v:shape id="文本框 327" o:spid="_x0000_s1026" o:spt="202" type="#_x0000_t202" style="position:absolute;left:0pt;margin-left:-9pt;margin-top:1.25pt;height:79pt;width:72pt;z-index:251991040;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0C7z9YAAAAJAQAADwAAAAAAAAABACAAAAAiAAAAZHJzL2Rvd25yZXYueG1sUEsBAhQAFAAA&#10;AAgAh07iQId5XCK4AQAAYAMAAA4AAAAAAAAAAQAgAAAAJQEAAGRycy9lMm9Eb2MueG1sUEsFBgAA&#10;AAAGAAYAWQEAAE8FAAAAAA==&#10;">
                <v:fill on="f" focussize="0,0"/>
                <v:stroke on="f"/>
                <v:imagedata o:title=""/>
                <o:lock v:ext="edit" aspectratio="f"/>
                <v:textbox>
                  <w:txbxContent>
                    <w:p w14:paraId="7722BFBD">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承包人采购材料和工程设备的材料设备费、施工机械费调 整方法</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第1种方式：采用造价信息进行价格调整。</w:t>
      </w:r>
    </w:p>
    <w:p w14:paraId="3D482FB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62630EF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（1）材料、工程设备价格变化的价款调整按照发包人提供的基准价格，按以下风险范围规定执行:</w:t>
      </w:r>
    </w:p>
    <w:p w14:paraId="652B959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14:paraId="0D25AD2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14:paraId="3B0BF5E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3）承包人在已标价工程量清单或预算书中载明材料单价等于基准价格的：除专用合同条款另有约定外，合同履行期间材料单价涨跌幅以基准价格为基础超过±5%时，其超过部分据实调整。</w:t>
      </w:r>
    </w:p>
    <w:p w14:paraId="0EF6CAC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前述基准价格是指由发包人在招标文件或专用合同条款中给定的材料、工程设备的价格，该价格原则上应当按照省级或行业建设主管部门或其授权的工程造价管理机构发布的信息价编制。</w:t>
      </w:r>
    </w:p>
    <w:p w14:paraId="1696E89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（2）施工机械台班单价或施工机械使用费发生变化超过省级或行业建设主管部门或其授权的工程造价管理机构规定的范围时，按规定调整合同价格。</w:t>
      </w:r>
    </w:p>
    <w:p w14:paraId="1EB7218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第2种方式：专用合同条款约定的其他方式。</w:t>
      </w:r>
    </w:p>
    <w:p w14:paraId="32C35759">
      <w:pPr>
        <w:widowControl w:val="0"/>
        <w:tabs>
          <w:tab w:val="left" w:pos="540"/>
        </w:tabs>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76.4</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6BD30240">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w:t>执行第76.3款“第1种方式：采用造价信息进行价格调整”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2064"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38" name="文本框 328"/>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644C1E7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wps:txbx>
                      <wps:bodyPr wrap="square" upright="1"/>
                    </wps:wsp>
                  </a:graphicData>
                </a:graphic>
              </wp:anchor>
            </w:drawing>
          </mc:Choice>
          <mc:Fallback>
            <w:pict>
              <v:shape id="文本框 328" o:spid="_x0000_s1026" o:spt="202" type="#_x0000_t202" style="position:absolute;left:0pt;margin-left:-5.25pt;margin-top:2.45pt;height:56.05pt;width:72pt;z-index:251992064;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jPssHWAAAACQEAAA8AAAAAAAAAAQAgAAAAIgAAAGRycy9kb3ducmV2LnhtbFBLAQIUABQA&#10;AAAIAIdO4kDLaFIIuQEAAF8DAAAOAAAAAAAAAAEAIAAAACUBAABkcnMvZTJvRG9jLnhtbFBLBQYA&#10;AAAABgAGAFkBAABQBQAAAAA=&#10;">
                <v:fill on="f" focussize="0,0"/>
                <v:stroke on="f"/>
                <v:imagedata o:title=""/>
                <o:lock v:ext="edit" aspectratio="f"/>
                <v:textbox>
                  <w:txbxContent>
                    <w:p w14:paraId="644C1E7A">
                      <w:pPr>
                        <w:widowControl w:val="0"/>
                        <w:spacing w:after="120" w:line="200" w:lineRule="exact"/>
                        <w:jc w:val="both"/>
                        <w:rPr>
                          <w:rFonts w:ascii="楷体_GB2312" w:hAnsi="宋体" w:eastAsia="楷体_GB2312" w:cs="Times New Roman"/>
                          <w:b/>
                          <w:bCs/>
                          <w:color w:val="000000"/>
                          <w:kern w:val="2"/>
                          <w:sz w:val="18"/>
                          <w:szCs w:val="18"/>
                          <w:lang w:val="en-US" w:eastAsia="zh-CN" w:bidi="ar-SA"/>
                        </w:rPr>
                      </w:pPr>
                      <w:r>
                        <w:rPr>
                          <w:rFonts w:hint="eastAsia" w:ascii="楷体_GB2312" w:hAnsi="宋体" w:eastAsia="楷体_GB2312" w:cs="楷体_GB2312"/>
                          <w:b/>
                          <w:bCs/>
                          <w:color w:val="000000"/>
                          <w:kern w:val="2"/>
                          <w:sz w:val="18"/>
                          <w:szCs w:val="18"/>
                          <w:lang w:val="en-US" w:eastAsia="zh-CN" w:bidi="ar-SA"/>
                        </w:rPr>
                        <w:t>承包人采购材料设备的调价限制</w:t>
                      </w:r>
                    </w:p>
                  </w:txbxContent>
                </v:textbox>
              </v:shape>
            </w:pict>
          </mc:Fallback>
        </mc:AlternateContent>
      </w:r>
    </w:p>
    <w:p w14:paraId="2253EF34">
      <w:pPr>
        <w:widowControl w:val="0"/>
        <w:tabs>
          <w:tab w:val="left" w:pos="540"/>
        </w:tabs>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76.5 </w:t>
      </w:r>
      <w:r>
        <w:rPr>
          <w:rFonts w:hint="eastAsia" w:ascii="宋体" w:hAnsi="宋体" w:eastAsia="宋体" w:cs="宋体"/>
          <w:b/>
          <w:bCs/>
          <w:color w:val="auto"/>
          <w:kern w:val="2"/>
          <w:sz w:val="22"/>
          <w:szCs w:val="22"/>
          <w:highlight w:val="none"/>
          <w:u w:val="dotted"/>
          <w:lang w:val="en-US" w:eastAsia="zh-CN" w:bidi="ar-SA"/>
        </w:rPr>
        <w:t xml:space="preserve">                                                                                         </w:t>
      </w:r>
    </w:p>
    <w:p w14:paraId="719211C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39" name="文本框 32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6BEE350">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wps:txbx>
                      <wps:bodyPr wrap="square" upright="1"/>
                    </wps:wsp>
                  </a:graphicData>
                </a:graphic>
              </wp:anchor>
            </w:drawing>
          </mc:Choice>
          <mc:Fallback>
            <w:pict>
              <v:shape id="文本框 329" o:spid="_x0000_s1026" o:spt="202" type="#_x0000_t202" style="position:absolute;left:0pt;margin-left:-9pt;margin-top:1.25pt;height:48.75pt;width:72pt;z-index:25199308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8gMB9UAAAAJAQAADwAAAAAAAAABACAAAAAiAAAAZHJzL2Rvd25yZXYueG1sUEsBAhQAFAAA&#10;AAgAh07iQEtC1y25AQAAXwMAAA4AAAAAAAAAAQAgAAAAJAEAAGRycy9lMm9Eb2MueG1sUEsFBgAA&#10;AAAGAAYAWQEAAE8FAAAAAA==&#10;">
                <v:fill on="f" focussize="0,0"/>
                <v:stroke on="f"/>
                <v:imagedata o:title=""/>
                <o:lock v:ext="edit" aspectratio="f"/>
                <v:textbox>
                  <w:txbxContent>
                    <w:p w14:paraId="36BEE350">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发包人供应材料设备的价款调整</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发包人供应材料和工程设备的，由发包人按照实际变化调整，列入合同工程的工程造价内。</w:t>
      </w:r>
    </w:p>
    <w:p w14:paraId="3EE9B8B9">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2EF6C8E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7" w:name="_Toc10624901"/>
      <w:bookmarkStart w:id="548" w:name="_Toc469384061"/>
      <w:r>
        <w:rPr>
          <w:rFonts w:hint="eastAsia" w:ascii="黑体" w:hAnsi="黑体" w:eastAsia="黑体" w:cs="黑体"/>
          <w:b w:val="0"/>
          <w:bCs/>
          <w:color w:val="auto"/>
          <w:kern w:val="0"/>
          <w:sz w:val="24"/>
          <w:szCs w:val="24"/>
          <w:highlight w:val="none"/>
          <w:lang w:val="en-US" w:eastAsia="zh-CN" w:bidi="ar-SA"/>
        </w:rPr>
        <w:t>★77  合同价款调整程序</w:t>
      </w:r>
      <w:bookmarkEnd w:id="547"/>
      <w:bookmarkEnd w:id="548"/>
    </w:p>
    <w:p w14:paraId="3085512E">
      <w:pPr>
        <w:spacing w:line="420" w:lineRule="exact"/>
        <w:rPr>
          <w:rFonts w:ascii="宋体" w:hAnsi="宋体" w:cs="宋体"/>
          <w:b/>
          <w:bCs/>
          <w:color w:val="auto"/>
          <w:sz w:val="22"/>
          <w:szCs w:val="22"/>
          <w:highlight w:val="none"/>
        </w:rPr>
      </w:pPr>
      <w:r>
        <w:rPr>
          <w:rFonts w:hint="eastAsia" w:ascii="宋体" w:hAnsi="宋体" w:cs="宋体"/>
          <w:b/>
          <w:bCs/>
          <w:color w:val="auto"/>
          <w:sz w:val="22"/>
          <w:szCs w:val="22"/>
          <w:highlight w:val="none"/>
        </w:rPr>
        <w:t>77.1</w:t>
      </w:r>
    </w:p>
    <w:p w14:paraId="2722797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40" name="文本框 33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3F5D4C3F">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wps:txbx>
                      <wps:bodyPr wrap="square" upright="1"/>
                    </wps:wsp>
                  </a:graphicData>
                </a:graphic>
              </wp:anchor>
            </w:drawing>
          </mc:Choice>
          <mc:Fallback>
            <w:pict>
              <v:shape id="文本框 330" o:spid="_x0000_s1026" o:spt="202" type="#_x0000_t202" style="position:absolute;left:0pt;margin-left:-9pt;margin-top:1.25pt;height:54.6pt;width:72pt;z-index:25199411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4+31gAAAAkBAAAPAAAAAAAAAAEAIAAAACIAAABkcnMvZG93bnJldi54bWxQSwECFAAUAAAA&#10;CACHTuJA8ZO3OLcBAABfAwAADgAAAAAAAAABACAAAAAlAQAAZHJzL2Uyb0RvYy54bWxQSwUGAAAA&#10;AAYABgBZAQAATgUAAAAA&#10;">
                <v:fill on="f" focussize="0,0"/>
                <v:stroke on="f"/>
                <v:imagedata o:title=""/>
                <o:lock v:ext="edit" aspectratio="f"/>
                <v:textbox>
                  <w:txbxContent>
                    <w:p w14:paraId="3F5D4C3F">
                      <w:pPr>
                        <w:widowControl w:val="0"/>
                        <w:spacing w:line="200" w:lineRule="exact"/>
                        <w:jc w:val="both"/>
                        <w:rPr>
                          <w:rFonts w:ascii="宋体" w:hAnsi="Times New Roman" w:eastAsia="宋体" w:cs="Times New Roman"/>
                          <w:b/>
                          <w:bCs/>
                          <w:kern w:val="2"/>
                          <w:sz w:val="21"/>
                          <w:szCs w:val="21"/>
                          <w:lang w:val="en-US" w:eastAsia="zh-CN" w:bidi="ar-SA"/>
                        </w:rPr>
                      </w:pPr>
                      <w:r>
                        <w:rPr>
                          <w:rFonts w:hint="eastAsia" w:ascii="楷体_GB2312" w:hAnsi="宋体" w:eastAsia="楷体_GB2312" w:cs="楷体_GB2312"/>
                          <w:b/>
                          <w:bCs/>
                          <w:kern w:val="2"/>
                          <w:sz w:val="18"/>
                          <w:szCs w:val="18"/>
                          <w:lang w:val="en-US" w:eastAsia="zh-CN" w:bidi="ar-SA"/>
                        </w:rPr>
                        <w:t>合同价款调整程序的规定</w:t>
                      </w:r>
                      <w:r>
                        <w:rPr>
                          <w:rFonts w:ascii="楷体_GB2312" w:hAnsi="宋体" w:eastAsia="楷体_GB2312" w:cs="楷体_GB2312"/>
                          <w:b/>
                          <w:bCs/>
                          <w:kern w:val="2"/>
                          <w:sz w:val="18"/>
                          <w:szCs w:val="18"/>
                          <w:lang w:val="en-US" w:eastAsia="zh-CN" w:bidi="ar-SA"/>
                        </w:rPr>
                        <w:t xml:space="preserve">    </w:t>
                      </w:r>
                      <w:r>
                        <w:rPr>
                          <w:rFonts w:ascii="宋体" w:hAnsi="宋体" w:eastAsia="楷体_GB2312" w:cs="宋体"/>
                          <w:b/>
                          <w:bCs/>
                          <w:kern w:val="2"/>
                          <w:sz w:val="21"/>
                          <w:szCs w:val="21"/>
                          <w:lang w:val="en-US" w:eastAsia="zh-CN" w:bidi="ar-SA"/>
                        </w:rPr>
                        <w:t xml:space="preserve">                         </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合同履行期间，出现第68.2款规定调整合同价款事件的，除费用索赔、现场签证事件分别按照第74条、第75条规定程序外，合同双方当事人应按照本条规定程序调整合同价款。</w:t>
      </w:r>
    </w:p>
    <w:p w14:paraId="64583F4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1995136"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41" name="文本框 3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14BC887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14:paraId="094167CD">
                            <w:pPr>
                              <w:widowControl w:val="0"/>
                              <w:spacing w:line="200" w:lineRule="exact"/>
                              <w:jc w:val="both"/>
                              <w:rPr>
                                <w:rFonts w:ascii="宋体" w:hAnsi="宋体" w:eastAsia="宋体" w:cs="Times New Roman"/>
                                <w:b/>
                                <w:bCs/>
                                <w:kern w:val="2"/>
                                <w:sz w:val="18"/>
                                <w:szCs w:val="18"/>
                                <w:lang w:val="en-US" w:eastAsia="zh-CN" w:bidi="ar-SA"/>
                              </w:rPr>
                            </w:pPr>
                          </w:p>
                        </w:txbxContent>
                      </wps:txbx>
                      <wps:bodyPr wrap="square" upright="1"/>
                    </wps:wsp>
                  </a:graphicData>
                </a:graphic>
              </wp:anchor>
            </w:drawing>
          </mc:Choice>
          <mc:Fallback>
            <w:pict>
              <v:shape id="文本框 331" o:spid="_x0000_s1026" o:spt="202" type="#_x0000_t202" style="position:absolute;left:0pt;margin-left:-4.6pt;margin-top:19.4pt;height:48.75pt;width:72pt;z-index:251995136;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C8H/tUAAAAJAQAADwAAAAAAAAABACAAAAAiAAAAZHJzL2Rvd25yZXYueG1sUEsBAhQAFAAA&#10;AAgAh07iQIOYTy+5AQAAXwMAAA4AAAAAAAAAAQAgAAAAJAEAAGRycy9lMm9Eb2MueG1sUEsFBgAA&#10;AAAGAAYAWQEAAE8FAAAAAA==&#10;">
                <v:fill on="f" focussize="0,0"/>
                <v:stroke on="f"/>
                <v:imagedata o:title=""/>
                <o:lock v:ext="edit" aspectratio="f"/>
                <v:textbox>
                  <w:txbxContent>
                    <w:p w14:paraId="14BC887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合同价款调增报告的提出</w:t>
                      </w:r>
                    </w:p>
                    <w:p w14:paraId="094167CD">
                      <w:pPr>
                        <w:widowControl w:val="0"/>
                        <w:spacing w:line="200" w:lineRule="exact"/>
                        <w:jc w:val="both"/>
                        <w:rPr>
                          <w:rFonts w:ascii="宋体" w:hAnsi="宋体" w:eastAsia="宋体" w:cs="Times New Roman"/>
                          <w:b/>
                          <w:bCs/>
                          <w:kern w:val="2"/>
                          <w:sz w:val="18"/>
                          <w:szCs w:val="18"/>
                          <w:lang w:val="en-US" w:eastAsia="zh-CN" w:bidi="ar-SA"/>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77.2 </w:t>
      </w:r>
      <w:r>
        <w:rPr>
          <w:rFonts w:hint="eastAsia" w:ascii="宋体" w:hAnsi="宋体" w:eastAsia="宋体" w:cs="宋体"/>
          <w:b/>
          <w:bCs/>
          <w:color w:val="auto"/>
          <w:kern w:val="2"/>
          <w:sz w:val="22"/>
          <w:szCs w:val="22"/>
          <w:highlight w:val="none"/>
          <w:u w:val="dotted"/>
          <w:lang w:val="en-US" w:eastAsia="zh-CN" w:bidi="ar-SA"/>
        </w:rPr>
        <w:t xml:space="preserve">                                                                               </w:t>
      </w:r>
    </w:p>
    <w:p w14:paraId="496B3BC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44C66785">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77.3 </w:t>
      </w:r>
      <w:r>
        <w:rPr>
          <w:rFonts w:hint="eastAsia" w:ascii="宋体" w:hAnsi="宋体" w:eastAsia="宋体" w:cs="宋体"/>
          <w:color w:val="auto"/>
          <w:kern w:val="2"/>
          <w:sz w:val="22"/>
          <w:szCs w:val="22"/>
          <w:highlight w:val="none"/>
          <w:u w:val="dotted"/>
          <w:lang w:val="en-US" w:eastAsia="zh-CN" w:bidi="ar-SA"/>
        </w:rPr>
        <w:t xml:space="preserve">                                                                              </w:t>
      </w:r>
    </w:p>
    <w:p w14:paraId="48DDE03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42" name="文本框 332"/>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1104E54F">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14:paraId="2321A62A">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wps:txbx>
                      <wps:bodyPr wrap="square" upright="1"/>
                    </wps:wsp>
                  </a:graphicData>
                </a:graphic>
              </wp:anchor>
            </w:drawing>
          </mc:Choice>
          <mc:Fallback>
            <w:pict>
              <v:shape id="文本框 332" o:spid="_x0000_s1026" o:spt="202" type="#_x0000_t202" style="position:absolute;left:0pt;margin-left:-9pt;margin-top:2.7pt;height:39pt;width:81pt;z-index:2519961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PLzFAa5AQAAYAMAAA4AAAAAAAAAAQAgAAAAJAEAAGRycy9lMm9Eb2MueG1sUEsFBgAA&#10;AAAGAAYAWQEAAE8FAAAAAA==&#10;">
                <v:fill on="f" focussize="0,0"/>
                <v:stroke on="f"/>
                <v:imagedata o:title=""/>
                <o:lock v:ext="edit" aspectratio="f"/>
                <v:textbox>
                  <w:txbxContent>
                    <w:p w14:paraId="1104E54F">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调增价款的核</w:t>
                      </w:r>
                    </w:p>
                    <w:p w14:paraId="2321A62A">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00D46FE">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77.4 </w:t>
      </w:r>
      <w:r>
        <w:rPr>
          <w:rFonts w:hint="eastAsia" w:ascii="宋体" w:hAnsi="宋体" w:eastAsia="宋体" w:cs="宋体"/>
          <w:b/>
          <w:bCs/>
          <w:color w:val="auto"/>
          <w:kern w:val="2"/>
          <w:sz w:val="22"/>
          <w:szCs w:val="22"/>
          <w:highlight w:val="none"/>
          <w:u w:val="dotted"/>
          <w:lang w:val="en-US" w:eastAsia="zh-CN" w:bidi="ar-SA"/>
        </w:rPr>
        <w:t xml:space="preserve">                                                                              </w:t>
      </w:r>
    </w:p>
    <w:p w14:paraId="552E338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43" name="文本框 3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459DDEC5">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14:paraId="22C5163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wps:txbx>
                      <wps:bodyPr wrap="square" upright="1"/>
                    </wps:wsp>
                  </a:graphicData>
                </a:graphic>
              </wp:anchor>
            </w:drawing>
          </mc:Choice>
          <mc:Fallback>
            <w:pict>
              <v:shape id="文本框 333" o:spid="_x0000_s1026" o:spt="202" type="#_x0000_t202" style="position:absolute;left:0pt;margin-left:-9pt;margin-top:2.7pt;height:39pt;width:81pt;z-index:25199718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CC2Dma5AQAAYAMAAA4AAAAAAAAAAQAgAAAAJAEAAGRycy9lMm9Eb2MueG1sUEsFBgAA&#10;AAAGAAYAWQEAAE8FAAAAAA==&#10;">
                <v:fill on="f" focussize="0,0"/>
                <v:stroke on="f"/>
                <v:imagedata o:title=""/>
                <o:lock v:ext="edit" aspectratio="f"/>
                <v:textbox>
                  <w:txbxContent>
                    <w:p w14:paraId="459DDEC5">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调增价款的支</w:t>
                      </w:r>
                    </w:p>
                    <w:p w14:paraId="22C5163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经合同双方当事人确认或造价工程师暂定调增的合同价款，作为追加合同价款，与工程进度款或结算款同期支付。</w:t>
      </w:r>
    </w:p>
    <w:p w14:paraId="38A9705D">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77.5 </w:t>
      </w:r>
      <w:r>
        <w:rPr>
          <w:rFonts w:hint="eastAsia" w:ascii="宋体" w:hAnsi="宋体" w:eastAsia="宋体" w:cs="宋体"/>
          <w:b/>
          <w:bCs/>
          <w:color w:val="auto"/>
          <w:kern w:val="2"/>
          <w:sz w:val="22"/>
          <w:szCs w:val="22"/>
          <w:highlight w:val="none"/>
          <w:u w:val="dotted"/>
          <w:lang w:val="en-US" w:eastAsia="zh-CN" w:bidi="ar-SA"/>
        </w:rPr>
        <w:t xml:space="preserve">                                                                               </w:t>
      </w:r>
    </w:p>
    <w:p w14:paraId="4D81161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8208"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44" name="文本框 334"/>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14:paraId="5F187097">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14:paraId="0EA2168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wps:txbx>
                      <wps:bodyPr wrap="square" upright="1"/>
                    </wps:wsp>
                  </a:graphicData>
                </a:graphic>
              </wp:anchor>
            </w:drawing>
          </mc:Choice>
          <mc:Fallback>
            <w:pict>
              <v:shape id="文本框 334" o:spid="_x0000_s1026" o:spt="202" type="#_x0000_t202" style="position:absolute;left:0pt;margin-left:-5.25pt;margin-top:0.45pt;height:39pt;width:90pt;z-index:251998208;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al450wAAAAcBAAAPAAAAAAAAAAEAIAAAACIAAABkcnMvZG93bnJldi54bWxQSwECFAAUAAAACACH&#10;TuJA0EsZtbcBAABgAwAADgAAAAAAAAABACAAAAAiAQAAZHJzL2Uyb0RvYy54bWxQSwUGAAAAAAYA&#10;BgBZAQAASwUAAAAA&#10;">
                <v:fill on="f" focussize="0,0"/>
                <v:stroke on="f"/>
                <v:imagedata o:title=""/>
                <o:lock v:ext="edit" aspectratio="f"/>
                <v:textbox>
                  <w:txbxContent>
                    <w:p w14:paraId="5F187097">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合同价款调减</w:t>
                      </w:r>
                    </w:p>
                    <w:p w14:paraId="0EA21689">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事件的处理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出现合同价款调减事件时，发包人可按照本条规定的时限和要求，向承包人提交合同价款调减报告以及调减的金额，但调减部分金额应按照实际调减金额乘以承包人报价浮动率计算。</w:t>
      </w:r>
    </w:p>
    <w:p w14:paraId="5EDF0423">
      <w:pPr>
        <w:widowControl w:val="0"/>
        <w:adjustRightInd w:val="0"/>
        <w:snapToGrid w:val="0"/>
        <w:spacing w:line="420" w:lineRule="exact"/>
        <w:ind w:left="1491" w:right="-238" w:hanging="1491" w:hangingChars="675"/>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487599D1">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49" w:name="_Toc10624902"/>
      <w:bookmarkStart w:id="550" w:name="_Toc469384062"/>
      <w:r>
        <w:rPr>
          <w:rFonts w:hint="eastAsia" w:ascii="黑体" w:hAnsi="黑体" w:eastAsia="黑体" w:cs="黑体"/>
          <w:b w:val="0"/>
          <w:bCs/>
          <w:color w:val="auto"/>
          <w:kern w:val="0"/>
          <w:sz w:val="24"/>
          <w:szCs w:val="24"/>
          <w:highlight w:val="none"/>
          <w:lang w:val="en-US" w:eastAsia="zh-CN" w:bidi="ar-SA"/>
        </w:rPr>
        <w:t>★78  支付事项</w:t>
      </w:r>
      <w:bookmarkEnd w:id="549"/>
      <w:bookmarkEnd w:id="550"/>
    </w:p>
    <w:p w14:paraId="214366B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78.1   </w:t>
      </w:r>
    </w:p>
    <w:p w14:paraId="146DD33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45" name="文本框 3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14:paraId="6698464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wps:txbx>
                      <wps:bodyPr wrap="square" upright="1"/>
                    </wps:wsp>
                  </a:graphicData>
                </a:graphic>
              </wp:anchor>
            </w:drawing>
          </mc:Choice>
          <mc:Fallback>
            <w:pict>
              <v:shape id="文本框 335" o:spid="_x0000_s1026" o:spt="202" type="#_x0000_t202" style="position:absolute;left:0pt;margin-left:-9pt;margin-top:1.7pt;height:24.75pt;width:90pt;z-index:251999232;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hfTL1QAAAAgBAAAPAAAAAAAAAAEAIAAAACIAAABkcnMvZG93bnJldi54bWxQSwECFAAUAAAA&#10;CACHTuJAIEKSQ7gBAABgAwAADgAAAAAAAAABACAAAAAkAQAAZHJzL2Uyb0RvYy54bWxQSwUGAAAA&#10;AAYABgBZAQAATgUAAAAA&#10;">
                <v:fill on="f" focussize="0,0"/>
                <v:stroke on="f"/>
                <v:imagedata o:title=""/>
                <o:lock v:ext="edit" aspectratio="f"/>
                <v:textbox>
                  <w:txbxContent>
                    <w:p w14:paraId="6698464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支付工程款项</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发包人应按照下列规定向承包人支付工程款及其他各种款项：</w:t>
      </w:r>
    </w:p>
    <w:p w14:paraId="4E40D73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(1)预付款按照第79条的规定支付；</w:t>
      </w:r>
    </w:p>
    <w:p w14:paraId="5CC1A70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绿色施工安全防护费按照第80条规定支付；</w:t>
      </w:r>
    </w:p>
    <w:p w14:paraId="5E5B0D5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(3)进度款按照第81条的规定支付；</w:t>
      </w:r>
    </w:p>
    <w:p w14:paraId="22533F3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(4)结算款按照第83条的规定支付；</w:t>
      </w:r>
    </w:p>
    <w:p w14:paraId="2ACDF55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(5)质量保证金按照第84条的规定支付；</w:t>
      </w:r>
    </w:p>
    <w:p w14:paraId="7ED2106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(6)最终清算款按照第85条的规定支付。</w:t>
      </w:r>
    </w:p>
    <w:p w14:paraId="23E2F8A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78.2  </w:t>
      </w:r>
      <w:r>
        <w:rPr>
          <w:rFonts w:hint="eastAsia" w:ascii="宋体" w:hAnsi="宋体" w:eastAsia="宋体" w:cs="宋体"/>
          <w:b/>
          <w:bCs/>
          <w:color w:val="auto"/>
          <w:kern w:val="2"/>
          <w:sz w:val="22"/>
          <w:szCs w:val="22"/>
          <w:highlight w:val="none"/>
          <w:u w:val="dotted"/>
          <w:lang w:val="en-US" w:eastAsia="zh-CN" w:bidi="ar-SA"/>
        </w:rPr>
        <w:t xml:space="preserve">                                                                                       </w:t>
      </w:r>
    </w:p>
    <w:p w14:paraId="7803F28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46" name="文本框 336"/>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14:paraId="02FB872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wps:txbx>
                      <wps:bodyPr wrap="square" upright="1"/>
                    </wps:wsp>
                  </a:graphicData>
                </a:graphic>
              </wp:anchor>
            </w:drawing>
          </mc:Choice>
          <mc:Fallback>
            <w:pict>
              <v:shape id="文本框 336" o:spid="_x0000_s1026" o:spt="202" type="#_x0000_t202" style="position:absolute;left:0pt;margin-left:-9pt;margin-top:3.45pt;height:31.35pt;width:72pt;z-index:252000256;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Cdo9QAAAAIAQAADwAAAAAAAAABACAAAAAiAAAAZHJzL2Rvd25yZXYueG1sUEsBAhQAFAAA&#10;AAgAh07iQJ5TXGa6AQAAXwMAAA4AAAAAAAAAAQAgAAAAIwEAAGRycy9lMm9Eb2MueG1sUEsFBgAA&#10;AAAGAAYAWQEAAE8FAAAAAA==&#10;">
                <v:fill on="f" focussize="0,0"/>
                <v:stroke on="f"/>
                <v:imagedata o:title=""/>
                <o:lock v:ext="edit" aspectratio="f"/>
                <v:textbox>
                  <w:txbxContent>
                    <w:p w14:paraId="02FB872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延迟支付的利息计算</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4D82B9D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78.3  </w:t>
      </w:r>
      <w:r>
        <w:rPr>
          <w:rFonts w:hint="eastAsia" w:ascii="宋体" w:hAnsi="宋体" w:eastAsia="宋体" w:cs="宋体"/>
          <w:b/>
          <w:bCs/>
          <w:color w:val="auto"/>
          <w:kern w:val="2"/>
          <w:sz w:val="22"/>
          <w:szCs w:val="22"/>
          <w:highlight w:val="none"/>
          <w:u w:val="dotted"/>
          <w:lang w:val="en-US" w:eastAsia="zh-CN" w:bidi="ar-SA"/>
        </w:rPr>
        <w:t xml:space="preserve">                                                                                      </w:t>
      </w:r>
    </w:p>
    <w:p w14:paraId="2432612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47" name="文本框 33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14:paraId="3DDE2C0D">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wps:txbx>
                      <wps:bodyPr wrap="square" upright="1"/>
                    </wps:wsp>
                  </a:graphicData>
                </a:graphic>
              </wp:anchor>
            </w:drawing>
          </mc:Choice>
          <mc:Fallback>
            <w:pict>
              <v:shape id="文本框 337" o:spid="_x0000_s1026" o:spt="202" type="#_x0000_t202" style="position:absolute;left:0pt;margin-left:-9pt;margin-top:0.35pt;height:34.5pt;width:72pt;z-index:252001280;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qru6LUAAAABwEAAA8AAAAAAAAAAQAgAAAAIgAAAGRycy9kb3ducmV2LnhtbFBLAQIUABQA&#10;AAAIAIdO4kBUkP6WuwEAAF8DAAAOAAAAAAAAAAEAIAAAACMBAABkcnMvZTJvRG9jLnhtbFBLBQYA&#10;AAAABgAGAFkBAABQBQAAAAA=&#10;">
                <v:fill on="f" focussize="0,0"/>
                <v:stroke on="f"/>
                <v:imagedata o:title=""/>
                <o:lock v:ext="edit" aspectratio="f"/>
                <v:textbox>
                  <w:txbxContent>
                    <w:p w14:paraId="3DDE2C0D">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承包人提供支付凭证</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40501456">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78.4  </w:t>
      </w:r>
      <w:r>
        <w:rPr>
          <w:rFonts w:hint="eastAsia" w:ascii="宋体" w:hAnsi="宋体" w:eastAsia="宋体" w:cs="宋体"/>
          <w:b/>
          <w:bCs/>
          <w:color w:val="auto"/>
          <w:kern w:val="2"/>
          <w:sz w:val="22"/>
          <w:szCs w:val="22"/>
          <w:highlight w:val="none"/>
          <w:u w:val="dotted"/>
          <w:lang w:val="en-US" w:eastAsia="zh-CN" w:bidi="ar-SA"/>
        </w:rPr>
        <w:t xml:space="preserve">                                                                                      </w:t>
      </w:r>
    </w:p>
    <w:p w14:paraId="75A0884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48" name="文本框 33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14:paraId="1FFD9135">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wps:txbx>
                      <wps:bodyPr wrap="square" upright="1"/>
                    </wps:wsp>
                  </a:graphicData>
                </a:graphic>
              </wp:anchor>
            </w:drawing>
          </mc:Choice>
          <mc:Fallback>
            <w:pict>
              <v:shape id="文本框 338" o:spid="_x0000_s1026" o:spt="202" type="#_x0000_t202" style="position:absolute;left:0pt;margin-left:-9pt;margin-top:1.75pt;height:39.7pt;width:72pt;z-index:252002304;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J7KfVAAAACAEAAA8AAAAAAAAAAQAgAAAAIgAAAGRycy9kb3ducmV2LnhtbFBLAQIUABQA&#10;AAAIAIdO4kCH71kzugEAAF8DAAAOAAAAAAAAAAEAIAAAACQBAABkcnMvZTJvRG9jLnhtbFBLBQYA&#10;AAAABgAGAFkBAABQBQAAAAA=&#10;">
                <v:fill on="f" focussize="0,0"/>
                <v:stroke on="f"/>
                <v:imagedata o:title=""/>
                <o:lock v:ext="edit" aspectratio="f"/>
                <v:textbox>
                  <w:txbxContent>
                    <w:p w14:paraId="1FFD9135">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承包人未按规定支付款项的限制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311560C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（1）立即停止向承包人支付应付的款项；</w:t>
      </w:r>
    </w:p>
    <w:p w14:paraId="397203F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（2）在相应支付期应付的工程款范围内，直接向雇员、分包人和材料设备供应商支付承包人应付的款项。</w:t>
      </w:r>
    </w:p>
    <w:p w14:paraId="7A3AAF8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273D06FA">
      <w:pPr>
        <w:widowControl w:val="0"/>
        <w:adjustRightInd w:val="0"/>
        <w:snapToGrid w:val="0"/>
        <w:spacing w:line="420" w:lineRule="exact"/>
        <w:ind w:right="-238"/>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CC7DDE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1" w:name="_Toc469384063"/>
      <w:bookmarkStart w:id="552" w:name="_Toc10624903"/>
      <w:r>
        <w:rPr>
          <w:rFonts w:hint="eastAsia" w:ascii="黑体" w:hAnsi="黑体" w:eastAsia="黑体" w:cs="黑体"/>
          <w:b w:val="0"/>
          <w:bCs/>
          <w:color w:val="auto"/>
          <w:kern w:val="0"/>
          <w:sz w:val="24"/>
          <w:szCs w:val="24"/>
          <w:highlight w:val="none"/>
          <w:lang w:val="en-US" w:eastAsia="zh-CN" w:bidi="ar-SA"/>
        </w:rPr>
        <w:t>★79  预付款</w:t>
      </w:r>
      <w:bookmarkEnd w:id="551"/>
      <w:bookmarkEnd w:id="552"/>
    </w:p>
    <w:p w14:paraId="6C050E9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49" name="文本框 33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14:paraId="63E08163">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14:paraId="2810B270">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wps:txbx>
                      <wps:bodyPr wrap="square" upright="1"/>
                    </wps:wsp>
                  </a:graphicData>
                </a:graphic>
              </wp:anchor>
            </w:drawing>
          </mc:Choice>
          <mc:Fallback>
            <w:pict>
              <v:shape id="文本框 339" o:spid="_x0000_s1026" o:spt="202" type="#_x0000_t202" style="position:absolute;left:0pt;margin-left:-9pt;margin-top:17.85pt;height:44.15pt;width:108pt;z-index:25200332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ho/39cAAAAKAQAADwAAAAAAAAABACAAAAAiAAAAZHJzL2Rvd25yZXYueG1sUEsBAhQA&#10;FAAAAAgAh07iQKiKd9i6AQAAYAMAAA4AAAAAAAAAAQAgAAAAJgEAAGRycy9lMm9Eb2MueG1sUEsF&#10;BgAAAAAGAAYAWQEAAFIFAAAAAA==&#10;">
                <v:fill on="f" focussize="0,0"/>
                <v:stroke on="f"/>
                <v:imagedata o:title=""/>
                <o:lock v:ext="edit" aspectratio="f"/>
                <v:textbox>
                  <w:txbxContent>
                    <w:p w14:paraId="63E08163">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预付款的约定</w:t>
                      </w:r>
                    </w:p>
                    <w:p w14:paraId="2810B270">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及管理</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79.1      </w:t>
      </w:r>
    </w:p>
    <w:p w14:paraId="6BFC130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除专用条款另有约定外，合同双方当事人应约定预付款，并在专用条款中明确预付款金额、支付办法和抵扣方式。</w:t>
      </w:r>
    </w:p>
    <w:p w14:paraId="4EF6C81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10%，不高于合同价款（扣除暂列金额）的30%。</w:t>
      </w:r>
    </w:p>
    <w:p w14:paraId="301FD44D">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79.2  </w:t>
      </w:r>
      <w:r>
        <w:rPr>
          <w:rFonts w:hint="eastAsia" w:ascii="宋体" w:hAnsi="宋体" w:eastAsia="宋体" w:cs="宋体"/>
          <w:b/>
          <w:bCs/>
          <w:color w:val="auto"/>
          <w:kern w:val="2"/>
          <w:sz w:val="22"/>
          <w:szCs w:val="22"/>
          <w:highlight w:val="none"/>
          <w:u w:val="dotted"/>
          <w:lang w:val="en-US" w:eastAsia="zh-CN" w:bidi="ar-SA"/>
        </w:rPr>
        <w:t xml:space="preserve">                                                                                      </w:t>
      </w:r>
    </w:p>
    <w:p w14:paraId="0DBC47D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50" name="文本框 340"/>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35E4059A">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wps:txbx>
                      <wps:bodyPr wrap="square" upright="1"/>
                    </wps:wsp>
                  </a:graphicData>
                </a:graphic>
              </wp:anchor>
            </w:drawing>
          </mc:Choice>
          <mc:Fallback>
            <w:pict>
              <v:shape id="文本框 340" o:spid="_x0000_s1026" o:spt="202" type="#_x0000_t202" style="position:absolute;left:0pt;margin-left:-9pt;margin-top:1.55pt;height:46.55pt;width:72pt;z-index:252004352;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J4nzk1QAAAAgBAAAPAAAAAAAAAAEAIAAAACIAAABkcnMvZG93bnJldi54bWxQSwECFAAUAAAA&#10;CACHTuJARkqTeLgBAABfAwAADgAAAAAAAAABACAAAAAkAQAAZHJzL2Uyb0RvYy54bWxQSwUGAAAA&#10;AAYABgBZAQAATgUAAAAA&#10;">
                <v:fill on="f" focussize="0,0"/>
                <v:stroke on="f"/>
                <v:imagedata o:title=""/>
                <o:lock v:ext="edit" aspectratio="f"/>
                <v:textbox>
                  <w:txbxContent>
                    <w:p w14:paraId="35E4059A">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预付款支付申请的提交、核实与支付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承包人在完成下列工作后，应按照专用条款约定的期限内向造价工程师提交预付款支付申请，并抄送发包人。</w:t>
      </w:r>
    </w:p>
    <w:p w14:paraId="3AC8D5E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（1）签订本合同；</w:t>
      </w:r>
    </w:p>
    <w:p w14:paraId="30D50FD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（2）按照第28.1款规定提供履约担保；</w:t>
      </w:r>
    </w:p>
    <w:p w14:paraId="02D78FA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（3）向发包人提供与预付款等额的预付款保函的正本。</w:t>
      </w:r>
    </w:p>
    <w:p w14:paraId="491B8F3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造价工程师应对支付申请进行核实，并在收到支付申请后的7天内报发包人确认后向发包人发出支付证书，同时抄送承包人。</w:t>
      </w:r>
    </w:p>
    <w:p w14:paraId="2E15261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发包人在造价工程师签发支付证书后的30天内向承包人支付预付款，并通知造价工程师。</w:t>
      </w:r>
    </w:p>
    <w:p w14:paraId="1EAF2C8D">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79.3  </w:t>
      </w:r>
      <w:r>
        <w:rPr>
          <w:rFonts w:hint="eastAsia" w:ascii="宋体" w:hAnsi="宋体" w:eastAsia="宋体" w:cs="宋体"/>
          <w:b/>
          <w:bCs/>
          <w:color w:val="auto"/>
          <w:kern w:val="2"/>
          <w:sz w:val="22"/>
          <w:szCs w:val="22"/>
          <w:highlight w:val="none"/>
          <w:u w:val="dotted"/>
          <w:lang w:val="en-US" w:eastAsia="zh-CN" w:bidi="ar-SA"/>
        </w:rPr>
        <w:t xml:space="preserve">                                                                                      </w:t>
      </w:r>
    </w:p>
    <w:p w14:paraId="6C185B8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51" name="文本框 341"/>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73B4E601">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wps:txbx>
                      <wps:bodyPr wrap="square" upright="1"/>
                    </wps:wsp>
                  </a:graphicData>
                </a:graphic>
              </wp:anchor>
            </w:drawing>
          </mc:Choice>
          <mc:Fallback>
            <w:pict>
              <v:shape id="文本框 341" o:spid="_x0000_s1026" o:spt="202" type="#_x0000_t202" style="position:absolute;left:0pt;margin-left:-9pt;margin-top:0.85pt;height:31.55pt;width:72pt;z-index:25200537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FndnKLgBAABfAwAADgAAAAAAAAABACAAAAAkAQAAZHJzL2Uyb0RvYy54bWxQSwUGAAAA&#10;AAYABgBZAQAATgUAAAAA&#10;">
                <v:fill on="f" focussize="0,0"/>
                <v:stroke on="f"/>
                <v:imagedata o:title=""/>
                <o:lock v:ext="edit" aspectratio="f"/>
                <v:textbox>
                  <w:txbxContent>
                    <w:p w14:paraId="73B4E601">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没有按时支付预付款的，承包人应在付款期满后的10天向发包人发出要求支付的通知；发包人收到通知后仍不按要求支付，承包人可在发出通知14天后暂停施工。发包人可与承包人协商签订延期支付协议，经承包人同意后可延期支付，承包人有权按照第78.2款规定获得延期支付的利息。发包人承担由此增加的费用和（或）延误的工期，并向承包人支付合理利润。</w:t>
      </w:r>
    </w:p>
    <w:p w14:paraId="1748BFF7">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12F2E9D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52" name="文本框 342"/>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14:paraId="1FDC741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wps:txbx>
                      <wps:bodyPr wrap="square" upright="1"/>
                    </wps:wsp>
                  </a:graphicData>
                </a:graphic>
              </wp:anchor>
            </w:drawing>
          </mc:Choice>
          <mc:Fallback>
            <w:pict>
              <v:shape id="文本框 342" o:spid="_x0000_s1026" o:spt="202" type="#_x0000_t202" style="position:absolute;left:0pt;margin-left:-9pt;margin-top:3.65pt;height:23.95pt;width:81pt;z-index:252006400;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xF3HWAAAACAEAAA8AAAAAAAAAAQAgAAAAIgAAAGRycy9kb3ducmV2LnhtbFBLAQIUABQA&#10;AAAIAIdO4kCLEWDDuQEAAGADAAAOAAAAAAAAAAEAIAAAACUBAABkcnMvZTJvRG9jLnhtbFBLBQYA&#10;AAAABgAGAFkBAABQBQAAAAA=&#10;">
                <v:fill on="f" focussize="0,0"/>
                <v:stroke on="f"/>
                <v:imagedata o:title=""/>
                <o:lock v:ext="edit" aspectratio="f"/>
                <v:textbox>
                  <w:txbxContent>
                    <w:p w14:paraId="1FDC741E">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预付款的扣回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61CA7C64">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79.5  </w:t>
      </w:r>
      <w:r>
        <w:rPr>
          <w:rFonts w:hint="eastAsia" w:ascii="宋体" w:hAnsi="宋体" w:eastAsia="宋体" w:cs="宋体"/>
          <w:b/>
          <w:bCs/>
          <w:color w:val="auto"/>
          <w:kern w:val="2"/>
          <w:sz w:val="22"/>
          <w:szCs w:val="22"/>
          <w:highlight w:val="none"/>
          <w:u w:val="dotted"/>
          <w:lang w:val="en-US" w:eastAsia="zh-CN" w:bidi="ar-SA"/>
        </w:rPr>
        <w:t xml:space="preserve">                                                                                      </w:t>
      </w:r>
    </w:p>
    <w:p w14:paraId="1DF127F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53" name="文本框 343"/>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14:paraId="365613D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wps:txbx>
                      <wps:bodyPr wrap="square" upright="1"/>
                    </wps:wsp>
                  </a:graphicData>
                </a:graphic>
              </wp:anchor>
            </w:drawing>
          </mc:Choice>
          <mc:Fallback>
            <w:pict>
              <v:shape id="文本框 343" o:spid="_x0000_s1026" o:spt="202" type="#_x0000_t202" style="position:absolute;left:0pt;margin-left:-9pt;margin-top:1.05pt;height:32.15pt;width:72pt;z-index:252007424;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FFtdUAAAAIAQAADwAAAAAAAAABACAAAAAiAAAAZHJzL2Rvd25yZXYueG1sUEsBAhQAFAAA&#10;AAgAh07iQGy9G/S5AQAAXwMAAA4AAAAAAAAAAQAgAAAAJAEAAGRycy9lMm9Eb2MueG1sUEsFBgAA&#10;AAAGAAYAWQEAAE8FAAAAAA==&#10;">
                <v:fill on="f" focussize="0,0"/>
                <v:stroke on="f"/>
                <v:imagedata o:title=""/>
                <o:lock v:ext="edit" aspectratio="f"/>
                <v:textbox>
                  <w:txbxContent>
                    <w:p w14:paraId="365613D8">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预付款保函的有效与退还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承包人应保持预付款保函在预付款全部扣回之前一直有效。发包人应在预付款扣完后的14天内将预付款保函退还承包人，并不得向承包人收取预付款的任何利息。</w:t>
      </w:r>
    </w:p>
    <w:p w14:paraId="63AF73E5">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75F2A5F">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3" w:name="_Toc469384064"/>
      <w:bookmarkStart w:id="554" w:name="_Toc10624904"/>
      <w:r>
        <w:rPr>
          <w:rFonts w:hint="eastAsia" w:ascii="黑体" w:hAnsi="黑体" w:eastAsia="黑体" w:cs="黑体"/>
          <w:b w:val="0"/>
          <w:bCs/>
          <w:color w:val="auto"/>
          <w:kern w:val="0"/>
          <w:sz w:val="24"/>
          <w:szCs w:val="24"/>
          <w:highlight w:val="none"/>
          <w:lang w:val="en-US" w:eastAsia="zh-CN" w:bidi="ar-SA"/>
        </w:rPr>
        <w:t>★80  按系数计算的绿色施工安全防护费</w:t>
      </w:r>
      <w:bookmarkEnd w:id="553"/>
      <w:bookmarkEnd w:id="554"/>
    </w:p>
    <w:p w14:paraId="7AA18C0D">
      <w:pPr>
        <w:keepNext/>
        <w:keepLines/>
        <w:widowControl/>
        <w:numPr>
          <w:ilvl w:val="0"/>
          <w:numId w:val="0"/>
        </w:numPr>
        <w:tabs>
          <w:tab w:val="left" w:pos="420"/>
          <w:tab w:val="left" w:pos="1287"/>
        </w:tabs>
        <w:spacing w:before="260" w:after="260" w:line="420" w:lineRule="exact"/>
        <w:jc w:val="left"/>
        <w:outlineLvl w:val="2"/>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80.1      </w:t>
      </w:r>
    </w:p>
    <w:p w14:paraId="13877FB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54" name="文本框 344"/>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14:paraId="5FBD3AF2">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14:paraId="7E80470A">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wps:txbx>
                      <wps:bodyPr wrap="square" upright="1"/>
                    </wps:wsp>
                  </a:graphicData>
                </a:graphic>
              </wp:anchor>
            </w:drawing>
          </mc:Choice>
          <mc:Fallback>
            <w:pict>
              <v:shape id="文本框 344" o:spid="_x0000_s1026" o:spt="202" type="#_x0000_t202" style="position:absolute;left:0pt;margin-left:-9pt;margin-top:1.4pt;height:34.65pt;width:81pt;z-index:252008448;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yIt1AAAAAgBAAAPAAAAAAAAAAEAIAAAACIAAABkcnMvZG93bnJldi54bWxQSwECFAAUAAAA&#10;CACHTuJAXt/6W7kBAABgAwAADgAAAAAAAAABACAAAAAjAQAAZHJzL2Uyb0RvYy54bWxQSwUGAAAA&#10;AAYABgBZAQAATgUAAAAA&#10;">
                <v:fill on="f" focussize="0,0"/>
                <v:stroke on="f"/>
                <v:imagedata o:title=""/>
                <o:lock v:ext="edit" aspectratio="f"/>
                <v:textbox>
                  <w:txbxContent>
                    <w:p w14:paraId="5FBD3AF2">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内容、范围和</w:t>
                      </w:r>
                    </w:p>
                    <w:p w14:paraId="7E80470A">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金额</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约定按系数计算的绿色施工安全防护费的内容、范围和金额，并按照第45条规定实施按系数计算的绿色施工安全防护。除专用条款另有约定外，按系数计算的绿色施工安全防护费的内容和范围，应以现行广东省统一工程计价依据、省市造价管理部门发布管理文件的规定为准。</w:t>
      </w:r>
    </w:p>
    <w:p w14:paraId="6B93ABE6">
      <w:pPr>
        <w:widowControl w:val="0"/>
        <w:adjustRightInd w:val="0"/>
        <w:snapToGrid w:val="0"/>
        <w:spacing w:line="420" w:lineRule="exact"/>
        <w:jc w:val="both"/>
        <w:rPr>
          <w:rFonts w:ascii="宋体" w:hAnsi="宋体" w:eastAsia="宋体" w:cs="宋体"/>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80.2  </w:t>
      </w:r>
      <w:r>
        <w:rPr>
          <w:rFonts w:hint="eastAsia" w:ascii="宋体" w:hAnsi="宋体" w:eastAsia="宋体" w:cs="宋体"/>
          <w:color w:val="auto"/>
          <w:kern w:val="2"/>
          <w:sz w:val="22"/>
          <w:szCs w:val="22"/>
          <w:highlight w:val="none"/>
          <w:u w:val="dotted"/>
          <w:lang w:val="en-US" w:eastAsia="zh-CN" w:bidi="ar-SA"/>
        </w:rPr>
        <w:t xml:space="preserve">                                                                             </w:t>
      </w:r>
    </w:p>
    <w:p w14:paraId="76D37BB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55" name="文本框 345"/>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14:paraId="356A7F9F">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wps:txbx>
                      <wps:bodyPr wrap="square" upright="1"/>
                    </wps:wsp>
                  </a:graphicData>
                </a:graphic>
              </wp:anchor>
            </w:drawing>
          </mc:Choice>
          <mc:Fallback>
            <w:pict>
              <v:shape id="文本框 345" o:spid="_x0000_s1026" o:spt="202" type="#_x0000_t202" style="position:absolute;left:0pt;margin-left:-9pt;margin-top:2.7pt;height:62.15pt;width:72pt;z-index:252009472;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kXix9YAAAAJAQAADwAAAAAAAAABACAAAAAiAAAAZHJzL2Rvd25yZXYueG1sUEsBAhQA&#10;FAAAAAgAh07iQOqogbG7AQAAXwMAAA4AAAAAAAAAAQAgAAAAJQEAAGRycy9lMm9Eb2MueG1sUEsF&#10;BgAAAAAGAAYAWQEAAFIFAAAAAA==&#10;">
                <v:fill on="f" focussize="0,0"/>
                <v:stroke on="f"/>
                <v:imagedata o:title=""/>
                <o:lock v:ext="edit" aspectratio="f"/>
                <v:textbox>
                  <w:txbxContent>
                    <w:p w14:paraId="356A7F9F">
                      <w:pPr>
                        <w:widowControl w:val="0"/>
                        <w:spacing w:line="200" w:lineRule="exact"/>
                        <w:jc w:val="both"/>
                        <w:rPr>
                          <w:rFonts w:ascii="楷体_GB2312" w:hAnsi="宋体" w:eastAsia="楷体_GB2312" w:cs="Times New Roman"/>
                          <w:b/>
                          <w:bCs/>
                          <w:kern w:val="2"/>
                          <w:sz w:val="18"/>
                          <w:szCs w:val="18"/>
                          <w:lang w:val="en-US" w:eastAsia="zh-CN" w:bidi="ar-SA"/>
                        </w:rPr>
                      </w:pPr>
                      <w:r>
                        <w:rPr>
                          <w:rFonts w:hint="eastAsia" w:ascii="楷体_GB2312" w:hAnsi="宋体" w:eastAsia="楷体_GB2312" w:cs="楷体_GB2312"/>
                          <w:b/>
                          <w:bCs/>
                          <w:kern w:val="2"/>
                          <w:sz w:val="18"/>
                          <w:szCs w:val="18"/>
                          <w:lang w:val="en-US" w:eastAsia="zh-CN" w:bidi="ar-SA"/>
                        </w:rPr>
                        <w:t>支付申请的提交与核实</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专用条款没有约定的，承包人应在接到监理工程师按照第34.2款规定发出开工令后的7天内向造价工程师提交按系数计算的绿色施工安全防护费支付申请，并抄送发包人。造价工程师应对支付申请进行核实，并在收到支付申请后的7天内报发包人确认后向发包人发出支付证书，同时抄送承包人。</w:t>
      </w:r>
    </w:p>
    <w:p w14:paraId="0304CB1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80.3  </w:t>
      </w:r>
      <w:r>
        <w:rPr>
          <w:rFonts w:hint="eastAsia" w:ascii="宋体" w:hAnsi="宋体" w:eastAsia="宋体" w:cs="宋体"/>
          <w:b/>
          <w:bCs/>
          <w:color w:val="auto"/>
          <w:kern w:val="2"/>
          <w:sz w:val="22"/>
          <w:szCs w:val="22"/>
          <w:highlight w:val="none"/>
          <w:u w:val="dotted"/>
          <w:lang w:val="en-US" w:eastAsia="zh-CN" w:bidi="ar-SA"/>
        </w:rPr>
        <w:t xml:space="preserve">                                                                                      </w:t>
      </w:r>
    </w:p>
    <w:p w14:paraId="0CB6525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合同双方当事人应按照建设行政主管部门的规定，在专用条款中约定按系数计算的绿色施工安全防护费的支付办法和抵扣方式。除专用条款另有约定外，</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56" name="文本框 34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14:paraId="26E63145">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346" o:spid="_x0000_s1026" o:spt="202" type="#_x0000_t202" style="position:absolute;left:0pt;margin-left:-9pt;margin-top:5.65pt;height:27.75pt;width:81pt;z-index:252010496;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gtd9UAAAAJAQAADwAAAAAAAAABACAAAAAiAAAAZHJzL2Rvd25yZXYueG1sUEsBAhQAFAAA&#10;AAgAh07iQHqVHUS5AQAAYAMAAA4AAAAAAAAAAQAgAAAAJAEAAGRycy9lMm9Eb2MueG1sUEsFBgAA&#10;AAAGAAYAWQEAAE8FAAAAAA==&#10;">
                <v:fill on="f" focussize="0,0"/>
                <v:stroke on="f"/>
                <v:imagedata o:title=""/>
                <o:lock v:ext="edit" aspectratio="f"/>
                <v:textbox>
                  <w:txbxContent>
                    <w:p w14:paraId="26E63145">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支付证书后的7天内向承包人支付按系数计算的绿色施工安全防护费，并保证在工程开工后的28天内支付按系数计算的绿色施工安全防护费金额的50%，同时通知造价工程师。其余部分与进度款同期支付。</w:t>
      </w:r>
    </w:p>
    <w:p w14:paraId="1CA2DCFE">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80.4  </w:t>
      </w:r>
      <w:r>
        <w:rPr>
          <w:rFonts w:hint="eastAsia" w:ascii="宋体" w:hAnsi="宋体" w:eastAsia="宋体" w:cs="宋体"/>
          <w:b/>
          <w:bCs/>
          <w:color w:val="auto"/>
          <w:kern w:val="2"/>
          <w:sz w:val="22"/>
          <w:szCs w:val="22"/>
          <w:highlight w:val="none"/>
          <w:u w:val="dotted"/>
          <w:lang w:val="en-US" w:eastAsia="zh-CN" w:bidi="ar-SA"/>
        </w:rPr>
        <w:t xml:space="preserve">                                                                                       </w:t>
      </w:r>
    </w:p>
    <w:p w14:paraId="3B15FA10">
      <w:pPr>
        <w:widowControl w:val="0"/>
        <w:adjustRightInd w:val="0"/>
        <w:snapToGrid w:val="0"/>
        <w:spacing w:line="420" w:lineRule="exact"/>
        <w:ind w:left="1619" w:leftChars="771" w:firstLine="0"/>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57" name="文本框 34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14701599">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347" o:spid="_x0000_s1026" o:spt="202" type="#_x0000_t202" style="position:absolute;left:0pt;margin-left:-9pt;margin-top:0.85pt;height:31.55pt;width:72pt;z-index:252011520;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1mo/YLgBAABfAwAADgAAAAAAAAABACAAAAAkAQAAZHJzL2Uyb0RvYy54bWxQSwUGAAAA&#10;AAYABgBZAQAATgUAAAAA&#10;">
                <v:fill on="f" focussize="0,0"/>
                <v:stroke on="f"/>
                <v:imagedata o:title=""/>
                <o:lock v:ext="edit" aspectratio="f"/>
                <v:textbox>
                  <w:txbxContent>
                    <w:p w14:paraId="14701599">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没有按时支付按系数计算的绿色施工安全防护费的，承包人应在付款期满后的10天向发包人发出要求支付的通知；发包人收到通知后仍不按要求支付，承包人可在发出通知14天后暂停施工。发包人应承担由此增加的费用和（或）延误的工期，并向承包人支付合理利润。</w:t>
      </w:r>
    </w:p>
    <w:p w14:paraId="0B2C7E6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80.5  </w:t>
      </w:r>
      <w:r>
        <w:rPr>
          <w:rFonts w:hint="eastAsia" w:ascii="宋体" w:hAnsi="宋体" w:eastAsia="宋体" w:cs="宋体"/>
          <w:b/>
          <w:bCs/>
          <w:color w:val="auto"/>
          <w:kern w:val="2"/>
          <w:sz w:val="22"/>
          <w:szCs w:val="22"/>
          <w:highlight w:val="none"/>
          <w:u w:val="dotted"/>
          <w:lang w:val="en-US" w:eastAsia="zh-CN" w:bidi="ar-SA"/>
        </w:rPr>
        <w:t xml:space="preserve">                                                                                      </w:t>
      </w:r>
    </w:p>
    <w:p w14:paraId="51FED3D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58" name="文本框 348"/>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14:paraId="2C2F8EE0">
                            <w:pPr>
                              <w:spacing w:line="240" w:lineRule="exact"/>
                              <w:rPr>
                                <w:rFonts w:ascii="宋体" w:hAnsi="Calibri" w:cs="Times New Roman"/>
                                <w:szCs w:val="21"/>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348" o:spid="_x0000_s1026" o:spt="202" type="#_x0000_t202" style="position:absolute;left:0pt;margin-left:-9pt;margin-top:0.15pt;height:37.1pt;width:72pt;z-index:252012544;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w1MfVAAAABwEAAA8AAAAAAAAAAQAgAAAAIgAAAGRycy9kb3ducmV2LnhtbFBLAQIUABQA&#10;AAAIAIdO4kDlUplGugEAAF8DAAAOAAAAAAAAAAEAIAAAACQBAABkcnMvZTJvRG9jLnhtbFBLBQYA&#10;AAAABgAGAFkBAABQBQAAAAA=&#10;">
                <v:fill on="f" focussize="0,0"/>
                <v:stroke on="f"/>
                <v:imagedata o:title=""/>
                <o:lock v:ext="edit" aspectratio="f"/>
                <v:textbox>
                  <w:txbxContent>
                    <w:p w14:paraId="2C2F8EE0">
                      <w:pPr>
                        <w:spacing w:line="240" w:lineRule="exact"/>
                        <w:rPr>
                          <w:rFonts w:ascii="宋体" w:hAnsi="Calibri" w:cs="Times New Roman"/>
                          <w:szCs w:val="21"/>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绿色施工安全防护费专款专用，承包人应在财务账目中单独列项备查，不得挪作他用，否则造价工程师有权责令其限期改正；逾期未改正的，可以责令其暂停施工，由此造成的损失和延误的工期由承包人承担。</w:t>
      </w:r>
    </w:p>
    <w:p w14:paraId="1AF72E76">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13568"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59" name="文本框 349"/>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14:paraId="70266DE4">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wps:txbx>
                      <wps:bodyPr wrap="square" upright="1"/>
                    </wps:wsp>
                  </a:graphicData>
                </a:graphic>
              </wp:anchor>
            </w:drawing>
          </mc:Choice>
          <mc:Fallback>
            <w:pict>
              <v:shape id="文本框 349" o:spid="_x0000_s1026" o:spt="202" type="#_x0000_t202" style="position:absolute;left:0pt;margin-left:0pt;margin-top:23.5pt;height:48pt;width:72pt;z-index:252013568;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4YyHtIAAAAHAQAADwAAAAAAAAABACAAAAAiAAAAZHJzL2Rvd25yZXYueG1sUEsBAhQAFAAAAAgA&#10;h07iQL0G/Ou5AQAAXwMAAA4AAAAAAAAAAQAgAAAAIQEAAGRycy9lMm9Eb2MueG1sUEsFBgAAAAAG&#10;AAYAWQEAAEwFAAAAAA==&#10;">
                <v:fill on="f" focussize="0,0"/>
                <v:stroke on="f"/>
                <v:imagedata o:title=""/>
                <o:lock v:ext="edit" aspectratio="f"/>
                <v:textbox>
                  <w:txbxContent>
                    <w:p w14:paraId="70266DE4">
                      <w:pPr>
                        <w:widowControl w:val="0"/>
                        <w:spacing w:after="120" w:line="200" w:lineRule="exact"/>
                        <w:jc w:val="both"/>
                        <w:rPr>
                          <w:rFonts w:ascii="楷体" w:hAnsi="楷体" w:eastAsia="楷体" w:cs="Times New Roman"/>
                          <w:b/>
                          <w:bCs/>
                          <w:kern w:val="2"/>
                          <w:sz w:val="18"/>
                          <w:szCs w:val="18"/>
                          <w:lang w:val="en-US" w:eastAsia="zh-CN" w:bidi="ar-SA"/>
                        </w:rPr>
                      </w:pPr>
                      <w:r>
                        <w:rPr>
                          <w:rFonts w:hint="eastAsia" w:ascii="楷体" w:hAnsi="楷体" w:eastAsia="楷体" w:cs="楷体"/>
                          <w:b/>
                          <w:bCs/>
                          <w:kern w:val="2"/>
                          <w:sz w:val="18"/>
                          <w:szCs w:val="18"/>
                          <w:lang w:val="en-US" w:eastAsia="zh-CN" w:bidi="ar-SA"/>
                        </w:rPr>
                        <w:t>工程</w:t>
                      </w:r>
                      <w:r>
                        <w:rPr>
                          <w:rFonts w:hint="eastAsia" w:ascii="楷体" w:hAnsi="楷体" w:eastAsia="楷体" w:cs="楷体"/>
                          <w:b/>
                          <w:bCs/>
                          <w:caps/>
                          <w:kern w:val="2"/>
                          <w:sz w:val="18"/>
                          <w:szCs w:val="18"/>
                          <w:lang w:val="en-US" w:eastAsia="zh-CN" w:bidi="ar-SA"/>
                        </w:rPr>
                        <w:t>文明工地增加费</w:t>
                      </w:r>
                      <w:r>
                        <w:rPr>
                          <w:rFonts w:hint="eastAsia" w:ascii="楷体" w:hAnsi="楷体" w:eastAsia="楷体" w:cs="楷体"/>
                          <w:b/>
                          <w:bCs/>
                          <w:kern w:val="2"/>
                          <w:sz w:val="18"/>
                          <w:szCs w:val="18"/>
                          <w:lang w:val="en-US" w:eastAsia="zh-CN" w:bidi="ar-SA"/>
                        </w:rPr>
                        <w:t>计提与支付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80.6  </w:t>
      </w:r>
      <w:r>
        <w:rPr>
          <w:rFonts w:hint="eastAsia" w:ascii="宋体" w:hAnsi="宋体" w:eastAsia="宋体" w:cs="宋体"/>
          <w:b/>
          <w:bCs/>
          <w:color w:val="auto"/>
          <w:kern w:val="2"/>
          <w:sz w:val="22"/>
          <w:szCs w:val="22"/>
          <w:highlight w:val="none"/>
          <w:u w:val="dotted"/>
          <w:lang w:val="en-US" w:eastAsia="zh-CN" w:bidi="ar-SA"/>
        </w:rPr>
        <w:t xml:space="preserve">                                                                                 </w:t>
      </w:r>
    </w:p>
    <w:p w14:paraId="41A9C6A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除专用条款另有约定外，获得省、市级或其它级别文明工地的文明工地增加费，招标工程的根据中标通知书日期，非招标工程的根据合同签订日期的同时期执行的广东省建设工程计价依据文明工地增加费、广州市住房和城乡建设局发布的文明工地增加费、广州市建设工程造价管理站发布的文明工地增加费计算。当合同工程同时获得上述多个奖项的，文明工地增加费只按最高奖项的额度计算。文明工地增加费列入竣工结算文件中，与竣工结算款一并支付。在竣工结算后获得奖项的，发包人应在获得奖项后的28天内支付。</w:t>
      </w:r>
    </w:p>
    <w:p w14:paraId="17CE458E">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BBFB9F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5" w:name="_Toc10624905"/>
      <w:bookmarkStart w:id="556" w:name="_Toc469384065"/>
      <w:r>
        <w:rPr>
          <w:rFonts w:hint="eastAsia" w:ascii="黑体" w:hAnsi="黑体" w:eastAsia="黑体" w:cs="黑体"/>
          <w:b w:val="0"/>
          <w:bCs/>
          <w:color w:val="auto"/>
          <w:kern w:val="0"/>
          <w:sz w:val="24"/>
          <w:szCs w:val="24"/>
          <w:highlight w:val="none"/>
          <w:lang w:val="en-US" w:eastAsia="zh-CN" w:bidi="ar-SA"/>
        </w:rPr>
        <w:t>★81  进度款</w:t>
      </w:r>
      <w:bookmarkEnd w:id="555"/>
      <w:bookmarkEnd w:id="556"/>
    </w:p>
    <w:p w14:paraId="2E4462A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81.1</w:t>
      </w:r>
    </w:p>
    <w:p w14:paraId="7DC80AA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60" name="文本框 350"/>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14:paraId="036C9383">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350" o:spid="_x0000_s1026" o:spt="202" type="#_x0000_t202" style="position:absolute;left:0pt;margin-left:-9pt;margin-top:0.65pt;height:54.05pt;width:72pt;z-index:252014592;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VvLv1QAAAAkBAAAPAAAAAAAAAAEAIAAAACIAAABkcnMvZG93bnJldi54bWxQSwECFAAUAAAA&#10;CACHTuJAFxcVhrgBAABfAwAADgAAAAAAAAABACAAAAAkAQAAZHJzL2Uyb0RvYy54bWxQSwUGAAAA&#10;AAYABgBZAQAATgUAAAAA&#10;">
                <v:fill on="f" focussize="0,0"/>
                <v:stroke on="f"/>
                <v:imagedata o:title=""/>
                <o:lock v:ext="edit" aspectratio="f"/>
                <v:textbox>
                  <w:txbxContent>
                    <w:p w14:paraId="036C9383">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合同双方当事人应在专用条款中明确进度款支付期的时限及比例。专用条款没有约定期限的，支付期以月为单位。涉及政府投资资金的工程，支付期、支付方法等需调整的，应在专用条款中约定。</w:t>
      </w:r>
    </w:p>
    <w:p w14:paraId="658881E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5616"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61" name="文本框 351"/>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14:paraId="00D2238B">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14:paraId="47A04A0F">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14:paraId="2E5F809A">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14:paraId="6C411A50">
                            <w:pPr>
                              <w:rPr>
                                <w:rFonts w:ascii="Calibri" w:hAnsi="Calibri" w:eastAsia="楷体_GB2312" w:cs="Times New Roman"/>
                                <w:b/>
                                <w:bCs/>
                                <w:sz w:val="18"/>
                                <w:szCs w:val="18"/>
                              </w:rPr>
                            </w:pPr>
                          </w:p>
                        </w:txbxContent>
                      </wps:txbx>
                      <wps:bodyPr wrap="square" upright="1"/>
                    </wps:wsp>
                  </a:graphicData>
                </a:graphic>
              </wp:anchor>
            </w:drawing>
          </mc:Choice>
          <mc:Fallback>
            <w:pict>
              <v:shape id="文本框 351" o:spid="_x0000_s1026" o:spt="202" type="#_x0000_t202" style="position:absolute;left:0pt;margin-left:-18pt;margin-top:737pt;height:47.05pt;width:111pt;z-index:252015616;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mA4tdcAAAANAQAADwAAAAAAAAABACAAAAAiAAAAZHJzL2Rvd25yZXYueG1sUEsBAhQA&#10;FAAAAAgAh07iQPmWGBu6AQAAYAMAAA4AAAAAAAAAAQAgAAAAJgEAAGRycy9lMm9Eb2MueG1sUEsF&#10;BgAAAAAGAAYAWQEAAFIFAAAAAA==&#10;">
                <v:fill on="f" focussize="0,0"/>
                <v:stroke on="f"/>
                <v:imagedata o:title=""/>
                <o:lock v:ext="edit" aspectratio="f"/>
                <v:textbox>
                  <w:txbxContent>
                    <w:p w14:paraId="00D2238B">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安全文明施工费</w:t>
                      </w:r>
                    </w:p>
                    <w:p w14:paraId="47A04A0F">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支付申请的提交、</w:t>
                      </w:r>
                    </w:p>
                    <w:p w14:paraId="2E5F809A">
                      <w:pPr>
                        <w:spacing w:line="240" w:lineRule="exact"/>
                        <w:rPr>
                          <w:rFonts w:ascii="Calibri" w:hAnsi="Calibri" w:eastAsia="楷体_GB2312" w:cs="Times New Roman"/>
                          <w:b/>
                          <w:bCs/>
                          <w:sz w:val="18"/>
                          <w:szCs w:val="18"/>
                        </w:rPr>
                      </w:pPr>
                      <w:r>
                        <w:rPr>
                          <w:rFonts w:hint="eastAsia" w:ascii="Calibri" w:hAnsi="Calibri" w:eastAsia="楷体_GB2312" w:cs="楷体_GB2312"/>
                          <w:b/>
                          <w:bCs/>
                          <w:sz w:val="18"/>
                          <w:szCs w:val="18"/>
                        </w:rPr>
                        <w:t>核实与支付</w:t>
                      </w:r>
                    </w:p>
                    <w:p w14:paraId="6C411A50">
                      <w:pPr>
                        <w:rPr>
                          <w:rFonts w:ascii="Calibri" w:hAnsi="Calibri" w:eastAsia="楷体_GB2312" w:cs="Times New Roman"/>
                          <w:b/>
                          <w:bCs/>
                          <w:sz w:val="18"/>
                          <w:szCs w:val="18"/>
                        </w:rPr>
                      </w:pP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14:paraId="7096ED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（1）已完工程款；</w:t>
      </w:r>
    </w:p>
    <w:p w14:paraId="656B30F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（2）已实际支付的工程款；</w:t>
      </w:r>
    </w:p>
    <w:p w14:paraId="6590B3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（3）本期间完成的工程款；</w:t>
      </w:r>
    </w:p>
    <w:p w14:paraId="3F6AEEC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（4）本期间完成的计日工费用；</w:t>
      </w:r>
    </w:p>
    <w:p w14:paraId="0153502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（5）本期间应支付的暂列金额价款；</w:t>
      </w:r>
    </w:p>
    <w:p w14:paraId="536D115E">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（6）根据第66条规定本期间应扣除的误期赔偿费；</w:t>
      </w:r>
    </w:p>
    <w:p w14:paraId="06C294E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（7）根据第68条至第76条规定本期间应支付的调整工程款；</w:t>
      </w:r>
    </w:p>
    <w:p w14:paraId="6788135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（8）根据第79条本期间应扣回的预付款；</w:t>
      </w:r>
    </w:p>
    <w:p w14:paraId="3360919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（9）根据第80条规定本期间应支付或扣回的绿色施工安全防护费；</w:t>
      </w:r>
    </w:p>
    <w:p w14:paraId="4277A32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（10）根据第84条本期间应扣留的质量保证金；</w:t>
      </w:r>
    </w:p>
    <w:p w14:paraId="275B44E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（11）根据合同约定，本期间应支付或扣留（回）的其他款项；</w:t>
      </w:r>
    </w:p>
    <w:p w14:paraId="18C8ECD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本期间应支付的工程款。</w:t>
      </w:r>
    </w:p>
    <w:p w14:paraId="11B7BEE6">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81.2 </w:t>
      </w:r>
      <w:r>
        <w:rPr>
          <w:rFonts w:hint="eastAsia" w:ascii="宋体" w:hAnsi="宋体" w:eastAsia="宋体" w:cs="宋体"/>
          <w:b/>
          <w:bCs/>
          <w:color w:val="auto"/>
          <w:kern w:val="2"/>
          <w:sz w:val="22"/>
          <w:szCs w:val="22"/>
          <w:highlight w:val="none"/>
          <w:u w:val="dotted"/>
          <w:lang w:val="en-US" w:eastAsia="zh-CN" w:bidi="ar-SA"/>
        </w:rPr>
        <w:t xml:space="preserve">                                                                                        </w:t>
      </w:r>
    </w:p>
    <w:p w14:paraId="27E45C2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62" name="文本框 352"/>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14:paraId="45CDED28">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352" o:spid="_x0000_s1026" o:spt="202" type="#_x0000_t202" style="position:absolute;left:0pt;margin-left:-9pt;margin-top:0pt;height:52.8pt;width:72pt;z-index:25201664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dhSwnUAAAACAEAAA8AAAAAAAAAAQAgAAAAIgAAAGRycy9kb3ducmV2LnhtbFBLAQIUABQA&#10;AAAIAIdO4kAbeJs4uwEAAF8DAAAOAAAAAAAAAAEAIAAAACMBAABkcnMvZTJvRG9jLnhtbFBLBQYA&#10;AAAABgAGAFkBAABQBQAAAAA=&#10;">
                <v:fill on="f" focussize="0,0"/>
                <v:stroke on="f"/>
                <v:imagedata o:title=""/>
                <o:lock v:ext="edit" aspectratio="f"/>
                <v:textbox>
                  <w:txbxContent>
                    <w:p w14:paraId="45CDED28">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4726CBA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造价工程师签发期中支付证书，不应视为发包人已同意、批准或接受了承包人完成该部分工作。</w:t>
      </w:r>
    </w:p>
    <w:p w14:paraId="14EBE6FC">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81.3  </w:t>
      </w:r>
      <w:r>
        <w:rPr>
          <w:rFonts w:hint="eastAsia" w:ascii="宋体" w:hAnsi="宋体" w:eastAsia="宋体" w:cs="宋体"/>
          <w:b/>
          <w:bCs/>
          <w:color w:val="auto"/>
          <w:kern w:val="2"/>
          <w:sz w:val="22"/>
          <w:szCs w:val="22"/>
          <w:highlight w:val="none"/>
          <w:u w:val="dotted"/>
          <w:lang w:val="en-US" w:eastAsia="zh-CN" w:bidi="ar-SA"/>
        </w:rPr>
        <w:t xml:space="preserve">                                                                                      </w:t>
      </w:r>
    </w:p>
    <w:p w14:paraId="3927A7D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63" name="文本框 353"/>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14:paraId="621F3F48">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353" o:spid="_x0000_s1026" o:spt="202" type="#_x0000_t202" style="position:absolute;left:0pt;margin-left:-9pt;margin-top:0.5pt;height:21.1pt;width:81pt;z-index:25201766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qzLrUAAAACAEAAA8AAAAAAAAAAQAgAAAAIgAAAGRycy9kb3ducmV2LnhtbFBLAQIUABQA&#10;AAAIAIdO4kCpvRqduwEAAGADAAAOAAAAAAAAAAEAIAAAACMBAABkcnMvZTJvRG9jLnhtbFBLBQYA&#10;AAAABgAGAFkBAABQBQAAAAA=&#10;">
                <v:fill on="f" focussize="0,0"/>
                <v:stroke on="f"/>
                <v:imagedata o:title=""/>
                <o:lock v:ext="edit" aspectratio="f"/>
                <v:textbox>
                  <w:txbxContent>
                    <w:p w14:paraId="621F3F48">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发包人应在造价工程师签发期中支付证书后的14天内，按照期中支付证书列明的金额向承包人支付进度款，并通知造价工程师。</w:t>
      </w:r>
    </w:p>
    <w:p w14:paraId="0C1E2D3A">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81.4</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1D61A53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64" name="文本框 35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14:paraId="57BF44CF">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354" o:spid="_x0000_s1026" o:spt="202" type="#_x0000_t202" style="position:absolute;left:0pt;margin-left:-9pt;margin-top:0.65pt;height:51pt;width:72pt;z-index:25201868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33Z8tUAAAAJAQAADwAAAAAAAAABACAAAAAiAAAAZHJzL2Rvd25yZXYueG1sUEsBAhQAFAAA&#10;AAgAh07iQIHP3Rq5AQAAXwMAAA4AAAAAAAAAAQAgAAAAJAEAAGRycy9lMm9Eb2MueG1sUEsFBgAA&#10;AAAGAAYAWQEAAE8FAAAAAA==&#10;">
                <v:fill on="f" focussize="0,0"/>
                <v:stroke on="f"/>
                <v:imagedata o:title=""/>
                <o:lock v:ext="edit" aspectratio="f"/>
                <v:textbox>
                  <w:txbxContent>
                    <w:p w14:paraId="57BF44CF">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14:paraId="5CD17D7C">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81.5  </w:t>
      </w:r>
      <w:r>
        <w:rPr>
          <w:rFonts w:hint="eastAsia" w:ascii="宋体" w:hAnsi="宋体" w:eastAsia="宋体" w:cs="宋体"/>
          <w:b/>
          <w:bCs/>
          <w:color w:val="auto"/>
          <w:kern w:val="2"/>
          <w:sz w:val="22"/>
          <w:szCs w:val="22"/>
          <w:highlight w:val="none"/>
          <w:u w:val="dotted"/>
          <w:lang w:val="en-US" w:eastAsia="zh-CN" w:bidi="ar-SA"/>
        </w:rPr>
        <w:t xml:space="preserve">                                                                                      </w:t>
      </w:r>
    </w:p>
    <w:p w14:paraId="35A54C3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65" name="文本框 355"/>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14:paraId="2F468BE4">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355" o:spid="_x0000_s1026" o:spt="202" type="#_x0000_t202" style="position:absolute;left:0pt;margin-left:-9pt;margin-top:0.95pt;height:50.95pt;width:72pt;z-index:25201971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pjGV7VAAAACQEAAA8AAAAAAAAAAQAgAAAAIgAAAGRycy9kb3ducmV2LnhtbFBLAQIUABQA&#10;AAAIAIdO4kDUrC0pugEAAF8DAAAOAAAAAAAAAAEAIAAAACQBAABkcnMvZTJvRG9jLnhtbFBLBQYA&#10;AAAABgAGAFkBAABQBQAAAAA=&#10;">
                <v:fill on="f" focussize="0,0"/>
                <v:stroke on="f"/>
                <v:imagedata o:title=""/>
                <o:lock v:ext="edit" aspectratio="f"/>
                <v:textbox>
                  <w:txbxContent>
                    <w:p w14:paraId="2F468BE4">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81.3款和第81.4款规定支付进度款的，承包人应及时向发包人发出要求支付的通知；发包人收到通知后仍不按要求支付的，可与承包人协商签订延期支付协议，经承包人同意后可延期支付，承包人有权按照第78.2款规定获得延期支付的利息。</w:t>
      </w:r>
    </w:p>
    <w:p w14:paraId="6B064B0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发包人未按照按照合同约定支付进度款，合同双方当事人又未达成延期支付协议，导致无法施工的，承包人可停止施工。发包人应承担由此增加的费用和（或）延误的工期，并向承包人支付合理利润。</w:t>
      </w:r>
    </w:p>
    <w:p w14:paraId="6075ABFC">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81.6</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243320F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66" name="文本框 356"/>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14:paraId="6ADF83E7">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356" o:spid="_x0000_s1026" o:spt="202" type="#_x0000_t202" style="position:absolute;left:0pt;margin-left:-9pt;margin-top:1.25pt;height:20.95pt;width:81pt;z-index:25202073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nQVMdUAAAAIAQAADwAAAAAAAAABACAAAAAiAAAAZHJzL2Rvd25yZXYueG1sUEsBAhQAFAAA&#10;AAgAh07iQGT3LAO5AQAAYAMAAA4AAAAAAAAAAQAgAAAAJAEAAGRycy9lMm9Eb2MueG1sUEsFBgAA&#10;AAAGAAYAWQEAAE8FAAAAAA==&#10;">
                <v:fill on="f" focussize="0,0"/>
                <v:stroke on="f"/>
                <v:imagedata o:title=""/>
                <o:lock v:ext="edit" aspectratio="f"/>
                <v:textbox>
                  <w:txbxContent>
                    <w:p w14:paraId="6ADF83E7">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0FE00177">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486A39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7" w:name="_Toc10624906"/>
      <w:bookmarkStart w:id="558" w:name="_Toc469384066"/>
      <w:r>
        <w:rPr>
          <w:rFonts w:hint="eastAsia" w:ascii="黑体" w:hAnsi="黑体" w:eastAsia="黑体" w:cs="黑体"/>
          <w:b w:val="0"/>
          <w:bCs/>
          <w:color w:val="auto"/>
          <w:kern w:val="0"/>
          <w:sz w:val="24"/>
          <w:szCs w:val="24"/>
          <w:highlight w:val="none"/>
          <w:lang w:val="en-US" w:eastAsia="zh-CN" w:bidi="ar-SA"/>
        </w:rPr>
        <w:t>★82  竣工结算</w:t>
      </w:r>
      <w:bookmarkEnd w:id="557"/>
      <w:bookmarkEnd w:id="558"/>
    </w:p>
    <w:p w14:paraId="5D20B8EB">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82.1      </w:t>
      </w:r>
    </w:p>
    <w:p w14:paraId="43E7E06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67" name="文本框 3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28C3E1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357" o:spid="_x0000_s1026" o:spt="202" type="#_x0000_t202" style="position:absolute;left:0pt;margin-left:-9pt;margin-top:3.05pt;height:31.2pt;width:72pt;z-index:252021760;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sDBXUAAAACAEAAA8AAAAAAAAAAQAgAAAAIgAAAGRycy9kb3ducmV2LnhtbFBLAQIUABQA&#10;AAAIAIdO4kAS7g4vuwEAAF8DAAAOAAAAAAAAAAEAIAAAACMBAABkcnMvZTJvRG9jLnhtbFBLBQYA&#10;AAAABgAGAFkBAABQBQAAAAA=&#10;">
                <v:fill on="f" focussize="0,0"/>
                <v:stroke on="f"/>
                <v:imagedata o:title=""/>
                <o:lock v:ext="edit" aspectratio="f"/>
                <v:textbox>
                  <w:txbxContent>
                    <w:p w14:paraId="528C3E1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合同双方当事人应按照国家标准《建设工程工程量清单计价规范》（GBGB50500-2013）规定在专用条款中明确办理竣工结算的程序和时限。专用条款没有约定的，竣工结算按照第82.2款至第82.5款规定办理。</w:t>
      </w:r>
    </w:p>
    <w:p w14:paraId="7E2FFFAB">
      <w:pPr>
        <w:spacing w:line="420" w:lineRule="exact"/>
        <w:ind w:left="1760" w:hanging="1760" w:hangingChars="800"/>
        <w:rPr>
          <w:rFonts w:ascii="宋体" w:hAnsi="宋体" w:cs="宋体"/>
          <w:color w:val="auto"/>
          <w:sz w:val="22"/>
          <w:szCs w:val="22"/>
          <w:highlight w:val="none"/>
        </w:rPr>
      </w:pP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lang w:val="en-US" w:eastAsia="zh-CN"/>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67D9FD1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在办理竣工结算期间，发包人按照第78条规定应向承包人支付的工程款及其他款项不停止。</w:t>
      </w:r>
    </w:p>
    <w:p w14:paraId="3CCA45B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82.2  </w:t>
      </w:r>
      <w:r>
        <w:rPr>
          <w:rFonts w:hint="eastAsia" w:ascii="宋体" w:hAnsi="宋体" w:eastAsia="宋体" w:cs="宋体"/>
          <w:b/>
          <w:bCs/>
          <w:color w:val="auto"/>
          <w:kern w:val="2"/>
          <w:sz w:val="22"/>
          <w:szCs w:val="22"/>
          <w:highlight w:val="none"/>
          <w:u w:val="dotted"/>
          <w:lang w:val="en-US" w:eastAsia="zh-CN" w:bidi="ar-SA"/>
        </w:rPr>
        <w:t xml:space="preserve">                                                                                       </w:t>
      </w:r>
    </w:p>
    <w:p w14:paraId="54D0A62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68" name="文本框 358"/>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480F024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358" o:spid="_x0000_s1026" o:spt="202" type="#_x0000_t202" style="position:absolute;left:0pt;margin-left:-9pt;margin-top:1.85pt;height:36.15pt;width:72pt;z-index:252022784;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B/HitUAAAAIAQAADwAAAAAAAAABACAAAAAiAAAAZHJzL2Rvd25yZXYueG1sUEsBAhQAFAAA&#10;AAgAh07iQIAsVIi5AQAAXwMAAA4AAAAAAAAAAQAgAAAAJAEAAGRycy9lMm9Eb2MueG1sUEsFBgAA&#10;AAAGAAYAWQEAAE8FAAAAAA==&#10;">
                <v:fill on="f" focussize="0,0"/>
                <v:stroke on="f"/>
                <v:imagedata o:title=""/>
                <o:lock v:ext="edit" aspectratio="f"/>
                <v:textbox>
                  <w:txbxContent>
                    <w:p w14:paraId="480F024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承包人应在提交竣工验收申请报告前编制完成竣工结算文件，并在提交竣工验收申请报告的同时向造价工程师递交竣工结算文件。竣工结算文件清单由双方在专用条款中约定。</w:t>
      </w:r>
    </w:p>
    <w:p w14:paraId="4880E893">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5184B293">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82.3  </w:t>
      </w:r>
      <w:r>
        <w:rPr>
          <w:rFonts w:hint="eastAsia" w:ascii="宋体" w:hAnsi="宋体" w:eastAsia="宋体" w:cs="宋体"/>
          <w:b/>
          <w:bCs/>
          <w:color w:val="auto"/>
          <w:kern w:val="2"/>
          <w:sz w:val="22"/>
          <w:szCs w:val="22"/>
          <w:highlight w:val="none"/>
          <w:u w:val="dotted"/>
          <w:lang w:val="en-US" w:eastAsia="zh-CN" w:bidi="ar-SA"/>
        </w:rPr>
        <w:t xml:space="preserve">                                                                                       </w:t>
      </w:r>
    </w:p>
    <w:p w14:paraId="2E4E47A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69" name="文本框 359"/>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14:paraId="7B7CE29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359" o:spid="_x0000_s1026" o:spt="202" type="#_x0000_t202" style="position:absolute;left:0pt;margin-left:-9pt;margin-top:3.05pt;height:32.95pt;width:72pt;z-index:252023808;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FCSePVAAAACAEAAA8AAAAAAAAAAQAgAAAAIgAAAGRycy9kb3ducmV2LnhtbFBLAQIUABQA&#10;AAAIAIdO4kC0leMvugEAAF8DAAAOAAAAAAAAAAEAIAAAACQBAABkcnMvZTJvRG9jLnhtbFBLBQYA&#10;AAAABgAGAFkBAABQBQAAAAA=&#10;">
                <v:fill on="f" focussize="0,0"/>
                <v:stroke on="f"/>
                <v:imagedata o:title=""/>
                <o:lock v:ext="edit" aspectratio="f"/>
                <v:textbox>
                  <w:txbxContent>
                    <w:p w14:paraId="7B7CE29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color w:val="auto"/>
          <w:sz w:val="24"/>
          <w:szCs w:val="24"/>
          <w:highlight w:val="none"/>
          <w:lang w:val="en-US" w:eastAsia="zh-CN"/>
        </w:rPr>
        <w:t>造价工程师在收到竣工结算文件后的28天内，不核实竣工结算或未提出核实意见的，视为承包人递交的竣工结算已被认可。</w:t>
      </w:r>
    </w:p>
    <w:p w14:paraId="67D0155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承包人在收到造价工程师提出的核实意见后的28天内，不确认也未提出异议的，视为造价工程师提出的核实意见已被认可，竣工结算办理完毕。</w:t>
      </w:r>
    </w:p>
    <w:p w14:paraId="2A1B4754">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82.4  </w:t>
      </w:r>
      <w:r>
        <w:rPr>
          <w:rFonts w:hint="eastAsia" w:ascii="宋体" w:hAnsi="宋体" w:eastAsia="宋体" w:cs="宋体"/>
          <w:b/>
          <w:bCs/>
          <w:color w:val="auto"/>
          <w:kern w:val="2"/>
          <w:sz w:val="22"/>
          <w:szCs w:val="22"/>
          <w:highlight w:val="none"/>
          <w:u w:val="dotted"/>
          <w:lang w:val="en-US" w:eastAsia="zh-CN" w:bidi="ar-SA"/>
        </w:rPr>
        <w:t xml:space="preserve">                                                                                       </w:t>
      </w:r>
    </w:p>
    <w:p w14:paraId="5C62519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70" name="文本框 360"/>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68EE552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360" o:spid="_x0000_s1026" o:spt="202" type="#_x0000_t202" style="position:absolute;left:0pt;margin-left:-9pt;margin-top:1.25pt;height:56.55pt;width:72pt;z-index:25202483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CIpOQkuQEAAF8DAAAOAAAAAAAAAAEAIAAAACUBAABkcnMvZTJvRG9jLnhtbFBLBQYA&#10;AAAABgAGAFkBAABQBQAAAAA=&#10;">
                <v:fill on="f" focussize="0,0"/>
                <v:stroke on="f"/>
                <v:imagedata o:title=""/>
                <o:lock v:ext="edit" aspectratio="f"/>
                <v:textbox>
                  <w:txbxContent>
                    <w:p w14:paraId="68EE552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造价工程师应在收到承包人按照第82.3款规定再次递交的竣工结算文件后的28天内予以复核，并将复核结果通知承包人、抄报发包人。</w:t>
      </w:r>
    </w:p>
    <w:p w14:paraId="74C1BAF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（1）经复核无误的，除属于第86条规定的争议外，发包人应在7天内在竣工结算文件上签字确认，竣工结算办理完毕。</w:t>
      </w:r>
    </w:p>
    <w:p w14:paraId="049BC4E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（2）经复核认为有误的：无误部分按照本款第(1)点规定办理不完全竣工结算；有误部分由造价工程师与合同双方当事人协商解决，或按照第86条规定处理。</w:t>
      </w:r>
    </w:p>
    <w:p w14:paraId="20A10BDA">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82.5</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99E0B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71" name="文本框 3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286E2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361" o:spid="_x0000_s1026" o:spt="202" type="#_x0000_t202" style="position:absolute;left:0pt;margin-left:-9pt;margin-top:0.45pt;height:31.2pt;width:72pt;z-index:25202585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ApqXVAAAABwEAAA8AAAAAAAAAAQAgAAAAIgAAAGRycy9kb3ducmV2LnhtbFBLAQIUABQA&#10;AAAIAIdO4kB4UCxiugEAAF8DAAAOAAAAAAAAAAEAIAAAACQBAABkcnMvZTJvRG9jLnhtbFBLBQYA&#10;AAAABgAGAFkBAABQBQAAAAA=&#10;">
                <v:fill on="f" focussize="0,0"/>
                <v:stroke on="f"/>
                <v:imagedata o:title=""/>
                <o:lock v:ext="edit" aspectratio="f"/>
                <v:textbox>
                  <w:txbxContent>
                    <w:p w14:paraId="7286E2D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发包人应在已核实无误的竣工结算文件上签名确认，拒不签认的，承包人可不交付竣工工程。</w:t>
      </w:r>
    </w:p>
    <w:p w14:paraId="426E823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承包人未及时递交竣工结算文件的，发包人要求交付竣工工程，承包人应当交付；发包人不要求交付竣工工程，承包人承担照管永久工程责任。</w:t>
      </w:r>
    </w:p>
    <w:p w14:paraId="573AFE77">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3303E9D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59" w:name="_Toc10624907"/>
      <w:bookmarkStart w:id="560" w:name="_Toc469384067"/>
      <w:r>
        <w:rPr>
          <w:rFonts w:hint="eastAsia" w:ascii="黑体" w:hAnsi="黑体" w:eastAsia="黑体" w:cs="黑体"/>
          <w:b w:val="0"/>
          <w:bCs/>
          <w:color w:val="auto"/>
          <w:kern w:val="0"/>
          <w:sz w:val="24"/>
          <w:szCs w:val="24"/>
          <w:highlight w:val="none"/>
          <w:lang w:val="en-US" w:eastAsia="zh-CN" w:bidi="ar-SA"/>
        </w:rPr>
        <w:t>★83  结算款</w:t>
      </w:r>
      <w:bookmarkEnd w:id="559"/>
      <w:bookmarkEnd w:id="560"/>
    </w:p>
    <w:p w14:paraId="02303F42">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83.1 </w:t>
      </w:r>
      <w:r>
        <w:rPr>
          <w:rFonts w:hint="eastAsia" w:ascii="宋体" w:hAnsi="宋体" w:eastAsia="宋体" w:cs="宋体"/>
          <w:color w:val="auto"/>
          <w:kern w:val="2"/>
          <w:sz w:val="22"/>
          <w:szCs w:val="22"/>
          <w:highlight w:val="none"/>
          <w:lang w:val="en-US" w:eastAsia="zh-CN" w:bidi="ar-SA"/>
        </w:rPr>
        <w:t xml:space="preserve"> </w:t>
      </w:r>
    </w:p>
    <w:p w14:paraId="023FB63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72" name="文本框 362"/>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1EF5CF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362" o:spid="_x0000_s1026" o:spt="202" type="#_x0000_t202" style="position:absolute;left:0pt;margin-left:-9pt;margin-top:2.85pt;height:36.15pt;width:72pt;z-index:25202688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Mq/SfVAAAACAEAAA8AAAAAAAAAAQAgAAAAIgAAAGRycy9kb3ducmV2LnhtbFBLAQIUABQA&#10;AAAIAIdO4kBqqcZVugEAAF8DAAAOAAAAAAAAAAEAIAAAACQBAABkcnMvZTJvRG9jLnhtbFBLBQYA&#10;AAAABgAGAFkBAABQBQAAAAA=&#10;">
                <v:fill on="f" focussize="0,0"/>
                <v:stroke on="f"/>
                <v:imagedata o:title=""/>
                <o:lock v:ext="edit" aspectratio="f"/>
                <v:textbox>
                  <w:txbxContent>
                    <w:p w14:paraId="1EF5CF8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合同双方当事人应在专用条款中明确结算款的支付时限。专用条款没有约定的，结算款支付按照第83.2款至第83.5款规定办理。涉及政府投资资金的工程,支付期、支付方法等需调整的，应在专用条款中约定。</w:t>
      </w:r>
    </w:p>
    <w:p w14:paraId="0C6183F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57E79BE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（1）根据合同完成全部或所有工程的总造价；</w:t>
      </w:r>
    </w:p>
    <w:p w14:paraId="18E0137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（2）根据合同约定发包人应付的所有款项。</w:t>
      </w:r>
    </w:p>
    <w:p w14:paraId="2A465ED9">
      <w:pPr>
        <w:widowControl w:val="0"/>
        <w:tabs>
          <w:tab w:val="left" w:pos="2641"/>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lang w:val="en-US" w:eastAsia="zh-CN" w:bidi="ar-SA"/>
        </w:rPr>
        <w:t xml:space="preserve">83.2  </w:t>
      </w:r>
      <w:r>
        <w:rPr>
          <w:rFonts w:hint="eastAsia" w:ascii="宋体" w:hAnsi="宋体" w:eastAsia="宋体" w:cs="宋体"/>
          <w:b/>
          <w:bCs/>
          <w:color w:val="auto"/>
          <w:kern w:val="2"/>
          <w:sz w:val="22"/>
          <w:szCs w:val="22"/>
          <w:highlight w:val="none"/>
          <w:u w:val="dotted"/>
          <w:lang w:val="en-US" w:eastAsia="zh-CN" w:bidi="ar-SA"/>
        </w:rPr>
        <w:t xml:space="preserve">                                                                                       </w:t>
      </w:r>
    </w:p>
    <w:p w14:paraId="37AD27C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73" name="文本框 36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758CDE0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363" o:spid="_x0000_s1026" o:spt="202" type="#_x0000_t202" style="position:absolute;left:0pt;margin-left:-9pt;margin-top:1.25pt;height:56.55pt;width:72pt;z-index:25202790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kIAu1gAAAAkBAAAPAAAAAAAAAAEAIAAAACIAAABkcnMvZG93bnJldi54bWxQSwECFAAU&#10;AAAACACHTuJAaKrIALoBAABfAwAADgAAAAAAAAABACAAAAAlAQAAZHJzL2Uyb0RvYy54bWxQSwUG&#10;AAAAAAYABgBZAQAAUQUAAAAA&#10;">
                <v:fill on="f" focussize="0,0"/>
                <v:stroke on="f"/>
                <v:imagedata o:title=""/>
                <o:lock v:ext="edit" aspectratio="f"/>
                <v:textbox>
                  <w:txbxContent>
                    <w:p w14:paraId="758CDE0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造价工程师在收到上述资料后，应按照第82.3款、第82.4款规定核实竣工结算文件，并在发包人签字确认竣工结算文件后的7天内，向发包人签发竣工结算支付证书，同时抄送承包人。</w:t>
      </w:r>
    </w:p>
    <w:p w14:paraId="24F4C9E9">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83.3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2018C66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74" name="文本框 3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658733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364" o:spid="_x0000_s1026" o:spt="202" type="#_x0000_t202" style="position:absolute;left:0pt;margin-left:-9pt;margin-top:0.45pt;height:31.2pt;width:72pt;z-index:25202892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ApqXVAAAABwEAAA8AAAAAAAAAAQAgAAAAIgAAAGRycy9kb3ducmV2LnhtbFBLAQIUABQA&#10;AAAIAIdO4kBYQ1gOugEAAF8DAAAOAAAAAAAAAAEAIAAAACQBAABkcnMvZTJvRG9jLnhtbFBLBQYA&#10;AAAABgAGAFkBAABQBQAAAAA=&#10;">
                <v:fill on="f" focussize="0,0"/>
                <v:stroke on="f"/>
                <v:imagedata o:title=""/>
                <o:lock v:ext="edit" aspectratio="f"/>
                <v:textbox>
                  <w:txbxContent>
                    <w:p w14:paraId="6658733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发包人应在造价工程师签发竣工结算支付证书后的28天内，按照竣工结算支付证书列明的金额向承包人支付结算款，并通知造价工程师。</w:t>
      </w:r>
    </w:p>
    <w:p w14:paraId="5BA8227E">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83.4  </w:t>
      </w:r>
      <w:r>
        <w:rPr>
          <w:rFonts w:hint="eastAsia" w:ascii="宋体" w:hAnsi="宋体" w:eastAsia="宋体" w:cs="宋体"/>
          <w:b/>
          <w:bCs/>
          <w:color w:val="auto"/>
          <w:kern w:val="2"/>
          <w:sz w:val="22"/>
          <w:szCs w:val="22"/>
          <w:highlight w:val="none"/>
          <w:u w:val="dotted"/>
          <w:lang w:val="en-US" w:eastAsia="zh-CN" w:bidi="ar-SA"/>
        </w:rPr>
        <w:t xml:space="preserve">                                                                                       </w:t>
      </w:r>
    </w:p>
    <w:p w14:paraId="104FD39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29952"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75" name="文本框 365"/>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14:paraId="149C4DE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42F715F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5A79A0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365" o:spid="_x0000_s1026" o:spt="202" type="#_x0000_t202" style="position:absolute;left:0pt;margin-left:-5.25pt;margin-top:0.95pt;height:65.3pt;width:82.5pt;z-index:252029952;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0Gqd1QAAAAkBAAAPAAAAAAAAAAEAIAAAACIAAABkcnMvZG93bnJldi54bWxQSwECFAAU&#10;AAAACACHTuJAhxQMI7sBAABgAwAADgAAAAAAAAABACAAAAAkAQAAZHJzL2Uyb0RvYy54bWxQSwUG&#10;AAAAAAYABgBZAQAAUQUAAAAA&#10;">
                <v:fill on="f" focussize="0,0"/>
                <v:stroke on="f"/>
                <v:imagedata o:title=""/>
                <o:lock v:ext="edit" aspectratio="f"/>
                <v:textbox>
                  <w:txbxContent>
                    <w:p w14:paraId="149C4DE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42F715F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5A79A0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14:paraId="7254D63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83.5  </w:t>
      </w:r>
      <w:r>
        <w:rPr>
          <w:rFonts w:hint="eastAsia" w:ascii="宋体" w:hAnsi="宋体" w:eastAsia="宋体" w:cs="宋体"/>
          <w:b/>
          <w:bCs/>
          <w:color w:val="auto"/>
          <w:kern w:val="2"/>
          <w:sz w:val="22"/>
          <w:szCs w:val="22"/>
          <w:highlight w:val="none"/>
          <w:u w:val="dotted"/>
          <w:lang w:val="en-US" w:eastAsia="zh-CN" w:bidi="ar-SA"/>
        </w:rPr>
        <w:t xml:space="preserve">                                                                                       </w:t>
      </w:r>
    </w:p>
    <w:p w14:paraId="2EEF52A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76" name="文本框 366"/>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14:paraId="3197D8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366" o:spid="_x0000_s1026" o:spt="202" type="#_x0000_t202" style="position:absolute;left:0pt;margin-left:-9pt;margin-top:4.6pt;height:32.1pt;width:72pt;z-index:25203097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yzLj1gAAAAgBAAAPAAAAAAAAAAEAIAAAACIAAABkcnMvZG93bnJldi54bWxQSwECFAAU&#10;AAAACACHTuJAT/+Y/7oBAABfAwAADgAAAAAAAAABACAAAAAlAQAAZHJzL2Uyb0RvYy54bWxQSwUG&#10;AAAAAAYABgBZAQAAUQUAAAAA&#10;">
                <v:fill on="f" focussize="0,0"/>
                <v:stroke on="f"/>
                <v:imagedata o:title=""/>
                <o:lock v:ext="edit" aspectratio="f"/>
                <v:textbox>
                  <w:txbxContent>
                    <w:p w14:paraId="3197D8D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发包人未按照第83.3款和第83.4款规定支付竣工结算款的，承包人可催告发包人支付竣工结算款，如双方达成延期支付协议，承包人有权按照第78.2款规定获得延期支付的利息。</w:t>
      </w:r>
    </w:p>
    <w:p w14:paraId="5D70757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2948E0E">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22674BA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1" w:name="_Toc10624908"/>
      <w:bookmarkStart w:id="562" w:name="_Toc469384068"/>
      <w:r>
        <w:rPr>
          <w:rFonts w:hint="eastAsia" w:ascii="黑体" w:hAnsi="黑体" w:eastAsia="黑体" w:cs="黑体"/>
          <w:b w:val="0"/>
          <w:bCs/>
          <w:color w:val="auto"/>
          <w:kern w:val="0"/>
          <w:sz w:val="24"/>
          <w:szCs w:val="24"/>
          <w:highlight w:val="none"/>
          <w:lang w:val="en-US" w:eastAsia="zh-CN" w:bidi="ar-SA"/>
        </w:rPr>
        <w:t>★84  质量保证金</w:t>
      </w:r>
      <w:bookmarkEnd w:id="561"/>
      <w:bookmarkEnd w:id="562"/>
    </w:p>
    <w:p w14:paraId="278E0E1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84.1     </w:t>
      </w:r>
    </w:p>
    <w:p w14:paraId="588A4F7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77" name="文本框 36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E3EC0F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367" o:spid="_x0000_s1026" o:spt="202" type="#_x0000_t202" style="position:absolute;left:0pt;margin-left:-9pt;margin-top:0.65pt;height:31.2pt;width:72pt;z-index:25203200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t2iW1QAAAAgBAAAPAAAAAAAAAAEAIAAAACIAAABkcnMvZG93bnJldi54bWxQSwECFAAU&#10;AAAACACHTuJAuE10KrsBAABfAwAADgAAAAAAAAABACAAAAAkAQAAZHJzL2Uyb0RvYy54bWxQSwUG&#10;AAAAAAYABgBZAQAAUQUAAAAA&#10;">
                <v:fill on="f" focussize="0,0"/>
                <v:stroke on="f"/>
                <v:imagedata o:title=""/>
                <o:lock v:ext="edit" aspectratio="f"/>
                <v:textbox>
                  <w:txbxContent>
                    <w:p w14:paraId="4E3EC0F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质量保证金用于承包人对合同工程质量的担保。承包人未按照法律有关规定和合同约定履行质量保修义务的，发包人有权从质量保证金中扣留用于质量保修的各项支出。</w:t>
      </w:r>
    </w:p>
    <w:p w14:paraId="48E4A82B">
      <w:pPr>
        <w:widowControl w:val="0"/>
        <w:tabs>
          <w:tab w:val="left" w:pos="90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84.2  </w:t>
      </w:r>
      <w:r>
        <w:rPr>
          <w:rFonts w:hint="eastAsia" w:ascii="宋体" w:hAnsi="宋体" w:eastAsia="宋体" w:cs="宋体"/>
          <w:b/>
          <w:bCs/>
          <w:color w:val="auto"/>
          <w:kern w:val="2"/>
          <w:sz w:val="22"/>
          <w:szCs w:val="22"/>
          <w:highlight w:val="none"/>
          <w:u w:val="dotted"/>
          <w:lang w:val="en-US" w:eastAsia="zh-CN" w:bidi="ar-SA"/>
        </w:rPr>
        <w:t xml:space="preserve">                                                                                      </w:t>
      </w:r>
    </w:p>
    <w:p w14:paraId="1652DFD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合同双方当事人应在专用条款中约定质量保证金金额</w:t>
      </w: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78" name="文本框 36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14:paraId="2F60838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368" o:spid="_x0000_s1026" o:spt="202" type="#_x0000_t202" style="position:absolute;left:0pt;margin-left:-9pt;margin-top:1.6pt;height:40.9pt;width:72pt;z-index:252033024;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JRW8TVAAAACAEAAA8AAAAAAAAAAQAgAAAAIgAAAGRycy9kb3ducmV2LnhtbFBLAQIUABQA&#10;AAAIAIdO4kA5FytZugEAAF8DAAAOAAAAAAAAAAEAIAAAACQBAABkcnMvZTJvRG9jLnhtbFBLBQYA&#10;AAAABgAGAFkBAABQBQAAAAA=&#10;">
                <v:fill on="f" focussize="0,0"/>
                <v:stroke on="f"/>
                <v:imagedata o:title=""/>
                <o:lock v:ext="edit" aspectratio="f"/>
                <v:textbox>
                  <w:txbxContent>
                    <w:p w14:paraId="2F60838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除专用条款另有约定外，质量保证金为合同价款的3％（采取银行保函）。发包人应按照该比例从每支付期应支付给承包人的进度款或结算款中扣留，直到扣留的质量保证金总额达到专用条款约定的的金额为止。</w:t>
      </w:r>
    </w:p>
    <w:p w14:paraId="3744383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84.3  </w:t>
      </w:r>
      <w:r>
        <w:rPr>
          <w:rFonts w:hint="eastAsia" w:ascii="宋体" w:hAnsi="宋体" w:eastAsia="宋体" w:cs="宋体"/>
          <w:b/>
          <w:bCs/>
          <w:color w:val="auto"/>
          <w:kern w:val="2"/>
          <w:sz w:val="22"/>
          <w:szCs w:val="22"/>
          <w:highlight w:val="none"/>
          <w:u w:val="dotted"/>
          <w:lang w:val="en-US" w:eastAsia="zh-CN" w:bidi="ar-SA"/>
        </w:rPr>
        <w:t xml:space="preserve">                                                                                       </w:t>
      </w:r>
    </w:p>
    <w:p w14:paraId="59C35CB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9" name="文本框 36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61FC37A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369"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ARvggDugEAAF8DAAAOAAAAAAAAAAEAIAAAACQBAABkcnMvZTJvRG9jLnhtbFBLBQYA&#10;AAAABgAGAFkBAABQBQAAAAA=&#10;">
                <v:fill on="f" focussize="0,0"/>
                <v:stroke on="f"/>
                <v:imagedata o:title=""/>
                <o:lock v:ext="edit" aspectratio="f"/>
                <v:textbox>
                  <w:txbxContent>
                    <w:p w14:paraId="61FC37A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发包人在退还质量保证金的同时按照中国人民银行发布的同期同类贷款基准利率支付利息。</w:t>
      </w:r>
    </w:p>
    <w:p w14:paraId="47E170B4">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84.4  </w:t>
      </w:r>
      <w:r>
        <w:rPr>
          <w:rFonts w:hint="eastAsia" w:ascii="宋体" w:hAnsi="宋体" w:eastAsia="宋体" w:cs="宋体"/>
          <w:b/>
          <w:bCs/>
          <w:color w:val="auto"/>
          <w:kern w:val="2"/>
          <w:sz w:val="22"/>
          <w:szCs w:val="22"/>
          <w:highlight w:val="none"/>
          <w:u w:val="dotted"/>
          <w:lang w:val="en-US" w:eastAsia="zh-CN" w:bidi="ar-SA"/>
        </w:rPr>
        <w:t xml:space="preserve">                                                                                      </w:t>
      </w:r>
    </w:p>
    <w:p w14:paraId="46EEE7B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80" name="文本框 3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29284B7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370"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V2BW1QAAAAgBAAAPAAAAAAAAAAEAIAAAACIAAABkcnMvZG93bnJldi54bWxQSwECFAAUAAAA&#10;CACHTuJA9d6ZU7gBAABfAwAADgAAAAAAAAABACAAAAAkAQAAZHJzL2Uyb0RvYy54bWxQSwUGAAAA&#10;AAYABgBZAQAATgUAAAAA&#10;">
                <v:fill on="f" focussize="0,0"/>
                <v:stroke on="f"/>
                <v:imagedata o:title=""/>
                <o:lock v:ext="edit" aspectratio="f"/>
                <v:textbox>
                  <w:txbxContent>
                    <w:p w14:paraId="29284B7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14:paraId="1D484F92">
      <w:pPr>
        <w:widowControl w:val="0"/>
        <w:adjustRightInd w:val="0"/>
        <w:snapToGrid w:val="0"/>
        <w:spacing w:line="420" w:lineRule="exact"/>
        <w:ind w:right="-238"/>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26E8D6FE">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3" w:name="_Toc10624909"/>
      <w:r>
        <w:rPr>
          <w:rFonts w:hint="eastAsia" w:ascii="黑体" w:hAnsi="黑体" w:eastAsia="黑体" w:cs="黑体"/>
          <w:b w:val="0"/>
          <w:bCs/>
          <w:color w:val="auto"/>
          <w:kern w:val="0"/>
          <w:sz w:val="24"/>
          <w:szCs w:val="24"/>
          <w:highlight w:val="none"/>
          <w:lang w:val="en-US" w:eastAsia="zh-CN" w:bidi="ar-SA"/>
        </w:rPr>
        <w:t>85  最终清算款</w:t>
      </w:r>
      <w:bookmarkEnd w:id="563"/>
    </w:p>
    <w:p w14:paraId="7672230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85.1     </w:t>
      </w:r>
    </w:p>
    <w:p w14:paraId="2BF714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81" name="文本框 3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37F9B0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371" o:spid="_x0000_s1026" o:spt="202" type="#_x0000_t202" style="position:absolute;left:0pt;margin-left:-9pt;margin-top:5.85pt;height:31.2pt;width:72pt;z-index:25203609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PIgVtYAAAAJAQAADwAAAAAAAAABACAAAAAiAAAAZHJzL2Rvd25yZXYueG1sUEsBAhQA&#10;FAAAAAgAh07iQDwYec67AQAAXwMAAA4AAAAAAAAAAQAgAAAAJQEAAGRycy9lMm9Eb2MueG1sUEsF&#10;BgAAAAAGAAYAWQEAAFIFAAAAAA==&#10;">
                <v:fill on="f" focussize="0,0"/>
                <v:stroke on="f"/>
                <v:imagedata o:title=""/>
                <o:lock v:ext="edit" aspectratio="f"/>
                <v:textbox>
                  <w:txbxContent>
                    <w:p w14:paraId="437F9B0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3E817A02">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41A16E47">
      <w:pPr>
        <w:widowControl w:val="0"/>
        <w:tabs>
          <w:tab w:val="left" w:pos="90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85.2</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3F47675F">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82" name="文本框 372"/>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14:paraId="51B82E1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6453AD97">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372" o:spid="_x0000_s1026" o:spt="202" type="#_x0000_t202" style="position:absolute;left:0pt;margin-left:-9pt;margin-top:0.7pt;height:36.45pt;width:81pt;z-index:252037120;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5Ykz9UAAAAIAQAADwAAAAAAAAABACAAAAAiAAAAZHJzL2Rvd25yZXYueG1sUEsBAhQAFAAA&#10;AAgAh07iQKNxLLC5AQAAYAMAAA4AAAAAAAAAAQAgAAAAJAEAAGRycy9lMm9Eb2MueG1sUEsFBgAA&#10;AAAGAAYAWQEAAE8FAAAAAA==&#10;">
                <v:fill on="f" focussize="0,0"/>
                <v:stroke on="f"/>
                <v:imagedata o:title=""/>
                <o:lock v:ext="edit" aspectratio="f"/>
                <v:textbox>
                  <w:txbxContent>
                    <w:p w14:paraId="51B82E1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6453AD97">
                      <w:pPr>
                        <w:spacing w:line="240" w:lineRule="exact"/>
                        <w:rPr>
                          <w:rFonts w:ascii="宋体" w:hAnsi="Times New Roman"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14:paraId="12E64951">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83" name="文本框 37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231F0832">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373" o:spid="_x0000_s1026" o:spt="202" type="#_x0000_t202" style="position:absolute;left:0pt;margin-left:-9pt;margin-top:18.15pt;height:36.45pt;width:72pt;z-index:252038144;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ljz5nYAAAACgEAAA8AAAAAAAAAAQAgAAAAIgAAAGRycy9kb3ducmV2LnhtbFBLAQIU&#10;ABQAAAAIAIdO4kAV0LV3ugEAAF8DAAAOAAAAAAAAAAEAIAAAACcBAABkcnMvZTJvRG9jLnhtbFBL&#10;BQYAAAAABgAGAFkBAABTBQAAAAA=&#10;">
                <v:fill on="f" focussize="0,0"/>
                <v:stroke on="f"/>
                <v:imagedata o:title=""/>
                <o:lock v:ext="edit" aspectratio="f"/>
                <v:textbox>
                  <w:txbxContent>
                    <w:p w14:paraId="231F0832">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85.3</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68FCEC0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发包人应在造价工程师签发最终清算支付证书后的14 天内，按照最终清算支付证书列明的金额向承包人支付最终清算款，并通知造价工程师。</w:t>
      </w:r>
    </w:p>
    <w:p w14:paraId="50EC271D">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84" name="文本框 3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2A9675CB">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374" o:spid="_x0000_s1026" o:spt="202" type="#_x0000_t202" style="position:absolute;left:0pt;margin-left:-9pt;margin-top:18.45pt;height:36.45pt;width:72pt;z-index:252039168;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97eLYAAAACgEAAA8AAAAAAAAAAQAgAAAAIgAAAGRycy9kb3ducmV2LnhtbFBLAQIU&#10;ABQAAAAIAIdO4kBKyiaVugEAAF8DAAAOAAAAAAAAAAEAIAAAACcBAABkcnMvZTJvRG9jLnhtbFBL&#10;BQYAAAAABgAGAFkBAABTBQAAAAA=&#10;">
                <v:fill on="f" focussize="0,0"/>
                <v:stroke on="f"/>
                <v:imagedata o:title=""/>
                <o:lock v:ext="edit" aspectratio="f"/>
                <v:textbox>
                  <w:txbxContent>
                    <w:p w14:paraId="2A9675CB">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85.4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2FA2015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14:paraId="2B9A8730">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85.5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59D0C88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85" name="文本框 375"/>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14:paraId="25CF2C1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47E2336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375" o:spid="_x0000_s1026" o:spt="202" type="#_x0000_t202" style="position:absolute;left:0pt;margin-left:-9pt;margin-top:0.65pt;height:32.1pt;width:81pt;z-index:252040192;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BvX01QAAAAgBAAAPAAAAAAAAAAEAIAAAACIAAABkcnMvZG93bnJldi54bWxQSwECFAAU&#10;AAAACACHTuJA4toWA7sBAABgAwAADgAAAAAAAAABACAAAAAkAQAAZHJzL2Uyb0RvYy54bWxQSwUG&#10;AAAAAAYABgBZAQAAUQUAAAAA&#10;">
                <v:fill on="f" focussize="0,0"/>
                <v:stroke on="f"/>
                <v:imagedata o:title=""/>
                <o:lock v:ext="edit" aspectratio="f"/>
                <v:textbox>
                  <w:txbxContent>
                    <w:p w14:paraId="25CF2C1C">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47E2336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发包人未按照第85.3款和第85.4款规定支付最终清算款的，承包人可催告发包人支付最终清算款，如双方达成延期支付协议，承包人有权按照第78.2款规定获得延期支付的利息。若该永久工程按照第83.5款规定进行折价或依法拍卖的，承包人就该工程折价或拍卖的价款优先受偿。</w:t>
      </w:r>
    </w:p>
    <w:p w14:paraId="38CA5E1C">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85.6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426BE9C4">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86" name="文本框 376"/>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5927C16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376" o:spid="_x0000_s1026" o:spt="202" type="#_x0000_t202" style="position:absolute;left:0pt;margin-left:-9pt;margin-top:3.6pt;height:36.45pt;width:72pt;z-index:25204121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A1w8EbugEAAF8DAAAOAAAAAAAAAAEAIAAAACQBAABkcnMvZTJvRG9jLnhtbFBLBQYA&#10;AAAABgAGAFkBAABQBQAAAAA=&#10;">
                <v:fill on="f" focussize="0,0"/>
                <v:stroke on="f"/>
                <v:imagedata o:title=""/>
                <o:lock v:ext="edit" aspectratio="f"/>
                <v:textbox>
                  <w:txbxContent>
                    <w:p w14:paraId="5927C16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承包人对发包人支付的最终清算款有异议的，按照第86条约定的争议处理。</w:t>
      </w:r>
    </w:p>
    <w:p w14:paraId="13886C9E">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76FF883C">
      <w:pPr>
        <w:widowControl w:val="0"/>
        <w:adjustRightInd w:val="0"/>
        <w:snapToGrid w:val="0"/>
        <w:spacing w:line="420" w:lineRule="exact"/>
        <w:jc w:val="center"/>
        <w:outlineLvl w:val="1"/>
        <w:rPr>
          <w:rFonts w:ascii="宋体" w:hAnsi="宋体" w:eastAsia="宋体" w:cs="宋体"/>
          <w:b/>
          <w:bCs/>
          <w:color w:val="auto"/>
          <w:kern w:val="2"/>
          <w:sz w:val="22"/>
          <w:szCs w:val="22"/>
          <w:highlight w:val="none"/>
          <w:lang w:val="en-US" w:eastAsia="zh-CN" w:bidi="ar-SA"/>
        </w:rPr>
      </w:pPr>
      <w:bookmarkStart w:id="564" w:name="_Toc469384069"/>
      <w:bookmarkStart w:id="565" w:name="_Toc10624910"/>
      <w:r>
        <w:rPr>
          <w:rFonts w:hint="eastAsia" w:ascii="方正小标宋_GBK" w:hAnsi="方正小标宋_GBK" w:eastAsia="方正小标宋_GBK" w:cs="方正小标宋_GBK"/>
          <w:b/>
          <w:bCs/>
          <w:color w:val="auto"/>
          <w:kern w:val="2"/>
          <w:sz w:val="24"/>
          <w:szCs w:val="24"/>
          <w:highlight w:val="none"/>
          <w:lang w:val="en-US" w:eastAsia="zh-CN" w:bidi="ar-SA"/>
        </w:rPr>
        <w:t>七、合同争议、解除与终止</w:t>
      </w:r>
      <w:bookmarkEnd w:id="564"/>
      <w:bookmarkEnd w:id="565"/>
    </w:p>
    <w:p w14:paraId="456FD95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66" w:name="_Toc469384070"/>
      <w:bookmarkStart w:id="567" w:name="_Toc10624911"/>
      <w:r>
        <w:rPr>
          <w:rFonts w:hint="eastAsia" w:ascii="黑体" w:hAnsi="黑体" w:eastAsia="黑体" w:cs="黑体"/>
          <w:b w:val="0"/>
          <w:bCs/>
          <w:color w:val="auto"/>
          <w:kern w:val="0"/>
          <w:sz w:val="24"/>
          <w:szCs w:val="24"/>
          <w:highlight w:val="none"/>
          <w:lang w:val="en-US" w:eastAsia="zh-CN" w:bidi="ar-SA"/>
        </w:rPr>
        <w:t>86  合同争议</w:t>
      </w:r>
      <w:bookmarkEnd w:id="566"/>
      <w:bookmarkEnd w:id="567"/>
    </w:p>
    <w:p w14:paraId="4B79C04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87" name="文本框 377"/>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14:paraId="3A0829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377" o:spid="_x0000_s1026" o:spt="202" type="#_x0000_t202" style="position:absolute;left:0pt;margin-left:-9pt;margin-top:22.4pt;height:37pt;width:72pt;z-index:252042240;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mw5q1wAAAAoBAAAPAAAAAAAAAAEAIAAAACIAAABkcnMvZG93bnJldi54bWxQSwECFAAU&#10;AAAACACHTuJAyycQTLkBAABfAwAADgAAAAAAAAABACAAAAAmAQAAZHJzL2Uyb0RvYy54bWxQSwUG&#10;AAAAAAYABgBZAQAAUQUAAAAA&#10;">
                <v:fill on="f" focussize="0,0"/>
                <v:stroke on="f"/>
                <v:imagedata o:title=""/>
                <o:lock v:ext="edit" aspectratio="f"/>
                <v:textbox>
                  <w:txbxContent>
                    <w:p w14:paraId="3A0829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86.1    </w:t>
      </w:r>
    </w:p>
    <w:p w14:paraId="52355E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3772A10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合同双方当事人在收到监理工程师或造价工程师的暂定结果之日起，超过14天，未对暂定结果予以确认也未提出意见的，视为合同双方当事人已认可暂定结果。</w:t>
      </w:r>
    </w:p>
    <w:p w14:paraId="6F5D00FA">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86.2  </w:t>
      </w:r>
      <w:r>
        <w:rPr>
          <w:rFonts w:hint="eastAsia" w:ascii="宋体" w:hAnsi="宋体" w:eastAsia="宋体" w:cs="宋体"/>
          <w:b/>
          <w:bCs/>
          <w:color w:val="auto"/>
          <w:kern w:val="2"/>
          <w:sz w:val="22"/>
          <w:szCs w:val="22"/>
          <w:highlight w:val="none"/>
          <w:u w:val="dotted"/>
          <w:lang w:val="en-US" w:eastAsia="zh-CN" w:bidi="ar-SA"/>
        </w:rPr>
        <w:t xml:space="preserve">                                                                                       </w:t>
      </w:r>
    </w:p>
    <w:p w14:paraId="7B85AFD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88" name="文本框 378"/>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14:paraId="7D7DD84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378" o:spid="_x0000_s1026" o:spt="202" type="#_x0000_t202" style="position:absolute;left:0pt;margin-left:-9pt;margin-top:2.1pt;height:29.4pt;width:63pt;z-index:252043264;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b9mWnUAAAACAEAAA8AAAAAAAAAAQAgAAAAIgAAAGRycy9kb3ducmV2LnhtbFBLAQIUABQAAAAI&#10;AIdO4kCTYxoPuAEAAF8DAAAOAAAAAAAAAAEAIAAAACMBAABkcnMvZTJvRG9jLnhtbFBLBQYAAAAA&#10;BgAGAFkBAABNBQAAAAA=&#10;">
                <v:fill on="f" focussize="0,0"/>
                <v:stroke on="f"/>
                <v:imagedata o:title=""/>
                <o:lock v:ext="edit" aspectratio="f"/>
                <v:textbox>
                  <w:txbxContent>
                    <w:p w14:paraId="7D7DD84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14:paraId="3C58BF19">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86.3  </w:t>
      </w:r>
      <w:r>
        <w:rPr>
          <w:rFonts w:hint="eastAsia" w:ascii="宋体" w:hAnsi="宋体" w:eastAsia="宋体" w:cs="宋体"/>
          <w:b/>
          <w:bCs/>
          <w:color w:val="auto"/>
          <w:kern w:val="2"/>
          <w:sz w:val="22"/>
          <w:szCs w:val="22"/>
          <w:highlight w:val="none"/>
          <w:u w:val="dotted"/>
          <w:lang w:val="en-US" w:eastAsia="zh-CN" w:bidi="ar-SA"/>
        </w:rPr>
        <w:t xml:space="preserve">                                                                                       </w:t>
      </w:r>
    </w:p>
    <w:p w14:paraId="5FB8BD2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89" name="文本框 37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14:paraId="2F685C7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379" o:spid="_x0000_s1026" o:spt="202" type="#_x0000_t202" style="position:absolute;left:0pt;margin-left:-9pt;margin-top:0.9pt;height:25.6pt;width:81pt;z-index:252044288;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V4CIdQAAAAIAQAADwAAAAAAAAABACAAAAAiAAAAZHJzL2Rvd25yZXYueG1sUEsBAhQAFAAA&#10;AAgAh07iQDe2TGm6AQAAYAMAAA4AAAAAAAAAAQAgAAAAIwEAAGRycy9lMm9Eb2MueG1sUEsFBgAA&#10;AAAGAAYAWQEAAE8FAAAAAA==&#10;">
                <v:fill on="f" focussize="0,0"/>
                <v:stroke on="f"/>
                <v:imagedata o:title=""/>
                <o:lock v:ext="edit" aspectratio="f"/>
                <v:textbox>
                  <w:txbxContent>
                    <w:p w14:paraId="2F685C7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14:paraId="16BB672C">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86.4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53CE7079">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90" name="文本框 380"/>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14:paraId="18FB334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380" o:spid="_x0000_s1026" o:spt="202" type="#_x0000_t202" style="position:absolute;left:0pt;margin-left:-9pt;margin-top:4.7pt;height:29.8pt;width:81pt;z-index:252045312;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OF+Z1QAAAAgBAAAPAAAAAAAAAAEAIAAAACIAAABkcnMvZG93bnJldi54bWxQSwECFAAUAAAA&#10;CACHTuJArPSw87gBAABgAwAADgAAAAAAAAABACAAAAAkAQAAZHJzL2Uyb0RvYy54bWxQSwUGAAAA&#10;AAYABgBZAQAATgUAAAAA&#10;">
                <v:fill on="f" focussize="0,0"/>
                <v:stroke on="f"/>
                <v:imagedata o:title=""/>
                <o:lock v:ext="edit" aspectratio="f"/>
                <v:textbox>
                  <w:txbxContent>
                    <w:p w14:paraId="18FB334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1EBED50">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(1)建设工程安全监督机构，负责有关工程安全方面争议的调解或认定；</w:t>
      </w:r>
    </w:p>
    <w:p w14:paraId="588227E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(2)建设工程质量监督机构，负责有关工程质量方面争议的调解或认定；</w:t>
      </w:r>
    </w:p>
    <w:p w14:paraId="093B6F1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(3)建设工程造价管理机构，负责有关工程造价方面争议的调解或认定。</w:t>
      </w:r>
    </w:p>
    <w:p w14:paraId="5E3EF8EF">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86.5  </w:t>
      </w:r>
      <w:r>
        <w:rPr>
          <w:rFonts w:hint="eastAsia" w:ascii="宋体" w:hAnsi="宋体" w:eastAsia="宋体" w:cs="宋体"/>
          <w:b/>
          <w:bCs/>
          <w:color w:val="auto"/>
          <w:kern w:val="2"/>
          <w:sz w:val="22"/>
          <w:szCs w:val="22"/>
          <w:highlight w:val="none"/>
          <w:u w:val="dotted"/>
          <w:lang w:val="en-US" w:eastAsia="zh-CN" w:bidi="ar-SA"/>
        </w:rPr>
        <w:t xml:space="preserve">                                                                                       </w:t>
      </w:r>
    </w:p>
    <w:p w14:paraId="0E0FEAA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91" name="文本框 381"/>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1E9BC2B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381" o:spid="_x0000_s1026" o:spt="202" type="#_x0000_t202" style="position:absolute;left:0pt;margin-left:-9pt;margin-top:2.55pt;height:36.6pt;width:72pt;z-index:252046336;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Zba03VAAAACAEAAA8AAAAAAAAAAQAgAAAAIgAAAGRycy9kb3ducmV2LnhtbFBLAQIUABQA&#10;AAAIAIdO4kCapzfpugEAAF8DAAAOAAAAAAAAAAEAIAAAACQBAABkcnMvZTJvRG9jLnhtbFBLBQYA&#10;AAAABgAGAFkBAABQBQAAAAA=&#10;">
                <v:fill on="f" focussize="0,0"/>
                <v:stroke on="f"/>
                <v:imagedata o:title=""/>
                <o:lock v:ext="edit" aspectratio="f"/>
                <v:textbox>
                  <w:txbxContent>
                    <w:p w14:paraId="1E9BC2B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合同双方当事人应在收到争议调解或认定机构书面结果后的28天内，对调解或认定结果以书面形式予以确认。</w:t>
      </w:r>
    </w:p>
    <w:p w14:paraId="266E2477">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86.6  </w:t>
      </w:r>
      <w:r>
        <w:rPr>
          <w:rFonts w:hint="eastAsia" w:ascii="宋体" w:hAnsi="宋体" w:eastAsia="宋体" w:cs="宋体"/>
          <w:b/>
          <w:bCs/>
          <w:color w:val="auto"/>
          <w:kern w:val="2"/>
          <w:sz w:val="22"/>
          <w:szCs w:val="22"/>
          <w:highlight w:val="none"/>
          <w:u w:val="dotted"/>
          <w:lang w:val="en-US" w:eastAsia="zh-CN" w:bidi="ar-SA"/>
        </w:rPr>
        <w:t xml:space="preserve">                                                                                       </w:t>
      </w:r>
    </w:p>
    <w:p w14:paraId="15848785">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92" name="文本框 382"/>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14:paraId="7221BA9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382" o:spid="_x0000_s1026" o:spt="202" type="#_x0000_t202" style="position:absolute;left:0pt;margin-left:-9pt;margin-top:0.95pt;height:26.35pt;width:81pt;z-index:252047360;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gn6sjVAAAACAEAAA8AAAAAAAAAAQAgAAAAIgAAAGRycy9kb3ducmV2LnhtbFBLAQIUABQA&#10;AAAIAIdO4kCEQBkougEAAGADAAAOAAAAAAAAAAEAIAAAACQBAABkcnMvZTJvRG9jLnhtbFBLBQYA&#10;AAAABgAGAFkBAABQBQAAAAA=&#10;">
                <v:fill on="f" focussize="0,0"/>
                <v:stroke on="f"/>
                <v:imagedata o:title=""/>
                <o:lock v:ext="edit" aspectratio="f"/>
                <v:textbox>
                  <w:txbxContent>
                    <w:p w14:paraId="7221BA93">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若合同双方或一方当事人在收到争议调解或认定机构的书面结果后明确表示不同意，或在28天内没有书面确认，任何一方均可按照专用条款约定的下列任一种方式解决争议：</w:t>
      </w:r>
    </w:p>
    <w:p w14:paraId="653B0841">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向约定的仲裁委员会申请仲裁；</w:t>
      </w:r>
    </w:p>
    <w:p w14:paraId="2061F5E7">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向有管辖权的人民法院提起诉讼。</w:t>
      </w:r>
    </w:p>
    <w:p w14:paraId="50B589C0">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86.7  </w:t>
      </w:r>
      <w:r>
        <w:rPr>
          <w:rFonts w:hint="eastAsia" w:ascii="宋体" w:hAnsi="宋体" w:eastAsia="宋体" w:cs="宋体"/>
          <w:b/>
          <w:bCs/>
          <w:color w:val="auto"/>
          <w:kern w:val="2"/>
          <w:sz w:val="22"/>
          <w:szCs w:val="22"/>
          <w:highlight w:val="none"/>
          <w:u w:val="dotted"/>
          <w:lang w:val="en-US" w:eastAsia="zh-CN" w:bidi="ar-SA"/>
        </w:rPr>
        <w:t xml:space="preserve">                                                                                       </w:t>
      </w:r>
    </w:p>
    <w:p w14:paraId="1CBA657D">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93" name="文本框 38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2145256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383" o:spid="_x0000_s1026" o:spt="202" type="#_x0000_t202" style="position:absolute;left:0pt;margin-left:-9pt;margin-top:1.25pt;height:36.25pt;width:72pt;z-index:252048384;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DlTVAAAACAEAAA8AAAAAAAAAAQAgAAAAIgAAAGRycy9kb3ducmV2LnhtbFBLAQIUABQA&#10;AAAIAIdO4kA572DpugEAAF8DAAAOAAAAAAAAAAEAIAAAACQBAABkcnMvZTJvRG9jLnhtbFBLBQYA&#10;AAAABgAGAFkBAABQBQAAAAA=&#10;">
                <v:fill on="f" focussize="0,0"/>
                <v:stroke on="f"/>
                <v:imagedata o:title=""/>
                <o:lock v:ext="edit" aspectratio="f"/>
                <v:textbox>
                  <w:txbxContent>
                    <w:p w14:paraId="2145256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争议期间，除下列情况停止施工外，合同双方当事人都应继续履行合同，保持工程连续施工，保护好已完工程：</w:t>
      </w:r>
    </w:p>
    <w:p w14:paraId="5584649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合同双方当事人协商同意；</w:t>
      </w:r>
    </w:p>
    <w:p w14:paraId="13ADC65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 合同一方当事人违约导致合同无法履行；</w:t>
      </w:r>
    </w:p>
    <w:p w14:paraId="172DF8B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 工程造价管理机构调解需要，且合同双方当事人同意；</w:t>
      </w:r>
    </w:p>
    <w:p w14:paraId="12617E9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 仲裁委员会仲裁需要，且合同双方当事人同意：</w:t>
      </w:r>
    </w:p>
    <w:p w14:paraId="53F8FE9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 人民法院诉讼需要。</w:t>
      </w:r>
    </w:p>
    <w:p w14:paraId="65DB49A6">
      <w:pPr>
        <w:widowControl w:val="0"/>
        <w:tabs>
          <w:tab w:val="left" w:pos="1620"/>
        </w:tabs>
        <w:adjustRightInd w:val="0"/>
        <w:snapToGrid w:val="0"/>
        <w:spacing w:line="420" w:lineRule="exact"/>
        <w:ind w:right="-240"/>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0E9F7172">
      <w:pPr>
        <w:widowControl w:val="0"/>
        <w:tabs>
          <w:tab w:val="left" w:pos="540"/>
        </w:tabs>
        <w:adjustRightInd w:val="0"/>
        <w:snapToGrid w:val="0"/>
        <w:spacing w:before="240" w:beforeLines="100" w:line="420" w:lineRule="exact"/>
        <w:jc w:val="both"/>
        <w:outlineLvl w:val="2"/>
        <w:rPr>
          <w:rFonts w:ascii="宋体" w:hAnsi="宋体" w:eastAsia="宋体" w:cs="宋体"/>
          <w:b/>
          <w:bCs/>
          <w:color w:val="auto"/>
          <w:kern w:val="2"/>
          <w:sz w:val="22"/>
          <w:szCs w:val="22"/>
          <w:highlight w:val="none"/>
          <w:lang w:val="en-US" w:eastAsia="zh-CN" w:bidi="ar-SA"/>
        </w:rPr>
      </w:pPr>
      <w:bookmarkStart w:id="568" w:name="_Toc10624912"/>
      <w:bookmarkStart w:id="569" w:name="_Toc469384071"/>
      <w:r>
        <w:rPr>
          <w:rFonts w:hint="eastAsia" w:ascii="黑体" w:hAnsi="黑体" w:eastAsia="黑体" w:cs="黑体"/>
          <w:b w:val="0"/>
          <w:bCs/>
          <w:color w:val="auto"/>
          <w:kern w:val="0"/>
          <w:sz w:val="24"/>
          <w:szCs w:val="24"/>
          <w:highlight w:val="none"/>
          <w:lang w:val="en-US" w:eastAsia="zh-CN" w:bidi="ar-SA"/>
        </w:rPr>
        <w:t>87  合同解除</w:t>
      </w:r>
      <w:bookmarkEnd w:id="568"/>
      <w:bookmarkEnd w:id="569"/>
    </w:p>
    <w:p w14:paraId="0D3BC015">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87.1   </w:t>
      </w:r>
    </w:p>
    <w:p w14:paraId="69CB1A16">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94" name="文本框 38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14:paraId="40AF011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384" o:spid="_x0000_s1026" o:spt="202" type="#_x0000_t202" style="position:absolute;left:0pt;margin-left:-9pt;margin-top:-0.3pt;height:20.75pt;width:81pt;z-index:252049408;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ybptQAAAAIAQAADwAAAAAAAAABACAAAAAiAAAAZHJzL2Rvd25yZXYueG1sUEsBAhQAFAAA&#10;AAgAh07iQKwQfUO6AQAAYAMAAA4AAAAAAAAAAQAgAAAAIwEAAGRycy9lMm9Eb2MueG1sUEsFBgAA&#10;AAAGAAYAWQEAAE8FAAAAAA==&#10;">
                <v:fill on="f" focussize="0,0"/>
                <v:stroke on="f"/>
                <v:imagedata o:title=""/>
                <o:lock v:ext="edit" aspectratio="f"/>
                <v:textbox>
                  <w:txbxContent>
                    <w:p w14:paraId="40AF011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合同双方当事人协商一致，可以解除合同。</w:t>
      </w:r>
    </w:p>
    <w:p w14:paraId="3E08F689">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95" name="文本框 38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BEE4A0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385" o:spid="_x0000_s1026" o:spt="202" type="#_x0000_t202" style="position:absolute;left:0pt;margin-left:-9pt;margin-top:22.95pt;height:39pt;width:72pt;z-index:252050432;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Pj51wAAAAoBAAAPAAAAAAAAAAEAIAAAACIAAABkcnMvZG93bnJldi54bWxQSwECFAAU&#10;AAAACACHTuJAQT+LI7kBAABfAwAADgAAAAAAAAABACAAAAAmAQAAZHJzL2Uyb0RvYy54bWxQSwUG&#10;AAAAAAYABgBZAQAAUQUAAAAA&#10;">
                <v:fill on="f" focussize="0,0"/>
                <v:stroke on="f"/>
                <v:imagedata o:title=""/>
                <o:lock v:ext="edit" aspectratio="f"/>
                <v:textbox>
                  <w:txbxContent>
                    <w:p w14:paraId="0BEE4A0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643720E8">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因不可抗力事件致使合同无法继续履行的，合同双方当事人可以解除合同。</w:t>
      </w:r>
    </w:p>
    <w:p w14:paraId="0A5CC517">
      <w:pPr>
        <w:widowControl w:val="0"/>
        <w:tabs>
          <w:tab w:val="left" w:pos="1320"/>
        </w:tabs>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87.3 </w:t>
      </w:r>
      <w:r>
        <w:rPr>
          <w:rFonts w:hint="eastAsia" w:ascii="宋体" w:hAnsi="宋体" w:eastAsia="宋体" w:cs="宋体"/>
          <w:color w:val="auto"/>
          <w:kern w:val="2"/>
          <w:sz w:val="22"/>
          <w:szCs w:val="22"/>
          <w:highlight w:val="none"/>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7932AA7A">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96" name="文本框 386"/>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14:paraId="2E9D7D3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386" o:spid="_x0000_s1026" o:spt="202" type="#_x0000_t202" style="position:absolute;left:0pt;margin-left:-9pt;margin-top:2.95pt;height:31.85pt;width:72pt;z-index:25205145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t/8+dUAAAAIAQAADwAAAAAAAAABACAAAAAiAAAAZHJzL2Rvd25yZXYueG1sUEsBAhQAFAAA&#10;AAgAh07iQPgyeaO5AQAAXwMAAA4AAAAAAAAAAQAgAAAAJAEAAGRycy9lMm9Eb2MueG1sUEsFBgAA&#10;AAAGAAYAWQEAAE8FAAAAAA==&#10;">
                <v:fill on="f" focussize="0,0"/>
                <v:stroke on="f"/>
                <v:imagedata o:title=""/>
                <o:lock v:ext="edit" aspectratio="f"/>
                <v:textbox>
                  <w:txbxContent>
                    <w:p w14:paraId="2E9D7D3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承包人有下列情形之一者，发包人可以解除合同：</w:t>
      </w:r>
    </w:p>
    <w:p w14:paraId="51F278BC">
      <w:pPr>
        <w:widowControl w:val="0"/>
        <w:numPr>
          <w:ilvl w:val="0"/>
          <w:numId w:val="7"/>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承包人未能按照第34.2款规定的开工期限内开工，经监理工程师催告后的28天内仍未开工的；</w:t>
      </w:r>
    </w:p>
    <w:p w14:paraId="2FC507B4">
      <w:pPr>
        <w:widowControl w:val="0"/>
        <w:numPr>
          <w:ilvl w:val="0"/>
          <w:numId w:val="7"/>
        </w:numPr>
        <w:adjustRightInd w:val="0"/>
        <w:snapToGrid w:val="0"/>
        <w:spacing w:line="420" w:lineRule="exact"/>
        <w:ind w:left="1621" w:leftChars="771" w:hanging="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按照第33条规定的进度计划未表明有停工且监理工程师也未按照第35.1款规定发出暂停施工令，但承包人停止施工时间持续达56天或累计停止施工时间达70天的；</w:t>
      </w:r>
    </w:p>
    <w:p w14:paraId="42AFC9F4">
      <w:pPr>
        <w:widowControl w:val="0"/>
        <w:numPr>
          <w:ilvl w:val="0"/>
          <w:numId w:val="7"/>
        </w:numPr>
        <w:tabs>
          <w:tab w:val="left" w:pos="1680"/>
        </w:tabs>
        <w:adjustRightInd w:val="0"/>
        <w:snapToGrid w:val="0"/>
        <w:spacing w:line="420" w:lineRule="exact"/>
        <w:ind w:left="1659" w:leftChars="770" w:hanging="4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承包人违反第18.1款或第51.4款规定未经监理工程师批准，私自将已按照合同约定进入施工现场的施工设备、临时设施或材料运出施工现场的；</w:t>
      </w:r>
    </w:p>
    <w:p w14:paraId="303046A7">
      <w:pPr>
        <w:widowControl w:val="0"/>
        <w:numPr>
          <w:ilvl w:val="0"/>
          <w:numId w:val="7"/>
        </w:numPr>
        <w:adjustRightInd w:val="0"/>
        <w:snapToGrid w:val="0"/>
        <w:spacing w:line="420" w:lineRule="exact"/>
        <w:ind w:left="1678" w:leftChars="799" w:firstLine="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承包人拖延完工且能偿付的误期赔偿费已达到专用条款约定最高限额的； </w:t>
      </w:r>
    </w:p>
    <w:p w14:paraId="6527D8CC">
      <w:pPr>
        <w:widowControl w:val="0"/>
        <w:numPr>
          <w:ilvl w:val="0"/>
          <w:numId w:val="7"/>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承包人转包工程、违法分包或未经许可擅自分包工程的；</w:t>
      </w:r>
    </w:p>
    <w:p w14:paraId="2AFBC3ED">
      <w:pPr>
        <w:widowControl w:val="0"/>
        <w:numPr>
          <w:ilvl w:val="0"/>
          <w:numId w:val="7"/>
        </w:numPr>
        <w:adjustRightInd w:val="0"/>
        <w:snapToGrid w:val="0"/>
        <w:spacing w:line="420" w:lineRule="exact"/>
        <w:ind w:left="1617" w:leftChars="770" w:firstLine="2"/>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承包人未按照合同约定或监理工程师的指令，经监理工程师书面指出后仍未按要求改正的；</w:t>
      </w:r>
    </w:p>
    <w:p w14:paraId="4DCAC454">
      <w:pPr>
        <w:widowControl w:val="0"/>
        <w:numPr>
          <w:ilvl w:val="0"/>
          <w:numId w:val="7"/>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承包人履行合同期间有欺诈行为的；</w:t>
      </w:r>
    </w:p>
    <w:p w14:paraId="641E4791">
      <w:pPr>
        <w:widowControl w:val="0"/>
        <w:numPr>
          <w:ilvl w:val="0"/>
          <w:numId w:val="7"/>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承包人向任何人付给或企图付给任何贿赂、礼品、赏金、回扣或其他贵重物品，以引诱或报偿他人，但付给承包人相关人员的奖励则属例外；</w:t>
      </w:r>
    </w:p>
    <w:p w14:paraId="7B461484">
      <w:pPr>
        <w:widowControl w:val="0"/>
        <w:adjustRightInd w:val="0"/>
        <w:snapToGrid w:val="0"/>
        <w:spacing w:line="420" w:lineRule="exact"/>
        <w:ind w:left="1617"/>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(9)承包人在缺陷责任期内未能对发生的缺陷进行修复，且又拒绝按照监理工程师指令再进行修补的；</w:t>
      </w:r>
    </w:p>
    <w:p w14:paraId="0BE6B035">
      <w:pPr>
        <w:widowControl w:val="0"/>
        <w:adjustRightInd w:val="0"/>
        <w:snapToGrid w:val="0"/>
        <w:spacing w:line="420" w:lineRule="exact"/>
        <w:ind w:left="1680" w:leftChars="8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(10)承包人无法继续履行、明确表示或以行为表明不履行合同约定主要义务的；</w:t>
      </w:r>
    </w:p>
    <w:p w14:paraId="69AC80FB">
      <w:pPr>
        <w:widowControl w:val="0"/>
        <w:adjustRightInd w:val="0"/>
        <w:snapToGrid w:val="0"/>
        <w:spacing w:line="420" w:lineRule="exact"/>
        <w:ind w:left="168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(11)承包人延迟履行合同约定主要义务，经催告后在合理期限内仍未履行的；</w:t>
      </w:r>
    </w:p>
    <w:p w14:paraId="38C54EB1">
      <w:pPr>
        <w:widowControl w:val="0"/>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(12)承包人破产或清偿的，但以机构重组或联合为目的的除外；</w:t>
      </w:r>
    </w:p>
    <w:p w14:paraId="0BB612FC">
      <w:pPr>
        <w:spacing w:line="420" w:lineRule="exact"/>
        <w:ind w:left="1760" w:hanging="1920" w:hangingChars="8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(13)承包人被认为是严重违反合同的其他违约行为。</w:t>
      </w:r>
    </w:p>
    <w:p w14:paraId="0BD7E673">
      <w:pPr>
        <w:widowControl w:val="0"/>
        <w:adjustRightInd w:val="0"/>
        <w:snapToGrid w:val="0"/>
        <w:spacing w:line="420" w:lineRule="exact"/>
        <w:ind w:left="1619" w:leftChars="771"/>
        <w:jc w:val="both"/>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在这种情况下，发包人可自行或委托第三方实施、完成合同工程或其任何部分，并可使用根据第18.2款留下的承包人临时工程，直至永久工程完工为止。</w:t>
      </w:r>
    </w:p>
    <w:p w14:paraId="3ED51900">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87.4  </w:t>
      </w:r>
      <w:r>
        <w:rPr>
          <w:rFonts w:hint="eastAsia" w:ascii="宋体" w:hAnsi="宋体" w:eastAsia="宋体" w:cs="宋体"/>
          <w:b/>
          <w:bCs/>
          <w:color w:val="auto"/>
          <w:kern w:val="2"/>
          <w:sz w:val="22"/>
          <w:szCs w:val="22"/>
          <w:highlight w:val="none"/>
          <w:u w:val="dotted"/>
          <w:lang w:val="en-US" w:eastAsia="zh-CN" w:bidi="ar-SA"/>
        </w:rPr>
        <w:t xml:space="preserve">                                                                                       </w:t>
      </w:r>
    </w:p>
    <w:p w14:paraId="53923D47">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97" name="文本框 387"/>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14:paraId="6FF258B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387" o:spid="_x0000_s1026" o:spt="202" type="#_x0000_t202" style="position:absolute;left:0pt;margin-left:-9pt;margin-top:2.35pt;height:39.65pt;width:72pt;z-index:25205248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PLjjVAAAACAEAAA8AAAAAAAAAAQAgAAAAIgAAAGRycy9kb3ducmV2LnhtbFBLAQIUABQA&#10;AAAIAIdO4kBDCasiugEAAF8DAAAOAAAAAAAAAAEAIAAAACQBAABkcnMvZTJvRG9jLnhtbFBLBQYA&#10;AAAABgAGAFkBAABQBQAAAAA=&#10;">
                <v:fill on="f" focussize="0,0"/>
                <v:stroke on="f"/>
                <v:imagedata o:title=""/>
                <o:lock v:ext="edit" aspectratio="f"/>
                <v:textbox>
                  <w:txbxContent>
                    <w:p w14:paraId="6FF258B9">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发包人有下列情形之一者，承包人可以解除合同：</w:t>
      </w:r>
    </w:p>
    <w:p w14:paraId="563A8E9E">
      <w:pPr>
        <w:widowControl w:val="0"/>
        <w:numPr>
          <w:ilvl w:val="0"/>
          <w:numId w:val="8"/>
        </w:numPr>
        <w:tabs>
          <w:tab w:val="left" w:pos="2160"/>
        </w:tabs>
        <w:adjustRightInd w:val="0"/>
        <w:snapToGrid w:val="0"/>
        <w:spacing w:line="420" w:lineRule="exact"/>
        <w:ind w:left="1619" w:leftChars="771" w:firstLine="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非承包人原因未按照第34.2款规定期限内发出开工令，经承包人催告后28天内仍未发出开工令的；</w:t>
      </w:r>
    </w:p>
    <w:p w14:paraId="3E3D8ED7">
      <w:pPr>
        <w:widowControl w:val="0"/>
        <w:numPr>
          <w:ilvl w:val="0"/>
          <w:numId w:val="8"/>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按照第35.3款规定非承包人原因造成暂停施工持续56天以上或累计停工时间超过了70天的；           </w:t>
      </w:r>
    </w:p>
    <w:p w14:paraId="64424C19">
      <w:pPr>
        <w:widowControl w:val="0"/>
        <w:numPr>
          <w:ilvl w:val="0"/>
          <w:numId w:val="8"/>
        </w:numPr>
        <w:tabs>
          <w:tab w:val="left" w:pos="180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发包人按照第5条规定提供的施工设计图纸存在缺陷或按照第48条规定供应的材料和工程设备不符合强制性标准，致使承包人无法施工，经承包人催告后28天内仍未修正或更换的；</w:t>
      </w:r>
    </w:p>
    <w:p w14:paraId="5A8E9B53">
      <w:pPr>
        <w:widowControl w:val="0"/>
        <w:numPr>
          <w:ilvl w:val="0"/>
          <w:numId w:val="8"/>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监理工程师未按照合同约定及时发出工作指令，导致承包人无法继续施工的； </w:t>
      </w:r>
    </w:p>
    <w:p w14:paraId="5CB47FEF">
      <w:pPr>
        <w:widowControl w:val="0"/>
        <w:numPr>
          <w:ilvl w:val="0"/>
          <w:numId w:val="8"/>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发包人未按照第78.1款规定向承包人支付工程款，经承包人催告后28天内仍未支付的；</w:t>
      </w:r>
    </w:p>
    <w:p w14:paraId="292A5D77">
      <w:pPr>
        <w:widowControl w:val="0"/>
        <w:numPr>
          <w:ilvl w:val="0"/>
          <w:numId w:val="8"/>
        </w:numPr>
        <w:tabs>
          <w:tab w:val="left" w:pos="2160"/>
        </w:tabs>
        <w:adjustRightInd w:val="0"/>
        <w:snapToGrid w:val="0"/>
        <w:spacing w:line="420" w:lineRule="exact"/>
        <w:ind w:left="1620" w:leftChars="771"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发包人无法继续履行、明确表示或以行为表明不履行合同约定主要义务的；</w:t>
      </w:r>
    </w:p>
    <w:p w14:paraId="1FD17998">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(7)发包人延迟履行合同约定主要义务，经催告后在合理期限内仍未履行的；</w:t>
      </w:r>
    </w:p>
    <w:p w14:paraId="10F2A21B">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(8)发包人破产或清偿的，但以机构重组或联合为目的的除外；</w:t>
      </w:r>
    </w:p>
    <w:p w14:paraId="25CEC21C">
      <w:pPr>
        <w:widowControl w:val="0"/>
        <w:tabs>
          <w:tab w:val="left" w:pos="2160"/>
        </w:tabs>
        <w:adjustRightInd w:val="0"/>
        <w:snapToGrid w:val="0"/>
        <w:spacing w:line="420" w:lineRule="exact"/>
        <w:ind w:left="161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(9)发包人被认为是严重违反合同的其他违约行为。</w:t>
      </w:r>
    </w:p>
    <w:p w14:paraId="204E6AB6">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98" name="文本框 3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B52057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388" o:spid="_x0000_s1026" o:spt="202" type="#_x0000_t202" style="position:absolute;left:0pt;margin-left:-9pt;margin-top:15.95pt;height:31.2pt;width:72pt;z-index:252053504;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Q1uI1wAAAAkBAAAPAAAAAAAAAAEAIAAAACIAAABkcnMvZG93bnJldi54bWxQSwECFAAU&#10;AAAACACHTuJAZ8D0s7kBAABfAwAADgAAAAAAAAABACAAAAAmAQAAZHJzL2Uyb0RvYy54bWxQSwUG&#10;AAAAAAYABgBZAQAAUQUAAAAA&#10;">
                <v:fill on="f" focussize="0,0"/>
                <v:stroke on="f"/>
                <v:imagedata o:title=""/>
                <o:lock v:ext="edit" aspectratio="f"/>
                <v:textbox>
                  <w:txbxContent>
                    <w:p w14:paraId="4B52057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87.5  </w:t>
      </w:r>
      <w:r>
        <w:rPr>
          <w:rFonts w:hint="eastAsia" w:ascii="宋体" w:hAnsi="宋体" w:eastAsia="宋体" w:cs="宋体"/>
          <w:b/>
          <w:bCs/>
          <w:color w:val="auto"/>
          <w:kern w:val="2"/>
          <w:sz w:val="22"/>
          <w:szCs w:val="22"/>
          <w:highlight w:val="none"/>
          <w:u w:val="dotted"/>
          <w:lang w:val="en-US" w:eastAsia="zh-CN" w:bidi="ar-SA"/>
        </w:rPr>
        <w:t xml:space="preserve">                                                                                       </w:t>
      </w:r>
    </w:p>
    <w:p w14:paraId="1A8D7AEB">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根据第87.2款至第87.4款规定要求解除合同的，解除方应以书面形式向另一方当事人发出解除合同的通知，另一方当事人收到通知时合同即告解除。对解除合同有争议的，应按照第86条规定处理。</w:t>
      </w:r>
    </w:p>
    <w:p w14:paraId="03A271C0">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87.6  </w:t>
      </w:r>
      <w:r>
        <w:rPr>
          <w:rFonts w:hint="eastAsia" w:ascii="宋体" w:hAnsi="宋体" w:eastAsia="宋体" w:cs="宋体"/>
          <w:b/>
          <w:bCs/>
          <w:color w:val="auto"/>
          <w:kern w:val="2"/>
          <w:sz w:val="22"/>
          <w:szCs w:val="22"/>
          <w:highlight w:val="none"/>
          <w:u w:val="dotted"/>
          <w:lang w:val="en-US" w:eastAsia="zh-CN" w:bidi="ar-SA"/>
        </w:rPr>
        <w:t xml:space="preserve">                                                                                       </w:t>
      </w:r>
    </w:p>
    <w:p w14:paraId="30A93EEA">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99" name="文本框 38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72FFB6B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389" o:spid="_x0000_s1026" o:spt="202" type="#_x0000_t202" style="position:absolute;left:0pt;margin-left:-9pt;margin-top:0.55pt;height:46.8pt;width:72pt;z-index:252054528;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AxqcrUAAAACAEAAA8AAAAAAAAAAQAgAAAAIgAAAGRycy9kb3ducmV2LnhtbFBLAQIUABQA&#10;AAAIAIdO4kCOPnPpuwEAAF8DAAAOAAAAAAAAAAEAIAAAACMBAABkcnMvZTJvRG9jLnhtbFBLBQYA&#10;AAAABgAGAFkBAABQBQAAAAA=&#10;">
                <v:fill on="f" focussize="0,0"/>
                <v:stroke on="f"/>
                <v:imagedata o:title=""/>
                <o:lock v:ext="edit" aspectratio="f"/>
                <v:textbox>
                  <w:txbxContent>
                    <w:p w14:paraId="72FFB6B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_GB2312" w:hAnsi="仿宋_GB2312" w:eastAsia="仿宋_GB2312" w:cs="仿宋_GB2312"/>
          <w:color w:val="auto"/>
          <w:sz w:val="24"/>
          <w:szCs w:val="24"/>
          <w:highlight w:val="none"/>
          <w:lang w:val="en-US" w:eastAsia="zh-CN"/>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28B2FA2D">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97D5FB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0" w:name="_Toc469384072"/>
      <w:bookmarkStart w:id="571" w:name="_Toc10624913"/>
      <w:r>
        <w:rPr>
          <w:rFonts w:hint="eastAsia" w:ascii="黑体" w:hAnsi="黑体" w:eastAsia="黑体" w:cs="黑体"/>
          <w:b w:val="0"/>
          <w:bCs/>
          <w:color w:val="auto"/>
          <w:kern w:val="0"/>
          <w:sz w:val="24"/>
          <w:szCs w:val="24"/>
          <w:highlight w:val="none"/>
          <w:lang w:val="en-US" w:eastAsia="zh-CN" w:bidi="ar-SA"/>
        </w:rPr>
        <w:t>88  合同解除的支付</w:t>
      </w:r>
      <w:bookmarkEnd w:id="570"/>
      <w:bookmarkEnd w:id="571"/>
    </w:p>
    <w:p w14:paraId="6F90762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400"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9E3D8F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390" o:spid="_x0000_s1026" o:spt="202" type="#_x0000_t202" style="position:absolute;left:0pt;margin-left:-5.25pt;margin-top:14.85pt;height:31.2pt;width:72pt;z-index:252055552;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jmRGXWAAAACQEAAA8AAAAAAAAAAQAgAAAAIgAAAGRycy9kb3ducmV2LnhtbFBLAQIUABQAAAAI&#10;AIdO4kCHK/NxtgEAAF8DAAAOAAAAAAAAAAEAIAAAACUBAABkcnMvZTJvRG9jLnhtbFBLBQYAAAAA&#10;BgAGAFkBAABNBQAAAAA=&#10;">
                <v:fill on="f" focussize="0,0"/>
                <v:stroke on="f"/>
                <v:imagedata o:title=""/>
                <o:lock v:ext="edit" aspectratio="f"/>
                <v:textbox>
                  <w:txbxContent>
                    <w:p w14:paraId="39E3D8F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88.1     </w:t>
      </w:r>
    </w:p>
    <w:p w14:paraId="21E8577C">
      <w:pPr>
        <w:tabs>
          <w:tab w:val="left" w:pos="4970"/>
        </w:tabs>
        <w:spacing w:line="420" w:lineRule="exact"/>
        <w:ind w:left="1619" w:leftChars="77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根据第87.1款规定解除合同的，按照达成的协议办理结算和支付工程款。</w:t>
      </w:r>
    </w:p>
    <w:p w14:paraId="7D05836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88.2  </w:t>
      </w:r>
      <w:r>
        <w:rPr>
          <w:rFonts w:hint="eastAsia" w:ascii="宋体" w:hAnsi="宋体" w:eastAsia="宋体" w:cs="宋体"/>
          <w:b/>
          <w:bCs/>
          <w:color w:val="auto"/>
          <w:kern w:val="2"/>
          <w:sz w:val="22"/>
          <w:szCs w:val="22"/>
          <w:highlight w:val="none"/>
          <w:u w:val="dotted"/>
          <w:lang w:val="en-US" w:eastAsia="zh-CN" w:bidi="ar-SA"/>
        </w:rPr>
        <w:t xml:space="preserve">                                                                                       </w:t>
      </w:r>
    </w:p>
    <w:p w14:paraId="005A158E">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401" name="文本框 39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3D3D9C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391" o:spid="_x0000_s1026" o:spt="202" type="#_x0000_t202" style="position:absolute;left:0pt;margin-left:-9pt;margin-top:1.25pt;height:54.6pt;width:72pt;z-index:252056576;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8AznJLoBAABfAwAADgAAAAAAAAABACAAAAAlAQAAZHJzL2Uyb0RvYy54bWxQSwUG&#10;AAAAAAYABgBZAQAAUQUAAAAA&#10;">
                <v:fill on="f" focussize="0,0"/>
                <v:stroke on="f"/>
                <v:imagedata o:title=""/>
                <o:lock v:ext="edit" aspectratio="f"/>
                <v:textbox>
                  <w:txbxContent>
                    <w:p w14:paraId="3D3D9CF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根据第87.2款规定解除合同的，发包人应向承包人支付合同解除之日前已完成工程但尚未支付的工程款。此外，发包人还应支付下列款项：</w:t>
      </w:r>
    </w:p>
    <w:p w14:paraId="1039A7C1">
      <w:pPr>
        <w:widowControl w:val="0"/>
        <w:numPr>
          <w:ilvl w:val="0"/>
          <w:numId w:val="9"/>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已实施或部分实施的措施项目应付款项；</w:t>
      </w:r>
    </w:p>
    <w:p w14:paraId="2D3B6EAD">
      <w:pPr>
        <w:widowControl w:val="0"/>
        <w:numPr>
          <w:ilvl w:val="0"/>
          <w:numId w:val="9"/>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承包人为合同工程合理订购且已交付的材料和工程设备货款。发包人一经支付此项货款，该材料和工程设备即成为发包人的财产；</w:t>
      </w:r>
    </w:p>
    <w:p w14:paraId="2E66D090">
      <w:pPr>
        <w:widowControl w:val="0"/>
        <w:numPr>
          <w:ilvl w:val="0"/>
          <w:numId w:val="9"/>
        </w:numPr>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承包人为完成合同工程而预期开支的任何合理款项，且该项款项未包括在本款其他各项支付之内；</w:t>
      </w:r>
    </w:p>
    <w:p w14:paraId="3AAA0938">
      <w:pPr>
        <w:widowControl w:val="0"/>
        <w:numPr>
          <w:ilvl w:val="0"/>
          <w:numId w:val="9"/>
        </w:numPr>
        <w:adjustRightInd w:val="0"/>
        <w:snapToGrid w:val="0"/>
        <w:spacing w:line="420" w:lineRule="exact"/>
        <w:ind w:left="2096" w:leftChars="771" w:hanging="477" w:hangingChars="199"/>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根据第31.3款规定的任何工作应支付的款项；</w:t>
      </w:r>
    </w:p>
    <w:p w14:paraId="42D30260">
      <w:pPr>
        <w:widowControl w:val="0"/>
        <w:numPr>
          <w:ilvl w:val="0"/>
          <w:numId w:val="9"/>
        </w:numPr>
        <w:tabs>
          <w:tab w:val="left" w:pos="1980"/>
        </w:tabs>
        <w:adjustRightInd w:val="0"/>
        <w:snapToGrid w:val="0"/>
        <w:spacing w:line="420" w:lineRule="exact"/>
        <w:ind w:left="1618" w:leftChars="770" w:hanging="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根据第87.6款规定承包人撤离现场所需的合理款项，包括雇员遣送费和临时工程拆除、施工设备运离现场的款项。</w:t>
      </w:r>
    </w:p>
    <w:p w14:paraId="1823A68C">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02D78891">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88.3  </w:t>
      </w:r>
      <w:r>
        <w:rPr>
          <w:rFonts w:hint="eastAsia" w:ascii="宋体" w:hAnsi="宋体" w:eastAsia="宋体" w:cs="宋体"/>
          <w:b/>
          <w:bCs/>
          <w:color w:val="auto"/>
          <w:kern w:val="2"/>
          <w:sz w:val="22"/>
          <w:szCs w:val="22"/>
          <w:highlight w:val="none"/>
          <w:u w:val="dotted"/>
          <w:lang w:val="en-US" w:eastAsia="zh-CN" w:bidi="ar-SA"/>
        </w:rPr>
        <w:t xml:space="preserve">                                                                                       </w:t>
      </w:r>
    </w:p>
    <w:p w14:paraId="452CC63B">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402" name="文本框 3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4F39F5B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392" o:spid="_x0000_s1026" o:spt="202" type="#_x0000_t202" style="position:absolute;left:0pt;margin-left:-9pt;margin-top:3.9pt;height:54.6pt;width:72pt;z-index:252057600;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pAa+d1gAAAAkBAAAPAAAAAAAAAAEAIAAAACIAAABkcnMvZG93bnJldi54bWxQSwECFAAU&#10;AAAACACHTuJAEALLALoBAABfAwAADgAAAAAAAAABACAAAAAlAQAAZHJzL2Uyb0RvYy54bWxQSwUG&#10;AAAAAAYABgBZAQAAUQUAAAAA&#10;">
                <v:fill on="f" focussize="0,0"/>
                <v:stroke on="f"/>
                <v:imagedata o:title=""/>
                <o:lock v:ext="edit" aspectratio="f"/>
                <v:textbox>
                  <w:txbxContent>
                    <w:p w14:paraId="4F39F5B2">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09B7D8C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88.4  </w:t>
      </w:r>
      <w:r>
        <w:rPr>
          <w:rFonts w:hint="eastAsia" w:ascii="宋体" w:hAnsi="宋体" w:eastAsia="宋体" w:cs="宋体"/>
          <w:b/>
          <w:bCs/>
          <w:color w:val="auto"/>
          <w:kern w:val="2"/>
          <w:sz w:val="22"/>
          <w:szCs w:val="22"/>
          <w:highlight w:val="none"/>
          <w:u w:val="dotted"/>
          <w:lang w:val="en-US" w:eastAsia="zh-CN" w:bidi="ar-SA"/>
        </w:rPr>
        <w:t xml:space="preserve">                                                                                       </w:t>
      </w:r>
    </w:p>
    <w:p w14:paraId="2E98FE43">
      <w:pPr>
        <w:widowControl w:val="0"/>
        <w:adjustRightInd w:val="0"/>
        <w:snapToGrid w:val="0"/>
        <w:spacing w:line="420" w:lineRule="exact"/>
        <w:ind w:left="1619" w:leftChars="771"/>
        <w:jc w:val="left"/>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403" name="文本框 393"/>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14:paraId="7EF0057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wrap="square" upright="1"/>
                    </wps:wsp>
                  </a:graphicData>
                </a:graphic>
              </wp:anchor>
            </w:drawing>
          </mc:Choice>
          <mc:Fallback>
            <w:pict>
              <v:shape id="文本框 393" o:spid="_x0000_s1026" o:spt="202" type="#_x0000_t202" style="position:absolute;left:0pt;margin-left:-9pt;margin-top:3.6pt;height:36.5pt;width:72pt;z-index:252058624;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0Tb11QAAAAgBAAAPAAAAAAAAAAEAIAAAACIAAABkcnMvZG93bnJldi54bWxQSwECFAAU&#10;AAAACACHTuJAVZViwbsBAABfAwAADgAAAAAAAAABACAAAAAkAQAAZHJzL2Uyb0RvYy54bWxQSwUG&#10;AAAAAAYABgBZAQAAUQUAAAAA&#10;">
                <v:fill on="f" focussize="0,0"/>
                <v:stroke on="f"/>
                <v:imagedata o:title=""/>
                <o:lock v:ext="edit" aspectratio="f"/>
                <v:textbox>
                  <w:txbxContent>
                    <w:p w14:paraId="7EF0057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39E997DA">
      <w:pPr>
        <w:widowControl w:val="0"/>
        <w:adjustRightInd w:val="0"/>
        <w:snapToGrid w:val="0"/>
        <w:spacing w:line="420" w:lineRule="exact"/>
        <w:jc w:val="left"/>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EDD603B">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2" w:name="_Toc469384073"/>
      <w:bookmarkStart w:id="573" w:name="_Toc10624914"/>
      <w:r>
        <w:rPr>
          <w:rFonts w:hint="eastAsia" w:ascii="黑体" w:hAnsi="黑体" w:eastAsia="黑体" w:cs="黑体"/>
          <w:b w:val="0"/>
          <w:bCs/>
          <w:color w:val="auto"/>
          <w:kern w:val="0"/>
          <w:sz w:val="24"/>
          <w:szCs w:val="24"/>
          <w:highlight w:val="none"/>
          <w:lang w:val="en-US" w:eastAsia="zh-CN" w:bidi="ar-SA"/>
        </w:rPr>
        <w:t>89  合同终止</w:t>
      </w:r>
      <w:bookmarkEnd w:id="572"/>
      <w:bookmarkEnd w:id="573"/>
    </w:p>
    <w:p w14:paraId="1CC9552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89.1    </w:t>
      </w:r>
    </w:p>
    <w:p w14:paraId="10142F03">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4" name="文本框 39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C790C9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394" o:spid="_x0000_s1026" o:spt="202" type="#_x0000_t202" style="position:absolute;left:0pt;margin-left:-9pt;margin-top:1.25pt;height:31.2pt;width:72pt;z-index:2520596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4P0y3ugEAAF8DAAAOAAAAAAAAAAEAIAAAACQBAABkcnMvZTJvRG9jLnhtbFBLBQYA&#10;AAAABgAGAFkBAABQBQAAAAA=&#10;">
                <v:fill on="f" focussize="0,0"/>
                <v:stroke on="f"/>
                <v:imagedata o:title=""/>
                <o:lock v:ext="edit" aspectratio="f"/>
                <v:textbox>
                  <w:txbxContent>
                    <w:p w14:paraId="5C790C9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14:paraId="3F157CAE">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89.2  </w:t>
      </w:r>
      <w:r>
        <w:rPr>
          <w:rFonts w:hint="eastAsia" w:ascii="宋体" w:hAnsi="宋体" w:eastAsia="宋体" w:cs="宋体"/>
          <w:b/>
          <w:bCs/>
          <w:color w:val="auto"/>
          <w:kern w:val="2"/>
          <w:sz w:val="22"/>
          <w:szCs w:val="22"/>
          <w:highlight w:val="none"/>
          <w:u w:val="dotted"/>
          <w:lang w:val="en-US" w:eastAsia="zh-CN" w:bidi="ar-SA"/>
        </w:rPr>
        <w:t xml:space="preserve">                                                                                       </w:t>
      </w:r>
    </w:p>
    <w:p w14:paraId="0EC5222A">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405" name="文本框 395"/>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14:paraId="0E4A885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395" o:spid="_x0000_s1026" o:spt="202" type="#_x0000_t202" style="position:absolute;left:0pt;margin-left:-9pt;margin-top:0.05pt;height:67.05pt;width:72pt;z-index:252060672;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qn7VAAAACAEAAA8AAAAAAAAAAQAgAAAAIgAAAGRycy9kb3ducmV2LnhtbFBLAQIUABQA&#10;AAAIAIdO4kCk1KowugEAAF8DAAAOAAAAAAAAAAEAIAAAACQBAABkcnMvZTJvRG9jLnhtbFBLBQYA&#10;AAAABgAGAFkBAABQBQAAAAA=&#10;">
                <v:fill on="f" focussize="0,0"/>
                <v:stroke on="f"/>
                <v:imagedata o:title=""/>
                <o:lock v:ext="edit" aspectratio="f"/>
                <v:textbox>
                  <w:txbxContent>
                    <w:p w14:paraId="0E4A885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除第59条和第84条规定的质量保修条款外，合同双方当事人履行完本合同全部义务，发包人向承包人支付完竣工结算款，承包人向发包人交付竣工工程后，本合同即告终止。</w:t>
      </w:r>
    </w:p>
    <w:p w14:paraId="2C8BD1C8">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89.3  </w:t>
      </w:r>
      <w:r>
        <w:rPr>
          <w:rFonts w:hint="eastAsia" w:ascii="宋体" w:hAnsi="宋体" w:eastAsia="宋体" w:cs="宋体"/>
          <w:b/>
          <w:bCs/>
          <w:color w:val="auto"/>
          <w:kern w:val="2"/>
          <w:sz w:val="22"/>
          <w:szCs w:val="22"/>
          <w:highlight w:val="none"/>
          <w:u w:val="dotted"/>
          <w:lang w:val="en-US" w:eastAsia="zh-CN" w:bidi="ar-SA"/>
        </w:rPr>
        <w:t xml:space="preserve">                                                                              </w:t>
      </w:r>
    </w:p>
    <w:p w14:paraId="1CBBBE96">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06" name="文本框 39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21A1C83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396" o:spid="_x0000_s1026" o:spt="202" type="#_x0000_t202" style="position:absolute;left:0pt;margin-left:-9pt;margin-top:1.05pt;height:32.75pt;width:72pt;z-index:25206169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xMlqTVAAAACAEAAA8AAAAAAAAAAQAgAAAAIgAAAGRycy9kb3ducmV2LnhtbFBLAQIUABQA&#10;AAAIAIdO4kBkEDyXugEAAF8DAAAOAAAAAAAAAAEAIAAAACQBAABkcnMvZTJvRG9jLnhtbFBLBQYA&#10;AAAABgAGAFkBAABQBQAAAAA=&#10;">
                <v:fill on="f" focussize="0,0"/>
                <v:stroke on="f"/>
                <v:imagedata o:title=""/>
                <o:lock v:ext="edit" aspectratio="f"/>
                <v:textbox>
                  <w:txbxContent>
                    <w:p w14:paraId="21A1C831">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本合同的权利义务终止后，合同双方当事人仍应遵循诚实信用原则，继续履行合同约定的通知、协助、保密等义务。</w:t>
      </w:r>
    </w:p>
    <w:p w14:paraId="17DD96F8">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14:paraId="2289A738">
      <w:pPr>
        <w:widowControl w:val="0"/>
        <w:adjustRightInd w:val="0"/>
        <w:snapToGrid w:val="0"/>
        <w:spacing w:line="420" w:lineRule="exact"/>
        <w:ind w:right="-238"/>
        <w:jc w:val="center"/>
        <w:rPr>
          <w:rFonts w:ascii="方正小标宋_GBK" w:hAnsi="方正小标宋_GBK" w:eastAsia="方正小标宋_GBK" w:cs="方正小标宋_GBK"/>
          <w:b/>
          <w:bCs/>
          <w:color w:val="auto"/>
          <w:kern w:val="2"/>
          <w:sz w:val="24"/>
          <w:szCs w:val="24"/>
          <w:highlight w:val="none"/>
          <w:lang w:val="en-US" w:eastAsia="zh-CN" w:bidi="ar-SA"/>
        </w:rPr>
      </w:pPr>
      <w:r>
        <w:rPr>
          <w:rFonts w:hint="eastAsia" w:ascii="方正小标宋_GBK" w:hAnsi="方正小标宋_GBK" w:eastAsia="方正小标宋_GBK" w:cs="方正小标宋_GBK"/>
          <w:b/>
          <w:bCs/>
          <w:color w:val="auto"/>
          <w:kern w:val="2"/>
          <w:sz w:val="24"/>
          <w:szCs w:val="24"/>
          <w:highlight w:val="none"/>
          <w:lang w:val="en-US" w:eastAsia="zh-CN" w:bidi="ar-SA"/>
        </w:rPr>
        <w:t>八、违</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约</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责</w:t>
      </w:r>
      <w:r>
        <w:rPr>
          <w:rFonts w:ascii="方正小标宋_GBK" w:hAnsi="方正小标宋_GBK" w:eastAsia="方正小标宋_GBK" w:cs="方正小标宋_GBK"/>
          <w:b/>
          <w:bCs/>
          <w:color w:val="auto"/>
          <w:kern w:val="2"/>
          <w:sz w:val="24"/>
          <w:szCs w:val="24"/>
          <w:highlight w:val="none"/>
          <w:lang w:val="en-US" w:eastAsia="zh-CN" w:bidi="ar-SA"/>
        </w:rPr>
        <w:t xml:space="preserve"> </w:t>
      </w:r>
      <w:r>
        <w:rPr>
          <w:rFonts w:hint="eastAsia" w:ascii="方正小标宋_GBK" w:hAnsi="方正小标宋_GBK" w:eastAsia="方正小标宋_GBK" w:cs="方正小标宋_GBK"/>
          <w:b/>
          <w:bCs/>
          <w:color w:val="auto"/>
          <w:kern w:val="2"/>
          <w:sz w:val="24"/>
          <w:szCs w:val="24"/>
          <w:highlight w:val="none"/>
          <w:lang w:val="en-US" w:eastAsia="zh-CN" w:bidi="ar-SA"/>
        </w:rPr>
        <w:t>任</w:t>
      </w:r>
    </w:p>
    <w:p w14:paraId="0EB07F58">
      <w:pPr>
        <w:spacing w:line="420" w:lineRule="exact"/>
        <w:jc w:val="left"/>
        <w:rPr>
          <w:rFonts w:ascii="宋体" w:hAnsi="宋体" w:cs="宋体"/>
          <w:color w:val="auto"/>
          <w:sz w:val="22"/>
          <w:szCs w:val="22"/>
          <w:highlight w:val="none"/>
        </w:rPr>
      </w:pPr>
    </w:p>
    <w:p w14:paraId="4E0C53D6">
      <w:pPr>
        <w:spacing w:line="420" w:lineRule="exact"/>
        <w:jc w:val="left"/>
        <w:rPr>
          <w:rFonts w:ascii="宋体" w:hAnsi="宋体" w:cs="宋体"/>
          <w:color w:val="auto"/>
          <w:sz w:val="22"/>
          <w:szCs w:val="22"/>
          <w:highlight w:val="none"/>
        </w:rPr>
      </w:pPr>
    </w:p>
    <w:p w14:paraId="2EEF23BD">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4" w:name="_Toc10624915"/>
      <w:r>
        <w:rPr>
          <w:rFonts w:hint="eastAsia" w:ascii="黑体" w:hAnsi="黑体" w:eastAsia="黑体" w:cs="黑体"/>
          <w:b w:val="0"/>
          <w:bCs/>
          <w:color w:val="auto"/>
          <w:kern w:val="0"/>
          <w:sz w:val="24"/>
          <w:szCs w:val="24"/>
          <w:highlight w:val="none"/>
          <w:lang w:val="en-US" w:eastAsia="zh-CN" w:bidi="ar-SA"/>
        </w:rPr>
        <w:t>★90  承包人的违约责任</w:t>
      </w:r>
      <w:bookmarkEnd w:id="574"/>
    </w:p>
    <w:p w14:paraId="62277C4D">
      <w:pPr>
        <w:widowControl w:val="0"/>
        <w:adjustRightInd w:val="0"/>
        <w:snapToGri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eastAsia="宋体" w:cs="宋体"/>
          <w:b/>
          <w:bCs/>
          <w:color w:val="auto"/>
          <w:kern w:val="2"/>
          <w:sz w:val="22"/>
          <w:szCs w:val="22"/>
          <w:highlight w:val="none"/>
          <w:lang w:val="en-US" w:eastAsia="zh-CN" w:bidi="ar-SA"/>
        </w:rPr>
        <w:t>90.1</w:t>
      </w:r>
    </w:p>
    <w:p w14:paraId="4CCFABD4">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CA0F20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397"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sMhrQugEAAF8DAAAOAAAAAAAAAAEAIAAAACQBAABkcnMvZTJvRG9jLnhtbFBLBQYA&#10;AAAABgAGAFkBAABQBQAAAAA=&#10;">
                <v:fill on="f" focussize="0,0"/>
                <v:stroke on="f"/>
                <v:imagedata o:title=""/>
                <o:lock v:ext="edit" aspectratio="f"/>
                <v:textbox>
                  <w:txbxContent>
                    <w:p w14:paraId="3CA0F20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因承包人违反本合同约定给发包人造成损失的，承包人应当赔偿发包人损失。</w:t>
      </w:r>
    </w:p>
    <w:p w14:paraId="07F0F1EC">
      <w:pPr>
        <w:spacing w:line="420" w:lineRule="exact"/>
        <w:ind w:left="2113" w:leftChars="27" w:hanging="2056" w:hangingChars="931"/>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cs="宋体"/>
          <w:b/>
          <w:bCs/>
          <w:color w:val="auto"/>
          <w:sz w:val="22"/>
          <w:szCs w:val="22"/>
          <w:highlight w:val="none"/>
        </w:rPr>
        <w:t xml:space="preserve">90.2  </w:t>
      </w:r>
      <w:r>
        <w:rPr>
          <w:rFonts w:hint="eastAsia" w:ascii="宋体" w:hAnsi="宋体" w:cs="宋体"/>
          <w:b/>
          <w:bCs/>
          <w:color w:val="auto"/>
          <w:sz w:val="22"/>
          <w:szCs w:val="22"/>
          <w:highlight w:val="none"/>
          <w:u w:val="dotted"/>
        </w:rPr>
        <w:t xml:space="preserve">                                                                                </w:t>
      </w:r>
    </w:p>
    <w:p w14:paraId="2765A004">
      <w:pPr>
        <w:spacing w:line="420" w:lineRule="exact"/>
        <w:ind w:left="2291" w:leftChars="27" w:hanging="2234" w:hangingChars="931"/>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39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133DB74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549C92A7">
                            <w:pPr>
                              <w:spacing w:line="240" w:lineRule="exact"/>
                              <w:rPr>
                                <w:rFonts w:ascii="楷体_GB2312" w:hAnsi="宋体" w:eastAsia="楷体_GB2312" w:cs="Times New Roman"/>
                                <w:b/>
                                <w:bCs/>
                                <w:sz w:val="18"/>
                                <w:szCs w:val="18"/>
                              </w:rPr>
                            </w:pPr>
                          </w:p>
                          <w:p w14:paraId="7CE04B8E">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398"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yWpNUAAAAIAQAADwAAAAAAAAABACAAAAAiAAAAZHJzL2Rvd25yZXYueG1sUEsBAhQAFAAA&#10;AAgAh07iQKjO0nu5AQAAXwMAAA4AAAAAAAAAAQAgAAAAJAEAAGRycy9lMm9Eb2MueG1sUEsFBgAA&#10;AAAGAAYAWQEAAE8FAAAAAA==&#10;">
                <v:fill on="f" focussize="0,0"/>
                <v:stroke on="f"/>
                <v:imagedata o:title=""/>
                <o:lock v:ext="edit" aspectratio="f"/>
                <v:textbox>
                  <w:txbxContent>
                    <w:p w14:paraId="133DB74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549C92A7">
                      <w:pPr>
                        <w:spacing w:line="240" w:lineRule="exact"/>
                        <w:rPr>
                          <w:rFonts w:ascii="楷体_GB2312" w:hAnsi="宋体" w:eastAsia="楷体_GB2312" w:cs="Times New Roman"/>
                          <w:b/>
                          <w:bCs/>
                          <w:sz w:val="18"/>
                          <w:szCs w:val="18"/>
                        </w:rPr>
                      </w:pPr>
                    </w:p>
                    <w:p w14:paraId="7CE04B8E">
                      <w:pPr>
                        <w:spacing w:line="240" w:lineRule="exact"/>
                        <w:rPr>
                          <w:rFonts w:ascii="楷体_GB2312" w:hAnsi="宋体" w:eastAsia="楷体_GB2312" w:cs="Times New Roman"/>
                          <w:b/>
                          <w:bCs/>
                          <w:sz w:val="18"/>
                          <w:szCs w:val="18"/>
                        </w:rPr>
                      </w:pP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 xml:space="preserve">              承包人向发包人的索赔不成立时，承包人应赔偿发包人由此发</w:t>
      </w:r>
    </w:p>
    <w:p w14:paraId="30D5473A">
      <w:pPr>
        <w:spacing w:line="420" w:lineRule="exact"/>
        <w:ind w:left="2282" w:leftChars="825" w:hanging="549" w:hangingChars="229"/>
        <w:rPr>
          <w:rFonts w:ascii="宋体" w:hAnsi="宋体" w:cs="宋体"/>
          <w:color w:val="auto"/>
          <w:sz w:val="22"/>
          <w:szCs w:val="22"/>
          <w:highlight w:val="none"/>
        </w:rPr>
      </w:pPr>
      <w:r>
        <w:rPr>
          <w:rFonts w:hint="eastAsia" w:ascii="仿宋_GB2312" w:hAnsi="仿宋_GB2312" w:eastAsia="仿宋_GB2312" w:cs="仿宋_GB2312"/>
          <w:color w:val="auto"/>
          <w:kern w:val="2"/>
          <w:sz w:val="24"/>
          <w:szCs w:val="24"/>
          <w:highlight w:val="none"/>
          <w:lang w:val="en-US" w:eastAsia="zh-CN" w:bidi="ar-SA"/>
        </w:rPr>
        <w:t>生的费用。</w:t>
      </w:r>
    </w:p>
    <w:p w14:paraId="6A5934EB">
      <w:pPr>
        <w:spacing w:line="420" w:lineRule="exact"/>
        <w:ind w:left="2105" w:leftChars="27" w:hanging="2048" w:hangingChars="931"/>
        <w:rPr>
          <w:rFonts w:ascii="宋体" w:hAnsi="宋体" w:cs="宋体"/>
          <w:color w:val="auto"/>
          <w:sz w:val="22"/>
          <w:szCs w:val="22"/>
          <w:highlight w:val="none"/>
        </w:rPr>
      </w:pPr>
      <w:r>
        <w:rPr>
          <w:rFonts w:hint="eastAsia" w:ascii="Calibri" w:hAnsi="宋体" w:cs="Calibri"/>
          <w:color w:val="auto"/>
          <w:sz w:val="22"/>
          <w:szCs w:val="22"/>
          <w:highlight w:val="none"/>
          <w:u w:val="single"/>
        </w:rPr>
        <w:t xml:space="preserve">                                                                         </w:t>
      </w:r>
      <w:r>
        <w:rPr>
          <w:rFonts w:hint="eastAsia" w:ascii="Calibri" w:hAnsi="宋体" w:cs="Calibri"/>
          <w:color w:val="auto"/>
          <w:sz w:val="22"/>
          <w:szCs w:val="22"/>
          <w:highlight w:val="none"/>
          <w:u w:val="single"/>
          <w:lang w:val="en-US" w:eastAsia="zh-CN"/>
        </w:rPr>
        <w:t xml:space="preserve">   </w:t>
      </w:r>
      <w:r>
        <w:rPr>
          <w:rFonts w:hint="eastAsia" w:ascii="Calibri" w:hAnsi="宋体" w:cs="Calibri"/>
          <w:color w:val="auto"/>
          <w:sz w:val="22"/>
          <w:szCs w:val="22"/>
          <w:highlight w:val="none"/>
          <w:u w:val="single"/>
        </w:rPr>
        <w:t xml:space="preserve">  </w:t>
      </w:r>
      <w:r>
        <w:rPr>
          <w:rFonts w:hint="eastAsia" w:ascii="Calibri" w:hAnsi="宋体" w:cs="Calibri"/>
          <w:color w:val="auto"/>
          <w:sz w:val="22"/>
          <w:szCs w:val="22"/>
          <w:highlight w:val="none"/>
          <w:u w:val="single"/>
          <w:lang w:val="en-US" w:eastAsia="zh-CN"/>
        </w:rPr>
        <w:t xml:space="preserve">   </w:t>
      </w:r>
      <w:r>
        <w:rPr>
          <w:rFonts w:hint="eastAsia" w:ascii="Calibri" w:hAnsi="宋体" w:cs="Calibri"/>
          <w:color w:val="auto"/>
          <w:sz w:val="22"/>
          <w:szCs w:val="22"/>
          <w:highlight w:val="none"/>
          <w:u w:val="single"/>
        </w:rPr>
        <w:t xml:space="preserve">  </w:t>
      </w:r>
    </w:p>
    <w:p w14:paraId="70051D4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5" w:name="_Toc10624916"/>
      <w:bookmarkStart w:id="576" w:name="_Toc489260630"/>
      <w:r>
        <w:rPr>
          <w:rFonts w:hint="eastAsia" w:ascii="黑体" w:hAnsi="黑体" w:eastAsia="黑体" w:cs="黑体"/>
          <w:b w:val="0"/>
          <w:bCs/>
          <w:color w:val="auto"/>
          <w:kern w:val="0"/>
          <w:sz w:val="24"/>
          <w:szCs w:val="24"/>
          <w:highlight w:val="none"/>
          <w:lang w:val="en-US" w:eastAsia="zh-CN" w:bidi="ar-SA"/>
        </w:rPr>
        <w:t>★91 发包人的违约责任</w:t>
      </w:r>
      <w:bookmarkEnd w:id="575"/>
      <w:bookmarkEnd w:id="576"/>
    </w:p>
    <w:p w14:paraId="5CB16D0B">
      <w:pPr>
        <w:widowControl w:val="0"/>
        <w:adjustRightInd w:val="0"/>
        <w:snapToGrid w:val="0"/>
        <w:spacing w:line="420" w:lineRule="exact"/>
        <w:ind w:firstLine="108" w:firstLineChars="49"/>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91.1 </w:t>
      </w:r>
    </w:p>
    <w:p w14:paraId="7AD1B73F">
      <w:pPr>
        <w:adjustRightInd w:val="0"/>
        <w:snapToGrid w:val="0"/>
        <w:spacing w:line="420" w:lineRule="exact"/>
        <w:ind w:left="1035" w:leftChars="493"/>
        <w:rPr>
          <w:rFonts w:hint="eastAsia" w:ascii="仿宋_GB2312" w:hAnsi="仿宋_GB2312" w:eastAsia="仿宋_GB2312" w:cs="仿宋_GB2312"/>
          <w:color w:val="auto"/>
          <w:kern w:val="2"/>
          <w:sz w:val="24"/>
          <w:szCs w:val="24"/>
          <w:highlight w:val="none"/>
          <w:lang w:val="en-US" w:eastAsia="zh-CN" w:bidi="ar-SA"/>
        </w:rPr>
      </w:pPr>
      <w:r>
        <w:rPr>
          <w:rFonts w:hint="eastAsia" w:ascii="宋体" w:hAnsi="宋体" w:cs="宋体"/>
          <w:color w:val="auto"/>
          <w:sz w:val="22"/>
          <w:szCs w:val="22"/>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3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96C483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wrap="square" upright="1"/>
                    </wps:wsp>
                  </a:graphicData>
                </a:graphic>
              </wp:anchor>
            </w:drawing>
          </mc:Choice>
          <mc:Fallback>
            <w:pict>
              <v:shape id="文本框 399"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U745/ugEAAF8DAAAOAAAAAAAAAAEAIAAAACQBAABkcnMvZTJvRG9jLnhtbFBLBQYA&#10;AAAABgAGAFkBAABQBQAAAAA=&#10;">
                <v:fill on="f" focussize="0,0"/>
                <v:stroke on="f"/>
                <v:imagedata o:title=""/>
                <o:lock v:ext="edit" aspectratio="f"/>
                <v:textbox>
                  <w:txbxContent>
                    <w:p w14:paraId="096C483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kern w:val="2"/>
          <w:sz w:val="24"/>
          <w:szCs w:val="24"/>
          <w:highlight w:val="none"/>
          <w:lang w:val="en-US" w:eastAsia="zh-CN" w:bidi="ar-SA"/>
        </w:rPr>
        <w:t>因发包人违反本合同约定造成承包人损失的，发包人应予以赔偿。</w:t>
      </w:r>
    </w:p>
    <w:p w14:paraId="666D8A8A">
      <w:pPr>
        <w:adjustRightInd w:val="0"/>
        <w:snapToGrid w:val="0"/>
        <w:spacing w:line="420" w:lineRule="exact"/>
        <w:ind w:left="1035" w:leftChars="493" w:firstLine="331" w:firstLineChars="150"/>
        <w:rPr>
          <w:rFonts w:ascii="宋体" w:hAnsi="宋体" w:cs="宋体"/>
          <w:b/>
          <w:bCs/>
          <w:color w:val="auto"/>
          <w:sz w:val="22"/>
          <w:szCs w:val="22"/>
          <w:highlight w:val="none"/>
        </w:rPr>
      </w:pPr>
    </w:p>
    <w:p w14:paraId="7493F0C6">
      <w:pPr>
        <w:spacing w:line="420" w:lineRule="exact"/>
        <w:ind w:left="2113" w:leftChars="27" w:hanging="2056" w:hangingChars="931"/>
        <w:rPr>
          <w:rFonts w:ascii="宋体" w:hAnsi="宋体" w:cs="宋体"/>
          <w:b/>
          <w:bCs/>
          <w:color w:val="auto"/>
          <w:sz w:val="22"/>
          <w:szCs w:val="22"/>
          <w:highlight w:val="none"/>
          <w:u w:val="dotted"/>
        </w:rPr>
      </w:pPr>
      <w:r>
        <w:rPr>
          <w:rFonts w:hint="eastAsia" w:ascii="宋体" w:hAnsi="宋体" w:cs="宋体"/>
          <w:b/>
          <w:bCs/>
          <w:color w:val="auto"/>
          <w:sz w:val="22"/>
          <w:szCs w:val="22"/>
          <w:highlight w:val="none"/>
        </w:rPr>
        <w:t xml:space="preserve">91.2  </w:t>
      </w:r>
      <w:r>
        <w:rPr>
          <w:rFonts w:hint="eastAsia" w:ascii="宋体" w:hAnsi="宋体" w:cs="宋体"/>
          <w:b/>
          <w:bCs/>
          <w:color w:val="auto"/>
          <w:sz w:val="22"/>
          <w:szCs w:val="22"/>
          <w:highlight w:val="none"/>
          <w:u w:val="dotted"/>
        </w:rPr>
        <w:t xml:space="preserve">                                                                                </w:t>
      </w:r>
    </w:p>
    <w:p w14:paraId="467F97C6">
      <w:pPr>
        <w:adjustRightInd w:val="0"/>
        <w:snapToGrid w:val="0"/>
        <w:spacing w:line="420" w:lineRule="exact"/>
        <w:ind w:left="1534" w:leftChars="102" w:hanging="1320" w:hangingChars="600"/>
        <w:rPr>
          <w:rFonts w:ascii="宋体" w:hAnsi="宋体" w:cs="宋体"/>
          <w:color w:val="auto"/>
          <w:sz w:val="22"/>
          <w:szCs w:val="22"/>
          <w:highlight w:val="none"/>
        </w:rPr>
      </w:pPr>
      <w:r>
        <w:rPr>
          <w:rFonts w:hint="eastAsia" w:ascii="宋体" w:hAnsi="宋体" w:cs="宋体"/>
          <w:color w:val="auto"/>
          <w:sz w:val="22"/>
          <w:szCs w:val="22"/>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40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19A267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wrap="square" upright="1"/>
                    </wps:wsp>
                  </a:graphicData>
                </a:graphic>
              </wp:anchor>
            </w:drawing>
          </mc:Choice>
          <mc:Fallback>
            <w:pict>
              <v:shape id="文本框 400" o:spid="_x0000_s1026" o:spt="202" type="#_x0000_t202" style="position:absolute;left:0pt;margin-left:-9pt;margin-top:1.05pt;height:32.75pt;width:72pt;z-index:25208217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EyWpNUAAAAIAQAADwAAAAAAAAABACAAAAAiAAAAZHJzL2Rvd25yZXYueG1sUEsBAhQAFAAAAAgA&#10;h07iQDwGxWO2AQAAXwMAAA4AAAAAAAAAAQAgAAAAJAEAAGRycy9lMm9Eb2MueG1sUEsFBgAAAAAG&#10;AAYAWQEAAEwFAAAAAA==&#10;">
                <v:fill on="f" focussize="0,0"/>
                <v:stroke on="f"/>
                <v:imagedata o:title=""/>
                <o:lock v:ext="edit" aspectratio="f"/>
                <v:textbox>
                  <w:txbxContent>
                    <w:p w14:paraId="19A267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kern w:val="2"/>
          <w:sz w:val="24"/>
          <w:szCs w:val="24"/>
          <w:highlight w:val="none"/>
          <w:lang w:val="en-US" w:eastAsia="zh-CN" w:bidi="ar-SA"/>
        </w:rPr>
        <w:t>发包人向承包人的索赔不成立时，发包人应赔偿承包人由此发生的费用。</w:t>
      </w:r>
    </w:p>
    <w:p w14:paraId="3E03971C">
      <w:pPr>
        <w:adjustRightInd w:val="0"/>
        <w:snapToGrid w:val="0"/>
        <w:spacing w:line="420" w:lineRule="exact"/>
        <w:rPr>
          <w:rFonts w:ascii="宋体" w:hAnsi="宋体" w:cs="宋体"/>
          <w:b/>
          <w:bCs/>
          <w:color w:val="auto"/>
          <w:sz w:val="22"/>
          <w:szCs w:val="22"/>
          <w:highlight w:val="none"/>
          <w:u w:val="dotted"/>
        </w:rPr>
      </w:pPr>
      <w:r>
        <w:rPr>
          <w:rFonts w:hint="eastAsia" w:ascii="Calibri" w:hAnsi="宋体" w:cs="Calibri"/>
          <w:color w:val="auto"/>
          <w:sz w:val="22"/>
          <w:szCs w:val="22"/>
          <w:highlight w:val="none"/>
          <w:u w:val="single"/>
        </w:rPr>
        <w:t xml:space="preserve">                                                                             </w:t>
      </w:r>
    </w:p>
    <w:p w14:paraId="2BA97397">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77" w:name="_Toc10624917"/>
      <w:bookmarkStart w:id="578" w:name="_Toc489260631"/>
      <w:r>
        <w:rPr>
          <w:rFonts w:hint="eastAsia" w:ascii="黑体" w:hAnsi="黑体" w:eastAsia="黑体" w:cs="黑体"/>
          <w:b w:val="0"/>
          <w:bCs/>
          <w:color w:val="auto"/>
          <w:kern w:val="0"/>
          <w:sz w:val="24"/>
          <w:szCs w:val="24"/>
          <w:highlight w:val="none"/>
          <w:lang w:val="en-US" w:eastAsia="zh-CN" w:bidi="ar-SA"/>
        </w:rPr>
        <w:t>★92  除外责任</w:t>
      </w:r>
      <w:bookmarkEnd w:id="577"/>
      <w:bookmarkEnd w:id="578"/>
    </w:p>
    <w:p w14:paraId="0AA646C4">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7919A3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20832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CAJ5lnugEAAF8DAAAOAAAAAAAAAAEAIAAAACQBAABkcnMvZTJvRG9jLnhtbFBLBQYA&#10;AAAABgAGAFkBAABQBQAAAAA=&#10;">
                <v:fill on="f" focussize="0,0"/>
                <v:stroke on="f"/>
                <v:imagedata o:title=""/>
                <o:lock v:ext="edit" aspectratio="f"/>
                <v:textbox>
                  <w:txbxContent>
                    <w:p w14:paraId="67919A37">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非承包人的原因，且承包人无过错，而产生的各类损失，承包人不承担赔偿责任。</w:t>
      </w:r>
    </w:p>
    <w:p w14:paraId="5EB968B6">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因不可抗力导致本合同全部或部分不能履行时，双方各自承担其因此而造成的损失、损害。</w:t>
      </w:r>
    </w:p>
    <w:p w14:paraId="2902221D">
      <w:pPr>
        <w:spacing w:line="420" w:lineRule="exact"/>
        <w:rPr>
          <w:rFonts w:ascii="宋体" w:hAnsi="宋体" w:cs="宋体"/>
          <w:color w:val="auto"/>
          <w:sz w:val="22"/>
          <w:szCs w:val="22"/>
          <w:highlight w:val="none"/>
        </w:rPr>
      </w:pPr>
    </w:p>
    <w:p w14:paraId="1958646E">
      <w:pPr>
        <w:widowControl w:val="0"/>
        <w:adjustRightInd w:val="0"/>
        <w:snapToGrid w:val="0"/>
        <w:spacing w:line="420" w:lineRule="exact"/>
        <w:ind w:right="-238"/>
        <w:jc w:val="both"/>
        <w:rPr>
          <w:rFonts w:ascii="宋体" w:hAnsi="宋体" w:eastAsia="宋体" w:cs="宋体"/>
          <w:color w:val="auto"/>
          <w:kern w:val="2"/>
          <w:sz w:val="22"/>
          <w:szCs w:val="22"/>
          <w:highlight w:val="none"/>
          <w:u w:val="single"/>
          <w:lang w:val="en-US" w:eastAsia="zh-CN" w:bidi="ar-SA"/>
        </w:rPr>
      </w:pPr>
      <w:r>
        <w:rPr>
          <w:rFonts w:hint="eastAsia" w:ascii="宋体" w:hAnsi="宋体" w:eastAsia="宋体" w:cs="宋体"/>
          <w:color w:val="auto"/>
          <w:kern w:val="2"/>
          <w:sz w:val="22"/>
          <w:szCs w:val="22"/>
          <w:highlight w:val="none"/>
          <w:u w:val="single"/>
          <w:lang w:val="en-US" w:eastAsia="zh-CN" w:bidi="ar-SA"/>
        </w:rPr>
        <w:t xml:space="preserve">                                                                                 </w:t>
      </w:r>
    </w:p>
    <w:p w14:paraId="71D5B001">
      <w:pPr>
        <w:widowControl w:val="0"/>
        <w:adjustRightInd w:val="0"/>
        <w:snapToGrid w:val="0"/>
        <w:spacing w:line="420" w:lineRule="exact"/>
        <w:ind w:right="-238"/>
        <w:jc w:val="center"/>
        <w:rPr>
          <w:rFonts w:ascii="方正小标宋_GBK" w:hAnsi="方正小标宋_GBK" w:eastAsia="方正小标宋_GBK" w:cs="方正小标宋_GBK"/>
          <w:b/>
          <w:bCs/>
          <w:color w:val="auto"/>
          <w:kern w:val="2"/>
          <w:sz w:val="24"/>
          <w:szCs w:val="24"/>
          <w:highlight w:val="none"/>
          <w:lang w:val="en-US" w:eastAsia="zh-CN" w:bidi="ar-SA"/>
        </w:rPr>
      </w:pPr>
      <w:bookmarkStart w:id="579" w:name="_Toc10624918"/>
      <w:bookmarkStart w:id="580" w:name="_Toc469384074"/>
      <w:r>
        <w:rPr>
          <w:rFonts w:hint="eastAsia" w:ascii="方正小标宋_GBK" w:hAnsi="方正小标宋_GBK" w:eastAsia="方正小标宋_GBK" w:cs="方正小标宋_GBK"/>
          <w:b/>
          <w:bCs/>
          <w:color w:val="auto"/>
          <w:kern w:val="2"/>
          <w:sz w:val="24"/>
          <w:szCs w:val="24"/>
          <w:highlight w:val="none"/>
          <w:lang w:val="en-US" w:eastAsia="zh-CN" w:bidi="ar-SA"/>
        </w:rPr>
        <w:t>九、其  他</w:t>
      </w:r>
      <w:bookmarkEnd w:id="579"/>
      <w:bookmarkEnd w:id="580"/>
    </w:p>
    <w:p w14:paraId="48CD894C">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1" w:name="_Toc10624919"/>
      <w:bookmarkStart w:id="582" w:name="_Toc469384075"/>
      <w:r>
        <w:rPr>
          <w:rFonts w:hint="eastAsia" w:ascii="黑体" w:hAnsi="黑体" w:eastAsia="黑体" w:cs="黑体"/>
          <w:b w:val="0"/>
          <w:bCs/>
          <w:color w:val="auto"/>
          <w:kern w:val="0"/>
          <w:sz w:val="24"/>
          <w:szCs w:val="24"/>
          <w:highlight w:val="none"/>
          <w:lang w:val="en-US" w:eastAsia="zh-CN" w:bidi="ar-SA"/>
        </w:rPr>
        <w:t>93  缴纳税费</w:t>
      </w:r>
      <w:bookmarkEnd w:id="581"/>
      <w:bookmarkEnd w:id="582"/>
    </w:p>
    <w:p w14:paraId="6CEE0417">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93.1      </w:t>
      </w:r>
    </w:p>
    <w:p w14:paraId="60439226">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w:t>
      </w: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415" name="文本框 402"/>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14:paraId="0F86898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02" o:spid="_x0000_s1026" o:spt="202" type="#_x0000_t202" style="position:absolute;left:0pt;margin-left:-9pt;margin-top:0.05pt;height:38.15pt;width:72pt;z-index:252062720;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KWgr1AAAAAcBAAAPAAAAAAAAAAEAIAAAACIAAABkcnMvZG93bnJldi54bWxQSwECFAAUAAAA&#10;CACHTuJAIt12n7kBAABfAwAADgAAAAAAAAABACAAAAAjAQAAZHJzL2Uyb0RvYy54bWxQSwUGAAAA&#10;AAYABgBZAQAATgUAAAAA&#10;">
                <v:fill on="f" focussize="0,0"/>
                <v:stroke on="f"/>
                <v:imagedata o:title=""/>
                <o:lock v:ext="edit" aspectratio="f"/>
                <v:textbox>
                  <w:txbxContent>
                    <w:p w14:paraId="0F86898F">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应按照国家现行税法和有关部门现行规定缴纳合同工程需缴的一切税费。</w:t>
      </w:r>
    </w:p>
    <w:p w14:paraId="1F1ED01C">
      <w:pPr>
        <w:widowControl w:val="0"/>
        <w:tabs>
          <w:tab w:val="left" w:pos="1320"/>
        </w:tabs>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93.2  </w:t>
      </w:r>
      <w:r>
        <w:rPr>
          <w:rFonts w:hint="eastAsia" w:ascii="宋体" w:hAnsi="宋体" w:eastAsia="宋体" w:cs="宋体"/>
          <w:b/>
          <w:bCs/>
          <w:color w:val="auto"/>
          <w:kern w:val="2"/>
          <w:sz w:val="22"/>
          <w:szCs w:val="22"/>
          <w:highlight w:val="none"/>
          <w:u w:val="dotted"/>
          <w:lang w:val="en-US" w:eastAsia="zh-CN" w:bidi="ar-SA"/>
        </w:rPr>
        <w:t xml:space="preserve">                                                                                       </w:t>
      </w:r>
    </w:p>
    <w:p w14:paraId="6822FDA3">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416" name="文本框 4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703750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03" o:spid="_x0000_s1026" o:spt="202" type="#_x0000_t202" style="position:absolute;left:0pt;margin-left:-9pt;margin-top:2.55pt;height:31.2pt;width:72pt;z-index:252063744;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qj8jPVAAAACAEAAA8AAAAAAAAAAQAgAAAAIgAAAGRycy9kb3ducmV2LnhtbFBLAQIUABQA&#10;AAAIAIdO4kAlL8PIugEAAF8DAAAOAAAAAAAAAAEAIAAAACQBAABkcnMvZTJvRG9jLnhtbFBLBQYA&#10;AAAABgAGAFkBAABQBQAAAAA=&#10;">
                <v:fill on="f" focussize="0,0"/>
                <v:stroke on="f"/>
                <v:imagedata o:title=""/>
                <o:lock v:ext="edit" aspectratio="f"/>
                <v:textbox>
                  <w:txbxContent>
                    <w:p w14:paraId="1703750B">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合同任何一方当事人没交或少交合同工程需缴税费的，违法方应足额补交，并承担相应的法律责任；给另一方当事人造成损失的，违法方应赔偿损失。</w:t>
      </w:r>
    </w:p>
    <w:p w14:paraId="675F664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6C1B5E28">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3" w:name="_Toc10624920"/>
      <w:bookmarkStart w:id="584" w:name="_Toc469384076"/>
      <w:r>
        <w:rPr>
          <w:rFonts w:hint="eastAsia" w:ascii="黑体" w:hAnsi="黑体" w:eastAsia="黑体" w:cs="黑体"/>
          <w:b w:val="0"/>
          <w:bCs/>
          <w:color w:val="auto"/>
          <w:kern w:val="0"/>
          <w:sz w:val="24"/>
          <w:szCs w:val="24"/>
          <w:highlight w:val="none"/>
          <w:lang w:val="en-US" w:eastAsia="zh-CN" w:bidi="ar-SA"/>
        </w:rPr>
        <w:t>94  保密要求</w:t>
      </w:r>
      <w:bookmarkEnd w:id="583"/>
      <w:bookmarkEnd w:id="584"/>
    </w:p>
    <w:p w14:paraId="060EA1AF">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94.1    </w:t>
      </w:r>
    </w:p>
    <w:p w14:paraId="6079E646">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417" name="文本框 40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6441DB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04" o:spid="_x0000_s1026" o:spt="202" type="#_x0000_t202" style="position:absolute;left:0pt;margin-left:-9pt;margin-top:2.7pt;height:46.8pt;width:72pt;z-index:252064768;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tmtfXVAAAACAEAAA8AAAAAAAAAAQAgAAAAIgAAAGRycy9kb3ducmV2LnhtbFBLAQIUABQA&#10;AAAIAIdO4kBlFXU5ugEAAF8DAAAOAAAAAAAAAAEAIAAAACQBAABkcnMvZTJvRG9jLnhtbFBLBQYA&#10;AAAABgAGAFkBAABQBQAAAAA=&#10;">
                <v:fill on="f" focussize="0,0"/>
                <v:stroke on="f"/>
                <v:imagedata o:title=""/>
                <o:lock v:ext="edit" aspectratio="f"/>
                <v:textbox>
                  <w:txbxContent>
                    <w:p w14:paraId="46441DB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合同双方当事人应在专用条款约定期限内提供保密信息。自收到对方当事人提供的保密信息之日起，合同双方当事人应履行保密义务。合同双方当事人履行保密义务，并不因本合同终止而结束。</w:t>
      </w:r>
    </w:p>
    <w:p w14:paraId="5315AEC9">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94.2  </w:t>
      </w:r>
      <w:r>
        <w:rPr>
          <w:rFonts w:hint="eastAsia" w:ascii="宋体" w:hAnsi="宋体" w:eastAsia="宋体" w:cs="宋体"/>
          <w:b/>
          <w:bCs/>
          <w:color w:val="auto"/>
          <w:kern w:val="2"/>
          <w:sz w:val="22"/>
          <w:szCs w:val="22"/>
          <w:highlight w:val="none"/>
          <w:u w:val="dotted"/>
          <w:lang w:val="en-US" w:eastAsia="zh-CN" w:bidi="ar-SA"/>
        </w:rPr>
        <w:t xml:space="preserve">                                                                                      </w:t>
      </w:r>
    </w:p>
    <w:p w14:paraId="64484654">
      <w:pPr>
        <w:widowControl w:val="0"/>
        <w:adjustRightInd w:val="0"/>
        <w:snapToGrid w:val="0"/>
        <w:spacing w:line="420" w:lineRule="exact"/>
        <w:ind w:left="1619" w:leftChars="771"/>
        <w:jc w:val="both"/>
        <w:rPr>
          <w:rFonts w:ascii="宋体" w:hAnsi="宋体" w:eastAsia="宋体" w:cs="宋体"/>
          <w:color w:val="auto"/>
          <w:kern w:val="2"/>
          <w:sz w:val="22"/>
          <w:szCs w:val="22"/>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418" name="文本框 40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845CE7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05" o:spid="_x0000_s1026" o:spt="202" type="#_x0000_t202" style="position:absolute;left:0pt;margin-left:-9pt;margin-top:5.4pt;height:39pt;width:72pt;z-index:252065792;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igu9UAAAAJAQAADwAAAAAAAAABACAAAAAiAAAAZHJzL2Rvd25yZXYueG1sUEsBAhQAFAAA&#10;AAgAh07iQAErjIq5AQAAXwMAAA4AAAAAAAAAAQAgAAAAJAEAAGRycy9lMm9Eb2MueG1sUEsFBgAA&#10;AAAGAAYAWQEAAE8FAAAAAA==&#10;">
                <v:fill on="f" focussize="0,0"/>
                <v:stroke on="f"/>
                <v:imagedata o:title=""/>
                <o:lock v:ext="edit" aspectratio="f"/>
                <v:textbox>
                  <w:txbxContent>
                    <w:p w14:paraId="5845CE7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A9402E3">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94.3  </w:t>
      </w:r>
      <w:r>
        <w:rPr>
          <w:rFonts w:hint="eastAsia" w:ascii="宋体" w:hAnsi="宋体" w:eastAsia="宋体" w:cs="宋体"/>
          <w:b/>
          <w:bCs/>
          <w:color w:val="auto"/>
          <w:kern w:val="2"/>
          <w:sz w:val="22"/>
          <w:szCs w:val="22"/>
          <w:highlight w:val="none"/>
          <w:u w:val="dotted"/>
          <w:lang w:val="en-US" w:eastAsia="zh-CN" w:bidi="ar-SA"/>
        </w:rPr>
        <w:t xml:space="preserve">                                                                                       </w:t>
      </w:r>
    </w:p>
    <w:p w14:paraId="4238DDF9">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419" name="文本框 406"/>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14:paraId="08DD68A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06" o:spid="_x0000_s1026" o:spt="202" type="#_x0000_t202" style="position:absolute;left:0pt;margin-left:-9pt;margin-top:0.25pt;height:23.7pt;width:81pt;z-index:252066816;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nJgqNQAAAAHAQAADwAAAAAAAAABACAAAAAiAAAAZHJzL2Rvd25yZXYueG1sUEsBAhQAFAAA&#10;AAgAh07iQIaAadO6AQAAYAMAAA4AAAAAAAAAAQAgAAAAIwEAAGRycy9lMm9Eb2MueG1sUEsFBgAA&#10;AAAGAAYAWQEAAE8FAAAAAA==&#10;">
                <v:fill on="f" focussize="0,0"/>
                <v:stroke on="f"/>
                <v:imagedata o:title=""/>
                <o:lock v:ext="edit" aspectratio="f"/>
                <v:textbox>
                  <w:txbxContent>
                    <w:p w14:paraId="08DD68A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6BFA301A">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94.4  </w:t>
      </w:r>
      <w:r>
        <w:rPr>
          <w:rFonts w:hint="eastAsia" w:ascii="宋体" w:hAnsi="宋体" w:eastAsia="宋体" w:cs="宋体"/>
          <w:b/>
          <w:bCs/>
          <w:color w:val="auto"/>
          <w:kern w:val="2"/>
          <w:sz w:val="22"/>
          <w:szCs w:val="22"/>
          <w:highlight w:val="none"/>
          <w:u w:val="dotted"/>
          <w:lang w:val="en-US" w:eastAsia="zh-CN" w:bidi="ar-SA"/>
        </w:rPr>
        <w:t xml:space="preserve">                                                                                      </w:t>
      </w:r>
    </w:p>
    <w:p w14:paraId="2E2A710B">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420" name="文本框 407"/>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14:paraId="2FEF23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07" o:spid="_x0000_s1026" o:spt="202" type="#_x0000_t202" style="position:absolute;left:0pt;margin-left:-9pt;margin-top:5.15pt;height:57.3pt;width:72pt;z-index:252067840;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nob2fWAAAACgEAAA8AAAAAAAAAAQAgAAAAIgAAAGRycy9kb3ducmV2LnhtbFBLAQIUABQA&#10;AAAIAIdO4kAshZxAuQEAAF8DAAAOAAAAAAAAAAEAIAAAACUBAABkcnMvZTJvRG9jLnhtbFBLBQYA&#10;AAAABgAGAFkBAABQBQAAAAA=&#10;">
                <v:fill on="f" focussize="0,0"/>
                <v:stroke on="f"/>
                <v:imagedata o:title=""/>
                <o:lock v:ext="edit" aspectratio="f"/>
                <v:textbox>
                  <w:txbxContent>
                    <w:p w14:paraId="2FEF23E0">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9D595E7">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94.5  </w:t>
      </w:r>
      <w:r>
        <w:rPr>
          <w:rFonts w:hint="eastAsia" w:ascii="宋体" w:hAnsi="宋体" w:eastAsia="宋体" w:cs="宋体"/>
          <w:b/>
          <w:bCs/>
          <w:color w:val="auto"/>
          <w:kern w:val="2"/>
          <w:sz w:val="22"/>
          <w:szCs w:val="22"/>
          <w:highlight w:val="none"/>
          <w:u w:val="dotted"/>
          <w:lang w:val="en-US" w:eastAsia="zh-CN" w:bidi="ar-SA"/>
        </w:rPr>
        <w:t xml:space="preserve">                                                                                      </w:t>
      </w:r>
    </w:p>
    <w:p w14:paraId="5E5CA764">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421" name="文本框 4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BF85C4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08" o:spid="_x0000_s1026" o:spt="202" type="#_x0000_t202" style="position:absolute;left:0pt;margin-left:-9pt;margin-top:1.75pt;height:39pt;width:72pt;z-index:252068864;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BSM6NUAAAAIAQAADwAAAAAAAAABACAAAAAiAAAAZHJzL2Rvd25yZXYueG1sUEsBAhQAFAAA&#10;AAgAh07iQGIiuPq5AQAAXwMAAA4AAAAAAAAAAQAgAAAAJAEAAGRycy9lMm9Eb2MueG1sUEsFBgAA&#10;AAAGAAYAWQEAAE8FAAAAAA==&#10;">
                <v:fill on="f" focussize="0,0"/>
                <v:stroke on="f"/>
                <v:imagedata o:title=""/>
                <o:lock v:ext="edit" aspectratio="f"/>
                <v:textbox>
                  <w:txbxContent>
                    <w:p w14:paraId="5BF85C4A">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114FFC77">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（1）提供前已由合同双方当事人所持有的；</w:t>
      </w:r>
    </w:p>
    <w:p w14:paraId="20170D1D">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（2）已公开发表或非对方当事人原因向公众公开的；</w:t>
      </w:r>
    </w:p>
    <w:p w14:paraId="4EF00B5E">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（3）已由各相关方书面同意其公开的；</w:t>
      </w:r>
    </w:p>
    <w:p w14:paraId="23AFC924">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（4）在未获取保密信息前由对方当事人独立开发的；</w:t>
      </w:r>
    </w:p>
    <w:p w14:paraId="7615FA90">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（5）对方当事人从对保密信息不承担保密义务的第三方处合法获得的。</w:t>
      </w:r>
    </w:p>
    <w:p w14:paraId="46908565">
      <w:pPr>
        <w:widowControl w:val="0"/>
        <w:tabs>
          <w:tab w:val="left" w:pos="1620"/>
        </w:tabs>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4151EA6">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5" w:name="_Toc10624921"/>
      <w:bookmarkStart w:id="586" w:name="_Toc469384077"/>
      <w:r>
        <w:rPr>
          <w:rFonts w:hint="eastAsia" w:ascii="黑体" w:hAnsi="黑体" w:eastAsia="黑体" w:cs="黑体"/>
          <w:b w:val="0"/>
          <w:bCs/>
          <w:color w:val="auto"/>
          <w:kern w:val="0"/>
          <w:sz w:val="24"/>
          <w:szCs w:val="24"/>
          <w:highlight w:val="none"/>
          <w:lang w:val="en-US" w:eastAsia="zh-CN" w:bidi="ar-SA"/>
        </w:rPr>
        <w:t>95 廉政建设</w:t>
      </w:r>
      <w:bookmarkEnd w:id="585"/>
      <w:bookmarkEnd w:id="586"/>
    </w:p>
    <w:p w14:paraId="651C219C">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95.1     </w:t>
      </w:r>
    </w:p>
    <w:p w14:paraId="24EF353C">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22" name="文本框 409"/>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3CC9E7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09"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IA1vY25AQAAXwMAAA4AAAAAAAAAAQAgAAAAJAEAAGRycy9lMm9Eb2MueG1sUEsFBgAA&#10;AAAGAAYAWQEAAE8FAAAAAA==&#10;">
                <v:fill on="f" focussize="0,0"/>
                <v:stroke on="f"/>
                <v:imagedata o:title=""/>
                <o:lock v:ext="edit" aspectratio="f"/>
                <v:textbox>
                  <w:txbxContent>
                    <w:p w14:paraId="33CC9E76">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合同双方当事人在签订本合同时，应同时签订廉政合同，作为本合同的附件。合同双方当事人在合同履行期间应遵守国家和政府有关廉政方面的规定和要求，禁止任何腐败行为。</w:t>
      </w:r>
    </w:p>
    <w:p w14:paraId="724FE9C3">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95.2  </w:t>
      </w:r>
      <w:r>
        <w:rPr>
          <w:rFonts w:hint="eastAsia" w:ascii="宋体" w:hAnsi="宋体" w:eastAsia="宋体" w:cs="宋体"/>
          <w:b/>
          <w:bCs/>
          <w:color w:val="auto"/>
          <w:kern w:val="2"/>
          <w:sz w:val="22"/>
          <w:szCs w:val="22"/>
          <w:highlight w:val="none"/>
          <w:u w:val="dotted"/>
          <w:lang w:val="en-US" w:eastAsia="zh-CN" w:bidi="ar-SA"/>
        </w:rPr>
        <w:t xml:space="preserve">                                                                                      </w:t>
      </w:r>
    </w:p>
    <w:p w14:paraId="0449862B">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23" name="文本框 410"/>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14:paraId="4363FCE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10" o:spid="_x0000_s1026" o:spt="202" type="#_x0000_t202" style="position:absolute;left:0pt;margin-left:-9pt;margin-top:4.25pt;height:24.95pt;width:63pt;z-index:252070912;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zHYJ9QAAAAIAQAADwAAAAAAAAABACAAAAAiAAAAZHJzL2Rvd25yZXYueG1sUEsBAhQAFAAAAAgA&#10;h07iQMtgCSG3AQAAXwMAAA4AAAAAAAAAAQAgAAAAIwEAAGRycy9lMm9Eb2MueG1sUEsFBgAAAAAG&#10;AAYAWQEAAEwFAAAAAA==&#10;">
                <v:fill on="f" focussize="0,0"/>
                <v:stroke on="f"/>
                <v:imagedata o:title=""/>
                <o:lock v:ext="edit" aspectratio="f"/>
                <v:textbox>
                  <w:txbxContent>
                    <w:p w14:paraId="4363FCEE">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0E36AAC6">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5DADB800">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7" w:name="_Toc469384078"/>
      <w:bookmarkStart w:id="588" w:name="_Toc10624922"/>
      <w:r>
        <w:rPr>
          <w:rFonts w:hint="eastAsia" w:ascii="黑体" w:hAnsi="黑体" w:eastAsia="黑体" w:cs="黑体"/>
          <w:b w:val="0"/>
          <w:bCs/>
          <w:color w:val="auto"/>
          <w:kern w:val="0"/>
          <w:sz w:val="24"/>
          <w:szCs w:val="24"/>
          <w:highlight w:val="none"/>
          <w:lang w:val="en-US" w:eastAsia="zh-CN" w:bidi="ar-SA"/>
        </w:rPr>
        <w:t>96  禁止转让</w:t>
      </w:r>
      <w:bookmarkEnd w:id="587"/>
      <w:bookmarkEnd w:id="588"/>
    </w:p>
    <w:p w14:paraId="190521E6">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96.1     </w:t>
      </w:r>
    </w:p>
    <w:p w14:paraId="25FA43E2">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24" name="文本框 41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67D158CD">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11" o:spid="_x0000_s1026" o:spt="202" type="#_x0000_t202" style="position:absolute;left:0pt;margin-left:-9pt;margin-top:1.25pt;height:23.4pt;width:63pt;z-index:25207193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h2yR1QAAAAgBAAAPAAAAAAAAAAEAIAAAACIAAABkcnMvZG93bnJldi54bWxQSwECFAAUAAAA&#10;CACHTuJAN2p4qrgBAABfAwAADgAAAAAAAAABACAAAAAkAQAAZHJzL2Uyb0RvYy54bWxQSwUGAAAA&#10;AAYABgBZAQAATgUAAAAA&#10;">
                <v:fill on="f" focussize="0,0"/>
                <v:stroke on="f"/>
                <v:imagedata o:title=""/>
                <o:lock v:ext="edit" aspectratio="f"/>
                <v:textbox>
                  <w:txbxContent>
                    <w:p w14:paraId="67D158CD">
                      <w:pPr>
                        <w:spacing w:line="240" w:lineRule="exact"/>
                        <w:rPr>
                          <w:rFonts w:ascii="宋体" w:hAnsi="Calibri"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本合同一经签署，合同双方当事人均应按照本合同规定行使各自的权利、履行各自的义务。</w:t>
      </w:r>
    </w:p>
    <w:p w14:paraId="6A6397A6">
      <w:pPr>
        <w:widowControl w:val="0"/>
        <w:adjustRightInd w:val="0"/>
        <w:snapToGrid w:val="0"/>
        <w:spacing w:line="420" w:lineRule="exact"/>
        <w:jc w:val="both"/>
        <w:rPr>
          <w:rFonts w:ascii="宋体" w:hAnsi="宋体" w:eastAsia="宋体" w:cs="宋体"/>
          <w:b/>
          <w:bCs/>
          <w:color w:val="auto"/>
          <w:kern w:val="2"/>
          <w:sz w:val="22"/>
          <w:szCs w:val="22"/>
          <w:highlight w:val="none"/>
          <w:u w:val="dotted"/>
          <w:lang w:val="en-US" w:eastAsia="zh-CN" w:bidi="ar-SA"/>
        </w:rPr>
      </w:pPr>
      <w:r>
        <w:rPr>
          <w:rFonts w:hint="eastAsia" w:ascii="宋体" w:hAnsi="宋体" w:eastAsia="宋体" w:cs="宋体"/>
          <w:b/>
          <w:bCs/>
          <w:color w:val="auto"/>
          <w:kern w:val="2"/>
          <w:sz w:val="22"/>
          <w:szCs w:val="22"/>
          <w:highlight w:val="none"/>
          <w:lang w:val="en-US" w:eastAsia="zh-CN" w:bidi="ar-SA"/>
        </w:rPr>
        <w:t xml:space="preserve">96.2  </w:t>
      </w:r>
      <w:r>
        <w:rPr>
          <w:rFonts w:hint="eastAsia" w:ascii="宋体" w:hAnsi="宋体" w:eastAsia="宋体" w:cs="宋体"/>
          <w:b/>
          <w:bCs/>
          <w:color w:val="auto"/>
          <w:kern w:val="2"/>
          <w:sz w:val="22"/>
          <w:szCs w:val="22"/>
          <w:highlight w:val="none"/>
          <w:u w:val="dotted"/>
          <w:lang w:val="en-US" w:eastAsia="zh-CN" w:bidi="ar-SA"/>
        </w:rPr>
        <w:t xml:space="preserve">                                                                                       </w:t>
      </w:r>
    </w:p>
    <w:p w14:paraId="518E2851">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25"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06CFE0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12" o:spid="_x0000_s1026" o:spt="202" type="#_x0000_t202" style="position:absolute;left:0pt;margin-left:-9pt;margin-top:7.75pt;height:23.4pt;width:63pt;z-index:252072960;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BHsmjWAAAACQEAAA8AAAAAAAAAAQAgAAAAIgAAAGRycy9kb3ducmV2LnhtbFBLAQIUABQA&#10;AAAIAIdO4kDw04zQuQEAAF8DAAAOAAAAAAAAAAEAIAAAACUBAABkcnMvZTJvRG9jLnhtbFBLBQYA&#10;AAAABgAGAFkBAABQBQAAAAA=&#10;">
                <v:fill on="f" focussize="0,0"/>
                <v:stroke on="f"/>
                <v:imagedata o:title=""/>
                <o:lock v:ext="edit" aspectratio="f"/>
                <v:textbox>
                  <w:txbxContent>
                    <w:p w14:paraId="306CFE05">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除合同另有约定外，未经另一方当事人同意，合同一方当事人不得将本合同的全部或部分权利、义务转让给第三方。</w:t>
      </w:r>
    </w:p>
    <w:p w14:paraId="6D75AA88">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6F5BC74">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89" w:name="_Toc469384079"/>
      <w:bookmarkStart w:id="590" w:name="_Toc10624923"/>
      <w:r>
        <w:rPr>
          <w:rFonts w:hint="eastAsia" w:ascii="黑体" w:hAnsi="黑体" w:eastAsia="黑体" w:cs="黑体"/>
          <w:b w:val="0"/>
          <w:bCs/>
          <w:color w:val="auto"/>
          <w:kern w:val="0"/>
          <w:sz w:val="24"/>
          <w:szCs w:val="24"/>
          <w:highlight w:val="none"/>
          <w:lang w:val="en-US" w:eastAsia="zh-CN" w:bidi="ar-SA"/>
        </w:rPr>
        <w:t>97  合同份数</w:t>
      </w:r>
      <w:bookmarkEnd w:id="589"/>
      <w:bookmarkEnd w:id="590"/>
    </w:p>
    <w:p w14:paraId="7B920EA0">
      <w:pPr>
        <w:widowControl w:val="0"/>
        <w:adjustRightInd w:val="0"/>
        <w:snapToGrid w:val="0"/>
        <w:spacing w:line="420" w:lineRule="exact"/>
        <w:ind w:left="1449" w:hanging="1449" w:hangingChars="656"/>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97.1        </w:t>
      </w:r>
    </w:p>
    <w:p w14:paraId="51C84D72">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3984"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26"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CE0CBD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13" o:spid="_x0000_s1026" o:spt="202" type="#_x0000_t202" style="position:absolute;left:0pt;margin-left:-5.25pt;margin-top:0.8pt;height:31.2pt;width:72pt;z-index:252073984;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liH8dQAAAAIAQAADwAAAAAAAAABACAAAAAiAAAAZHJzL2Rvd25yZXYueG1sUEsBAhQAFAAA&#10;AAgAh07iQCsHjQ26AQAAXwMAAA4AAAAAAAAAAQAgAAAAIwEAAGRycy9lMm9Eb2MueG1sUEsFBgAA&#10;AAAGAAYAWQEAAE8FAAAAAA==&#10;">
                <v:fill on="f" focussize="0,0"/>
                <v:stroke on="f"/>
                <v:imagedata o:title=""/>
                <o:lock v:ext="edit" aspectratio="f"/>
                <v:textbox>
                  <w:txbxContent>
                    <w:p w14:paraId="0CE0CBD8">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除专用条款另有约定外，发包人应按照第97.2款规定的份数免费为承包人提供合同文本。</w:t>
      </w:r>
    </w:p>
    <w:p w14:paraId="1EC30F0B">
      <w:pPr>
        <w:widowControl w:val="0"/>
        <w:adjustRightInd w:val="0"/>
        <w:snapToGrid w:val="0"/>
        <w:spacing w:line="420" w:lineRule="exact"/>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 xml:space="preserve">97.2  </w:t>
      </w:r>
      <w:r>
        <w:rPr>
          <w:rFonts w:hint="eastAsia" w:ascii="宋体" w:hAnsi="宋体" w:eastAsia="宋体" w:cs="宋体"/>
          <w:b/>
          <w:bCs/>
          <w:color w:val="auto"/>
          <w:kern w:val="2"/>
          <w:sz w:val="22"/>
          <w:szCs w:val="22"/>
          <w:highlight w:val="none"/>
          <w:u w:val="dotted"/>
          <w:lang w:val="en-US" w:eastAsia="zh-CN" w:bidi="ar-SA"/>
        </w:rPr>
        <w:t xml:space="preserve"> </w:t>
      </w:r>
      <w:r>
        <w:rPr>
          <w:rFonts w:hint="eastAsia" w:ascii="宋体" w:hAnsi="宋体" w:eastAsia="宋体" w:cs="宋体"/>
          <w:color w:val="auto"/>
          <w:kern w:val="2"/>
          <w:sz w:val="22"/>
          <w:szCs w:val="22"/>
          <w:highlight w:val="none"/>
          <w:u w:val="dotted"/>
          <w:lang w:val="en-US" w:eastAsia="zh-CN" w:bidi="ar-SA"/>
        </w:rPr>
        <w:t xml:space="preserve">                                                                                      </w:t>
      </w:r>
    </w:p>
    <w:p w14:paraId="58483D71">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27" name="文本框 414"/>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14:paraId="4F8B37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414" o:spid="_x0000_s1026" o:spt="202" type="#_x0000_t202" style="position:absolute;left:0pt;margin-left:-9pt;margin-top:0.65pt;height:23.6pt;width:63pt;z-index:252075008;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f3b61AAAAAgBAAAPAAAAAAAAAAEAIAAAACIAAABkcnMvZG93bnJldi54bWxQSwECFAAUAAAA&#10;CACHTuJAmcs9vbkBAABfAwAADgAAAAAAAAABACAAAAAjAQAAZHJzL2Uyb0RvYy54bWxQSwUGAAAA&#10;AAYABgBZAQAATgUAAAAA&#10;">
                <v:fill on="f" focussize="0,0"/>
                <v:stroke on="f"/>
                <v:imagedata o:title=""/>
                <o:lock v:ext="edit" aspectratio="f"/>
                <v:textbox>
                  <w:txbxContent>
                    <w:p w14:paraId="4F8B377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_GB2312" w:hAnsi="仿宋_GB2312" w:eastAsia="仿宋_GB2312" w:cs="仿宋_GB2312"/>
          <w:color w:val="auto"/>
          <w:kern w:val="2"/>
          <w:sz w:val="24"/>
          <w:szCs w:val="24"/>
          <w:highlight w:val="none"/>
          <w:lang w:val="en-US" w:eastAsia="zh-CN" w:bidi="ar-SA"/>
        </w:rPr>
        <w:t>本合同正、副本份数，由合同双方当事人根据需要在专用条款中约定。正本与副本具有同等效力，当正本与副本不一致时，以正本为准。</w:t>
      </w:r>
    </w:p>
    <w:p w14:paraId="3027BCD2">
      <w:pPr>
        <w:widowControl w:val="0"/>
        <w:adjustRightInd w:val="0"/>
        <w:snapToGrid w:val="0"/>
        <w:spacing w:line="420" w:lineRule="exact"/>
        <w:jc w:val="both"/>
        <w:rPr>
          <w:rFonts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single"/>
          <w:lang w:val="en-US" w:eastAsia="zh-CN" w:bidi="ar-SA"/>
        </w:rPr>
        <w:t xml:space="preserve">                                                                                 </w:t>
      </w:r>
    </w:p>
    <w:p w14:paraId="1E83CF12">
      <w:pPr>
        <w:keepNext/>
        <w:keepLines/>
        <w:widowControl/>
        <w:numPr>
          <w:ilvl w:val="0"/>
          <w:numId w:val="0"/>
        </w:numPr>
        <w:tabs>
          <w:tab w:val="left" w:pos="420"/>
          <w:tab w:val="left" w:pos="1287"/>
        </w:tabs>
        <w:spacing w:before="260" w:after="260" w:line="420" w:lineRule="exact"/>
        <w:jc w:val="left"/>
        <w:outlineLvl w:val="2"/>
        <w:rPr>
          <w:rFonts w:hint="eastAsia" w:ascii="黑体" w:hAnsi="黑体" w:eastAsia="黑体" w:cs="黑体"/>
          <w:b w:val="0"/>
          <w:bCs/>
          <w:color w:val="auto"/>
          <w:kern w:val="0"/>
          <w:sz w:val="24"/>
          <w:szCs w:val="24"/>
          <w:highlight w:val="none"/>
          <w:lang w:val="en-US" w:eastAsia="zh-CN" w:bidi="ar-SA"/>
        </w:rPr>
      </w:pPr>
      <w:bookmarkStart w:id="591" w:name="_Toc469384080"/>
      <w:bookmarkStart w:id="592" w:name="_Toc10624924"/>
      <w:r>
        <w:rPr>
          <w:rFonts w:hint="eastAsia" w:ascii="黑体" w:hAnsi="黑体" w:eastAsia="黑体" w:cs="黑体"/>
          <w:b w:val="0"/>
          <w:bCs/>
          <w:color w:val="auto"/>
          <w:kern w:val="0"/>
          <w:sz w:val="24"/>
          <w:szCs w:val="24"/>
          <w:highlight w:val="none"/>
          <w:lang w:val="en-US" w:eastAsia="zh-CN" w:bidi="ar-SA"/>
        </w:rPr>
        <w:t>98  合同</w:t>
      </w:r>
      <w:bookmarkEnd w:id="591"/>
      <w:r>
        <w:rPr>
          <w:rFonts w:hint="eastAsia" w:ascii="黑体" w:hAnsi="黑体" w:eastAsia="黑体" w:cs="黑体"/>
          <w:b w:val="0"/>
          <w:bCs/>
          <w:color w:val="auto"/>
          <w:kern w:val="0"/>
          <w:sz w:val="24"/>
          <w:szCs w:val="24"/>
          <w:highlight w:val="none"/>
          <w:lang w:val="en-US" w:eastAsia="zh-CN" w:bidi="ar-SA"/>
        </w:rPr>
        <w:t>管理</w:t>
      </w:r>
      <w:bookmarkEnd w:id="592"/>
    </w:p>
    <w:p w14:paraId="3DBCC312">
      <w:pPr>
        <w:widowControl w:val="0"/>
        <w:adjustRightInd w:val="0"/>
        <w:snapToGrid w:val="0"/>
        <w:spacing w:line="420" w:lineRule="exact"/>
        <w:jc w:val="both"/>
        <w:rPr>
          <w:rFonts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28" name="文本框 415"/>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14:paraId="2E0B07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7E29581A">
                            <w:pPr>
                              <w:spacing w:line="240" w:lineRule="exact"/>
                              <w:rPr>
                                <w:rFonts w:ascii="楷体_GB2312" w:hAnsi="宋体" w:eastAsia="楷体_GB2312" w:cs="Times New Roman"/>
                                <w:b/>
                                <w:bCs/>
                                <w:sz w:val="18"/>
                                <w:szCs w:val="18"/>
                              </w:rPr>
                            </w:pPr>
                          </w:p>
                        </w:txbxContent>
                      </wps:txbx>
                      <wps:bodyPr wrap="square" upright="1"/>
                    </wps:wsp>
                  </a:graphicData>
                </a:graphic>
              </wp:anchor>
            </w:drawing>
          </mc:Choice>
          <mc:Fallback>
            <w:pict>
              <v:shape id="文本框 415" o:spid="_x0000_s1026" o:spt="202" type="#_x0000_t202" style="position:absolute;left:0pt;margin-left:-9pt;margin-top:16.45pt;height:41.7pt;width:81.85pt;z-index:252076032;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uqzY2AAAAAoBAAAPAAAAAAAAAAEAIAAAACIAAABkcnMvZG93bnJldi54bWxQSwEC&#10;FAAUAAAACACHTuJAS8U4WLsBAABgAwAADgAAAAAAAAABACAAAAAnAQAAZHJzL2Uyb0RvYy54bWxQ&#10;SwUGAAAAAAYABgBZAQAAVAUAAAAA&#10;">
                <v:fill on="f" focussize="0,0"/>
                <v:stroke on="f"/>
                <v:imagedata o:title=""/>
                <o:lock v:ext="edit" aspectratio="f"/>
                <v:textbox>
                  <w:txbxContent>
                    <w:p w14:paraId="2E0B079D">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7E29581A">
                      <w:pPr>
                        <w:spacing w:line="240" w:lineRule="exact"/>
                        <w:rPr>
                          <w:rFonts w:ascii="楷体_GB2312" w:hAnsi="宋体" w:eastAsia="楷体_GB2312" w:cs="Times New Roman"/>
                          <w:b/>
                          <w:bCs/>
                          <w:sz w:val="18"/>
                          <w:szCs w:val="18"/>
                        </w:rPr>
                      </w:pPr>
                    </w:p>
                  </w:txbxContent>
                </v:textbox>
              </v:shape>
            </w:pict>
          </mc:Fallback>
        </mc:AlternateContent>
      </w:r>
      <w:r>
        <w:rPr>
          <w:rFonts w:hint="eastAsia" w:ascii="宋体" w:hAnsi="宋体" w:eastAsia="宋体" w:cs="宋体"/>
          <w:b/>
          <w:bCs/>
          <w:color w:val="auto"/>
          <w:kern w:val="2"/>
          <w:sz w:val="22"/>
          <w:szCs w:val="22"/>
          <w:highlight w:val="none"/>
          <w:lang w:val="en-US" w:eastAsia="zh-CN" w:bidi="ar-SA"/>
        </w:rPr>
        <w:t xml:space="preserve">98.1  </w:t>
      </w:r>
    </w:p>
    <w:p w14:paraId="2EB3DEB3">
      <w:pPr>
        <w:widowControl w:val="0"/>
        <w:adjustRightInd w:val="0"/>
        <w:snapToGrid w:val="0"/>
        <w:spacing w:line="420" w:lineRule="exact"/>
        <w:ind w:left="1619" w:leftChars="771"/>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合同双方当事人应按照第22条至第25条的职责划分，督促各自人员认真履行合同管理职责，加强合同管理。</w:t>
      </w:r>
    </w:p>
    <w:p w14:paraId="51628089">
      <w:pPr>
        <w:spacing w:line="420" w:lineRule="exact"/>
        <w:ind w:left="1710" w:leftChars="700" w:hanging="240" w:hangingChars="10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 涉及国有资金投资的工程，建设行政主管部门、工程造价管理机</w:t>
      </w:r>
    </w:p>
    <w:p w14:paraId="6CBAA394">
      <w:pPr>
        <w:spacing w:line="420" w:lineRule="exact"/>
        <w:ind w:left="1676" w:leftChars="798" w:firstLine="0" w:firstLineChars="0"/>
        <w:rPr>
          <w:rFonts w:ascii="宋体" w:hAnsi="宋体" w:cs="宋体"/>
          <w:color w:val="auto"/>
          <w:sz w:val="22"/>
          <w:szCs w:val="22"/>
          <w:highlight w:val="none"/>
        </w:rPr>
      </w:pPr>
      <w:r>
        <w:rPr>
          <w:rFonts w:hint="eastAsia" w:ascii="仿宋_GB2312" w:hAnsi="仿宋_GB2312" w:eastAsia="仿宋_GB2312" w:cs="仿宋_GB2312"/>
          <w:color w:val="auto"/>
          <w:kern w:val="2"/>
          <w:sz w:val="24"/>
          <w:szCs w:val="24"/>
          <w:highlight w:val="none"/>
          <w:lang w:val="en-US" w:eastAsia="zh-CN" w:bidi="ar-SA"/>
        </w:rPr>
        <w:t xml:space="preserve">构应依据建设行政主管部门存档合同实施合同监督管理；合同双方当事人应随时接受执法人员对本合同的监督管理，并为监督管理活动提供配合和协助。   </w:t>
      </w:r>
    </w:p>
    <w:p w14:paraId="195F02ED">
      <w:pPr>
        <w:rPr>
          <w:rFonts w:ascii="Calibri" w:hAnsi="Calibri" w:cs="Calibri"/>
          <w:color w:val="auto"/>
          <w:szCs w:val="21"/>
          <w:highlight w:val="none"/>
        </w:rPr>
      </w:pPr>
      <w:r>
        <w:rPr>
          <w:rFonts w:ascii="宋体" w:hAnsi="宋体" w:cs="宋体"/>
          <w:b/>
          <w:bCs/>
          <w:color w:val="auto"/>
          <w:kern w:val="0"/>
          <w:sz w:val="22"/>
          <w:szCs w:val="22"/>
          <w:highlight w:val="none"/>
        </w:rPr>
        <w:br w:type="page"/>
      </w:r>
    </w:p>
    <w:p w14:paraId="11D94A47">
      <w:pPr>
        <w:keepNext/>
        <w:keepLines/>
        <w:widowControl/>
        <w:tabs>
          <w:tab w:val="left" w:pos="420"/>
        </w:tabs>
        <w:spacing w:before="340" w:after="330" w:line="420" w:lineRule="exact"/>
        <w:ind w:left="0" w:firstLine="0"/>
        <w:jc w:val="center"/>
        <w:outlineLvl w:val="0"/>
        <w:rPr>
          <w:rFonts w:hint="eastAsia" w:ascii="方正小标宋简体" w:hAnsi="方正小标宋简体" w:eastAsia="方正小标宋简体" w:cs="方正小标宋简体"/>
          <w:b w:val="0"/>
          <w:bCs w:val="0"/>
          <w:color w:val="auto"/>
          <w:kern w:val="0"/>
          <w:sz w:val="32"/>
          <w:szCs w:val="32"/>
          <w:highlight w:val="none"/>
          <w:lang w:val="en-US" w:eastAsia="zh-CN" w:bidi="ar-SA"/>
        </w:rPr>
      </w:pPr>
      <w:bookmarkStart w:id="593" w:name="_Toc469384081"/>
      <w:bookmarkStart w:id="594" w:name="_Toc10624925"/>
      <w:r>
        <w:rPr>
          <w:rFonts w:hint="eastAsia" w:ascii="方正小标宋简体" w:hAnsi="方正小标宋简体" w:eastAsia="方正小标宋简体" w:cs="方正小标宋简体"/>
          <w:b w:val="0"/>
          <w:bCs w:val="0"/>
          <w:color w:val="auto"/>
          <w:kern w:val="0"/>
          <w:sz w:val="32"/>
          <w:szCs w:val="32"/>
          <w:highlight w:val="none"/>
          <w:lang w:val="en-US" w:eastAsia="zh-CN" w:bidi="ar-SA"/>
        </w:rPr>
        <w:t>第三部分    专用条款</w:t>
      </w:r>
      <w:bookmarkEnd w:id="593"/>
      <w:bookmarkEnd w:id="594"/>
    </w:p>
    <w:p w14:paraId="37E84EBA">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595" w:name="_Toc469384082"/>
      <w:bookmarkStart w:id="596" w:name="_Toc10624926"/>
      <w:r>
        <w:rPr>
          <w:rFonts w:hint="eastAsia" w:ascii="黑体" w:hAnsi="黑体" w:eastAsia="黑体" w:cs="黑体"/>
          <w:b w:val="0"/>
          <w:bCs w:val="0"/>
          <w:color w:val="auto"/>
          <w:kern w:val="0"/>
          <w:sz w:val="24"/>
          <w:szCs w:val="24"/>
          <w:highlight w:val="none"/>
          <w:lang w:val="en-US" w:eastAsia="zh-CN" w:bidi="ar-SA"/>
        </w:rPr>
        <w:t>1．定义</w:t>
      </w:r>
      <w:bookmarkEnd w:id="595"/>
      <w:bookmarkEnd w:id="596"/>
      <w:r>
        <w:rPr>
          <w:rFonts w:hint="eastAsia" w:ascii="黑体" w:hAnsi="黑体" w:eastAsia="黑体" w:cs="黑体"/>
          <w:b w:val="0"/>
          <w:bCs w:val="0"/>
          <w:color w:val="auto"/>
          <w:kern w:val="0"/>
          <w:sz w:val="24"/>
          <w:szCs w:val="24"/>
          <w:highlight w:val="none"/>
          <w:lang w:val="en-US" w:eastAsia="zh-CN" w:bidi="ar-SA"/>
        </w:rPr>
        <w:t xml:space="preserve"> </w:t>
      </w:r>
    </w:p>
    <w:p w14:paraId="32900227">
      <w:pPr>
        <w:autoSpaceDE w:val="0"/>
        <w:autoSpaceDN w:val="0"/>
        <w:adjustRightInd w:val="0"/>
        <w:spacing w:line="420" w:lineRule="exact"/>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1.43 单位工程</w:t>
      </w:r>
    </w:p>
    <w:p w14:paraId="50F46A28">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permStart w:id="104" w:edGrp="everyone"/>
      <w:r>
        <w:rPr>
          <w:rFonts w:hint="eastAsia" w:ascii="仿宋_GB2312" w:hAnsi="仿宋_GB2312" w:eastAsia="仿宋_GB2312" w:cs="仿宋_GB2312"/>
          <w:color w:val="auto"/>
          <w:kern w:val="0"/>
          <w:sz w:val="24"/>
          <w:szCs w:val="24"/>
          <w:highlight w:val="none"/>
          <w:lang w:eastAsia="zh-CN"/>
        </w:rPr>
        <w:sym w:font="Wingdings 2" w:char="0051"/>
      </w:r>
      <w:permEnd w:id="104"/>
      <w:r>
        <w:rPr>
          <w:rFonts w:hint="eastAsia" w:ascii="仿宋_GB2312" w:hAnsi="仿宋_GB2312" w:eastAsia="仿宋_GB2312" w:cs="仿宋_GB2312"/>
          <w:color w:val="auto"/>
          <w:kern w:val="0"/>
          <w:sz w:val="24"/>
          <w:szCs w:val="24"/>
          <w:highlight w:val="none"/>
        </w:rPr>
        <w:t xml:space="preserve"> 名称：</w:t>
      </w:r>
      <w:permStart w:id="10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5"/>
    </w:p>
    <w:p w14:paraId="57C30F9B">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permStart w:id="106" w:edGrp="everyone"/>
      <w:r>
        <w:rPr>
          <w:rFonts w:hint="eastAsia" w:ascii="仿宋_GB2312" w:hAnsi="仿宋_GB2312" w:eastAsia="仿宋_GB2312" w:cs="仿宋_GB2312"/>
          <w:color w:val="auto"/>
          <w:kern w:val="0"/>
          <w:sz w:val="24"/>
          <w:szCs w:val="24"/>
          <w:highlight w:val="none"/>
          <w:lang w:eastAsia="zh-CN"/>
        </w:rPr>
        <w:sym w:font="Wingdings 2" w:char="0051"/>
      </w:r>
      <w:permEnd w:id="106"/>
      <w:r>
        <w:rPr>
          <w:rFonts w:hint="eastAsia" w:ascii="仿宋_GB2312" w:hAnsi="仿宋_GB2312" w:eastAsia="仿宋_GB2312" w:cs="仿宋_GB2312"/>
          <w:color w:val="auto"/>
          <w:kern w:val="0"/>
          <w:sz w:val="24"/>
          <w:szCs w:val="24"/>
          <w:highlight w:val="none"/>
        </w:rPr>
        <w:t xml:space="preserve"> 内容：</w:t>
      </w:r>
      <w:permStart w:id="10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7"/>
    </w:p>
    <w:p w14:paraId="56A62108">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permStart w:id="108" w:edGrp="everyone"/>
      <w:r>
        <w:rPr>
          <w:rFonts w:hint="eastAsia" w:ascii="仿宋_GB2312" w:hAnsi="仿宋_GB2312" w:eastAsia="仿宋_GB2312" w:cs="仿宋_GB2312"/>
          <w:color w:val="auto"/>
          <w:kern w:val="0"/>
          <w:sz w:val="24"/>
          <w:szCs w:val="24"/>
          <w:highlight w:val="none"/>
          <w:lang w:eastAsia="zh-CN"/>
        </w:rPr>
        <w:sym w:font="Wingdings 2" w:char="0051"/>
      </w:r>
      <w:permEnd w:id="108"/>
      <w:r>
        <w:rPr>
          <w:rFonts w:hint="eastAsia" w:ascii="仿宋_GB2312" w:hAnsi="仿宋_GB2312" w:eastAsia="仿宋_GB2312" w:cs="仿宋_GB2312"/>
          <w:color w:val="auto"/>
          <w:kern w:val="0"/>
          <w:sz w:val="24"/>
          <w:szCs w:val="24"/>
          <w:highlight w:val="none"/>
        </w:rPr>
        <w:t xml:space="preserve"> 范围：</w:t>
      </w:r>
      <w:permStart w:id="10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109"/>
    </w:p>
    <w:p w14:paraId="5B46AE23">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1.53  所采用的书面形式包括： </w:t>
      </w:r>
    </w:p>
    <w:p w14:paraId="1CD3BCCD">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文书； </w:t>
      </w:r>
    </w:p>
    <w:p w14:paraId="1454783D">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信件； </w:t>
      </w:r>
    </w:p>
    <w:p w14:paraId="54E2144B">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电报； </w:t>
      </w:r>
    </w:p>
    <w:p w14:paraId="7CCE4383">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传真； </w:t>
      </w:r>
    </w:p>
    <w:p w14:paraId="13DF415E">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电子邮件； </w:t>
      </w:r>
    </w:p>
    <w:p w14:paraId="2749CB01">
      <w:pPr>
        <w:autoSpaceDE w:val="0"/>
        <w:autoSpaceDN w:val="0"/>
        <w:adjustRightInd w:val="0"/>
        <w:spacing w:line="420" w:lineRule="exact"/>
        <w:ind w:firstLine="360" w:firstLineChars="15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其他：</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76279A80">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1.55  工程价款</w:t>
      </w:r>
    </w:p>
    <w:p w14:paraId="7DAC4E2F">
      <w:pPr>
        <w:spacing w:line="420" w:lineRule="exact"/>
        <w:ind w:left="105" w:leftChars="5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工程进度款计量支付基数，支付预付款时，工程价款为合同总承包施工费扣除按系数计算的绿色施工安全防护措施费、暂列金额、专业工程暂估价、耗水费和建筑垃圾消纳费后的金额；支付进度款时，工程价款为合同总承包施工费扣除按系数计算的绿色施工安全防护措施费、暂列金额、未经审批的专业工程暂估价、耗水费和建筑垃圾消纳费后的金额。</w:t>
      </w:r>
    </w:p>
    <w:p w14:paraId="319A0C8B">
      <w:pPr>
        <w:autoSpaceDE w:val="0"/>
        <w:autoSpaceDN w:val="0"/>
        <w:adjustRightInd w:val="0"/>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1.56  独立承包人</w:t>
      </w:r>
    </w:p>
    <w:p w14:paraId="38896BDA">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指与发包人直接订立工程承包合同，负责实施与工程有关的其他工作的当事人。</w:t>
      </w:r>
    </w:p>
    <w:p w14:paraId="207BF067">
      <w:pPr>
        <w:autoSpaceDE w:val="0"/>
        <w:autoSpaceDN w:val="0"/>
        <w:adjustRightInd w:val="0"/>
        <w:spacing w:line="420" w:lineRule="exact"/>
        <w:jc w:val="left"/>
        <w:rPr>
          <w:rFonts w:hint="eastAsia" w:ascii="仿宋_GB2312" w:hAnsi="仿宋_GB2312" w:eastAsia="仿宋_GB2312" w:cs="仿宋_GB2312"/>
          <w:color w:val="auto"/>
          <w:kern w:val="0"/>
          <w:sz w:val="24"/>
          <w:szCs w:val="24"/>
          <w:highlight w:val="none"/>
        </w:rPr>
      </w:pPr>
    </w:p>
    <w:p w14:paraId="694B3D93">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597" w:name="_Toc469384083"/>
      <w:bookmarkStart w:id="598" w:name="_Toc10624927"/>
      <w:r>
        <w:rPr>
          <w:rFonts w:hint="eastAsia" w:ascii="黑体" w:hAnsi="黑体" w:eastAsia="黑体" w:cs="黑体"/>
          <w:b w:val="0"/>
          <w:bCs w:val="0"/>
          <w:color w:val="auto"/>
          <w:kern w:val="0"/>
          <w:sz w:val="24"/>
          <w:szCs w:val="24"/>
          <w:highlight w:val="none"/>
          <w:lang w:val="en-US" w:eastAsia="zh-CN" w:bidi="ar-SA"/>
        </w:rPr>
        <w:t>2．合同文件及解释</w:t>
      </w:r>
      <w:bookmarkEnd w:id="597"/>
      <w:bookmarkEnd w:id="598"/>
      <w:r>
        <w:rPr>
          <w:rFonts w:hint="eastAsia" w:ascii="黑体" w:hAnsi="黑体" w:eastAsia="黑体" w:cs="黑体"/>
          <w:b w:val="0"/>
          <w:bCs w:val="0"/>
          <w:color w:val="auto"/>
          <w:kern w:val="0"/>
          <w:sz w:val="24"/>
          <w:szCs w:val="24"/>
          <w:highlight w:val="none"/>
          <w:lang w:val="en-US" w:eastAsia="zh-CN" w:bidi="ar-SA"/>
        </w:rPr>
        <w:t xml:space="preserve"> </w:t>
      </w:r>
    </w:p>
    <w:p w14:paraId="62B4A95C">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2.2合同文件组成及优先顺序</w:t>
      </w:r>
    </w:p>
    <w:p w14:paraId="117AD7E9">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（10）合同附件</w:t>
      </w:r>
    </w:p>
    <w:p w14:paraId="496D8675">
      <w:pPr>
        <w:spacing w:line="420" w:lineRule="exact"/>
        <w:ind w:firstLine="240" w:firstLine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（11）组成合同的其他文件：</w:t>
      </w:r>
    </w:p>
    <w:p w14:paraId="6094692F">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u w:val="single"/>
        </w:rPr>
        <w:t>广州市水务局制定的《工程变更设计管理暂行规定》《工程竣工验收管理办法》《工程竣工档案整理验收管理办法》及《关于调整工程项目结算审查工作的通知》等文件及其最新印发版本；发包人制订的关于工程管理的各项制度、规定。</w:t>
      </w:r>
    </w:p>
    <w:p w14:paraId="3D30B333">
      <w:pPr>
        <w:spacing w:line="420" w:lineRule="exact"/>
        <w:rPr>
          <w:rFonts w:hint="eastAsia" w:ascii="仿宋_GB2312" w:hAnsi="仿宋_GB2312" w:eastAsia="仿宋_GB2312" w:cs="仿宋_GB2312"/>
          <w:color w:val="auto"/>
          <w:kern w:val="0"/>
          <w:sz w:val="24"/>
          <w:szCs w:val="24"/>
          <w:highlight w:val="none"/>
        </w:rPr>
      </w:pPr>
    </w:p>
    <w:p w14:paraId="5DBCB23C">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599" w:name="_Toc469384084"/>
      <w:bookmarkStart w:id="600" w:name="_Toc10624928"/>
      <w:r>
        <w:rPr>
          <w:rFonts w:hint="eastAsia" w:ascii="黑体" w:hAnsi="黑体" w:eastAsia="黑体" w:cs="黑体"/>
          <w:b w:val="0"/>
          <w:bCs w:val="0"/>
          <w:color w:val="auto"/>
          <w:kern w:val="0"/>
          <w:sz w:val="24"/>
          <w:szCs w:val="24"/>
          <w:highlight w:val="none"/>
          <w:lang w:val="en-US" w:eastAsia="zh-CN" w:bidi="ar-SA"/>
        </w:rPr>
        <w:t>4．语言及适用的法律、标准与规范</w:t>
      </w:r>
      <w:bookmarkEnd w:id="599"/>
      <w:bookmarkEnd w:id="600"/>
      <w:r>
        <w:rPr>
          <w:rFonts w:hint="eastAsia" w:ascii="黑体" w:hAnsi="黑体" w:eastAsia="黑体" w:cs="黑体"/>
          <w:b w:val="0"/>
          <w:bCs w:val="0"/>
          <w:color w:val="auto"/>
          <w:kern w:val="0"/>
          <w:sz w:val="24"/>
          <w:szCs w:val="24"/>
          <w:highlight w:val="none"/>
          <w:lang w:val="en-US" w:eastAsia="zh-CN" w:bidi="ar-SA"/>
        </w:rPr>
        <w:t xml:space="preserve"> </w:t>
      </w:r>
    </w:p>
    <w:p w14:paraId="6BC2AB2E">
      <w:pPr>
        <w:spacing w:line="420" w:lineRule="exact"/>
        <w:ind w:firstLine="240" w:firstLine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4.3 约定适用的标准、规范的名称：</w:t>
      </w:r>
      <w:permStart w:id="11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招标文件及设计所列明的标准、规范，以及本合同生效期间执行的国家、行业及广东省、</w:t>
      </w:r>
      <w:r>
        <w:rPr>
          <w:rFonts w:hint="eastAsia" w:ascii="仿宋_GB2312" w:hAnsi="仿宋_GB2312" w:eastAsia="仿宋_GB2312" w:cs="仿宋_GB2312"/>
          <w:color w:val="auto"/>
          <w:kern w:val="0"/>
          <w:sz w:val="24"/>
          <w:szCs w:val="24"/>
          <w:highlight w:val="none"/>
          <w:u w:val="single"/>
          <w:lang w:eastAsia="zh-CN"/>
        </w:rPr>
        <w:t>广州</w:t>
      </w:r>
      <w:r>
        <w:rPr>
          <w:rFonts w:hint="eastAsia" w:ascii="仿宋_GB2312" w:hAnsi="仿宋_GB2312" w:eastAsia="仿宋_GB2312" w:cs="仿宋_GB2312"/>
          <w:color w:val="auto"/>
          <w:kern w:val="0"/>
          <w:sz w:val="24"/>
          <w:szCs w:val="24"/>
          <w:highlight w:val="none"/>
          <w:u w:val="single"/>
        </w:rPr>
        <w:t>市现行有效的有关建设项目管理、设计、施工及验收规范和验收标准、发包人根据本工程具体情况聘请专家委员会依照国家有关标准制订的施工技术规定及验收办法。</w:t>
      </w:r>
      <w:r>
        <w:rPr>
          <w:rFonts w:hint="eastAsia" w:ascii="仿宋_GB2312" w:hAnsi="仿宋_GB2312" w:eastAsia="仿宋_GB2312" w:cs="仿宋_GB2312"/>
          <w:color w:val="auto"/>
          <w:kern w:val="0"/>
          <w:sz w:val="24"/>
          <w:szCs w:val="24"/>
          <w:highlight w:val="none"/>
          <w:u w:val="single"/>
        </w:rPr>
        <w:t xml:space="preserve"> </w:t>
      </w:r>
      <w:permEnd w:id="110"/>
      <w:bookmarkStart w:id="601" w:name="_Toc469384085"/>
      <w:bookmarkStart w:id="602" w:name="_Toc10624929"/>
    </w:p>
    <w:p w14:paraId="058CB00F">
      <w:pPr>
        <w:spacing w:line="420" w:lineRule="exact"/>
        <w:rPr>
          <w:rFonts w:hint="eastAsia" w:ascii="仿宋_GB2312" w:hAnsi="仿宋_GB2312" w:eastAsia="仿宋_GB2312" w:cs="仿宋_GB2312"/>
          <w:b/>
          <w:bCs/>
          <w:color w:val="auto"/>
          <w:sz w:val="24"/>
          <w:szCs w:val="24"/>
          <w:highlight w:val="none"/>
        </w:rPr>
      </w:pPr>
    </w:p>
    <w:p w14:paraId="3900396C">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 施工设计图纸</w:t>
      </w:r>
      <w:bookmarkEnd w:id="601"/>
      <w:bookmarkEnd w:id="602"/>
    </w:p>
    <w:p w14:paraId="78DD47B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5.1 发包人提供施工设计图纸</w:t>
      </w:r>
    </w:p>
    <w:p w14:paraId="1551742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（1）提供的时间：</w:t>
      </w:r>
      <w:permStart w:id="111" w:edGrp="everyone"/>
      <w:r>
        <w:rPr>
          <w:rFonts w:hint="eastAsia" w:ascii="仿宋_GB2312" w:hAnsi="仿宋_GB2312" w:eastAsia="仿宋_GB2312" w:cs="仿宋_GB2312"/>
          <w:color w:val="auto"/>
          <w:sz w:val="24"/>
          <w:szCs w:val="24"/>
          <w:highlight w:val="none"/>
          <w:u w:val="single"/>
        </w:rPr>
        <w:t xml:space="preserve">  开工前。                                 </w:t>
      </w:r>
      <w:permEnd w:id="111"/>
    </w:p>
    <w:p w14:paraId="2A85A568">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（2）提供的数量：</w:t>
      </w:r>
      <w:permStart w:id="112" w:edGrp="everyone"/>
      <w:r>
        <w:rPr>
          <w:rFonts w:hint="eastAsia" w:ascii="仿宋_GB2312" w:hAnsi="仿宋_GB2312" w:eastAsia="仿宋_GB2312" w:cs="仿宋_GB2312"/>
          <w:color w:val="auto"/>
          <w:sz w:val="24"/>
          <w:szCs w:val="24"/>
          <w:highlight w:val="none"/>
          <w:u w:val="single"/>
        </w:rPr>
        <w:t xml:space="preserve">  四套图纸（不含标准图集）。                </w:t>
      </w:r>
      <w:permEnd w:id="112"/>
    </w:p>
    <w:p w14:paraId="573E49A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监理工程师批准第33.1款约定的合同进度计划或者第33.3款约定的合同进度计划修改后7天内，承包人应当根据合同进度计划和本项约定的图纸提供时间和数量，编制或者修改图纸供应计划并报送监理工程师，监理工程师应当在收到图纸供应计划后7天内批复或提出修改意见，否则该图纸供应计划视为得到批准。经监理工程师批准的最新的图纸供应计划对合同双方有合同约束力，作为发包人或者监理工程师向承包人提供图纸的主要依据。发包人或者监理工程师不按照图纸供应计划提供图纸而导致承包人费用增加和（或）工期延误的，由发包人承担赔偿责任。承包人未按照本款约定的时间向监理工程师提交图纸供应计划，致使发包人或者监理工程师未能在合理的时间内提供相应图纸或者承包人未按照图纸供应计划组织施工所造成的费用增加和（或）工期延误由承包人承担。</w:t>
      </w:r>
    </w:p>
    <w:p w14:paraId="7651258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5.2 承包人提供施工设计图纸</w:t>
      </w:r>
    </w:p>
    <w:p w14:paraId="3E6047A0">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（1）提供的文件：</w:t>
      </w:r>
      <w:permStart w:id="113" w:edGrp="everyone"/>
      <w:r>
        <w:rPr>
          <w:rFonts w:hint="eastAsia" w:ascii="仿宋_GB2312" w:hAnsi="仿宋_GB2312" w:eastAsia="仿宋_GB2312" w:cs="仿宋_GB2312"/>
          <w:color w:val="auto"/>
          <w:sz w:val="24"/>
          <w:szCs w:val="24"/>
          <w:highlight w:val="none"/>
          <w:u w:val="single"/>
        </w:rPr>
        <w:t>施工组织设计、专项施工方案（含深基坑支护施工方案）、施工进度计划、材料设备采购计划及发包人要求提供的其他文件等。</w:t>
      </w:r>
      <w:permEnd w:id="113"/>
    </w:p>
    <w:p w14:paraId="30A10B12">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（2）提供的时间：</w:t>
      </w:r>
    </w:p>
    <w:p w14:paraId="2E7E8983">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1）</w:t>
      </w:r>
      <w:permStart w:id="114" w:edGrp="everyone"/>
      <w:r>
        <w:rPr>
          <w:rFonts w:hint="eastAsia" w:ascii="仿宋_GB2312" w:hAnsi="仿宋_GB2312" w:eastAsia="仿宋_GB2312" w:cs="仿宋_GB2312"/>
          <w:color w:val="auto"/>
          <w:sz w:val="24"/>
          <w:szCs w:val="24"/>
          <w:highlight w:val="none"/>
          <w:u w:val="single"/>
        </w:rPr>
        <w:t>施工组织计划、施工进度计划应当在取得开工批复前15天送监理工程师和发包人审批；</w:t>
      </w:r>
      <w:permEnd w:id="114"/>
    </w:p>
    <w:p w14:paraId="0F85CE20">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2）</w:t>
      </w:r>
      <w:permStart w:id="115" w:edGrp="everyone"/>
      <w:r>
        <w:rPr>
          <w:rFonts w:hint="eastAsia" w:ascii="仿宋_GB2312" w:hAnsi="仿宋_GB2312" w:eastAsia="仿宋_GB2312" w:cs="仿宋_GB2312"/>
          <w:color w:val="auto"/>
          <w:sz w:val="24"/>
          <w:szCs w:val="24"/>
          <w:highlight w:val="none"/>
          <w:u w:val="single"/>
        </w:rPr>
        <w:t>专项施工方案（含深基坑支护施工方案）应当在施工前20天提交监理工程师和发包人审批，且需评审的方案应在施工开工前7天通过评审；</w:t>
      </w:r>
    </w:p>
    <w:permEnd w:id="115"/>
    <w:p w14:paraId="291044B8">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3）</w:t>
      </w:r>
      <w:permStart w:id="116" w:edGrp="everyone"/>
      <w:r>
        <w:rPr>
          <w:rFonts w:hint="eastAsia" w:ascii="仿宋_GB2312" w:hAnsi="仿宋_GB2312" w:eastAsia="仿宋_GB2312" w:cs="仿宋_GB2312"/>
          <w:color w:val="auto"/>
          <w:sz w:val="24"/>
          <w:szCs w:val="24"/>
          <w:highlight w:val="none"/>
          <w:u w:val="single"/>
        </w:rPr>
        <w:t>材料设备采购计划应当在项目使用前45天送监理工程师和发包人审批。</w:t>
      </w:r>
    </w:p>
    <w:permEnd w:id="116"/>
    <w:p w14:paraId="4CF647EB">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（3）提供的数量：</w:t>
      </w:r>
      <w:permStart w:id="117" w:edGrp="everyone"/>
      <w:r>
        <w:rPr>
          <w:rFonts w:hint="eastAsia" w:ascii="仿宋_GB2312" w:hAnsi="仿宋_GB2312" w:eastAsia="仿宋_GB2312" w:cs="仿宋_GB2312"/>
          <w:color w:val="auto"/>
          <w:sz w:val="24"/>
          <w:szCs w:val="24"/>
          <w:highlight w:val="none"/>
          <w:u w:val="single"/>
        </w:rPr>
        <w:t xml:space="preserve">  一式四份。 </w:t>
      </w:r>
      <w:permEnd w:id="117"/>
    </w:p>
    <w:p w14:paraId="4E525C07">
      <w:pPr>
        <w:spacing w:line="420" w:lineRule="exact"/>
        <w:ind w:firstLine="240" w:firstLineChars="1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（4）监理工程师答复的时间：</w:t>
      </w:r>
      <w:permStart w:id="118" w:edGrp="everyone"/>
      <w:r>
        <w:rPr>
          <w:rFonts w:hint="eastAsia" w:ascii="仿宋_GB2312" w:hAnsi="仿宋_GB2312" w:eastAsia="仿宋_GB2312" w:cs="仿宋_GB2312"/>
          <w:color w:val="auto"/>
          <w:sz w:val="24"/>
          <w:szCs w:val="24"/>
          <w:highlight w:val="none"/>
          <w:u w:val="single"/>
        </w:rPr>
        <w:t xml:space="preserve"> 在收到承包人提供的文件5日内完成答复。</w:t>
      </w:r>
      <w:permEnd w:id="118"/>
      <w:bookmarkStart w:id="603" w:name="_Toc469384086"/>
      <w:bookmarkStart w:id="604" w:name="_Toc10624930"/>
    </w:p>
    <w:p w14:paraId="2504935F">
      <w:pPr>
        <w:spacing w:line="420" w:lineRule="exact"/>
        <w:ind w:firstLine="240" w:firstLineChars="100"/>
        <w:rPr>
          <w:rFonts w:hint="eastAsia" w:ascii="仿宋_GB2312" w:hAnsi="仿宋_GB2312" w:eastAsia="仿宋_GB2312" w:cs="仿宋_GB2312"/>
          <w:color w:val="auto"/>
          <w:sz w:val="24"/>
          <w:szCs w:val="24"/>
          <w:highlight w:val="none"/>
          <w:u w:val="single"/>
        </w:rPr>
      </w:pPr>
    </w:p>
    <w:p w14:paraId="78D19FE0">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 通信联络</w:t>
      </w:r>
      <w:bookmarkEnd w:id="603"/>
      <w:bookmarkEnd w:id="604"/>
    </w:p>
    <w:p w14:paraId="7017E39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6.2各方通讯地址、收件人及其他送达方式</w:t>
      </w:r>
    </w:p>
    <w:p w14:paraId="48449EF2">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（1）各方通讯地址和收件人：</w:t>
      </w:r>
    </w:p>
    <w:p w14:paraId="23E5AD6E">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w:t>
      </w:r>
      <w:permStart w:id="119" w:edGrp="everyone"/>
      <w:r>
        <w:rPr>
          <w:rFonts w:hint="eastAsia" w:ascii="仿宋_GB2312" w:hAnsi="仿宋_GB2312" w:eastAsia="仿宋_GB2312" w:cs="仿宋_GB2312"/>
          <w:color w:val="auto"/>
          <w:sz w:val="24"/>
          <w:szCs w:val="24"/>
          <w:highlight w:val="none"/>
          <w:u w:val="single"/>
        </w:rPr>
        <w:t xml:space="preserve">                      </w:t>
      </w:r>
      <w:permEnd w:id="119"/>
    </w:p>
    <w:p w14:paraId="40CB87B1">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通讯地址：</w:t>
      </w:r>
      <w:permStart w:id="120" w:edGrp="everyone"/>
      <w:r>
        <w:rPr>
          <w:rFonts w:hint="eastAsia" w:ascii="仿宋_GB2312" w:hAnsi="仿宋_GB2312" w:eastAsia="仿宋_GB2312" w:cs="仿宋_GB2312"/>
          <w:color w:val="auto"/>
          <w:sz w:val="24"/>
          <w:szCs w:val="24"/>
          <w:highlight w:val="none"/>
          <w:u w:val="single"/>
        </w:rPr>
        <w:t xml:space="preserve">                     </w:t>
      </w:r>
      <w:permEnd w:id="120"/>
      <w:r>
        <w:rPr>
          <w:rFonts w:hint="eastAsia" w:ascii="仿宋_GB2312" w:hAnsi="仿宋_GB2312" w:eastAsia="仿宋_GB2312" w:cs="仿宋_GB2312"/>
          <w:color w:val="auto"/>
          <w:sz w:val="24"/>
          <w:szCs w:val="24"/>
          <w:highlight w:val="none"/>
        </w:rPr>
        <w:t xml:space="preserve">   收件人：</w:t>
      </w:r>
      <w:permStart w:id="121" w:edGrp="everyone"/>
      <w:r>
        <w:rPr>
          <w:rFonts w:hint="eastAsia" w:ascii="仿宋_GB2312" w:hAnsi="仿宋_GB2312" w:eastAsia="仿宋_GB2312" w:cs="仿宋_GB2312"/>
          <w:color w:val="auto"/>
          <w:sz w:val="24"/>
          <w:szCs w:val="24"/>
          <w:highlight w:val="none"/>
          <w:u w:val="single"/>
        </w:rPr>
        <w:t xml:space="preserve">           </w:t>
      </w:r>
      <w:permEnd w:id="121"/>
      <w:r>
        <w:rPr>
          <w:rFonts w:hint="eastAsia" w:ascii="仿宋_GB2312" w:hAnsi="仿宋_GB2312" w:eastAsia="仿宋_GB2312" w:cs="仿宋_GB2312"/>
          <w:color w:val="auto"/>
          <w:sz w:val="24"/>
          <w:szCs w:val="24"/>
          <w:highlight w:val="none"/>
        </w:rPr>
        <w:t xml:space="preserve"> 邮政编码：</w:t>
      </w:r>
      <w:permStart w:id="122" w:edGrp="everyone"/>
      <w:r>
        <w:rPr>
          <w:rFonts w:hint="eastAsia" w:ascii="仿宋_GB2312" w:hAnsi="仿宋_GB2312" w:eastAsia="仿宋_GB2312" w:cs="仿宋_GB2312"/>
          <w:color w:val="auto"/>
          <w:sz w:val="24"/>
          <w:szCs w:val="24"/>
          <w:highlight w:val="none"/>
          <w:u w:val="single"/>
        </w:rPr>
        <w:t xml:space="preserve">            </w:t>
      </w:r>
      <w:permEnd w:id="122"/>
    </w:p>
    <w:p w14:paraId="6F15D89A">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承包人： </w:t>
      </w:r>
      <w:permStart w:id="123" w:edGrp="everyone"/>
      <w:r>
        <w:rPr>
          <w:rFonts w:hint="eastAsia" w:ascii="仿宋_GB2312" w:hAnsi="仿宋_GB2312" w:eastAsia="仿宋_GB2312" w:cs="仿宋_GB2312"/>
          <w:color w:val="auto"/>
          <w:sz w:val="24"/>
          <w:szCs w:val="24"/>
          <w:highlight w:val="none"/>
          <w:u w:val="single"/>
        </w:rPr>
        <w:t xml:space="preserve">                     </w:t>
      </w:r>
      <w:permEnd w:id="123"/>
    </w:p>
    <w:p w14:paraId="766E4559">
      <w:pPr>
        <w:spacing w:line="420" w:lineRule="exact"/>
        <w:ind w:firstLine="960" w:firstLineChars="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4" w:edGrp="everyone"/>
      <w:r>
        <w:rPr>
          <w:rFonts w:hint="eastAsia" w:ascii="仿宋_GB2312" w:hAnsi="仿宋_GB2312" w:eastAsia="仿宋_GB2312" w:cs="仿宋_GB2312"/>
          <w:color w:val="auto"/>
          <w:sz w:val="24"/>
          <w:szCs w:val="24"/>
          <w:highlight w:val="none"/>
          <w:u w:val="single"/>
        </w:rPr>
        <w:t xml:space="preserve">                     </w:t>
      </w:r>
      <w:permEnd w:id="124"/>
      <w:r>
        <w:rPr>
          <w:rFonts w:hint="eastAsia" w:ascii="仿宋_GB2312" w:hAnsi="仿宋_GB2312" w:eastAsia="仿宋_GB2312" w:cs="仿宋_GB2312"/>
          <w:color w:val="auto"/>
          <w:sz w:val="24"/>
          <w:szCs w:val="24"/>
          <w:highlight w:val="none"/>
        </w:rPr>
        <w:t xml:space="preserve">   收件人：</w:t>
      </w:r>
      <w:permStart w:id="125" w:edGrp="everyone"/>
      <w:r>
        <w:rPr>
          <w:rFonts w:hint="eastAsia" w:ascii="仿宋_GB2312" w:hAnsi="仿宋_GB2312" w:eastAsia="仿宋_GB2312" w:cs="仿宋_GB2312"/>
          <w:color w:val="auto"/>
          <w:sz w:val="24"/>
          <w:szCs w:val="24"/>
          <w:highlight w:val="none"/>
          <w:u w:val="single"/>
        </w:rPr>
        <w:t xml:space="preserve">           </w:t>
      </w:r>
      <w:permEnd w:id="125"/>
      <w:r>
        <w:rPr>
          <w:rFonts w:hint="eastAsia" w:ascii="仿宋_GB2312" w:hAnsi="仿宋_GB2312" w:eastAsia="仿宋_GB2312" w:cs="仿宋_GB2312"/>
          <w:color w:val="auto"/>
          <w:sz w:val="24"/>
          <w:szCs w:val="24"/>
          <w:highlight w:val="none"/>
        </w:rPr>
        <w:t xml:space="preserve"> 邮政编码：</w:t>
      </w:r>
      <w:permStart w:id="126" w:edGrp="everyone"/>
      <w:r>
        <w:rPr>
          <w:rFonts w:hint="eastAsia" w:ascii="仿宋_GB2312" w:hAnsi="仿宋_GB2312" w:eastAsia="仿宋_GB2312" w:cs="仿宋_GB2312"/>
          <w:color w:val="auto"/>
          <w:sz w:val="24"/>
          <w:szCs w:val="24"/>
          <w:highlight w:val="none"/>
          <w:u w:val="single"/>
        </w:rPr>
        <w:t xml:space="preserve">            </w:t>
      </w:r>
    </w:p>
    <w:permEnd w:id="126"/>
    <w:p w14:paraId="1916035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指定的接收人为合同协议书中载明的承包人代表本人或者其授权代表。承包人应在收到开工通知后7天内，按照第25.3款的约定，将授权代表其接收往来信函的承包人代表的授权代表姓名和授权范围通知监理人。除合同另有约定外，承包人施工场地管理机构的办公地点即为承包人指定的接收地点。）</w:t>
      </w:r>
    </w:p>
    <w:p w14:paraId="73F9CC2E">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监理人：</w:t>
      </w:r>
      <w:permStart w:id="127" w:edGrp="everyone"/>
      <w:r>
        <w:rPr>
          <w:rFonts w:hint="eastAsia" w:ascii="仿宋_GB2312" w:hAnsi="仿宋_GB2312" w:eastAsia="仿宋_GB2312" w:cs="仿宋_GB2312"/>
          <w:color w:val="auto"/>
          <w:sz w:val="24"/>
          <w:szCs w:val="24"/>
          <w:highlight w:val="none"/>
          <w:u w:val="single"/>
        </w:rPr>
        <w:t xml:space="preserve">                       </w:t>
      </w:r>
      <w:permEnd w:id="127"/>
    </w:p>
    <w:p w14:paraId="2B3CC5EB">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28" w:edGrp="everyone"/>
      <w:r>
        <w:rPr>
          <w:rFonts w:hint="eastAsia" w:ascii="仿宋_GB2312" w:hAnsi="仿宋_GB2312" w:eastAsia="仿宋_GB2312" w:cs="仿宋_GB2312"/>
          <w:color w:val="auto"/>
          <w:sz w:val="24"/>
          <w:szCs w:val="24"/>
          <w:highlight w:val="none"/>
          <w:u w:val="single"/>
        </w:rPr>
        <w:t xml:space="preserve">                     </w:t>
      </w:r>
      <w:permEnd w:id="128"/>
      <w:r>
        <w:rPr>
          <w:rFonts w:hint="eastAsia" w:ascii="仿宋_GB2312" w:hAnsi="仿宋_GB2312" w:eastAsia="仿宋_GB2312" w:cs="仿宋_GB2312"/>
          <w:color w:val="auto"/>
          <w:sz w:val="24"/>
          <w:szCs w:val="24"/>
          <w:highlight w:val="none"/>
        </w:rPr>
        <w:t xml:space="preserve">   收件人：</w:t>
      </w:r>
      <w:permStart w:id="129" w:edGrp="everyone"/>
      <w:r>
        <w:rPr>
          <w:rFonts w:hint="eastAsia" w:ascii="仿宋_GB2312" w:hAnsi="仿宋_GB2312" w:eastAsia="仿宋_GB2312" w:cs="仿宋_GB2312"/>
          <w:color w:val="auto"/>
          <w:sz w:val="24"/>
          <w:szCs w:val="24"/>
          <w:highlight w:val="none"/>
          <w:u w:val="single"/>
        </w:rPr>
        <w:t xml:space="preserve">           </w:t>
      </w:r>
      <w:permEnd w:id="129"/>
      <w:r>
        <w:rPr>
          <w:rFonts w:hint="eastAsia" w:ascii="仿宋_GB2312" w:hAnsi="仿宋_GB2312" w:eastAsia="仿宋_GB2312" w:cs="仿宋_GB2312"/>
          <w:color w:val="auto"/>
          <w:sz w:val="24"/>
          <w:szCs w:val="24"/>
          <w:highlight w:val="none"/>
        </w:rPr>
        <w:t xml:space="preserve"> 邮政编码：</w:t>
      </w:r>
      <w:permStart w:id="130" w:edGrp="everyone"/>
      <w:r>
        <w:rPr>
          <w:rFonts w:hint="eastAsia" w:ascii="仿宋_GB2312" w:hAnsi="仿宋_GB2312" w:eastAsia="仿宋_GB2312" w:cs="仿宋_GB2312"/>
          <w:color w:val="auto"/>
          <w:sz w:val="24"/>
          <w:szCs w:val="24"/>
          <w:highlight w:val="none"/>
          <w:u w:val="single"/>
        </w:rPr>
        <w:t xml:space="preserve">                   </w:t>
      </w:r>
      <w:permEnd w:id="130"/>
    </w:p>
    <w:p w14:paraId="6EE5DC31">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工程造价咨询人（如有）：</w:t>
      </w:r>
      <w:permStart w:id="131"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 xml:space="preserve">         </w:t>
      </w:r>
      <w:permEnd w:id="131"/>
    </w:p>
    <w:p w14:paraId="0807ED38">
      <w:pPr>
        <w:spacing w:line="420" w:lineRule="exact"/>
        <w:ind w:firstLine="720" w:firstLineChars="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通讯地址：</w:t>
      </w:r>
      <w:permStart w:id="132" w:edGrp="everyone"/>
      <w:r>
        <w:rPr>
          <w:rFonts w:hint="eastAsia" w:ascii="仿宋_GB2312" w:hAnsi="仿宋_GB2312" w:eastAsia="仿宋_GB2312" w:cs="仿宋_GB2312"/>
          <w:color w:val="auto"/>
          <w:sz w:val="24"/>
          <w:szCs w:val="24"/>
          <w:highlight w:val="none"/>
          <w:u w:val="single"/>
        </w:rPr>
        <w:t xml:space="preserve">                       </w:t>
      </w:r>
      <w:permEnd w:id="132"/>
      <w:r>
        <w:rPr>
          <w:rFonts w:hint="eastAsia" w:ascii="仿宋_GB2312" w:hAnsi="仿宋_GB2312" w:eastAsia="仿宋_GB2312" w:cs="仿宋_GB2312"/>
          <w:color w:val="auto"/>
          <w:sz w:val="24"/>
          <w:szCs w:val="24"/>
          <w:highlight w:val="none"/>
        </w:rPr>
        <w:t xml:space="preserve"> 收件人：</w:t>
      </w:r>
      <w:permStart w:id="13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133"/>
      <w:r>
        <w:rPr>
          <w:rFonts w:hint="eastAsia" w:ascii="仿宋_GB2312" w:hAnsi="仿宋_GB2312" w:eastAsia="仿宋_GB2312" w:cs="仿宋_GB2312"/>
          <w:color w:val="auto"/>
          <w:sz w:val="24"/>
          <w:szCs w:val="24"/>
          <w:highlight w:val="none"/>
        </w:rPr>
        <w:t>邮政编码：</w:t>
      </w:r>
      <w:permStart w:id="134" w:edGrp="everyone"/>
      <w:r>
        <w:rPr>
          <w:rFonts w:hint="eastAsia" w:ascii="仿宋_GB2312" w:hAnsi="仿宋_GB2312" w:eastAsia="仿宋_GB2312" w:cs="仿宋_GB2312"/>
          <w:color w:val="auto"/>
          <w:sz w:val="24"/>
          <w:szCs w:val="24"/>
          <w:highlight w:val="none"/>
          <w:u w:val="single"/>
        </w:rPr>
        <w:t xml:space="preserve">                   </w:t>
      </w:r>
      <w:permEnd w:id="134"/>
    </w:p>
    <w:p w14:paraId="7BF76130">
      <w:pPr>
        <w:tabs>
          <w:tab w:val="left" w:pos="720"/>
        </w:tabs>
        <w:spacing w:line="420" w:lineRule="exact"/>
        <w:ind w:left="210" w:leftChars="100"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视为送达的其他方式：一方当事人拒绝签收另一方当事人通讯，另一方当事人以特快专递、挂号信、公证方式等将通讯送至通讯地址的，视为送达。由此所造成的直接的和间接的费用增加（包括被迫采用特殊送达方式所发生的费用）和（或）延误的工期由拒绝签收的一方承担。</w:t>
      </w:r>
    </w:p>
    <w:p w14:paraId="7A2BC40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（3）通讯的送达期限：合同约定了发出期限的，送达期限为合同约定的发出期限后的24小时内；合同约定了通知、提供或者报送期限的，通知、提供或者报送期限即为送达期限。</w:t>
      </w:r>
    </w:p>
    <w:p w14:paraId="3474D3E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发包人、承包人、监理人和工程造价咨询人（如有）中任何一方指定的接收人或者接收地点发生变动，应当在实际变动前提前至少1个工作日以书面方式通知另一方。发包人、承包人、监理人和工程造价咨询人（如有）应当确保其各自指定的接收人在法定的和（或）符合合同约定的工作时间内始终工作在指定的接收地点，指定接收人离开工作岗位而无法及时签收来往信函构成拒不签收。</w:t>
      </w:r>
    </w:p>
    <w:p w14:paraId="3B817FDB">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05" w:name="_Toc469384087"/>
      <w:bookmarkStart w:id="606" w:name="_Toc10624931"/>
    </w:p>
    <w:p w14:paraId="0B7F2FD3">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7. 工程分包</w:t>
      </w:r>
      <w:bookmarkEnd w:id="605"/>
      <w:bookmarkEnd w:id="606"/>
    </w:p>
    <w:p w14:paraId="7E106DE7">
      <w:pPr>
        <w:spacing w:line="420" w:lineRule="exact"/>
        <w:ind w:left="12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7.2 指定分包工程名称：</w:t>
      </w:r>
      <w:permStart w:id="13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35"/>
    </w:p>
    <w:p w14:paraId="27E97FB7">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 分包工程款的支付方式：</w:t>
      </w:r>
      <w:permStart w:id="13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36"/>
    </w:p>
    <w:p w14:paraId="0140D392">
      <w:pPr>
        <w:tabs>
          <w:tab w:val="left" w:pos="720"/>
        </w:tabs>
        <w:spacing w:line="420" w:lineRule="exact"/>
        <w:ind w:left="220" w:leftChars="1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7.7关于工程分包的其他要求：</w:t>
      </w:r>
    </w:p>
    <w:p w14:paraId="2F37F347">
      <w:pPr>
        <w:tabs>
          <w:tab w:val="left" w:pos="720"/>
        </w:tabs>
        <w:spacing w:line="420" w:lineRule="exac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Cs/>
          <w:color w:val="auto"/>
          <w:sz w:val="24"/>
          <w:szCs w:val="24"/>
          <w:highlight w:val="none"/>
        </w:rPr>
        <w:t>（1）承包人分包出去的工程，应当分包给可靠的符合工程技术资质的施工单位，分包人的资格能力应与其分包工程的标准和规模相适应，并将分包人的技术力量、装备以及社会信誉等情况报送给发包人备案，</w:t>
      </w:r>
      <w:r>
        <w:rPr>
          <w:rFonts w:hint="eastAsia" w:ascii="仿宋_GB2312" w:hAnsi="仿宋_GB2312" w:eastAsia="仿宋_GB2312" w:cs="仿宋_GB2312"/>
          <w:color w:val="auto"/>
          <w:sz w:val="24"/>
          <w:szCs w:val="24"/>
          <w:highlight w:val="none"/>
        </w:rPr>
        <w:t>在相关分包合同签订后7天内，向监理人和发包人提交一份分包合同副本</w:t>
      </w:r>
      <w:r>
        <w:rPr>
          <w:rFonts w:hint="eastAsia" w:ascii="仿宋_GB2312" w:hAnsi="仿宋_GB2312" w:eastAsia="仿宋_GB2312" w:cs="仿宋_GB2312"/>
          <w:bCs/>
          <w:color w:val="auto"/>
          <w:sz w:val="24"/>
          <w:szCs w:val="24"/>
          <w:highlight w:val="none"/>
        </w:rPr>
        <w:t>。发包人不同意的分包人，承包人不能选用。未报经发包人同意的分包人，一律不能进场。</w:t>
      </w:r>
    </w:p>
    <w:p w14:paraId="14AA6E9A">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bCs/>
          <w:color w:val="auto"/>
          <w:sz w:val="24"/>
          <w:szCs w:val="24"/>
          <w:highlight w:val="none"/>
        </w:rPr>
        <w:t>分包工程</w:t>
      </w:r>
      <w:r>
        <w:rPr>
          <w:rFonts w:hint="eastAsia" w:ascii="仿宋_GB2312" w:hAnsi="仿宋_GB2312" w:eastAsia="仿宋_GB2312" w:cs="仿宋_GB2312"/>
          <w:color w:val="auto"/>
          <w:sz w:val="24"/>
          <w:szCs w:val="24"/>
          <w:highlight w:val="none"/>
        </w:rPr>
        <w:t>价款由承包人与分包人（包括专业分包人）结算。</w:t>
      </w:r>
      <w:r>
        <w:rPr>
          <w:rFonts w:hint="eastAsia" w:ascii="仿宋_GB2312" w:hAnsi="仿宋_GB2312" w:eastAsia="仿宋_GB2312" w:cs="仿宋_GB2312"/>
          <w:bCs/>
          <w:color w:val="auto"/>
          <w:sz w:val="24"/>
          <w:szCs w:val="24"/>
          <w:highlight w:val="none"/>
        </w:rPr>
        <w:t>承包人与分包人签订的施工合同不能约定分包人直接向发包人申请支付工程款（进度款）。</w:t>
      </w:r>
      <w:r>
        <w:rPr>
          <w:rFonts w:hint="eastAsia" w:ascii="仿宋_GB2312" w:hAnsi="仿宋_GB2312" w:eastAsia="仿宋_GB2312" w:cs="仿宋_GB2312"/>
          <w:color w:val="auto"/>
          <w:sz w:val="24"/>
          <w:szCs w:val="24"/>
          <w:highlight w:val="none"/>
        </w:rPr>
        <w:t>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承包人不得授权分包人或与分包人签订的合同中约定可以直接向发包人递交竣工结算报告等结算资料及进行工程竣工结算。承包人应保证不得以任何形式与分包人约定分包人就工程款（进度款）支付及工程结算问题直接向发包人主张民事权利。如承包人与分包人就工程价款支付和工程结算发生争议，由承包人与分包人自行解决。一旦发生诉讼，分包人直接起诉承包人、发包人的，承包人保证承担全部赔偿责任，发包人也有权直接抵扣支付给承包人的工程款（进度款）、解除承包合同，赔偿损失。如发包人代为承包人支付工程款的，发包人有权向承包人追偿。</w:t>
      </w:r>
    </w:p>
    <w:p w14:paraId="1BB1548B">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（3）承包人应督促其工程分包单位及时做好竣工资料整理工作，并于分包工程竣工验收后25天内将全部档案资料移交给承包人，由承包人汇总、归档，与承包人移交的竣工文件一起提交审查和移交。</w:t>
      </w:r>
    </w:p>
    <w:p w14:paraId="3AD99367">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取得批准分包并不解除承包人在合同约定的任何责任和义务，承包人应在分包场地派驻相应管理人员，保证本合同的履行。其分包工程费用、分包管理费用、利润以及税费，均由承包人在投标报价中充分考虑，不得以任何理由向发包人追加费用。</w:t>
      </w:r>
    </w:p>
    <w:p w14:paraId="1339336F">
      <w:pPr>
        <w:tabs>
          <w:tab w:val="left" w:pos="7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（5）未经发包人和监理工程师审批同意的分包工程和分包人，发包人有权拒绝验收分包工程和支付相应款项，由此引起的发包人费用增加和（或）延误的工期由承包人承担。</w:t>
      </w:r>
    </w:p>
    <w:p w14:paraId="693695F4">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07" w:name="_Toc469384088"/>
      <w:bookmarkStart w:id="608" w:name="_Toc10624932"/>
    </w:p>
    <w:p w14:paraId="0B8F4BD0">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13. 交通运输</w:t>
      </w:r>
      <w:bookmarkEnd w:id="607"/>
      <w:bookmarkEnd w:id="608"/>
      <w:r>
        <w:rPr>
          <w:rFonts w:hint="eastAsia" w:ascii="黑体" w:hAnsi="黑体" w:eastAsia="黑体" w:cs="黑体"/>
          <w:b w:val="0"/>
          <w:bCs w:val="0"/>
          <w:color w:val="auto"/>
          <w:kern w:val="0"/>
          <w:sz w:val="24"/>
          <w:szCs w:val="24"/>
          <w:highlight w:val="none"/>
          <w:lang w:val="en-US" w:eastAsia="zh-CN" w:bidi="ar-SA"/>
        </w:rPr>
        <w:t xml:space="preserve"> </w:t>
      </w:r>
    </w:p>
    <w:p w14:paraId="65A0869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 取得道路通行权、场外设施修建权的办理人：</w:t>
      </w:r>
      <w:permStart w:id="137" w:edGrp="everyone"/>
      <w:r>
        <w:rPr>
          <w:rFonts w:hint="eastAsia" w:ascii="仿宋_GB2312" w:hAnsi="仿宋_GB2312" w:eastAsia="仿宋_GB2312" w:cs="仿宋_GB2312"/>
          <w:color w:val="auto"/>
          <w:sz w:val="24"/>
          <w:szCs w:val="24"/>
          <w:highlight w:val="none"/>
          <w:u w:val="single"/>
        </w:rPr>
        <w:t>承包人</w:t>
      </w:r>
      <w:permEnd w:id="137"/>
      <w:r>
        <w:rPr>
          <w:rFonts w:hint="eastAsia" w:ascii="仿宋_GB2312" w:hAnsi="仿宋_GB2312" w:eastAsia="仿宋_GB2312" w:cs="仿宋_GB2312"/>
          <w:color w:val="auto"/>
          <w:sz w:val="24"/>
          <w:szCs w:val="24"/>
          <w:highlight w:val="none"/>
        </w:rPr>
        <w:t>，费用已包含在合同价款中。承包人应当负责办理取得出入施工场地的专用和临时道路（含水路）的通行权，以及取得为实施合同工程所需修建场外设施的权利，办理相关手续，并承担有关费用（包括运输超大件或超重件所需的道路和桥梁临时加固改造费用、养路费等一切费用和税费），上述所有费用已包含在合同价款中，不另行计量支付。</w:t>
      </w:r>
    </w:p>
    <w:p w14:paraId="343AA16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34E43C8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13.2办理道路通行权和修建场外设施的费用：</w:t>
      </w:r>
      <w:permStart w:id="13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已包含在合同价款中，不另行计量支付。</w:t>
      </w:r>
      <w:r>
        <w:rPr>
          <w:rFonts w:hint="eastAsia" w:ascii="仿宋_GB2312" w:hAnsi="仿宋_GB2312" w:eastAsia="仿宋_GB2312" w:cs="仿宋_GB2312"/>
          <w:color w:val="auto"/>
          <w:sz w:val="24"/>
          <w:szCs w:val="24"/>
          <w:highlight w:val="none"/>
          <w:u w:val="single"/>
        </w:rPr>
        <w:t xml:space="preserve"> </w:t>
      </w:r>
      <w:permEnd w:id="138"/>
      <w:r>
        <w:rPr>
          <w:rFonts w:hint="eastAsia" w:ascii="仿宋_GB2312" w:hAnsi="仿宋_GB2312" w:eastAsia="仿宋_GB2312" w:cs="仿宋_GB2312"/>
          <w:color w:val="auto"/>
          <w:sz w:val="24"/>
          <w:szCs w:val="24"/>
          <w:highlight w:val="none"/>
          <w:u w:val="single"/>
        </w:rPr>
        <w:t xml:space="preserve">  </w:t>
      </w:r>
    </w:p>
    <w:p w14:paraId="301F9C52">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13.4 运输超大件和超重件的费用：</w:t>
      </w:r>
      <w:permStart w:id="139" w:edGrp="everyone"/>
      <w:r>
        <w:rPr>
          <w:rFonts w:hint="eastAsia" w:ascii="仿宋_GB2312" w:hAnsi="仿宋_GB2312" w:eastAsia="仿宋_GB2312" w:cs="仿宋_GB2312"/>
          <w:color w:val="auto"/>
          <w:sz w:val="24"/>
          <w:szCs w:val="24"/>
          <w:highlight w:val="none"/>
          <w:u w:val="single"/>
        </w:rPr>
        <w:t xml:space="preserve"> 由承包人承担。</w:t>
      </w:r>
      <w:permEnd w:id="139"/>
    </w:p>
    <w:p w14:paraId="67EA608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13.7 承包人退场前，对由于承包人自身原因引起的道路、桥梁、水闸、码头、堤围设施的损坏应当自费恢复原状。</w:t>
      </w:r>
    </w:p>
    <w:p w14:paraId="0B25C4F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13.8 承包人还应自费提供其所需要的工地以外的供工程使用的任何附加设施。承包人只能在发包人提供的施工场地范围内进行布置、安排和组织施工。承包人如需占用发包人提供的施工场地范围以外的场地，须自行办理有关手续及支付相关费用。</w:t>
      </w:r>
    </w:p>
    <w:p w14:paraId="3E92677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13.9 在合同工程施工期间，根据政府有关环境保护的规定，承包人应采取所有合理的措施来保护现场内外的环境，并避免由于其操作方法所造成的污染、噪声或其它问题而对附近的人员、环境或公私财产造成的干扰、损失或损害。承包人已在合同价款中考虑有关费用，并保证发包人免于受到或承担应由承包人负责的上述事项所引起的或与之有关的索赔、诉讼、以及其它开支，如因承包人的行为对发包人造成损失的，发包人有权向承包人追偿。</w:t>
      </w:r>
      <w:bookmarkStart w:id="609" w:name="_Toc469384089"/>
      <w:bookmarkStart w:id="610" w:name="_Toc10624933"/>
    </w:p>
    <w:p w14:paraId="7D9E7D1E">
      <w:pPr>
        <w:spacing w:line="420" w:lineRule="exact"/>
        <w:rPr>
          <w:rFonts w:hint="eastAsia" w:ascii="仿宋_GB2312" w:hAnsi="仿宋_GB2312" w:eastAsia="仿宋_GB2312" w:cs="仿宋_GB2312"/>
          <w:color w:val="auto"/>
          <w:sz w:val="24"/>
          <w:szCs w:val="24"/>
          <w:highlight w:val="none"/>
        </w:rPr>
      </w:pPr>
    </w:p>
    <w:p w14:paraId="05490542">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14. 专项批准事件的签认</w:t>
      </w:r>
      <w:bookmarkEnd w:id="609"/>
      <w:bookmarkEnd w:id="610"/>
    </w:p>
    <w:p w14:paraId="2A17942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 专项批准事件的签认人选</w:t>
      </w:r>
    </w:p>
    <w:p w14:paraId="733B11C9">
      <w:pPr>
        <w:tabs>
          <w:tab w:val="left" w:pos="9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（1）监理工程师：</w:t>
      </w:r>
    </w:p>
    <w:p w14:paraId="4CEABC7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ermStart w:id="140" w:edGrp="everyone"/>
      <w:r>
        <w:rPr>
          <w:rFonts w:hint="eastAsia" w:ascii="仿宋_GB2312" w:hAnsi="仿宋_GB2312" w:eastAsia="仿宋_GB2312" w:cs="仿宋_GB2312"/>
          <w:color w:val="auto"/>
          <w:sz w:val="24"/>
          <w:szCs w:val="24"/>
          <w:highlight w:val="none"/>
          <w:u w:val="single"/>
        </w:rPr>
        <w:t xml:space="preserve">                </w:t>
      </w:r>
      <w:permEnd w:id="140"/>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p>
    <w:p w14:paraId="61CB86A6">
      <w:pPr>
        <w:tabs>
          <w:tab w:val="left" w:pos="9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（2）造价工程师：</w:t>
      </w:r>
    </w:p>
    <w:p w14:paraId="1205629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ermStart w:id="14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ermEnd w:id="141"/>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p>
    <w:p w14:paraId="3D83A060">
      <w:pPr>
        <w:tabs>
          <w:tab w:val="left" w:pos="9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（3）建造师：</w:t>
      </w:r>
    </w:p>
    <w:p w14:paraId="12EAB5E3">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姓名：</w:t>
      </w:r>
      <w:permStart w:id="142" w:edGrp="everyone"/>
      <w:r>
        <w:rPr>
          <w:rFonts w:hint="eastAsia" w:ascii="仿宋_GB2312" w:hAnsi="仿宋_GB2312" w:eastAsia="仿宋_GB2312" w:cs="仿宋_GB2312"/>
          <w:color w:val="auto"/>
          <w:sz w:val="24"/>
          <w:szCs w:val="24"/>
          <w:highlight w:val="none"/>
          <w:u w:val="single"/>
        </w:rPr>
        <w:t xml:space="preserve">                 </w:t>
      </w:r>
      <w:permEnd w:id="142"/>
      <w:r>
        <w:rPr>
          <w:rFonts w:hint="eastAsia" w:ascii="仿宋_GB2312" w:hAnsi="仿宋_GB2312" w:eastAsia="仿宋_GB2312" w:cs="仿宋_GB2312"/>
          <w:color w:val="auto"/>
          <w:sz w:val="24"/>
          <w:szCs w:val="24"/>
          <w:highlight w:val="none"/>
        </w:rPr>
        <w:t xml:space="preserve"> 印章样式：                签字样式：</w:t>
      </w:r>
      <w:r>
        <w:rPr>
          <w:rFonts w:hint="eastAsia" w:ascii="仿宋_GB2312" w:hAnsi="仿宋_GB2312" w:eastAsia="仿宋_GB2312" w:cs="仿宋_GB2312"/>
          <w:color w:val="auto"/>
          <w:sz w:val="24"/>
          <w:szCs w:val="24"/>
          <w:highlight w:val="none"/>
          <w:u w:val="single"/>
        </w:rPr>
        <w:t xml:space="preserve">                  </w:t>
      </w:r>
      <w:bookmarkStart w:id="611" w:name="_Toc469384090"/>
      <w:bookmarkStart w:id="612" w:name="_Toc10624934"/>
    </w:p>
    <w:p w14:paraId="29FC190E">
      <w:pPr>
        <w:spacing w:line="420" w:lineRule="exact"/>
        <w:rPr>
          <w:rFonts w:hint="eastAsia" w:ascii="仿宋_GB2312" w:hAnsi="仿宋_GB2312" w:eastAsia="仿宋_GB2312" w:cs="仿宋_GB2312"/>
          <w:color w:val="auto"/>
          <w:sz w:val="24"/>
          <w:szCs w:val="24"/>
          <w:highlight w:val="none"/>
          <w:u w:val="single"/>
        </w:rPr>
      </w:pPr>
    </w:p>
    <w:p w14:paraId="6013BACC">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19. 发包人</w:t>
      </w:r>
      <w:bookmarkEnd w:id="611"/>
      <w:bookmarkEnd w:id="612"/>
    </w:p>
    <w:p w14:paraId="31D996E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19.2发包人完成下列工作的约定</w:t>
      </w:r>
    </w:p>
    <w:p w14:paraId="46F8932A">
      <w:pPr>
        <w:tabs>
          <w:tab w:val="left" w:pos="840"/>
          <w:tab w:val="left" w:pos="1560"/>
          <w:tab w:val="left" w:pos="162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（1）办理土地征用、拆迁、平整施工场地等工作的时间：</w:t>
      </w:r>
      <w:permStart w:id="143" w:edGrp="everyone"/>
      <w:r>
        <w:rPr>
          <w:rFonts w:hint="eastAsia" w:ascii="仿宋_GB2312" w:hAnsi="仿宋_GB2312" w:eastAsia="仿宋_GB2312" w:cs="仿宋_GB2312"/>
          <w:color w:val="auto"/>
          <w:sz w:val="24"/>
          <w:szCs w:val="24"/>
          <w:highlight w:val="none"/>
          <w:u w:val="single"/>
        </w:rPr>
        <w:t xml:space="preserve">  /。  </w:t>
      </w:r>
      <w:permEnd w:id="143"/>
    </w:p>
    <w:p w14:paraId="77E49E3B">
      <w:pPr>
        <w:tabs>
          <w:tab w:val="left" w:pos="840"/>
          <w:tab w:val="left" w:pos="1440"/>
          <w:tab w:val="left" w:pos="162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（2）完成施工所需水、电、通讯线路接驳的时间及地点：</w:t>
      </w:r>
      <w:permStart w:id="144" w:edGrp="everyone"/>
      <w:r>
        <w:rPr>
          <w:rFonts w:hint="eastAsia" w:ascii="仿宋_GB2312" w:hAnsi="仿宋_GB2312" w:eastAsia="仿宋_GB2312" w:cs="仿宋_GB2312"/>
          <w:color w:val="auto"/>
          <w:sz w:val="24"/>
          <w:szCs w:val="24"/>
          <w:highlight w:val="none"/>
          <w:u w:val="single"/>
        </w:rPr>
        <w:t xml:space="preserve">  /。  </w:t>
      </w:r>
      <w:permEnd w:id="144"/>
    </w:p>
    <w:p w14:paraId="757D405D">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（3）开通施工现场与城乡公共道路间的通道的时间：</w:t>
      </w:r>
      <w:permStart w:id="145" w:edGrp="everyone"/>
      <w:r>
        <w:rPr>
          <w:rFonts w:hint="eastAsia" w:ascii="仿宋_GB2312" w:hAnsi="仿宋_GB2312" w:eastAsia="仿宋_GB2312" w:cs="仿宋_GB2312"/>
          <w:color w:val="auto"/>
          <w:sz w:val="24"/>
          <w:szCs w:val="24"/>
          <w:highlight w:val="none"/>
          <w:u w:val="single"/>
        </w:rPr>
        <w:t xml:space="preserve"> /。 </w:t>
      </w:r>
      <w:permEnd w:id="145"/>
    </w:p>
    <w:p w14:paraId="2B23F8F3">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（4）提供施工所需的有关资料的时间：</w:t>
      </w:r>
      <w:permStart w:id="146" w:edGrp="everyone"/>
      <w:r>
        <w:rPr>
          <w:rFonts w:hint="eastAsia" w:ascii="仿宋_GB2312" w:hAnsi="仿宋_GB2312" w:eastAsia="仿宋_GB2312" w:cs="仿宋_GB2312"/>
          <w:color w:val="auto"/>
          <w:sz w:val="24"/>
          <w:szCs w:val="24"/>
          <w:highlight w:val="none"/>
          <w:u w:val="single"/>
        </w:rPr>
        <w:t xml:space="preserve">   开工前7天内。</w:t>
      </w:r>
      <w:permEnd w:id="146"/>
    </w:p>
    <w:p w14:paraId="5643DF4E">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（5）办理施工所需的有关证件和批准手续的时间：</w:t>
      </w:r>
      <w:permStart w:id="147" w:edGrp="everyone"/>
      <w:r>
        <w:rPr>
          <w:rFonts w:hint="eastAsia" w:ascii="仿宋_GB2312" w:hAnsi="仿宋_GB2312" w:eastAsia="仿宋_GB2312" w:cs="仿宋_GB2312"/>
          <w:color w:val="auto"/>
          <w:sz w:val="24"/>
          <w:szCs w:val="24"/>
          <w:highlight w:val="none"/>
          <w:u w:val="single"/>
        </w:rPr>
        <w:t xml:space="preserve">   / 。 </w:t>
      </w:r>
      <w:permEnd w:id="147"/>
    </w:p>
    <w:p w14:paraId="294A6A99">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（6）现场交验的时间：</w:t>
      </w:r>
      <w:permStart w:id="148" w:edGrp="everyone"/>
      <w:r>
        <w:rPr>
          <w:rFonts w:hint="eastAsia" w:ascii="仿宋_GB2312" w:hAnsi="仿宋_GB2312" w:eastAsia="仿宋_GB2312" w:cs="仿宋_GB2312"/>
          <w:color w:val="auto"/>
          <w:sz w:val="24"/>
          <w:szCs w:val="24"/>
          <w:highlight w:val="none"/>
          <w:u w:val="single"/>
        </w:rPr>
        <w:t xml:space="preserve"> /。 </w:t>
      </w:r>
      <w:permEnd w:id="148"/>
    </w:p>
    <w:p w14:paraId="1786445A">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（7）提供标准与规范的时间：</w:t>
      </w:r>
      <w:permStart w:id="149" w:edGrp="everyone"/>
      <w:r>
        <w:rPr>
          <w:rFonts w:hint="eastAsia" w:ascii="仿宋_GB2312" w:hAnsi="仿宋_GB2312" w:eastAsia="仿宋_GB2312" w:cs="仿宋_GB2312"/>
          <w:color w:val="auto"/>
          <w:sz w:val="24"/>
          <w:szCs w:val="24"/>
          <w:highlight w:val="none"/>
          <w:u w:val="single"/>
        </w:rPr>
        <w:t xml:space="preserve">  /。  </w:t>
      </w:r>
      <w:permEnd w:id="149"/>
    </w:p>
    <w:p w14:paraId="3A490DE0">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（8）组织图纸会审和设计交底的时间：</w:t>
      </w:r>
      <w:permStart w:id="150" w:edGrp="everyone"/>
      <w:r>
        <w:rPr>
          <w:rFonts w:hint="eastAsia" w:ascii="仿宋_GB2312" w:hAnsi="仿宋_GB2312" w:eastAsia="仿宋_GB2312" w:cs="仿宋_GB2312"/>
          <w:color w:val="auto"/>
          <w:sz w:val="24"/>
          <w:szCs w:val="24"/>
          <w:highlight w:val="none"/>
          <w:u w:val="single"/>
        </w:rPr>
        <w:t xml:space="preserve"> 发包人应当在第34.2款约定的开工日期前7天组织设计人向承包人进行合同工程总体设计交底（包括图纸会审）。发包人还应按照合同进度计划中载明的阶段性设计交底时间组织和安排阶段工程设计交底（包括图纸会审）。承包人可以书面方式通过监理工程师向发包人申请增加紧急的设计交底，发包人在认为确有必要且条件许可时，应当尽快组织这类设计交底。</w:t>
      </w:r>
    </w:p>
    <w:permEnd w:id="150"/>
    <w:p w14:paraId="544BC89C">
      <w:pPr>
        <w:tabs>
          <w:tab w:val="left" w:pos="840"/>
          <w:tab w:val="left" w:pos="1560"/>
        </w:tabs>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（9）协调处理施工周围场地系问题和邻近建筑物等保护工作的约定：</w:t>
      </w:r>
      <w:permStart w:id="15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bCs/>
          <w:color w:val="auto"/>
          <w:sz w:val="24"/>
          <w:szCs w:val="24"/>
          <w:highlight w:val="none"/>
          <w:u w:val="single"/>
        </w:rPr>
        <w:t>发包人协助承包人做好上述保护工作的协调处理，除文物保护外，其它保护工作费用已包含在合同价款中。</w:t>
      </w:r>
    </w:p>
    <w:permEnd w:id="151"/>
    <w:p w14:paraId="6FB79F9B">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（10）根据建设行政主管部门和（或）城市建设档案管理机构的规定，配合承包人收集、整理、立卷、归档工程资料，并按规定时间向建设行政主管部门或者城市建设档案管理机构移交规定的工程档案。</w:t>
      </w:r>
    </w:p>
    <w:p w14:paraId="323119D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（11）应通知监理工程师派员到现场监督施工放线。</w:t>
      </w:r>
    </w:p>
    <w:p w14:paraId="4CC874F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（12）委托承包人办理的工作有：</w:t>
      </w:r>
      <w:permStart w:id="15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在施工过程中，如遇燃气、电力通信、石油、</w:t>
      </w:r>
      <w:r>
        <w:rPr>
          <w:rFonts w:hint="eastAsia" w:ascii="仿宋_GB2312" w:hAnsi="仿宋_GB2312" w:eastAsia="仿宋_GB2312" w:cs="仿宋_GB2312"/>
          <w:color w:val="auto"/>
          <w:sz w:val="24"/>
          <w:szCs w:val="24"/>
          <w:highlight w:val="none"/>
          <w:u w:val="single"/>
          <w:lang w:eastAsia="zh-CN"/>
        </w:rPr>
        <w:t>市政道路</w:t>
      </w:r>
      <w:r>
        <w:rPr>
          <w:rFonts w:hint="eastAsia" w:ascii="仿宋_GB2312" w:hAnsi="仿宋_GB2312" w:eastAsia="仿宋_GB2312" w:cs="仿宋_GB2312"/>
          <w:color w:val="auto"/>
          <w:sz w:val="24"/>
          <w:szCs w:val="24"/>
          <w:highlight w:val="none"/>
          <w:u w:val="single"/>
        </w:rPr>
        <w:t>等重点设施，应积极协调对应的管理部门，开展安全评估</w:t>
      </w:r>
      <w:r>
        <w:rPr>
          <w:rFonts w:hint="eastAsia" w:ascii="仿宋_GB2312" w:hAnsi="仿宋_GB2312" w:eastAsia="仿宋_GB2312" w:cs="仿宋_GB2312"/>
          <w:color w:val="auto"/>
          <w:sz w:val="24"/>
          <w:szCs w:val="24"/>
          <w:highlight w:val="none"/>
          <w:u w:val="single"/>
          <w:lang w:eastAsia="zh-CN"/>
        </w:rPr>
        <w:t>（评价），费用已包含在合同价款中。负责满足项目施工影响范围内相关权属管理单位要求实施的施工前相关前置报批及其他相关工作，完善开工前准备工作。</w:t>
      </w:r>
      <w:r>
        <w:rPr>
          <w:rFonts w:hint="eastAsia" w:ascii="仿宋_GB2312" w:hAnsi="仿宋_GB2312" w:eastAsia="仿宋_GB2312" w:cs="仿宋_GB2312"/>
          <w:color w:val="auto"/>
          <w:sz w:val="24"/>
          <w:szCs w:val="24"/>
          <w:highlight w:val="none"/>
          <w:u w:val="single"/>
        </w:rPr>
        <w:t xml:space="preserve"> </w:t>
      </w:r>
      <w:permEnd w:id="152"/>
      <w:r>
        <w:rPr>
          <w:rFonts w:hint="eastAsia" w:ascii="仿宋_GB2312" w:hAnsi="仿宋_GB2312" w:eastAsia="仿宋_GB2312" w:cs="仿宋_GB2312"/>
          <w:color w:val="auto"/>
          <w:sz w:val="24"/>
          <w:szCs w:val="24"/>
          <w:highlight w:val="none"/>
          <w:u w:val="single"/>
        </w:rPr>
        <w:t xml:space="preserve">              </w:t>
      </w:r>
    </w:p>
    <w:p w14:paraId="0C00036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19.3 提供施工场地的时间：施工场地应当在监理工程师发出的开工通知中载明的开工日期前</w:t>
      </w:r>
      <w:permStart w:id="15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7</w:t>
      </w:r>
      <w:r>
        <w:rPr>
          <w:rFonts w:hint="eastAsia" w:ascii="仿宋_GB2312" w:hAnsi="仿宋_GB2312" w:eastAsia="仿宋_GB2312" w:cs="仿宋_GB2312"/>
          <w:color w:val="auto"/>
          <w:sz w:val="24"/>
          <w:szCs w:val="24"/>
          <w:highlight w:val="none"/>
          <w:u w:val="single"/>
        </w:rPr>
        <w:t xml:space="preserve">   </w:t>
      </w:r>
      <w:permEnd w:id="153"/>
      <w:r>
        <w:rPr>
          <w:rFonts w:hint="eastAsia" w:ascii="仿宋_GB2312" w:hAnsi="仿宋_GB2312" w:eastAsia="仿宋_GB2312" w:cs="仿宋_GB2312"/>
          <w:color w:val="auto"/>
          <w:sz w:val="24"/>
          <w:szCs w:val="24"/>
          <w:highlight w:val="none"/>
          <w:u w:val="single"/>
        </w:rPr>
        <w:t>天基本具备施工条件，发包人最迟应当在合同约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采用多个施工点施工的方式，应确保工期目标的实现，由于发包人分期提供场地而可能发生的延期费用，已包含在承包人的投标报价中，承包人不得以此为由向发包人索取停工费、误工费或多次进退场费等。如确因客观原因或不可抗力等非承包人原因导致的工期延期或费用增加，由双方另行协商。</w:t>
      </w:r>
    </w:p>
    <w:p w14:paraId="1BA3617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19.4 支付款项</w:t>
      </w:r>
    </w:p>
    <w:p w14:paraId="05EE4F7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工程款支付期限</w:t>
      </w:r>
    </w:p>
    <w:p w14:paraId="3A84BF47">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按专用条款第80.3款、第81.3款、第83.3款等规定期限支付。</w:t>
      </w:r>
    </w:p>
    <w:p w14:paraId="3BDD9E5D">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14:paraId="6E5F1BF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工程款支付方式</w:t>
      </w:r>
    </w:p>
    <w:p w14:paraId="599046D1">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按协议书所注明的银行账户转账。</w:t>
      </w:r>
    </w:p>
    <w:p w14:paraId="72A556FA">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支票支付。</w:t>
      </w:r>
    </w:p>
    <w:p w14:paraId="3395FCF2">
      <w:pPr>
        <w:spacing w:line="420" w:lineRule="exact"/>
        <w:ind w:firstLine="720" w:firstLineChars="3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其他方式：</w:t>
      </w:r>
      <w:r>
        <w:rPr>
          <w:rFonts w:hint="eastAsia" w:ascii="仿宋_GB2312" w:hAnsi="仿宋_GB2312" w:eastAsia="仿宋_GB2312" w:cs="仿宋_GB2312"/>
          <w:color w:val="auto"/>
          <w:kern w:val="0"/>
          <w:sz w:val="24"/>
          <w:szCs w:val="24"/>
          <w:highlight w:val="none"/>
          <w:u w:val="single"/>
        </w:rPr>
        <w:t xml:space="preserve">    /。                                                                   </w:t>
      </w:r>
      <w:bookmarkStart w:id="613" w:name="_Toc469384091"/>
      <w:bookmarkStart w:id="614" w:name="_Toc10624935"/>
    </w:p>
    <w:p w14:paraId="21D76017">
      <w:pPr>
        <w:spacing w:line="420" w:lineRule="exact"/>
        <w:rPr>
          <w:rFonts w:hint="eastAsia" w:ascii="仿宋_GB2312" w:hAnsi="仿宋_GB2312" w:eastAsia="仿宋_GB2312" w:cs="仿宋_GB2312"/>
          <w:color w:val="auto"/>
          <w:kern w:val="0"/>
          <w:sz w:val="24"/>
          <w:szCs w:val="24"/>
          <w:highlight w:val="none"/>
          <w:u w:val="single"/>
        </w:rPr>
      </w:pPr>
    </w:p>
    <w:p w14:paraId="7C68138D">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20. 承包人</w:t>
      </w:r>
      <w:bookmarkEnd w:id="613"/>
      <w:bookmarkEnd w:id="614"/>
    </w:p>
    <w:p w14:paraId="062041BC">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20.1 遵守法律</w:t>
      </w:r>
    </w:p>
    <w:p w14:paraId="6B2602C6">
      <w:pPr>
        <w:spacing w:line="420" w:lineRule="exact"/>
        <w:ind w:firstLine="480"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在本项目发包人的工程项目中存在通用条款20.1所列行为的，发包人按诚信评价标准对其作出评价，且该评价结果由发包人直接录入广州市水务工程企业信息库及诚信管理系统，并报市水务局按照广州市水务工程施工和监理企业诚信评价管理办法执行。</w:t>
      </w:r>
    </w:p>
    <w:p w14:paraId="6A3F2A5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20.2 承包人完成下列工作的约定</w:t>
      </w:r>
    </w:p>
    <w:p w14:paraId="7FE4A89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 提交支付申请和工程款额报告期限</w:t>
      </w:r>
    </w:p>
    <w:p w14:paraId="2DA455A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按专用条款第80.2款、第81.1款、第83.1款等规定期限提交。</w:t>
      </w:r>
    </w:p>
    <w:p w14:paraId="66D3EC98">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14:paraId="31E31E2F">
      <w:pPr>
        <w:spacing w:line="420" w:lineRule="exact"/>
        <w:ind w:left="31" w:leftChars="1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根据监理工程师或当地政府及发包人要求，在需要的时间和地点，提供和维持包括但不限于所有的照明灯光、护板、围墙、栅栏、警告信号标志和值班人员，对工程进行保护和为公众提供安全和方便。</w:t>
      </w:r>
    </w:p>
    <w:p w14:paraId="2A86C9B2">
      <w:pPr>
        <w:spacing w:line="420" w:lineRule="exact"/>
        <w:ind w:left="61" w:leftChars="29"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（5）向发包人提供施工场地办公和生活的房屋及设施的数量和时间等要求：</w:t>
      </w:r>
      <w:r>
        <w:rPr>
          <w:rFonts w:hint="eastAsia" w:ascii="仿宋_GB2312" w:hAnsi="仿宋_GB2312" w:eastAsia="仿宋_GB2312" w:cs="仿宋_GB2312"/>
          <w:color w:val="auto"/>
          <w:kern w:val="0"/>
          <w:sz w:val="24"/>
          <w:szCs w:val="24"/>
          <w:highlight w:val="none"/>
          <w:u w:val="single"/>
        </w:rPr>
        <w:t xml:space="preserve">  </w:t>
      </w:r>
      <w:permStart w:id="154" w:edGrp="everyone"/>
      <w:r>
        <w:rPr>
          <w:rFonts w:hint="eastAsia" w:ascii="仿宋_GB2312" w:hAnsi="仿宋_GB2312" w:eastAsia="仿宋_GB2312" w:cs="仿宋_GB2312"/>
          <w:color w:val="auto"/>
          <w:kern w:val="0"/>
          <w:sz w:val="24"/>
          <w:szCs w:val="24"/>
          <w:highlight w:val="none"/>
          <w:u w:val="single"/>
        </w:rPr>
        <w:t>按招标文件要求，其费用含在合同价款中。</w:t>
      </w:r>
      <w:permEnd w:id="154"/>
    </w:p>
    <w:p w14:paraId="77AC3E3D">
      <w:pPr>
        <w:widowControl w:val="0"/>
        <w:spacing w:after="120" w:line="420" w:lineRule="exact"/>
        <w:ind w:firstLine="480" w:firstLineChars="200"/>
        <w:jc w:val="both"/>
        <w:rPr>
          <w:rFonts w:hint="eastAsia" w:ascii="仿宋_GB2312" w:hAnsi="仿宋_GB2312" w:eastAsia="仿宋_GB2312" w:cs="仿宋_GB2312"/>
          <w:color w:val="auto"/>
          <w:kern w:val="0"/>
          <w:sz w:val="24"/>
          <w:szCs w:val="24"/>
          <w:highlight w:val="none"/>
          <w:u w:val="singl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（6）办完施工场地交通、环境保护、施工噪声、</w:t>
      </w:r>
      <w:r>
        <w:rPr>
          <w:rFonts w:hint="eastAsia" w:ascii="仿宋_GB2312" w:hAnsi="仿宋_GB2312" w:eastAsia="仿宋_GB2312" w:cs="仿宋_GB2312"/>
          <w:color w:val="auto"/>
          <w:kern w:val="2"/>
          <w:sz w:val="24"/>
          <w:szCs w:val="24"/>
          <w:highlight w:val="none"/>
          <w:lang w:val="en-US" w:eastAsia="zh-CN" w:bidi="ar-SA"/>
        </w:rPr>
        <w:t>绿色施工安全防护</w:t>
      </w:r>
      <w:r>
        <w:rPr>
          <w:rFonts w:hint="eastAsia" w:ascii="仿宋_GB2312" w:hAnsi="仿宋_GB2312" w:eastAsia="仿宋_GB2312" w:cs="仿宋_GB2312"/>
          <w:color w:val="auto"/>
          <w:kern w:val="0"/>
          <w:sz w:val="24"/>
          <w:szCs w:val="24"/>
          <w:highlight w:val="none"/>
          <w:lang w:val="en-US" w:eastAsia="zh-CN" w:bidi="ar-SA"/>
        </w:rPr>
        <w:t>等手续的时间：</w:t>
      </w:r>
      <w:permStart w:id="155" w:edGrp="everyone"/>
      <w:r>
        <w:rPr>
          <w:rFonts w:hint="eastAsia" w:ascii="仿宋_GB2312" w:hAnsi="仿宋_GB2312" w:eastAsia="仿宋_GB2312" w:cs="仿宋_GB2312"/>
          <w:color w:val="auto"/>
          <w:kern w:val="0"/>
          <w:sz w:val="24"/>
          <w:szCs w:val="24"/>
          <w:highlight w:val="none"/>
          <w:u w:val="single"/>
          <w:lang w:val="en-US" w:eastAsia="zh-CN" w:bidi="ar-SA"/>
        </w:rPr>
        <w:t>监理发出开工令后15天内</w:t>
      </w:r>
      <w:permEnd w:id="155"/>
    </w:p>
    <w:p w14:paraId="3F5F1D0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（8）做好施工场地地下管线和邻近建筑物、构筑物（包括文物保护建筑）、古树名木保护工作的约定：</w:t>
      </w:r>
    </w:p>
    <w:p w14:paraId="4EE0C7E7">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156" w:edGrp="everyone"/>
      <w:r>
        <w:rPr>
          <w:rFonts w:hint="eastAsia" w:ascii="仿宋_GB2312" w:hAnsi="仿宋_GB2312" w:eastAsia="仿宋_GB2312" w:cs="仿宋_GB2312"/>
          <w:color w:val="auto"/>
          <w:kern w:val="0"/>
          <w:sz w:val="24"/>
          <w:szCs w:val="24"/>
          <w:highlight w:val="none"/>
          <w:u w:val="single"/>
        </w:rPr>
        <w:t>承包人应当贯彻落实中共中央办公厅、国务院办公厅《关于推动城乡建设绿色发展的意见》《关于在城乡建设中加强历史文化保护传承的意见》和《国务院办公厅关于科学绿化的指导意见》《住房和城乡建设部关于在实施城市更新行动中防止大拆大建问题的通知》等文件精神，注重绿化保护、文物保护，施工组织及专项保护方案需征得居民同意并报监理工程师及发包人审核，严格控制大规模拆除大规模增建、大规模搬迁，坚决防止破坏性建设行为。本项目涉及文物保护单位保护范围的，承包人应在专项方案编制完成后报当地文物行政主管部门，取得本项目文物保护单位或文物行政主管部门批复；施工现场挖掘的文物、具有考古价值的物品需妥善保管并立即报告当地文物行政部门。</w:t>
      </w:r>
    </w:p>
    <w:permEnd w:id="156"/>
    <w:p w14:paraId="7BF0FC8D">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（9）保证施工场地的清洁和做好交工前施工现场清理工作的约定：</w:t>
      </w:r>
      <w:permStart w:id="157" w:edGrp="everyone"/>
      <w:r>
        <w:rPr>
          <w:rFonts w:hint="eastAsia" w:ascii="仿宋_GB2312" w:hAnsi="仿宋_GB2312" w:eastAsia="仿宋_GB2312" w:cs="仿宋_GB2312"/>
          <w:color w:val="auto"/>
          <w:kern w:val="0"/>
          <w:sz w:val="24"/>
          <w:szCs w:val="24"/>
          <w:highlight w:val="none"/>
          <w:u w:val="single"/>
        </w:rPr>
        <w:t xml:space="preserve"> 由承包人负责办理场地清理、平整等工作，费用已包含在合同价款中，发包人不另行计量支付。</w:t>
      </w:r>
    </w:p>
    <w:permEnd w:id="157"/>
    <w:p w14:paraId="26246BF6">
      <w:pPr>
        <w:tabs>
          <w:tab w:val="left" w:pos="840"/>
        </w:tabs>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（10）提交竣工验收申请报告和竣工结算文件。</w:t>
      </w:r>
    </w:p>
    <w:p w14:paraId="5C8DAD7E">
      <w:pPr>
        <w:spacing w:line="420" w:lineRule="exact"/>
        <w:ind w:left="12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按通用条款第82.2款规定提交。</w:t>
      </w:r>
    </w:p>
    <w:p w14:paraId="1AC1BF89">
      <w:pPr>
        <w:spacing w:line="420" w:lineRule="exact"/>
        <w:ind w:left="360" w:leftChars="57" w:hanging="240" w:hanging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 xml:space="preserve">。  </w:t>
      </w:r>
    </w:p>
    <w:p w14:paraId="667898C2">
      <w:pPr>
        <w:numPr>
          <w:ilvl w:val="0"/>
          <w:numId w:val="1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为他人提供方便：1.承包人应当对在施工场地或者附近实施与合同工程有关的其他工作的独立承包人履行管理、协调、配合、照管和服务义务，由此发生的费用被认为已经包括在承包人的签约合同价（投标总报价）中，具体工作内容和要求包括：承包人应在签订合同后的14天内，负责（若合同发包内容不包含相应工作内容及费用的，则为配合）：完成交通疏解方案编制，并向交通管理部门办理道路开挖证；做好本工程施工范围周边的交通疏解工作，根据交警意见做好本工程试围蔽、分段夜间施工、临时修复路面恢复通车，增派临时交通协管员、路标恢复、交通疏解方案调整等一系列协助交通疏解工作，确保施工期间道路周边范围的交通安全不受影响，相关费用已包含在合同价款中。2.承包人还应按监理工程师指示为独立承包人以外的他人在施工场地或者附近实施与合同工程有关的其他工作提供可能的条件，可能发生费用由监理工程师按第23.9款商定或者确定。</w:t>
      </w:r>
    </w:p>
    <w:p w14:paraId="1064C70E">
      <w:pPr>
        <w:numPr>
          <w:ilvl w:val="-1"/>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交通疏解无论是否属于本合同发包内容，因承包人原因导致工期延误而增加的交通疏解费用均由承包人承担，且发包人有权在结算款内扣除相关费用。</w:t>
      </w:r>
    </w:p>
    <w:p w14:paraId="7FD6DAE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（12）工程完工后，应按照合同约定提交工程完工验收申请报告和完工结算申请书文件，逾期或者不按规定提交的，发包人有权依据已有资料做出判断并报送给结算审核方，以保证结算的连续性。</w:t>
      </w:r>
    </w:p>
    <w:p w14:paraId="1365730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（13）承包人必须接受政府有关部门对本工程的监督，并无条件配合政府指定的审计机构或其他有关部门对本工程的检查、审计等工作，包括并不限于提供工程或账务资料和说明。</w:t>
      </w:r>
    </w:p>
    <w:p w14:paraId="31E2BCA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（14）承包人应对施工图、技术资料做认真地复核和检查，有预见性的发现和指正设计缺陷和错误，应提出能实质性地节约资金和缩短工期的建议和措施，并书面通知发包人。</w:t>
      </w:r>
    </w:p>
    <w:p w14:paraId="6F9DC34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（15）承包人应当清楚地预计到施工期间对外界可能产生的不可避免的干扰，并为此保证主动努力减少这些干扰对外界的影响，且应当积极主动负责与外界进行协调，协调不果，方可书面要求发包人出面协调。</w:t>
      </w:r>
    </w:p>
    <w:p w14:paraId="3B7383C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承包人应当清楚并充分预计到在工程前期施工场地征地拆迁工作的各种困难及其对工程进展的不利影响，甚至是严重影响。对此，承包人应积极主动做好协调、配合工作，并尽量创造各种条件和采取各种有效措施，以确保工程顺利推进及工期目标的实现。这种困难或影响不能免除承包人对工期目标未能实现的责任，并不得以此为理由要求顺延工期或增加各种费用。由于施工场地障碍条件或现场各种不利条件发生造成大型机械多次进退场的费用、怠工费、仓保费，均由承包人承担。如确因客观原因或不可抗力等非承包人原因导致的工期延期或费用增加，由双方另行协商。</w:t>
      </w:r>
    </w:p>
    <w:p w14:paraId="54CFFE1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根据工程需要，承包人应采用计算机信息管理技术建立相应的信息技术网络，以便与发包人、各有关单位进行数据交换，提高工作效率。承包人应负责将网络终端接至发包人、监理人。上述所发生的费用，由承包人承担。</w:t>
      </w:r>
    </w:p>
    <w:p w14:paraId="05C6C57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承包人应按发包人提供的冲洗方案做好新装管道的试压、冲洗及消毒工作，上述工作及其产生的管材、管件等材料的采购由承包人自行负责，相关费用已包含在合同价款（耗水费除外）中，由承包人承担；现状管道接驳点的摸查工作和不停水开叉的工作量均包含在合同价款中。</w:t>
      </w:r>
    </w:p>
    <w:p w14:paraId="247C4DA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（19）承包人在覆土前必须测量确定管网支管、阀门、拐点等的坐标，经监理工程师复核确认后方可填土覆盖，其费用已包含在合同价款中。</w:t>
      </w:r>
    </w:p>
    <w:p w14:paraId="0670BEE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如项目根据设计及有关规范需要做好深基坑支护设计及施工的，承包人需充分考虑基坑支护的相关技术及安全措施等工作，如因支护措施不当引起周边地基沉降等问题，所发生的费用及责任由承包人承担。基坑支护施工方案的由承包人自行申报，并由承包人组织专家进行评审，承包人邀请的评审专家人员及资质应取得发包人同意，评审所产生的一切费用已包含在合同价款中，评审费用由承包人承担。承包人应当无条件按专家评审意见进行修改完善基坑支护施工方案。若基坑审查意见认为需进行调整的，则在保证不削弱原设计方案及基坑安全的前提下，承包人按照审查意见进行修改,费用不再另行支付；承包人须在审查批复后7天内提供修改后的实施性施工组织方案。</w:t>
      </w:r>
    </w:p>
    <w:p w14:paraId="14E7C1C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承包人收到施工图纸后应认真进行现场勘察，积极与道路施工、设计单位和相关部门进行沟通协调，如发现阀门井标高与道路路面最终的实际标高不一致的，应在5天内提出，如在约定时间内未提出，应充分考虑因路面标高相对于施工图调整或配合道路扩建所导致已完工的阀门井需要提升或下降所产生的相关费用，发包人不再对此进行签证或增加费用。</w:t>
      </w:r>
    </w:p>
    <w:p w14:paraId="0BD6CBC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（22）承包人在施工完工后90天内根据《广州市房屋建筑工程和市政基础设施施工工程竣工验收及备案管理实施办法（试行）》（穗建筑〔2002〕61号）的规定，通过竣工验收并完成竣工验收备案工作。</w:t>
      </w:r>
    </w:p>
    <w:p w14:paraId="27AEC2A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（23）承包人在项目竣工验收后，6个月内完成本工程结算工作。</w:t>
      </w:r>
    </w:p>
    <w:p w14:paraId="626358B4">
      <w:pPr>
        <w:spacing w:line="420" w:lineRule="exact"/>
        <w:ind w:firstLine="480" w:firstLineChars="200"/>
        <w:rPr>
          <w:rFonts w:hint="eastAsia" w:ascii="仿宋_GB2312" w:hAnsi="仿宋_GB2312" w:eastAsia="仿宋_GB2312" w:cs="仿宋_GB2312"/>
          <w:bCs/>
          <w:iCs/>
          <w:color w:val="auto"/>
          <w:kern w:val="0"/>
          <w:sz w:val="24"/>
          <w:szCs w:val="24"/>
          <w:highlight w:val="none"/>
        </w:rPr>
      </w:pPr>
      <w:r>
        <w:rPr>
          <w:rFonts w:hint="eastAsia" w:ascii="仿宋_GB2312" w:hAnsi="仿宋_GB2312" w:eastAsia="仿宋_GB2312" w:cs="仿宋_GB2312"/>
          <w:color w:val="auto"/>
          <w:kern w:val="0"/>
          <w:sz w:val="24"/>
          <w:szCs w:val="24"/>
          <w:highlight w:val="none"/>
        </w:rPr>
        <w:t>（24）</w:t>
      </w:r>
      <w:r>
        <w:rPr>
          <w:rFonts w:hint="eastAsia" w:ascii="仿宋_GB2312" w:hAnsi="仿宋_GB2312" w:eastAsia="仿宋_GB2312" w:cs="仿宋_GB2312"/>
          <w:bCs/>
          <w:iCs/>
          <w:color w:val="auto"/>
          <w:kern w:val="0"/>
          <w:sz w:val="24"/>
          <w:szCs w:val="24"/>
          <w:highlight w:val="none"/>
        </w:rPr>
        <w:t>由承包人负责办理施工许可证、余泥排放证等各种施工证件，并办理</w:t>
      </w:r>
      <w:r>
        <w:rPr>
          <w:rFonts w:hint="eastAsia" w:ascii="仿宋_GB2312" w:hAnsi="仿宋_GB2312" w:eastAsia="仿宋_GB2312" w:cs="仿宋_GB2312"/>
          <w:color w:val="auto"/>
          <w:kern w:val="0"/>
          <w:sz w:val="24"/>
          <w:szCs w:val="24"/>
          <w:highlight w:val="none"/>
        </w:rPr>
        <w:t>质量安全监督登记</w:t>
      </w:r>
      <w:r>
        <w:rPr>
          <w:rFonts w:hint="eastAsia" w:ascii="仿宋_GB2312" w:hAnsi="仿宋_GB2312" w:eastAsia="仿宋_GB2312" w:cs="仿宋_GB2312"/>
          <w:bCs/>
          <w:iCs/>
          <w:color w:val="auto"/>
          <w:kern w:val="0"/>
          <w:sz w:val="24"/>
          <w:szCs w:val="24"/>
          <w:highlight w:val="none"/>
        </w:rPr>
        <w:t>手续。上述所发生的费用，除政府有关规定须由发包人缴付的部分以外，其余部分已</w:t>
      </w:r>
      <w:r>
        <w:rPr>
          <w:rFonts w:hint="eastAsia" w:ascii="仿宋_GB2312" w:hAnsi="仿宋_GB2312" w:eastAsia="仿宋_GB2312" w:cs="仿宋_GB2312"/>
          <w:color w:val="auto"/>
          <w:kern w:val="0"/>
          <w:sz w:val="24"/>
          <w:szCs w:val="24"/>
          <w:highlight w:val="none"/>
        </w:rPr>
        <w:t>包含在合同价款中，</w:t>
      </w:r>
      <w:r>
        <w:rPr>
          <w:rFonts w:hint="eastAsia" w:ascii="仿宋_GB2312" w:hAnsi="仿宋_GB2312" w:eastAsia="仿宋_GB2312" w:cs="仿宋_GB2312"/>
          <w:bCs/>
          <w:iCs/>
          <w:color w:val="auto"/>
          <w:kern w:val="0"/>
          <w:sz w:val="24"/>
          <w:szCs w:val="24"/>
          <w:highlight w:val="none"/>
        </w:rPr>
        <w:t>由承包人承担。</w:t>
      </w:r>
    </w:p>
    <w:p w14:paraId="13C2215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（25）由承包人负责自行解决施工临时用水、临时用电、通讯设施等问题，费用已包含在合同价款中，发包人不另行计量支付。</w:t>
      </w:r>
    </w:p>
    <w:p w14:paraId="670F049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（26）承包人负责委托具备勘察测量资质的单位对所提供的道路测量控制桩、水准点和标高进行现场复测，按第46.4款规定执行，其费用已包含在合同价款中。</w:t>
      </w:r>
    </w:p>
    <w:p w14:paraId="0D1EA6F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跨城区的管线工程在施工验收及档案资料移交阶段，承包人提供的地下管线竣工测量数据除了满足当地规划部门、城建档案馆的坐标要求外，还需向发包人提供带有广州市城建坐标系的竣工测量数据。承包人编制的竣工图、提供的竣工测量册应完成测量坐标成果转换的，其费用已包含在合同价款中，发包人不另行支付。</w:t>
      </w:r>
    </w:p>
    <w:p w14:paraId="3C037CF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承包人应根据《广东省住房和城乡建设厅转发住房城乡建设部办公厅关于严格落实建筑工程质量终身责任承诺制的通知》（粤建质〔2014〕218号）《住房城乡建设部办公厅关于严格落实建筑工程质量终身责任承诺制的通知》（建办质〔2014〕44号）及其最新版本的要求，办理施工单位法人授权代表书及工程质量终身承诺书。</w:t>
      </w:r>
    </w:p>
    <w:p w14:paraId="7699A69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（29）管道敷设后，承包人应按照施工图纸要求对管坑马上进行回填，如因回填不及时所引起的责任及经济损失，由承包人承担。</w:t>
      </w:r>
    </w:p>
    <w:p w14:paraId="1B20A97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30）承包人在施工过程中，应遵守有关环境保护、水土保持的法律、法规和规章，按发包人委托的第三方监测单位的要求，做好施工期及植被恢复期的环境监测、水土保持等配合工作，由此产生的一切费用已包含在合同价款中，不另行计量支付。</w:t>
      </w:r>
    </w:p>
    <w:p w14:paraId="3E1F243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（31）承包人应与发包人委派的第三方质量监督检测监测单位积极合作，紧密联系，及时提供工作计划和便利条件。结合国家法规、施工图纸、上级行政主管部门的要求完成质量监督工作。</w:t>
      </w:r>
    </w:p>
    <w:p w14:paraId="6C86DB0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（32）在合同完成签订的两周内，承包人应按工程质量安全监督的要求完成开工报批手续。</w:t>
      </w:r>
    </w:p>
    <w:p w14:paraId="24EAFA1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（33）在项目实施期间，因非承包人原因导致项目需变更的，承包人应在5天内将变更资料报送监理人审批。</w:t>
      </w:r>
    </w:p>
    <w:p w14:paraId="5DABC55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（34）承包人在主体完工后10天内提交经监理工程师审核的完工图等完工管网资料，并在工程完工后的20天内，向发包人提交竣工图。</w:t>
      </w:r>
    </w:p>
    <w:p w14:paraId="3A1E586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承包人应当贯彻落实《国务院办公厅关于生态环境保护综合行政执法有关事项的通知》、《广东省人民政府办公厅关于明确生态环境保护综合行政执法有关事项的通知》及《广州市生态环境局关于印发广州市生态环境保护综合行政执法事项指导目录（2021年版）》等文件精神，依法按规落实生态环境保护，项目实施前提交环境保护具体落实方案报监理工程师及发包人审核，项目实施过程中落实环境监察制度，每日上报现场施工环境情况，对于由于施工暂时性造成居民环境影响情况落实整改时限及整改措施，确保施工过程中产生的气体排放物、粉尘、噪声、地面排水及排污等，符合法律规定和发包人要求。</w:t>
      </w:r>
    </w:p>
    <w:p w14:paraId="56CC4ED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（36）承包人应做好开工前的准备工作，包括但不限于做好施工放线工作，做好地下管线会签交底，</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编制交通疏导方案（含交通疏导流量评估）报项目所在交通管理部门审批并取得批复意见；</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根据道路行政管理部门的要求委托有资质的道路安全评估单位出具项目涉路、桥梁、隧道等安全评估报告，取得本项目涉路、桥梁、隧道等权属单位的意见，并按照所属道路行政管理部门要求，编制符合要求的专项施工组织方案、路面修复方案等，报所属道路行政管理部门，并取得项目占道挖掘申请等行政许可；承包人负责办理本项目质量登记监督备案及并办理取得项目监管部门的开工批复；项目涉及地铁、河涌、城市绿化范围的，承包人应编制专项评估及保护方案，报相应权属单位审批，完善开工前准备工作。承包人应根据《广州市水务局关于在水务建设工程施工现场安装视频监控系统的通知》要求，做好各项水务质监在建工地的视频监控等信息化建设，落实扬尘防治六个百分百要求，落实海绵城市建设等要求，落实行政部门关于安全文明施工、标准化围蔽等要求（详见附件十、十一、十二），相关费用已包含在投标报价中。</w:t>
      </w:r>
    </w:p>
    <w:p w14:paraId="28B9BA9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承包人应根据项目特点及相应行政管理部门批准的施工时段，编制符合实际作业时长的标准化施工方案（详见附件十一、十二），流水施工作业环节须满足项目施工安全、进度质量、文明施工围蔽、扬尘防治、噪音控制等要求，做好沿线管线的保护，以确保施工进度、质量及安全。项目所在路段有日间恢复通车等要求的，承包人切实按照交警部门审批要求落实，</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做好凌晨路面的临时修复及交通标线恢复。</w:t>
      </w:r>
    </w:p>
    <w:p w14:paraId="46AB011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（38）承包人应负责施工期间的周边管线现场交底及保护，按编制专项涉地下管线及涉及的产权设施的专项保护方案实施，施工期间做好于沿线管线及涉及产权设施保护单位的交底工作。</w:t>
      </w:r>
    </w:p>
    <w:p w14:paraId="74B74EC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39）承包人应配合发包人做好在建水务工程的信息化建设工作，包括但不限于发包人及上级管理部门、水务质监、各级行政部门的建设工程领域的信息化收集及报送工作，包括纸质的电子化、数据处理及上报资料归集等工作。</w:t>
      </w:r>
      <w:r>
        <w:rPr>
          <w:rFonts w:hint="eastAsia" w:ascii="仿宋_GB2312" w:hAnsi="仿宋_GB2312" w:eastAsia="仿宋_GB2312" w:cs="仿宋_GB2312"/>
          <w:color w:val="auto"/>
          <w:kern w:val="0"/>
          <w:sz w:val="24"/>
          <w:szCs w:val="24"/>
          <w:highlight w:val="none"/>
        </w:rPr>
        <w:t>承包人在厂站类建筑物建设工程开工前必须在施工点、办公区域、出入口、塔吊等重点部位安装视频监控；在市政管网类建设工程开工前必须配置现场移动视频监控，并上线发包人施工现场远程监控系统，视频监控点位置应尽量满足监控视野覆盖整个施工工程,确保能够实时监控施工过程。</w:t>
      </w:r>
    </w:p>
    <w:p w14:paraId="1C9B002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40）承包人应负责施工现场范围及周边的树木保护工作，根据发包人提供的树木保护专章，按绿化园林行政部门要求，编制本工程专项树木保护方案，经监理工程师审核后报发包人审批后方可实施，如承包人不具备相应施工资质的，承包人可根据合同分包条款约定，委托具备相关专业资质的单位实施。由此发生的树木保护迁移费用，经发包人或委托的第三方咨询机构审定后，由发包人列入合同价款中，支付给承包人。</w:t>
      </w:r>
    </w:p>
    <w:p w14:paraId="6D518A4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（41）承包人应加强施工现场管理，严格按照《中华人民共和国公路法》《中华人民共和国道路交通安全法》《道路交通标志标线第 4 部分：作业区》GB5768.4-2017)《城市道路占道施工交通组织和安全措施设置》《广州市交通运输局关于进一步规范设置占道施工公示牌的通知》(穗交运函 〔2022〕523 号《机动车道挖掘修复技术方案指引(试行)》(穗交运函 〔2022〕691号)《广州市建设工程绿色施工围蔽指导图集 (V2.0 版)》《广州水投集团关于印发建设工程绿色施工围蔽指导图集 (试行)的通知》等相关法律法规、技术规范、标准</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做好施工围蔽，设置占道施工公示牌、占道施工信息二维码公示牌，安装警示灯、车辆导向牌等施工标识，做好扬尘控制、噪声污染防治、道路修复等工作。</w:t>
      </w:r>
    </w:p>
    <w:p w14:paraId="45628A5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42）承包人应做好占道施工作业现场安全文明施工管理。严格按照批准的施工组织方案实施，不得擅自扩大开挖和围蔽范围，在围蔽范围内规范摆放施工材料及机具，按规定设置必要临时设施:严格落实经审批通过的交通疏解方案做好围蔽施工、亮证施工，</w:t>
      </w:r>
      <w:r>
        <w:rPr>
          <w:rFonts w:hint="eastAsia" w:ascii="仿宋_GB2312" w:hAnsi="仿宋_GB2312" w:eastAsia="仿宋_GB2312" w:cs="仿宋_GB2312"/>
          <w:color w:val="auto"/>
          <w:sz w:val="24"/>
          <w:szCs w:val="24"/>
          <w:highlight w:val="none"/>
        </w:rPr>
        <w:t>负责（若合同发包内容不包含相应工作内容及费用的，则为配合）</w:t>
      </w:r>
      <w:r>
        <w:rPr>
          <w:rFonts w:hint="eastAsia" w:ascii="仿宋_GB2312" w:hAnsi="仿宋_GB2312" w:eastAsia="仿宋_GB2312" w:cs="仿宋_GB2312"/>
          <w:color w:val="auto"/>
          <w:kern w:val="0"/>
          <w:sz w:val="24"/>
          <w:szCs w:val="24"/>
          <w:highlight w:val="none"/>
        </w:rPr>
        <w:t>按规定设置交通导向标志，做好交通疏导措施;严格按照《广州市交通运输局 广州市公安局交通警察支队关于印发占道工程施工路段责任管理工作意见的通知》(穗交运函 〔2022〕102 号) 要求,明确施工路段段长安全员、交通协管员，落实施工路段段长制，确保施工范围及施工影响范围内的交通安全和畅通:严格做好施工路段保洁工作，保证作业现场符合安全文明施工相关规定。</w:t>
      </w:r>
    </w:p>
    <w:p w14:paraId="1FBD14B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（43）如需占道施工，承包人应按国家、地方、行业主管部门关于占道施工道路修复的最新规定或技术规范、标准等以及发包人要求进行施工及现场管理，做好道路修复工作。</w:t>
      </w:r>
    </w:p>
    <w:p w14:paraId="440D6E4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（44）承包人应当按《广州市自来水有限公司外包事项安全管理办法》做好相关安全工作。</w:t>
      </w:r>
    </w:p>
    <w:p w14:paraId="44B7261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（45）工程完工后1个月内，承包人应当完成资产清单的编制，工程完工后3个月内，承包人应当与发包人完成资产实物清点工作，如逾期未完成上述资产实物清点工作的，承包人应当向发包人支付合同价款的</w:t>
      </w:r>
      <w:permStart w:id="158" w:edGrp="everyone"/>
      <w:r>
        <w:rPr>
          <w:rFonts w:hint="eastAsia" w:ascii="仿宋_GB2312" w:hAnsi="仿宋_GB2312" w:eastAsia="仿宋_GB2312" w:cs="仿宋_GB2312"/>
          <w:color w:val="auto"/>
          <w:kern w:val="0"/>
          <w:sz w:val="24"/>
          <w:szCs w:val="24"/>
          <w:highlight w:val="none"/>
          <w:u w:val="single"/>
        </w:rPr>
        <w:t xml:space="preserve"> 1‰/天 </w:t>
      </w:r>
      <w:permEnd w:id="158"/>
      <w:r>
        <w:rPr>
          <w:rFonts w:hint="eastAsia" w:ascii="仿宋_GB2312" w:hAnsi="仿宋_GB2312" w:eastAsia="仿宋_GB2312" w:cs="仿宋_GB2312"/>
          <w:color w:val="auto"/>
          <w:kern w:val="0"/>
          <w:sz w:val="24"/>
          <w:szCs w:val="24"/>
          <w:highlight w:val="none"/>
        </w:rPr>
        <w:t>作为违约金。</w:t>
      </w:r>
    </w:p>
    <w:p w14:paraId="1B8750A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（46）对于承包人各类别的主要负责人，如承包人代表、技术负责人、安全负责人等在施工过程资料中负责签名审核的人员，应当在合同签订后 5 天内提交上述人员的签名备案表至发包人备案，如逾期未提供的，承包人应当向发包人支付合同价款的</w:t>
      </w:r>
      <w:permStart w:id="159" w:edGrp="everyone"/>
      <w:r>
        <w:rPr>
          <w:rFonts w:hint="eastAsia" w:ascii="仿宋_GB2312" w:hAnsi="仿宋_GB2312" w:eastAsia="仿宋_GB2312" w:cs="仿宋_GB2312"/>
          <w:color w:val="auto"/>
          <w:kern w:val="0"/>
          <w:sz w:val="24"/>
          <w:szCs w:val="24"/>
          <w:highlight w:val="none"/>
          <w:u w:val="single"/>
        </w:rPr>
        <w:t xml:space="preserve"> 1‰ </w:t>
      </w:r>
      <w:permEnd w:id="159"/>
      <w:r>
        <w:rPr>
          <w:rFonts w:hint="eastAsia" w:ascii="仿宋_GB2312" w:hAnsi="仿宋_GB2312" w:eastAsia="仿宋_GB2312" w:cs="仿宋_GB2312"/>
          <w:color w:val="auto"/>
          <w:kern w:val="0"/>
          <w:sz w:val="24"/>
          <w:szCs w:val="24"/>
          <w:highlight w:val="none"/>
        </w:rPr>
        <w:t>作为违约金。</w:t>
      </w:r>
    </w:p>
    <w:p w14:paraId="07A4473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（47）承包人应将施工日报、月报、施工日志、工程量计量等施工过程资料在 5 天内及时录入发包人综合管理系统进行统一管理，如逾期未及时录入上述资料的，承包人应当向发包人支付合同价款的</w:t>
      </w:r>
      <w:permStart w:id="160" w:edGrp="everyone"/>
      <w:r>
        <w:rPr>
          <w:rFonts w:hint="eastAsia" w:ascii="仿宋_GB2312" w:hAnsi="仿宋_GB2312" w:eastAsia="仿宋_GB2312" w:cs="仿宋_GB2312"/>
          <w:color w:val="auto"/>
          <w:kern w:val="0"/>
          <w:sz w:val="24"/>
          <w:szCs w:val="24"/>
          <w:highlight w:val="none"/>
          <w:u w:val="single"/>
        </w:rPr>
        <w:t xml:space="preserve"> 0.1‰</w:t>
      </w:r>
      <w:permEnd w:id="160"/>
      <w:r>
        <w:rPr>
          <w:rFonts w:hint="eastAsia" w:ascii="仿宋_GB2312" w:hAnsi="仿宋_GB2312" w:eastAsia="仿宋_GB2312" w:cs="仿宋_GB2312"/>
          <w:color w:val="auto"/>
          <w:kern w:val="0"/>
          <w:sz w:val="24"/>
          <w:szCs w:val="24"/>
          <w:highlight w:val="none"/>
        </w:rPr>
        <w:t>作为违约金。</w:t>
      </w:r>
    </w:p>
    <w:p w14:paraId="4C82D5C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（48）在本工程自达到预定可使用状态之日起1个月内，承包人协助发包人完成办理固定资产暂估新增，如逾期未完成固定资产暂估新增或不配合相关工作的，承包人应当向发包人支付合同价款的 1‰/天 作为违约金。</w:t>
      </w:r>
    </w:p>
    <w:p w14:paraId="3BFA563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20.3 承包人提供施工所需劳务、材料、国产设备、施工设备和其他物品的约定： 除第48条、第51条约定的应由发包人供应的材料和工程设备，以及由发包人提供的施工设备和临时设施外，承包人应负责提供为完成合同工作所需的劳务、材料、施工设备、工程设备和其他物品，并按合同约定负责临时设施的设计、建造、运行、维护、管理和拆除等工作。</w:t>
      </w:r>
    </w:p>
    <w:p w14:paraId="6BEF9FD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20.4 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和发包人同意。</w:t>
      </w:r>
      <w:bookmarkStart w:id="615" w:name="_Toc10624936"/>
      <w:bookmarkStart w:id="616" w:name="_Toc469384092"/>
    </w:p>
    <w:p w14:paraId="16852271">
      <w:pPr>
        <w:spacing w:line="420" w:lineRule="exact"/>
        <w:rPr>
          <w:rFonts w:hint="eastAsia" w:ascii="仿宋_GB2312" w:hAnsi="仿宋_GB2312" w:eastAsia="仿宋_GB2312" w:cs="仿宋_GB2312"/>
          <w:color w:val="auto"/>
          <w:kern w:val="0"/>
          <w:sz w:val="24"/>
          <w:szCs w:val="24"/>
          <w:highlight w:val="none"/>
        </w:rPr>
      </w:pPr>
    </w:p>
    <w:p w14:paraId="3AD15490">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21. 现场管理人员任命和更换</w:t>
      </w:r>
      <w:bookmarkEnd w:id="615"/>
      <w:bookmarkEnd w:id="616"/>
    </w:p>
    <w:p w14:paraId="6D968AC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21.1 发包人现场管理人员任命和更换：</w:t>
      </w:r>
      <w:permStart w:id="16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按通用条款21.1款约定</w:t>
      </w:r>
      <w:r>
        <w:rPr>
          <w:rFonts w:hint="eastAsia" w:ascii="仿宋_GB2312" w:hAnsi="仿宋_GB2312" w:eastAsia="仿宋_GB2312" w:cs="仿宋_GB2312"/>
          <w:color w:val="auto"/>
          <w:kern w:val="0"/>
          <w:sz w:val="24"/>
          <w:szCs w:val="24"/>
          <w:highlight w:val="none"/>
          <w:u w:val="single"/>
        </w:rPr>
        <w:t xml:space="preserve"> </w:t>
      </w:r>
      <w:permEnd w:id="161"/>
    </w:p>
    <w:p w14:paraId="55B0D45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21.2 承包人代表任命和更换：在本工程验收前承包人不得更换承包人代表。如承包人代表发生人身意外、突发重大疾病、行政或刑事拘留等特殊情况，承包人确需更换承包人代表的，应至少提前7天以书面形式通知发包人，并征得发包人书面同意，通知中应当载明继任承包人代表的注册执业资格或职称、管理经验等资料，继任承包人代表应继续履行</w:t>
      </w:r>
      <w:r>
        <w:rPr>
          <w:rFonts w:hint="eastAsia" w:ascii="仿宋_GB2312" w:hAnsi="仿宋_GB2312" w:eastAsia="仿宋_GB2312" w:cs="仿宋_GB2312"/>
          <w:color w:val="auto"/>
          <w:sz w:val="24"/>
          <w:szCs w:val="24"/>
          <w:highlight w:val="none"/>
        </w:rPr>
        <w:t>合同约定的承包人代表的职权及相应义务。</w:t>
      </w:r>
      <w:r>
        <w:rPr>
          <w:rFonts w:hint="eastAsia" w:ascii="仿宋_GB2312" w:hAnsi="仿宋_GB2312" w:eastAsia="仿宋_GB2312" w:cs="仿宋_GB2312"/>
          <w:color w:val="auto"/>
          <w:kern w:val="0"/>
          <w:sz w:val="24"/>
          <w:szCs w:val="24"/>
          <w:highlight w:val="none"/>
        </w:rPr>
        <w:t>拟更换人员的资质、学历、职称、业绩、实际工作能力不得低于原投标书中所承诺人员的综合素质，且不得同时在其他工程项目中担任承包人代表。</w:t>
      </w:r>
    </w:p>
    <w:p w14:paraId="3414DF2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21.3 监理工程师代表任命和撤回：</w:t>
      </w:r>
      <w:permStart w:id="16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按通用条款21.</w:t>
      </w:r>
      <w:r>
        <w:rPr>
          <w:rFonts w:hint="eastAsia" w:ascii="仿宋_GB2312" w:hAnsi="仿宋_GB2312" w:eastAsia="仿宋_GB2312" w:cs="仿宋_GB2312"/>
          <w:color w:val="auto"/>
          <w:kern w:val="0"/>
          <w:sz w:val="24"/>
          <w:szCs w:val="24"/>
          <w:highlight w:val="none"/>
          <w:u w:val="single"/>
          <w:lang w:val="en-US" w:eastAsia="zh-CN"/>
        </w:rPr>
        <w:t>3</w:t>
      </w:r>
      <w:r>
        <w:rPr>
          <w:rFonts w:hint="eastAsia" w:ascii="仿宋_GB2312" w:hAnsi="仿宋_GB2312" w:eastAsia="仿宋_GB2312" w:cs="仿宋_GB2312"/>
          <w:color w:val="auto"/>
          <w:kern w:val="0"/>
          <w:sz w:val="24"/>
          <w:szCs w:val="24"/>
          <w:highlight w:val="none"/>
          <w:u w:val="single"/>
        </w:rPr>
        <w:t>款约定</w:t>
      </w:r>
      <w:r>
        <w:rPr>
          <w:rFonts w:hint="eastAsia" w:ascii="仿宋_GB2312" w:hAnsi="仿宋_GB2312" w:eastAsia="仿宋_GB2312" w:cs="仿宋_GB2312"/>
          <w:color w:val="auto"/>
          <w:kern w:val="0"/>
          <w:sz w:val="24"/>
          <w:szCs w:val="24"/>
          <w:highlight w:val="none"/>
          <w:u w:val="single"/>
        </w:rPr>
        <w:t xml:space="preserve"> </w:t>
      </w:r>
      <w:permEnd w:id="162"/>
    </w:p>
    <w:p w14:paraId="0D03DC1F">
      <w:pPr>
        <w:spacing w:line="420" w:lineRule="exact"/>
        <w:ind w:left="12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造价工程师代表任命和撤回：</w:t>
      </w:r>
      <w:permStart w:id="16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按通用条款21.</w:t>
      </w:r>
      <w:r>
        <w:rPr>
          <w:rFonts w:hint="eastAsia" w:ascii="仿宋_GB2312" w:hAnsi="仿宋_GB2312" w:eastAsia="仿宋_GB2312" w:cs="仿宋_GB2312"/>
          <w:color w:val="auto"/>
          <w:kern w:val="0"/>
          <w:sz w:val="24"/>
          <w:szCs w:val="24"/>
          <w:highlight w:val="none"/>
          <w:u w:val="single"/>
          <w:lang w:val="en-US" w:eastAsia="zh-CN"/>
        </w:rPr>
        <w:t>3</w:t>
      </w:r>
      <w:r>
        <w:rPr>
          <w:rFonts w:hint="eastAsia" w:ascii="仿宋_GB2312" w:hAnsi="仿宋_GB2312" w:eastAsia="仿宋_GB2312" w:cs="仿宋_GB2312"/>
          <w:color w:val="auto"/>
          <w:kern w:val="0"/>
          <w:sz w:val="24"/>
          <w:szCs w:val="24"/>
          <w:highlight w:val="none"/>
          <w:u w:val="single"/>
        </w:rPr>
        <w:t>款约定</w:t>
      </w:r>
      <w:r>
        <w:rPr>
          <w:rFonts w:hint="eastAsia" w:ascii="仿宋_GB2312" w:hAnsi="仿宋_GB2312" w:eastAsia="仿宋_GB2312" w:cs="仿宋_GB2312"/>
          <w:color w:val="auto"/>
          <w:kern w:val="0"/>
          <w:sz w:val="24"/>
          <w:szCs w:val="24"/>
          <w:highlight w:val="none"/>
          <w:u w:val="single"/>
        </w:rPr>
        <w:t xml:space="preserve"> </w:t>
      </w:r>
      <w:permEnd w:id="163"/>
    </w:p>
    <w:p w14:paraId="27F2BB0A">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21.4 承包人代表授权人选任命和撤回：</w:t>
      </w:r>
      <w:permStart w:id="16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w:t>
      </w:r>
      <w:r>
        <w:rPr>
          <w:rFonts w:hint="eastAsia" w:ascii="仿宋_GB2312" w:hAnsi="仿宋_GB2312" w:eastAsia="仿宋_GB2312" w:cs="仿宋_GB2312"/>
          <w:color w:val="auto"/>
          <w:kern w:val="0"/>
          <w:sz w:val="24"/>
          <w:szCs w:val="24"/>
          <w:highlight w:val="none"/>
          <w:u w:val="single"/>
        </w:rPr>
        <w:t xml:space="preserve"> </w:t>
      </w:r>
      <w:permEnd w:id="164"/>
      <w:bookmarkStart w:id="617" w:name="_Toc10624937"/>
      <w:bookmarkStart w:id="618" w:name="_Toc469384093"/>
    </w:p>
    <w:p w14:paraId="496AD128">
      <w:pPr>
        <w:spacing w:line="420" w:lineRule="exact"/>
        <w:rPr>
          <w:rFonts w:hint="eastAsia" w:ascii="仿宋_GB2312" w:hAnsi="仿宋_GB2312" w:eastAsia="仿宋_GB2312" w:cs="仿宋_GB2312"/>
          <w:color w:val="auto"/>
          <w:kern w:val="0"/>
          <w:sz w:val="24"/>
          <w:szCs w:val="24"/>
          <w:highlight w:val="none"/>
          <w:u w:val="single"/>
        </w:rPr>
      </w:pPr>
    </w:p>
    <w:p w14:paraId="249FBD68">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22. 发包人代表</w:t>
      </w:r>
      <w:bookmarkEnd w:id="617"/>
      <w:bookmarkEnd w:id="618"/>
    </w:p>
    <w:p w14:paraId="2A95F8AC">
      <w:pPr>
        <w:spacing w:line="420" w:lineRule="exact"/>
        <w:ind w:left="120"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22.1 发包人代表及其权力的限制</w:t>
      </w:r>
    </w:p>
    <w:p w14:paraId="6A23C74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（1）发包人任命（</w:t>
      </w:r>
      <w:permStart w:id="165" w:edGrp="everyone"/>
      <w:r>
        <w:rPr>
          <w:rFonts w:hint="eastAsia" w:ascii="仿宋_GB2312" w:hAnsi="仿宋_GB2312" w:eastAsia="仿宋_GB2312" w:cs="仿宋_GB2312"/>
          <w:color w:val="auto"/>
          <w:kern w:val="0"/>
          <w:sz w:val="24"/>
          <w:szCs w:val="24"/>
          <w:highlight w:val="none"/>
        </w:rPr>
        <w:t xml:space="preserve">              </w:t>
      </w:r>
      <w:permEnd w:id="165"/>
      <w:r>
        <w:rPr>
          <w:rFonts w:hint="eastAsia" w:ascii="仿宋_GB2312" w:hAnsi="仿宋_GB2312" w:eastAsia="仿宋_GB2312" w:cs="仿宋_GB2312"/>
          <w:color w:val="auto"/>
          <w:kern w:val="0"/>
          <w:sz w:val="24"/>
          <w:szCs w:val="24"/>
          <w:highlight w:val="none"/>
        </w:rPr>
        <w:t>）为发包人代表，其通讯方式为</w:t>
      </w:r>
    </w:p>
    <w:p w14:paraId="0C02DBB6">
      <w:pPr>
        <w:spacing w:line="420" w:lineRule="exact"/>
        <w:ind w:left="12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通讯地址：</w:t>
      </w:r>
      <w:permStart w:id="166" w:edGrp="everyone"/>
      <w:r>
        <w:rPr>
          <w:rFonts w:hint="eastAsia" w:ascii="仿宋_GB2312" w:hAnsi="仿宋_GB2312" w:eastAsia="仿宋_GB2312" w:cs="仿宋_GB2312"/>
          <w:color w:val="auto"/>
          <w:kern w:val="0"/>
          <w:sz w:val="24"/>
          <w:szCs w:val="24"/>
          <w:highlight w:val="none"/>
          <w:u w:val="single"/>
        </w:rPr>
        <w:t xml:space="preserve">                              </w:t>
      </w:r>
      <w:permEnd w:id="166"/>
      <w:r>
        <w:rPr>
          <w:rFonts w:hint="eastAsia" w:ascii="仿宋_GB2312" w:hAnsi="仿宋_GB2312" w:eastAsia="仿宋_GB2312" w:cs="仿宋_GB2312"/>
          <w:color w:val="auto"/>
          <w:kern w:val="0"/>
          <w:sz w:val="24"/>
          <w:szCs w:val="24"/>
          <w:highlight w:val="none"/>
        </w:rPr>
        <w:t xml:space="preserve"> 邮政编码：</w:t>
      </w:r>
      <w:permStart w:id="167" w:edGrp="everyone"/>
      <w:r>
        <w:rPr>
          <w:rFonts w:hint="eastAsia" w:ascii="仿宋_GB2312" w:hAnsi="仿宋_GB2312" w:eastAsia="仿宋_GB2312" w:cs="仿宋_GB2312"/>
          <w:color w:val="auto"/>
          <w:kern w:val="0"/>
          <w:sz w:val="24"/>
          <w:szCs w:val="24"/>
          <w:highlight w:val="none"/>
          <w:u w:val="single"/>
        </w:rPr>
        <w:t xml:space="preserve">            </w:t>
      </w:r>
      <w:permEnd w:id="167"/>
      <w:r>
        <w:rPr>
          <w:rFonts w:hint="eastAsia" w:ascii="仿宋_GB2312" w:hAnsi="仿宋_GB2312" w:eastAsia="仿宋_GB2312" w:cs="仿宋_GB2312"/>
          <w:color w:val="auto"/>
          <w:kern w:val="0"/>
          <w:sz w:val="24"/>
          <w:szCs w:val="24"/>
          <w:highlight w:val="none"/>
          <w:u w:val="single"/>
        </w:rPr>
        <w:t xml:space="preserve">  </w:t>
      </w:r>
    </w:p>
    <w:p w14:paraId="7581C3A6">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联系电话：</w:t>
      </w:r>
      <w:permStart w:id="168" w:edGrp="everyone"/>
      <w:r>
        <w:rPr>
          <w:rFonts w:hint="eastAsia" w:ascii="仿宋_GB2312" w:hAnsi="仿宋_GB2312" w:eastAsia="仿宋_GB2312" w:cs="仿宋_GB2312"/>
          <w:color w:val="auto"/>
          <w:sz w:val="24"/>
          <w:szCs w:val="24"/>
          <w:highlight w:val="none"/>
          <w:u w:val="single"/>
        </w:rPr>
        <w:t xml:space="preserve">                              </w:t>
      </w:r>
      <w:permEnd w:id="168"/>
      <w:r>
        <w:rPr>
          <w:rFonts w:hint="eastAsia" w:ascii="仿宋_GB2312" w:hAnsi="仿宋_GB2312" w:eastAsia="仿宋_GB2312" w:cs="仿宋_GB2312"/>
          <w:color w:val="auto"/>
          <w:sz w:val="24"/>
          <w:szCs w:val="24"/>
          <w:highlight w:val="none"/>
        </w:rPr>
        <w:t xml:space="preserve"> 传真号码：</w:t>
      </w:r>
      <w:permStart w:id="169" w:edGrp="everyone"/>
      <w:r>
        <w:rPr>
          <w:rFonts w:hint="eastAsia" w:ascii="仿宋_GB2312" w:hAnsi="仿宋_GB2312" w:eastAsia="仿宋_GB2312" w:cs="仿宋_GB2312"/>
          <w:color w:val="auto"/>
          <w:sz w:val="24"/>
          <w:szCs w:val="24"/>
          <w:highlight w:val="none"/>
          <w:u w:val="single"/>
        </w:rPr>
        <w:t xml:space="preserve">            </w:t>
      </w:r>
      <w:permEnd w:id="169"/>
      <w:r>
        <w:rPr>
          <w:rFonts w:hint="eastAsia" w:ascii="仿宋_GB2312" w:hAnsi="仿宋_GB2312" w:eastAsia="仿宋_GB2312" w:cs="仿宋_GB2312"/>
          <w:color w:val="auto"/>
          <w:sz w:val="24"/>
          <w:szCs w:val="24"/>
          <w:highlight w:val="none"/>
          <w:u w:val="single"/>
        </w:rPr>
        <w:t xml:space="preserve">  </w:t>
      </w:r>
    </w:p>
    <w:p w14:paraId="7FB922D0">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（2）发包人对发包人代表权力做如下限制：</w:t>
      </w:r>
      <w:permStart w:id="17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发包人代表仅在发包人授权范围内行使发包人的权力，按照发包人的规章制度履行相应职责，监督检查工程施工进度、质量</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安全</w:t>
      </w:r>
      <w:r>
        <w:rPr>
          <w:rFonts w:hint="eastAsia" w:ascii="仿宋_GB2312" w:hAnsi="仿宋_GB2312" w:eastAsia="仿宋_GB2312" w:cs="仿宋_GB2312"/>
          <w:color w:val="auto"/>
          <w:sz w:val="24"/>
          <w:szCs w:val="24"/>
          <w:highlight w:val="none"/>
          <w:u w:val="single"/>
          <w:lang w:eastAsia="zh-CN"/>
        </w:rPr>
        <w:t>及档案资料</w:t>
      </w:r>
      <w:r>
        <w:rPr>
          <w:rFonts w:hint="eastAsia" w:ascii="仿宋_GB2312" w:hAnsi="仿宋_GB2312" w:eastAsia="仿宋_GB2312" w:cs="仿宋_GB2312"/>
          <w:color w:val="auto"/>
          <w:sz w:val="24"/>
          <w:szCs w:val="24"/>
          <w:highlight w:val="none"/>
          <w:u w:val="single"/>
        </w:rPr>
        <w:t>。承包人已完全清楚了解发包人规章制度中对发包人代表的责任要求和授权限制，发包人代表超出授权范围的行为对双方均不具约束力。</w:t>
      </w:r>
      <w:r>
        <w:rPr>
          <w:rFonts w:hint="eastAsia" w:ascii="仿宋_GB2312" w:hAnsi="仿宋_GB2312" w:eastAsia="仿宋_GB2312" w:cs="仿宋_GB2312"/>
          <w:color w:val="auto"/>
          <w:sz w:val="24"/>
          <w:szCs w:val="24"/>
          <w:highlight w:val="none"/>
          <w:u w:val="single"/>
        </w:rPr>
        <w:t xml:space="preserve"> </w:t>
      </w:r>
      <w:permEnd w:id="170"/>
      <w:r>
        <w:rPr>
          <w:rFonts w:hint="eastAsia" w:ascii="仿宋_GB2312" w:hAnsi="仿宋_GB2312" w:eastAsia="仿宋_GB2312" w:cs="仿宋_GB2312"/>
          <w:color w:val="auto"/>
          <w:sz w:val="24"/>
          <w:szCs w:val="24"/>
          <w:highlight w:val="none"/>
          <w:u w:val="single"/>
        </w:rPr>
        <w:t xml:space="preserve">  </w:t>
      </w:r>
      <w:bookmarkStart w:id="619" w:name="_Toc469384094"/>
      <w:bookmarkStart w:id="620" w:name="_Toc10624938"/>
    </w:p>
    <w:p w14:paraId="2DE54861">
      <w:pPr>
        <w:spacing w:line="420" w:lineRule="exact"/>
        <w:ind w:firstLine="482" w:firstLineChars="200"/>
        <w:rPr>
          <w:rFonts w:hint="eastAsia" w:ascii="仿宋_GB2312" w:hAnsi="仿宋_GB2312" w:eastAsia="仿宋_GB2312" w:cs="仿宋_GB2312"/>
          <w:b/>
          <w:bCs/>
          <w:color w:val="auto"/>
          <w:sz w:val="24"/>
          <w:szCs w:val="24"/>
          <w:highlight w:val="none"/>
        </w:rPr>
      </w:pPr>
    </w:p>
    <w:p w14:paraId="102669DF">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23. 监理工程师</w:t>
      </w:r>
      <w:bookmarkEnd w:id="619"/>
      <w:bookmarkEnd w:id="620"/>
    </w:p>
    <w:p w14:paraId="405BD88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 负责合同工程的监理人及任命的监理工程师</w:t>
      </w:r>
    </w:p>
    <w:p w14:paraId="0902AF5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（1）监理人：</w:t>
      </w:r>
      <w:permStart w:id="171" w:edGrp="everyone"/>
      <w:r>
        <w:rPr>
          <w:rFonts w:hint="eastAsia" w:ascii="仿宋_GB2312" w:hAnsi="仿宋_GB2312" w:eastAsia="仿宋_GB2312" w:cs="仿宋_GB2312"/>
          <w:color w:val="auto"/>
          <w:sz w:val="24"/>
          <w:szCs w:val="24"/>
          <w:highlight w:val="none"/>
          <w:u w:val="single"/>
        </w:rPr>
        <w:t xml:space="preserve">                            </w:t>
      </w:r>
      <w:permEnd w:id="171"/>
      <w:r>
        <w:rPr>
          <w:rFonts w:hint="eastAsia" w:ascii="仿宋_GB2312" w:hAnsi="仿宋_GB2312" w:eastAsia="仿宋_GB2312" w:cs="仿宋_GB2312"/>
          <w:color w:val="auto"/>
          <w:sz w:val="24"/>
          <w:szCs w:val="24"/>
          <w:highlight w:val="none"/>
        </w:rPr>
        <w:t xml:space="preserve"> 法定代表人：</w:t>
      </w:r>
      <w:permStart w:id="172" w:edGrp="everyone"/>
      <w:r>
        <w:rPr>
          <w:rFonts w:hint="eastAsia" w:ascii="仿宋_GB2312" w:hAnsi="仿宋_GB2312" w:eastAsia="仿宋_GB2312" w:cs="仿宋_GB2312"/>
          <w:color w:val="auto"/>
          <w:sz w:val="24"/>
          <w:szCs w:val="24"/>
          <w:highlight w:val="none"/>
          <w:u w:val="single"/>
        </w:rPr>
        <w:t xml:space="preserve">           </w:t>
      </w:r>
      <w:permEnd w:id="172"/>
      <w:r>
        <w:rPr>
          <w:rFonts w:hint="eastAsia" w:ascii="仿宋_GB2312" w:hAnsi="仿宋_GB2312" w:eastAsia="仿宋_GB2312" w:cs="仿宋_GB2312"/>
          <w:color w:val="auto"/>
          <w:sz w:val="24"/>
          <w:szCs w:val="24"/>
          <w:highlight w:val="none"/>
          <w:u w:val="single"/>
        </w:rPr>
        <w:t xml:space="preserve">    </w:t>
      </w:r>
    </w:p>
    <w:p w14:paraId="66BDAA5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（2）任命（</w:t>
      </w:r>
      <w:permStart w:id="173" w:edGrp="everyone"/>
      <w:r>
        <w:rPr>
          <w:rFonts w:hint="eastAsia" w:ascii="仿宋_GB2312" w:hAnsi="仿宋_GB2312" w:eastAsia="仿宋_GB2312" w:cs="仿宋_GB2312"/>
          <w:color w:val="auto"/>
          <w:sz w:val="24"/>
          <w:szCs w:val="24"/>
          <w:highlight w:val="none"/>
        </w:rPr>
        <w:t xml:space="preserve">               </w:t>
      </w:r>
      <w:permEnd w:id="173"/>
      <w:r>
        <w:rPr>
          <w:rFonts w:hint="eastAsia" w:ascii="仿宋_GB2312" w:hAnsi="仿宋_GB2312" w:eastAsia="仿宋_GB2312" w:cs="仿宋_GB2312"/>
          <w:color w:val="auto"/>
          <w:sz w:val="24"/>
          <w:szCs w:val="24"/>
          <w:highlight w:val="none"/>
        </w:rPr>
        <w:t>）为监理工程师，其通讯方式为</w:t>
      </w:r>
    </w:p>
    <w:p w14:paraId="0805F08B">
      <w:pPr>
        <w:spacing w:line="420" w:lineRule="exact"/>
        <w:ind w:left="12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通讯地址：</w:t>
      </w:r>
      <w:permStart w:id="174" w:edGrp="everyone"/>
      <w:r>
        <w:rPr>
          <w:rFonts w:hint="eastAsia" w:ascii="仿宋_GB2312" w:hAnsi="仿宋_GB2312" w:eastAsia="仿宋_GB2312" w:cs="仿宋_GB2312"/>
          <w:color w:val="auto"/>
          <w:kern w:val="0"/>
          <w:sz w:val="24"/>
          <w:szCs w:val="24"/>
          <w:highlight w:val="none"/>
          <w:u w:val="single"/>
        </w:rPr>
        <w:t xml:space="preserve">                              </w:t>
      </w:r>
      <w:permEnd w:id="174"/>
      <w:r>
        <w:rPr>
          <w:rFonts w:hint="eastAsia" w:ascii="仿宋_GB2312" w:hAnsi="仿宋_GB2312" w:eastAsia="仿宋_GB2312" w:cs="仿宋_GB2312"/>
          <w:color w:val="auto"/>
          <w:kern w:val="0"/>
          <w:sz w:val="24"/>
          <w:szCs w:val="24"/>
          <w:highlight w:val="none"/>
        </w:rPr>
        <w:t xml:space="preserve"> 邮政编码：</w:t>
      </w:r>
      <w:permStart w:id="175" w:edGrp="everyone"/>
      <w:r>
        <w:rPr>
          <w:rFonts w:hint="eastAsia" w:ascii="仿宋_GB2312" w:hAnsi="仿宋_GB2312" w:eastAsia="仿宋_GB2312" w:cs="仿宋_GB2312"/>
          <w:color w:val="auto"/>
          <w:kern w:val="0"/>
          <w:sz w:val="24"/>
          <w:szCs w:val="24"/>
          <w:highlight w:val="none"/>
          <w:u w:val="single"/>
        </w:rPr>
        <w:t xml:space="preserve">              </w:t>
      </w:r>
      <w:permEnd w:id="175"/>
      <w:r>
        <w:rPr>
          <w:rFonts w:hint="eastAsia" w:ascii="仿宋_GB2312" w:hAnsi="仿宋_GB2312" w:eastAsia="仿宋_GB2312" w:cs="仿宋_GB2312"/>
          <w:color w:val="auto"/>
          <w:kern w:val="0"/>
          <w:sz w:val="24"/>
          <w:szCs w:val="24"/>
          <w:highlight w:val="none"/>
          <w:u w:val="single"/>
        </w:rPr>
        <w:t xml:space="preserve"> </w:t>
      </w:r>
    </w:p>
    <w:p w14:paraId="1E1C5BA5">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联系电话：</w:t>
      </w:r>
      <w:permStart w:id="176" w:edGrp="everyone"/>
      <w:r>
        <w:rPr>
          <w:rFonts w:hint="eastAsia" w:ascii="仿宋_GB2312" w:hAnsi="仿宋_GB2312" w:eastAsia="仿宋_GB2312" w:cs="仿宋_GB2312"/>
          <w:color w:val="auto"/>
          <w:sz w:val="24"/>
          <w:szCs w:val="24"/>
          <w:highlight w:val="none"/>
          <w:u w:val="single"/>
        </w:rPr>
        <w:t xml:space="preserve">                              </w:t>
      </w:r>
      <w:permEnd w:id="176"/>
      <w:r>
        <w:rPr>
          <w:rFonts w:hint="eastAsia" w:ascii="仿宋_GB2312" w:hAnsi="仿宋_GB2312" w:eastAsia="仿宋_GB2312" w:cs="仿宋_GB2312"/>
          <w:color w:val="auto"/>
          <w:sz w:val="24"/>
          <w:szCs w:val="24"/>
          <w:highlight w:val="none"/>
        </w:rPr>
        <w:t xml:space="preserve"> 传真号码：</w:t>
      </w:r>
      <w:permStart w:id="177" w:edGrp="everyone"/>
      <w:r>
        <w:rPr>
          <w:rFonts w:hint="eastAsia" w:ascii="仿宋_GB2312" w:hAnsi="仿宋_GB2312" w:eastAsia="仿宋_GB2312" w:cs="仿宋_GB2312"/>
          <w:color w:val="auto"/>
          <w:sz w:val="24"/>
          <w:szCs w:val="24"/>
          <w:highlight w:val="none"/>
          <w:u w:val="single"/>
        </w:rPr>
        <w:t xml:space="preserve">             </w:t>
      </w:r>
      <w:permEnd w:id="177"/>
      <w:r>
        <w:rPr>
          <w:rFonts w:hint="eastAsia" w:ascii="仿宋_GB2312" w:hAnsi="仿宋_GB2312" w:eastAsia="仿宋_GB2312" w:cs="仿宋_GB2312"/>
          <w:color w:val="auto"/>
          <w:sz w:val="24"/>
          <w:szCs w:val="24"/>
          <w:highlight w:val="none"/>
          <w:u w:val="single"/>
        </w:rPr>
        <w:t xml:space="preserve">  </w:t>
      </w:r>
    </w:p>
    <w:p w14:paraId="703877B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23.3 (12)需要发包人批准的其他事项：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
    <w:p w14:paraId="3B27EEB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23.8 监理工程师的宽恕</w:t>
      </w:r>
    </w:p>
    <w:p w14:paraId="71C1FD8B">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或者发包人就承包人对合同约定的任何责任和义务的某种违约行为的宽恕，不影响监理工程师和发包人在此后的任何时间严格按合同约定处理承包人的其它违约行为，也不意味发包人放弃合同约定的发包人与上述违约有关的任何权利和赔偿要求。</w:t>
      </w:r>
    </w:p>
    <w:p w14:paraId="53CC490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23.9 商定或确定</w:t>
      </w:r>
    </w:p>
    <w:p w14:paraId="05CDAE6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（1）合同约定监理工程师应按照本款对任何事项进行商定或确定时，监理工程师应与合同当事人协商，尽量达成一致。不能达成一致的，监理工程师应认真研究后审慎确定。</w:t>
      </w:r>
    </w:p>
    <w:p w14:paraId="5730207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监理工程师应将商定或确定的事项通知合同当事人，并附详细依据。对监理工程师的确定有异议的，构成争议，按照第86条的约定处理。在争议解决前，双方应暂按监理工程师的确定执行，按照第86条的约定对监理工程师的确定作出修改的，按修改后的结果执行。</w:t>
      </w:r>
    </w:p>
    <w:p w14:paraId="61752D0B">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23.10 发包人委托的建设管理方及派驻的工程师（如有，应当按双方约定的职责执行）发包人委托建设管理方承担工程建设管理。</w:t>
      </w:r>
    </w:p>
    <w:p w14:paraId="5C8BF698">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建设管理方：</w:t>
      </w:r>
      <w:permStart w:id="17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8"/>
    </w:p>
    <w:p w14:paraId="67206AB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建设管理方派驻的工程师：</w:t>
      </w:r>
      <w:permStart w:id="17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179"/>
      <w:r>
        <w:rPr>
          <w:rFonts w:hint="eastAsia" w:ascii="仿宋_GB2312" w:hAnsi="仿宋_GB2312" w:eastAsia="仿宋_GB2312" w:cs="仿宋_GB2312"/>
          <w:color w:val="auto"/>
          <w:sz w:val="24"/>
          <w:szCs w:val="24"/>
          <w:highlight w:val="none"/>
        </w:rPr>
        <w:t xml:space="preserve"> 职务：</w:t>
      </w:r>
      <w:permStart w:id="180" w:edGrp="everyone"/>
      <w:r>
        <w:rPr>
          <w:rFonts w:hint="eastAsia" w:ascii="仿宋_GB2312" w:hAnsi="仿宋_GB2312" w:eastAsia="仿宋_GB2312" w:cs="仿宋_GB2312"/>
          <w:color w:val="auto"/>
          <w:sz w:val="24"/>
          <w:szCs w:val="24"/>
          <w:highlight w:val="none"/>
          <w:u w:val="single"/>
        </w:rPr>
        <w:t xml:space="preserve">工程师 </w:t>
      </w:r>
      <w:permEnd w:id="180"/>
    </w:p>
    <w:p w14:paraId="58A8CB5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发包人委托的职权：在授权范围内处理现场相关事宜，检查和监督承包人和监理人执行合同，会同相关部门协调组织技术交底、审批施工组织设计、组织计量工作及办理合同支付、参与设计变更会审、组织竣工验收等，详见双方约定的职责和委托人下发的《工程建设管理办法》。 </w:t>
      </w:r>
      <w:bookmarkStart w:id="621" w:name="_Toc10624939"/>
      <w:bookmarkStart w:id="622" w:name="_Toc469384095"/>
    </w:p>
    <w:p w14:paraId="0101F341">
      <w:pPr>
        <w:spacing w:line="420" w:lineRule="exact"/>
        <w:rPr>
          <w:rFonts w:hint="eastAsia" w:ascii="仿宋_GB2312" w:hAnsi="仿宋_GB2312" w:eastAsia="仿宋_GB2312" w:cs="仿宋_GB2312"/>
          <w:color w:val="auto"/>
          <w:sz w:val="24"/>
          <w:szCs w:val="24"/>
          <w:highlight w:val="none"/>
        </w:rPr>
      </w:pPr>
    </w:p>
    <w:p w14:paraId="66590397">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24. 造价工程师</w:t>
      </w:r>
      <w:bookmarkEnd w:id="621"/>
      <w:bookmarkEnd w:id="622"/>
    </w:p>
    <w:p w14:paraId="14669F5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24.1 负责合同工程的造价咨询单位及任命的造价工程师</w:t>
      </w:r>
    </w:p>
    <w:p w14:paraId="1FF4E99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（1）工程造价咨询人（如有）：</w:t>
      </w:r>
      <w:permStart w:id="181" w:edGrp="everyone"/>
      <w:r>
        <w:rPr>
          <w:rFonts w:hint="eastAsia" w:ascii="仿宋_GB2312" w:hAnsi="仿宋_GB2312" w:eastAsia="仿宋_GB2312" w:cs="仿宋_GB2312"/>
          <w:color w:val="auto"/>
          <w:sz w:val="24"/>
          <w:szCs w:val="24"/>
          <w:highlight w:val="none"/>
          <w:u w:val="single"/>
        </w:rPr>
        <w:t xml:space="preserve">            </w:t>
      </w:r>
      <w:permEnd w:id="181"/>
      <w:r>
        <w:rPr>
          <w:rFonts w:hint="eastAsia" w:ascii="仿宋_GB2312" w:hAnsi="仿宋_GB2312" w:eastAsia="仿宋_GB2312" w:cs="仿宋_GB2312"/>
          <w:color w:val="auto"/>
          <w:sz w:val="24"/>
          <w:szCs w:val="24"/>
          <w:highlight w:val="none"/>
        </w:rPr>
        <w:t xml:space="preserve"> 法定代表人：</w:t>
      </w:r>
      <w:permStart w:id="182" w:edGrp="everyone"/>
      <w:r>
        <w:rPr>
          <w:rFonts w:hint="eastAsia" w:ascii="仿宋_GB2312" w:hAnsi="仿宋_GB2312" w:eastAsia="仿宋_GB2312" w:cs="仿宋_GB2312"/>
          <w:color w:val="auto"/>
          <w:sz w:val="24"/>
          <w:szCs w:val="24"/>
          <w:highlight w:val="none"/>
          <w:u w:val="single"/>
        </w:rPr>
        <w:t xml:space="preserve">            </w:t>
      </w:r>
      <w:permEnd w:id="182"/>
      <w:r>
        <w:rPr>
          <w:rFonts w:hint="eastAsia" w:ascii="仿宋_GB2312" w:hAnsi="仿宋_GB2312" w:eastAsia="仿宋_GB2312" w:cs="仿宋_GB2312"/>
          <w:color w:val="auto"/>
          <w:sz w:val="24"/>
          <w:szCs w:val="24"/>
          <w:highlight w:val="none"/>
          <w:u w:val="single"/>
        </w:rPr>
        <w:t xml:space="preserve"> </w:t>
      </w:r>
    </w:p>
    <w:p w14:paraId="73BCB5D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（2）任命（</w:t>
      </w:r>
      <w:permStart w:id="183" w:edGrp="everyone"/>
      <w:r>
        <w:rPr>
          <w:rFonts w:hint="eastAsia" w:ascii="仿宋_GB2312" w:hAnsi="仿宋_GB2312" w:eastAsia="仿宋_GB2312" w:cs="仿宋_GB2312"/>
          <w:color w:val="auto"/>
          <w:sz w:val="24"/>
          <w:szCs w:val="24"/>
          <w:highlight w:val="none"/>
        </w:rPr>
        <w:t xml:space="preserve">              </w:t>
      </w:r>
      <w:permEnd w:id="183"/>
      <w:r>
        <w:rPr>
          <w:rFonts w:hint="eastAsia" w:ascii="仿宋_GB2312" w:hAnsi="仿宋_GB2312" w:eastAsia="仿宋_GB2312" w:cs="仿宋_GB2312"/>
          <w:color w:val="auto"/>
          <w:sz w:val="24"/>
          <w:szCs w:val="24"/>
          <w:highlight w:val="none"/>
        </w:rPr>
        <w:t>）为造价工程师，其通讯方式为</w:t>
      </w:r>
    </w:p>
    <w:p w14:paraId="408232C1">
      <w:pPr>
        <w:spacing w:line="420" w:lineRule="exact"/>
        <w:ind w:left="120"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通讯地址：</w:t>
      </w:r>
      <w:permStart w:id="184" w:edGrp="everyone"/>
      <w:r>
        <w:rPr>
          <w:rFonts w:hint="eastAsia" w:ascii="仿宋_GB2312" w:hAnsi="仿宋_GB2312" w:eastAsia="仿宋_GB2312" w:cs="仿宋_GB2312"/>
          <w:color w:val="auto"/>
          <w:kern w:val="0"/>
          <w:sz w:val="24"/>
          <w:szCs w:val="24"/>
          <w:highlight w:val="none"/>
          <w:u w:val="single"/>
        </w:rPr>
        <w:t xml:space="preserve">                              </w:t>
      </w:r>
      <w:permEnd w:id="184"/>
      <w:r>
        <w:rPr>
          <w:rFonts w:hint="eastAsia" w:ascii="仿宋_GB2312" w:hAnsi="仿宋_GB2312" w:eastAsia="仿宋_GB2312" w:cs="仿宋_GB2312"/>
          <w:color w:val="auto"/>
          <w:kern w:val="0"/>
          <w:sz w:val="24"/>
          <w:szCs w:val="24"/>
          <w:highlight w:val="none"/>
        </w:rPr>
        <w:t xml:space="preserve"> 邮政编码：</w:t>
      </w:r>
      <w:permStart w:id="185" w:edGrp="everyone"/>
      <w:r>
        <w:rPr>
          <w:rFonts w:hint="eastAsia" w:ascii="仿宋_GB2312" w:hAnsi="仿宋_GB2312" w:eastAsia="仿宋_GB2312" w:cs="仿宋_GB2312"/>
          <w:color w:val="auto"/>
          <w:kern w:val="0"/>
          <w:sz w:val="24"/>
          <w:szCs w:val="24"/>
          <w:highlight w:val="none"/>
          <w:u w:val="single"/>
        </w:rPr>
        <w:t xml:space="preserve">             </w:t>
      </w:r>
      <w:permEnd w:id="185"/>
      <w:r>
        <w:rPr>
          <w:rFonts w:hint="eastAsia" w:ascii="仿宋_GB2312" w:hAnsi="仿宋_GB2312" w:eastAsia="仿宋_GB2312" w:cs="仿宋_GB2312"/>
          <w:color w:val="auto"/>
          <w:kern w:val="0"/>
          <w:sz w:val="24"/>
          <w:szCs w:val="24"/>
          <w:highlight w:val="none"/>
          <w:u w:val="single"/>
        </w:rPr>
        <w:t xml:space="preserve"> </w:t>
      </w:r>
    </w:p>
    <w:p w14:paraId="7DDFC663">
      <w:pPr>
        <w:spacing w:line="420" w:lineRule="exact"/>
        <w:ind w:firstLine="120" w:firstLineChars="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联系电话：</w:t>
      </w:r>
      <w:permStart w:id="186" w:edGrp="everyone"/>
      <w:r>
        <w:rPr>
          <w:rFonts w:hint="eastAsia" w:ascii="仿宋_GB2312" w:hAnsi="仿宋_GB2312" w:eastAsia="仿宋_GB2312" w:cs="仿宋_GB2312"/>
          <w:color w:val="auto"/>
          <w:sz w:val="24"/>
          <w:szCs w:val="24"/>
          <w:highlight w:val="none"/>
          <w:u w:val="single"/>
        </w:rPr>
        <w:t xml:space="preserve">                              </w:t>
      </w:r>
      <w:permEnd w:id="186"/>
      <w:r>
        <w:rPr>
          <w:rFonts w:hint="eastAsia" w:ascii="仿宋_GB2312" w:hAnsi="仿宋_GB2312" w:eastAsia="仿宋_GB2312" w:cs="仿宋_GB2312"/>
          <w:color w:val="auto"/>
          <w:sz w:val="24"/>
          <w:szCs w:val="24"/>
          <w:highlight w:val="none"/>
        </w:rPr>
        <w:t xml:space="preserve"> 传真号码：</w:t>
      </w:r>
      <w:permStart w:id="187" w:edGrp="everyone"/>
      <w:r>
        <w:rPr>
          <w:rFonts w:hint="eastAsia" w:ascii="仿宋_GB2312" w:hAnsi="仿宋_GB2312" w:eastAsia="仿宋_GB2312" w:cs="仿宋_GB2312"/>
          <w:color w:val="auto"/>
          <w:sz w:val="24"/>
          <w:szCs w:val="24"/>
          <w:highlight w:val="none"/>
          <w:u w:val="single"/>
        </w:rPr>
        <w:t xml:space="preserve">             </w:t>
      </w:r>
      <w:permEnd w:id="187"/>
      <w:r>
        <w:rPr>
          <w:rFonts w:hint="eastAsia" w:ascii="仿宋_GB2312" w:hAnsi="仿宋_GB2312" w:eastAsia="仿宋_GB2312" w:cs="仿宋_GB2312"/>
          <w:color w:val="auto"/>
          <w:sz w:val="24"/>
          <w:szCs w:val="24"/>
          <w:highlight w:val="none"/>
          <w:u w:val="single"/>
        </w:rPr>
        <w:t xml:space="preserve"> </w:t>
      </w:r>
    </w:p>
    <w:p w14:paraId="016212E8">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24.3 （7）需要发包人批准的其他事项：</w:t>
      </w:r>
      <w:permStart w:id="188" w:edGrp="everyone"/>
      <w:r>
        <w:rPr>
          <w:rFonts w:hint="eastAsia" w:ascii="仿宋_GB2312" w:hAnsi="仿宋_GB2312" w:eastAsia="仿宋_GB2312" w:cs="仿宋_GB2312"/>
          <w:color w:val="auto"/>
          <w:sz w:val="24"/>
          <w:szCs w:val="24"/>
          <w:highlight w:val="none"/>
          <w:u w:val="single"/>
        </w:rPr>
        <w:t xml:space="preserve">                             </w:t>
      </w:r>
      <w:permEnd w:id="188"/>
      <w:r>
        <w:rPr>
          <w:rFonts w:hint="eastAsia" w:ascii="仿宋_GB2312" w:hAnsi="仿宋_GB2312" w:eastAsia="仿宋_GB2312" w:cs="仿宋_GB2312"/>
          <w:color w:val="auto"/>
          <w:sz w:val="24"/>
          <w:szCs w:val="24"/>
          <w:highlight w:val="none"/>
          <w:u w:val="single"/>
        </w:rPr>
        <w:t xml:space="preserve"> </w:t>
      </w:r>
      <w:bookmarkStart w:id="623" w:name="_Toc10624940"/>
      <w:bookmarkStart w:id="624" w:name="_Toc469384096"/>
    </w:p>
    <w:p w14:paraId="20A027FE">
      <w:pPr>
        <w:spacing w:line="420" w:lineRule="exact"/>
        <w:ind w:firstLine="480" w:firstLineChars="200"/>
        <w:rPr>
          <w:rFonts w:hint="eastAsia" w:ascii="仿宋_GB2312" w:hAnsi="仿宋_GB2312" w:eastAsia="仿宋_GB2312" w:cs="仿宋_GB2312"/>
          <w:color w:val="auto"/>
          <w:sz w:val="24"/>
          <w:szCs w:val="24"/>
          <w:highlight w:val="none"/>
          <w:u w:val="single"/>
        </w:rPr>
      </w:pPr>
    </w:p>
    <w:p w14:paraId="11EEF1A3">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25. 承包人代表</w:t>
      </w:r>
      <w:bookmarkEnd w:id="623"/>
      <w:bookmarkEnd w:id="624"/>
    </w:p>
    <w:p w14:paraId="56310D9F">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 承包人任命（</w:t>
      </w:r>
      <w:permStart w:id="189" w:edGrp="everyone"/>
      <w:r>
        <w:rPr>
          <w:rFonts w:hint="eastAsia" w:ascii="仿宋_GB2312" w:hAnsi="仿宋_GB2312" w:eastAsia="仿宋_GB2312" w:cs="仿宋_GB2312"/>
          <w:color w:val="auto"/>
          <w:sz w:val="24"/>
          <w:szCs w:val="24"/>
          <w:highlight w:val="none"/>
        </w:rPr>
        <w:t xml:space="preserve">              </w:t>
      </w:r>
      <w:permEnd w:id="189"/>
      <w:r>
        <w:rPr>
          <w:rFonts w:hint="eastAsia" w:ascii="仿宋_GB2312" w:hAnsi="仿宋_GB2312" w:eastAsia="仿宋_GB2312" w:cs="仿宋_GB2312"/>
          <w:color w:val="auto"/>
          <w:sz w:val="24"/>
          <w:szCs w:val="24"/>
          <w:highlight w:val="none"/>
        </w:rPr>
        <w:t>）为承包人代表，其通讯方式为</w:t>
      </w:r>
    </w:p>
    <w:p w14:paraId="13FE24D5">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通讯地址：</w:t>
      </w:r>
      <w:permStart w:id="190" w:edGrp="everyone"/>
      <w:r>
        <w:rPr>
          <w:rFonts w:hint="eastAsia" w:ascii="仿宋_GB2312" w:hAnsi="仿宋_GB2312" w:eastAsia="仿宋_GB2312" w:cs="仿宋_GB2312"/>
          <w:color w:val="auto"/>
          <w:kern w:val="0"/>
          <w:sz w:val="24"/>
          <w:szCs w:val="24"/>
          <w:highlight w:val="none"/>
          <w:u w:val="single"/>
        </w:rPr>
        <w:t xml:space="preserve">                              </w:t>
      </w:r>
      <w:permEnd w:id="190"/>
      <w:r>
        <w:rPr>
          <w:rFonts w:hint="eastAsia" w:ascii="仿宋_GB2312" w:hAnsi="仿宋_GB2312" w:eastAsia="仿宋_GB2312" w:cs="仿宋_GB2312"/>
          <w:color w:val="auto"/>
          <w:kern w:val="0"/>
          <w:sz w:val="24"/>
          <w:szCs w:val="24"/>
          <w:highlight w:val="none"/>
        </w:rPr>
        <w:t xml:space="preserve"> 邮政编码：</w:t>
      </w:r>
      <w:permStart w:id="191" w:edGrp="everyone"/>
      <w:r>
        <w:rPr>
          <w:rFonts w:hint="eastAsia" w:ascii="仿宋_GB2312" w:hAnsi="仿宋_GB2312" w:eastAsia="仿宋_GB2312" w:cs="仿宋_GB2312"/>
          <w:color w:val="auto"/>
          <w:kern w:val="0"/>
          <w:sz w:val="24"/>
          <w:szCs w:val="24"/>
          <w:highlight w:val="none"/>
          <w:u w:val="single"/>
        </w:rPr>
        <w:t xml:space="preserve">              </w:t>
      </w:r>
      <w:permEnd w:id="191"/>
    </w:p>
    <w:p w14:paraId="454AC398">
      <w:pPr>
        <w:widowControl w:val="0"/>
        <w:spacing w:after="120" w:line="420" w:lineRule="exact"/>
        <w:ind w:firstLine="480" w:firstLineChars="200"/>
        <w:jc w:val="both"/>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联系电话：</w:t>
      </w:r>
      <w:permStart w:id="192" w:edGrp="everyone"/>
      <w:r>
        <w:rPr>
          <w:rFonts w:hint="eastAsia" w:ascii="仿宋_GB2312" w:hAnsi="仿宋_GB2312" w:eastAsia="仿宋_GB2312" w:cs="仿宋_GB2312"/>
          <w:color w:val="auto"/>
          <w:kern w:val="2"/>
          <w:sz w:val="24"/>
          <w:szCs w:val="24"/>
          <w:highlight w:val="none"/>
          <w:u w:val="single"/>
          <w:lang w:val="en-US" w:eastAsia="zh-CN" w:bidi="ar-SA"/>
        </w:rPr>
        <w:t xml:space="preserve">                              </w:t>
      </w:r>
      <w:permEnd w:id="192"/>
      <w:r>
        <w:rPr>
          <w:rFonts w:hint="eastAsia" w:ascii="仿宋_GB2312" w:hAnsi="仿宋_GB2312" w:eastAsia="仿宋_GB2312" w:cs="仿宋_GB2312"/>
          <w:color w:val="auto"/>
          <w:kern w:val="2"/>
          <w:sz w:val="24"/>
          <w:szCs w:val="24"/>
          <w:highlight w:val="none"/>
          <w:lang w:val="en-US" w:eastAsia="zh-CN" w:bidi="ar-SA"/>
        </w:rPr>
        <w:t xml:space="preserve"> 传真号码：</w:t>
      </w:r>
      <w:permStart w:id="193" w:edGrp="everyone"/>
      <w:r>
        <w:rPr>
          <w:rFonts w:hint="eastAsia" w:ascii="仿宋_GB2312" w:hAnsi="仿宋_GB2312" w:eastAsia="仿宋_GB2312" w:cs="仿宋_GB2312"/>
          <w:color w:val="auto"/>
          <w:kern w:val="2"/>
          <w:sz w:val="24"/>
          <w:szCs w:val="24"/>
          <w:highlight w:val="none"/>
          <w:u w:val="single"/>
          <w:lang w:val="en-US" w:eastAsia="zh-CN" w:bidi="ar-SA"/>
        </w:rPr>
        <w:t xml:space="preserve">              </w:t>
      </w:r>
      <w:permEnd w:id="193"/>
    </w:p>
    <w:p w14:paraId="0F9DC49B">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25.5承包人代表应当在合同约定的开工日期前到任。在监理工程师向承包人颁发（出具）工程接收证书前，承包人代表不得同时兼任其他任何项目的承包人代表。承包人代表的姓名、职称、身份证号、执业资格证书号、注册证书号、执业印章号、安全生产考核合格证书号等细节资料应当在合同协议书中载明。承包人代表应保证全过程负责本工程的各项施工管理工作，不得授权他人代理。</w:t>
      </w:r>
    </w:p>
    <w:p w14:paraId="394F5AF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25.6由发包人组织的工程会议或监理人组织的每周工地例会，承包人代表（注册建造师）和项目技术负责人必须出席（经发包人批准除外）。</w:t>
      </w:r>
    </w:p>
    <w:p w14:paraId="23D2E0F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25.7承包人代表（注册建造师）、副经理以及主要行政与技术领导等，必须常驻工地，不得兼职。合同对承包人的各种人员的到位情况和任职是作为一种条件来要求的（特别是承包人的主要管理人员、主要技术人员）。必须保证投标文件中拟定的承包人代表（注册建造师）及其主要管理人员和技术人员能及时地、始终地参与本工程的施工管理。合同签订后，承包人代表（注册建造师）、项目班子主要成员不到位，则监理工程师不签发开工令，工期不顺延；施工中班子主要成员离开工地应向监理工程师请假，经批准后才能离开，擅自离开工地，监理工程师将发出停工令，待人员回到岗位后才批准复工，由此产生的工期及经济损失由承包人自负，造成发包人和建设管理方（如有）损失的，发包人保留索赔的权利。</w:t>
      </w:r>
    </w:p>
    <w:p w14:paraId="2BE4549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25.8</w:t>
      </w:r>
      <w:r>
        <w:rPr>
          <w:rFonts w:hint="eastAsia" w:ascii="仿宋_GB2312" w:hAnsi="仿宋_GB2312" w:eastAsia="仿宋_GB2312" w:cs="仿宋_GB2312"/>
          <w:color w:val="auto"/>
          <w:kern w:val="0"/>
          <w:sz w:val="24"/>
          <w:szCs w:val="24"/>
          <w:highlight w:val="none"/>
        </w:rPr>
        <w:t>在本工程验收前承包人不得更换</w:t>
      </w:r>
      <w:r>
        <w:rPr>
          <w:rFonts w:hint="eastAsia" w:ascii="仿宋_GB2312" w:hAnsi="仿宋_GB2312" w:eastAsia="仿宋_GB2312" w:cs="仿宋_GB2312"/>
          <w:color w:val="auto"/>
          <w:sz w:val="24"/>
          <w:szCs w:val="24"/>
          <w:highlight w:val="none"/>
        </w:rPr>
        <w:t>其投标文件中承诺的管理团队人员</w:t>
      </w:r>
      <w:r>
        <w:rPr>
          <w:rFonts w:hint="eastAsia" w:ascii="仿宋_GB2312" w:hAnsi="仿宋_GB2312" w:eastAsia="仿宋_GB2312" w:cs="仿宋_GB2312"/>
          <w:color w:val="auto"/>
          <w:kern w:val="0"/>
          <w:sz w:val="24"/>
          <w:szCs w:val="24"/>
          <w:highlight w:val="none"/>
        </w:rPr>
        <w:t>。如</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发生人身意外、突发重大疾病、行政或刑事拘留等特殊情况，承包人确需更换</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的，应至少提前7天以书面形式通知发包人，并征得发包人书面同意，通知中应当载明继任</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的注册执业资格或职称、管理经验等资料，继任</w:t>
      </w:r>
      <w:r>
        <w:rPr>
          <w:rFonts w:hint="eastAsia" w:ascii="仿宋_GB2312" w:hAnsi="仿宋_GB2312" w:eastAsia="仿宋_GB2312" w:cs="仿宋_GB2312"/>
          <w:color w:val="auto"/>
          <w:sz w:val="24"/>
          <w:szCs w:val="24"/>
          <w:highlight w:val="none"/>
        </w:rPr>
        <w:t>管理团队人员</w:t>
      </w:r>
      <w:r>
        <w:rPr>
          <w:rFonts w:hint="eastAsia" w:ascii="仿宋_GB2312" w:hAnsi="仿宋_GB2312" w:eastAsia="仿宋_GB2312" w:cs="仿宋_GB2312"/>
          <w:color w:val="auto"/>
          <w:kern w:val="0"/>
          <w:sz w:val="24"/>
          <w:szCs w:val="24"/>
          <w:highlight w:val="none"/>
        </w:rPr>
        <w:t>应继续履行</w:t>
      </w:r>
      <w:r>
        <w:rPr>
          <w:rFonts w:hint="eastAsia" w:ascii="仿宋_GB2312" w:hAnsi="仿宋_GB2312" w:eastAsia="仿宋_GB2312" w:cs="仿宋_GB2312"/>
          <w:color w:val="auto"/>
          <w:sz w:val="24"/>
          <w:szCs w:val="24"/>
          <w:highlight w:val="none"/>
        </w:rPr>
        <w:t>合同约定的管理团队人员的职权及相应义务。</w:t>
      </w:r>
      <w:r>
        <w:rPr>
          <w:rFonts w:hint="eastAsia" w:ascii="仿宋_GB2312" w:hAnsi="仿宋_GB2312" w:eastAsia="仿宋_GB2312" w:cs="仿宋_GB2312"/>
          <w:color w:val="auto"/>
          <w:kern w:val="0"/>
          <w:sz w:val="24"/>
          <w:szCs w:val="24"/>
          <w:highlight w:val="none"/>
        </w:rPr>
        <w:t>拟更换人员的资质、学历、职称、业绩、实际工作能力不得低于原投标书中所承诺人员的综合素质。</w:t>
      </w:r>
    </w:p>
    <w:p w14:paraId="032B60B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25.9管理团队考勤</w:t>
      </w:r>
    </w:p>
    <w:p w14:paraId="561BED6C">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承包人一致同意，承包人应允许发包人或监理人对其投标文件中承诺的管理团队人员施工现场考勤情况进行检查，并记录考勤检查结果。管理团队人员（含承包人代表）每人每月应有25天或以上的出勤记录。</w:t>
      </w:r>
    </w:p>
    <w:p w14:paraId="0C47C0E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25.10撤换承包人代表和其他人员</w:t>
      </w:r>
    </w:p>
    <w:p w14:paraId="5332ED79">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对于不胜任工作的承包人人员，当监理工程师要求更换时，承包人必须立即予以更换，并不得继续在本合同工程供职。若承包人代表（注册建造师）或现场管理机构主要部门负责人的实际工作能力和工作表现达不到招标文件明确要求、或工作态度存在严重不足，不适应现场工作需要，发包人有权向承包人提出撤换。承包人可以提出整改意见；如发包人不予接受，则承包人必须在7天内无条件撤换，所调换来人员的资质、资历、学历、职称、业绩、实际工作能力不低于原投标书中所承诺人员的综合素质。对于不胜任工作的承包人人员，当监理工程师要求更换时，承包人必须立即予以更换，并不得继续在本合同工程供职。</w:t>
      </w:r>
    </w:p>
    <w:p w14:paraId="6D1F200B">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（2）承包人人员资格的特别规定：所有特殊工种人员、各种领班以上人员均应符合有关规定的资质，并且应持有该项工作的上岗证，在施工期间佩带其上岗证供驻地监理工程师随时检查。</w:t>
      </w:r>
    </w:p>
    <w:p w14:paraId="3FDBCC9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（3）上述扣款发包人可以在履约金或者工程款中直接扣除，并在结算前办理合同变更。</w:t>
      </w:r>
      <w:bookmarkStart w:id="625" w:name="_Toc469384097"/>
      <w:bookmarkStart w:id="626" w:name="_Toc10624941"/>
    </w:p>
    <w:p w14:paraId="5C71FF34">
      <w:pPr>
        <w:spacing w:line="420" w:lineRule="exact"/>
        <w:rPr>
          <w:rFonts w:hint="eastAsia" w:ascii="仿宋_GB2312" w:hAnsi="仿宋_GB2312" w:eastAsia="仿宋_GB2312" w:cs="仿宋_GB2312"/>
          <w:color w:val="auto"/>
          <w:sz w:val="24"/>
          <w:szCs w:val="24"/>
          <w:highlight w:val="none"/>
        </w:rPr>
      </w:pPr>
    </w:p>
    <w:p w14:paraId="6B2574CC">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26. 指定分包人</w:t>
      </w:r>
      <w:bookmarkEnd w:id="625"/>
      <w:bookmarkEnd w:id="626"/>
    </w:p>
    <w:p w14:paraId="0FA8173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26.1 依法指定的分包人</w:t>
      </w:r>
    </w:p>
    <w:p w14:paraId="2DCB07A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实施、完成部分永久工程的分包人：</w:t>
      </w:r>
      <w:r>
        <w:rPr>
          <w:rFonts w:hint="eastAsia" w:ascii="仿宋_GB2312" w:hAnsi="仿宋_GB2312" w:eastAsia="仿宋_GB2312" w:cs="仿宋_GB2312"/>
          <w:color w:val="auto"/>
          <w:sz w:val="24"/>
          <w:szCs w:val="24"/>
          <w:highlight w:val="none"/>
          <w:u w:val="single"/>
        </w:rPr>
        <w:t xml:space="preserve">   /。      </w:t>
      </w:r>
    </w:p>
    <w:p w14:paraId="21C47F23">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 提供材料和工程设备、服务的分包人：</w:t>
      </w:r>
      <w:r>
        <w:rPr>
          <w:rFonts w:hint="eastAsia" w:ascii="仿宋_GB2312" w:hAnsi="仿宋_GB2312" w:eastAsia="仿宋_GB2312" w:cs="仿宋_GB2312"/>
          <w:color w:val="auto"/>
          <w:sz w:val="24"/>
          <w:szCs w:val="24"/>
          <w:highlight w:val="none"/>
          <w:u w:val="single"/>
        </w:rPr>
        <w:t xml:space="preserve">  /。     </w:t>
      </w:r>
      <w:bookmarkStart w:id="627" w:name="_Toc469384098"/>
      <w:bookmarkStart w:id="628" w:name="_Toc10624942"/>
    </w:p>
    <w:p w14:paraId="5DED5D02">
      <w:pPr>
        <w:spacing w:line="420" w:lineRule="exact"/>
        <w:rPr>
          <w:rFonts w:hint="eastAsia" w:ascii="仿宋_GB2312" w:hAnsi="仿宋_GB2312" w:eastAsia="仿宋_GB2312" w:cs="仿宋_GB2312"/>
          <w:color w:val="auto"/>
          <w:sz w:val="24"/>
          <w:szCs w:val="24"/>
          <w:highlight w:val="none"/>
          <w:u w:val="single"/>
        </w:rPr>
      </w:pPr>
    </w:p>
    <w:p w14:paraId="42EB4C5C">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27. 承包人劳务</w:t>
      </w:r>
    </w:p>
    <w:p w14:paraId="4086CCA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27.2承包人人员的雇佣</w:t>
      </w:r>
    </w:p>
    <w:p w14:paraId="073DCFF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除应雇佣投标文件中“主要人员一览表”中指明的人员外，也可以雇佣经监理工程师批准的其他人员，但不得从发包人或服务于发包人的人员中雇佣人员。承包人安排在施工场地的主要管理人员和技术骨干应相对稳定。特殊岗位的工作人员均应持有相应的资格证明，监理工程师有权随时检查。监理工程师认为有必要时，可进行现场考核。</w:t>
      </w:r>
    </w:p>
    <w:p w14:paraId="6F23872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27.3承包人对雇员应做的工作</w:t>
      </w:r>
    </w:p>
    <w:p w14:paraId="63340CCF">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施工总承包单位负责牵头组织落实建设工地务工人员（包括施工总承包单位、专业承包单位及劳务分包单位的务工人员）健康管理的相关工作，要求落实对务工人员进场前的健康体检及进场后的日常健康监测等，不得将健康体检等费用变相转嫁给务工人员个人承担，同时应配备工地现场务工人员健康管理员，负责各项工作的具体落实。</w:t>
      </w:r>
    </w:p>
    <w:p w14:paraId="60C0E1D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承包人应根据工程项目务工人员实际情况，选择符合要求的医疗卫生机构开展体检工作。每年体检应不少于1次；体检报告超过一年的应重新进行体检。体检项目具体由承包人结合岗位工作内容、务工人员年龄及健康状况等确定。发包人或上级行政主管部门在日常监督、抽查和巡查中，如发现未对务工人员进场前的健康体检及进场后的日常健康监测的，承包人应向发包人支付1万元/人/次作为违约金。</w:t>
      </w:r>
    </w:p>
    <w:p w14:paraId="51D13ED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（9）承包人应落实施工过程中日常健康检查，工程现场应配备血压计、体温测量仪等医疗日常检查设备及相关急救药品，鼓励配备 AED除颤仪，应定期对务工人员进行血压测量和健康状况观察等例行检查。</w:t>
      </w:r>
    </w:p>
    <w:p w14:paraId="5BBC9AF6">
      <w:pPr>
        <w:spacing w:line="420" w:lineRule="exact"/>
        <w:ind w:firstLine="480" w:firstLineChars="200"/>
        <w:rPr>
          <w:rFonts w:hint="eastAsia" w:ascii="仿宋_GB2312" w:hAnsi="仿宋_GB2312" w:eastAsia="仿宋_GB2312" w:cs="仿宋_GB2312"/>
          <w:color w:val="auto"/>
          <w:sz w:val="24"/>
          <w:szCs w:val="24"/>
          <w:highlight w:val="none"/>
        </w:rPr>
      </w:pPr>
    </w:p>
    <w:p w14:paraId="2440DB9B">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28. 工程担保</w:t>
      </w:r>
      <w:bookmarkEnd w:id="627"/>
      <w:bookmarkEnd w:id="628"/>
    </w:p>
    <w:p w14:paraId="0CD23B4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28.1 承包人提供履约担保的约定</w:t>
      </w:r>
    </w:p>
    <w:p w14:paraId="5F154AB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（1）履约担保的金额按照中标合同额</w:t>
      </w:r>
      <w:permStart w:id="194" w:edGrp="everyone"/>
      <w:r>
        <w:rPr>
          <w:rFonts w:hint="eastAsia" w:ascii="仿宋_GB2312" w:hAnsi="仿宋_GB2312" w:eastAsia="仿宋_GB2312" w:cs="仿宋_GB2312"/>
          <w:color w:val="auto"/>
          <w:sz w:val="24"/>
          <w:szCs w:val="24"/>
          <w:highlight w:val="none"/>
          <w:u w:val="single"/>
        </w:rPr>
        <w:t>10%</w:t>
      </w:r>
      <w:permEnd w:id="194"/>
      <w:r>
        <w:rPr>
          <w:rFonts w:hint="eastAsia" w:ascii="仿宋_GB2312" w:hAnsi="仿宋_GB2312" w:eastAsia="仿宋_GB2312" w:cs="仿宋_GB2312"/>
          <w:color w:val="auto"/>
          <w:sz w:val="24"/>
          <w:szCs w:val="24"/>
          <w:highlight w:val="none"/>
        </w:rPr>
        <w:t>提交（具体由发包人视工程重要性、合同金额等情况确定，但不得高于中标合同额的10%）。</w:t>
      </w:r>
    </w:p>
    <w:p w14:paraId="47B0044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履约担保的金额：（大写）</w:t>
      </w:r>
      <w:permStart w:id="195" w:edGrp="everyone"/>
      <w:r>
        <w:rPr>
          <w:rFonts w:hint="eastAsia" w:ascii="仿宋_GB2312" w:hAnsi="仿宋_GB2312" w:eastAsia="仿宋_GB2312" w:cs="仿宋_GB2312"/>
          <w:color w:val="auto"/>
          <w:sz w:val="24"/>
          <w:szCs w:val="24"/>
          <w:highlight w:val="none"/>
          <w:u w:val="single"/>
        </w:rPr>
        <w:t xml:space="preserve">                </w:t>
      </w:r>
      <w:permEnd w:id="195"/>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permStart w:id="196" w:edGrp="everyone"/>
      <w:r>
        <w:rPr>
          <w:rFonts w:hint="eastAsia" w:ascii="仿宋_GB2312" w:hAnsi="仿宋_GB2312" w:eastAsia="仿宋_GB2312" w:cs="仿宋_GB2312"/>
          <w:color w:val="auto"/>
          <w:sz w:val="24"/>
          <w:szCs w:val="24"/>
          <w:highlight w:val="none"/>
          <w:u w:val="single"/>
        </w:rPr>
        <w:t xml:space="preserve">          </w:t>
      </w:r>
      <w:permEnd w:id="196"/>
      <w:r>
        <w:rPr>
          <w:rFonts w:hint="eastAsia" w:ascii="仿宋_GB2312" w:hAnsi="仿宋_GB2312" w:eastAsia="仿宋_GB2312" w:cs="仿宋_GB2312"/>
          <w:color w:val="auto"/>
          <w:sz w:val="24"/>
          <w:szCs w:val="24"/>
          <w:highlight w:val="none"/>
        </w:rPr>
        <w:t>元）</w:t>
      </w:r>
    </w:p>
    <w:p w14:paraId="337CC3C1">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 提供履约担保的时间：</w:t>
      </w:r>
    </w:p>
    <w:p w14:paraId="3A221BCE">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签订本合同时；</w:t>
      </w:r>
    </w:p>
    <w:p w14:paraId="228155E0">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permStart w:id="197" w:edGrp="everyone"/>
      <w:r>
        <w:rPr>
          <w:rFonts w:hint="eastAsia" w:ascii="仿宋_GB2312" w:hAnsi="仿宋_GB2312" w:eastAsia="仿宋_GB2312" w:cs="仿宋_GB2312"/>
          <w:color w:val="auto"/>
          <w:kern w:val="0"/>
          <w:sz w:val="24"/>
          <w:szCs w:val="24"/>
          <w:highlight w:val="none"/>
          <w:u w:val="single"/>
        </w:rPr>
        <w:t xml:space="preserve">  签订合同后30天内。  </w:t>
      </w:r>
      <w:permEnd w:id="197"/>
    </w:p>
    <w:p w14:paraId="72A0F8D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当按照发包人在招标文件中规定的格式或者其他经过发包人认可的格式向发包人递交一份履约担保。经过发包人事先书面认可的其他格式的履约担保，其担保条款的实质性内容应当与发包人在招标文件中规定的格式内容保持一致。承包人逾期提交履约担保的，发包人有权顺延支付预付款和进度款的时间，且不视为发包人违约。</w:t>
      </w:r>
    </w:p>
    <w:p w14:paraId="64A11AD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以履约银行保函或担保保函或保证保险形式提交履约保证金的，在银行保函或担保保函或保证保险到期前，承包人应提前7天向发包人提交新的保函或保险以替换即将到期的保函或保险，且新提交的保函或保险的期限延长不得少于6个月。如承包人未及时提交的，发包人有权直接要求担保银行或担保机构或保险机构支付其担保的全部金额。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14:paraId="238538E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w:t>
      </w:r>
      <w:permStart w:id="198" w:edGrp="everyone"/>
      <w:r>
        <w:rPr>
          <w:rFonts w:hint="eastAsia" w:ascii="仿宋_GB2312" w:hAnsi="仿宋_GB2312" w:eastAsia="仿宋_GB2312" w:cs="仿宋_GB2312"/>
          <w:color w:val="auto"/>
          <w:sz w:val="24"/>
          <w:szCs w:val="24"/>
          <w:highlight w:val="none"/>
          <w:u w:val="single"/>
        </w:rPr>
        <w:t>10万元/次</w:t>
      </w:r>
      <w:permEnd w:id="198"/>
      <w:r>
        <w:rPr>
          <w:rFonts w:hint="eastAsia" w:ascii="仿宋_GB2312" w:hAnsi="仿宋_GB2312" w:eastAsia="仿宋_GB2312" w:cs="仿宋_GB2312"/>
          <w:color w:val="auto"/>
          <w:sz w:val="24"/>
          <w:szCs w:val="24"/>
          <w:highlight w:val="none"/>
        </w:rPr>
        <w:t>作为违约金。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4D5A8DA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28.4 发包人提供支付担保的约定</w:t>
      </w:r>
    </w:p>
    <w:p w14:paraId="7C314629">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w:t>
      </w:r>
      <w:permStart w:id="199"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permEnd w:id="199"/>
      <w:r>
        <w:rPr>
          <w:rFonts w:hint="eastAsia" w:ascii="仿宋_GB2312" w:hAnsi="仿宋_GB2312" w:eastAsia="仿宋_GB2312" w:cs="仿宋_GB2312"/>
          <w:color w:val="auto"/>
          <w:sz w:val="24"/>
          <w:szCs w:val="24"/>
          <w:highlight w:val="none"/>
        </w:rPr>
        <w:t>支付担保的金额：（大写）</w:t>
      </w:r>
      <w:permStart w:id="200" w:edGrp="everyone"/>
      <w:r>
        <w:rPr>
          <w:rFonts w:hint="eastAsia" w:ascii="仿宋_GB2312" w:hAnsi="仿宋_GB2312" w:eastAsia="仿宋_GB2312" w:cs="仿宋_GB2312"/>
          <w:color w:val="auto"/>
          <w:sz w:val="24"/>
          <w:szCs w:val="24"/>
          <w:highlight w:val="none"/>
          <w:u w:val="single"/>
        </w:rPr>
        <w:t xml:space="preserve">            </w:t>
      </w:r>
      <w:permEnd w:id="200"/>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permStart w:id="201" w:edGrp="everyone"/>
      <w:r>
        <w:rPr>
          <w:rFonts w:hint="eastAsia" w:ascii="仿宋_GB2312" w:hAnsi="仿宋_GB2312" w:eastAsia="仿宋_GB2312" w:cs="仿宋_GB2312"/>
          <w:color w:val="auto"/>
          <w:sz w:val="24"/>
          <w:szCs w:val="24"/>
          <w:highlight w:val="none"/>
          <w:u w:val="single"/>
        </w:rPr>
        <w:t xml:space="preserve">          </w:t>
      </w:r>
      <w:permEnd w:id="201"/>
      <w:r>
        <w:rPr>
          <w:rFonts w:hint="eastAsia" w:ascii="仿宋_GB2312" w:hAnsi="仿宋_GB2312" w:eastAsia="仿宋_GB2312" w:cs="仿宋_GB2312"/>
          <w:color w:val="auto"/>
          <w:sz w:val="24"/>
          <w:szCs w:val="24"/>
          <w:highlight w:val="none"/>
          <w:lang w:val="en-US" w:eastAsia="zh-CN"/>
        </w:rPr>
        <w:t>元</w:t>
      </w:r>
      <w:r>
        <w:rPr>
          <w:rFonts w:hint="eastAsia" w:ascii="仿宋_GB2312" w:hAnsi="仿宋_GB2312" w:eastAsia="仿宋_GB2312" w:cs="仿宋_GB2312"/>
          <w:color w:val="auto"/>
          <w:sz w:val="24"/>
          <w:szCs w:val="24"/>
          <w:highlight w:val="none"/>
        </w:rPr>
        <w:t>）</w:t>
      </w:r>
    </w:p>
    <w:p w14:paraId="1283E91D">
      <w:pPr>
        <w:spacing w:line="420" w:lineRule="exact"/>
        <w:ind w:firstLine="120" w:firstLineChars="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（2） 提供支付担保的时间：</w:t>
      </w:r>
    </w:p>
    <w:p w14:paraId="4D20D0EC">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w:t>
      </w:r>
      <w:permStart w:id="202"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permEnd w:id="202"/>
      <w:r>
        <w:rPr>
          <w:rFonts w:hint="eastAsia" w:ascii="仿宋_GB2312" w:hAnsi="仿宋_GB2312" w:eastAsia="仿宋_GB2312" w:cs="仿宋_GB2312"/>
          <w:color w:val="auto"/>
          <w:kern w:val="0"/>
          <w:sz w:val="24"/>
          <w:szCs w:val="24"/>
          <w:highlight w:val="none"/>
        </w:rPr>
        <w:t xml:space="preserve"> 签订本合同时；</w:t>
      </w:r>
    </w:p>
    <w:p w14:paraId="65D09810">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3"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permEnd w:id="203"/>
      <w:r>
        <w:rPr>
          <w:rFonts w:hint="eastAsia" w:ascii="仿宋_GB2312" w:hAnsi="仿宋_GB2312" w:eastAsia="仿宋_GB2312" w:cs="仿宋_GB2312"/>
          <w:color w:val="auto"/>
          <w:kern w:val="0"/>
          <w:sz w:val="24"/>
          <w:szCs w:val="24"/>
          <w:highlight w:val="none"/>
        </w:rPr>
        <w:t>另作约定：</w:t>
      </w:r>
      <w:permStart w:id="20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承包人完成办理本工程农民工工资专用账户后</w:t>
      </w:r>
      <w:r>
        <w:rPr>
          <w:rFonts w:hint="eastAsia" w:ascii="仿宋_GB2312" w:hAnsi="仿宋_GB2312" w:eastAsia="仿宋_GB2312" w:cs="仿宋_GB2312"/>
          <w:color w:val="auto"/>
          <w:kern w:val="0"/>
          <w:sz w:val="24"/>
          <w:szCs w:val="24"/>
          <w:highlight w:val="none"/>
          <w:u w:val="single"/>
          <w:lang w:val="en-US" w:eastAsia="zh-CN"/>
        </w:rPr>
        <w:t>30天内</w:t>
      </w:r>
      <w:r>
        <w:rPr>
          <w:rFonts w:hint="eastAsia" w:ascii="仿宋_GB2312" w:hAnsi="仿宋_GB2312" w:eastAsia="仿宋_GB2312" w:cs="仿宋_GB2312"/>
          <w:color w:val="auto"/>
          <w:kern w:val="0"/>
          <w:sz w:val="24"/>
          <w:szCs w:val="24"/>
          <w:highlight w:val="none"/>
          <w:u w:val="single"/>
        </w:rPr>
        <w:t xml:space="preserve"> </w:t>
      </w:r>
      <w:permEnd w:id="204"/>
    </w:p>
    <w:p w14:paraId="097D6853">
      <w:pPr>
        <w:spacing w:line="420" w:lineRule="exact"/>
        <w:ind w:firstLine="120" w:firstLineChars="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（3） </w:t>
      </w:r>
      <w:permStart w:id="205" w:edGrp="everyone"/>
      <w:r>
        <w:rPr>
          <w:rFonts w:hint="eastAsia" w:ascii="仿宋_GB2312" w:hAnsi="仿宋_GB2312" w:eastAsia="仿宋_GB2312" w:cs="仿宋_GB2312"/>
          <w:color w:val="auto"/>
          <w:kern w:val="0"/>
          <w:sz w:val="24"/>
          <w:szCs w:val="24"/>
          <w:highlight w:val="none"/>
        </w:rPr>
        <w:sym w:font="Wingdings 2" w:char="0051"/>
      </w:r>
      <w:permEnd w:id="205"/>
      <w:r>
        <w:rPr>
          <w:rFonts w:hint="eastAsia" w:ascii="仿宋_GB2312" w:hAnsi="仿宋_GB2312" w:eastAsia="仿宋_GB2312" w:cs="仿宋_GB2312"/>
          <w:color w:val="auto"/>
          <w:kern w:val="0"/>
          <w:sz w:val="24"/>
          <w:szCs w:val="24"/>
          <w:highlight w:val="none"/>
        </w:rPr>
        <w:t>出具支付保函的担保人：</w:t>
      </w:r>
      <w:permStart w:id="20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06"/>
    </w:p>
    <w:p w14:paraId="7C626404">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7" w:edGrp="everyone"/>
      <w:r>
        <w:rPr>
          <w:rFonts w:hint="eastAsia" w:ascii="仿宋_GB2312" w:hAnsi="仿宋_GB2312" w:eastAsia="仿宋_GB2312" w:cs="仿宋_GB2312"/>
          <w:color w:val="auto"/>
          <w:kern w:val="0"/>
          <w:sz w:val="24"/>
          <w:szCs w:val="24"/>
          <w:highlight w:val="none"/>
        </w:rPr>
        <w:sym w:font="Wingdings 2" w:char="0051"/>
      </w:r>
      <w:permEnd w:id="207"/>
      <w:r>
        <w:rPr>
          <w:rFonts w:hint="eastAsia" w:ascii="仿宋_GB2312" w:hAnsi="仿宋_GB2312" w:eastAsia="仿宋_GB2312" w:cs="仿宋_GB2312"/>
          <w:color w:val="auto"/>
          <w:kern w:val="0"/>
          <w:sz w:val="24"/>
          <w:szCs w:val="24"/>
          <w:highlight w:val="none"/>
        </w:rPr>
        <w:t>出具</w:t>
      </w:r>
      <w:r>
        <w:rPr>
          <w:rFonts w:hint="eastAsia" w:ascii="仿宋_GB2312" w:hAnsi="仿宋_GB2312" w:eastAsia="仿宋_GB2312" w:cs="仿宋_GB2312"/>
          <w:color w:val="auto"/>
          <w:sz w:val="24"/>
          <w:szCs w:val="24"/>
          <w:highlight w:val="none"/>
          <w:shd w:val="clear" w:color="auto" w:fill="FFFFFF"/>
        </w:rPr>
        <w:t>支付担保</w:t>
      </w:r>
      <w:r>
        <w:rPr>
          <w:rFonts w:hint="eastAsia" w:ascii="仿宋_GB2312" w:hAnsi="仿宋_GB2312" w:eastAsia="仿宋_GB2312" w:cs="仿宋_GB2312"/>
          <w:color w:val="auto"/>
          <w:kern w:val="0"/>
          <w:sz w:val="24"/>
          <w:szCs w:val="24"/>
          <w:highlight w:val="none"/>
        </w:rPr>
        <w:t>的担保人：</w:t>
      </w:r>
      <w:permStart w:id="20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08"/>
    </w:p>
    <w:p w14:paraId="50D326C0">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09" w:edGrp="everyone"/>
      <w:r>
        <w:rPr>
          <w:rFonts w:hint="eastAsia" w:ascii="仿宋_GB2312" w:hAnsi="仿宋_GB2312" w:eastAsia="仿宋_GB2312" w:cs="仿宋_GB2312"/>
          <w:color w:val="auto"/>
          <w:kern w:val="0"/>
          <w:sz w:val="24"/>
          <w:szCs w:val="24"/>
          <w:highlight w:val="none"/>
        </w:rPr>
        <w:sym w:font="Wingdings 2" w:char="0051"/>
      </w:r>
      <w:permEnd w:id="209"/>
      <w:r>
        <w:rPr>
          <w:rFonts w:hint="eastAsia" w:ascii="仿宋_GB2312" w:hAnsi="仿宋_GB2312" w:eastAsia="仿宋_GB2312" w:cs="仿宋_GB2312"/>
          <w:color w:val="auto"/>
          <w:kern w:val="0"/>
          <w:sz w:val="24"/>
          <w:szCs w:val="24"/>
          <w:highlight w:val="none"/>
        </w:rPr>
        <w:t>出具</w:t>
      </w:r>
      <w:r>
        <w:rPr>
          <w:rFonts w:hint="eastAsia" w:ascii="仿宋_GB2312" w:hAnsi="仿宋_GB2312" w:eastAsia="仿宋_GB2312" w:cs="仿宋_GB2312"/>
          <w:color w:val="auto"/>
          <w:sz w:val="24"/>
          <w:szCs w:val="24"/>
          <w:highlight w:val="none"/>
          <w:shd w:val="clear" w:color="auto" w:fill="FFFFFF"/>
        </w:rPr>
        <w:t>支付保证保险</w:t>
      </w:r>
      <w:r>
        <w:rPr>
          <w:rFonts w:hint="eastAsia" w:ascii="仿宋_GB2312" w:hAnsi="仿宋_GB2312" w:eastAsia="仿宋_GB2312" w:cs="仿宋_GB2312"/>
          <w:color w:val="auto"/>
          <w:kern w:val="0"/>
          <w:sz w:val="24"/>
          <w:szCs w:val="24"/>
          <w:highlight w:val="none"/>
        </w:rPr>
        <w:t>的担保人：</w:t>
      </w:r>
      <w:permStart w:id="21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10"/>
    </w:p>
    <w:p w14:paraId="5C3CD0B1">
      <w:pPr>
        <w:spacing w:line="420" w:lineRule="exact"/>
        <w:ind w:firstLine="1080" w:firstLineChars="450"/>
        <w:rPr>
          <w:rFonts w:hint="eastAsia" w:ascii="仿宋_GB2312" w:hAnsi="仿宋_GB2312" w:eastAsia="仿宋_GB2312" w:cs="仿宋_GB2312"/>
          <w:color w:val="auto"/>
          <w:kern w:val="0"/>
          <w:sz w:val="24"/>
          <w:szCs w:val="24"/>
          <w:highlight w:val="none"/>
        </w:rPr>
      </w:pPr>
      <w:permStart w:id="211" w:edGrp="everyone"/>
      <w:r>
        <w:rPr>
          <w:rFonts w:hint="eastAsia" w:ascii="仿宋_GB2312" w:hAnsi="仿宋_GB2312" w:eastAsia="仿宋_GB2312" w:cs="仿宋_GB2312"/>
          <w:color w:val="auto"/>
          <w:kern w:val="0"/>
          <w:sz w:val="24"/>
          <w:szCs w:val="24"/>
          <w:highlight w:val="none"/>
        </w:rPr>
        <w:sym w:font="Wingdings 2" w:char="0052"/>
      </w:r>
      <w:permEnd w:id="211"/>
      <w:r>
        <w:rPr>
          <w:rFonts w:hint="eastAsia" w:ascii="仿宋_GB2312" w:hAnsi="仿宋_GB2312" w:eastAsia="仿宋_GB2312" w:cs="仿宋_GB2312"/>
          <w:color w:val="auto"/>
          <w:kern w:val="0"/>
          <w:sz w:val="24"/>
          <w:szCs w:val="24"/>
          <w:highlight w:val="none"/>
        </w:rPr>
        <w:t xml:space="preserve"> 其它：</w:t>
      </w:r>
      <w:permStart w:id="212" w:edGrp="everyone"/>
      <w:r>
        <w:rPr>
          <w:rFonts w:hint="eastAsia" w:ascii="仿宋_GB2312" w:hAnsi="仿宋_GB2312" w:eastAsia="仿宋_GB2312" w:cs="仿宋_GB2312"/>
          <w:color w:val="auto"/>
          <w:kern w:val="0"/>
          <w:sz w:val="24"/>
          <w:szCs w:val="24"/>
          <w:highlight w:val="none"/>
          <w:u w:val="single"/>
        </w:rPr>
        <w:t xml:space="preserve">   以发包人办理为准。                          </w:t>
      </w:r>
      <w:permEnd w:id="212"/>
    </w:p>
    <w:p w14:paraId="5E4891F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28.8 担保内容、方式和责任等事项的约定：</w:t>
      </w:r>
      <w:permStart w:id="21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不管履约担保条款中如何约定，发包人根据担保条款提出索赔或兑现要求28天前，应通知承包人并说明导致此类索赔或兑现的违约性质或原因。相应地，承包人根据担保条款提出索赔或兑现要求28天前，也应通知发包人并说明导致此类索赔或兑现的违约性质或原因。但是，本项约定的通知不应理解为是在任何意义上寻求承包人或者发包人的同意。</w:t>
      </w:r>
      <w:r>
        <w:rPr>
          <w:rFonts w:hint="eastAsia" w:ascii="仿宋_GB2312" w:hAnsi="仿宋_GB2312" w:eastAsia="仿宋_GB2312" w:cs="仿宋_GB2312"/>
          <w:color w:val="auto"/>
          <w:kern w:val="0"/>
          <w:sz w:val="24"/>
          <w:szCs w:val="24"/>
          <w:highlight w:val="none"/>
          <w:u w:val="single"/>
        </w:rPr>
        <w:t xml:space="preserve"> </w:t>
      </w:r>
      <w:permEnd w:id="213"/>
    </w:p>
    <w:p w14:paraId="11FB434C">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29" w:name="_Toc469384099"/>
      <w:bookmarkStart w:id="630" w:name="_Toc10624943"/>
      <w:r>
        <w:rPr>
          <w:rFonts w:hint="eastAsia" w:ascii="黑体" w:hAnsi="黑体" w:eastAsia="黑体" w:cs="黑体"/>
          <w:b w:val="0"/>
          <w:bCs w:val="0"/>
          <w:color w:val="auto"/>
          <w:kern w:val="0"/>
          <w:sz w:val="24"/>
          <w:szCs w:val="24"/>
          <w:highlight w:val="none"/>
          <w:lang w:val="en-US" w:eastAsia="zh-CN" w:bidi="ar-SA"/>
        </w:rPr>
        <w:t>31. 不可抗力</w:t>
      </w:r>
    </w:p>
    <w:p w14:paraId="6762E8D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31.1（1）其他不可抗力情形：</w:t>
      </w:r>
      <w:r>
        <w:rPr>
          <w:rFonts w:hint="eastAsia" w:ascii="仿宋_GB2312" w:hAnsi="仿宋_GB2312" w:eastAsia="仿宋_GB2312" w:cs="仿宋_GB2312"/>
          <w:color w:val="auto"/>
          <w:sz w:val="24"/>
          <w:szCs w:val="24"/>
          <w:highlight w:val="none"/>
          <w:u w:val="single"/>
        </w:rPr>
        <w:t xml:space="preserve">     /。       </w:t>
      </w:r>
    </w:p>
    <w:p w14:paraId="657B0586">
      <w:pPr>
        <w:spacing w:line="420" w:lineRule="exact"/>
        <w:ind w:firstLine="960" w:firstLine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（2）不可抗力的等级范围约定：指不能预见、不能避免并不能克服的客观情况。本合同双方约定为10级（不含本数）以上大风和5级（不含本数）以上地震；以国家、省、市气象局或地震局公布信息为准。</w:t>
      </w:r>
    </w:p>
    <w:p w14:paraId="4F2F1405">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32. 保险</w:t>
      </w:r>
      <w:bookmarkEnd w:id="629"/>
      <w:bookmarkEnd w:id="630"/>
    </w:p>
    <w:p w14:paraId="5BD4B7E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32.1 委托承包人办理保险的事项有：</w:t>
      </w:r>
    </w:p>
    <w:p w14:paraId="1FC087A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通用条款第32.1款的第（1）项；</w:t>
      </w:r>
    </w:p>
    <w:p w14:paraId="2C0D5D8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通用条款第32.1款的第（2）项；</w:t>
      </w:r>
    </w:p>
    <w:p w14:paraId="0993419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通用条款第32.1款的第（3）项。</w:t>
      </w:r>
    </w:p>
    <w:p w14:paraId="64FEFB9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32.8 投保内容、保险金、保险期限和责任等事项的约定：</w:t>
      </w:r>
      <w:bookmarkStart w:id="631" w:name="_Toc10624944"/>
      <w:bookmarkStart w:id="632" w:name="_Toc469384100"/>
    </w:p>
    <w:p w14:paraId="1F4CD37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投保人为承包人，通用条款第32.1款的第（1）、（3）项由发包人委托承包人办理的保险，承包人应当在对应的不可竞争性费用预算范围内办理，并在办理前报发包人确认；通用条款第32.2款由承包人办理的保险，保险费用已包含在合同价款中。</w:t>
      </w:r>
    </w:p>
    <w:p w14:paraId="3512BDD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（2）保险期限：工程质量保险自工程开工之日起至工程缺陷责任期终止证书颁发之日止；其余保险自工程开工之日起至工程竣工验收合格之日止。</w:t>
      </w:r>
    </w:p>
    <w:p w14:paraId="63D27B0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（3）承包人应在工程开工前完成办理，并于办理后</w:t>
      </w:r>
      <w:permStart w:id="214" w:edGrp="everyone"/>
      <w:r>
        <w:rPr>
          <w:rFonts w:hint="eastAsia" w:ascii="仿宋_GB2312" w:hAnsi="仿宋_GB2312" w:eastAsia="仿宋_GB2312" w:cs="仿宋_GB2312"/>
          <w:color w:val="auto"/>
          <w:kern w:val="0"/>
          <w:sz w:val="24"/>
          <w:szCs w:val="24"/>
          <w:highlight w:val="none"/>
          <w:u w:val="single"/>
        </w:rPr>
        <w:t xml:space="preserve"> 5 </w:t>
      </w:r>
      <w:permEnd w:id="214"/>
      <w:r>
        <w:rPr>
          <w:rFonts w:hint="eastAsia" w:ascii="仿宋_GB2312" w:hAnsi="仿宋_GB2312" w:eastAsia="仿宋_GB2312" w:cs="仿宋_GB2312"/>
          <w:color w:val="auto"/>
          <w:kern w:val="0"/>
          <w:sz w:val="24"/>
          <w:szCs w:val="24"/>
          <w:highlight w:val="none"/>
        </w:rPr>
        <w:t>日内将办理保险的相关资料及情况向发包人备案，否则，承包人应向发包人支付合同价的</w:t>
      </w:r>
      <w:permStart w:id="215" w:edGrp="everyone"/>
      <w:r>
        <w:rPr>
          <w:rFonts w:hint="eastAsia" w:ascii="仿宋_GB2312" w:hAnsi="仿宋_GB2312" w:eastAsia="仿宋_GB2312" w:cs="仿宋_GB2312"/>
          <w:color w:val="auto"/>
          <w:kern w:val="0"/>
          <w:sz w:val="24"/>
          <w:szCs w:val="24"/>
          <w:highlight w:val="none"/>
          <w:u w:val="single"/>
        </w:rPr>
        <w:t xml:space="preserve"> 10% </w:t>
      </w:r>
      <w:permEnd w:id="215"/>
      <w:r>
        <w:rPr>
          <w:rFonts w:hint="eastAsia" w:ascii="仿宋_GB2312" w:hAnsi="仿宋_GB2312" w:eastAsia="仿宋_GB2312" w:cs="仿宋_GB2312"/>
          <w:color w:val="auto"/>
          <w:kern w:val="0"/>
          <w:sz w:val="24"/>
          <w:szCs w:val="24"/>
          <w:highlight w:val="none"/>
        </w:rPr>
        <w:t>（不高于100万元）作为违约金。由于承包人未按本条约定办理保险，导致受益人未能得到保险人的赔偿，则该项保险赔偿金由承包人支付。</w:t>
      </w:r>
    </w:p>
    <w:p w14:paraId="0929AD59">
      <w:pPr>
        <w:spacing w:line="420" w:lineRule="exact"/>
        <w:ind w:firstLine="480" w:firstLineChars="200"/>
        <w:rPr>
          <w:rFonts w:hint="eastAsia" w:ascii="仿宋_GB2312" w:hAnsi="仿宋_GB2312" w:eastAsia="仿宋_GB2312" w:cs="仿宋_GB2312"/>
          <w:color w:val="auto"/>
          <w:kern w:val="0"/>
          <w:sz w:val="24"/>
          <w:szCs w:val="24"/>
          <w:highlight w:val="none"/>
        </w:rPr>
      </w:pPr>
    </w:p>
    <w:p w14:paraId="0186FE7B">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33. 进度计划和报告</w:t>
      </w:r>
      <w:bookmarkEnd w:id="631"/>
      <w:bookmarkEnd w:id="632"/>
    </w:p>
    <w:p w14:paraId="26E882D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33.1 提交工程进度计划</w:t>
      </w:r>
    </w:p>
    <w:p w14:paraId="146547C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（1）承包人应当在收到监理工程师发出的开工通知后</w:t>
      </w:r>
      <w:permStart w:id="216" w:edGrp="everyone"/>
      <w:r>
        <w:rPr>
          <w:rFonts w:hint="eastAsia" w:ascii="仿宋_GB2312" w:hAnsi="仿宋_GB2312" w:eastAsia="仿宋_GB2312" w:cs="仿宋_GB2312"/>
          <w:color w:val="auto"/>
          <w:kern w:val="0"/>
          <w:sz w:val="24"/>
          <w:szCs w:val="24"/>
          <w:highlight w:val="none"/>
          <w:u w:val="single"/>
        </w:rPr>
        <w:t xml:space="preserve"> 7天 </w:t>
      </w:r>
      <w:permEnd w:id="216"/>
      <w:r>
        <w:rPr>
          <w:rFonts w:hint="eastAsia" w:ascii="仿宋_GB2312" w:hAnsi="仿宋_GB2312" w:eastAsia="仿宋_GB2312" w:cs="仿宋_GB2312"/>
          <w:color w:val="auto"/>
          <w:kern w:val="0"/>
          <w:sz w:val="24"/>
          <w:szCs w:val="24"/>
          <w:highlight w:val="none"/>
        </w:rPr>
        <w:t>内，编制详细的施工组织设计和施工进度计划并报送监理工程师和发包人审批。承包人编制施工组织设计和施工进度计划的内容：</w:t>
      </w:r>
      <w:permStart w:id="217" w:edGrp="everyone"/>
      <w:r>
        <w:rPr>
          <w:rFonts w:hint="eastAsia" w:ascii="仿宋_GB2312" w:hAnsi="仿宋_GB2312" w:eastAsia="仿宋_GB2312" w:cs="仿宋_GB2312"/>
          <w:color w:val="auto"/>
          <w:kern w:val="0"/>
          <w:sz w:val="24"/>
          <w:szCs w:val="24"/>
          <w:highlight w:val="none"/>
          <w:u w:val="single"/>
        </w:rPr>
        <w:t xml:space="preserve"> 按有关规定、规范要求编制，包括但不限于施工组织方案、地下管线设施保护专项方案、双重预防机制工作方案、安全文明施工措施费用使用计划。三防专项方案、进度计划控制进度控制、施工机具进场及使用管理制度、生产安全应急救援预案、专项交通疏导方案、施工现场安全防护设施搭设(设置)计划、</w:t>
      </w:r>
      <w:r>
        <w:rPr>
          <w:rFonts w:hint="eastAsia" w:ascii="仿宋_GB2312" w:hAnsi="仿宋_GB2312" w:eastAsia="仿宋_GB2312" w:cs="仿宋_GB2312"/>
          <w:color w:val="auto"/>
          <w:kern w:val="0"/>
          <w:sz w:val="24"/>
          <w:szCs w:val="24"/>
          <w:highlight w:val="none"/>
          <w:u w:val="single"/>
        </w:rPr>
        <w:t>安全生产设施预评估报告、涉及桥梁道路等专项安全评估方案、深基坑作业及监测方案</w:t>
      </w:r>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rPr>
        <w:t xml:space="preserve">夜间施工方案、占道施工事前、事中宣传告知方案等 </w:t>
      </w:r>
      <w:permEnd w:id="217"/>
      <w:r>
        <w:rPr>
          <w:rFonts w:hint="eastAsia" w:ascii="仿宋_GB2312" w:hAnsi="仿宋_GB2312" w:eastAsia="仿宋_GB2312" w:cs="仿宋_GB2312"/>
          <w:color w:val="auto"/>
          <w:kern w:val="0"/>
          <w:sz w:val="24"/>
          <w:szCs w:val="24"/>
          <w:highlight w:val="none"/>
        </w:rPr>
        <w:t>，施工进度计划中还应载明要求发包人组织设计人进行阶段性工程设计交底的时间，并于每月15日前报送下月“工程进度计划表”。</w:t>
      </w:r>
    </w:p>
    <w:p w14:paraId="5E580EC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（2）监理工程师批复或对施工组织设计和施工进度计划提出修改意见的期限：自监理工程师收到承包人报送的相关施工组织设计和进度计划后5天内，并于每月18日前批复“工程进度计划表”。</w:t>
      </w:r>
    </w:p>
    <w:p w14:paraId="6439372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（3）承包人编制分阶段或分项施工进度计划的内容：</w:t>
      </w:r>
      <w:permStart w:id="21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在合同总进度计划基础上编制，包括分阶段或分部分项工程的施工进度计划编制说明、施工进度计划表(包括总进度及分进度)、分阶段或分部分项项工程的计划分析及控制措施、网络计划及控制节点等内容;施工方案包括分阶段或分部分项工程概况、施工部署方案、施工工序流程及布置图、分部分项工程的施工方案、机械人员投入计划及应急预案等内容</w:t>
      </w:r>
      <w:r>
        <w:rPr>
          <w:rFonts w:hint="eastAsia" w:ascii="仿宋_GB2312" w:hAnsi="仿宋_GB2312" w:eastAsia="仿宋_GB2312" w:cs="仿宋_GB2312"/>
          <w:color w:val="auto"/>
          <w:kern w:val="0"/>
          <w:sz w:val="24"/>
          <w:szCs w:val="24"/>
          <w:highlight w:val="none"/>
          <w:u w:val="single"/>
        </w:rPr>
        <w:t xml:space="preserve"> </w:t>
      </w:r>
      <w:permEnd w:id="218"/>
      <w:r>
        <w:rPr>
          <w:rFonts w:hint="eastAsia" w:ascii="仿宋_GB2312" w:hAnsi="仿宋_GB2312" w:eastAsia="仿宋_GB2312" w:cs="仿宋_GB2312"/>
          <w:color w:val="auto"/>
          <w:kern w:val="0"/>
          <w:sz w:val="24"/>
          <w:szCs w:val="24"/>
          <w:highlight w:val="none"/>
        </w:rPr>
        <w:t>。</w:t>
      </w:r>
    </w:p>
    <w:p w14:paraId="3D3DC38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承包人报送分阶段或分项施工进度计划的期限：</w:t>
      </w:r>
      <w:permStart w:id="21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开工前</w:t>
      </w:r>
      <w:r>
        <w:rPr>
          <w:rFonts w:hint="eastAsia" w:ascii="仿宋_GB2312" w:hAnsi="仿宋_GB2312" w:eastAsia="仿宋_GB2312" w:cs="仿宋_GB2312"/>
          <w:color w:val="auto"/>
          <w:kern w:val="0"/>
          <w:sz w:val="24"/>
          <w:szCs w:val="24"/>
          <w:highlight w:val="none"/>
          <w:u w:val="single"/>
          <w:lang w:val="en-US" w:eastAsia="zh-CN"/>
        </w:rPr>
        <w:t>7天内</w:t>
      </w:r>
      <w:r>
        <w:rPr>
          <w:rFonts w:hint="eastAsia" w:ascii="仿宋_GB2312" w:hAnsi="仿宋_GB2312" w:eastAsia="仿宋_GB2312" w:cs="仿宋_GB2312"/>
          <w:color w:val="auto"/>
          <w:kern w:val="0"/>
          <w:sz w:val="24"/>
          <w:szCs w:val="24"/>
          <w:highlight w:val="none"/>
          <w:u w:val="single"/>
        </w:rPr>
        <w:t xml:space="preserve"> </w:t>
      </w:r>
      <w:permEnd w:id="219"/>
      <w:r>
        <w:rPr>
          <w:rFonts w:hint="eastAsia" w:ascii="仿宋_GB2312" w:hAnsi="仿宋_GB2312" w:eastAsia="仿宋_GB2312" w:cs="仿宋_GB2312"/>
          <w:color w:val="auto"/>
          <w:kern w:val="0"/>
          <w:sz w:val="24"/>
          <w:szCs w:val="24"/>
          <w:highlight w:val="none"/>
        </w:rPr>
        <w:t>。</w:t>
      </w:r>
    </w:p>
    <w:p w14:paraId="474C7B3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（4）单位工程分期进行施工的，承包人应按照发包人提供图纸及有关资料的时间，按单位工程编制进度计划。有关进度计划的要求：按单位工程编制进度计划执行。</w:t>
      </w:r>
    </w:p>
    <w:p w14:paraId="01D0A9C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开工前提供的施工组织设计和施工总进度计划必须详细、全面、切实可行且符合总工期的要求，并且应充分考虑气候、机械设备、各种材料、劳动力、现场条件与状况等一切足以影响工期的因素。经监理工程师和发包人确认的施工组织设计和施工总进度计划开始实施后，除不可抗力或经发包人批准外，将不予调整。</w:t>
      </w:r>
    </w:p>
    <w:p w14:paraId="6075695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承包人编制的实施性施工组织设计（施工方案）应切实可行，满足发包人对该工程质量及工期的要求，并不得违反国家及政府有关部门关于安全施工、文明施工和环境保护的相关规定。若与相关规定相抵触或因此而产生其他任何不良后果，即使该施工组织设计（施工方案）得到监理工程师、发包人的认可，承包人仍须承担由此而引至的一切经济赔偿、损失和法律责任。</w:t>
      </w:r>
    </w:p>
    <w:p w14:paraId="50E9F05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应当加强计划管理，严格按照监理工程师确认的施工组织设计（施工方案）和工程进度计划组织施工，并接受监理工程师对工程进度的检查、监督。为便于监理工程师掌握和控制工期，承包人应于每月20日前向监理工程师填报工程（含各分部、分项工程）的当月进度计划完成情况（未完成计划的必须说明原因），并在此基础上更新工程进度计划、资金计划和其它工作计划。监理工程师在接到报告后应当予以确认或提出书面意见，承包人必须按照监理工程师的确认或者书面意见执行。</w:t>
      </w:r>
    </w:p>
    <w:p w14:paraId="286D7645">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33.3 承包人编制月度施工进度报告和修订进度计划的约定：</w:t>
      </w:r>
      <w:permStart w:id="22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承包人接到发包方书面通知规定的时间内必须完成施工进度计划或修订进度计划。发包人提供正式的施工图纸、设计交底和移交施工场地后的15天内承包人提交符合本工程特点且具有可操作性的总施工组织设计（包含总进度计划，总进度计划用时标网络图及横道图表示），同时在每月的25日提供月进度计划报表。</w:t>
      </w:r>
    </w:p>
    <w:p w14:paraId="18C0C7EC">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承包人应当加强计划管理，严格按照</w:t>
      </w:r>
      <w:r>
        <w:rPr>
          <w:rFonts w:hint="eastAsia" w:ascii="仿宋_GB2312" w:hAnsi="仿宋_GB2312" w:eastAsia="仿宋_GB2312" w:cs="仿宋_GB2312"/>
          <w:color w:val="auto"/>
          <w:kern w:val="0"/>
          <w:sz w:val="24"/>
          <w:szCs w:val="24"/>
          <w:highlight w:val="none"/>
          <w:u w:val="single"/>
          <w:lang w:eastAsia="zh-CN"/>
        </w:rPr>
        <w:t>监理</w:t>
      </w:r>
      <w:r>
        <w:rPr>
          <w:rFonts w:hint="eastAsia" w:ascii="仿宋_GB2312" w:hAnsi="仿宋_GB2312" w:eastAsia="仿宋_GB2312" w:cs="仿宋_GB2312"/>
          <w:color w:val="auto"/>
          <w:kern w:val="0"/>
          <w:sz w:val="24"/>
          <w:szCs w:val="24"/>
          <w:highlight w:val="none"/>
          <w:u w:val="single"/>
        </w:rPr>
        <w:t>工程师确认的工程进度计划组织施工，并接受</w:t>
      </w:r>
      <w:r>
        <w:rPr>
          <w:rFonts w:hint="eastAsia" w:ascii="仿宋_GB2312" w:hAnsi="仿宋_GB2312" w:eastAsia="仿宋_GB2312" w:cs="仿宋_GB2312"/>
          <w:color w:val="auto"/>
          <w:kern w:val="0"/>
          <w:sz w:val="24"/>
          <w:szCs w:val="24"/>
          <w:highlight w:val="none"/>
          <w:u w:val="single"/>
          <w:lang w:eastAsia="zh-CN"/>
        </w:rPr>
        <w:t>监理</w:t>
      </w:r>
      <w:r>
        <w:rPr>
          <w:rFonts w:hint="eastAsia" w:ascii="仿宋_GB2312" w:hAnsi="仿宋_GB2312" w:eastAsia="仿宋_GB2312" w:cs="仿宋_GB2312"/>
          <w:color w:val="auto"/>
          <w:kern w:val="0"/>
          <w:sz w:val="24"/>
          <w:szCs w:val="24"/>
          <w:highlight w:val="none"/>
          <w:u w:val="single"/>
        </w:rPr>
        <w:t>工程师</w:t>
      </w:r>
      <w:r>
        <w:rPr>
          <w:rFonts w:hint="eastAsia" w:ascii="仿宋_GB2312" w:hAnsi="仿宋_GB2312" w:eastAsia="仿宋_GB2312" w:cs="仿宋_GB2312"/>
          <w:color w:val="auto"/>
          <w:kern w:val="0"/>
          <w:sz w:val="24"/>
          <w:szCs w:val="24"/>
          <w:highlight w:val="none"/>
          <w:u w:val="single"/>
          <w:lang w:eastAsia="zh-CN"/>
        </w:rPr>
        <w:t>和发包人</w:t>
      </w:r>
      <w:r>
        <w:rPr>
          <w:rFonts w:hint="eastAsia" w:ascii="仿宋_GB2312" w:hAnsi="仿宋_GB2312" w:eastAsia="仿宋_GB2312" w:cs="仿宋_GB2312"/>
          <w:color w:val="auto"/>
          <w:kern w:val="0"/>
          <w:sz w:val="24"/>
          <w:szCs w:val="24"/>
          <w:highlight w:val="none"/>
          <w:u w:val="single"/>
        </w:rPr>
        <w:t>对工程进度的检查、监督。</w:t>
      </w:r>
    </w:p>
    <w:p w14:paraId="600675F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u w:val="single"/>
        </w:rPr>
        <w:t>为了便于</w:t>
      </w:r>
      <w:r>
        <w:rPr>
          <w:rFonts w:hint="eastAsia" w:ascii="仿宋_GB2312" w:hAnsi="仿宋_GB2312" w:eastAsia="仿宋_GB2312" w:cs="仿宋_GB2312"/>
          <w:color w:val="auto"/>
          <w:kern w:val="0"/>
          <w:sz w:val="24"/>
          <w:szCs w:val="24"/>
          <w:highlight w:val="none"/>
          <w:u w:val="single"/>
          <w:lang w:eastAsia="zh-CN"/>
        </w:rPr>
        <w:t>监理</w:t>
      </w:r>
      <w:r>
        <w:rPr>
          <w:rFonts w:hint="eastAsia" w:ascii="仿宋_GB2312" w:hAnsi="仿宋_GB2312" w:eastAsia="仿宋_GB2312" w:cs="仿宋_GB2312"/>
          <w:color w:val="auto"/>
          <w:kern w:val="0"/>
          <w:sz w:val="24"/>
          <w:szCs w:val="24"/>
          <w:highlight w:val="none"/>
          <w:u w:val="single"/>
        </w:rPr>
        <w:t>工程师</w:t>
      </w:r>
      <w:r>
        <w:rPr>
          <w:rFonts w:hint="eastAsia" w:ascii="仿宋_GB2312" w:hAnsi="仿宋_GB2312" w:eastAsia="仿宋_GB2312" w:cs="仿宋_GB2312"/>
          <w:color w:val="auto"/>
          <w:kern w:val="0"/>
          <w:sz w:val="24"/>
          <w:szCs w:val="24"/>
          <w:highlight w:val="none"/>
          <w:u w:val="single"/>
          <w:lang w:eastAsia="zh-CN"/>
        </w:rPr>
        <w:t>和发包人</w:t>
      </w:r>
      <w:r>
        <w:rPr>
          <w:rFonts w:hint="eastAsia" w:ascii="仿宋_GB2312" w:hAnsi="仿宋_GB2312" w:eastAsia="仿宋_GB2312" w:cs="仿宋_GB2312"/>
          <w:color w:val="auto"/>
          <w:kern w:val="0"/>
          <w:sz w:val="24"/>
          <w:szCs w:val="24"/>
          <w:highlight w:val="none"/>
          <w:u w:val="single"/>
        </w:rPr>
        <w:t>掌握和控制工期，承包人应于每月25日前向</w:t>
      </w:r>
      <w:r>
        <w:rPr>
          <w:rFonts w:hint="eastAsia" w:ascii="仿宋_GB2312" w:hAnsi="仿宋_GB2312" w:eastAsia="仿宋_GB2312" w:cs="仿宋_GB2312"/>
          <w:color w:val="auto"/>
          <w:kern w:val="0"/>
          <w:sz w:val="24"/>
          <w:szCs w:val="24"/>
          <w:highlight w:val="none"/>
          <w:u w:val="single"/>
          <w:lang w:eastAsia="zh-CN"/>
        </w:rPr>
        <w:t>监理</w:t>
      </w:r>
      <w:r>
        <w:rPr>
          <w:rFonts w:hint="eastAsia" w:ascii="仿宋_GB2312" w:hAnsi="仿宋_GB2312" w:eastAsia="仿宋_GB2312" w:cs="仿宋_GB2312"/>
          <w:color w:val="auto"/>
          <w:kern w:val="0"/>
          <w:sz w:val="24"/>
          <w:szCs w:val="24"/>
          <w:highlight w:val="none"/>
          <w:u w:val="single"/>
        </w:rPr>
        <w:t>工程师填报工程（含各分部、分项工程）的当月进度计划完成情况（未完成计划的必须说明原因），并在此基础上更新工程进度计划、资金计划和其它工作计划。</w:t>
      </w:r>
      <w:r>
        <w:rPr>
          <w:rFonts w:hint="eastAsia" w:ascii="仿宋_GB2312" w:hAnsi="仿宋_GB2312" w:eastAsia="仿宋_GB2312" w:cs="仿宋_GB2312"/>
          <w:color w:val="auto"/>
          <w:kern w:val="0"/>
          <w:sz w:val="24"/>
          <w:szCs w:val="24"/>
          <w:highlight w:val="none"/>
          <w:u w:val="single"/>
          <w:lang w:eastAsia="zh-CN"/>
        </w:rPr>
        <w:t>监理</w:t>
      </w:r>
      <w:r>
        <w:rPr>
          <w:rFonts w:hint="eastAsia" w:ascii="仿宋_GB2312" w:hAnsi="仿宋_GB2312" w:eastAsia="仿宋_GB2312" w:cs="仿宋_GB2312"/>
          <w:color w:val="auto"/>
          <w:kern w:val="0"/>
          <w:sz w:val="24"/>
          <w:szCs w:val="24"/>
          <w:highlight w:val="none"/>
          <w:u w:val="single"/>
        </w:rPr>
        <w:t>工程师在接到报告后应当予以确认或提出书面意见，承包人必须按照</w:t>
      </w:r>
      <w:r>
        <w:rPr>
          <w:rFonts w:hint="eastAsia" w:ascii="仿宋_GB2312" w:hAnsi="仿宋_GB2312" w:eastAsia="仿宋_GB2312" w:cs="仿宋_GB2312"/>
          <w:color w:val="auto"/>
          <w:kern w:val="0"/>
          <w:sz w:val="24"/>
          <w:szCs w:val="24"/>
          <w:highlight w:val="none"/>
          <w:u w:val="single"/>
          <w:lang w:eastAsia="zh-CN"/>
        </w:rPr>
        <w:t>监理</w:t>
      </w:r>
      <w:r>
        <w:rPr>
          <w:rFonts w:hint="eastAsia" w:ascii="仿宋_GB2312" w:hAnsi="仿宋_GB2312" w:eastAsia="仿宋_GB2312" w:cs="仿宋_GB2312"/>
          <w:color w:val="auto"/>
          <w:kern w:val="0"/>
          <w:sz w:val="24"/>
          <w:szCs w:val="24"/>
          <w:highlight w:val="none"/>
          <w:u w:val="single"/>
        </w:rPr>
        <w:t>工程师的确认或者书面意见执行。</w:t>
      </w:r>
      <w:r>
        <w:rPr>
          <w:rFonts w:hint="eastAsia" w:ascii="仿宋_GB2312" w:hAnsi="仿宋_GB2312" w:eastAsia="仿宋_GB2312" w:cs="仿宋_GB2312"/>
          <w:color w:val="auto"/>
          <w:kern w:val="0"/>
          <w:sz w:val="24"/>
          <w:szCs w:val="24"/>
          <w:highlight w:val="none"/>
          <w:u w:val="single"/>
        </w:rPr>
        <w:t xml:space="preserve"> </w:t>
      </w:r>
      <w:permEnd w:id="220"/>
      <w:r>
        <w:rPr>
          <w:rFonts w:hint="eastAsia" w:ascii="仿宋_GB2312" w:hAnsi="仿宋_GB2312" w:eastAsia="仿宋_GB2312" w:cs="仿宋_GB2312"/>
          <w:color w:val="auto"/>
          <w:kern w:val="0"/>
          <w:sz w:val="24"/>
          <w:szCs w:val="24"/>
          <w:highlight w:val="none"/>
          <w:u w:val="single"/>
        </w:rPr>
        <w:t xml:space="preserve">     </w:t>
      </w:r>
    </w:p>
    <w:p w14:paraId="6BFEBC1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33.4 如果监理工程师指出承包人的实际进度和经确认的计划进度不符时，承包人应按照监理工程师的要求提出改进措施，经监理工程师确认后执行。因承包人的原因导致实际进度迟于计划进度的，承包人非但无权就改进措施要求发包人支付任何附加费用，且应按照第66.2款规定向发包人支付由此产生的误期赔偿费。工程进度计划即使经监理工程师确认，也不能免除承包人按照合同约定应承担的任何责任和应履行的任何义务。如承包人未能在监理工程师发布指令后10天内采取有效措施，工程进度仍然无明显改进，发包人有权解除部分或全部合同，将未完工程另行发包或者划拨给其他有能力的第三方，承包人必须无条件服从，由此所造成的损失全部由承包人承担，并不免除承包人的违约赔偿责任。有关部分或全部解除合同按第87条的约定执行。</w:t>
      </w:r>
    </w:p>
    <w:p w14:paraId="48D65F1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（1）承包人报送修订合同进度计划申请报告和相关资料的期限：</w:t>
      </w:r>
      <w:permStart w:id="22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经总监理工程师同意后15个工作日</w:t>
      </w:r>
      <w:r>
        <w:rPr>
          <w:rFonts w:hint="eastAsia" w:ascii="仿宋_GB2312" w:hAnsi="仿宋_GB2312" w:eastAsia="仿宋_GB2312" w:cs="仿宋_GB2312"/>
          <w:color w:val="auto"/>
          <w:kern w:val="0"/>
          <w:sz w:val="24"/>
          <w:szCs w:val="24"/>
          <w:highlight w:val="none"/>
          <w:u w:val="single"/>
        </w:rPr>
        <w:t xml:space="preserve"> </w:t>
      </w:r>
      <w:permEnd w:id="221"/>
      <w:r>
        <w:rPr>
          <w:rFonts w:hint="eastAsia" w:ascii="仿宋_GB2312" w:hAnsi="仿宋_GB2312" w:eastAsia="仿宋_GB2312" w:cs="仿宋_GB2312"/>
          <w:color w:val="auto"/>
          <w:kern w:val="0"/>
          <w:sz w:val="24"/>
          <w:szCs w:val="24"/>
          <w:highlight w:val="none"/>
        </w:rPr>
        <w:t>。</w:t>
      </w:r>
    </w:p>
    <w:p w14:paraId="1EF4A5A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（2）监理工程师批复修订合同进度计划申请报告的期限：</w:t>
      </w:r>
      <w:permStart w:id="22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收到申请报告后7日内</w:t>
      </w:r>
      <w:r>
        <w:rPr>
          <w:rFonts w:hint="eastAsia" w:ascii="仿宋_GB2312" w:hAnsi="仿宋_GB2312" w:eastAsia="仿宋_GB2312" w:cs="仿宋_GB2312"/>
          <w:color w:val="auto"/>
          <w:kern w:val="0"/>
          <w:sz w:val="24"/>
          <w:szCs w:val="24"/>
          <w:highlight w:val="none"/>
          <w:u w:val="single"/>
        </w:rPr>
        <w:t xml:space="preserve"> </w:t>
      </w:r>
      <w:permEnd w:id="222"/>
      <w:r>
        <w:rPr>
          <w:rFonts w:hint="eastAsia" w:ascii="仿宋_GB2312" w:hAnsi="仿宋_GB2312" w:eastAsia="仿宋_GB2312" w:cs="仿宋_GB2312"/>
          <w:color w:val="auto"/>
          <w:kern w:val="0"/>
          <w:sz w:val="24"/>
          <w:szCs w:val="24"/>
          <w:highlight w:val="none"/>
        </w:rPr>
        <w:t>。</w:t>
      </w:r>
    </w:p>
    <w:p w14:paraId="0461BABB">
      <w:pPr>
        <w:numPr>
          <w:ilvl w:val="255"/>
          <w:numId w:val="0"/>
        </w:numPr>
        <w:spacing w:line="42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rPr>
        <w:t>（3）监理工程师批复修订合同进度计划的期限：</w:t>
      </w:r>
      <w:permStart w:id="22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批复申请报告后7日内</w:t>
      </w:r>
      <w:r>
        <w:rPr>
          <w:rFonts w:hint="eastAsia" w:ascii="仿宋_GB2312" w:hAnsi="仿宋_GB2312" w:eastAsia="仿宋_GB2312" w:cs="仿宋_GB2312"/>
          <w:color w:val="auto"/>
          <w:kern w:val="0"/>
          <w:sz w:val="24"/>
          <w:szCs w:val="24"/>
          <w:highlight w:val="none"/>
          <w:u w:val="single"/>
        </w:rPr>
        <w:t xml:space="preserve"> </w:t>
      </w:r>
      <w:permEnd w:id="223"/>
      <w:r>
        <w:rPr>
          <w:rFonts w:hint="eastAsia" w:ascii="仿宋_GB2312" w:hAnsi="仿宋_GB2312" w:eastAsia="仿宋_GB2312" w:cs="仿宋_GB2312"/>
          <w:color w:val="auto"/>
          <w:kern w:val="0"/>
          <w:sz w:val="24"/>
          <w:szCs w:val="24"/>
          <w:highlight w:val="none"/>
        </w:rPr>
        <w:t>。</w:t>
      </w:r>
      <w:bookmarkStart w:id="633" w:name="_Toc469384101"/>
      <w:bookmarkStart w:id="634" w:name="_Toc10624945"/>
    </w:p>
    <w:p w14:paraId="7784C1E7">
      <w:pPr>
        <w:widowControl w:val="0"/>
        <w:numPr>
          <w:ilvl w:val="0"/>
          <w:numId w:val="0"/>
        </w:numPr>
        <w:tabs>
          <w:tab w:val="left" w:pos="420"/>
          <w:tab w:val="left" w:pos="576"/>
        </w:tabs>
        <w:spacing w:before="260" w:line="420" w:lineRule="exact"/>
        <w:ind w:left="576" w:firstLine="120" w:firstLineChars="50"/>
        <w:jc w:val="left"/>
        <w:outlineLvl w:val="1"/>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SA"/>
        </w:rPr>
        <w:t>34. 开工</w:t>
      </w:r>
      <w:bookmarkEnd w:id="633"/>
      <w:bookmarkEnd w:id="634"/>
    </w:p>
    <w:p w14:paraId="4994C15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34.2 监理工程师在本合同签订后的（</w:t>
      </w:r>
      <w:permStart w:id="224"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 xml:space="preserve">  </w:t>
      </w:r>
      <w:permEnd w:id="224"/>
      <w:r>
        <w:rPr>
          <w:rFonts w:hint="eastAsia" w:ascii="仿宋_GB2312" w:hAnsi="仿宋_GB2312" w:eastAsia="仿宋_GB2312" w:cs="仿宋_GB2312"/>
          <w:color w:val="auto"/>
          <w:kern w:val="0"/>
          <w:sz w:val="24"/>
          <w:szCs w:val="24"/>
          <w:highlight w:val="none"/>
        </w:rPr>
        <w:t>）天内签发开工令。</w:t>
      </w:r>
    </w:p>
    <w:p w14:paraId="14150128">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按通用条款规定的时间。</w:t>
      </w:r>
    </w:p>
    <w:p w14:paraId="125DC180">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根据发包人要求出具开工令</w:t>
      </w:r>
      <w:r>
        <w:rPr>
          <w:rFonts w:hint="eastAsia" w:ascii="仿宋_GB2312" w:hAnsi="仿宋_GB2312" w:eastAsia="仿宋_GB2312" w:cs="仿宋_GB2312"/>
          <w:color w:val="auto"/>
          <w:kern w:val="0"/>
          <w:sz w:val="24"/>
          <w:szCs w:val="24"/>
          <w:highlight w:val="none"/>
          <w:u w:val="single"/>
        </w:rPr>
        <w:t xml:space="preserve">       </w:t>
      </w:r>
    </w:p>
    <w:p w14:paraId="1540CC41">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35" w:name="_Toc469384102"/>
      <w:bookmarkStart w:id="636" w:name="_Toc10624946"/>
      <w:r>
        <w:rPr>
          <w:rFonts w:hint="eastAsia" w:ascii="仿宋_GB2312" w:hAnsi="仿宋_GB2312" w:eastAsia="仿宋_GB2312" w:cs="仿宋_GB2312"/>
          <w:color w:val="auto"/>
          <w:kern w:val="0"/>
          <w:sz w:val="24"/>
          <w:szCs w:val="24"/>
          <w:highlight w:val="none"/>
        </w:rPr>
        <w:t xml:space="preserve">34.3 </w:t>
      </w:r>
      <w:r>
        <w:rPr>
          <w:rFonts w:hint="eastAsia" w:ascii="仿宋_GB2312" w:hAnsi="仿宋_GB2312" w:eastAsia="仿宋_GB2312" w:cs="仿宋_GB2312"/>
          <w:color w:val="auto"/>
          <w:sz w:val="24"/>
          <w:szCs w:val="24"/>
          <w:highlight w:val="none"/>
        </w:rPr>
        <w:t>因承包人原因不能按照协议书约定的开工日期开工，承包人不迟于协议书约定的开工日期前7天，以书面形式向监理工程师提出延期开工的理由和要求。监理工程师应当在接到延期开工申请后的24小时内以书面形式报送发包人，征得发包人书面同意后，工期方能相应顺延。若监理工程师不同意延期要求或承包人未在规定时间内提出延期开工要求，工期不予顺延。</w:t>
      </w:r>
    </w:p>
    <w:p w14:paraId="44F65F83">
      <w:pPr>
        <w:spacing w:line="420" w:lineRule="exact"/>
        <w:rPr>
          <w:rFonts w:hint="eastAsia" w:ascii="仿宋_GB2312" w:hAnsi="仿宋_GB2312" w:eastAsia="仿宋_GB2312" w:cs="仿宋_GB2312"/>
          <w:b/>
          <w:bCs/>
          <w:color w:val="auto"/>
          <w:sz w:val="24"/>
          <w:szCs w:val="24"/>
          <w:highlight w:val="none"/>
        </w:rPr>
      </w:pPr>
    </w:p>
    <w:p w14:paraId="3931724A">
      <w:p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sz w:val="24"/>
          <w:szCs w:val="24"/>
          <w:highlight w:val="none"/>
        </w:rPr>
        <w:t>35.暂停施工和复工</w:t>
      </w:r>
      <w:bookmarkEnd w:id="635"/>
      <w:bookmarkEnd w:id="636"/>
    </w:p>
    <w:p w14:paraId="154271F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35.4 承包人原因造成暂停施工的其他原因：</w:t>
      </w:r>
    </w:p>
    <w:p w14:paraId="2F426AE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（1）质量事故；</w:t>
      </w:r>
    </w:p>
    <w:p w14:paraId="4D46EBA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（2）安全生产事故；</w:t>
      </w:r>
    </w:p>
    <w:p w14:paraId="3C82559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（3）拒绝监理工程师管理；</w:t>
      </w:r>
    </w:p>
    <w:p w14:paraId="1F5922A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（4）施工组织计划（方案）未获监理工程师批准而进行施工；</w:t>
      </w:r>
    </w:p>
    <w:p w14:paraId="1416C75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（5）未经监理工程师检验而进行下一道工序作业者；</w:t>
      </w:r>
    </w:p>
    <w:p w14:paraId="4D986DB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（6）擅自采用未经监理工程师及发包人认可获批准的材料，或者使用的原材料、构配件不合格或未经检查确认，或者擅自采用未经认可的代用材料的；</w:t>
      </w:r>
    </w:p>
    <w:p w14:paraId="67BA6E1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（7）擅自变更实际图纸的要求；</w:t>
      </w:r>
    </w:p>
    <w:p w14:paraId="06F4B3E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（8）转包工程；</w:t>
      </w:r>
    </w:p>
    <w:p w14:paraId="06A82C6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（9）未经监理工程师、发包人同意，擅自让分包单位进场作业；</w:t>
      </w:r>
    </w:p>
    <w:p w14:paraId="0461950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（10）存在安全隐患，未按监理工程师要求及时进行整改。</w:t>
      </w:r>
    </w:p>
    <w:p w14:paraId="3592736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35.7 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637" w:name="_Toc469384103"/>
      <w:bookmarkStart w:id="638" w:name="_Toc10624947"/>
    </w:p>
    <w:p w14:paraId="16168145">
      <w:pPr>
        <w:spacing w:line="420" w:lineRule="exact"/>
        <w:rPr>
          <w:rFonts w:hint="eastAsia" w:ascii="仿宋_GB2312" w:hAnsi="仿宋_GB2312" w:eastAsia="仿宋_GB2312" w:cs="仿宋_GB2312"/>
          <w:color w:val="auto"/>
          <w:kern w:val="0"/>
          <w:sz w:val="24"/>
          <w:szCs w:val="24"/>
          <w:highlight w:val="none"/>
        </w:rPr>
      </w:pPr>
    </w:p>
    <w:p w14:paraId="237F584E">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36. 工期及工期延误</w:t>
      </w:r>
      <w:bookmarkEnd w:id="637"/>
      <w:bookmarkEnd w:id="638"/>
    </w:p>
    <w:p w14:paraId="259DAA0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36.1 合同工程的工期约定为（</w:t>
      </w:r>
      <w:permStart w:id="225"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517</w:t>
      </w:r>
      <w:r>
        <w:rPr>
          <w:rFonts w:hint="eastAsia" w:ascii="仿宋_GB2312" w:hAnsi="仿宋_GB2312" w:eastAsia="仿宋_GB2312" w:cs="仿宋_GB2312"/>
          <w:color w:val="auto"/>
          <w:kern w:val="0"/>
          <w:sz w:val="24"/>
          <w:szCs w:val="24"/>
          <w:highlight w:val="none"/>
        </w:rPr>
        <w:t xml:space="preserve"> </w:t>
      </w:r>
      <w:permEnd w:id="225"/>
      <w:r>
        <w:rPr>
          <w:rFonts w:hint="eastAsia" w:ascii="仿宋_GB2312" w:hAnsi="仿宋_GB2312" w:eastAsia="仿宋_GB2312" w:cs="仿宋_GB2312"/>
          <w:color w:val="auto"/>
          <w:kern w:val="0"/>
          <w:sz w:val="24"/>
          <w:szCs w:val="24"/>
          <w:highlight w:val="none"/>
        </w:rPr>
        <w:t>）天。</w:t>
      </w:r>
    </w:p>
    <w:p w14:paraId="7BB5E827">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（1）</w:t>
      </w:r>
      <w:permStart w:id="226"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6"/>
      <w:r>
        <w:rPr>
          <w:rFonts w:hint="eastAsia" w:ascii="仿宋_GB2312" w:hAnsi="仿宋_GB2312" w:eastAsia="仿宋_GB2312" w:cs="仿宋_GB2312"/>
          <w:color w:val="auto"/>
          <w:sz w:val="24"/>
          <w:szCs w:val="24"/>
          <w:highlight w:val="none"/>
        </w:rPr>
        <w:t>（工程名称）单位工程的工期约定为</w:t>
      </w:r>
      <w:permStart w:id="22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7"/>
      <w:r>
        <w:rPr>
          <w:rFonts w:hint="eastAsia" w:ascii="仿宋_GB2312" w:hAnsi="仿宋_GB2312" w:eastAsia="仿宋_GB2312" w:cs="仿宋_GB2312"/>
          <w:color w:val="auto"/>
          <w:sz w:val="24"/>
          <w:szCs w:val="24"/>
          <w:highlight w:val="none"/>
        </w:rPr>
        <w:t>天。</w:t>
      </w:r>
    </w:p>
    <w:p w14:paraId="762529F1">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（2）</w:t>
      </w:r>
      <w:permStart w:id="22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8"/>
      <w:r>
        <w:rPr>
          <w:rFonts w:hint="eastAsia" w:ascii="仿宋_GB2312" w:hAnsi="仿宋_GB2312" w:eastAsia="仿宋_GB2312" w:cs="仿宋_GB2312"/>
          <w:color w:val="auto"/>
          <w:sz w:val="24"/>
          <w:szCs w:val="24"/>
          <w:highlight w:val="none"/>
        </w:rPr>
        <w:t>（工程名称）单位工程的工期约定为</w:t>
      </w:r>
      <w:permStart w:id="22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29"/>
      <w:r>
        <w:rPr>
          <w:rFonts w:hint="eastAsia" w:ascii="仿宋_GB2312" w:hAnsi="仿宋_GB2312" w:eastAsia="仿宋_GB2312" w:cs="仿宋_GB2312"/>
          <w:color w:val="auto"/>
          <w:sz w:val="24"/>
          <w:szCs w:val="24"/>
          <w:highlight w:val="none"/>
        </w:rPr>
        <w:t>天。</w:t>
      </w:r>
    </w:p>
    <w:p w14:paraId="5787FDF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36.3工期顺延</w:t>
      </w:r>
    </w:p>
    <w:p w14:paraId="435F20B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（5）设计变更和工程量增加超过原工程量的10%及以上时（按合同价计算，下同），并经监理工程师确认的。</w:t>
      </w:r>
      <w:r>
        <w:rPr>
          <w:rFonts w:hint="eastAsia" w:ascii="仿宋_GB2312" w:hAnsi="仿宋_GB2312" w:eastAsia="仿宋_GB2312" w:cs="仿宋_GB2312"/>
          <w:color w:val="auto"/>
          <w:kern w:val="0"/>
          <w:sz w:val="24"/>
          <w:szCs w:val="24"/>
          <w:highlight w:val="none"/>
        </w:rPr>
        <w:t>如因发包人原因致使承包人暂时无法进行正常施工时，所延误的工期，承包人想方设法弥补，对影响部分经发包人核准并视影响程度再另定顺延期限。</w:t>
      </w:r>
    </w:p>
    <w:p w14:paraId="00017E5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36.8承包人的工期延误</w:t>
      </w:r>
    </w:p>
    <w:p w14:paraId="1B6C68D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工程工期实行节点工期和总工期双控制。节点工期完成时间经发包人、监理工程师确认后做为控制阶段工期的依据。当承包人实际完成节点进度时间比计划时间拖迟但少于7天的，视为承包人按计划完成，但承包人必须采取有效措施，保证在下一节点工作完成时符合计划进度时间。节点工期拖迟超过7天的，从第八天开始，其所延误的工期赔偿为每天收取工程合同价的1%，整改无效或节点工期延迟超过10天以上，发包人有权解除部分合同，并追究承包人的违约责任。</w:t>
      </w:r>
    </w:p>
    <w:p w14:paraId="4067509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的实际工程进度曲线在规定的安全区域下限之外时，监理工程师有权认为合同工程的进度过慢，承包人应采取措施（包括但不限于增加人员机械设备投入、增加施工作业面及施工点等）加快进度，并承担加快进度所增加的费用。由于承包人原因造成的关键工序进度严重滞后时，经监理工程师核实，发包人有权对承包人发出限期改正通知，承包人应调整计划工程进度，报监理工程师审批后，经发包人同意调整工程进度排期。</w:t>
      </w:r>
    </w:p>
    <w:p w14:paraId="3734FF5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对于承包人的原因造成的工期延误，即使采取了赶工措施，但仍不能按合同规定的完工日期完工时，发包人即使同意承包人提出的调整工程进度排期计划的，发包人仍保留因承包人原因造成本合同工程超原计划工期未能按合同约定完工日期完工造成发包人损失的一切追偿索赔权利，承包人还应支付逾期竣工违约金。</w:t>
      </w:r>
    </w:p>
    <w:p w14:paraId="7A4BF4E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36.9 赶工措施费</w:t>
      </w:r>
    </w:p>
    <w:p w14:paraId="1801090A">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%时，根据广东省建设工程计价依据规定的赶工措施费率为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p>
    <w:p w14:paraId="1DDB5AAE">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%时，根据广州市住房和城乡建设局发布的赶工措施费规定的赶工措施费率为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p>
    <w:p w14:paraId="4735BE44">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%时，根据广州市建设工程造价管理站发布的赶工措施费规定的赶工措施费率为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p>
    <w:p w14:paraId="270465A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发包人要求的合同工程工期小于定额工期的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%时，发包人、承包人约定赶工措施费率按</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%计算</w:t>
      </w:r>
      <w:r>
        <w:rPr>
          <w:rFonts w:hint="eastAsia" w:ascii="仿宋_GB2312" w:hAnsi="仿宋_GB2312" w:eastAsia="仿宋_GB2312" w:cs="仿宋_GB2312"/>
          <w:color w:val="auto"/>
          <w:kern w:val="0"/>
          <w:sz w:val="24"/>
          <w:szCs w:val="24"/>
          <w:highlight w:val="none"/>
        </w:rPr>
        <w:t>；</w:t>
      </w:r>
      <w:bookmarkStart w:id="639" w:name="_Toc10624948"/>
      <w:bookmarkStart w:id="640" w:name="_Toc469384104"/>
    </w:p>
    <w:p w14:paraId="54ABE83B">
      <w:pPr>
        <w:spacing w:line="420" w:lineRule="exact"/>
        <w:ind w:firstLine="480" w:firstLineChars="200"/>
        <w:rPr>
          <w:rFonts w:hint="eastAsia" w:ascii="仿宋_GB2312" w:hAnsi="仿宋_GB2312" w:eastAsia="仿宋_GB2312" w:cs="仿宋_GB2312"/>
          <w:color w:val="auto"/>
          <w:kern w:val="0"/>
          <w:sz w:val="24"/>
          <w:szCs w:val="24"/>
          <w:highlight w:val="none"/>
        </w:rPr>
      </w:pPr>
    </w:p>
    <w:p w14:paraId="5E665FF5">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38. 竣工日期</w:t>
      </w:r>
      <w:bookmarkEnd w:id="639"/>
      <w:bookmarkEnd w:id="640"/>
    </w:p>
    <w:p w14:paraId="5C4DB9DD">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38.1 计划竣工日期：</w:t>
      </w:r>
      <w:permStart w:id="23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2026年9月30日</w:t>
      </w:r>
      <w:r>
        <w:rPr>
          <w:rFonts w:hint="eastAsia" w:ascii="仿宋_GB2312" w:hAnsi="仿宋_GB2312" w:eastAsia="仿宋_GB2312" w:cs="仿宋_GB2312"/>
          <w:color w:val="auto"/>
          <w:sz w:val="24"/>
          <w:szCs w:val="24"/>
          <w:highlight w:val="none"/>
          <w:u w:val="single"/>
        </w:rPr>
        <w:t xml:space="preserve">  </w:t>
      </w:r>
      <w:permEnd w:id="230"/>
    </w:p>
    <w:p w14:paraId="6921B5C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38.3 </w:t>
      </w:r>
      <w:r>
        <w:rPr>
          <w:rFonts w:hint="eastAsia" w:ascii="仿宋_GB2312" w:hAnsi="仿宋_GB2312" w:eastAsia="仿宋_GB2312" w:cs="仿宋_GB2312"/>
          <w:color w:val="auto"/>
          <w:kern w:val="0"/>
          <w:sz w:val="24"/>
          <w:szCs w:val="24"/>
          <w:highlight w:val="none"/>
        </w:rPr>
        <w:t>由于承包人原因造成不能按期竣工的，在按合同约定确定的竣工日期（包括按合同延长的工期）后7天内，监理工程师应当书面通知承包人，说明发包人有权得到按本款约定的下列标准和方法计算的逾期竣工违约金，但最终违约金的金额不应超过本款约定的逾期竣工违约金最高限额。监理工程师未在规定的期限内发出本款约定的书面通知的，发包人丧失主张逾期竣工违约金的权利。</w:t>
      </w:r>
    </w:p>
    <w:p w14:paraId="767BD33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逾期竣工违约金的计算标准：每天收取工程合同价的1.5‰，且不低于每天1万元。</w:t>
      </w:r>
    </w:p>
    <w:p w14:paraId="059D04E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逾期竣工违约金最高限额：合同价的20%。</w:t>
      </w:r>
    </w:p>
    <w:p w14:paraId="6631F7DA">
      <w:pPr>
        <w:spacing w:line="420" w:lineRule="exact"/>
        <w:rPr>
          <w:rFonts w:hint="eastAsia" w:ascii="仿宋_GB2312" w:hAnsi="仿宋_GB2312" w:eastAsia="仿宋_GB2312" w:cs="仿宋_GB2312"/>
          <w:b/>
          <w:bCs/>
          <w:color w:val="auto"/>
          <w:kern w:val="0"/>
          <w:sz w:val="24"/>
          <w:szCs w:val="24"/>
          <w:highlight w:val="none"/>
        </w:rPr>
      </w:pPr>
      <w:bookmarkStart w:id="641" w:name="_Toc469384105"/>
      <w:bookmarkStart w:id="642" w:name="_Toc10624949"/>
    </w:p>
    <w:p w14:paraId="011D437D">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kern w:val="0"/>
          <w:sz w:val="24"/>
          <w:szCs w:val="24"/>
          <w:highlight w:val="none"/>
        </w:rPr>
        <w:t>41.质量与安全</w:t>
      </w:r>
    </w:p>
    <w:p w14:paraId="4B2013F2">
      <w:pPr>
        <w:spacing w:line="420" w:lineRule="exact"/>
        <w:ind w:left="359" w:leftChars="171"/>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41.7承包人的施工安全责任</w:t>
      </w:r>
    </w:p>
    <w:p w14:paraId="5DEC436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（1）承包人向监理工程师报送施工安全措施计划的期限：开工前15天。</w:t>
      </w:r>
    </w:p>
    <w:p w14:paraId="6D88D45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监理工程师收到承包人报送的施工安全措施计划后应当在5天内给予批复。</w:t>
      </w:r>
    </w:p>
    <w:p w14:paraId="01645481">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按照相关法律法规、规范的要求实施安全文明施工，履行《工程安全生产、质量文明施工协议书》的约定（见附件五）。安全生产和文明施工中的履约保证金管理制度承包人违反《工程安全生产、质量文明施工协议书》约定扣款行为的，由发包人直接从履约保证金中扣除。</w:t>
      </w:r>
    </w:p>
    <w:p w14:paraId="5E9A697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（3）安全生产责任事故追加扣款</w:t>
      </w:r>
    </w:p>
    <w:p w14:paraId="13E9034F">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对发生安全生产死亡事故的施工承包人，每死亡一人扣款50万元，由发包人直接从履约保证金中扣除，履约保证金不足的，从应支付的工程款扣除。</w:t>
      </w:r>
    </w:p>
    <w:p w14:paraId="789848A2">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（4）承担施工安全保卫工作及非夜间施工照明的责任和要求：</w:t>
      </w:r>
    </w:p>
    <w:p w14:paraId="4C1195AF">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w:t>
      </w:r>
    </w:p>
    <w:p w14:paraId="63952AD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根据监理工程师或当地政府要求，在需要的时间和地点，提供和维持所有的照明灯光、护板、围墙、栅栏、警告信号标志和值班人员，对工程进行保护和为公众提供安全和方便，施工围蔽按《广州市住房和城乡建设局等9部门关于印发广州市建设工程绿色施工围蔽指导图集（V2.0版）的通知》（穗建质〔2020〕1号）、《关于修订并重新印发&lt;广州市建设工程现场文明施工管理办法&gt;的通知》（穗建质〔2008〕937号）《广州市市政工程文明施工规范实施细则—2004》和广州市水务投资集团有限公司制定《关于印发&lt;广州市水务投资集团有限公司建设工程文明施工管理方案及措施&gt;的通知》的要求执行。</w:t>
      </w:r>
    </w:p>
    <w:p w14:paraId="4150BE50">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3）遵守和执行防火、安全文明施工和夜间施工规定。</w:t>
      </w:r>
    </w:p>
    <w:p w14:paraId="29B02A1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保证施工期间行人、车辆等的通行，除非得到有关部门批准，否则不能进行全封闭施工。施工临时占用人行道、车道等设施，由承包人办理有关手续，发包人协助，所需费用由承包人负责。同时承包人有责任协助公安、交通等部门维护所在现场地段的交通与人流，既保证施工安全，也保护车辆和行人的畅通和安全。</w:t>
      </w:r>
    </w:p>
    <w:p w14:paraId="3E61404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应严格按照规范回填，如经发现回填密度不符合规范必须立即返工，合格后才可继续施工。回填完成后由承包人负责检验测定，并提交有效检测报告。如发包人委托第三方对检测结果进行复测，检测合格的，费用由发包人承担；检测不合格的，承包人必须重新进行整改，并负责第三方的检测费用。</w:t>
      </w:r>
      <w:r>
        <w:rPr>
          <w:rFonts w:hint="eastAsia" w:ascii="仿宋_GB2312" w:hAnsi="仿宋_GB2312" w:eastAsia="仿宋_GB2312" w:cs="仿宋_GB2312"/>
          <w:color w:val="auto"/>
          <w:sz w:val="24"/>
          <w:szCs w:val="24"/>
          <w:highlight w:val="none"/>
        </w:rPr>
        <w:t>承</w:t>
      </w:r>
      <w:r>
        <w:rPr>
          <w:rFonts w:hint="eastAsia" w:ascii="仿宋_GB2312" w:hAnsi="仿宋_GB2312" w:eastAsia="仿宋_GB2312" w:cs="仿宋_GB2312"/>
          <w:color w:val="auto"/>
          <w:kern w:val="0"/>
          <w:sz w:val="24"/>
          <w:szCs w:val="24"/>
          <w:highlight w:val="none"/>
        </w:rPr>
        <w:t>包人应严格按照经审查的施工图纸施工，每道焊缝落实编号标记并提供完整的影像记录（包括内外焊缝）并经监理工程师验收确认。</w:t>
      </w:r>
    </w:p>
    <w:p w14:paraId="3407440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工程竣工后，承包人应及时清理施工现场，并移交场地；场地移交前，承包人应做好施工现场的维护工作。承包人应在投标报价中考虑有关费用，并保证发包人免于受到或承担应由承包人负责的上述事项所引起的或与之有关的行政处罚、索赔、诉讼以及其它开支，如因承包人的行为对发包人造成损失的，发包人有权向承包人追偿。</w:t>
      </w:r>
    </w:p>
    <w:p w14:paraId="4ECF5A1D">
      <w:pPr>
        <w:spacing w:line="420" w:lineRule="exact"/>
        <w:ind w:firstLine="240" w:firstLineChars="1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（5）安全施工与检查</w:t>
      </w:r>
    </w:p>
    <w:p w14:paraId="5F764532">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1）承包人建立安全责任制，明确各部门安全工作的岗位责任人，建立健全正常运转的各种安全工作保证体系和规章制度，将安全生产目标分解落实到实处。</w:t>
      </w:r>
    </w:p>
    <w:p w14:paraId="7FB4736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2)承包人应根据现场情况，同步作业涉及多个作业点时，须配置足够的具备资质的安全员</w:t>
      </w:r>
      <w:r>
        <w:rPr>
          <w:rFonts w:hint="eastAsia" w:ascii="仿宋_GB2312" w:hAnsi="仿宋_GB2312" w:eastAsia="仿宋_GB2312" w:cs="仿宋_GB2312"/>
          <w:color w:val="auto"/>
          <w:kern w:val="0"/>
          <w:sz w:val="24"/>
          <w:szCs w:val="24"/>
          <w:highlight w:val="none"/>
          <w:lang w:eastAsia="zh-CN"/>
        </w:rPr>
        <w:t>，每名安全员只能监管2个作业点</w:t>
      </w:r>
      <w:r>
        <w:rPr>
          <w:rFonts w:hint="eastAsia" w:ascii="仿宋_GB2312" w:hAnsi="仿宋_GB2312" w:eastAsia="仿宋_GB2312" w:cs="仿宋_GB2312"/>
          <w:color w:val="auto"/>
          <w:kern w:val="0"/>
          <w:sz w:val="24"/>
          <w:szCs w:val="24"/>
          <w:highlight w:val="none"/>
        </w:rPr>
        <w:t>。项目管理机构的专职安全员不得兼任其他工作的人员，不得同时负责两个以上工程项目的安全生产管理工作。</w:t>
      </w:r>
    </w:p>
    <w:p w14:paraId="29F72452">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3)承包人在开工前须向质量安全监督机构提交备案的书面资料。</w:t>
      </w:r>
    </w:p>
    <w:p w14:paraId="452948C1">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4)承包人在编制施工组织设计时，应当根据工程的特点编制相应的安全技术措施。</w:t>
      </w:r>
    </w:p>
    <w:p w14:paraId="5B0015B8">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5)承包人按有关技术安全和防护的规定组织施工生产，不得使用不合标准的防护器材、机具和材料。</w:t>
      </w:r>
    </w:p>
    <w:p w14:paraId="71692DF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现场安全文明施工必须严格按《建筑施工安全检查标准》（JGJ59-99）《关于修订并重新印发&lt;广州市建设工程现场文明施工管理办法&gt;的通知》（穗建质〔2008〕937号）《广州市市政工程文明施工规范实施细则—2004》等法律法规及本合同专用条款有关安全文明施工条款的规定执行，如有违反或承包人在任何检查中被发现存在安全事故隐患、违章行为或管理不到位现象的，根据专用条款有关规定及《工程安全生产、质量文明施工协议书》的规定进行整改、扣罚。</w:t>
      </w:r>
    </w:p>
    <w:p w14:paraId="2CE8154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7)承包人应落实外来施工人员实名制，施工前按发包人要求为进场施工人员制作《外来人员工作证》（样式见附件九），并督促现场施工人员必须证件方可进场施工。</w:t>
      </w:r>
    </w:p>
    <w:p w14:paraId="6158D8B4">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乙方应负责为任何用工形式员工配备个人劳动保护用品（包括工作服、安全帽、安全带、安全鞋、工作手套等），乙方应穿着本单位统一的工作服装。乙方施工负责人和安全员应随时检查劳动保护用品的穿戴情况，不按规定穿戴保护用品的人员不得上岗。</w:t>
      </w:r>
    </w:p>
    <w:p w14:paraId="6C8C94D8">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41.8治安保卫</w:t>
      </w:r>
    </w:p>
    <w:p w14:paraId="4B82C581">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（1）承包人应当负责统一管理施工场地的治安保卫事项，履行合同工程的治安保卫职责。</w:t>
      </w:r>
    </w:p>
    <w:p w14:paraId="34CD019D">
      <w:pPr>
        <w:spacing w:line="420" w:lineRule="exact"/>
        <w:ind w:left="959" w:leftChars="228" w:hanging="480" w:hangingChars="200"/>
        <w:jc w:val="left"/>
        <w:rPr>
          <w:rFonts w:hint="default" w:ascii="仿宋_GB2312" w:hAnsi="仿宋_GB2312" w:eastAsia="仿宋_GB2312" w:cs="仿宋_GB2312"/>
          <w:color w:val="auto"/>
          <w:kern w:val="0"/>
          <w:sz w:val="24"/>
          <w:szCs w:val="24"/>
          <w:highlight w:val="none"/>
          <w:u w:val="single"/>
          <w:lang w:val="en-US"/>
        </w:rPr>
      </w:pPr>
      <w:r>
        <w:rPr>
          <w:rFonts w:hint="eastAsia" w:ascii="仿宋_GB2312" w:hAnsi="仿宋_GB2312" w:eastAsia="仿宋_GB2312" w:cs="仿宋_GB2312"/>
          <w:color w:val="auto"/>
          <w:kern w:val="0"/>
          <w:sz w:val="24"/>
          <w:szCs w:val="24"/>
          <w:highlight w:val="none"/>
        </w:rPr>
        <w:t>（2）施工场地治安管理计划和突发治安事件紧急预案的编制责任</w:t>
      </w:r>
      <w:r>
        <w:rPr>
          <w:rFonts w:hint="eastAsia" w:ascii="仿宋_GB2312" w:hAnsi="仿宋_GB2312" w:eastAsia="仿宋_GB2312" w:cs="仿宋_GB2312"/>
          <w:color w:val="auto"/>
          <w:kern w:val="0"/>
          <w:sz w:val="24"/>
          <w:szCs w:val="24"/>
          <w:highlight w:val="none"/>
          <w:lang w:val="en-US" w:eastAsia="zh-CN"/>
        </w:rPr>
        <w:t>人：</w:t>
      </w:r>
      <w:permStart w:id="231" w:edGrp="everyone"/>
      <w:r>
        <w:rPr>
          <w:rFonts w:hint="eastAsia" w:ascii="仿宋_GB2312" w:hAnsi="仿宋_GB2312" w:eastAsia="仿宋_GB2312" w:cs="仿宋_GB2312"/>
          <w:color w:val="auto"/>
          <w:kern w:val="0"/>
          <w:sz w:val="24"/>
          <w:szCs w:val="24"/>
          <w:highlight w:val="none"/>
          <w:u w:val="single"/>
          <w:lang w:val="en-US" w:eastAsia="zh-CN"/>
        </w:rPr>
        <w:t xml:space="preserve">    </w:t>
      </w:r>
      <w:permEnd w:id="231"/>
    </w:p>
    <w:p w14:paraId="19EDCD63">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41.9环境保护</w:t>
      </w:r>
    </w:p>
    <w:p w14:paraId="16BAD714">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（1）施工环保措施计划报送监理工程师审批的时间：开工前7天。监理工程师收到承包人报送的施工环保措施计划后应当在5天内给予批复。</w:t>
      </w:r>
    </w:p>
    <w:p w14:paraId="413E4209">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（2）施工场地清洁卫生的要求：</w:t>
      </w:r>
    </w:p>
    <w:p w14:paraId="6109E89E">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本合同工程现场文明施工必须严格按以下文件执行，并挂牌施工接受监督：</w:t>
      </w:r>
    </w:p>
    <w:p w14:paraId="7E888B6E">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1)《广州市建设工程文明施工管理规定》（广州市人民政府令第62号）；</w:t>
      </w:r>
    </w:p>
    <w:p w14:paraId="57726073">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2)广州市水务局制定的《广州市水务局关于印发广州市2018年水务工程扬尘污染控制行动方案的通知》（穗水质安〔2018〕45号）；</w:t>
      </w:r>
    </w:p>
    <w:p w14:paraId="02C7443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保持现场整洁，保证卫生要求，合理地安排临时设施，存放和处置好设备及材料，及时清运垃圾和余泥，处理好污水、余泥排放，施工范围应定期洒水，减少施工扬尘。工程完工后，承包人应立即从施工现场搬走或清除承包人的设备、材料、垃圾以及各种临时设施，并保持施工现场和工程清洁整齐，但承包人应保留他为在缺陷责任期内履行其义务而需要的材料、设备和临时设施。承包人要组织建立扬尘及施工机械污染防治自我保障体系，编制建设工程扬尘污染防治专项方案，明确控制措施，列明施工机械使用情况;配备相关管理人员，建立扬尘及施工机械污染防治检查制度;建立检查台账，确保各项扬尘及施工机械污染防治措施落实。其费用已包含在合同价款中，不另行计量支付。承包人要在工地图档外公示扬尘及施工机械污染防治措施、负责人、扬尘及施工机械监督管理主管部门等信息，明确投诉举报方式。</w:t>
      </w:r>
    </w:p>
    <w:p w14:paraId="0310995E">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根据《广东省建设工程施工扬尘污染防治管理办法（试行）的通知》（粤办函〔2017〕708号）《广州市2018年度大气污染综合防治工作计划》（穗水质安〔2018〕45号）《广州市水务局关于印发广州市2018年水务工程扬尘污染控制行动方案的通知》（穗水质安〔2018〕45号）《广州市住房和城乡建设局等8部门关于印发广州市建设工程扬尘防治“6个100%”管理标准图集（V2.0版）的通知》的要求，制定施工现场扬尘污染防治方案并报发包人和监理人审核，审核通过后，承包人应落实方案的实施。</w:t>
      </w:r>
    </w:p>
    <w:p w14:paraId="2CA2F31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根据《广州市住房和城乡建设局等8部门关于印发广州市建设工程扬尘防治“6个100%”管理标准图集（V2.0版）的通知》、《市水投集团关于进一步加强工地扬尘防治“六个100%”管理要求的通知》（穗水投业务〔2018〕160号），做好施工现场100%围蔽、工地砂土100%覆盖、工地路面100%硬地化、拆除工程100%洒水压尘、出工地车辆100%冲净车轮车身、暂不开发的场地100%绿化等工作。</w:t>
      </w:r>
    </w:p>
    <w:p w14:paraId="10C6EFA4">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承包人应严格执行《广州市建设工程扬尘整治联席会议办公室关于印发广州市建设工程扬尘治理和文明施工严格管理6条措施的通知》（穗建质〔2021〕512号），落实参建单位责任，落实工地扬尘防治“六个100%”管理要求，加强余泥运输车辆管理，加强工程信息化建设监督管理等工作，承包人未按规定落实《广州市建设工程扬尘整治联席会议办公室关于印发广州市建设工程扬尘治理和文明施工严格管理6条措施的通知》（穗建质〔2021〕512号）要求的，发包人有权将相关承包单位列入失信企业名单，在履约诚信评价中给予扣分。</w:t>
      </w:r>
    </w:p>
    <w:p w14:paraId="519AC4B0">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（3）施工场地周围地下管线和邻近建筑物、构筑物（含文物保护建筑）、古树名木的保护要求及费用承担：</w:t>
      </w:r>
    </w:p>
    <w:p w14:paraId="4E50B638">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期间发现文物，应按国家文物和省、市有关文物管理规定保护现场，并通知有关部门。否则，因此造成的损失或被有关部门处罚，均由承包人负责。除文物保护外，其它保护工作费用已包含在合同价款中，不另行计量支付。</w:t>
      </w:r>
    </w:p>
    <w:p w14:paraId="7892DA52">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已明确地下管线，承包人有责任保护其安全，如因施工损坏，由承包人承担相关责任并负责经济赔偿。凡标明有地下管线的地方，应挖探坑查明管线的具体位置并作出保护措施后方可施工。为保护好地下管线和构筑物，要求承包人在钻桩开钻及排水沟、基坑开挖前，先进行勘探性探测（钻孔桩施工时应挖相当桩截面不少于3.0米深的探坑），确认没有遇到地下任何管线和构筑物后，才允许开钻及开挖，否则由此引起的一切损失由承包人负责。</w:t>
      </w:r>
    </w:p>
    <w:p w14:paraId="172CF9A1">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（4）承包人须做好沿线居民用水保障工作，施工过程影响沿线用水的，应严格按照发包人相关规定办理相关手续。</w:t>
      </w:r>
    </w:p>
    <w:p w14:paraId="0182285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41.10事故处理</w:t>
      </w:r>
    </w:p>
    <w:p w14:paraId="193DA8FD">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如发生安全事故，除按法定程序办理有关事宜外，还必须按以下程序进行处理：</w:t>
      </w:r>
    </w:p>
    <w:p w14:paraId="79AC870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（1）报告安全事故：安全事故发生后，承包人应在1小时内用最快的信息传递方式，将发生事故的时间、地点、伤亡人数、事故原因等情况，报监理工程师和发包人。</w:t>
      </w:r>
    </w:p>
    <w:p w14:paraId="1F000A5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（2）事故处理：承包人负责抢救伤员、排除险情，防止事故蔓延扩大，保护好现场，并做好标识；并启动保险理赔程序。</w:t>
      </w:r>
    </w:p>
    <w:p w14:paraId="35026D12">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（3）事故调查：承包人应组织内部技术安全、质量部门的人员组成调查组，开展调查，并配合做好发包人或政府有关部门组织的调查工作。</w:t>
      </w:r>
    </w:p>
    <w:p w14:paraId="6D4D245F">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（4）调查报告：承包人应把事故发生经过、原因、性质、损失、责任、处理意见、纠正和预防措施撰写成调查报告，送监理工程师会审后报发包人。</w:t>
      </w:r>
    </w:p>
    <w:p w14:paraId="41F8F621">
      <w:pPr>
        <w:spacing w:line="420" w:lineRule="exact"/>
        <w:jc w:val="left"/>
        <w:rPr>
          <w:rFonts w:hint="eastAsia" w:ascii="仿宋_GB2312" w:hAnsi="仿宋_GB2312" w:eastAsia="仿宋_GB2312" w:cs="仿宋_GB2312"/>
          <w:color w:val="auto"/>
          <w:kern w:val="0"/>
          <w:sz w:val="24"/>
          <w:szCs w:val="24"/>
          <w:highlight w:val="none"/>
        </w:rPr>
      </w:pPr>
    </w:p>
    <w:p w14:paraId="5CDD2B1E">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★42. 质量标准、目标</w:t>
      </w:r>
      <w:bookmarkEnd w:id="641"/>
      <w:bookmarkEnd w:id="642"/>
    </w:p>
    <w:p w14:paraId="6D19208B">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rPr>
        <w:t>42.1 约定的工程质量标准</w:t>
      </w:r>
    </w:p>
    <w:p w14:paraId="1ACB7AF5">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（1） 合同工程质量标准：</w:t>
      </w:r>
      <w:permStart w:id="23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符合国家、省、市《建筑工程施工质量验收统一标准》（GB50300-2013）；《给水排水管道工程施工及验收规范》（GB50268-2008），并达到合格或以上标准</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 xml:space="preserve"> </w:t>
      </w:r>
      <w:permEnd w:id="232"/>
    </w:p>
    <w:p w14:paraId="1044EF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创优目标：</w:t>
      </w:r>
    </w:p>
    <w:p w14:paraId="48AB73A9">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3" w:edGrp="everyone"/>
      <w:r>
        <w:rPr>
          <w:rFonts w:hint="eastAsia" w:ascii="仿宋_GB2312" w:hAnsi="仿宋_GB2312" w:eastAsia="仿宋_GB2312" w:cs="仿宋_GB2312"/>
          <w:color w:val="auto"/>
          <w:sz w:val="24"/>
          <w:szCs w:val="24"/>
          <w:highlight w:val="none"/>
        </w:rPr>
        <w:sym w:font="Wingdings 2" w:char="0051"/>
      </w:r>
      <w:permEnd w:id="233"/>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市级工程优质奖</w:t>
      </w:r>
      <w:r>
        <w:rPr>
          <w:rFonts w:hint="eastAsia" w:ascii="仿宋_GB2312" w:hAnsi="仿宋_GB2312" w:eastAsia="仿宋_GB2312" w:cs="仿宋_GB2312"/>
          <w:color w:val="auto"/>
          <w:kern w:val="0"/>
          <w:sz w:val="24"/>
          <w:szCs w:val="24"/>
          <w:highlight w:val="none"/>
        </w:rPr>
        <w:t>；</w:t>
      </w:r>
    </w:p>
    <w:p w14:paraId="24A0DAE7">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34" w:edGrp="everyone"/>
      <w:r>
        <w:rPr>
          <w:rFonts w:hint="eastAsia" w:ascii="仿宋_GB2312" w:hAnsi="仿宋_GB2312" w:eastAsia="仿宋_GB2312" w:cs="仿宋_GB2312"/>
          <w:color w:val="auto"/>
          <w:sz w:val="24"/>
          <w:szCs w:val="24"/>
          <w:highlight w:val="none"/>
        </w:rPr>
        <w:sym w:font="Wingdings 2" w:char="0051"/>
      </w:r>
      <w:permEnd w:id="234"/>
      <w:r>
        <w:rPr>
          <w:rFonts w:hint="eastAsia" w:ascii="仿宋_GB2312" w:hAnsi="仿宋_GB2312" w:eastAsia="仿宋_GB2312" w:cs="仿宋_GB2312"/>
          <w:color w:val="auto"/>
          <w:sz w:val="24"/>
          <w:szCs w:val="24"/>
          <w:highlight w:val="none"/>
        </w:rPr>
        <w:t>省级工程优质奖</w:t>
      </w:r>
      <w:r>
        <w:rPr>
          <w:rFonts w:hint="eastAsia" w:ascii="仿宋_GB2312" w:hAnsi="仿宋_GB2312" w:eastAsia="仿宋_GB2312" w:cs="仿宋_GB2312"/>
          <w:color w:val="auto"/>
          <w:kern w:val="0"/>
          <w:sz w:val="24"/>
          <w:szCs w:val="24"/>
          <w:highlight w:val="none"/>
        </w:rPr>
        <w:t>；</w:t>
      </w:r>
    </w:p>
    <w:p w14:paraId="2C09C61E">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35" w:edGrp="everyone"/>
      <w:r>
        <w:rPr>
          <w:rFonts w:hint="eastAsia" w:ascii="仿宋_GB2312" w:hAnsi="仿宋_GB2312" w:eastAsia="仿宋_GB2312" w:cs="仿宋_GB2312"/>
          <w:color w:val="auto"/>
          <w:sz w:val="24"/>
          <w:szCs w:val="24"/>
          <w:highlight w:val="none"/>
        </w:rPr>
        <w:sym w:font="Wingdings 2" w:char="0051"/>
      </w:r>
      <w:permEnd w:id="235"/>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国家级工程优质奖</w:t>
      </w:r>
      <w:r>
        <w:rPr>
          <w:rFonts w:hint="eastAsia" w:ascii="仿宋_GB2312" w:hAnsi="仿宋_GB2312" w:eastAsia="仿宋_GB2312" w:cs="仿宋_GB2312"/>
          <w:color w:val="auto"/>
          <w:kern w:val="0"/>
          <w:sz w:val="24"/>
          <w:szCs w:val="24"/>
          <w:highlight w:val="none"/>
        </w:rPr>
        <w:t>；</w:t>
      </w:r>
    </w:p>
    <w:p w14:paraId="1859D41A">
      <w:pPr>
        <w:spacing w:line="420" w:lineRule="exact"/>
        <w:ind w:firstLine="480" w:firstLineChars="200"/>
        <w:rPr>
          <w:rFonts w:hint="default" w:ascii="仿宋_GB2312" w:hAnsi="仿宋_GB2312" w:eastAsia="仿宋_GB2312" w:cs="仿宋_GB2312"/>
          <w:color w:val="auto"/>
          <w:kern w:val="0"/>
          <w:sz w:val="24"/>
          <w:szCs w:val="24"/>
          <w:highlight w:val="none"/>
          <w:u w:val="single"/>
          <w:lang w:val="en-US" w:eastAsia="zh-CN"/>
        </w:rPr>
      </w:pPr>
      <w:permStart w:id="236" w:edGrp="everyone"/>
      <w:r>
        <w:rPr>
          <w:rFonts w:hint="eastAsia" w:ascii="仿宋_GB2312" w:hAnsi="仿宋_GB2312" w:eastAsia="仿宋_GB2312" w:cs="仿宋_GB2312"/>
          <w:color w:val="auto"/>
          <w:sz w:val="24"/>
          <w:szCs w:val="24"/>
          <w:highlight w:val="none"/>
        </w:rPr>
        <w:sym w:font="Wingdings 2" w:char="0051"/>
      </w:r>
      <w:permEnd w:id="236"/>
      <w:r>
        <w:rPr>
          <w:rFonts w:hint="eastAsia" w:ascii="仿宋_GB2312" w:hAnsi="仿宋_GB2312" w:eastAsia="仿宋_GB2312" w:cs="仿宋_GB2312"/>
          <w:color w:val="auto"/>
          <w:kern w:val="0"/>
          <w:sz w:val="24"/>
          <w:szCs w:val="24"/>
          <w:highlight w:val="none"/>
        </w:rPr>
        <w:t xml:space="preserve"> 其它</w:t>
      </w:r>
      <w:permStart w:id="237"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lang w:val="en-US" w:eastAsia="zh-CN"/>
        </w:rPr>
        <w:t xml:space="preserve"> </w:t>
      </w:r>
    </w:p>
    <w:permEnd w:id="237"/>
    <w:p w14:paraId="3D3E0B44">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特殊质量标准和要求：</w:t>
      </w:r>
      <w:permStart w:id="238"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permEnd w:id="238"/>
    </w:p>
    <w:p w14:paraId="2482C8CF">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 工程质量验收标准：</w:t>
      </w:r>
      <w:permStart w:id="239"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符合国家、省、市《建筑工程施工质量验收统一标准》（GB50300-2013）；《给水排水管道工程施工及验收规范》（GB50268-2008），并达到合格或以上标准</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 xml:space="preserve"> </w:t>
      </w:r>
      <w:permEnd w:id="239"/>
    </w:p>
    <w:p w14:paraId="0060936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42.3 质量保证体系</w:t>
      </w:r>
    </w:p>
    <w:p w14:paraId="04D91B50">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承包人应当完善质量管理制度，建立质量控制流程，建立并保持一个有效的工程质量管理体系。</w:t>
      </w:r>
    </w:p>
    <w:p w14:paraId="77E3096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6DFA5CEF">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（2）承包人提交监理工程师批准的施工组织设计或者施工方案必须附有完备的工程质量保证措施，包括：</w:t>
      </w:r>
      <w:permStart w:id="240"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工程质量预控措施，工序质量控制点，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r>
        <w:rPr>
          <w:rFonts w:hint="eastAsia" w:ascii="仿宋_GB2312" w:hAnsi="仿宋_GB2312" w:eastAsia="仿宋_GB2312" w:cs="仿宋_GB2312"/>
          <w:color w:val="auto"/>
          <w:sz w:val="24"/>
          <w:szCs w:val="24"/>
          <w:highlight w:val="none"/>
          <w:u w:val="single"/>
        </w:rPr>
        <w:t xml:space="preserve"> </w:t>
      </w:r>
      <w:permEnd w:id="240"/>
    </w:p>
    <w:p w14:paraId="6804DA3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（3）单项工程开工前，承包人必须按要求对职工分级进行技术交底，组织学习有关规程、标准、规范和工艺要求，在施工中必须按规程及工艺进行操作。</w:t>
      </w:r>
    </w:p>
    <w:p w14:paraId="3DBDE35F">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单项工程和重要部位必须遵循先试验后铺开施工的程序，开工前承包人应熟悉施工图纸和图纸会审、设计变更内容，并完成施工组织设计和必要的施工准备，送监理工程师审查批准后方可进行实验性施工，完工后由监理工程师检验，符合要求后才能铺开施工或者批量生产。</w:t>
      </w:r>
    </w:p>
    <w:p w14:paraId="6F2EFC4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42.4工程质量有争议的处理</w:t>
      </w:r>
    </w:p>
    <w:p w14:paraId="34074CF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双方当事人对工程质量有争议的，除按照第86.4款规定调解或认定外，监理工程师可提请合同双方委托有相应资质的工程质量检测机构进行鉴定，所需的费用及由此造成的损失，由责任方承担。双方均有责任的，由双方根据其责任划分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5B97D57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42.5承包人的质量管理</w:t>
      </w:r>
    </w:p>
    <w:p w14:paraId="2737386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（1）承包人向监理人提交工程质量保证措施文件的期限：本合同签订后</w:t>
      </w:r>
      <w:permStart w:id="241" w:edGrp="everyone"/>
      <w:r>
        <w:rPr>
          <w:rFonts w:hint="eastAsia" w:ascii="仿宋_GB2312" w:hAnsi="仿宋_GB2312" w:eastAsia="仿宋_GB2312" w:cs="仿宋_GB2312"/>
          <w:color w:val="auto"/>
          <w:sz w:val="24"/>
          <w:szCs w:val="24"/>
          <w:highlight w:val="none"/>
          <w:u w:val="single"/>
        </w:rPr>
        <w:t xml:space="preserve"> 10个 </w:t>
      </w:r>
      <w:permEnd w:id="241"/>
      <w:r>
        <w:rPr>
          <w:rFonts w:hint="eastAsia" w:ascii="仿宋_GB2312" w:hAnsi="仿宋_GB2312" w:eastAsia="仿宋_GB2312" w:cs="仿宋_GB2312"/>
          <w:color w:val="auto"/>
          <w:sz w:val="24"/>
          <w:szCs w:val="24"/>
          <w:highlight w:val="none"/>
        </w:rPr>
        <w:t>日历天内，向监理工程师提交一式四份工程质量保证措施文件。监理工程师审批工程质量保证措施文件的期限：</w:t>
      </w:r>
      <w:permStart w:id="242" w:edGrp="everyone"/>
      <w:r>
        <w:rPr>
          <w:rFonts w:hint="eastAsia" w:ascii="仿宋_GB2312" w:hAnsi="仿宋_GB2312" w:eastAsia="仿宋_GB2312" w:cs="仿宋_GB2312"/>
          <w:color w:val="auto"/>
          <w:sz w:val="24"/>
          <w:szCs w:val="24"/>
          <w:highlight w:val="none"/>
          <w:u w:val="single"/>
        </w:rPr>
        <w:t xml:space="preserve"> 5个 </w:t>
      </w:r>
      <w:permEnd w:id="242"/>
      <w:r>
        <w:rPr>
          <w:rFonts w:hint="eastAsia" w:ascii="仿宋_GB2312" w:hAnsi="仿宋_GB2312" w:eastAsia="仿宋_GB2312" w:cs="仿宋_GB2312"/>
          <w:color w:val="auto"/>
          <w:sz w:val="24"/>
          <w:szCs w:val="24"/>
          <w:highlight w:val="none"/>
        </w:rPr>
        <w:t>日历天内。</w:t>
      </w:r>
    </w:p>
    <w:p w14:paraId="52436FE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（2）承包人必须对工程质量全面负责，工程质量标准应达到承包人投标时承诺的工程质量标准。</w:t>
      </w:r>
    </w:p>
    <w:p w14:paraId="3A82D35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应按施工图纸施工，确保各类工序上的施工质量，配合监理人做好各阶段的隐蔽验收及中间验收工作，确保工程施工质量满足设计图纸、相关规范、上级行政管理部门及质量监督部门检查要求，各项隐蔽验收及中间验收工作应在施工日志中有图片或影像予以记录。</w:t>
      </w:r>
    </w:p>
    <w:p w14:paraId="4904902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（4）承包人应在管道完工接驳并网前将管道内腔视频内容提供发包人。</w:t>
      </w:r>
    </w:p>
    <w:p w14:paraId="588E12B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42.6工程路面底层的水泥石屑稳定层必须按配比拌制，并及时摊铺辗压形成板块，人行道道床必须经过压路机辗压达到密度要求并检平再铺砌混凝土预制块。凡不按上述要求施工的都必须返工重做，承包人负责返工重做的所有费用（由此发生的工期不得顺延），直至达到要求为止，否则发包人将不验收，并拒绝付该部分工程进度款。</w:t>
      </w:r>
    </w:p>
    <w:p w14:paraId="1AF4B48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42.7若工程所在地的政府、业主或其他相关部门对本工程提出工程进度、质量方面的要求，且此要求符合本合同的约定时，以工程所在地的政府、发包人或其他相关部门对本工程提出工程进度、质量方面的要求为准。承包人不得以此提出任何工程价款增加的要求。</w:t>
      </w:r>
    </w:p>
    <w:p w14:paraId="21A69F27">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42.8承包人应严格按《广州市水务局关于严格规范落实水务工程建设质量终身责任制有关规定的通知》、《广州市水务局转发关于水利工程建设质量终身责任的管理办法（试行）的通知》(穗水质安〔2018〕139号)等文件要求,落实工程质量终身责任管理工作。</w:t>
      </w:r>
    </w:p>
    <w:p w14:paraId="275503C0">
      <w:pPr>
        <w:widowControl w:val="0"/>
        <w:numPr>
          <w:ilvl w:val="0"/>
          <w:numId w:val="0"/>
        </w:numPr>
        <w:tabs>
          <w:tab w:val="left" w:pos="420"/>
          <w:tab w:val="left" w:pos="576"/>
        </w:tabs>
        <w:spacing w:before="260" w:line="420" w:lineRule="exact"/>
        <w:jc w:val="left"/>
        <w:outlineLvl w:val="1"/>
        <w:rPr>
          <w:rFonts w:hint="eastAsia" w:ascii="黑体" w:hAnsi="黑体" w:eastAsia="黑体" w:cs="黑体"/>
          <w:b w:val="0"/>
          <w:bCs w:val="0"/>
          <w:color w:val="auto"/>
          <w:kern w:val="0"/>
          <w:sz w:val="24"/>
          <w:szCs w:val="24"/>
          <w:highlight w:val="none"/>
          <w:lang w:val="en-US" w:eastAsia="zh-CN" w:bidi="ar-SA"/>
        </w:rPr>
      </w:pPr>
      <w:bookmarkStart w:id="643" w:name="_Toc469384106"/>
      <w:bookmarkStart w:id="644" w:name="_Toc10624950"/>
      <w:r>
        <w:rPr>
          <w:rFonts w:hint="eastAsia" w:ascii="黑体" w:hAnsi="黑体" w:eastAsia="黑体" w:cs="黑体"/>
          <w:b w:val="0"/>
          <w:bCs w:val="0"/>
          <w:color w:val="auto"/>
          <w:kern w:val="0"/>
          <w:sz w:val="24"/>
          <w:szCs w:val="24"/>
          <w:highlight w:val="none"/>
          <w:lang w:val="en-US" w:eastAsia="zh-CN" w:bidi="ar-SA"/>
        </w:rPr>
        <w:t xml:space="preserve">★45. </w:t>
      </w:r>
      <w:bookmarkEnd w:id="643"/>
      <w:r>
        <w:rPr>
          <w:rFonts w:hint="eastAsia" w:ascii="黑体" w:hAnsi="黑体" w:eastAsia="黑体" w:cs="黑体"/>
          <w:b w:val="0"/>
          <w:bCs w:val="0"/>
          <w:color w:val="auto"/>
          <w:kern w:val="0"/>
          <w:sz w:val="24"/>
          <w:szCs w:val="24"/>
          <w:highlight w:val="none"/>
          <w:lang w:val="en-US" w:eastAsia="zh-CN" w:bidi="ar-SA"/>
        </w:rPr>
        <w:t>绿色施工安全防护</w:t>
      </w:r>
      <w:bookmarkEnd w:id="644"/>
    </w:p>
    <w:p w14:paraId="0FE197D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45.1绿色施工安全防护的要求：</w:t>
      </w:r>
    </w:p>
    <w:p w14:paraId="59A8668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按通用条款的规定以及第20.2款相关要求。</w:t>
      </w:r>
    </w:p>
    <w:p w14:paraId="2EEC81D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063BC3C5">
      <w:pPr>
        <w:spacing w:line="420" w:lineRule="exact"/>
        <w:ind w:firstLine="840" w:firstLineChars="3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其中：</w:t>
      </w:r>
      <w:r>
        <w:rPr>
          <w:rFonts w:hint="eastAsia" w:ascii="仿宋_GB2312" w:hAnsi="仿宋_GB2312" w:eastAsia="仿宋_GB2312" w:cs="仿宋_GB2312"/>
          <w:color w:val="auto"/>
          <w:sz w:val="24"/>
          <w:szCs w:val="24"/>
          <w:highlight w:val="none"/>
        </w:rPr>
        <w:t>施工扬尘污染防治措施：</w:t>
      </w:r>
      <w:permStart w:id="24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3"/>
    </w:p>
    <w:p w14:paraId="486AEA9C">
      <w:pPr>
        <w:spacing w:line="420" w:lineRule="exact"/>
        <w:ind w:firstLine="1680" w:firstLineChars="7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用工实名管理：</w:t>
      </w:r>
      <w:permStart w:id="24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44"/>
    </w:p>
    <w:p w14:paraId="27D7F72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45.2</w:t>
      </w:r>
      <w:r>
        <w:rPr>
          <w:rFonts w:hint="eastAsia" w:ascii="仿宋_GB2312" w:hAnsi="仿宋_GB2312" w:eastAsia="仿宋_GB2312" w:cs="仿宋_GB2312"/>
          <w:color w:val="auto"/>
          <w:kern w:val="0"/>
          <w:sz w:val="24"/>
          <w:szCs w:val="24"/>
          <w:highlight w:val="none"/>
        </w:rPr>
        <w:t>用工实名制、工人工资支付分账管理</w:t>
      </w:r>
    </w:p>
    <w:p w14:paraId="3076A5FD">
      <w:pPr>
        <w:spacing w:line="420" w:lineRule="exact"/>
        <w:ind w:firstLine="360" w:firstLineChars="1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按通用条款的规定以及以下文件规定：</w:t>
      </w:r>
    </w:p>
    <w:p w14:paraId="7C998082">
      <w:pPr>
        <w:numPr>
          <w:ilvl w:val="0"/>
          <w:numId w:val="0"/>
        </w:numPr>
        <w:spacing w:line="420" w:lineRule="exact"/>
        <w:ind w:firstLine="480" w:firstLineChars="200"/>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sz w:val="24"/>
          <w:szCs w:val="24"/>
          <w:highlight w:val="none"/>
          <w:shd w:val="clear" w:color="auto" w:fill="FFFFFF"/>
          <w:lang w:eastAsia="zh-CN"/>
        </w:rPr>
        <w:t>《住房和城乡建设部人力资源社会保障部关于修改&lt;建筑工人实名制管理办法（试行）&gt;的通知》（建市〔2022〕59号）</w:t>
      </w:r>
    </w:p>
    <w:p w14:paraId="25E78A99">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《住房城乡建设部 人力资源社会保障部关于印发建筑工人实名</w:t>
      </w:r>
      <w:r>
        <w:rPr>
          <w:rFonts w:hint="eastAsia" w:ascii="仿宋_GB2312" w:hAnsi="仿宋_GB2312" w:eastAsia="仿宋_GB2312" w:cs="仿宋_GB2312"/>
          <w:color w:val="auto"/>
          <w:sz w:val="24"/>
          <w:szCs w:val="24"/>
          <w:highlight w:val="none"/>
          <w:shd w:val="clear" w:color="auto" w:fill="FFFFFF"/>
          <w:lang w:val="en-US" w:eastAsia="zh-CN"/>
        </w:rPr>
        <w:t>制</w:t>
      </w:r>
      <w:r>
        <w:rPr>
          <w:rFonts w:hint="eastAsia" w:ascii="仿宋_GB2312" w:hAnsi="仿宋_GB2312" w:eastAsia="仿宋_GB2312" w:cs="仿宋_GB2312"/>
          <w:color w:val="auto"/>
          <w:sz w:val="24"/>
          <w:szCs w:val="24"/>
          <w:highlight w:val="none"/>
          <w:shd w:val="clear" w:color="auto" w:fill="FFFFFF"/>
          <w:lang w:eastAsia="zh-CN"/>
        </w:rPr>
        <w:t>管理办法（试行）的通知》（建市〔2019〕18号）</w:t>
      </w:r>
    </w:p>
    <w:p w14:paraId="357F70B9">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《工程建设领域农民工工资专用账户管理暂行办法》（人社部发〔2021〕53号）</w:t>
      </w:r>
    </w:p>
    <w:p w14:paraId="6D93D643">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《广州市住房和城乡建设局关于印发广州市建筑施工实名制管理办法的通知》（穗建规字〔2020〕18号）</w:t>
      </w:r>
    </w:p>
    <w:p w14:paraId="763255AD">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《关于印发广州市建设领域工人工资支付分账管理实施细则的通知》（穗建规字〔2020〕37号）</w:t>
      </w:r>
    </w:p>
    <w:p w14:paraId="60745327">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《广州市住房和城乡建设局关于公布第五批广州市建设领域工人工资支付分账管理业务银行名录的通知》（穗建筑〔2022〕1号）</w:t>
      </w:r>
    </w:p>
    <w:p w14:paraId="5EC8FE06">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《广州市住房和城乡建设局关于进一步征集广州市建设领域工人工资支付分账业务银行的通知》（穗建筑〔2021〕673号）</w:t>
      </w:r>
    </w:p>
    <w:p w14:paraId="09CEB98E">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《广州市水务局转发广州市根治拖欠农民工工资工作领导小组办公室关于广州市建设领域工程项目全面实施农民工工资总包代发制度的通知》（穗水投收字〔2020〕5031号）</w:t>
      </w:r>
    </w:p>
    <w:p w14:paraId="2767E8D8">
      <w:pPr>
        <w:numPr>
          <w:ilvl w:val="0"/>
          <w:numId w:val="0"/>
        </w:numPr>
        <w:spacing w:line="420" w:lineRule="exact"/>
        <w:ind w:firstLine="1118" w:firstLineChars="466"/>
        <w:rPr>
          <w:rFonts w:hint="eastAsia" w:ascii="仿宋_GB2312" w:hAnsi="仿宋_GB2312" w:eastAsia="仿宋_GB2312" w:cs="仿宋_GB2312"/>
          <w:color w:val="auto"/>
          <w:sz w:val="24"/>
          <w:szCs w:val="24"/>
          <w:highlight w:val="none"/>
          <w:shd w:val="clear" w:color="auto" w:fill="FFFFFF"/>
          <w:lang w:eastAsia="zh-CN"/>
        </w:rPr>
      </w:pPr>
      <w:r>
        <w:rPr>
          <w:rFonts w:hint="eastAsia" w:ascii="仿宋_GB2312" w:hAnsi="仿宋_GB2312" w:eastAsia="仿宋_GB2312" w:cs="仿宋_GB2312"/>
          <w:color w:val="auto"/>
          <w:sz w:val="24"/>
          <w:szCs w:val="24"/>
          <w:highlight w:val="none"/>
          <w:shd w:val="clear" w:color="auto" w:fill="FFFFFF"/>
          <w:lang w:eastAsia="zh-CN"/>
        </w:rPr>
        <w:t>《保障农民工工资支付条例》</w:t>
      </w:r>
    </w:p>
    <w:p w14:paraId="15214049">
      <w:pPr>
        <w:spacing w:line="420" w:lineRule="exact"/>
        <w:ind w:firstLine="960" w:firstLineChars="4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shd w:val="clear" w:color="auto" w:fill="FFFFFF"/>
          <w:lang w:eastAsia="zh-CN"/>
        </w:rPr>
        <w:t>《广州市水务投资集团有限公司农民工工资纠纷突发事件应急处置工作指引（试行）》</w:t>
      </w:r>
    </w:p>
    <w:p w14:paraId="6543E75C">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（2）</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其他文件：</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5B4A9CDB">
      <w:pPr>
        <w:spacing w:line="42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5FE3F4C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45.6 治安管理：</w:t>
      </w:r>
    </w:p>
    <w:p w14:paraId="774395D8">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按通用条款的规定以及第20.2款相关要求。</w:t>
      </w:r>
    </w:p>
    <w:p w14:paraId="365E834C">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4E8E262F">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45.8</w:t>
      </w:r>
      <w:r>
        <w:rPr>
          <w:rFonts w:hint="eastAsia" w:ascii="仿宋_GB2312" w:hAnsi="仿宋_GB2312" w:eastAsia="仿宋_GB2312" w:cs="仿宋_GB2312"/>
          <w:color w:val="auto"/>
          <w:kern w:val="0"/>
          <w:sz w:val="24"/>
          <w:szCs w:val="24"/>
          <w:highlight w:val="none"/>
        </w:rPr>
        <w:t>创文明工地目标：</w:t>
      </w:r>
    </w:p>
    <w:p w14:paraId="780B409E">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5" w:edGrp="everyone"/>
      <w:r>
        <w:rPr>
          <w:rFonts w:hint="eastAsia" w:ascii="仿宋_GB2312" w:hAnsi="仿宋_GB2312" w:eastAsia="仿宋_GB2312" w:cs="仿宋_GB2312"/>
          <w:color w:val="auto"/>
          <w:kern w:val="0"/>
          <w:sz w:val="24"/>
          <w:szCs w:val="24"/>
          <w:highlight w:val="none"/>
          <w:lang w:eastAsia="zh-CN"/>
        </w:rPr>
        <w:sym w:font="Wingdings 2" w:char="0051"/>
      </w:r>
      <w:permEnd w:id="245"/>
      <w:r>
        <w:rPr>
          <w:rFonts w:hint="eastAsia" w:ascii="仿宋_GB2312" w:hAnsi="仿宋_GB2312" w:eastAsia="仿宋_GB2312" w:cs="仿宋_GB2312"/>
          <w:color w:val="auto"/>
          <w:sz w:val="24"/>
          <w:szCs w:val="24"/>
          <w:highlight w:val="none"/>
        </w:rPr>
        <w:t>市级安全文明绿色施工样板工地</w:t>
      </w:r>
      <w:r>
        <w:rPr>
          <w:rFonts w:hint="eastAsia" w:ascii="仿宋_GB2312" w:hAnsi="仿宋_GB2312" w:eastAsia="仿宋_GB2312" w:cs="仿宋_GB2312"/>
          <w:color w:val="auto"/>
          <w:kern w:val="0"/>
          <w:sz w:val="24"/>
          <w:szCs w:val="24"/>
          <w:highlight w:val="none"/>
        </w:rPr>
        <w:t>；</w:t>
      </w:r>
    </w:p>
    <w:p w14:paraId="1C97FA3E">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6" w:edGrp="everyone"/>
      <w:r>
        <w:rPr>
          <w:rFonts w:hint="eastAsia" w:ascii="仿宋_GB2312" w:hAnsi="仿宋_GB2312" w:eastAsia="仿宋_GB2312" w:cs="仿宋_GB2312"/>
          <w:color w:val="auto"/>
          <w:kern w:val="0"/>
          <w:sz w:val="24"/>
          <w:szCs w:val="24"/>
          <w:highlight w:val="none"/>
          <w:lang w:eastAsia="zh-CN"/>
        </w:rPr>
        <w:sym w:font="Wingdings 2" w:char="0051"/>
      </w:r>
      <w:permEnd w:id="246"/>
      <w:r>
        <w:rPr>
          <w:rFonts w:hint="eastAsia" w:ascii="仿宋_GB2312" w:hAnsi="仿宋_GB2312" w:eastAsia="仿宋_GB2312" w:cs="仿宋_GB2312"/>
          <w:color w:val="auto"/>
          <w:kern w:val="0"/>
          <w:sz w:val="24"/>
          <w:szCs w:val="24"/>
          <w:highlight w:val="none"/>
        </w:rPr>
        <w:t>省级安全文明示范工地；</w:t>
      </w:r>
    </w:p>
    <w:p w14:paraId="49A16158">
      <w:pPr>
        <w:autoSpaceDE w:val="0"/>
        <w:autoSpaceDN w:val="0"/>
        <w:adjustRightInd w:val="0"/>
        <w:spacing w:line="420" w:lineRule="exact"/>
        <w:ind w:firstLine="480" w:firstLineChars="200"/>
        <w:jc w:val="left"/>
        <w:rPr>
          <w:rFonts w:hint="eastAsia" w:ascii="仿宋_GB2312" w:hAnsi="仿宋_GB2312" w:eastAsia="仿宋_GB2312" w:cs="仿宋_GB2312"/>
          <w:color w:val="auto"/>
          <w:kern w:val="0"/>
          <w:sz w:val="24"/>
          <w:szCs w:val="24"/>
          <w:highlight w:val="none"/>
        </w:rPr>
      </w:pPr>
      <w:permStart w:id="247" w:edGrp="everyone"/>
      <w:r>
        <w:rPr>
          <w:rFonts w:hint="eastAsia" w:ascii="仿宋_GB2312" w:hAnsi="仿宋_GB2312" w:eastAsia="仿宋_GB2312" w:cs="仿宋_GB2312"/>
          <w:color w:val="auto"/>
          <w:kern w:val="0"/>
          <w:sz w:val="24"/>
          <w:szCs w:val="24"/>
          <w:highlight w:val="none"/>
          <w:lang w:eastAsia="zh-CN"/>
        </w:rPr>
        <w:sym w:font="Wingdings 2" w:char="0051"/>
      </w:r>
      <w:permEnd w:id="247"/>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w:t>
      </w:r>
    </w:p>
    <w:p w14:paraId="7CAF4F55">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8" w:edGrp="everyone"/>
      <w:r>
        <w:rPr>
          <w:rFonts w:hint="eastAsia" w:ascii="仿宋_GB2312" w:hAnsi="仿宋_GB2312" w:eastAsia="仿宋_GB2312" w:cs="仿宋_GB2312"/>
          <w:color w:val="auto"/>
          <w:kern w:val="0"/>
          <w:sz w:val="24"/>
          <w:szCs w:val="24"/>
          <w:highlight w:val="none"/>
          <w:lang w:eastAsia="zh-CN"/>
        </w:rPr>
        <w:sym w:font="Wingdings 2" w:char="0051"/>
      </w:r>
      <w:permEnd w:id="248"/>
      <w:r>
        <w:rPr>
          <w:rFonts w:hint="eastAsia" w:ascii="仿宋_GB2312" w:hAnsi="仿宋_GB2312" w:eastAsia="仿宋_GB2312" w:cs="仿宋_GB2312"/>
          <w:color w:val="auto"/>
          <w:kern w:val="0"/>
          <w:sz w:val="24"/>
          <w:szCs w:val="24"/>
          <w:highlight w:val="none"/>
        </w:rPr>
        <w:t>广州市建筑业绿色施工示范工程；</w:t>
      </w:r>
    </w:p>
    <w:p w14:paraId="02C48BF9">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49" w:edGrp="everyone"/>
      <w:r>
        <w:rPr>
          <w:rFonts w:hint="eastAsia" w:ascii="仿宋_GB2312" w:hAnsi="仿宋_GB2312" w:eastAsia="仿宋_GB2312" w:cs="仿宋_GB2312"/>
          <w:color w:val="auto"/>
          <w:kern w:val="0"/>
          <w:sz w:val="24"/>
          <w:szCs w:val="24"/>
          <w:highlight w:val="none"/>
          <w:lang w:eastAsia="zh-CN"/>
        </w:rPr>
        <w:sym w:font="Wingdings 2" w:char="0051"/>
      </w:r>
      <w:permEnd w:id="249"/>
      <w:r>
        <w:rPr>
          <w:rFonts w:hint="eastAsia" w:ascii="仿宋_GB2312" w:hAnsi="仿宋_GB2312" w:eastAsia="仿宋_GB2312" w:cs="仿宋_GB2312"/>
          <w:color w:val="auto"/>
          <w:kern w:val="0"/>
          <w:sz w:val="24"/>
          <w:szCs w:val="24"/>
          <w:highlight w:val="none"/>
        </w:rPr>
        <w:t xml:space="preserve"> 广东省建筑业绿色施工示范工程；</w:t>
      </w:r>
    </w:p>
    <w:p w14:paraId="62111B81">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50" w:edGrp="everyone"/>
      <w:r>
        <w:rPr>
          <w:rFonts w:hint="eastAsia" w:ascii="仿宋_GB2312" w:hAnsi="仿宋_GB2312" w:eastAsia="仿宋_GB2312" w:cs="仿宋_GB2312"/>
          <w:color w:val="auto"/>
          <w:kern w:val="0"/>
          <w:sz w:val="24"/>
          <w:szCs w:val="24"/>
          <w:highlight w:val="none"/>
          <w:lang w:eastAsia="zh-CN"/>
        </w:rPr>
        <w:sym w:font="Wingdings 2" w:char="0051"/>
      </w:r>
      <w:permEnd w:id="250"/>
      <w:r>
        <w:rPr>
          <w:rFonts w:hint="eastAsia" w:ascii="仿宋_GB2312" w:hAnsi="仿宋_GB2312" w:eastAsia="仿宋_GB2312" w:cs="仿宋_GB2312"/>
          <w:color w:val="auto"/>
          <w:kern w:val="0"/>
          <w:sz w:val="24"/>
          <w:szCs w:val="24"/>
          <w:highlight w:val="none"/>
        </w:rPr>
        <w:t xml:space="preserve"> 全国建筑业绿色施工示范工程；</w:t>
      </w:r>
    </w:p>
    <w:p w14:paraId="5A6DC3F5">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51" w:edGrp="everyone"/>
      <w:r>
        <w:rPr>
          <w:rFonts w:hint="eastAsia" w:ascii="仿宋_GB2312" w:hAnsi="仿宋_GB2312" w:eastAsia="仿宋_GB2312" w:cs="仿宋_GB2312"/>
          <w:color w:val="auto"/>
          <w:kern w:val="0"/>
          <w:sz w:val="24"/>
          <w:szCs w:val="24"/>
          <w:highlight w:val="none"/>
          <w:lang w:eastAsia="zh-CN"/>
        </w:rPr>
        <w:sym w:font="Wingdings 2" w:char="0051"/>
      </w:r>
      <w:permEnd w:id="251"/>
      <w:r>
        <w:rPr>
          <w:rFonts w:hint="eastAsia" w:ascii="仿宋_GB2312" w:hAnsi="仿宋_GB2312" w:eastAsia="仿宋_GB2312" w:cs="仿宋_GB2312"/>
          <w:color w:val="auto"/>
          <w:kern w:val="0"/>
          <w:sz w:val="24"/>
          <w:szCs w:val="24"/>
          <w:highlight w:val="none"/>
        </w:rPr>
        <w:t>其它</w:t>
      </w:r>
      <w:permStart w:id="252"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52"/>
      <w:r>
        <w:rPr>
          <w:rFonts w:hint="eastAsia" w:ascii="仿宋_GB2312" w:hAnsi="仿宋_GB2312" w:eastAsia="仿宋_GB2312" w:cs="仿宋_GB2312"/>
          <w:color w:val="auto"/>
          <w:kern w:val="0"/>
          <w:sz w:val="24"/>
          <w:szCs w:val="24"/>
          <w:highlight w:val="none"/>
        </w:rPr>
        <w:t xml:space="preserve"> </w:t>
      </w:r>
    </w:p>
    <w:p w14:paraId="4E3C37BF">
      <w:pPr>
        <w:spacing w:line="420" w:lineRule="exact"/>
        <w:ind w:firstLine="482"/>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45.9</w:t>
      </w:r>
      <w:r>
        <w:rPr>
          <w:rFonts w:hint="eastAsia" w:ascii="仿宋_GB2312" w:hAnsi="仿宋_GB2312" w:eastAsia="仿宋_GB2312" w:cs="仿宋_GB2312"/>
          <w:color w:val="auto"/>
          <w:kern w:val="0"/>
          <w:sz w:val="24"/>
          <w:szCs w:val="24"/>
          <w:highlight w:val="none"/>
        </w:rPr>
        <w:t>特别安全生产事项</w:t>
      </w:r>
    </w:p>
    <w:p w14:paraId="20A7224F">
      <w:pPr>
        <w:spacing w:line="420" w:lineRule="exact"/>
        <w:ind w:firstLine="4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危险性较大分部分项专项工程施工技术措施标准、要求：</w:t>
      </w:r>
      <w:permStart w:id="25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由承包人组织编制危险性较大的分部分项工程及超过一定规模的危险性较大的分部分项工程的施工方案，并组织符合相关要求的专家对超过一定规模的危险性较大的分部分项工程施工方案进行评审；配合报送通过评审的施工方案至相关管理单位</w:t>
      </w:r>
      <w:r>
        <w:rPr>
          <w:rFonts w:hint="eastAsia" w:ascii="仿宋_GB2312" w:hAnsi="仿宋_GB2312" w:eastAsia="仿宋_GB2312" w:cs="仿宋_GB2312"/>
          <w:color w:val="auto"/>
          <w:sz w:val="24"/>
          <w:szCs w:val="24"/>
          <w:highlight w:val="none"/>
          <w:u w:val="single"/>
        </w:rPr>
        <w:t xml:space="preserve"> </w:t>
      </w:r>
      <w:permEnd w:id="253"/>
      <w:r>
        <w:rPr>
          <w:rFonts w:hint="eastAsia" w:ascii="仿宋_GB2312" w:hAnsi="仿宋_GB2312" w:eastAsia="仿宋_GB2312" w:cs="仿宋_GB2312"/>
          <w:color w:val="auto"/>
          <w:sz w:val="24"/>
          <w:szCs w:val="24"/>
          <w:highlight w:val="none"/>
        </w:rPr>
        <w:t>；</w:t>
      </w:r>
    </w:p>
    <w:p w14:paraId="13AAD9F8">
      <w:pPr>
        <w:spacing w:line="420" w:lineRule="exact"/>
        <w:ind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危险性较大分部分项专项工程施工技术措施费：</w:t>
      </w:r>
      <w:permStart w:id="254"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permEnd w:id="254"/>
      <w:r>
        <w:rPr>
          <w:rFonts w:hint="eastAsia" w:ascii="仿宋_GB2312" w:hAnsi="仿宋_GB2312" w:eastAsia="仿宋_GB2312" w:cs="仿宋_GB2312"/>
          <w:color w:val="auto"/>
          <w:sz w:val="24"/>
          <w:szCs w:val="24"/>
          <w:highlight w:val="none"/>
        </w:rPr>
        <w:t>元。</w:t>
      </w:r>
      <w:bookmarkStart w:id="645" w:name="_Toc469384107"/>
      <w:bookmarkStart w:id="646" w:name="_Toc10624951"/>
    </w:p>
    <w:p w14:paraId="7632D438">
      <w:pPr>
        <w:spacing w:line="420" w:lineRule="exact"/>
        <w:rPr>
          <w:rFonts w:hint="eastAsia" w:ascii="仿宋_GB2312" w:hAnsi="仿宋_GB2312" w:eastAsia="仿宋_GB2312" w:cs="仿宋_GB2312"/>
          <w:color w:val="auto"/>
          <w:sz w:val="24"/>
          <w:szCs w:val="24"/>
          <w:highlight w:val="none"/>
        </w:rPr>
      </w:pPr>
    </w:p>
    <w:p w14:paraId="734A4B91">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46. 测量放线</w:t>
      </w:r>
      <w:bookmarkEnd w:id="645"/>
      <w:bookmarkEnd w:id="646"/>
    </w:p>
    <w:p w14:paraId="02EE17C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46.1 发包人通过监理工程师提供测量基准点、基准线和水准点及其书面资料的期限：</w:t>
      </w:r>
      <w:permStart w:id="255" w:edGrp="everyone"/>
      <w:r>
        <w:rPr>
          <w:rFonts w:hint="eastAsia" w:ascii="仿宋_GB2312" w:hAnsi="仿宋_GB2312" w:eastAsia="仿宋_GB2312" w:cs="仿宋_GB2312"/>
          <w:color w:val="auto"/>
          <w:kern w:val="0"/>
          <w:sz w:val="24"/>
          <w:szCs w:val="24"/>
          <w:highlight w:val="none"/>
          <w:u w:val="single"/>
        </w:rPr>
        <w:t>开工前30天。</w:t>
      </w:r>
      <w:permEnd w:id="255"/>
    </w:p>
    <w:p w14:paraId="4113254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承包人测设施工控制网的要求：根据国家测绘基准、测绘系统和工程测量技术规范，经监理工程师审批报发包人同意后按上述基准点、基准线，根据项目工程测设控制有关规范及精度要求，测绘施工控制网，</w:t>
      </w:r>
      <w:permStart w:id="256" w:edGrp="everyone"/>
      <w:r>
        <w:rPr>
          <w:rFonts w:hint="eastAsia" w:ascii="仿宋_GB2312" w:hAnsi="仿宋_GB2312" w:eastAsia="仿宋_GB2312" w:cs="仿宋_GB2312"/>
          <w:color w:val="auto"/>
          <w:kern w:val="0"/>
          <w:sz w:val="24"/>
          <w:szCs w:val="24"/>
          <w:highlight w:val="none"/>
          <w:u w:val="single"/>
        </w:rPr>
        <w:t>在开工前15天内，</w:t>
      </w:r>
      <w:permEnd w:id="256"/>
      <w:r>
        <w:rPr>
          <w:rFonts w:hint="eastAsia" w:ascii="仿宋_GB2312" w:hAnsi="仿宋_GB2312" w:eastAsia="仿宋_GB2312" w:cs="仿宋_GB2312"/>
          <w:color w:val="auto"/>
          <w:kern w:val="0"/>
          <w:sz w:val="24"/>
          <w:szCs w:val="24"/>
          <w:highlight w:val="none"/>
        </w:rPr>
        <w:t>将施工控制网资料报监理工程师审批。</w:t>
      </w:r>
    </w:p>
    <w:p w14:paraId="702AB6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46.4 测量放线误差的约定：监理工程师有权对承包人施工测量放线工作进行检查验收。如果发现永久工程任何部分的位置、标高、尺寸或定线存在偏差并造成损失的，发包人通过监理工程师提供的工程地质和地下管线资料仅供参考。承包人应当在施工前对资料数据自行核实，并承担由于施工过程地质数据偏差而引起的责任和损失。</w:t>
      </w:r>
    </w:p>
    <w:p w14:paraId="176E109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负责委托具备勘察测量资质的单位对所提供的道路测量控制桩、水准点和标高进行现场复测，并填妥《测量复核记录》签字备案，然后将用地边线标识后提交给发包人委托的拆迁单位作为控制边线，其费用已包含在合同价款中。</w:t>
      </w:r>
      <w:bookmarkStart w:id="647" w:name="_Toc10624952"/>
      <w:bookmarkStart w:id="648" w:name="_Toc469384108"/>
    </w:p>
    <w:p w14:paraId="506A06A9">
      <w:pPr>
        <w:spacing w:line="420" w:lineRule="exact"/>
        <w:rPr>
          <w:rFonts w:hint="eastAsia" w:ascii="仿宋_GB2312" w:hAnsi="仿宋_GB2312" w:eastAsia="仿宋_GB2312" w:cs="仿宋_GB2312"/>
          <w:color w:val="auto"/>
          <w:kern w:val="0"/>
          <w:sz w:val="24"/>
          <w:szCs w:val="24"/>
          <w:highlight w:val="none"/>
        </w:rPr>
      </w:pPr>
    </w:p>
    <w:p w14:paraId="75A34C68">
      <w:pPr>
        <w:numPr>
          <w:ilvl w:val="0"/>
          <w:numId w:val="11"/>
        </w:num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发包人供应材料和工程设备</w:t>
      </w:r>
      <w:bookmarkEnd w:id="647"/>
      <w:bookmarkEnd w:id="648"/>
    </w:p>
    <w:p w14:paraId="67F2CE8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发包人不供应材料和工程设备的，本条不适用。</w:t>
      </w:r>
    </w:p>
    <w:p w14:paraId="5EE49F07">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48.1 约定供应的材料和工程设备</w:t>
      </w:r>
    </w:p>
    <w:p w14:paraId="143DF66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发包人供应材料和工程设备的，应与承包人约定“发包人供应材料和工程设备一览表”，作为本合同的附件。承包人应根据发包人供应材料、设备的有关管理规定办理项目招标文件中关于本项目由发包人供应材料、设备的领用、验收、退料等工作，领用的材料名称、规格、数量详见招标文件中发包人提供的材料和工程设备一览表。承包人每月应当与发包人核对确认当月材料设备的领用情况，同时在工程完工后1个月内，与发包人确认该工程的所有发包人供应材料设备的领用、退料、验收情况。如未按照合同约定时限进行确认的，承包人应当向发包人支付合同价款的</w:t>
      </w:r>
      <w:permStart w:id="257" w:edGrp="everyone"/>
      <w:r>
        <w:rPr>
          <w:rFonts w:hint="eastAsia" w:ascii="仿宋_GB2312" w:hAnsi="仿宋_GB2312" w:eastAsia="仿宋_GB2312" w:cs="仿宋_GB2312"/>
          <w:color w:val="auto"/>
          <w:kern w:val="0"/>
          <w:sz w:val="24"/>
          <w:szCs w:val="24"/>
          <w:highlight w:val="none"/>
          <w:u w:val="single"/>
        </w:rPr>
        <w:t xml:space="preserve"> 1 ‰</w:t>
      </w:r>
      <w:permEnd w:id="257"/>
      <w:r>
        <w:rPr>
          <w:rFonts w:hint="eastAsia" w:ascii="仿宋_GB2312" w:hAnsi="仿宋_GB2312" w:eastAsia="仿宋_GB2312" w:cs="仿宋_GB2312"/>
          <w:color w:val="auto"/>
          <w:kern w:val="0"/>
          <w:sz w:val="24"/>
          <w:szCs w:val="24"/>
          <w:highlight w:val="none"/>
        </w:rPr>
        <w:t>作为违约金。</w:t>
      </w:r>
    </w:p>
    <w:p w14:paraId="3ED6FEFC">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48.3发包人供应材料和工程设备的交货方式：由发包人委托设备供应商运至施工现场，如需承包人到指定地点运输材料时，按第48.8（1）项支付材料运输费，并不再支付承包人其他与发包人供应材料和工程设备相关费用（包括但不限于保管费）。</w:t>
      </w:r>
    </w:p>
    <w:p w14:paraId="51706256">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48.5由发包人提供的材料和工程设备验收后，由承包人负责接收、运输（如需要）和保管。发包人供应材料和工程设备的，经合同双方当事人共同清点后由承包人妥善保管，相应保管费用包含在承包人的投标报价中。因承包人保管不善或承包人其他原因导致丢失或损害的，承包人应予赔偿。发包人未通知承包人清点，承包人不负责材料设备的保管，丢失或损害由发包人负责。</w:t>
      </w:r>
    </w:p>
    <w:p w14:paraId="00128E53">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48.8 发包人供应材料和工程设备的结算方式：</w:t>
      </w:r>
    </w:p>
    <w:p w14:paraId="7667FB7A">
      <w:pPr>
        <w:spacing w:line="420" w:lineRule="exact"/>
        <w:ind w:firstLine="720" w:firstLineChars="3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zh-CN"/>
        </w:rPr>
        <w:t>如发包人需要承包人到指定地点运输材料时，运输费用按发包人确认的台班签认实际工程量计算。承包人应将运输费发生的原因和自运材料数量以签证的形式报发包人审核确认，作为工程量结算依据。</w:t>
      </w:r>
    </w:p>
    <w:p w14:paraId="7725C897">
      <w:pPr>
        <w:spacing w:line="420" w:lineRule="exact"/>
        <w:ind w:firstLine="720" w:firstLineChars="300"/>
        <w:rPr>
          <w:rFonts w:hint="eastAsia" w:ascii="仿宋_GB2312" w:hAnsi="仿宋_GB2312" w:eastAsia="仿宋_GB2312" w:cs="仿宋_GB2312"/>
          <w:color w:val="auto"/>
          <w:kern w:val="0"/>
          <w:sz w:val="24"/>
          <w:szCs w:val="24"/>
          <w:highlight w:val="none"/>
          <w:lang w:val="zh-CN"/>
        </w:rPr>
      </w:pPr>
      <w:r>
        <w:rPr>
          <w:rFonts w:hint="eastAsia" w:ascii="仿宋_GB2312" w:hAnsi="仿宋_GB2312" w:eastAsia="仿宋_GB2312" w:cs="仿宋_GB2312"/>
          <w:color w:val="auto"/>
          <w:kern w:val="0"/>
          <w:sz w:val="24"/>
          <w:szCs w:val="24"/>
          <w:highlight w:val="none"/>
          <w:lang w:val="zh-CN"/>
        </w:rPr>
        <w:t>（2）由发包人运到施工现场的材料，承包人不能发生大宗退料情况（因工程变更而发生的大宗退料除外），退料数量不得超过原计划数量的10%。</w:t>
      </w:r>
    </w:p>
    <w:p w14:paraId="365881C2">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各项材料工程的剩余材料，应按发包人材料管理的相关制度办理退料。承包人超出定额规定的正常消耗量多领或错领材料，且不退料的，将在审核工程费用结算时依据材料实际耗用量确认表确认的差异量，按照工程领料或工程开工时发包人当期材料的中标综合单价1.0倍进行扣罚。基准扣罚单价的确定原则如下：领料时有《收货清单》的，按《收货清单》上的综合单价；领料时没有《收货清单》的，按工程开工时当期发包人材料年度标中标综合单价；当领用相同规格型号的材料涉及不同年度标或同一年度标不同厂家而出现2个或以上综合单价的，取最高综合单价。退料时限：工程材料的退料时间需在完成该项工程形象100%后的90日以内。</w:t>
      </w:r>
    </w:p>
    <w:p w14:paraId="376AED05">
      <w:pPr>
        <w:widowControl w:val="0"/>
        <w:adjustRightInd w:val="0"/>
        <w:spacing w:line="420" w:lineRule="exact"/>
        <w:ind w:firstLine="720" w:firstLineChars="3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（4）本工程如设置了发包人供应材料和工程设备保管费，按协议书合价包干，不再执行专用条款第48.8（1）项中发包人供应材料和工程设备运输费用的约定。</w:t>
      </w:r>
      <w:bookmarkStart w:id="649" w:name="_Toc469384109"/>
      <w:bookmarkStart w:id="650" w:name="_Toc10624953"/>
    </w:p>
    <w:p w14:paraId="6DB703E3">
      <w:pPr>
        <w:widowControl w:val="0"/>
        <w:adjustRightInd w:val="0"/>
        <w:spacing w:line="420" w:lineRule="exact"/>
        <w:ind w:firstLine="0"/>
        <w:jc w:val="both"/>
        <w:textAlignment w:val="baseline"/>
        <w:rPr>
          <w:rFonts w:hint="eastAsia" w:ascii="仿宋_GB2312" w:hAnsi="仿宋_GB2312" w:eastAsia="仿宋_GB2312" w:cs="仿宋_GB2312"/>
          <w:color w:val="auto"/>
          <w:kern w:val="0"/>
          <w:sz w:val="24"/>
          <w:szCs w:val="24"/>
          <w:highlight w:val="none"/>
          <w:lang w:val="en-US" w:eastAsia="zh-CN" w:bidi="ar-SA"/>
        </w:rPr>
      </w:pPr>
    </w:p>
    <w:p w14:paraId="064CDB20">
      <w:pPr>
        <w:widowControl w:val="0"/>
        <w:adjustRightInd w:val="0"/>
        <w:spacing w:line="420" w:lineRule="exact"/>
        <w:ind w:firstLine="0"/>
        <w:jc w:val="both"/>
        <w:textAlignment w:val="baseline"/>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49. 承包人采购材料和工程设备</w:t>
      </w:r>
      <w:bookmarkEnd w:id="649"/>
      <w:bookmarkEnd w:id="650"/>
    </w:p>
    <w:p w14:paraId="49E1083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49.1 承包人采购材料和工程设备</w:t>
      </w:r>
    </w:p>
    <w:p w14:paraId="6B46F2E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按通用条款规定，由承包人负责采购、运输和保管。</w:t>
      </w:r>
    </w:p>
    <w:p w14:paraId="2A1B2E0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14:paraId="4B39B168">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49.2 承包人供货要求： 承包人在采购每一种类的主要</w:t>
      </w:r>
      <w:r>
        <w:rPr>
          <w:rFonts w:hint="eastAsia" w:ascii="仿宋_GB2312" w:hAnsi="仿宋_GB2312" w:eastAsia="仿宋_GB2312" w:cs="仿宋_GB2312"/>
          <w:color w:val="auto"/>
          <w:kern w:val="0"/>
          <w:sz w:val="24"/>
          <w:szCs w:val="24"/>
          <w:highlight w:val="none"/>
          <w:lang w:val="en-US" w:eastAsia="zh-CN"/>
        </w:rPr>
        <w:t>设备、</w:t>
      </w:r>
      <w:r>
        <w:rPr>
          <w:rFonts w:hint="eastAsia" w:ascii="仿宋_GB2312" w:hAnsi="仿宋_GB2312" w:eastAsia="仿宋_GB2312" w:cs="仿宋_GB2312"/>
          <w:color w:val="auto"/>
          <w:kern w:val="0"/>
          <w:sz w:val="24"/>
          <w:szCs w:val="24"/>
          <w:highlight w:val="none"/>
        </w:rPr>
        <w:t>材料前（如钢材、钢绞线、水泥、橡胶支座、收缩缝、管材等），</w:t>
      </w:r>
      <w:r>
        <w:rPr>
          <w:rFonts w:hint="eastAsia" w:ascii="仿宋_GB2312" w:hAnsi="仿宋_GB2312" w:eastAsia="仿宋_GB2312" w:cs="仿宋_GB2312"/>
          <w:color w:val="auto"/>
          <w:kern w:val="0"/>
          <w:sz w:val="24"/>
          <w:szCs w:val="24"/>
          <w:highlight w:val="none"/>
        </w:rPr>
        <w:t>参照合同附件十六“车陂加压站复建工程第二阶段(附属设施用房)乙供主要设备清单表”中设备品牌档次的采购标准原则，</w:t>
      </w:r>
      <w:r>
        <w:rPr>
          <w:rFonts w:hint="eastAsia" w:ascii="仿宋_GB2312" w:hAnsi="仿宋_GB2312" w:eastAsia="仿宋_GB2312" w:cs="仿宋_GB2312"/>
          <w:color w:val="auto"/>
          <w:kern w:val="0"/>
          <w:sz w:val="24"/>
          <w:szCs w:val="24"/>
          <w:highlight w:val="none"/>
        </w:rPr>
        <w:t>须将拟定采购供应的材料生产或供应的厂家的企业概况（包括名称、注册资金、生产许可证、年产量和近三年服务于市政工程业绩等）、产品质量合格证书以及反映厂家实力的证明材料等报给监理工程师和发包人，待发包人批准后才能采购使用。否则，将认为其提供不合格材料。承包人将由其提供的材料和工程设备的供货人及品种、规格、数量和供货时间等报送监理工程师审批的期限：</w:t>
      </w:r>
      <w:permStart w:id="25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向监理提交后的7个工作日内</w:t>
      </w:r>
      <w:r>
        <w:rPr>
          <w:rFonts w:hint="eastAsia" w:ascii="仿宋_GB2312" w:hAnsi="仿宋_GB2312" w:eastAsia="仿宋_GB2312" w:cs="仿宋_GB2312"/>
          <w:color w:val="auto"/>
          <w:kern w:val="0"/>
          <w:sz w:val="24"/>
          <w:szCs w:val="24"/>
          <w:highlight w:val="none"/>
          <w:u w:val="single"/>
        </w:rPr>
        <w:t>。</w:t>
      </w:r>
    </w:p>
    <w:permEnd w:id="258"/>
    <w:p w14:paraId="2A125E6F">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49.6 使用替换材料的申请与批准：</w:t>
      </w:r>
      <w:permStart w:id="259" w:edGrp="everyone"/>
      <w:r>
        <w:rPr>
          <w:rFonts w:hint="eastAsia" w:ascii="仿宋_GB2312" w:hAnsi="仿宋_GB2312" w:eastAsia="仿宋_GB2312" w:cs="仿宋_GB2312"/>
          <w:color w:val="auto"/>
          <w:kern w:val="0"/>
          <w:sz w:val="24"/>
          <w:szCs w:val="24"/>
          <w:highlight w:val="none"/>
          <w:u w:val="single"/>
        </w:rPr>
        <w:t>承包人需要使用替换材料的，应经监理工程师同意并由其报发包人批准后方可实施，由此引起合同价款增加的费用由承包人承担，减少的费用由发包人从合同价款中相应扣减。</w:t>
      </w:r>
    </w:p>
    <w:permEnd w:id="259"/>
    <w:p w14:paraId="4B627571">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49.8 发包人依法指定的生产厂家和供应商：</w:t>
      </w:r>
      <w:r>
        <w:rPr>
          <w:rFonts w:hint="eastAsia" w:ascii="仿宋_GB2312" w:hAnsi="仿宋_GB2312" w:eastAsia="仿宋_GB2312" w:cs="仿宋_GB2312"/>
          <w:color w:val="auto"/>
          <w:kern w:val="0"/>
          <w:sz w:val="24"/>
          <w:szCs w:val="24"/>
          <w:highlight w:val="none"/>
          <w:u w:val="single"/>
        </w:rPr>
        <w:t xml:space="preserve">  /。 </w:t>
      </w:r>
    </w:p>
    <w:p w14:paraId="21B217BE">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发包人要求的材料和工程设备建设标准、质量等级：</w:t>
      </w:r>
      <w:r>
        <w:rPr>
          <w:rFonts w:hint="eastAsia" w:ascii="仿宋_GB2312" w:hAnsi="仿宋_GB2312" w:eastAsia="仿宋_GB2312" w:cs="仿宋_GB2312"/>
          <w:color w:val="auto"/>
          <w:kern w:val="0"/>
          <w:sz w:val="24"/>
          <w:szCs w:val="24"/>
          <w:highlight w:val="none"/>
          <w:u w:val="single"/>
        </w:rPr>
        <w:t xml:space="preserve">  /。 </w:t>
      </w:r>
    </w:p>
    <w:p w14:paraId="7073A2EB">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60" w:edGrp="everyone"/>
      <w:r>
        <w:rPr>
          <w:rFonts w:hint="eastAsia" w:ascii="仿宋_GB2312" w:hAnsi="仿宋_GB2312" w:eastAsia="仿宋_GB2312" w:cs="仿宋_GB2312"/>
          <w:color w:val="auto"/>
          <w:kern w:val="0"/>
          <w:sz w:val="24"/>
          <w:szCs w:val="24"/>
          <w:highlight w:val="none"/>
        </w:rPr>
        <w:sym w:font="Wingdings 2" w:char="0051"/>
      </w:r>
      <w:permEnd w:id="260"/>
      <w:r>
        <w:rPr>
          <w:rFonts w:hint="eastAsia" w:ascii="仿宋_GB2312" w:hAnsi="仿宋_GB2312" w:eastAsia="仿宋_GB2312" w:cs="仿宋_GB2312"/>
          <w:color w:val="auto"/>
          <w:kern w:val="0"/>
          <w:sz w:val="24"/>
          <w:szCs w:val="24"/>
          <w:highlight w:val="none"/>
        </w:rPr>
        <w:t>装修、修缮工程：投标人填报附件十五材料表中的“投标单位拟使用品牌”，如未填报，则视为发包人可采用附件十五材料表中的任一推荐品牌。填报品牌必须是“推荐品牌”之一或者不低于“推荐品牌”的档次，采购前需报发包人审核；如填报品牌档次或者最终实际采用材料品牌档次低于“推荐品牌”,发包人有权在结算阶段按协议书调整中标综合单价。</w:t>
      </w:r>
    </w:p>
    <w:p w14:paraId="3564964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49.9政府质量安全监督部门和监理工程师有权安排抽检，承包人应积极配合。政府质量安全监督部门出具的检验报告书作为工程竣工验收所需要文件的组成部分。在施工过程中，监理工程师有权随时对工程材料、设备的使用进行抽查，包括成品、半成品、器具、设备、附件、小五金等。抽查范围、比例、数量、批次及检查深度可比照国家现行施工质量验收规范和相关规定。如抽查部分经检测为合格的检测费用由发包人承担；如抽查部分经检测为不合格的检测费用由承包人承担，并按照第90条（13）项承担违约责任。同时，监理工程师还必须扩大对该批材料的抽查范围、增加数量抽检，若仍不合格的，承包人必须在监理工程师书面通知的限期内全部无条件拆除、更换，并运出施工现场，由此所造成的工期延误、费用增加等一切损失均由承包人承担。同时，承包人还应当按照第90条（13）项承担违约责任。</w:t>
      </w:r>
    </w:p>
    <w:p w14:paraId="6BFD082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49.10工程材料、设备的质量依据下列顺序之标准认定：</w:t>
      </w:r>
    </w:p>
    <w:p w14:paraId="79E69E9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（1）本工程设计图纸规定的设计标准；</w:t>
      </w:r>
    </w:p>
    <w:p w14:paraId="51F63EC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（2）招投标时确定的规格、技术指标、质量标准、品牌等；</w:t>
      </w:r>
    </w:p>
    <w:p w14:paraId="23C96F1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（3）经设计人、监理人、发包人、承包人共同认定的产品封样、样板；</w:t>
      </w:r>
    </w:p>
    <w:p w14:paraId="49A6482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（4）国家或行业强制执行的技术标准、技术规范。</w:t>
      </w:r>
      <w:bookmarkStart w:id="651" w:name="_Toc469384110"/>
      <w:bookmarkStart w:id="652" w:name="_Toc10624954"/>
    </w:p>
    <w:p w14:paraId="7226EF19">
      <w:pPr>
        <w:spacing w:line="420" w:lineRule="exact"/>
        <w:rPr>
          <w:rFonts w:hint="eastAsia" w:ascii="仿宋_GB2312" w:hAnsi="仿宋_GB2312" w:eastAsia="仿宋_GB2312" w:cs="仿宋_GB2312"/>
          <w:color w:val="auto"/>
          <w:kern w:val="0"/>
          <w:sz w:val="24"/>
          <w:szCs w:val="24"/>
          <w:highlight w:val="none"/>
        </w:rPr>
      </w:pPr>
    </w:p>
    <w:p w14:paraId="0080FED2">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50. 材料和工程设备的检验试验</w:t>
      </w:r>
      <w:bookmarkEnd w:id="651"/>
      <w:bookmarkEnd w:id="652"/>
    </w:p>
    <w:p w14:paraId="45FBDC8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50.2 见证取样检验试验的材料和工程设备</w:t>
      </w:r>
    </w:p>
    <w:p w14:paraId="79D9B8B7">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（1） 种类：</w:t>
      </w:r>
    </w:p>
    <w:p w14:paraId="2B7633CF">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1）厂站类工程项目：常规材料检测，包括但不限于水泥、粗集料、细集料、钢筋、钢板、砖、混凝土、砂浆、电力套管用HDPE管、镀锌钢管、镀锌圆钢及扁钢、电缆桥架、混凝土管、聚乙烯波纹管、球墨铸铁管、钢管、阀门、高密度聚乙烯给水管、UPVC管、灰砂砖、井盖、墙砖、PE给水管、铝合金、饰面砖、橡胶止水带、镀锌钢板止水带、防水涂料等；</w:t>
      </w:r>
    </w:p>
    <w:p w14:paraId="71D5655E">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2）管网类工程项目：常规材料检测，包括但不限于水泥、砂、粗集料、细集料、钢筋、砼试块、沥青混合料、钢板、砖、混凝土、砂浆、外加剂、砂浆试块、钢筋接头等；</w:t>
      </w:r>
    </w:p>
    <w:p w14:paraId="2F841CA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u w:val="single"/>
        </w:rPr>
        <w:t>甲供管材复验检测，包括但不限于钢管、球墨铸铁管、钢塑复合压力管、阀门类、井盖等。</w:t>
      </w:r>
    </w:p>
    <w:p w14:paraId="1DD07D57">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（2）检测机构：</w:t>
      </w:r>
      <w:r>
        <w:rPr>
          <w:rFonts w:hint="eastAsia" w:ascii="仿宋_GB2312" w:hAnsi="仿宋_GB2312" w:eastAsia="仿宋_GB2312" w:cs="仿宋_GB2312"/>
          <w:color w:val="auto"/>
          <w:kern w:val="0"/>
          <w:sz w:val="24"/>
          <w:szCs w:val="24"/>
          <w:highlight w:val="none"/>
          <w:u w:val="single"/>
        </w:rPr>
        <w:t xml:space="preserve">    由发包人另行通知。  </w:t>
      </w:r>
    </w:p>
    <w:p w14:paraId="13613056">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50.7 发包人可委托第三方检验试验单位负责本合同工程材料、设备、桩基、CCTV等检测和检验试验。</w:t>
      </w:r>
      <w:bookmarkStart w:id="653" w:name="_Toc469384111"/>
      <w:bookmarkStart w:id="654" w:name="_Toc10624955"/>
    </w:p>
    <w:p w14:paraId="0B1C0E09">
      <w:pPr>
        <w:spacing w:line="420" w:lineRule="exact"/>
        <w:rPr>
          <w:rFonts w:hint="eastAsia" w:ascii="仿宋_GB2312" w:hAnsi="仿宋_GB2312" w:eastAsia="仿宋_GB2312" w:cs="仿宋_GB2312"/>
          <w:color w:val="auto"/>
          <w:kern w:val="0"/>
          <w:sz w:val="24"/>
          <w:szCs w:val="24"/>
          <w:highlight w:val="none"/>
        </w:rPr>
      </w:pPr>
    </w:p>
    <w:p w14:paraId="4731A84D">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51. 施工设备和临时设施</w:t>
      </w:r>
      <w:bookmarkEnd w:id="653"/>
      <w:bookmarkEnd w:id="654"/>
    </w:p>
    <w:p w14:paraId="1F6F4148">
      <w:pPr>
        <w:spacing w:line="420" w:lineRule="exact"/>
        <w:ind w:firstLine="600"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51.1 承包人配置施工设备和临时设施</w:t>
      </w:r>
    </w:p>
    <w:p w14:paraId="50850433">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按通用条款规定，承包人承担修建临时设施的费用。</w:t>
      </w:r>
    </w:p>
    <w:p w14:paraId="0543905A">
      <w:pPr>
        <w:spacing w:line="420" w:lineRule="exact"/>
        <w:ind w:firstLine="600" w:firstLineChars="2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14:paraId="620634CB">
      <w:pPr>
        <w:spacing w:line="420" w:lineRule="exact"/>
        <w:ind w:firstLine="600" w:firstLineChars="2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51.2 发包人提供的施工设备和临时设施：</w:t>
      </w:r>
      <w:permStart w:id="26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1"/>
    </w:p>
    <w:p w14:paraId="4AE1F46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发包人提供的施工设备和临时设施的运行、维护、拆除、清运费用的承担人：</w:t>
      </w:r>
      <w:r>
        <w:rPr>
          <w:rFonts w:hint="eastAsia" w:ascii="仿宋_GB2312" w:hAnsi="仿宋_GB2312" w:eastAsia="仿宋_GB2312" w:cs="仿宋_GB2312"/>
          <w:color w:val="auto"/>
          <w:kern w:val="0"/>
          <w:sz w:val="24"/>
          <w:szCs w:val="24"/>
          <w:highlight w:val="none"/>
          <w:u w:val="single"/>
        </w:rPr>
        <w:t>承包人</w:t>
      </w:r>
      <w:r>
        <w:rPr>
          <w:rFonts w:hint="eastAsia" w:ascii="仿宋_GB2312" w:hAnsi="仿宋_GB2312" w:eastAsia="仿宋_GB2312" w:cs="仿宋_GB2312"/>
          <w:color w:val="auto"/>
          <w:kern w:val="0"/>
          <w:sz w:val="24"/>
          <w:szCs w:val="24"/>
          <w:highlight w:val="none"/>
        </w:rPr>
        <w:t>。费用已包含在合同价款中。</w:t>
      </w:r>
    </w:p>
    <w:p w14:paraId="64517FB4">
      <w:pPr>
        <w:widowControl w:val="0"/>
        <w:numPr>
          <w:ilvl w:val="255"/>
          <w:numId w:val="0"/>
        </w:numPr>
        <w:tabs>
          <w:tab w:val="left" w:pos="576"/>
        </w:tabs>
        <w:spacing w:before="260" w:line="420" w:lineRule="exact"/>
        <w:ind w:left="574" w:hanging="624" w:hangingChars="260"/>
        <w:jc w:val="left"/>
        <w:outlineLvl w:val="1"/>
        <w:rPr>
          <w:rFonts w:hint="eastAsia" w:ascii="黑体" w:hAnsi="黑体" w:eastAsia="黑体" w:cs="黑体"/>
          <w:b w:val="0"/>
          <w:bCs w:val="0"/>
          <w:color w:val="auto"/>
          <w:kern w:val="0"/>
          <w:sz w:val="24"/>
          <w:szCs w:val="24"/>
          <w:highlight w:val="none"/>
          <w:lang w:val="en-US" w:eastAsia="zh-CN" w:bidi="ar-SA"/>
        </w:rPr>
      </w:pPr>
      <w:bookmarkStart w:id="655" w:name="_Toc469384112"/>
      <w:bookmarkStart w:id="656" w:name="_Toc10624956"/>
      <w:r>
        <w:rPr>
          <w:rFonts w:hint="eastAsia" w:ascii="黑体" w:hAnsi="黑体" w:eastAsia="黑体" w:cs="黑体"/>
          <w:b w:val="0"/>
          <w:bCs w:val="0"/>
          <w:color w:val="auto"/>
          <w:kern w:val="0"/>
          <w:sz w:val="24"/>
          <w:szCs w:val="24"/>
          <w:highlight w:val="none"/>
          <w:lang w:val="en-US" w:eastAsia="zh-CN" w:bidi="ar-SA"/>
        </w:rPr>
        <w:t>52.工程质量检查</w:t>
      </w:r>
    </w:p>
    <w:p w14:paraId="3A3ACD8F">
      <w:pPr>
        <w:widowControl w:val="0"/>
        <w:spacing w:after="120"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52.2工程质量检查的要求</w:t>
      </w:r>
    </w:p>
    <w:p w14:paraId="56C62B9B">
      <w:pPr>
        <w:widowControl w:val="0"/>
        <w:spacing w:after="120" w:line="42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（1）承包人向监理工程师报送工程质量报表的期限：开工后每月20日前。</w:t>
      </w:r>
    </w:p>
    <w:p w14:paraId="700A9F6D">
      <w:pPr>
        <w:widowControl w:val="0"/>
        <w:spacing w:after="120" w:line="420" w:lineRule="exact"/>
        <w:ind w:firstLine="480" w:firstLineChars="2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（2）承包人向监理工程师报送工程质量报表的要求：同时提交施工方案及质量控制措施，材料设备应提交材料设备的质检报告（产品合格证）等资料。</w:t>
      </w:r>
    </w:p>
    <w:p w14:paraId="4BFCE52E">
      <w:pPr>
        <w:widowControl w:val="0"/>
        <w:spacing w:after="120" w:line="420" w:lineRule="exact"/>
        <w:ind w:firstLine="480" w:firstLineChars="200"/>
        <w:jc w:val="left"/>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（3）监理工程师审查工程质量报表的期限：收到质量报表后5个日历天内。</w:t>
      </w:r>
    </w:p>
    <w:p w14:paraId="561B657E">
      <w:pPr>
        <w:widowControl w:val="0"/>
        <w:numPr>
          <w:ilvl w:val="0"/>
          <w:numId w:val="0"/>
        </w:numPr>
        <w:tabs>
          <w:tab w:val="left" w:pos="420"/>
          <w:tab w:val="left" w:pos="576"/>
        </w:tabs>
        <w:spacing w:before="260" w:line="420" w:lineRule="exact"/>
        <w:ind w:left="574" w:hanging="624" w:hangingChars="260"/>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53. 隐蔽工程和中间验收</w:t>
      </w:r>
      <w:bookmarkEnd w:id="655"/>
      <w:bookmarkEnd w:id="656"/>
    </w:p>
    <w:p w14:paraId="5FF90C3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隐蔽工程或中间验收部位未经专业监理工程师验收合格，不得隐蔽或继续施工，否则该部分工程被视为不合格，由此所产生的返工费用由承包人承担。</w:t>
      </w:r>
    </w:p>
    <w:p w14:paraId="42043EE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53.1 中间验收的部位有：包括但不限于沟槽承载力、压实度等质量、管材焊缝质量检测、防水涂层检测、管坑分层回填压实度、工作井、阀门井等结构工程的质量、路面修复质量等，还包括发包人、监理单位及工程质量监督单位根据规范以及本工程特点提出的隐蔽、设计结构安全、重要施工功能、关键施工部位的分部分项工程。</w:t>
      </w:r>
    </w:p>
    <w:p w14:paraId="69D13B52">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当工程进度达到本款约定的中间验收部位时，承包人应当进行自检，并在中间验收前48小时以书面形式通知监理工程师验收，书面通知应包括中间验收的内容、验收时间和地点，并做好验收记录。只有监理工程师验收合格并在验收记录上签字后，承包人方可继续施工；验收不合格的，承包人在3天期限内进行修改后重新验收。</w:t>
      </w:r>
    </w:p>
    <w:p w14:paraId="2E4478DB">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理工程师不能按时进行验收的，应在验收前24小时以书面形式向承包人提出延期要求，延期不能超过48小时。监理工程师未能按本款约定的时限提出延期要求，又未按期进行验收的，承包人可自行组织验收，监理工程师必须认同验收记录。</w:t>
      </w:r>
    </w:p>
    <w:p w14:paraId="07FD676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经监理工程师验收后工程质量符合约定的验收标准，但验收24小时后监理工程师仍不在验收记录上签字的，视为监理工程师已经认可验收记录，承包人可继续施工。</w:t>
      </w:r>
      <w:bookmarkStart w:id="657" w:name="_Toc469384113"/>
      <w:bookmarkStart w:id="658" w:name="_Toc10624957"/>
    </w:p>
    <w:p w14:paraId="004AC26B">
      <w:pPr>
        <w:spacing w:line="420" w:lineRule="exact"/>
        <w:jc w:val="left"/>
        <w:rPr>
          <w:rFonts w:hint="eastAsia" w:ascii="仿宋_GB2312" w:hAnsi="仿宋_GB2312" w:eastAsia="仿宋_GB2312" w:cs="仿宋_GB2312"/>
          <w:color w:val="auto"/>
          <w:kern w:val="0"/>
          <w:sz w:val="24"/>
          <w:szCs w:val="24"/>
          <w:highlight w:val="none"/>
          <w:u w:val="single"/>
        </w:rPr>
      </w:pPr>
    </w:p>
    <w:p w14:paraId="45B80BDF">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55. 工程试车</w:t>
      </w:r>
      <w:bookmarkEnd w:id="657"/>
      <w:bookmarkEnd w:id="658"/>
    </w:p>
    <w:p w14:paraId="190E0B0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55.1 试车内容</w:t>
      </w:r>
    </w:p>
    <w:p w14:paraId="6B0E8B7C">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62" w:edGrp="everyone"/>
      <w:r>
        <w:rPr>
          <w:rFonts w:hint="eastAsia" w:ascii="仿宋_GB2312" w:hAnsi="仿宋_GB2312" w:eastAsia="仿宋_GB2312" w:cs="仿宋_GB2312"/>
          <w:color w:val="auto"/>
          <w:kern w:val="0"/>
          <w:sz w:val="24"/>
          <w:szCs w:val="24"/>
          <w:highlight w:val="none"/>
        </w:rPr>
        <w:sym w:font="Wingdings 2" w:char="0051"/>
      </w:r>
      <w:permEnd w:id="262"/>
      <w:r>
        <w:rPr>
          <w:rFonts w:hint="eastAsia" w:ascii="仿宋_GB2312" w:hAnsi="仿宋_GB2312" w:eastAsia="仿宋_GB2312" w:cs="仿宋_GB2312"/>
          <w:color w:val="auto"/>
          <w:kern w:val="0"/>
          <w:sz w:val="24"/>
          <w:szCs w:val="24"/>
          <w:highlight w:val="none"/>
        </w:rPr>
        <w:t>不需要试车的，本条不适用。</w:t>
      </w:r>
    </w:p>
    <w:p w14:paraId="008BD803">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263" w:edGrp="everyone"/>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 xml:space="preserve"> </w:t>
      </w:r>
      <w:permEnd w:id="263"/>
      <w:r>
        <w:rPr>
          <w:rFonts w:hint="eastAsia" w:ascii="仿宋_GB2312" w:hAnsi="仿宋_GB2312" w:eastAsia="仿宋_GB2312" w:cs="仿宋_GB2312"/>
          <w:color w:val="auto"/>
          <w:kern w:val="0"/>
          <w:sz w:val="24"/>
          <w:szCs w:val="24"/>
          <w:highlight w:val="none"/>
        </w:rPr>
        <w:t>需要试车的，试车的内容和要求：</w:t>
      </w:r>
      <w:permStart w:id="26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试车内容应与承包人承包的安装范围相一致。</w:t>
      </w:r>
    </w:p>
    <w:p w14:paraId="71E8524E">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1）设备安装工程具备单机无负荷试车条件，承包人组织试车，并在试车前48小时以书面形式通知监理人。通知包括试车内容、时间、地点。承包人准备试车记录，发包人根据承包人要求为试车提供必要条件。试车合格，工程师在试车记录上签字。 </w:t>
      </w:r>
    </w:p>
    <w:p w14:paraId="65E99844">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（2）监理人不能按时参加试车，须在开始试车前24小时以书面形式向承包人提出延期要求，不参加试车，应承认试车记录。 </w:t>
      </w:r>
    </w:p>
    <w:p w14:paraId="7D38BB11">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（3）设备安装工程具备无负荷联动试车条件，发包人组织试车，并在试车内容、时间、地点和对承包人的要求，承包人按要求做好准备工作。试车合格，双方在试车记录上签字。</w:t>
      </w:r>
    </w:p>
    <w:p w14:paraId="0F8EA318">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（4）双方责任</w:t>
      </w:r>
    </w:p>
    <w:p w14:paraId="00A94680">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1）由于设计原因试车达不到验收要求，发包人应要求设计单位修改设计，承包人按修改后的设计重新安装。发包人承担修改设计、拆除及重新安装的全部费用和追加合同价款，工期相应顺延。</w:t>
      </w:r>
    </w:p>
    <w:p w14:paraId="641F7AB9">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发包人承担上述各项追加合同价款，工期相应顺延。</w:t>
      </w:r>
    </w:p>
    <w:p w14:paraId="0C145533">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3）由于承包人施工原因试车不到验收要求，承包人按工程师要求重新安装和试车，并承担重新安装和试车的费用，工期不予顺延。</w:t>
      </w:r>
    </w:p>
    <w:p w14:paraId="7BFEE651">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4）试车费用除已包括投标价内，发包人不另行计量支付。</w:t>
      </w:r>
    </w:p>
    <w:p w14:paraId="159D064A">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 xml:space="preserve">5）监理人在试车合格后不在试车记录上签字，试车结束24小时后，视为监理人已经认可试车记录，承包人可继续施工或办理竣工手续。 </w:t>
      </w:r>
    </w:p>
    <w:p w14:paraId="08D53503">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rPr>
        <w:t>（5）投料试车应在工程竣工验收后由发包人负责，如发包人要求在工程竣工验收前进行或需要承包人配合时，应征得承包人同意，另行签订补充协议。</w:t>
      </w:r>
      <w:r>
        <w:rPr>
          <w:rFonts w:hint="eastAsia" w:ascii="仿宋_GB2312" w:hAnsi="仿宋_GB2312" w:eastAsia="仿宋_GB2312" w:cs="仿宋_GB2312"/>
          <w:color w:val="auto"/>
          <w:kern w:val="0"/>
          <w:sz w:val="24"/>
          <w:szCs w:val="24"/>
          <w:highlight w:val="none"/>
          <w:u w:val="single"/>
        </w:rPr>
        <w:t xml:space="preserve"> </w:t>
      </w:r>
      <w:permEnd w:id="264"/>
      <w:bookmarkStart w:id="659" w:name="_Toc10624958"/>
      <w:bookmarkStart w:id="660" w:name="_Toc469384114"/>
    </w:p>
    <w:p w14:paraId="160FACC1">
      <w:pPr>
        <w:spacing w:line="420" w:lineRule="exact"/>
        <w:rPr>
          <w:rFonts w:hint="eastAsia" w:ascii="仿宋_GB2312" w:hAnsi="仿宋_GB2312" w:eastAsia="仿宋_GB2312" w:cs="仿宋_GB2312"/>
          <w:color w:val="auto"/>
          <w:kern w:val="0"/>
          <w:sz w:val="24"/>
          <w:szCs w:val="24"/>
          <w:highlight w:val="none"/>
          <w:u w:val="single"/>
        </w:rPr>
      </w:pPr>
    </w:p>
    <w:p w14:paraId="512BE91B">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56．工程变更</w:t>
      </w:r>
      <w:bookmarkEnd w:id="659"/>
      <w:bookmarkEnd w:id="660"/>
    </w:p>
    <w:p w14:paraId="3973B0A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56.1工程变更应当按照《关于印发&lt;广州市水务建设工程设计变更工作指引&gt;的通知》以及发包人关于设计变更的管理办法及其他相关规定履行报批手续后方可变更。工程变更还应遵循相关法律法规和政策规定以及发包人制定的其他设计变更相关管理办法。</w:t>
      </w:r>
    </w:p>
    <w:p w14:paraId="6F9968E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56.2工程变更内容</w:t>
      </w:r>
    </w:p>
    <w:p w14:paraId="5D1E3921">
      <w:pPr>
        <w:widowControl w:val="0"/>
        <w:spacing w:after="120"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（5）工程量偏差</w:t>
      </w:r>
    </w:p>
    <w:p w14:paraId="79E0ADE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（6）改变合同中任何一项工作已批准的施工工艺；</w:t>
      </w:r>
    </w:p>
    <w:p w14:paraId="2C5EE0B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（7）图纸范围的增加或减少；</w:t>
      </w:r>
    </w:p>
    <w:p w14:paraId="49EBFB4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（8）以下情形不属于工程变更范围：</w:t>
      </w:r>
    </w:p>
    <w:p w14:paraId="4EC6C8E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1）发包人在工程招标文件及其配套的补充通知、设计图纸等文件中已明确应由承包人承担的工作内容、义务和风险，如工程实体的实施（含临时工程）、现场安全生产措施、物价正常波动等。</w:t>
      </w:r>
    </w:p>
    <w:p w14:paraId="399973D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2）因承包人自身技术力量、施工机械、流动资金以及其他应由承包人自身解决的问题等原因导致的工程无法实施或难以实施。</w:t>
      </w:r>
    </w:p>
    <w:p w14:paraId="0546A61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ermStart w:id="265" w:edGrp="everyone"/>
      <w:r>
        <w:rPr>
          <w:rFonts w:hint="eastAsia" w:ascii="仿宋_GB2312" w:hAnsi="仿宋_GB2312" w:eastAsia="仿宋_GB2312" w:cs="仿宋_GB2312"/>
          <w:color w:val="auto"/>
          <w:kern w:val="0"/>
          <w:sz w:val="24"/>
          <w:szCs w:val="24"/>
          <w:highlight w:val="none"/>
        </w:rPr>
        <w:t>☒</w:t>
      </w:r>
      <w:permEnd w:id="265"/>
      <w:r>
        <w:rPr>
          <w:rFonts w:hint="eastAsia" w:ascii="仿宋_GB2312" w:hAnsi="仿宋_GB2312" w:eastAsia="仿宋_GB2312" w:cs="仿宋_GB2312"/>
          <w:color w:val="auto"/>
          <w:kern w:val="0"/>
          <w:sz w:val="24"/>
          <w:szCs w:val="24"/>
          <w:highlight w:val="none"/>
        </w:rPr>
        <w:t>如发包人使用施工图招标的，勾选此项；使用招标图招标的，则不勾选）施工图纸与工程量清单不一致（存在漏项或计量不准确等），但未超出相关合同计量条款约定的调整界限。</w:t>
      </w:r>
    </w:p>
    <w:p w14:paraId="1D7F1E2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4）承包人投标失误，如工程量、单价、总价计算错误，对现场施工组织考虑不周等。</w:t>
      </w:r>
    </w:p>
    <w:p w14:paraId="2B77271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5）属于合同约定由承包人统筹包干使用费用的项目（如一般临时工程、一般拆除工程、排水、承包人驻地建设、施工道路与通道、围蔽、支护等）。</w:t>
      </w:r>
    </w:p>
    <w:p w14:paraId="636C1C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6）其他不属于变更的情形：</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14:paraId="31102B4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（9）单项工程合同变更追加工程用款金额涉及招投标事项的，按相关规定执行。</w:t>
      </w:r>
    </w:p>
    <w:p w14:paraId="3A31AAA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将被取消的合同中的工作转由发包人或其他人实施的，承包人可向监理工程师发出通知，要求发包人采取有效措施纠正违约行为，发包人在监理人收到承包人通知后28天内仍不纠正违约行为的，应当赔偿承包人损失（包括合理的利润）并承担由此引起的其他责任。承包人应当按第74.2款的约定，在上述28天期限到期后的28 天内，向监理人递交索赔意向通知书，并按第74.2款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0152450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56.3工程变更程序</w:t>
      </w:r>
    </w:p>
    <w:p w14:paraId="27785C02">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在工程实施过程中，合同工程发生变更，</w:t>
      </w:r>
      <w:r>
        <w:rPr>
          <w:rFonts w:hint="eastAsia" w:ascii="仿宋_GB2312" w:hAnsi="仿宋_GB2312" w:eastAsia="仿宋_GB2312" w:cs="仿宋_GB2312"/>
          <w:color w:val="auto"/>
          <w:kern w:val="0"/>
          <w:sz w:val="24"/>
          <w:szCs w:val="24"/>
          <w:highlight w:val="none"/>
          <w:lang w:val="en-US" w:eastAsia="zh-CN" w:bidi="ar-SA"/>
        </w:rPr>
        <w:t>属于设计变更的合同双方当事人以及监理工程师、造价工程师应遵循发包人关于设计变更的管理办法实施，如承包人提出的设计变更，承包人应当在3天内完成资料并报至监理工程师，监理工程师应在2天内出具变更初步意见，并由发包人、监理人、设计人在工程联系单中明确是否同意进入设计变更审批程序的意见，同时由发包人组织召开设计变更专题会议并出具会议纪要，如会议同意设计变更方案的，由发包人填写洽商记录并盖章确认后发出设计变更通知，承包人在收到设计变更文件后14日内根据施工合同、招投标文件及相关技术标准、规范要求，编制变更预算报监理工程师及发包人审核，发包人在设计变更批准后，通知监理人向承包人下达现场变更的指令，承包人据此实施设计变更。</w:t>
      </w:r>
      <w:r>
        <w:rPr>
          <w:rFonts w:hint="eastAsia" w:ascii="仿宋_GB2312" w:hAnsi="仿宋_GB2312" w:eastAsia="仿宋_GB2312" w:cs="仿宋_GB2312"/>
          <w:color w:val="auto"/>
          <w:kern w:val="2"/>
          <w:sz w:val="24"/>
          <w:szCs w:val="24"/>
          <w:highlight w:val="none"/>
          <w:lang w:val="en-US" w:eastAsia="zh-CN" w:bidi="ar-SA"/>
        </w:rPr>
        <w:t>如承包人逾期未向发包人提出，或未经发包人同意答复的设计变更实施方案，或该项变更无专题会议纪要等相关过程资料，涉及承包人原因导致增加的费用原则上不纳入结算范围。</w:t>
      </w:r>
    </w:p>
    <w:p w14:paraId="501FB3C9">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除上述设计变更外其余的工程变更，</w:t>
      </w:r>
      <w:r>
        <w:rPr>
          <w:rFonts w:hint="eastAsia" w:ascii="仿宋_GB2312" w:hAnsi="仿宋_GB2312" w:eastAsia="仿宋_GB2312" w:cs="仿宋_GB2312"/>
          <w:color w:val="auto"/>
          <w:kern w:val="2"/>
          <w:sz w:val="24"/>
          <w:szCs w:val="24"/>
          <w:highlight w:val="none"/>
          <w:lang w:val="en-US" w:eastAsia="zh-CN" w:bidi="ar-SA"/>
        </w:rPr>
        <w:t>合同双方当事人以及监理工程师、造价工程师应遵循下列程序实施工程变更的相关工作。</w:t>
      </w:r>
    </w:p>
    <w:p w14:paraId="449F0697">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(1)合同工程可能发生或发生工程变更时，监理工程师或承包人可依据下列情况及时提出。</w:t>
      </w:r>
    </w:p>
    <w:p w14:paraId="7F94FA99">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经监理工程师审核后，报发包人，发包人应在收到实施方案后的7天内予以答复，同意承包人提交的实施方案的，监理工程师应在收到实施方案后的14天内发出变更指令。</w:t>
      </w:r>
    </w:p>
    <w:p w14:paraId="107F8BFA">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2）合同工程发生第56.2款所列情形的，监理工程师应至少提前14天以书面形式向承包人发出变更指令，并提供变更的施工设计图纸及其说明等资料。</w:t>
      </w:r>
    </w:p>
    <w:p w14:paraId="172705EE">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0F34893C">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4）若承包人收到监理工程师的变更意向书后认为难以实施此项变更的，应立即通知监理工程师，说明原因并附详细依据。监理工程师与合同双方当事人协商后确定撤销、改变或不改变原变更意向书。</w:t>
      </w:r>
    </w:p>
    <w:p w14:paraId="07014DD9">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变更工作影响工期的，承包人应提出调整工期的要求。发包人认为有必要时，可要求承包人提交提前或者延长工期的施工进度计划或相应施工措施等资料。</w:t>
      </w:r>
    </w:p>
    <w:p w14:paraId="22057BBD">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18C9B185">
      <w:pPr>
        <w:widowControl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(4)承包人应在发包人确定工程变更报告后的7天内，按照监理工程师发出的变更指令及时组织实施变更工作。否则，由此引起的损失和（或）延误的工期由承包人承担。</w:t>
      </w:r>
    </w:p>
    <w:p w14:paraId="1A7E845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56.4 承包人提出工程变更建议</w:t>
      </w:r>
    </w:p>
    <w:p w14:paraId="7842F9E6">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发包人采纳承包人建议带来利益的计奖方法：（1）监理工程师同意采用承包人提出的工程变更建议的，所发生的费用和获得的收益，由发包人、承包人另行约定分担或分享；（2）承包人在施工中提出的工程变更建议涉及到对设计图纸或施工组织设计的更改及对材料、设备的换用，须经监理工程师同意。未经同意擅自更改或换用时，承包人承担由此发生的费用，并赔偿发包人的有关损失，延误的工期不予顺延</w:t>
      </w:r>
      <w:r>
        <w:rPr>
          <w:rFonts w:hint="eastAsia" w:ascii="仿宋_GB2312" w:hAnsi="仿宋_GB2312" w:eastAsia="仿宋_GB2312" w:cs="仿宋_GB2312"/>
          <w:color w:val="auto"/>
          <w:kern w:val="0"/>
          <w:sz w:val="24"/>
          <w:szCs w:val="24"/>
          <w:highlight w:val="none"/>
          <w:u w:val="none"/>
        </w:rPr>
        <w:t>。</w:t>
      </w:r>
    </w:p>
    <w:p w14:paraId="1C5782E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56.6 对于造成合同价款增加的变更，承包人在监理工程师发出变更指示后28天内不向监理工程师提出变更工程价款报告时，视为该项变更不涉及合同价款的变更。对于造成合同价款减少的变更，承包人在监理工程师发出变更指示后28天内不向监理工程师提出变更工程价款报告时，由发包人责成监理工程师制定变更价款报告，视为承包人接受该合同价款的变更。</w:t>
      </w:r>
      <w:bookmarkStart w:id="661" w:name="_Toc10624959"/>
      <w:bookmarkStart w:id="662" w:name="_Toc469384115"/>
    </w:p>
    <w:p w14:paraId="6B75651E">
      <w:pPr>
        <w:spacing w:line="420" w:lineRule="exact"/>
        <w:rPr>
          <w:rFonts w:hint="eastAsia" w:ascii="仿宋_GB2312" w:hAnsi="仿宋_GB2312" w:eastAsia="仿宋_GB2312" w:cs="仿宋_GB2312"/>
          <w:color w:val="auto"/>
          <w:kern w:val="0"/>
          <w:sz w:val="24"/>
          <w:szCs w:val="24"/>
          <w:highlight w:val="none"/>
        </w:rPr>
      </w:pPr>
    </w:p>
    <w:p w14:paraId="2D6A19B6">
      <w:pPr>
        <w:numPr>
          <w:ilvl w:val="0"/>
          <w:numId w:val="12"/>
        </w:num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竣工验收条件</w:t>
      </w:r>
    </w:p>
    <w:p w14:paraId="76AEFE3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57.2提交竣工验收申请报告</w:t>
      </w:r>
    </w:p>
    <w:p w14:paraId="1CA17B3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（1）承包人负责整理和提交的竣工验收资料应当符合工程所在地建设行政主管部门和（或）城市建设档案管理机构有关施工资料的要求，具体内容包括：</w:t>
      </w:r>
    </w:p>
    <w:p w14:paraId="437BAB5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1）竣工验收资料的份数：</w:t>
      </w:r>
      <w:r>
        <w:rPr>
          <w:rFonts w:hint="eastAsia" w:ascii="仿宋_GB2312" w:hAnsi="仿宋_GB2312" w:eastAsia="仿宋_GB2312" w:cs="仿宋_GB2312"/>
          <w:color w:val="auto"/>
          <w:kern w:val="0"/>
          <w:sz w:val="24"/>
          <w:szCs w:val="24"/>
          <w:highlight w:val="none"/>
          <w:u w:val="single"/>
        </w:rPr>
        <w:t>一式三份。</w:t>
      </w:r>
    </w:p>
    <w:p w14:paraId="3B02C9C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2）竣工验收资料的费用支付方式：</w:t>
      </w:r>
      <w:r>
        <w:rPr>
          <w:rFonts w:hint="eastAsia" w:ascii="仿宋_GB2312" w:hAnsi="仿宋_GB2312" w:eastAsia="仿宋_GB2312" w:cs="仿宋_GB2312"/>
          <w:color w:val="auto"/>
          <w:kern w:val="0"/>
          <w:sz w:val="24"/>
          <w:szCs w:val="24"/>
          <w:highlight w:val="none"/>
          <w:u w:val="single"/>
        </w:rPr>
        <w:t>已包含在合同价款中。</w:t>
      </w:r>
    </w:p>
    <w:p w14:paraId="4633251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2）工程竣工验收及竣工验收备案管理应严格按以下文件执行，承包人应按《市政工程施工技术资料管理规定》要求严格认真填写广东省市政工程施工质量技术资料统一用表，按广州市城建档案馆要求整编，作为工程档案资料在竣工时报送发包人。                                                                                                                       </w:t>
      </w:r>
    </w:p>
    <w:p w14:paraId="69EE6D3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1）住房城乡建设部文件《房屋建筑和市政基础设施工程竣工验收规定》（建质〔2013〕171号）；</w:t>
      </w:r>
    </w:p>
    <w:p w14:paraId="7EFBDEE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2）建设部令第78号《房屋建筑工程和市政基础设施工程竣工验收备案管理暂行办法》；</w:t>
      </w:r>
    </w:p>
    <w:p w14:paraId="08C58FF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3）建设部办公厅《关于&lt;房屋建筑工程和市政基础设施工程竣工验收备案表&gt;的通知》（建办建〔2001〕18号）；</w:t>
      </w:r>
    </w:p>
    <w:p w14:paraId="58E60E4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4）广州市建设委员会文件——《广州市房屋建筑工程和市政基础设施工程竣工验收及备案管理实施办法》（穗建筑〔2002〕61号）；</w:t>
      </w:r>
    </w:p>
    <w:p w14:paraId="540154D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5）广州地区建设工程质量安全监督站、广州市市政工程安全质量监督站编制的贯彻《建设工程质量管理条例》文件汇编（一）～（八）；</w:t>
      </w:r>
    </w:p>
    <w:p w14:paraId="0563C89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6）广州市市场监督管理局《建设工程档案编制规范》(DB 4401/T 55-2020）。</w:t>
      </w:r>
    </w:p>
    <w:p w14:paraId="75ACF03B">
      <w:pPr>
        <w:spacing w:line="420" w:lineRule="exact"/>
        <w:rPr>
          <w:rFonts w:hint="eastAsia" w:ascii="仿宋_GB2312" w:hAnsi="仿宋_GB2312" w:eastAsia="仿宋_GB2312" w:cs="仿宋_GB2312"/>
          <w:color w:val="auto"/>
          <w:kern w:val="0"/>
          <w:sz w:val="24"/>
          <w:szCs w:val="24"/>
          <w:highlight w:val="none"/>
        </w:rPr>
      </w:pPr>
    </w:p>
    <w:p w14:paraId="4BCF08C4">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★58. 竣工验收</w:t>
      </w:r>
      <w:bookmarkEnd w:id="661"/>
      <w:bookmarkEnd w:id="662"/>
    </w:p>
    <w:p w14:paraId="3EC4594C">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 xml:space="preserve"> 58.1 竣工验收标准</w:t>
      </w:r>
    </w:p>
    <w:p w14:paraId="4AE4A6C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（1）合同工程竣工验收标准：</w:t>
      </w:r>
      <w:permStart w:id="26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按照国家或行业的质量验收标准执行</w:t>
      </w:r>
      <w:r>
        <w:rPr>
          <w:rFonts w:hint="eastAsia" w:ascii="仿宋_GB2312" w:hAnsi="仿宋_GB2312" w:eastAsia="仿宋_GB2312" w:cs="仿宋_GB2312"/>
          <w:color w:val="auto"/>
          <w:kern w:val="0"/>
          <w:sz w:val="24"/>
          <w:szCs w:val="24"/>
          <w:highlight w:val="none"/>
          <w:u w:val="single"/>
          <w:lang w:eastAsia="zh-CN"/>
        </w:rPr>
        <w:t>。</w:t>
      </w:r>
      <w:r>
        <w:rPr>
          <w:rFonts w:hint="eastAsia" w:ascii="仿宋_GB2312" w:hAnsi="仿宋_GB2312" w:eastAsia="仿宋_GB2312" w:cs="仿宋_GB2312"/>
          <w:color w:val="auto"/>
          <w:kern w:val="0"/>
          <w:sz w:val="24"/>
          <w:szCs w:val="24"/>
          <w:highlight w:val="none"/>
          <w:u w:val="single"/>
        </w:rPr>
        <w:t xml:space="preserve"> </w:t>
      </w:r>
      <w:permEnd w:id="266"/>
    </w:p>
    <w:p w14:paraId="4A5C883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提供竣工档案的约定：承包人应按照广州市城建档案馆及广州市自来水有限公司工程项目档案归档管理的最新规定要求，在工程完工20天内将竣工资料和竣工图报发包人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并取得移交凭证；工程竣工验收后30天内必须将结算资料（原件，一式两份）移交给发包人。</w:t>
      </w:r>
    </w:p>
    <w:p w14:paraId="7C63387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（3）承包人应按照《建设工程文件归档规范》（GB/T 50328-2019）、《建设工程档案编制规范》(DB 4401/T 55-2020）、《广州市建设工程档案归档范围（试行）》和广州市自来水有限公司工程项目档案归档管理的最新规定等要求，在工程施工期间及时收集、汇总、整理、编制竣工档案，并于工程竣工验收后向发包人完整移交竣工档案。</w:t>
      </w:r>
    </w:p>
    <w:p w14:paraId="5D9F8A5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移交竣工档案的时限：承包人应于工程竣工验收后5天内将竣工档案提交监理工程师签认，监理工程师应在收到竣工档案后5天内签认。经监理工程师签认后，承包人应及时将竣工档案移交给发包人归档并同时移交有关归档的证明文件。发包人经审查合格的，应在收到竣工档案后10天内签署档案验收意见；不合格的，要求承包人限期补正，直至合格为止。</w:t>
      </w:r>
    </w:p>
    <w:p w14:paraId="23D9F84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电子版竣工图的编制，以发包人提供的电子版施工图为基础。承包人在移交竣工档案时，应一并移交发包人提供的电子版施工图及电子版的竣工图。电子版施工图和电子版竣工图的知识产权归属发包人所有，非经发包人许可，承包人不得以任何方式复制、备份、转让和利用。否则，由此引起的任何纠纷和责任由承包人承担。</w:t>
      </w:r>
    </w:p>
    <w:p w14:paraId="2F8644E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3）承包人应督促其工程分包单位及时做好竣工资料整理工作，于分包工程竣工验收后25天内将全部档案资料移交给承包人，由承包人汇总、归档，并在承包人移交竣工档案时一并移交。</w:t>
      </w:r>
    </w:p>
    <w:p w14:paraId="65435F2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4）承包人在工程实施过程中必须根据广州市建设委员会文件《关于印发&lt;广州市房屋建筑工程和市政基础设施工程竣工验收及备案管理实施办法（试行）&gt;的通知》（穗建筑〔2002〕61号</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的规定做好相关资料，在通过工程竣工验收后1个月内，承包人必须办理工程竣工验收备案。</w:t>
      </w:r>
    </w:p>
    <w:p w14:paraId="699F13CB">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58.8 单位工程和工程部位验收</w:t>
      </w:r>
    </w:p>
    <w:p w14:paraId="73E8F5BA">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67" w:edGrp="everyone"/>
      <w:r>
        <w:rPr>
          <w:rFonts w:hint="eastAsia" w:ascii="仿宋_GB2312" w:hAnsi="仿宋_GB2312" w:eastAsia="仿宋_GB2312" w:cs="仿宋_GB2312"/>
          <w:color w:val="auto"/>
          <w:kern w:val="0"/>
          <w:sz w:val="24"/>
          <w:szCs w:val="24"/>
          <w:highlight w:val="none"/>
          <w:lang w:eastAsia="zh-CN"/>
        </w:rPr>
        <w:sym w:font="Wingdings 2" w:char="0052"/>
      </w:r>
      <w:permEnd w:id="267"/>
      <w:r>
        <w:rPr>
          <w:rFonts w:hint="eastAsia" w:ascii="仿宋_GB2312" w:hAnsi="仿宋_GB2312" w:eastAsia="仿宋_GB2312" w:cs="仿宋_GB2312"/>
          <w:color w:val="auto"/>
          <w:kern w:val="0"/>
          <w:sz w:val="24"/>
          <w:szCs w:val="24"/>
          <w:highlight w:val="none"/>
        </w:rPr>
        <w:t xml:space="preserve"> 合同工程无单位工程、无工程部位提前验收的，本款不适用。</w:t>
      </w:r>
    </w:p>
    <w:p w14:paraId="2F1EEBBF">
      <w:pPr>
        <w:spacing w:line="420" w:lineRule="exact"/>
        <w:ind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268" w:edGrp="everyone"/>
      <w:r>
        <w:rPr>
          <w:rFonts w:hint="eastAsia" w:ascii="仿宋_GB2312" w:hAnsi="仿宋_GB2312" w:eastAsia="仿宋_GB2312" w:cs="仿宋_GB2312"/>
          <w:color w:val="auto"/>
          <w:kern w:val="0"/>
          <w:sz w:val="24"/>
          <w:szCs w:val="24"/>
          <w:highlight w:val="none"/>
        </w:rPr>
        <w:sym w:font="Wingdings 2" w:char="0051"/>
      </w:r>
      <w:permEnd w:id="268"/>
      <w:r>
        <w:rPr>
          <w:rFonts w:hint="eastAsia" w:ascii="仿宋_GB2312" w:hAnsi="仿宋_GB2312" w:eastAsia="仿宋_GB2312" w:cs="仿宋_GB2312"/>
          <w:color w:val="auto"/>
          <w:kern w:val="0"/>
          <w:sz w:val="24"/>
          <w:szCs w:val="24"/>
          <w:highlight w:val="none"/>
        </w:rPr>
        <w:t xml:space="preserve"> 合同工程单位工程或工程部位需提前验收的，各单位工程或工程部位的名称、竣工验收时间和范围如下：</w:t>
      </w:r>
    </w:p>
    <w:p w14:paraId="690E5D5D">
      <w:pPr>
        <w:spacing w:line="420" w:lineRule="exact"/>
        <w:ind w:firstLine="120" w:firstLineChars="5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（1）</w:t>
      </w:r>
      <w:permStart w:id="26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69"/>
      <w:r>
        <w:rPr>
          <w:rFonts w:hint="eastAsia" w:ascii="仿宋_GB2312" w:hAnsi="仿宋_GB2312" w:eastAsia="仿宋_GB2312" w:cs="仿宋_GB2312"/>
          <w:color w:val="auto"/>
          <w:kern w:val="0"/>
          <w:sz w:val="24"/>
          <w:szCs w:val="24"/>
          <w:highlight w:val="none"/>
        </w:rPr>
        <w:t xml:space="preserve"> （名称）工程或部位，竣工验收时间为 </w:t>
      </w:r>
      <w:permStart w:id="27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0"/>
      <w:r>
        <w:rPr>
          <w:rFonts w:hint="eastAsia" w:ascii="仿宋_GB2312" w:hAnsi="仿宋_GB2312" w:eastAsia="仿宋_GB2312" w:cs="仿宋_GB2312"/>
          <w:color w:val="auto"/>
          <w:kern w:val="0"/>
          <w:sz w:val="24"/>
          <w:szCs w:val="24"/>
          <w:highlight w:val="none"/>
        </w:rPr>
        <w:t>，其范围包括：</w:t>
      </w:r>
      <w:permStart w:id="27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ermEnd w:id="271"/>
    <w:p w14:paraId="4260A936">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kern w:val="0"/>
          <w:sz w:val="24"/>
          <w:szCs w:val="24"/>
          <w:highlight w:val="none"/>
        </w:rPr>
        <w:t>（2）</w:t>
      </w:r>
      <w:permStart w:id="27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2"/>
      <w:r>
        <w:rPr>
          <w:rFonts w:hint="eastAsia" w:ascii="仿宋_GB2312" w:hAnsi="仿宋_GB2312" w:eastAsia="仿宋_GB2312" w:cs="仿宋_GB2312"/>
          <w:color w:val="auto"/>
          <w:kern w:val="0"/>
          <w:sz w:val="24"/>
          <w:szCs w:val="24"/>
          <w:highlight w:val="none"/>
        </w:rPr>
        <w:t xml:space="preserve"> （名称）工程或部位，竣工验收时间为</w:t>
      </w:r>
      <w:permStart w:id="27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3"/>
      <w:r>
        <w:rPr>
          <w:rFonts w:hint="eastAsia" w:ascii="仿宋_GB2312" w:hAnsi="仿宋_GB2312" w:eastAsia="仿宋_GB2312" w:cs="仿宋_GB2312"/>
          <w:color w:val="auto"/>
          <w:kern w:val="0"/>
          <w:sz w:val="24"/>
          <w:szCs w:val="24"/>
          <w:highlight w:val="none"/>
        </w:rPr>
        <w:t>，其范围包括：</w:t>
      </w:r>
      <w:permStart w:id="27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ermEnd w:id="274"/>
    <w:p w14:paraId="6BDAD9D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58.9 施工期运行</w:t>
      </w:r>
    </w:p>
    <w:p w14:paraId="40421BA9">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75" w:edGrp="everyone"/>
      <w:r>
        <w:rPr>
          <w:rFonts w:hint="eastAsia" w:ascii="仿宋_GB2312" w:hAnsi="仿宋_GB2312" w:eastAsia="仿宋_GB2312" w:cs="仿宋_GB2312"/>
          <w:color w:val="auto"/>
          <w:kern w:val="0"/>
          <w:sz w:val="24"/>
          <w:szCs w:val="24"/>
          <w:highlight w:val="none"/>
          <w:lang w:val="en-US" w:eastAsia="zh-CN" w:bidi="ar-SA"/>
        </w:rPr>
        <w:t>☑</w:t>
      </w:r>
      <w:permEnd w:id="275"/>
      <w:r>
        <w:rPr>
          <w:rFonts w:hint="eastAsia" w:ascii="仿宋_GB2312" w:hAnsi="仿宋_GB2312" w:eastAsia="仿宋_GB2312" w:cs="仿宋_GB2312"/>
          <w:color w:val="auto"/>
          <w:kern w:val="0"/>
          <w:sz w:val="24"/>
          <w:szCs w:val="24"/>
          <w:highlight w:val="none"/>
        </w:rPr>
        <w:t>合同工程无单位工程、无工程部位在施工期运行的，本款不适用。</w:t>
      </w:r>
    </w:p>
    <w:p w14:paraId="7A74BF74">
      <w:pPr>
        <w:widowControl w:val="0"/>
        <w:spacing w:after="12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 xml:space="preserve">    </w:t>
      </w:r>
      <w:permStart w:id="276" w:edGrp="everyone"/>
      <w:r>
        <w:rPr>
          <w:rFonts w:hint="eastAsia" w:ascii="仿宋_GB2312" w:hAnsi="仿宋_GB2312" w:eastAsia="仿宋_GB2312" w:cs="仿宋_GB2312"/>
          <w:color w:val="auto"/>
          <w:kern w:val="0"/>
          <w:sz w:val="24"/>
          <w:szCs w:val="24"/>
          <w:highlight w:val="none"/>
        </w:rPr>
        <w:sym w:font="Wingdings 2" w:char="0051"/>
      </w:r>
      <w:permEnd w:id="276"/>
      <w:r>
        <w:rPr>
          <w:rFonts w:hint="eastAsia" w:ascii="仿宋_GB2312" w:hAnsi="仿宋_GB2312" w:eastAsia="仿宋_GB2312" w:cs="仿宋_GB2312"/>
          <w:color w:val="auto"/>
          <w:kern w:val="0"/>
          <w:sz w:val="24"/>
          <w:szCs w:val="24"/>
          <w:highlight w:val="none"/>
          <w:lang w:val="en-US" w:eastAsia="zh-CN" w:bidi="ar-SA"/>
        </w:rPr>
        <w:t>合同工程单位工程或工程部位需在施工期运行的，各单位工程或工程部位的名称、运行时间如下：</w:t>
      </w:r>
    </w:p>
    <w:p w14:paraId="41F04D7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ermStart w:id="27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7"/>
      <w:r>
        <w:rPr>
          <w:rFonts w:hint="eastAsia" w:ascii="仿宋_GB2312" w:hAnsi="仿宋_GB2312" w:eastAsia="仿宋_GB2312" w:cs="仿宋_GB2312"/>
          <w:color w:val="auto"/>
          <w:kern w:val="0"/>
          <w:sz w:val="24"/>
          <w:szCs w:val="24"/>
          <w:highlight w:val="none"/>
        </w:rPr>
        <w:t>（名称）工程或部位，运行时间为</w:t>
      </w:r>
      <w:permStart w:id="27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8"/>
      <w:r>
        <w:rPr>
          <w:rFonts w:hint="eastAsia" w:ascii="仿宋_GB2312" w:hAnsi="仿宋_GB2312" w:eastAsia="仿宋_GB2312" w:cs="仿宋_GB2312"/>
          <w:color w:val="auto"/>
          <w:kern w:val="0"/>
          <w:sz w:val="24"/>
          <w:szCs w:val="24"/>
          <w:highlight w:val="none"/>
        </w:rPr>
        <w:t>；</w:t>
      </w:r>
    </w:p>
    <w:p w14:paraId="082F7EF0">
      <w:pPr>
        <w:spacing w:line="420" w:lineRule="exact"/>
        <w:ind w:firstLine="480" w:firstLineChars="200"/>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（2）</w:t>
      </w:r>
      <w:permStart w:id="27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79"/>
      <w:r>
        <w:rPr>
          <w:rFonts w:hint="eastAsia" w:ascii="仿宋_GB2312" w:hAnsi="仿宋_GB2312" w:eastAsia="仿宋_GB2312" w:cs="仿宋_GB2312"/>
          <w:color w:val="auto"/>
          <w:kern w:val="0"/>
          <w:sz w:val="24"/>
          <w:szCs w:val="24"/>
          <w:highlight w:val="none"/>
        </w:rPr>
        <w:t>（名称）工程或部位，运行时间为</w:t>
      </w:r>
      <w:permStart w:id="28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none"/>
          <w:lang w:val="en-US" w:eastAsia="zh-CN"/>
        </w:rPr>
        <w:t xml:space="preserve"> </w:t>
      </w:r>
      <w:permEnd w:id="280"/>
      <w:r>
        <w:rPr>
          <w:rFonts w:hint="eastAsia" w:ascii="仿宋_GB2312" w:hAnsi="仿宋_GB2312" w:eastAsia="仿宋_GB2312" w:cs="仿宋_GB2312"/>
          <w:color w:val="auto"/>
          <w:kern w:val="0"/>
          <w:sz w:val="24"/>
          <w:szCs w:val="24"/>
          <w:highlight w:val="none"/>
          <w:u w:val="none"/>
          <w:lang w:val="en-US" w:eastAsia="zh-CN"/>
        </w:rPr>
        <w:t>。</w:t>
      </w:r>
    </w:p>
    <w:p w14:paraId="6F91E34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58.10 竣工清场</w:t>
      </w:r>
    </w:p>
    <w:p w14:paraId="494ECB0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w:t>
      </w:r>
    </w:p>
    <w:p w14:paraId="09F77EA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 </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14:paraId="40EE533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58.11施工队伍的撤离</w:t>
      </w:r>
    </w:p>
    <w:p w14:paraId="79B44B6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按通用条款规定，承包人的人员和施工设备全部撤离施工现场。</w:t>
      </w:r>
    </w:p>
    <w:p w14:paraId="7846D47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按通用条款规定，承包人的人员和施工设备全部撤离施工现场。承包人撤离施工场地时，监理人和承包人应当办理永久工程和施工场地移交手续，移交手续以书面方式出具，并分别经过发包人、监理工程师和承包人签认。但是监理工程师和发包人未按合同约定的期限办清竣工结算和竣工付款的，本工程不得交付使用，发包人和监理工程师也不得要求承包人按合同约定的期限撤离施工场地和办理工程移交手续。</w:t>
      </w:r>
    </w:p>
    <w:p w14:paraId="3E9EFF5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58.14 试运行</w:t>
      </w:r>
    </w:p>
    <w:p w14:paraId="1989DD9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（1）工程及工程设备试运行的组织与费用承担本合同：</w:t>
      </w:r>
    </w:p>
    <w:p w14:paraId="76540570">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1" w:edGrp="everyone"/>
      <w:r>
        <w:rPr>
          <w:rFonts w:hint="eastAsia" w:ascii="仿宋_GB2312" w:hAnsi="仿宋_GB2312" w:eastAsia="仿宋_GB2312" w:cs="仿宋_GB2312"/>
          <w:color w:val="auto"/>
          <w:kern w:val="0"/>
          <w:sz w:val="24"/>
          <w:szCs w:val="24"/>
          <w:highlight w:val="none"/>
        </w:rPr>
        <w:sym w:font="Wingdings 2" w:char="0052"/>
      </w:r>
      <w:permEnd w:id="281"/>
      <w:r>
        <w:rPr>
          <w:rFonts w:hint="eastAsia" w:ascii="仿宋_GB2312" w:hAnsi="仿宋_GB2312" w:eastAsia="仿宋_GB2312" w:cs="仿宋_GB2312"/>
          <w:color w:val="auto"/>
          <w:kern w:val="0"/>
          <w:sz w:val="24"/>
          <w:szCs w:val="24"/>
          <w:highlight w:val="none"/>
        </w:rPr>
        <w:t>（可选择项）不需要试运行的，本条不适用。</w:t>
      </w:r>
    </w:p>
    <w:p w14:paraId="496C75EC">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2" w:edGrp="everyone"/>
      <w:r>
        <w:rPr>
          <w:rFonts w:hint="eastAsia" w:ascii="仿宋_GB2312" w:hAnsi="仿宋_GB2312" w:eastAsia="仿宋_GB2312" w:cs="仿宋_GB2312"/>
          <w:color w:val="auto"/>
          <w:kern w:val="0"/>
          <w:sz w:val="24"/>
          <w:szCs w:val="24"/>
          <w:highlight w:val="none"/>
          <w:lang w:eastAsia="zh-CN"/>
        </w:rPr>
        <w:sym w:font="Wingdings 2" w:char="0051"/>
      </w:r>
      <w:permEnd w:id="282"/>
      <w:r>
        <w:rPr>
          <w:rFonts w:hint="eastAsia" w:ascii="仿宋_GB2312" w:hAnsi="仿宋_GB2312" w:eastAsia="仿宋_GB2312" w:cs="仿宋_GB2312"/>
          <w:color w:val="auto"/>
          <w:kern w:val="0"/>
          <w:sz w:val="24"/>
          <w:szCs w:val="24"/>
          <w:highlight w:val="none"/>
        </w:rPr>
        <w:t>（可选择项）需要试运行的，按发包人的要求配合发包人完成工程试运行工作，所产生的费用已包含在合同价款中，试运行的内容和要求根据如下条款执行：</w:t>
      </w:r>
    </w:p>
    <w:p w14:paraId="45A7F08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1）工程设备安装具备单机无负荷试运行条件，由承包人组织试运行，试运行结果应由监理工程师确认，试运行费用由承包人承担。</w:t>
      </w:r>
    </w:p>
    <w:p w14:paraId="64CE0A6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本合同及工程设备需要办理无负荷联动试运行，工程设备安装具备无负荷联动试运行条件，由发包人组织试运行，承包人应根据发包人要求配合做好无负荷联动试运行，试运行结果应由监理工程师确认，试运行费用由承包人承担。</w:t>
      </w:r>
    </w:p>
    <w:p w14:paraId="7702BF4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如本合同及工程设备需办理投料试运行，投料试运行应在工程竣工验收前由承包人申请，试运行方案经监理工程师、发包人审批同意后，发包人配合组织实施，试运行结果应由监理工程师确认，投料试运行产生的相关费用由承包人承担。</w:t>
      </w:r>
    </w:p>
    <w:p w14:paraId="4E888FC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bookmarkStart w:id="663" w:name="_Toc10624960"/>
      <w:bookmarkStart w:id="664" w:name="_Toc469384116"/>
    </w:p>
    <w:p w14:paraId="15D68AE8">
      <w:pPr>
        <w:spacing w:line="420" w:lineRule="exact"/>
        <w:rPr>
          <w:rFonts w:hint="eastAsia" w:ascii="仿宋_GB2312" w:hAnsi="仿宋_GB2312" w:eastAsia="仿宋_GB2312" w:cs="仿宋_GB2312"/>
          <w:color w:val="auto"/>
          <w:kern w:val="0"/>
          <w:sz w:val="24"/>
          <w:szCs w:val="24"/>
          <w:highlight w:val="none"/>
        </w:rPr>
      </w:pPr>
    </w:p>
    <w:p w14:paraId="107BD87A">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59. 缺陷责任与质量保修</w:t>
      </w:r>
      <w:bookmarkEnd w:id="663"/>
      <w:bookmarkEnd w:id="664"/>
    </w:p>
    <w:p w14:paraId="1C1908D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59.1 （1）缺陷责任期计算</w:t>
      </w:r>
    </w:p>
    <w:p w14:paraId="3FC3FD33">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缺陷责任期：</w:t>
      </w:r>
      <w:r>
        <w:rPr>
          <w:rFonts w:hint="eastAsia" w:ascii="仿宋_GB2312" w:hAnsi="仿宋_GB2312" w:eastAsia="仿宋_GB2312" w:cs="仿宋_GB2312"/>
          <w:color w:val="auto"/>
          <w:kern w:val="0"/>
          <w:sz w:val="24"/>
          <w:szCs w:val="24"/>
          <w:highlight w:val="none"/>
          <w:u w:val="single"/>
        </w:rPr>
        <w:t xml:space="preserve">   24个月。   </w:t>
      </w:r>
    </w:p>
    <w:p w14:paraId="4DE0669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（2）缺陷责任期从工程通过竣工验收之日起计算。</w:t>
      </w:r>
    </w:p>
    <w:p w14:paraId="766E3BC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B21C2F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（3）在本条约定的缺陷责任期，包括根据第59.2款延长的期限终止后14 天内，由监理工程师向承包人出具经发包人签认的缺陷责任期终止证书。</w:t>
      </w:r>
    </w:p>
    <w:p w14:paraId="2827C02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59.8 质量保修期计算</w:t>
      </w:r>
    </w:p>
    <w:p w14:paraId="3F2C20B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质量保修期： 质量保修期限按照国务院279号《建设工程质量管理条例》执行，具体如下：</w:t>
      </w:r>
    </w:p>
    <w:p w14:paraId="5DE0ED6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（1）基础设施工程、房屋建筑的地基基础工程和主体结构工程：设计文件规定的该工程的合理使用年限；</w:t>
      </w:r>
    </w:p>
    <w:p w14:paraId="3E13DAF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（2）屋面防水工程、有防水要求的卫生间、房间和外墙面的防渗漏：5年；</w:t>
      </w:r>
    </w:p>
    <w:p w14:paraId="48D32A0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（3）供热与供冷系统：2个采暖期、供冷期；</w:t>
      </w:r>
    </w:p>
    <w:p w14:paraId="63B528D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 电气管线、给排水管道、设备安装和装修工程：2年；</w:t>
      </w:r>
    </w:p>
    <w:p w14:paraId="50E4F02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（5）其他项目：</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14:paraId="1E701AC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59.11保修期内在正常使用的条件下，确因施工方面的原因而发生的工程质量问题，其返修工作及修复费均由承包人负责，并对造成的损失承担赔偿责任；为了保证设施的正常使用功能，避免发生事故，承包人在接到返修通知后一星期内必须进场返修，否则，发包人有权安排其它施工单位进场返修，所发生的费用由承包人负责支付。工程验收合格之前，工程的保管责任由承包人负责，工程质量按国务院279号《建设工程质量管理条例》执行。</w:t>
      </w:r>
    </w:p>
    <w:p w14:paraId="1496CB15">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65" w:name="_Toc10624961"/>
      <w:bookmarkStart w:id="666" w:name="_Toc469384117"/>
      <w:r>
        <w:rPr>
          <w:rFonts w:hint="eastAsia" w:ascii="黑体" w:hAnsi="黑体" w:eastAsia="黑体" w:cs="黑体"/>
          <w:b w:val="0"/>
          <w:bCs w:val="0"/>
          <w:color w:val="auto"/>
          <w:kern w:val="0"/>
          <w:sz w:val="24"/>
          <w:szCs w:val="24"/>
          <w:highlight w:val="none"/>
          <w:lang w:val="en-US" w:eastAsia="zh-CN" w:bidi="ar-SA"/>
        </w:rPr>
        <w:t>61. 工程量</w:t>
      </w:r>
      <w:bookmarkEnd w:id="665"/>
      <w:bookmarkEnd w:id="666"/>
    </w:p>
    <w:p w14:paraId="12DE4DE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61.1 清单工程量包括的工作内容</w:t>
      </w:r>
    </w:p>
    <w:p w14:paraId="513EF6F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w:t>
      </w:r>
    </w:p>
    <w:p w14:paraId="6E6D2FB9">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2EBDBDB8">
      <w:pPr>
        <w:widowControl w:val="0"/>
        <w:spacing w:after="120"/>
        <w:jc w:val="both"/>
        <w:rPr>
          <w:rFonts w:hint="eastAsia" w:ascii="仿宋_GB2312" w:hAnsi="仿宋_GB2312" w:eastAsia="仿宋_GB2312" w:cs="仿宋_GB2312"/>
          <w:color w:val="auto"/>
          <w:kern w:val="2"/>
          <w:sz w:val="24"/>
          <w:szCs w:val="24"/>
          <w:highlight w:val="none"/>
          <w:lang w:val="en-US" w:eastAsia="zh-CN" w:bidi="ar-SA"/>
        </w:rPr>
      </w:pPr>
    </w:p>
    <w:p w14:paraId="7EA5EC1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61.2 清单工程量</w:t>
      </w:r>
    </w:p>
    <w:p w14:paraId="24518DAF">
      <w:pPr>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按照专用条款第73条执行。</w:t>
      </w:r>
      <w:bookmarkStart w:id="667" w:name="_Toc10624962"/>
      <w:bookmarkStart w:id="668" w:name="_Toc469384118"/>
    </w:p>
    <w:p w14:paraId="27BA8870">
      <w:pPr>
        <w:rPr>
          <w:rFonts w:hint="eastAsia" w:ascii="仿宋_GB2312" w:hAnsi="仿宋_GB2312" w:eastAsia="仿宋_GB2312" w:cs="仿宋_GB2312"/>
          <w:color w:val="auto"/>
          <w:kern w:val="0"/>
          <w:sz w:val="24"/>
          <w:szCs w:val="24"/>
          <w:highlight w:val="none"/>
        </w:rPr>
      </w:pPr>
    </w:p>
    <w:p w14:paraId="21859897">
      <w:pPr>
        <w:numPr>
          <w:ilvl w:val="0"/>
          <w:numId w:val="13"/>
        </w:numPr>
        <w:ind w:firstLine="240" w:firstLineChars="1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工程计量和计价</w:t>
      </w:r>
    </w:p>
    <w:p w14:paraId="3542C9CE">
      <w:pPr>
        <w:spacing w:line="420" w:lineRule="exact"/>
        <w:ind w:left="218" w:leftChars="104" w:firstLine="120" w:firstLineChars="5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62.2按本合同第一部分《协议书》第六条约定的结算方式对应以下计量方法：</w:t>
      </w:r>
    </w:p>
    <w:p w14:paraId="37173709">
      <w:pPr>
        <w:spacing w:line="420" w:lineRule="exact"/>
        <w:ind w:left="323" w:leftChars="154"/>
        <w:rPr>
          <w:rFonts w:hint="eastAsia" w:ascii="仿宋_GB2312" w:hAnsi="仿宋_GB2312" w:eastAsia="仿宋_GB2312" w:cs="仿宋_GB2312"/>
          <w:strike/>
          <w:color w:val="auto"/>
          <w:kern w:val="0"/>
          <w:sz w:val="24"/>
          <w:szCs w:val="24"/>
          <w:highlight w:val="none"/>
        </w:rPr>
      </w:pPr>
      <w:r>
        <w:rPr>
          <w:rFonts w:hint="eastAsia" w:ascii="仿宋_GB2312" w:hAnsi="仿宋_GB2312" w:eastAsia="仿宋_GB2312" w:cs="仿宋_GB2312"/>
          <w:color w:val="auto"/>
          <w:kern w:val="0"/>
          <w:sz w:val="24"/>
          <w:szCs w:val="24"/>
          <w:highlight w:val="none"/>
        </w:rPr>
        <w:t>（1）计量方法</w:t>
      </w:r>
    </w:p>
    <w:p w14:paraId="1210C4C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以招标文件的图纸和工程量清单以及招标文件的规定等为依据，采用工程量清单计价法，根据投标人自身的条件和能力，结合工程现场实际情况，考虑风险后编制。合同价款包括完成该工程项目的成本、利润、税金、技术措施费、其他措施费、大型机械进出场费、意外伤害风险费、各类保险费、政策性文件规定费用以及办理施工许可证、余泥排放证等各种施工证件，并办理报监手续等所有费用。根据中华人民共和国国家标准《建设工程工程量清单计价规范》（GB50500—2013）及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文件进行计价，按招标文件中工程量清单所开列的工作内容和估计工程量填报相应的综合单价后，累计合价并加上合价包干的总价措施项目及综合单价包干的措施项目、其他项目费、规费和税金而计算的合同价。结算时发包人以工程师依据中华人民共和国国家标准《建设工程工程量清单计价规范》（GB50500—2013）、工程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工程量计算规则、图纸等规定计量确认的实际工程量乘以中标的综合单价（原设计没有发生变更时，中标的综合单价则成为工程结算的依据，不得调整）并加上合价包干的总价措施项目及综合单价包干的措施项目、其他项目费、规费和税金作为结算和支付依据（招标文件约定措施项目费可调整的按约定的调整方法调整）。承包人提供的建筑业增值税发票应与工程计税方式一致。</w:t>
      </w:r>
    </w:p>
    <w:p w14:paraId="690C173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本工程采用的计税方式为：</w:t>
      </w:r>
      <w:permStart w:id="283" w:edGrp="everyone"/>
      <w:r>
        <w:rPr>
          <w:rFonts w:hint="eastAsia" w:ascii="仿宋_GB2312" w:hAnsi="仿宋_GB2312" w:eastAsia="仿宋_GB2312" w:cs="仿宋_GB2312"/>
          <w:color w:val="auto"/>
          <w:kern w:val="0"/>
          <w:sz w:val="24"/>
          <w:szCs w:val="24"/>
          <w:highlight w:val="none"/>
        </w:rPr>
        <w:t>☒</w:t>
      </w:r>
      <w:permEnd w:id="283"/>
      <w:r>
        <w:rPr>
          <w:rFonts w:hint="eastAsia" w:ascii="仿宋_GB2312" w:hAnsi="仿宋_GB2312" w:eastAsia="仿宋_GB2312" w:cs="仿宋_GB2312"/>
          <w:color w:val="auto"/>
          <w:kern w:val="0"/>
          <w:sz w:val="24"/>
          <w:szCs w:val="24"/>
          <w:highlight w:val="none"/>
        </w:rPr>
        <w:t>简易计税，</w:t>
      </w:r>
      <w:permStart w:id="284" w:edGrp="everyone"/>
      <w:r>
        <w:rPr>
          <w:rFonts w:hint="eastAsia" w:ascii="仿宋_GB2312" w:hAnsi="仿宋_GB2312" w:eastAsia="仿宋_GB2312" w:cs="仿宋_GB2312"/>
          <w:color w:val="auto"/>
          <w:kern w:val="0"/>
          <w:sz w:val="24"/>
          <w:szCs w:val="24"/>
          <w:highlight w:val="none"/>
        </w:rPr>
        <w:sym w:font="Wingdings" w:char="00FE"/>
      </w:r>
      <w:permEnd w:id="284"/>
      <w:r>
        <w:rPr>
          <w:rFonts w:hint="eastAsia" w:ascii="仿宋_GB2312" w:hAnsi="仿宋_GB2312" w:eastAsia="仿宋_GB2312" w:cs="仿宋_GB2312"/>
          <w:color w:val="auto"/>
          <w:kern w:val="0"/>
          <w:sz w:val="24"/>
          <w:szCs w:val="24"/>
          <w:highlight w:val="none"/>
        </w:rPr>
        <w:t>一般计税。</w:t>
      </w:r>
    </w:p>
    <w:p w14:paraId="69A2683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（2）计量周期</w:t>
      </w:r>
    </w:p>
    <w:p w14:paraId="3CBD172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1）本合同的计量周期为月，每月</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u w:val="single"/>
          <w:lang w:val="en-US" w:eastAsia="zh-CN"/>
        </w:rPr>
        <w:t>25</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日为当月计量截止日期（不含当日）和下月计量起始日期（含当日）。</w:t>
      </w:r>
    </w:p>
    <w:p w14:paraId="3B3E3EA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2）本合同执行通用合同条款本项约定的单价子目计量。总价子目计量方法按第62.2（4）项总价子目的计量——按实际完成工程量计量。</w:t>
      </w:r>
    </w:p>
    <w:p w14:paraId="4B55D1E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（3）单价子目的计量</w:t>
      </w:r>
    </w:p>
    <w:p w14:paraId="5A99115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承包人每月20日前向监理人提交已完工程量报告。</w:t>
      </w:r>
    </w:p>
    <w:p w14:paraId="3511C77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ermStart w:id="285" w:edGrp="everyone"/>
      <w:r>
        <w:rPr>
          <w:rFonts w:hint="eastAsia" w:ascii="仿宋_GB2312" w:hAnsi="仿宋_GB2312" w:eastAsia="仿宋_GB2312" w:cs="仿宋_GB2312"/>
          <w:color w:val="auto"/>
          <w:kern w:val="0"/>
          <w:sz w:val="24"/>
          <w:szCs w:val="24"/>
          <w:highlight w:val="none"/>
        </w:rPr>
        <w:t>☒</w:t>
      </w:r>
      <w:permEnd w:id="285"/>
      <w:r>
        <w:rPr>
          <w:rFonts w:hint="eastAsia" w:ascii="仿宋_GB2312" w:hAnsi="仿宋_GB2312" w:eastAsia="仿宋_GB2312" w:cs="仿宋_GB2312"/>
          <w:color w:val="auto"/>
          <w:kern w:val="0"/>
          <w:sz w:val="24"/>
          <w:szCs w:val="24"/>
          <w:highlight w:val="none"/>
        </w:rPr>
        <w:t>总价子目的计量——支付分解报告（发包人使用招标图招标的，不勾选此项）</w:t>
      </w:r>
    </w:p>
    <w:p w14:paraId="40E384C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价子目按照有合同约束力的支付分解表支付。承包人应根据合同进度计划和总价子目的总价构成、费用性质、计划发生时间和相应工作量等因素对各个总价子目的总价按月进行分解，形成支付分解报告。承包人应当在收到经过监理工程师批复的合同进度计划后7天内，将支付分解报告以及形成支付分解报告的分项计量和总价分解等支持性资料报监理工程师审批，监理工程师应当在收到承包人报送的支付分解报告后7天内给予批复或提出修改意见，经监理工程师批准的支付分解报告为有合同约束力的支付分解表。支付分解表应根据合同约定的修订合同进度计划进行修正，修正的程序和期限应当依照本项上述约定，经修正的支付分解表为有合同约束力的支付分解表。</w:t>
      </w:r>
    </w:p>
    <w:p w14:paraId="63C5A7DF">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69" w:name="_Hlk146574360"/>
      <w:r>
        <w:rPr>
          <w:rFonts w:hint="eastAsia" w:ascii="仿宋_GB2312" w:hAnsi="仿宋_GB2312" w:eastAsia="仿宋_GB2312" w:cs="仿宋_GB2312"/>
          <w:color w:val="auto"/>
          <w:kern w:val="0"/>
          <w:sz w:val="24"/>
          <w:szCs w:val="24"/>
          <w:highlight w:val="none"/>
        </w:rPr>
        <w:t>1）</w:t>
      </w:r>
      <w:bookmarkEnd w:id="669"/>
      <w:r>
        <w:rPr>
          <w:rFonts w:hint="eastAsia" w:ascii="仿宋_GB2312" w:hAnsi="仿宋_GB2312" w:eastAsia="仿宋_GB2312" w:cs="仿宋_GB2312"/>
          <w:color w:val="auto"/>
          <w:kern w:val="0"/>
          <w:sz w:val="24"/>
          <w:szCs w:val="24"/>
          <w:highlight w:val="none"/>
        </w:rPr>
        <w:t>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14:paraId="6F524F12">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70" w:name="_Hlk146574369"/>
      <w:r>
        <w:rPr>
          <w:rFonts w:hint="eastAsia" w:ascii="仿宋_GB2312" w:hAnsi="仿宋_GB2312" w:eastAsia="仿宋_GB2312" w:cs="仿宋_GB2312"/>
          <w:color w:val="auto"/>
          <w:kern w:val="0"/>
          <w:sz w:val="24"/>
          <w:szCs w:val="24"/>
          <w:highlight w:val="none"/>
        </w:rPr>
        <w:t>2）</w:t>
      </w:r>
      <w:bookmarkEnd w:id="670"/>
      <w:r>
        <w:rPr>
          <w:rFonts w:hint="eastAsia" w:ascii="仿宋_GB2312" w:hAnsi="仿宋_GB2312" w:eastAsia="仿宋_GB2312" w:cs="仿宋_GB2312"/>
          <w:color w:val="auto"/>
          <w:kern w:val="0"/>
          <w:sz w:val="24"/>
          <w:szCs w:val="24"/>
          <w:highlight w:val="none"/>
        </w:rPr>
        <w:t>列入每月进度付款申请单中各总价子目的价值为有合同约束力的支付分解表中对应月份的总价子目总价值。</w:t>
      </w:r>
    </w:p>
    <w:p w14:paraId="2485F5FA">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71" w:name="_Hlk146574378"/>
      <w:r>
        <w:rPr>
          <w:rFonts w:hint="eastAsia" w:ascii="仿宋_GB2312" w:hAnsi="仿宋_GB2312" w:eastAsia="仿宋_GB2312" w:cs="仿宋_GB2312"/>
          <w:color w:val="auto"/>
          <w:kern w:val="0"/>
          <w:sz w:val="24"/>
          <w:szCs w:val="24"/>
          <w:highlight w:val="none"/>
        </w:rPr>
        <w:t>3）</w:t>
      </w:r>
      <w:bookmarkEnd w:id="671"/>
      <w:r>
        <w:rPr>
          <w:rFonts w:hint="eastAsia" w:ascii="仿宋_GB2312" w:hAnsi="仿宋_GB2312" w:eastAsia="仿宋_GB2312" w:cs="仿宋_GB2312"/>
          <w:color w:val="auto"/>
          <w:kern w:val="0"/>
          <w:sz w:val="24"/>
          <w:szCs w:val="24"/>
          <w:highlight w:val="none"/>
        </w:rPr>
        <w:t>监理工程师根据有合同约束力的支付分解表复核列入每月进度付款申请单中的总价子目的总价值。</w:t>
      </w:r>
    </w:p>
    <w:p w14:paraId="091E5074">
      <w:pPr>
        <w:spacing w:line="420" w:lineRule="exact"/>
        <w:ind w:firstLine="480" w:firstLineChars="200"/>
        <w:rPr>
          <w:rFonts w:hint="eastAsia" w:ascii="仿宋_GB2312" w:hAnsi="仿宋_GB2312" w:eastAsia="仿宋_GB2312" w:cs="仿宋_GB2312"/>
          <w:color w:val="auto"/>
          <w:kern w:val="0"/>
          <w:sz w:val="24"/>
          <w:szCs w:val="24"/>
          <w:highlight w:val="none"/>
        </w:rPr>
      </w:pPr>
      <w:bookmarkStart w:id="672" w:name="_Hlk146574386"/>
      <w:r>
        <w:rPr>
          <w:rFonts w:hint="eastAsia" w:ascii="仿宋_GB2312" w:hAnsi="仿宋_GB2312" w:eastAsia="仿宋_GB2312" w:cs="仿宋_GB2312"/>
          <w:color w:val="auto"/>
          <w:kern w:val="0"/>
          <w:sz w:val="24"/>
          <w:szCs w:val="24"/>
          <w:highlight w:val="none"/>
        </w:rPr>
        <w:t>4）</w:t>
      </w:r>
      <w:bookmarkEnd w:id="672"/>
      <w:r>
        <w:rPr>
          <w:rFonts w:hint="eastAsia" w:ascii="仿宋_GB2312" w:hAnsi="仿宋_GB2312" w:eastAsia="仿宋_GB2312" w:cs="仿宋_GB2312"/>
          <w:color w:val="auto"/>
          <w:kern w:val="0"/>
          <w:sz w:val="24"/>
          <w:szCs w:val="24"/>
          <w:highlight w:val="none"/>
        </w:rPr>
        <w:t>除按照第56条约定的变更外，在竣工结算时总价子目的工程量不应当重新计量，签约合同价所基于的工程量即是用于竣工结算的最终工程量。</w:t>
      </w:r>
    </w:p>
    <w:p w14:paraId="085C3E9C">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86" w:edGrp="everyone"/>
      <w:r>
        <w:rPr>
          <w:rFonts w:hint="eastAsia" w:ascii="仿宋_GB2312" w:hAnsi="仿宋_GB2312" w:eastAsia="仿宋_GB2312" w:cs="仿宋_GB2312"/>
          <w:color w:val="auto"/>
          <w:kern w:val="0"/>
          <w:sz w:val="24"/>
          <w:szCs w:val="24"/>
          <w:highlight w:val="none"/>
          <w:lang w:eastAsia="zh-CN"/>
        </w:rPr>
        <w:t>☑</w:t>
      </w:r>
      <w:permEnd w:id="286"/>
      <w:r>
        <w:rPr>
          <w:rFonts w:hint="eastAsia" w:ascii="仿宋_GB2312" w:hAnsi="仿宋_GB2312" w:eastAsia="仿宋_GB2312" w:cs="仿宋_GB2312"/>
          <w:color w:val="auto"/>
          <w:kern w:val="0"/>
          <w:sz w:val="24"/>
          <w:szCs w:val="24"/>
          <w:highlight w:val="none"/>
        </w:rPr>
        <w:t>总价子目的计量——按实际完成工程量计量</w:t>
      </w:r>
    </w:p>
    <w:p w14:paraId="566265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总价子目的价格调整方法：中标的投标报价除发包人同意的设计变更和招标文件、招标答疑会议纪要中允许的调整范围外，其余不因市场价格变化、工程造价管理部门公布的价格调整、人员工资福利调整而调整（建设行政主管部门文件下达必须调整的除外）。</w:t>
      </w:r>
    </w:p>
    <w:p w14:paraId="2906F82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总价子目的计量和支付应以总价为基础，对承包人实际完成的工程量进行计量，是进行工程目标管理和控制进度款支付的依据。</w:t>
      </w:r>
    </w:p>
    <w:p w14:paraId="12E14C6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在第62.2（2）项约定的每月计量截止日期后，对已完成的分部分项工程的子目（包括在工程量清单中给出具体工程量的措施项目的相关子目），按照第62.2（1）项约定的计量方法进行计量，对已完成的工程量清单中没有给出具体工程量的措施项目的相关子目，按其总价构成、费用性质和实际发生比例进行计量，向监理工程师提交进度付款申请单、已完成工程量报表和有关计量资料。</w:t>
      </w:r>
    </w:p>
    <w:p w14:paraId="662AACD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监理工程师对承包人提交的工程量报表进行复核，以确定实际完成的工程量。对数量有异议的，可要求承包人进行共同复核。承包人应协助监理人进行复核并按监理工程师要求提供补充计量资料。承包人未按监理工程师要求参加复核，监理工程师复核或修正的工程量视为承包人实际完成的工程量。</w:t>
      </w:r>
    </w:p>
    <w:p w14:paraId="7A2D6DE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4）监理工程师应在收到承包人提交的工程量报表后的7天内进行复核，未取得监理工程师确认的承包人已完成工程量，不能作为工程价款计价依据。</w:t>
      </w:r>
    </w:p>
    <w:p w14:paraId="2D7DE0D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（5）工程量清单计价相关要求</w:t>
      </w:r>
    </w:p>
    <w:p w14:paraId="182075E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按系数计算的绿色施工安全防护措施以外的施工围档，结算时，需提供相关签证、具有日期的有效相片和发包人确认的当日记录。在红线范围内施工的，施工围挡按清单计价和按签证工程量及相应规格的当期水马单价计价两者相比，取低值。</w:t>
      </w:r>
    </w:p>
    <w:p w14:paraId="3081DE6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2）支护（包括但不限于挡土板、钢板桩、拉森钢板桩等）、各类临时机械，依据工程量清单计价，列入措施项目费中。</w:t>
      </w:r>
    </w:p>
    <w:p w14:paraId="0864BF2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3）若发包人提供水电，结算时扣除相应水电费，提供已安装用电用水计量并单独计费或承包人自行供电供水相关证明除外。</w:t>
      </w:r>
    </w:p>
    <w:p w14:paraId="7D94C40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4）本项目结算造价 = 根据协议书第六条及</w:t>
      </w:r>
      <w:permStart w:id="287" w:edGrp="everyone"/>
      <w:r>
        <w:rPr>
          <w:rFonts w:hint="eastAsia" w:ascii="宋体" w:hAnsi="宋体" w:cs="宋体"/>
          <w:color w:val="auto"/>
          <w:kern w:val="0"/>
          <w:sz w:val="22"/>
          <w:szCs w:val="22"/>
          <w:highlight w:val="none"/>
        </w:rPr>
        <w:sym w:font="Wingdings" w:char="00FE"/>
      </w:r>
      <w:r>
        <w:rPr>
          <w:rFonts w:hint="eastAsia" w:ascii="宋体" w:hAnsi="宋体" w:cs="宋体"/>
          <w:color w:val="auto"/>
          <w:kern w:val="0"/>
          <w:sz w:val="22"/>
          <w:szCs w:val="22"/>
          <w:highlight w:val="none"/>
        </w:rPr>
        <w:t>招标图纸（招标图招标适用）/☒施工图纸</w:t>
      </w:r>
      <w:permEnd w:id="287"/>
      <w:r>
        <w:rPr>
          <w:rFonts w:hint="eastAsia" w:ascii="仿宋_GB2312" w:hAnsi="仿宋_GB2312" w:eastAsia="仿宋_GB2312" w:cs="仿宋_GB2312"/>
          <w:color w:val="auto"/>
          <w:kern w:val="0"/>
          <w:sz w:val="24"/>
          <w:szCs w:val="24"/>
          <w:highlight w:val="none"/>
        </w:rPr>
        <w:t>计价的工程造价+变更项目的工程造价+现场签证工程造价-原招标未完项目的工程造价-扣罚款项</w:t>
      </w:r>
    </w:p>
    <w:p w14:paraId="5E2643D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ermStart w:id="288" w:edGrp="everyone"/>
      <w:r>
        <w:rPr>
          <w:rFonts w:hint="eastAsia" w:ascii="仿宋_GB2312" w:hAnsi="仿宋_GB2312" w:eastAsia="仿宋_GB2312" w:cs="仿宋_GB2312"/>
          <w:color w:val="auto"/>
          <w:kern w:val="0"/>
          <w:sz w:val="24"/>
          <w:szCs w:val="24"/>
          <w:highlight w:val="none"/>
        </w:rPr>
        <w:sym w:font="Wingdings" w:char="00FE"/>
      </w:r>
      <w:permEnd w:id="288"/>
      <w:r>
        <w:rPr>
          <w:rFonts w:hint="eastAsia" w:ascii="仿宋_GB2312" w:hAnsi="仿宋_GB2312" w:eastAsia="仿宋_GB2312" w:cs="仿宋_GB2312"/>
          <w:color w:val="auto"/>
          <w:kern w:val="0"/>
          <w:sz w:val="24"/>
          <w:szCs w:val="24"/>
          <w:highlight w:val="none"/>
        </w:rPr>
        <w:t>土方开挖、回填、支护（包括但不限于挡土板、钢板桩、拉森钢板桩等）等隐蔽工程，需在首次提交结算资料时提供按分段完工里程相关现场工程量确认表及对应计量照片（带花尺）。每个分段完工里程的相片数量不少于8张，照片中小白板需写明项目名称、时间、地点。</w:t>
      </w:r>
    </w:p>
    <w:p w14:paraId="0F5C248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ermStart w:id="289" w:edGrp="everyone"/>
      <w:r>
        <w:rPr>
          <w:rFonts w:hint="eastAsia" w:ascii="仿宋_GB2312" w:hAnsi="仿宋_GB2312" w:eastAsia="仿宋_GB2312" w:cs="仿宋_GB2312"/>
          <w:color w:val="auto"/>
          <w:kern w:val="0"/>
          <w:sz w:val="24"/>
          <w:szCs w:val="24"/>
          <w:highlight w:val="none"/>
        </w:rPr>
        <w:sym w:font="Wingdings" w:char="00FE"/>
      </w:r>
      <w:permEnd w:id="289"/>
      <w:r>
        <w:rPr>
          <w:rFonts w:hint="eastAsia" w:ascii="仿宋_GB2312" w:hAnsi="仿宋_GB2312" w:eastAsia="仿宋_GB2312" w:cs="仿宋_GB2312"/>
          <w:color w:val="auto"/>
          <w:kern w:val="0"/>
          <w:sz w:val="24"/>
          <w:szCs w:val="24"/>
          <w:highlight w:val="none"/>
        </w:rPr>
        <w:t>拆除部分，需提供经业主认可的工程量确认表方可结算。</w:t>
      </w:r>
    </w:p>
    <w:p w14:paraId="4300B8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7）交通疏导员，须在首次提交结算资料时提供对应人员每班的上岗照片，相片要求有明确的时间、地点、项目名称，工程编号，按实际签证计取工程量。</w:t>
      </w:r>
    </w:p>
    <w:p w14:paraId="671E875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8）消毒冲洗部分，需在首次提交结算资料时提供现场图片，相片要求有明确的时间、地点、项目名称，工程编号、每个消毒冲洗位置材料的安装、拆除，按实际签证计取工程量。</w:t>
      </w:r>
    </w:p>
    <w:p w14:paraId="3486C36B">
      <w:pPr>
        <w:widowControl w:val="0"/>
        <w:adjustRightInd w:val="0"/>
        <w:spacing w:line="360" w:lineRule="auto"/>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9）相片未按要求提供的，项目收审后不得任意重新提交，相关工程量不予计价。</w:t>
      </w:r>
    </w:p>
    <w:p w14:paraId="0CB12CE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按照经审批的施工组织方案进行施工，且因施工条件不允许，只能夜间施工的项目（不含非夜间施工项目）：大型机械进退场及停滞须在首次提交结算资料时提供签证记录作为结算依据。签证记录要求包括照片，照片应当清晰展示每台大型机械的进场日期、型号、数量等关键信息，其中：大型机械进退场按经核算的机具实际台班发生量扣减1个台班后记取。在施工现场附近停滞的大型机械，停滞期间仅计算停滞费用，不重复计算进退场费用。</w:t>
      </w:r>
    </w:p>
    <w:p w14:paraId="79436EE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基坑二次开挖须在首次提交结算资料时提供签证记录作为结算依据。签证记录包括照片，照片要求包括但不限于以下信息：开挖的区域、深度、回填厚度、回填材料等。如因客观条件中断施工离场，可提供相关依据，包括但不限于图片、洽商记录等，工程量依据相关依据另行计算。</w:t>
      </w:r>
    </w:p>
    <w:p w14:paraId="027407D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12）经审批的现场签证应纳入结算资料一次性提交，结算过程内后不得调整补充、替换。</w:t>
      </w:r>
    </w:p>
    <w:p w14:paraId="415283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13）发包人需要承包人到指定地点运输材料时发生的运输费用，签证台班原则上按0.5台班/次签认，且需列明日期。</w:t>
      </w:r>
    </w:p>
    <w:p w14:paraId="370FFB4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经三方确认的专项土方平衡施工组织方案、进退场测绘成果及其现场工程量确认表，外运土方超过工程量清单内运距或超出20公里须提供GIS定位辅助图、办理对应现场签证。现场发包人代表及监理人应做好车辆出入原始记录以备核查。场地内的土方调配由承包人按照工序开展，不再签认场地内的土方二次运输。</w:t>
      </w:r>
    </w:p>
    <w:p w14:paraId="23D3D4F8">
      <w:pPr>
        <w:spacing w:line="420" w:lineRule="exact"/>
        <w:rPr>
          <w:rFonts w:hint="eastAsia" w:ascii="仿宋_GB2312" w:hAnsi="仿宋_GB2312" w:eastAsia="仿宋_GB2312" w:cs="仿宋_GB2312"/>
          <w:color w:val="auto"/>
          <w:kern w:val="0"/>
          <w:sz w:val="24"/>
          <w:szCs w:val="24"/>
          <w:highlight w:val="none"/>
        </w:rPr>
      </w:pPr>
    </w:p>
    <w:p w14:paraId="08080187">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★63. 暂列金额</w:t>
      </w:r>
      <w:bookmarkEnd w:id="667"/>
      <w:bookmarkEnd w:id="668"/>
    </w:p>
    <w:p w14:paraId="1EA2755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63.1 合同工程的暂列金额为</w:t>
      </w:r>
      <w:permStart w:id="290"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u w:val="single"/>
        </w:rPr>
        <w:t xml:space="preserve">      </w:t>
      </w:r>
      <w:permEnd w:id="290"/>
      <w:r>
        <w:rPr>
          <w:rFonts w:hint="eastAsia" w:ascii="仿宋_GB2312" w:hAnsi="仿宋_GB2312" w:eastAsia="仿宋_GB2312" w:cs="仿宋_GB2312"/>
          <w:color w:val="auto"/>
          <w:kern w:val="0"/>
          <w:sz w:val="24"/>
          <w:szCs w:val="24"/>
          <w:highlight w:val="none"/>
        </w:rPr>
        <w:t>元。</w:t>
      </w:r>
    </w:p>
    <w:p w14:paraId="66CA785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63.4 暂列金额计算原则：在不超出经批复的总投资估算的前提下，暂列金额按照不高于分部分项工程直接工程费</w:t>
      </w:r>
      <w:permStart w:id="291" w:edGrp="everyone"/>
      <w:r>
        <w:rPr>
          <w:rFonts w:hint="eastAsia" w:ascii="仿宋_GB2312" w:hAnsi="仿宋_GB2312" w:eastAsia="仿宋_GB2312" w:cs="仿宋_GB2312"/>
          <w:color w:val="auto"/>
          <w:kern w:val="0"/>
          <w:sz w:val="24"/>
          <w:szCs w:val="24"/>
          <w:highlight w:val="none"/>
          <w:u w:val="single"/>
        </w:rPr>
        <w:t xml:space="preserve">  5%  </w:t>
      </w:r>
      <w:permEnd w:id="291"/>
      <w:r>
        <w:rPr>
          <w:rFonts w:hint="eastAsia" w:ascii="仿宋_GB2312" w:hAnsi="仿宋_GB2312" w:eastAsia="仿宋_GB2312" w:cs="仿宋_GB2312"/>
          <w:color w:val="auto"/>
          <w:kern w:val="0"/>
          <w:sz w:val="24"/>
          <w:szCs w:val="24"/>
          <w:highlight w:val="none"/>
        </w:rPr>
        <w:t>并按财政部门或发包人委托的第三方造价机构最终审核结果为准。暂列金额不作为结算的依据，其使用应当经过发包人的批准。除发包人批准使用的部分外，其余部分结算时扣除。</w:t>
      </w:r>
    </w:p>
    <w:p w14:paraId="557B287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63.5 暂列金额的管理使用：</w:t>
      </w:r>
    </w:p>
    <w:p w14:paraId="47A91ED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（1）项目实施过程中要严格按合同、招标文件以及设计变更管理办法等相关规定使用暂列金额，不得超出第63.1款规定的范围使用。</w:t>
      </w:r>
    </w:p>
    <w:p w14:paraId="0136467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暂列金额的使用应遵循先暂列金额、后预备费的原则，当发生的费用超过暂列金额度需申请动用预备费的，应在申请的上报文本中把项目暂列金额使用情况加以详细说明并附上相关辅证资料。项目中预备费的使用仍执行现行规定，并遵循先批准后使用的原则。</w:t>
      </w:r>
      <w:bookmarkStart w:id="673" w:name="_Toc469384119"/>
      <w:bookmarkStart w:id="674" w:name="_Toc10624963"/>
    </w:p>
    <w:p w14:paraId="282EE6D4">
      <w:pPr>
        <w:spacing w:line="420" w:lineRule="exact"/>
        <w:rPr>
          <w:rFonts w:hint="eastAsia" w:ascii="仿宋_GB2312" w:hAnsi="仿宋_GB2312" w:eastAsia="仿宋_GB2312" w:cs="仿宋_GB2312"/>
          <w:color w:val="auto"/>
          <w:kern w:val="0"/>
          <w:sz w:val="24"/>
          <w:szCs w:val="24"/>
          <w:highlight w:val="none"/>
        </w:rPr>
      </w:pPr>
    </w:p>
    <w:p w14:paraId="28F270E4">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★65. 暂估价</w:t>
      </w:r>
      <w:bookmarkEnd w:id="673"/>
      <w:bookmarkEnd w:id="674"/>
    </w:p>
    <w:p w14:paraId="5741BC9B">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65.1 招标暂估价项目</w:t>
      </w:r>
    </w:p>
    <w:p w14:paraId="26DD01D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必须招标暂估价项目合同双方当事人的权利、义务</w:t>
      </w:r>
    </w:p>
    <w:p w14:paraId="29777803">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2" w:edGrp="everyone"/>
      <w:r>
        <w:rPr>
          <w:rFonts w:hint="eastAsia" w:ascii="仿宋_GB2312" w:hAnsi="仿宋_GB2312" w:eastAsia="仿宋_GB2312" w:cs="仿宋_GB2312"/>
          <w:color w:val="auto"/>
          <w:kern w:val="0"/>
          <w:sz w:val="24"/>
          <w:szCs w:val="24"/>
          <w:highlight w:val="none"/>
          <w:lang w:eastAsia="zh-CN"/>
        </w:rPr>
        <w:sym w:font="Wingdings 2" w:char="0051"/>
      </w:r>
      <w:permEnd w:id="292"/>
      <w:r>
        <w:rPr>
          <w:rFonts w:hint="eastAsia" w:ascii="仿宋_GB2312" w:hAnsi="仿宋_GB2312" w:eastAsia="仿宋_GB2312" w:cs="仿宋_GB2312"/>
          <w:color w:val="auto"/>
          <w:kern w:val="0"/>
          <w:sz w:val="24"/>
          <w:szCs w:val="24"/>
          <w:highlight w:val="none"/>
        </w:rPr>
        <w:t xml:space="preserve"> 材料、工程设备：</w:t>
      </w:r>
      <w:permStart w:id="29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3"/>
      <w:r>
        <w:rPr>
          <w:rFonts w:hint="eastAsia" w:ascii="仿宋_GB2312" w:hAnsi="仿宋_GB2312" w:eastAsia="仿宋_GB2312" w:cs="仿宋_GB2312"/>
          <w:color w:val="auto"/>
          <w:kern w:val="0"/>
          <w:sz w:val="24"/>
          <w:szCs w:val="24"/>
          <w:highlight w:val="none"/>
        </w:rPr>
        <w:t xml:space="preserve">   </w:t>
      </w:r>
    </w:p>
    <w:p w14:paraId="4C5F94BA">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4" w:edGrp="everyone"/>
      <w:r>
        <w:rPr>
          <w:rFonts w:hint="eastAsia" w:ascii="仿宋_GB2312" w:hAnsi="仿宋_GB2312" w:eastAsia="仿宋_GB2312" w:cs="仿宋_GB2312"/>
          <w:color w:val="auto"/>
          <w:kern w:val="0"/>
          <w:sz w:val="24"/>
          <w:szCs w:val="24"/>
          <w:highlight w:val="none"/>
          <w:lang w:eastAsia="zh-CN"/>
        </w:rPr>
        <w:sym w:font="Wingdings 2" w:char="0051"/>
      </w:r>
      <w:permEnd w:id="294"/>
      <w:r>
        <w:rPr>
          <w:rFonts w:hint="eastAsia" w:ascii="仿宋_GB2312" w:hAnsi="仿宋_GB2312" w:eastAsia="仿宋_GB2312" w:cs="仿宋_GB2312"/>
          <w:color w:val="auto"/>
          <w:kern w:val="0"/>
          <w:sz w:val="24"/>
          <w:szCs w:val="24"/>
          <w:highlight w:val="none"/>
        </w:rPr>
        <w:t xml:space="preserve"> 专业工程：</w:t>
      </w:r>
      <w:permStart w:id="29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5"/>
    </w:p>
    <w:p w14:paraId="11BDDD9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合同约定应当由发包人和承包人采用招标方式选择专项供应商或专业分包人的，应当由承包人作为招标人，依法组织招标工作并接受有管辖权的建设工程招标投标行政监督部门的监督。与组织招标工作有关的费用应当被认为已经包括在承包人的签约合同价（投标总报价）中：</w:t>
      </w:r>
    </w:p>
    <w:p w14:paraId="56BE0E4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在任何招标工作启动前，承包人应当提前至少7天编制招标工作计划并通过监理工程师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工程师收到承包人报送的招标工作计划后5天内给予批准或者提出修改意见。承包人应当严格按照经过发包人批准的招标工作计划开展招标工作。</w:t>
      </w:r>
    </w:p>
    <w:p w14:paraId="4E583FC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（2）承包人应当在发出招标公告（或者资格预审公告或者投标邀请书）、资格预审文件和招标文件前至少 7天，分别将相关文件通过监理工程师报请发包人审批，发包人应当在监理工程师收到承包人报送的相关文件后天内给予批准或者提出修改意见，经发包人批准的相关文件，由承包人负责誊清整理并准备开展实际招标工作所需要的份数，通过监理工程师报发包人核查并加盖发包人印章，发包人在相关文件上加盖印章只表明相关文件经过发包人审核批准。最终发出的文件应当分别报送一份给发包人和监理工程师备查。</w:t>
      </w:r>
    </w:p>
    <w:p w14:paraId="0144043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如果发、承包任何一方委派评标代表，评标委员会应当由七人以上单数构成。除发包人或者承包人自愿放弃委派评标代表的权利外，招标人评标代表应当分别由发包人和承包人等额委派，其中发包人委派人数应多于承包人。</w:t>
      </w:r>
    </w:p>
    <w:p w14:paraId="1DD2ED8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6169E14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设有招标控制价的，承包人应当在招标文件发出前提前7天将招标控制价报发包人审核认可，发包人应当在收到承包人报送的招标控制价后72小时内给予认可或者提出修改意见。招标控制价的最终审核和决定权属于发包人，未经发包人认可，承包人不得发出招标文件。</w:t>
      </w:r>
    </w:p>
    <w:p w14:paraId="1963294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承包人在收到相关招标项目评标委员会提交的评标报告后，应当在24小时内通过监理工程师转报发包人核查，发包人应当在监理工程师收到承包人报送的评标报告后48小时内核查完毕，评标报告经过发包人核查认可后，承包人才可以开始后续程序，依法确定中标人并发出中标通知书。</w:t>
      </w:r>
    </w:p>
    <w:p w14:paraId="03EA670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（7）承包人与专业分包人或者专项供应商订立合同前7天，应当将准备用于正式签订的合同文件通过监理工程师报发包人审核，发包人应当在监理工程师收到相关文件后 7天内给予批准或者提出修改意见，承包人应当按照发包人批准的合同文件签订相关合同，合同订立后 7天内，承包人应当将其中的两份副本报送监理工程师，其中一份由监理工程师报发包人留存。</w:t>
      </w:r>
    </w:p>
    <w:p w14:paraId="2E7296F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（8）发包人对承包人报送文件进行审批或提出的修改意见应当合理，并符合现行有关法律法规的规定。</w:t>
      </w:r>
    </w:p>
    <w:p w14:paraId="428D523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538C028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65.2发包人在工程量清单中给定暂估价的材料、工程设备不属于依法必须招标的范围或者未达到依法必须招标的规模标准的，经发包人确认的技术方案、设备、材料的规格、参数及要求，优先套用专业定额，使用工程量清单计价，清单综合单价综合下浮=1-投标下浮率。定额不适用的，由承包人进行不少于三家市场询比确认价格。紧急特殊委托的，由业主按相关规定流程办理。</w:t>
      </w:r>
    </w:p>
    <w:p w14:paraId="5FCB8F67">
      <w:pPr>
        <w:spacing w:line="420" w:lineRule="exact"/>
        <w:ind w:firstLine="480" w:firstLineChars="200"/>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属于工程量清单中给定暂估价的材料和设备不属于依法必须招标的范围或者未达到依法必须招标的规模标准的，由承包人进行不少于三家市场询比价格，报发包人审批确认单价，按经发包人审批的材料、设备单价对投标清单综合单价对应的暂估材料、设备价格进行调整换算。结算时，需提供经审批确认单价的设备、材料有效发票。</w:t>
      </w:r>
    </w:p>
    <w:p w14:paraId="57223CD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如实施总金额高于签约合同价中的暂估价总额，需经发包人批准方可实施。结算时需提供询比材料，发包人有权对该价格进行审核和修正。</w:t>
      </w:r>
    </w:p>
    <w:p w14:paraId="252CD3B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暂估价为服务类别的，其价格具体审核工作应按照市场询价、收费标准（如有的，按收费标准下浮20%处理）、同类项目历史价格、对标价格等维度进行综合评估确定。</w:t>
      </w:r>
    </w:p>
    <w:p w14:paraId="6A2D116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65.3 非招标专业工程款的确定</w:t>
      </w:r>
    </w:p>
    <w:p w14:paraId="29E01A5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按通用条款规定，由造价工程师与分包人确定。</w:t>
      </w:r>
    </w:p>
    <w:p w14:paraId="78F40422">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bookmarkStart w:id="675" w:name="_Toc469384120"/>
      <w:bookmarkStart w:id="676" w:name="_Toc10624964"/>
    </w:p>
    <w:p w14:paraId="486E1F94">
      <w:pPr>
        <w:spacing w:line="420" w:lineRule="exact"/>
        <w:rPr>
          <w:rFonts w:hint="eastAsia" w:ascii="仿宋_GB2312" w:hAnsi="仿宋_GB2312" w:eastAsia="仿宋_GB2312" w:cs="仿宋_GB2312"/>
          <w:color w:val="auto"/>
          <w:kern w:val="0"/>
          <w:sz w:val="24"/>
          <w:szCs w:val="24"/>
          <w:highlight w:val="none"/>
          <w:u w:val="single"/>
        </w:rPr>
      </w:pPr>
    </w:p>
    <w:p w14:paraId="783A83D3">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★66. 提前竣工奖与误期赔偿费</w:t>
      </w:r>
      <w:bookmarkEnd w:id="675"/>
      <w:bookmarkEnd w:id="676"/>
    </w:p>
    <w:p w14:paraId="6610C96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66.1 提前竣工奖</w:t>
      </w:r>
    </w:p>
    <w:p w14:paraId="177B2ED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提前竣工奖额度</w:t>
      </w:r>
    </w:p>
    <w:p w14:paraId="5DAEBE1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没约定提前竣工奖的，本款不适用。</w:t>
      </w:r>
    </w:p>
    <w:p w14:paraId="3BF5D78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约定提前竣工奖的，每日历天应奖额度为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14:paraId="5289C8E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约定提前竣工奖的，为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14:paraId="07A0897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提前竣工奖的最高限额</w:t>
      </w:r>
    </w:p>
    <w:p w14:paraId="65C9D37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按通用条款规定为合同价款的5%，即</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14:paraId="234A4D06">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66212D3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66.2 误期赔偿费</w:t>
      </w:r>
    </w:p>
    <w:p w14:paraId="06EE5F8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每日历天应赔偿额度为</w:t>
      </w:r>
      <w:permStart w:id="29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6"/>
      <w:r>
        <w:rPr>
          <w:rFonts w:hint="eastAsia" w:ascii="仿宋_GB2312" w:hAnsi="仿宋_GB2312" w:eastAsia="仿宋_GB2312" w:cs="仿宋_GB2312"/>
          <w:color w:val="auto"/>
          <w:kern w:val="0"/>
          <w:sz w:val="24"/>
          <w:szCs w:val="24"/>
          <w:highlight w:val="none"/>
        </w:rPr>
        <w:t>元。</w:t>
      </w:r>
    </w:p>
    <w:p w14:paraId="5F79257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误期赔偿费的最高限额</w:t>
      </w:r>
    </w:p>
    <w:p w14:paraId="0CF455B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按通用条款规定为合同价款的5%，即</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14:paraId="4178A7F9">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按专用条款第90条相关约定执行。     </w:t>
      </w:r>
      <w:bookmarkStart w:id="677" w:name="_Toc469384121"/>
      <w:bookmarkStart w:id="678" w:name="_Toc10624965"/>
    </w:p>
    <w:p w14:paraId="76C6003A">
      <w:pPr>
        <w:spacing w:line="420" w:lineRule="exact"/>
        <w:rPr>
          <w:rFonts w:hint="eastAsia" w:ascii="仿宋_GB2312" w:hAnsi="仿宋_GB2312" w:eastAsia="仿宋_GB2312" w:cs="仿宋_GB2312"/>
          <w:color w:val="auto"/>
          <w:kern w:val="0"/>
          <w:sz w:val="24"/>
          <w:szCs w:val="24"/>
          <w:highlight w:val="none"/>
          <w:u w:val="single"/>
        </w:rPr>
      </w:pPr>
    </w:p>
    <w:p w14:paraId="6B9F1AA3">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★67. 工程优质费、工程建设标准费用</w:t>
      </w:r>
      <w:bookmarkEnd w:id="677"/>
      <w:bookmarkEnd w:id="678"/>
    </w:p>
    <w:p w14:paraId="419E3E8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67.1 工程优质费的计算方法</w:t>
      </w:r>
    </w:p>
    <w:p w14:paraId="5BC59661">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permStart w:id="297" w:edGrp="everyone"/>
      <w:r>
        <w:rPr>
          <w:rFonts w:hint="eastAsia" w:ascii="仿宋_GB2312" w:hAnsi="仿宋_GB2312" w:eastAsia="仿宋_GB2312" w:cs="仿宋_GB2312"/>
          <w:color w:val="auto"/>
          <w:kern w:val="0"/>
          <w:sz w:val="24"/>
          <w:szCs w:val="24"/>
          <w:highlight w:val="none"/>
          <w:lang w:eastAsia="zh-CN"/>
        </w:rPr>
        <w:sym w:font="Wingdings 2" w:char="0051"/>
      </w:r>
      <w:permEnd w:id="297"/>
      <w:r>
        <w:rPr>
          <w:rFonts w:hint="eastAsia" w:ascii="仿宋_GB2312" w:hAnsi="仿宋_GB2312" w:eastAsia="仿宋_GB2312" w:cs="仿宋_GB2312"/>
          <w:color w:val="auto"/>
          <w:kern w:val="0"/>
          <w:sz w:val="24"/>
          <w:szCs w:val="24"/>
          <w:highlight w:val="none"/>
        </w:rPr>
        <w:t xml:space="preserve"> 约定工程优质费的，其计算方法：</w:t>
      </w:r>
      <w:permStart w:id="29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298"/>
    </w:p>
    <w:p w14:paraId="3AD39860">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299" w:edGrp="everyone"/>
      <w:r>
        <w:rPr>
          <w:rFonts w:hint="eastAsia" w:ascii="仿宋_GB2312" w:hAnsi="仿宋_GB2312" w:eastAsia="仿宋_GB2312" w:cs="仿宋_GB2312"/>
          <w:color w:val="auto"/>
          <w:kern w:val="0"/>
          <w:sz w:val="24"/>
          <w:szCs w:val="24"/>
          <w:highlight w:val="none"/>
          <w:lang w:eastAsia="zh-CN"/>
        </w:rPr>
        <w:sym w:font="Wingdings 2" w:char="0051"/>
      </w:r>
      <w:permEnd w:id="299"/>
      <w:r>
        <w:rPr>
          <w:rFonts w:hint="eastAsia" w:ascii="仿宋_GB2312" w:hAnsi="仿宋_GB2312" w:eastAsia="仿宋_GB2312" w:cs="仿宋_GB2312"/>
          <w:color w:val="auto"/>
          <w:kern w:val="0"/>
          <w:sz w:val="24"/>
          <w:szCs w:val="24"/>
          <w:highlight w:val="none"/>
        </w:rPr>
        <w:t xml:space="preserve"> 按分部分项工程费为基础计算：</w:t>
      </w:r>
      <w:permStart w:id="30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00"/>
    </w:p>
    <w:p w14:paraId="03A077C5">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67.2 工程优质费的计算额度：</w:t>
      </w:r>
    </w:p>
    <w:p w14:paraId="514742BC">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1" w:edGrp="everyone"/>
      <w:r>
        <w:rPr>
          <w:rFonts w:hint="eastAsia" w:ascii="仿宋_GB2312" w:hAnsi="仿宋_GB2312" w:eastAsia="仿宋_GB2312" w:cs="仿宋_GB2312"/>
          <w:color w:val="auto"/>
          <w:kern w:val="0"/>
          <w:sz w:val="24"/>
          <w:szCs w:val="24"/>
          <w:highlight w:val="none"/>
          <w:lang w:eastAsia="zh-CN"/>
        </w:rPr>
        <w:sym w:font="Wingdings 2" w:char="0051"/>
      </w:r>
      <w:permEnd w:id="301"/>
      <w:r>
        <w:rPr>
          <w:rFonts w:hint="eastAsia" w:ascii="仿宋_GB2312" w:hAnsi="仿宋_GB2312" w:eastAsia="仿宋_GB2312" w:cs="仿宋_GB2312"/>
          <w:color w:val="auto"/>
          <w:kern w:val="0"/>
          <w:sz w:val="24"/>
          <w:szCs w:val="24"/>
          <w:highlight w:val="none"/>
        </w:rPr>
        <w:t xml:space="preserve"> 按通用条款规定计算。</w:t>
      </w:r>
    </w:p>
    <w:p w14:paraId="7B78E7D1">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2" w:edGrp="everyone"/>
      <w:r>
        <w:rPr>
          <w:rFonts w:hint="eastAsia" w:ascii="仿宋_GB2312" w:hAnsi="仿宋_GB2312" w:eastAsia="仿宋_GB2312" w:cs="仿宋_GB2312"/>
          <w:color w:val="auto"/>
          <w:kern w:val="0"/>
          <w:sz w:val="24"/>
          <w:szCs w:val="24"/>
          <w:highlight w:val="none"/>
          <w:lang w:eastAsia="zh-CN"/>
        </w:rPr>
        <w:sym w:font="Wingdings 2" w:char="0051"/>
      </w:r>
      <w:permEnd w:id="302"/>
      <w:r>
        <w:rPr>
          <w:rFonts w:hint="eastAsia" w:ascii="仿宋_GB2312" w:hAnsi="仿宋_GB2312" w:eastAsia="仿宋_GB2312" w:cs="仿宋_GB2312"/>
          <w:color w:val="auto"/>
          <w:kern w:val="0"/>
          <w:sz w:val="24"/>
          <w:szCs w:val="24"/>
          <w:highlight w:val="none"/>
        </w:rPr>
        <w:t xml:space="preserve"> 另作约定（工程优质费率参考广东省建设工程计价依据工程优质费、广州市住房和城乡建设局发布的工程优质费率；合同工程同时获得下列多个奖项的，只按最高奖项的额度计算。）：</w:t>
      </w:r>
    </w:p>
    <w:p w14:paraId="1E4383B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国家级质量奖，工程优质费</w:t>
      </w:r>
      <w:permStart w:id="30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03"/>
      <w:r>
        <w:rPr>
          <w:rFonts w:hint="eastAsia" w:ascii="仿宋_GB2312" w:hAnsi="仿宋_GB2312" w:eastAsia="仿宋_GB2312" w:cs="仿宋_GB2312"/>
          <w:color w:val="auto"/>
          <w:kern w:val="0"/>
          <w:sz w:val="24"/>
          <w:szCs w:val="24"/>
          <w:highlight w:val="none"/>
        </w:rPr>
        <w:t>%；</w:t>
      </w:r>
    </w:p>
    <w:p w14:paraId="02C9CE7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省级质量奖，工程优质费</w:t>
      </w:r>
      <w:permStart w:id="30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04"/>
      <w:r>
        <w:rPr>
          <w:rFonts w:hint="eastAsia" w:ascii="仿宋_GB2312" w:hAnsi="仿宋_GB2312" w:eastAsia="仿宋_GB2312" w:cs="仿宋_GB2312"/>
          <w:color w:val="auto"/>
          <w:kern w:val="0"/>
          <w:sz w:val="24"/>
          <w:szCs w:val="24"/>
          <w:highlight w:val="none"/>
        </w:rPr>
        <w:t>%；</w:t>
      </w:r>
    </w:p>
    <w:p w14:paraId="60AE80F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市级质量奖，工程优质费</w:t>
      </w:r>
      <w:permStart w:id="30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ermEnd w:id="305"/>
      <w:r>
        <w:rPr>
          <w:rFonts w:hint="eastAsia" w:ascii="仿宋_GB2312" w:hAnsi="仿宋_GB2312" w:eastAsia="仿宋_GB2312" w:cs="仿宋_GB2312"/>
          <w:color w:val="auto"/>
          <w:kern w:val="0"/>
          <w:sz w:val="24"/>
          <w:szCs w:val="24"/>
          <w:highlight w:val="none"/>
        </w:rPr>
        <w:t>%；</w:t>
      </w:r>
    </w:p>
    <w:p w14:paraId="18AADE8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，工程优质费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14:paraId="349584D7">
      <w:pPr>
        <w:widowControl w:val="0"/>
        <w:numPr>
          <w:ilvl w:val="0"/>
          <w:numId w:val="0"/>
        </w:numPr>
        <w:tabs>
          <w:tab w:val="left" w:pos="420"/>
          <w:tab w:val="left" w:pos="576"/>
        </w:tabs>
        <w:spacing w:before="0" w:line="420" w:lineRule="exact"/>
        <w:ind w:left="576" w:hanging="576"/>
        <w:jc w:val="left"/>
        <w:outlineLvl w:val="1"/>
        <w:rPr>
          <w:rFonts w:hint="eastAsia" w:ascii="仿宋_GB2312" w:hAnsi="仿宋_GB2312" w:eastAsia="仿宋_GB2312" w:cs="仿宋_GB2312"/>
          <w:b/>
          <w:bCs/>
          <w:color w:val="auto"/>
          <w:kern w:val="0"/>
          <w:sz w:val="24"/>
          <w:szCs w:val="24"/>
          <w:highlight w:val="none"/>
          <w:lang w:val="en-US" w:eastAsia="zh-CN" w:bidi="ar-SA"/>
        </w:rPr>
      </w:pPr>
      <w:bookmarkStart w:id="679" w:name="_Toc10624966"/>
      <w:bookmarkStart w:id="680" w:name="_Toc469384122"/>
    </w:p>
    <w:p w14:paraId="6DAB7DD2">
      <w:pPr>
        <w:widowControl w:val="0"/>
        <w:numPr>
          <w:ilvl w:val="0"/>
          <w:numId w:val="0"/>
        </w:numPr>
        <w:tabs>
          <w:tab w:val="left" w:pos="420"/>
          <w:tab w:val="left" w:pos="576"/>
        </w:tabs>
        <w:spacing w:before="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★68. 合同价款的约定与调整</w:t>
      </w:r>
      <w:bookmarkEnd w:id="679"/>
      <w:bookmarkEnd w:id="680"/>
    </w:p>
    <w:p w14:paraId="6F72EDC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68.2合同价款的方式</w:t>
      </w:r>
    </w:p>
    <w:p w14:paraId="34AF91FE">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总价合同。</w:t>
      </w:r>
    </w:p>
    <w:p w14:paraId="0AFE0BD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本合同项目的工程承包价是由承包人按招标文件图纸的承包内容、承包范围和工程量以及招标文件的而规定，采用</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根据承包人自身的条件和能力，结合工程现场实际情况，考虑风险后编制的，除发包人对原设计要求或同意变更外，承包人必须按本承包价进行按图包工、包料、包质量、包安全、包工期、包文明施工、包</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等总价包干。</w:t>
      </w:r>
    </w:p>
    <w:p w14:paraId="31883DB5">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合同总价中包括的风险范围：</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14:paraId="0276737D">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风险费用的计算方法：</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14:paraId="0F68CC91">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风险范围以外合同价款调整方法：</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514A571F">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本合同项目的承包范围、承包内容为总价包干，当原承包范围、承包内容出现经发包人批准的设计变更（包括超出本合同的承包范围、承包内容的设计变更项目）以及</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时，变更项目的工程造价采用</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计价方法进行计价，并按照国家、省、市有关规范、规定以及计价办法、工程量计算规则执行，工程量按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计价方法计算，其中的人工、材料、机械台班价格按实际施工期间建设行政主管部门发布的</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规定执行，建设行政主管部门没有发布的某些内容、品种由发包人和承包人约定按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计算；或由发包人和承包人约定人工、材料、机械台班价格根据建设标准要求按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计算。变更项目采用清单计价，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6FD98C8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措施项目费、其他项目费的调整：</w:t>
      </w: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按通用条款规定的调整事件内容调整；</w:t>
      </w: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按广东省定额规定计算；</w:t>
      </w:r>
    </w:p>
    <w:p w14:paraId="78349AAD">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由发包人和承包人根据实际情况约定按</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调整。</w:t>
      </w:r>
    </w:p>
    <w:p w14:paraId="5185BCE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其它调整内容：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14:paraId="3886EC7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本合同项目的结算造价确定方式：</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rPr>
        <w:t>。</w:t>
      </w:r>
    </w:p>
    <w:p w14:paraId="5E552A9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14:paraId="37A1BBDF">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E"/>
      </w:r>
      <w:r>
        <w:rPr>
          <w:rFonts w:hint="eastAsia" w:ascii="仿宋_GB2312" w:hAnsi="仿宋_GB2312" w:eastAsia="仿宋_GB2312" w:cs="仿宋_GB2312"/>
          <w:color w:val="auto"/>
          <w:kern w:val="0"/>
          <w:sz w:val="24"/>
          <w:szCs w:val="24"/>
          <w:highlight w:val="none"/>
        </w:rPr>
        <w:t>单价合同</w:t>
      </w:r>
    </w:p>
    <w:p w14:paraId="2B504BD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本合同项目的工程承包价是由承包人以招标文件以及招标文件的图纸为依据，采用工程量清单计价方法，根据国家标准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以及</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计价办法，按照招标文件中工程量清单所开列的工作内容和估计工程量填报相应的综合单价后并累计合价，再加上措施项目费、其他项目费、规费和税金计算的合同价。结算时发包人依据中华人民共和国国家标准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和</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w:t>
      </w:r>
      <w:r>
        <w:rPr>
          <w:rFonts w:hint="eastAsia" w:ascii="仿宋_GB2312" w:hAnsi="仿宋_GB2312" w:eastAsia="仿宋_GB2312" w:cs="仿宋_GB2312"/>
          <w:color w:val="auto"/>
          <w:sz w:val="24"/>
          <w:szCs w:val="24"/>
          <w:highlight w:val="none"/>
        </w:rPr>
        <w:t>工程量计算规则、</w:t>
      </w:r>
      <w:r>
        <w:rPr>
          <w:rFonts w:hint="eastAsia" w:ascii="仿宋_GB2312" w:hAnsi="仿宋_GB2312" w:eastAsia="仿宋_GB2312" w:cs="仿宋_GB2312"/>
          <w:color w:val="auto"/>
          <w:kern w:val="0"/>
          <w:sz w:val="24"/>
          <w:szCs w:val="24"/>
          <w:highlight w:val="none"/>
        </w:rPr>
        <w:t>图纸等规定计量确认的实际工程量乘以中标的综合单价，再加上措施项目费、其他项目费、规费、税金计算的结算造价。</w:t>
      </w:r>
    </w:p>
    <w:p w14:paraId="4F1ED010">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综合单价包含的风险范围：</w:t>
      </w:r>
      <w:r>
        <w:rPr>
          <w:rFonts w:hint="eastAsia" w:ascii="仿宋_GB2312" w:hAnsi="仿宋_GB2312" w:eastAsia="仿宋_GB2312" w:cs="仿宋_GB2312"/>
          <w:color w:val="auto"/>
          <w:kern w:val="0"/>
          <w:sz w:val="24"/>
          <w:szCs w:val="24"/>
          <w:highlight w:val="none"/>
          <w:u w:val="single"/>
        </w:rPr>
        <w:t>由于承包人使用机械设备、施工技术以及组织管理水平等自身原因造成施工费用增加的，应由承包人全部承担。</w:t>
      </w:r>
    </w:p>
    <w:p w14:paraId="306A1ABD">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风险费用的计算方法：</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14:paraId="1EFF0263">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风险范围以外合同价格的调整方法：</w:t>
      </w:r>
      <w:r>
        <w:rPr>
          <w:rFonts w:hint="eastAsia" w:ascii="仿宋_GB2312" w:hAnsi="仿宋_GB2312" w:eastAsia="仿宋_GB2312" w:cs="仿宋_GB2312"/>
          <w:color w:val="auto"/>
          <w:sz w:val="24"/>
          <w:szCs w:val="24"/>
          <w:highlight w:val="none"/>
          <w:u w:val="single"/>
        </w:rPr>
        <w:t xml:space="preserve">    /     </w:t>
      </w:r>
      <w:r>
        <w:rPr>
          <w:rFonts w:hint="eastAsia" w:ascii="仿宋_GB2312" w:hAnsi="仿宋_GB2312" w:eastAsia="仿宋_GB2312" w:cs="仿宋_GB2312"/>
          <w:color w:val="auto"/>
          <w:sz w:val="24"/>
          <w:szCs w:val="24"/>
          <w:highlight w:val="none"/>
        </w:rPr>
        <w:t>。</w:t>
      </w:r>
    </w:p>
    <w:p w14:paraId="522E9183">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在项目实施期间，招标文件工程量清单漏项的项目、设计变更的项目，经发包人审批确认后，按下列办法进行工程量及综合单价的计算：工程量依据国家标准</w:t>
      </w:r>
      <w:r>
        <w:rPr>
          <w:rFonts w:hint="eastAsia" w:ascii="仿宋_GB2312" w:hAnsi="仿宋_GB2312" w:eastAsia="仿宋_GB2312" w:cs="仿宋_GB2312"/>
          <w:color w:val="auto"/>
          <w:sz w:val="24"/>
          <w:szCs w:val="24"/>
          <w:highlight w:val="none"/>
        </w:rPr>
        <w:t>《建设工程工程量清单计价规范》（GB50500—2013）</w:t>
      </w:r>
      <w:r>
        <w:rPr>
          <w:rFonts w:hint="eastAsia" w:ascii="仿宋_GB2312" w:hAnsi="仿宋_GB2312" w:eastAsia="仿宋_GB2312" w:cs="仿宋_GB2312"/>
          <w:color w:val="auto"/>
          <w:kern w:val="0"/>
          <w:sz w:val="24"/>
          <w:szCs w:val="24"/>
          <w:highlight w:val="none"/>
        </w:rPr>
        <w:t>以及</w:t>
      </w:r>
      <w:r>
        <w:rPr>
          <w:rFonts w:hint="eastAsia" w:ascii="仿宋_GB2312" w:hAnsi="仿宋_GB2312" w:eastAsia="仿宋_GB2312" w:cs="仿宋_GB2312"/>
          <w:color w:val="auto"/>
          <w:sz w:val="24"/>
          <w:szCs w:val="24"/>
          <w:highlight w:val="none"/>
        </w:rPr>
        <w:t>《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w:t>
      </w:r>
      <w:r>
        <w:rPr>
          <w:rFonts w:hint="eastAsia" w:ascii="仿宋_GB2312" w:hAnsi="仿宋_GB2312" w:eastAsia="仿宋_GB2312" w:cs="仿宋_GB2312"/>
          <w:color w:val="auto"/>
          <w:kern w:val="0"/>
          <w:sz w:val="24"/>
          <w:szCs w:val="24"/>
          <w:highlight w:val="none"/>
        </w:rPr>
        <w:t>计价办法、工程量计算规则、图纸等规定计量确认的实际工程量为准；综合单价计算方法为：</w:t>
      </w:r>
    </w:p>
    <w:p w14:paraId="142AF534">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（1）中标的工程量清单中已有相同项目的综合单价，则沿用该综合单价。</w:t>
      </w:r>
    </w:p>
    <w:p w14:paraId="43F5463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的项目与清单漏项的项目、设计变更的项目，两者只存在项目中材料费最高的材料的材质、型号、规格不同时，则新的综合单价只换算原清单项目综合单价中材料费最高的材料单价，其它不变。</w:t>
      </w:r>
    </w:p>
    <w:p w14:paraId="2682DB6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相同项目的，则作为新增项目采用清单计价办法，依据广东省计价依据、广东省相关定额和广州市补充定额，以及所有定额对应的计价办法进行计价，工程量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等计价方法计算，其中的人工、材料、机械台班价格按实际施工期间建设行政主管部门发布的 最新有关 规定执行，建设行政主管部门没有发布的某些内容、品种由发包人和承包人约定按  经发包人确认的设备、材料的规格、参数市场询价 计算；或由发包人和承包人约定人工、材料、机械台班价格根据建设标准要求按 经发包人审核确认的本工程有效发票的材料单价计算。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中标的投标报价相对于招标文件工程量清单有漏项或未填报综合单价项目，此项目的费用按照本合同专用合同条款71.2款约定执行。</w:t>
      </w:r>
    </w:p>
    <w:p w14:paraId="64BB4830">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招标文件工程量清单中的项目在实际施工中没有做的项目，此项目的费用不予计价。</w:t>
      </w:r>
    </w:p>
    <w:p w14:paraId="3C97AE7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措施项目费、其他项目费的调整：</w:t>
      </w:r>
    </w:p>
    <w:p w14:paraId="7E53DF9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按通用条款规定的调整事件内容调整；</w:t>
      </w:r>
    </w:p>
    <w:p w14:paraId="6D8E00E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按广东省定额规定计算；</w:t>
      </w:r>
    </w:p>
    <w:p w14:paraId="7684B3CD">
      <w:pPr>
        <w:spacing w:line="420" w:lineRule="exact"/>
        <w:ind w:firstLine="480" w:firstLineChars="200"/>
        <w:jc w:val="lef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由发包人和承包人根据实际情况约定按本合同专用合同条款72.3款约定调整。</w:t>
      </w:r>
    </w:p>
    <w:p w14:paraId="0D70A461">
      <w:pPr>
        <w:widowControl w:val="0"/>
        <w:adjustRightInd w:val="0"/>
        <w:snapToGrid w:val="0"/>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其它调整内容：</w:t>
      </w:r>
      <w:r>
        <w:rPr>
          <w:rFonts w:hint="eastAsia" w:ascii="仿宋_GB2312" w:hAnsi="仿宋_GB2312" w:eastAsia="仿宋_GB2312" w:cs="仿宋_GB2312"/>
          <w:color w:val="auto"/>
          <w:kern w:val="2"/>
          <w:sz w:val="24"/>
          <w:szCs w:val="24"/>
          <w:highlight w:val="none"/>
          <w:lang w:val="en-US" w:eastAsia="zh-CN" w:bidi="ar-SA"/>
        </w:rPr>
        <w:t>新增单价，套用施工专业定额，使用工程量清单计价，清单综合单价综合下浮=1-投标下浮率，其中发包人依法供应以及甲控乙供的材料价格原则上不下浮。</w:t>
      </w:r>
      <w:r>
        <w:rPr>
          <w:rFonts w:hint="eastAsia" w:ascii="仿宋_GB2312" w:hAnsi="仿宋_GB2312" w:eastAsia="仿宋_GB2312" w:cs="仿宋_GB2312"/>
          <w:color w:val="auto"/>
          <w:kern w:val="0"/>
          <w:sz w:val="24"/>
          <w:szCs w:val="24"/>
          <w:highlight w:val="none"/>
          <w:lang w:val="en-US" w:eastAsia="zh-CN" w:bidi="ar-SA"/>
        </w:rPr>
        <w:t>本合同项目的结算造价确定方式：</w:t>
      </w:r>
      <w:r>
        <w:rPr>
          <w:rFonts w:hint="eastAsia" w:ascii="仿宋_GB2312" w:hAnsi="仿宋_GB2312" w:eastAsia="仿宋_GB2312" w:cs="仿宋_GB2312"/>
          <w:color w:val="auto"/>
          <w:kern w:val="0"/>
          <w:sz w:val="24"/>
          <w:szCs w:val="24"/>
          <w:highlight w:val="none"/>
          <w:u w:val="single"/>
          <w:lang w:val="en-US" w:eastAsia="zh-CN" w:bidi="ar-SA"/>
        </w:rPr>
        <w:t xml:space="preserve">        /          </w:t>
      </w:r>
    </w:p>
    <w:p w14:paraId="40A855A8">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14:paraId="1F4ED7CC">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w:char="00FD"/>
      </w:r>
      <w:r>
        <w:rPr>
          <w:rFonts w:hint="eastAsia" w:ascii="仿宋_GB2312" w:hAnsi="仿宋_GB2312" w:eastAsia="仿宋_GB2312" w:cs="仿宋_GB2312"/>
          <w:color w:val="auto"/>
          <w:kern w:val="0"/>
          <w:sz w:val="24"/>
          <w:szCs w:val="24"/>
          <w:highlight w:val="none"/>
        </w:rPr>
        <w:t xml:space="preserve"> 按实结算合同。</w:t>
      </w:r>
    </w:p>
    <w:p w14:paraId="4B693886">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本合同项目的工程承包价（暂定合同价）由承包人按发包人提供的图纸、勘察资料、工期、质量要求、保养期要求、</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等，结合施工现场实际情况制定的施工方案、施工组织设计，依据有关规范、规定，采用</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计价方法编制的预算价，经监理单位、建设管理单位、发包人、</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审核后，按审核价</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形成的承包价（暂定合同价）。</w:t>
      </w:r>
    </w:p>
    <w:p w14:paraId="0A0C1F5D">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本合同项目结算时，项目的结算造价采用</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计价方法进行计价。并按照国家、省、市有关规范、规定以及计价办法、工程量计算规则执行，工程量按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计价方法计算，其中的人工、材料、机械台班价格按实际施工期间建设行政主管部门发布的</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规定执行，建设行政主管部门没有发布的某些内容、品种由发包人和承包人约定按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计算；或由发包人和承包人约定人工、材料、机械台班价格根据建设标准要求按</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计算。如采用定额计价的，造价的确定依据广东省计价依据、广东省相关定额、广州市补充定额，若个别项目没有定额可套用，由发包人和承包人根据实际情况签订补充合同或协议作出约定；若项目实施期间定额更新，建设行政主管部门对新旧定额的使用办法有规定的从其规定，没有规定或规定不明确的，由发包人和承包人根据实际情况签订补充合同或协议作出约定。</w:t>
      </w:r>
    </w:p>
    <w:p w14:paraId="584F040B">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其它调整内：</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w:t>
      </w:r>
    </w:p>
    <w:p w14:paraId="454A87D2">
      <w:pPr>
        <w:widowControl w:val="0"/>
        <w:adjustRightInd w:val="0"/>
        <w:snapToGrid w:val="0"/>
        <w:spacing w:line="420" w:lineRule="exact"/>
        <w:ind w:left="178" w:leftChars="85" w:firstLine="477" w:firstLineChars="199"/>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本合同项目的结算造价确定方式：</w:t>
      </w:r>
      <w:r>
        <w:rPr>
          <w:rFonts w:hint="eastAsia" w:ascii="仿宋_GB2312" w:hAnsi="仿宋_GB2312" w:eastAsia="仿宋_GB2312" w:cs="仿宋_GB2312"/>
          <w:color w:val="auto"/>
          <w:kern w:val="0"/>
          <w:sz w:val="24"/>
          <w:szCs w:val="24"/>
          <w:highlight w:val="none"/>
          <w:u w:val="single"/>
          <w:lang w:val="en-US" w:eastAsia="zh-CN" w:bidi="ar-SA"/>
        </w:rPr>
        <w:t xml:space="preserve">      /     </w:t>
      </w:r>
      <w:r>
        <w:rPr>
          <w:rFonts w:hint="eastAsia" w:ascii="仿宋_GB2312" w:hAnsi="仿宋_GB2312" w:eastAsia="仿宋_GB2312" w:cs="仿宋_GB2312"/>
          <w:color w:val="auto"/>
          <w:kern w:val="0"/>
          <w:sz w:val="24"/>
          <w:szCs w:val="24"/>
          <w:highlight w:val="none"/>
          <w:lang w:val="en-US" w:eastAsia="zh-CN" w:bidi="ar-SA"/>
        </w:rPr>
        <w:t>。</w:t>
      </w:r>
    </w:p>
    <w:p w14:paraId="18B66CD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p>
    <w:p w14:paraId="5BB25F24">
      <w:pPr>
        <w:spacing w:line="420" w:lineRule="exact"/>
        <w:ind w:firstLine="480" w:firstLineChars="200"/>
        <w:jc w:val="left"/>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sz w:val="24"/>
          <w:szCs w:val="24"/>
          <w:highlight w:val="none"/>
        </w:rPr>
        <w:t>其它价格形式</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eastAsia="zh-CN"/>
        </w:rPr>
        <w:t>。</w:t>
      </w:r>
    </w:p>
    <w:p w14:paraId="6A2945F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68.3 合同价款的调整事件</w:t>
      </w:r>
    </w:p>
    <w:p w14:paraId="64B2A3C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按通用条款规定的调整事件。</w:t>
      </w:r>
    </w:p>
    <w:p w14:paraId="75935E2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14:paraId="1C1BAA2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68.3（9）调整合同价款的其他事件： </w:t>
      </w:r>
      <w:permStart w:id="306" w:edGrp="everyone"/>
      <w:r>
        <w:rPr>
          <w:rFonts w:hint="eastAsia" w:ascii="仿宋_GB2312" w:hAnsi="仿宋_GB2312" w:eastAsia="仿宋_GB2312" w:cs="仿宋_GB2312"/>
          <w:color w:val="auto"/>
          <w:kern w:val="0"/>
          <w:sz w:val="24"/>
          <w:szCs w:val="24"/>
          <w:highlight w:val="none"/>
        </w:rPr>
        <w:sym w:font="Wingdings" w:char="00FE"/>
      </w:r>
      <w:permEnd w:id="306"/>
      <w:r>
        <w:rPr>
          <w:rFonts w:hint="eastAsia" w:ascii="仿宋_GB2312" w:hAnsi="仿宋_GB2312" w:eastAsia="仿宋_GB2312" w:cs="仿宋_GB2312"/>
          <w:color w:val="auto"/>
          <w:kern w:val="0"/>
          <w:sz w:val="24"/>
          <w:szCs w:val="24"/>
          <w:highlight w:val="none"/>
        </w:rPr>
        <w:t>（如发包人使用招标图招标的，勾选此项；使用施工图招标的，则不勾选）承包人中标后关于施工图差异量处置原则：</w:t>
      </w:r>
    </w:p>
    <w:p w14:paraId="62D089C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开工后1个月内，应根据现场实际情况，完成招标图与施工图图纸的复核工作并提出设计变更意见，差额达到本合同应签订补充协议的约定，双方应签订补充协议。如超出限期未提出相关变更申请的，因招标图纸与经施工图图纸会审后的图纸之间差异增加工程费用的，不应计取。</w:t>
      </w:r>
    </w:p>
    <w:p w14:paraId="6CCA3C2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2）如设计方提供的会审后施工图预算差异（扣除发包人供应材料费用后的设计预算-中标价）低于承包人提供的</w:t>
      </w:r>
      <w:r>
        <w:rPr>
          <w:rFonts w:hint="eastAsia" w:ascii="仿宋_GB2312" w:hAnsi="仿宋_GB2312" w:eastAsia="仿宋_GB2312" w:cs="仿宋_GB2312"/>
          <w:color w:val="auto"/>
          <w:kern w:val="0"/>
          <w:sz w:val="24"/>
          <w:szCs w:val="24"/>
          <w:highlight w:val="none"/>
          <w:lang w:val="en-US" w:eastAsia="zh-CN"/>
        </w:rPr>
        <w:t>施工</w:t>
      </w:r>
      <w:r>
        <w:rPr>
          <w:rFonts w:hint="eastAsia" w:ascii="仿宋_GB2312" w:hAnsi="仿宋_GB2312" w:eastAsia="仿宋_GB2312" w:cs="仿宋_GB2312"/>
          <w:color w:val="auto"/>
          <w:kern w:val="0"/>
          <w:sz w:val="24"/>
          <w:szCs w:val="24"/>
          <w:highlight w:val="none"/>
        </w:rPr>
        <w:t>预算，发包人有权按低值作为签订补充协议及后续工程变更、进度款拨付的依据。</w:t>
      </w:r>
    </w:p>
    <w:p w14:paraId="018E2BE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3）因招标图纸与经施工图图纸会审后的图纸之间差异造成的工程费用差的编制，按第77.6款执行。 </w:t>
      </w:r>
      <w:bookmarkStart w:id="681" w:name="_Toc10624967"/>
      <w:bookmarkStart w:id="682" w:name="_Toc469384123"/>
    </w:p>
    <w:p w14:paraId="3A76E397">
      <w:pPr>
        <w:spacing w:line="420" w:lineRule="exact"/>
        <w:rPr>
          <w:rFonts w:hint="eastAsia" w:ascii="仿宋_GB2312" w:hAnsi="仿宋_GB2312" w:eastAsia="仿宋_GB2312" w:cs="仿宋_GB2312"/>
          <w:color w:val="auto"/>
          <w:kern w:val="0"/>
          <w:sz w:val="24"/>
          <w:szCs w:val="24"/>
          <w:highlight w:val="none"/>
        </w:rPr>
      </w:pPr>
    </w:p>
    <w:p w14:paraId="5F1EA206">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★71.分部分项工程量清单缺项漏项事件</w:t>
      </w:r>
    </w:p>
    <w:p w14:paraId="26AFCE5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71.2调整分部分项工程费的方法</w:t>
      </w:r>
    </w:p>
    <w:p w14:paraId="25C8B25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14:paraId="72241DA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（1）两者相等时，该项目费用不得补计；</w:t>
      </w:r>
    </w:p>
    <w:p w14:paraId="724E82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（2）前者比后者增加时，增加部份的费用采用上述清单计价办法进行计价，综合单价按下浮10%进行计算；</w:t>
      </w:r>
    </w:p>
    <w:p w14:paraId="3F36300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（3）前者比后者减少时，减少部份的费用采用上述清单计价办法进行扣减；</w:t>
      </w:r>
    </w:p>
    <w:p w14:paraId="0637DEC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无论两者相等还是增、减，投标报价漏项或未填综合单价项目的原招标文件工程量清单工程量不得补计；增项清单项目不作为签订合同及结算等的依据。</w:t>
      </w:r>
    </w:p>
    <w:p w14:paraId="544DD810">
      <w:pPr>
        <w:spacing w:line="420" w:lineRule="exact"/>
        <w:rPr>
          <w:rFonts w:hint="eastAsia" w:ascii="仿宋_GB2312" w:hAnsi="仿宋_GB2312" w:eastAsia="仿宋_GB2312" w:cs="仿宋_GB2312"/>
          <w:color w:val="auto"/>
          <w:kern w:val="0"/>
          <w:sz w:val="24"/>
          <w:szCs w:val="24"/>
          <w:highlight w:val="none"/>
        </w:rPr>
      </w:pPr>
    </w:p>
    <w:p w14:paraId="14B1C0A5">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72. 工程变更事件</w:t>
      </w:r>
      <w:bookmarkEnd w:id="681"/>
      <w:bookmarkEnd w:id="682"/>
    </w:p>
    <w:p w14:paraId="38B00D1D">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72.2 调整分部分项工程费的方法</w:t>
      </w:r>
    </w:p>
    <w:p w14:paraId="0E03D8E1">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(1)中标的工程量清单中已有相同项目的适用的综合单价，则沿用;</w:t>
      </w:r>
    </w:p>
    <w:p w14:paraId="23C0F30B">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业主确认的设备、材料的规</w:t>
      </w:r>
    </w:p>
    <w:p w14:paraId="3929FCEA">
      <w:pPr>
        <w:widowControl w:val="0"/>
        <w:adjustRightInd w:val="0"/>
        <w:snapToGrid w:val="0"/>
        <w:spacing w:line="42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格、参数市场询价确认，或凭业主项目负责人审核确认的本工程有效发票的材料单价计算。</w:t>
      </w:r>
    </w:p>
    <w:p w14:paraId="2F4C2B17">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中标的工程量清单中没有适用或类似的，则作为新增单价（是否为新增单价由发包人确定），采用清单计价办法进行计价并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依据经业主确认的设备、材料的规格、参数市场询价确认，或凭业主项目负责人审核确认的本工程有效发票的材料单价计算。</w:t>
      </w:r>
    </w:p>
    <w:p w14:paraId="1AE80B5F">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新增单价，套用施工专业定额，使用工程量清单计价，清单综合单价综合下浮=1-投标下浮率，其中发包人依法供应以及甲控乙供的材料价格原则上不下浮。</w:t>
      </w:r>
    </w:p>
    <w:p w14:paraId="727983E4">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72.3 调整措施项目费的方法</w:t>
      </w:r>
    </w:p>
    <w:p w14:paraId="036F66CF">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50ECCC5C">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（1）按系数计算的绿色施工安全防护费，按合同协议书约定执行，</w:t>
      </w:r>
      <w:permStart w:id="307" w:edGrp="everyone"/>
      <w:r>
        <w:rPr>
          <w:rFonts w:hint="eastAsia" w:ascii="仿宋_GB2312" w:hAnsi="仿宋_GB2312" w:eastAsia="仿宋_GB2312" w:cs="仿宋_GB2312"/>
          <w:color w:val="auto"/>
          <w:kern w:val="2"/>
          <w:sz w:val="24"/>
          <w:szCs w:val="24"/>
          <w:highlight w:val="none"/>
          <w:lang w:val="en-US" w:eastAsia="zh-CN" w:bidi="ar-SA"/>
        </w:rPr>
        <w:t>☒</w:t>
      </w:r>
      <w:permEnd w:id="307"/>
      <w:r>
        <w:rPr>
          <w:rFonts w:hint="eastAsia" w:ascii="仿宋_GB2312" w:hAnsi="仿宋_GB2312" w:eastAsia="仿宋_GB2312" w:cs="仿宋_GB2312"/>
          <w:color w:val="auto"/>
          <w:kern w:val="2"/>
          <w:sz w:val="24"/>
          <w:szCs w:val="24"/>
          <w:highlight w:val="none"/>
          <w:lang w:val="en-US" w:eastAsia="zh-CN" w:bidi="ar-SA"/>
        </w:rPr>
        <w:t>合价包干；</w:t>
      </w:r>
      <w:permStart w:id="308" w:edGrp="everyone"/>
      <w:r>
        <w:rPr>
          <w:rFonts w:hint="eastAsia" w:ascii="仿宋_GB2312" w:hAnsi="仿宋_GB2312" w:eastAsia="仿宋_GB2312" w:cs="仿宋_GB2312"/>
          <w:color w:val="auto"/>
          <w:kern w:val="2"/>
          <w:sz w:val="24"/>
          <w:szCs w:val="24"/>
          <w:highlight w:val="none"/>
          <w:lang w:val="en-US" w:eastAsia="zh-CN" w:bidi="ar-SA"/>
        </w:rPr>
        <w:sym w:font="Wingdings 2" w:char="0052"/>
      </w:r>
      <w:permEnd w:id="308"/>
      <w:r>
        <w:rPr>
          <w:rFonts w:hint="eastAsia" w:ascii="仿宋_GB2312" w:hAnsi="仿宋_GB2312" w:eastAsia="仿宋_GB2312" w:cs="仿宋_GB2312"/>
          <w:color w:val="auto"/>
          <w:kern w:val="2"/>
          <w:sz w:val="24"/>
          <w:szCs w:val="24"/>
          <w:highlight w:val="none"/>
          <w:lang w:val="en-US" w:eastAsia="zh-CN" w:bidi="ar-SA"/>
        </w:rPr>
        <w:t>（招标图招标勾选）</w:t>
      </w:r>
      <w:r>
        <w:rPr>
          <w:rFonts w:hint="eastAsia" w:ascii="仿宋_GB2312" w:hAnsi="仿宋_GB2312" w:eastAsia="仿宋_GB2312" w:cs="仿宋_GB2312"/>
          <w:color w:val="auto"/>
          <w:kern w:val="2"/>
          <w:sz w:val="24"/>
          <w:szCs w:val="24"/>
          <w:highlight w:val="none"/>
          <w:lang w:val="en-US" w:eastAsia="zh-CN" w:bidi="ar-SA"/>
        </w:rPr>
        <w:t>按实调整</w:t>
      </w:r>
      <w:r>
        <w:rPr>
          <w:rFonts w:hint="eastAsia" w:ascii="仿宋_GB2312" w:hAnsi="仿宋_GB2312" w:eastAsia="仿宋_GB2312" w:cs="仿宋_GB2312"/>
          <w:color w:val="auto"/>
          <w:kern w:val="2"/>
          <w:sz w:val="24"/>
          <w:szCs w:val="24"/>
          <w:highlight w:val="none"/>
          <w:lang w:val="en-US" w:eastAsia="zh-CN" w:bidi="ar-SA"/>
        </w:rPr>
        <w:t>。</w:t>
      </w:r>
    </w:p>
    <w:p w14:paraId="35AE040F">
      <w:pPr>
        <w:widowControl w:val="0"/>
        <w:adjustRightInd w:val="0"/>
        <w:snapToGrid w:val="0"/>
        <w:spacing w:line="420" w:lineRule="exact"/>
        <w:ind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（2）凡可计算工程量的措施项目费，按照实际发生变化的措施项目的工程量乘以第72.2款规定的单价或合价调整。</w:t>
      </w:r>
    </w:p>
    <w:p w14:paraId="562C9F3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72.4 调整承包人报价偏差的方法</w:t>
      </w:r>
    </w:p>
    <w:p w14:paraId="016F519E">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09" w:edGrp="everyone"/>
      <w:r>
        <w:rPr>
          <w:rFonts w:hint="eastAsia" w:ascii="仿宋_GB2312" w:hAnsi="仿宋_GB2312" w:eastAsia="仿宋_GB2312" w:cs="仿宋_GB2312"/>
          <w:color w:val="auto"/>
          <w:kern w:val="2"/>
          <w:sz w:val="24"/>
          <w:szCs w:val="24"/>
          <w:highlight w:val="none"/>
          <w:lang w:val="en-US" w:eastAsia="zh-CN" w:bidi="ar-SA"/>
        </w:rPr>
        <w:t>☒</w:t>
      </w:r>
      <w:permEnd w:id="309"/>
      <w:r>
        <w:rPr>
          <w:rFonts w:hint="eastAsia" w:ascii="仿宋_GB2312" w:hAnsi="仿宋_GB2312" w:eastAsia="仿宋_GB2312" w:cs="仿宋_GB2312"/>
          <w:color w:val="auto"/>
          <w:kern w:val="0"/>
          <w:sz w:val="24"/>
          <w:szCs w:val="24"/>
          <w:highlight w:val="none"/>
        </w:rPr>
        <w:t xml:space="preserve"> 按通用条款的规定调整。</w:t>
      </w:r>
    </w:p>
    <w:p w14:paraId="51D7F3D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p>
    <w:p w14:paraId="56B9931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72.6 单项工程经批准增加合同规定以外的内容，或者单项工程合同变更追加工程款按相关规定执行。设计变更价款的确定须依据《广东省住房和城乡建设厅关于营业税改征增值税后调整广东省建设工程计划依据的通知》（粤建市函〔2016〕1113号）、《广州市建设工程造价管理站关于营业税改征增值税后广州市建设工程计价有关问题的通知》（穗建造价〔2016〕31号）、《2013建设工程工程量清单计价规范》（GB50500-2013）、《广东省建设工程计价依据（2018）》等文件进行计价。</w:t>
      </w:r>
      <w:bookmarkStart w:id="683" w:name="_Toc10624968"/>
      <w:bookmarkStart w:id="684" w:name="_Toc469384124"/>
    </w:p>
    <w:p w14:paraId="7F8016B8">
      <w:pPr>
        <w:spacing w:line="420" w:lineRule="exact"/>
        <w:rPr>
          <w:rFonts w:hint="eastAsia" w:ascii="仿宋_GB2312" w:hAnsi="仿宋_GB2312" w:eastAsia="仿宋_GB2312" w:cs="仿宋_GB2312"/>
          <w:color w:val="auto"/>
          <w:kern w:val="0"/>
          <w:sz w:val="24"/>
          <w:szCs w:val="24"/>
          <w:highlight w:val="none"/>
        </w:rPr>
      </w:pPr>
    </w:p>
    <w:p w14:paraId="15527540">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73. 工程量偏差事件</w:t>
      </w:r>
      <w:bookmarkEnd w:id="683"/>
      <w:bookmarkEnd w:id="684"/>
    </w:p>
    <w:p w14:paraId="638576E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73.2 调整分部分项工程费的方法</w:t>
      </w:r>
    </w:p>
    <w:p w14:paraId="698FBD14">
      <w:pPr>
        <w:spacing w:line="420" w:lineRule="exact"/>
        <w:ind w:firstLine="480" w:firstLineChars="200"/>
        <w:rPr>
          <w:rFonts w:hint="eastAsia" w:ascii="仿宋_GB2312" w:hAnsi="仿宋_GB2312" w:eastAsia="仿宋_GB2312" w:cs="仿宋_GB2312"/>
          <w:strike/>
          <w:color w:val="auto"/>
          <w:kern w:val="0"/>
          <w:sz w:val="24"/>
          <w:szCs w:val="24"/>
          <w:highlight w:val="none"/>
        </w:rPr>
      </w:pPr>
      <w:r>
        <w:rPr>
          <w:rFonts w:hint="eastAsia" w:ascii="仿宋_GB2312" w:hAnsi="仿宋_GB2312" w:eastAsia="仿宋_GB2312" w:cs="仿宋_GB2312"/>
          <w:color w:val="auto"/>
          <w:kern w:val="0"/>
          <w:sz w:val="24"/>
          <w:szCs w:val="24"/>
          <w:highlight w:val="none"/>
        </w:rPr>
        <w:t>调整结算分部分项工程费</w:t>
      </w:r>
    </w:p>
    <w:p w14:paraId="10B0719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按通用条款的规定调整。</w:t>
      </w:r>
    </w:p>
    <w:p w14:paraId="3C8F87F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p>
    <w:p w14:paraId="7132BFC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73.3 调整措施项目费的方法</w:t>
      </w:r>
    </w:p>
    <w:p w14:paraId="2A0C59F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调整结算措施项目费：</w:t>
      </w:r>
    </w:p>
    <w:p w14:paraId="12CF4B9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按通用条款的规定调整。</w:t>
      </w:r>
    </w:p>
    <w:p w14:paraId="63876BD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按照下列方法调整：根据合同协议书第六点“结算方式”调整。</w:t>
      </w:r>
      <w:bookmarkStart w:id="685" w:name="_Toc469384125"/>
      <w:bookmarkStart w:id="686" w:name="_Toc10624969"/>
    </w:p>
    <w:p w14:paraId="2B70594D">
      <w:pPr>
        <w:spacing w:line="420" w:lineRule="exact"/>
        <w:rPr>
          <w:rFonts w:hint="eastAsia" w:ascii="仿宋_GB2312" w:hAnsi="仿宋_GB2312" w:eastAsia="仿宋_GB2312" w:cs="仿宋_GB2312"/>
          <w:color w:val="auto"/>
          <w:kern w:val="0"/>
          <w:sz w:val="24"/>
          <w:szCs w:val="24"/>
          <w:highlight w:val="none"/>
        </w:rPr>
      </w:pPr>
    </w:p>
    <w:p w14:paraId="779A2BF4">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74. 费用索赔事件</w:t>
      </w:r>
    </w:p>
    <w:p w14:paraId="59866A0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74.7（1）发生索赔事件后，监理工程师应及时书面通知承包人，详细说明发包人有权得到的索赔金额和（或）延长缺陷责任期的细节和依据。发包人提出索赔的期限和要求与第74.2款的约定相同，延长缺陷责任期的通知应在缺陷责任期届满前发出。</w:t>
      </w:r>
    </w:p>
    <w:p w14:paraId="5F41057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（2）监理工程师按第23.9款商定或确定发包人从承包人处得到赔付的金额和（或）缺陷责任期的延长期。承包人应付给发包人的金额可从拟支付给承包人的合同价款中扣除，或由承包人以其他方式支付给发包人。</w:t>
      </w:r>
    </w:p>
    <w:p w14:paraId="2F3AAB0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74.9（1）在任何索赔和争议期间，不论索赔是否有据，均不能免除承包人按合同规定履行合同义务。承包人不得以此为借口，拒不履行或拖延合同的履行。否则发包人有权终止合同，并要求承包人赔偿由此导致的发包人的损失。</w:t>
      </w:r>
    </w:p>
    <w:p w14:paraId="4BDA9A7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（2）鉴于工程建设项目的特点，发包人可能会分期提供场地，承包人应据此调整施工进度计划。只有承包人提供足够的资料证明发包人拖延其关键工序的开始，这种拖延才被视为补偿事件，并获得发包人批准。</w:t>
      </w:r>
    </w:p>
    <w:p w14:paraId="328AD62C">
      <w:pPr>
        <w:spacing w:line="420" w:lineRule="exact"/>
        <w:rPr>
          <w:rFonts w:hint="eastAsia" w:ascii="仿宋_GB2312" w:hAnsi="仿宋_GB2312" w:eastAsia="仿宋_GB2312" w:cs="仿宋_GB2312"/>
          <w:b/>
          <w:bCs/>
          <w:color w:val="auto"/>
          <w:sz w:val="24"/>
          <w:szCs w:val="24"/>
          <w:highlight w:val="none"/>
        </w:rPr>
      </w:pPr>
    </w:p>
    <w:p w14:paraId="42907EF9">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75. 现场签证事件</w:t>
      </w:r>
      <w:bookmarkEnd w:id="685"/>
      <w:bookmarkEnd w:id="686"/>
    </w:p>
    <w:p w14:paraId="749E0FB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75.2现场签证的提出 </w:t>
      </w:r>
    </w:p>
    <w:p w14:paraId="6316E61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承包人根据工程现场实际情况提出办理现场签证时，应当依据发包人印发的建设项目现场签证有关管理办法的要求进行办理。</w:t>
      </w:r>
    </w:p>
    <w:p w14:paraId="29433B1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75.3 现场签证报告的确认</w:t>
      </w:r>
    </w:p>
    <w:p w14:paraId="66C2D759">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提交现场签证报告的时间：</w:t>
      </w:r>
    </w:p>
    <w:p w14:paraId="779870A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按通用条款的规定的时间提交。</w:t>
      </w:r>
    </w:p>
    <w:p w14:paraId="5B06FBE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 xml:space="preserve"> </w:t>
      </w:r>
    </w:p>
    <w:p w14:paraId="3B035BE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75.4现场签证的要求</w:t>
      </w:r>
    </w:p>
    <w:p w14:paraId="12D8B12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（1）计日工中人工单价以施工期内签证记录各对应时点造价管理机构公布的综合价格中普工的劳务日工资价格中值*（1-投标下浮率）计算。</w:t>
      </w:r>
    </w:p>
    <w:p w14:paraId="1FE7B96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（2）若招标工程量清单中包含交通疏导员，则交通疏导员结算单价以中标价格计算。</w:t>
      </w:r>
    </w:p>
    <w:p w14:paraId="519B0A9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75.8现场签证的估价原则</w:t>
      </w:r>
    </w:p>
    <w:p w14:paraId="27A8B7B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有效的现场签证，综合单价计算方法为：</w:t>
      </w:r>
    </w:p>
    <w:p w14:paraId="4F3D9C7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（1）中标的工程量清单中已有相同项目的适用的综合单价，则沿用。</w:t>
      </w:r>
    </w:p>
    <w:p w14:paraId="4A7774B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业主确认的设备、材料的规格、参数市场询价确认，或凭业主项目负责人审核确认的本工程有效发票的材料单价计算。</w:t>
      </w:r>
    </w:p>
    <w:p w14:paraId="57BEB6C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适用或类似的，则作为新增单价（是否为新增单价由发包人确定），采用清单计价办法进行计价并按照《2013建设工程工程量清单计价规范》（GB50500-2013）、《广东省建设工程计价依据（2018）》、《建设工程工程量清单计价规范》（GB50500—2013）《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材料，依据经业主确认的设备、材料的规格、参数市场询价确认，或凭发包人审核确认的本工程有效发票的材料单价计算。</w:t>
      </w:r>
    </w:p>
    <w:p w14:paraId="084BE49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对于新增单价，套用施工专业定额，使用工程量清单计价，清单综合单价综合下浮=1-投标下浮率，其中经发包人依法供应以及甲控乙供的材料价格原则上不下浮。</w:t>
      </w:r>
    </w:p>
    <w:p w14:paraId="7F33B12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 xml:space="preserve">75.9 </w:t>
      </w:r>
      <w:bookmarkStart w:id="687" w:name="_Hlk164715087"/>
      <w:r>
        <w:rPr>
          <w:rFonts w:hint="eastAsia" w:ascii="仿宋_GB2312" w:hAnsi="仿宋_GB2312" w:eastAsia="仿宋_GB2312" w:cs="仿宋_GB2312"/>
          <w:color w:val="auto"/>
          <w:kern w:val="0"/>
          <w:sz w:val="24"/>
          <w:szCs w:val="24"/>
          <w:highlight w:val="none"/>
        </w:rPr>
        <w:t>按发包人或其上级主管部门发布的现场签证管理办法流程完成审批的签证及其材料方可视同为有效签证。承包人根据现场情况提出签证需求，填写工程洽商记录、施工现场签证记录等报监理工程师初审，监理工程师在收到上述资料后3天内提出初审意见报发包人，由发包人对现场签证资料进行符合性审查后组织承包人、监理人召开现场签证洽商会，并在会后5天内形成专题会议纪要，由承包人根据会议纪要要求提交工程洽商记录、签证记录后，由发包人完成现场签证审批，并发布签证令、通知承包人、监理人执行签证。</w:t>
      </w:r>
      <w:r>
        <w:rPr>
          <w:rFonts w:hint="eastAsia" w:ascii="仿宋_GB2312" w:hAnsi="仿宋_GB2312" w:eastAsia="仿宋_GB2312" w:cs="仿宋_GB2312"/>
          <w:color w:val="auto"/>
          <w:sz w:val="24"/>
          <w:szCs w:val="24"/>
          <w:highlight w:val="none"/>
        </w:rPr>
        <w:t>如承包人逾期未向监理工程师及发包人提出，或未经发包人同意答复的现场签证事件，或该项现场签证事件无专题会议纪要等相关过程资料，涉及承包人原因导致增加的费用原则上不纳入结算范围。</w:t>
      </w:r>
      <w:bookmarkEnd w:id="687"/>
      <w:bookmarkStart w:id="688" w:name="_Toc10624970"/>
      <w:bookmarkStart w:id="689" w:name="_Toc469384126"/>
    </w:p>
    <w:p w14:paraId="5579EF1D">
      <w:pPr>
        <w:spacing w:line="420" w:lineRule="exact"/>
        <w:rPr>
          <w:rFonts w:hint="eastAsia" w:ascii="仿宋_GB2312" w:hAnsi="仿宋_GB2312" w:eastAsia="仿宋_GB2312" w:cs="仿宋_GB2312"/>
          <w:color w:val="auto"/>
          <w:sz w:val="24"/>
          <w:szCs w:val="24"/>
          <w:highlight w:val="none"/>
        </w:rPr>
      </w:pPr>
    </w:p>
    <w:p w14:paraId="19F64D75">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★76. 物价涨落事件</w:t>
      </w:r>
      <w:bookmarkEnd w:id="688"/>
      <w:bookmarkEnd w:id="689"/>
    </w:p>
    <w:p w14:paraId="5D29C72D">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市场价格波动是否调整合同价格的约定：</w:t>
      </w:r>
    </w:p>
    <w:p w14:paraId="2538DFDE">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因市场价格波动调整合同价格，采用以下第</w:t>
      </w:r>
      <w:r>
        <w:rPr>
          <w:rFonts w:hint="eastAsia" w:ascii="仿宋_GB2312" w:hAnsi="仿宋_GB2312" w:eastAsia="仿宋_GB2312" w:cs="仿宋_GB2312"/>
          <w:color w:val="auto"/>
          <w:sz w:val="24"/>
          <w:szCs w:val="24"/>
          <w:highlight w:val="none"/>
          <w:u w:val="single"/>
        </w:rPr>
        <w:t xml:space="preserve">  1  </w:t>
      </w:r>
      <w:r>
        <w:rPr>
          <w:rFonts w:hint="eastAsia" w:ascii="仿宋_GB2312" w:hAnsi="仿宋_GB2312" w:eastAsia="仿宋_GB2312" w:cs="仿宋_GB2312"/>
          <w:color w:val="auto"/>
          <w:kern w:val="0"/>
          <w:sz w:val="24"/>
          <w:szCs w:val="24"/>
          <w:highlight w:val="none"/>
        </w:rPr>
        <w:t>种方式对合同价格进行调整：</w:t>
      </w:r>
    </w:p>
    <w:p w14:paraId="73075742">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第1种方式：采用造价信息进行价格调整。</w:t>
      </w:r>
    </w:p>
    <w:p w14:paraId="5953DDE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签订合同后一年未开工的，以开工后取得第一笔预付款时的施工属地建设工程造价管理部门发布的综合价格进行调差，调差范围及规则按以下约定执行：</w:t>
      </w:r>
    </w:p>
    <w:p w14:paraId="3860DC2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（1）施工开工一年（365 天）内，发生物价波动的，合同价格不因此而调整（价格管理部门下达专项指导文件的除外）；</w:t>
      </w:r>
    </w:p>
    <w:p w14:paraId="3E9C520B">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（2）施工开工一年（365 天）后，钢材（含钢筋）、预拌混凝土（含砂浆）、水泥、砂、碎石（含石屑）、混凝土制品（如混凝土砌块、预制管桩等）六大类大宗材料的价格波动幅度在±5%以上时，可调整当期完工清单工作量中对应材料的价格；其他材料、设备以及人工、机械台班等要素价格波动不得调整。六大类大宗材料价格调整办法如下：</w:t>
      </w:r>
    </w:p>
    <w:p w14:paraId="59974D6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1）当施工属地建设工程造价管理部门发布的信息价的材料综合价格涨幅或跌幅超过招标基准期信息价的±5%时，可对超出±5%的部分进行价格调整，±5%以内（含±5%）的部分不予调整。</w:t>
      </w:r>
    </w:p>
    <w:p w14:paraId="557A48DD">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2）当施工属地建设工程造价管理部门发布的信息价的材料综合价格涨幅或跌幅在招标基准期信息价的±5%（含±5%）时，则该价格涨跌视作合同双方应承担的风险，其单价不得调整。</w:t>
      </w:r>
    </w:p>
    <w:p w14:paraId="19ECB2A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（3）承包人应在需要进行价格调整的 28 天内提交相关的价格调整预算，其单价调整情况和当期实际完工工作量应由监理工程师及发包人复核确定，并报送造价咨询单位审核后作为调整合同价格差额的依据。</w:t>
      </w:r>
    </w:p>
    <w:p w14:paraId="001F8128">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（4）上述价差列于其他项目费，不作为计算利润、管理费、措施项目费的基础。调差在竣工结算时计算，在施工进度款中不予考虑。</w:t>
      </w:r>
    </w:p>
    <w:p w14:paraId="7E840935">
      <w:pPr>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t xml:space="preserve">    第2种方式：其他价格调整方式：</w:t>
      </w:r>
      <w:r>
        <w:rPr>
          <w:rFonts w:hint="eastAsia" w:ascii="仿宋_GB2312" w:hAnsi="仿宋_GB2312" w:eastAsia="仿宋_GB2312" w:cs="仿宋_GB2312"/>
          <w:color w:val="auto"/>
          <w:sz w:val="24"/>
          <w:szCs w:val="24"/>
          <w:highlight w:val="none"/>
          <w:u w:val="single"/>
        </w:rPr>
        <w:t xml:space="preserve">   /。   </w:t>
      </w:r>
    </w:p>
    <w:p w14:paraId="624FA102">
      <w:pPr>
        <w:numPr>
          <w:ilvl w:val="255"/>
          <w:numId w:val="0"/>
        </w:numPr>
        <w:spacing w:line="420" w:lineRule="exact"/>
        <w:jc w:val="left"/>
        <w:rPr>
          <w:rFonts w:hint="eastAsia" w:ascii="仿宋_GB2312" w:hAnsi="仿宋_GB2312" w:eastAsia="仿宋_GB2312" w:cs="仿宋_GB2312"/>
          <w:b/>
          <w:bCs/>
          <w:color w:val="auto"/>
          <w:kern w:val="0"/>
          <w:sz w:val="24"/>
          <w:szCs w:val="24"/>
          <w:highlight w:val="none"/>
        </w:rPr>
      </w:pPr>
    </w:p>
    <w:p w14:paraId="4EF0ACCC">
      <w:pPr>
        <w:numPr>
          <w:ilvl w:val="0"/>
          <w:numId w:val="14"/>
        </w:numPr>
        <w:spacing w:line="420" w:lineRule="exact"/>
        <w:jc w:val="lef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合同价款调整程序</w:t>
      </w:r>
    </w:p>
    <w:p w14:paraId="2AB7A345">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77.4调增价款的支付</w:t>
      </w:r>
    </w:p>
    <w:p w14:paraId="0D2BE170">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合同双方当事人确认调增的合同价款，作为追加合同价款，如追加的合同价款在原合同价款的10%以内时，则与工程进度款或结算款同期支付；如追加的合同价款超过原合同价款的10%时，应当另行签订补充合同后方可予以支付。</w:t>
      </w:r>
    </w:p>
    <w:p w14:paraId="7A9C7414">
      <w:pPr>
        <w:spacing w:line="420" w:lineRule="exact"/>
        <w:ind w:firstLine="720" w:firstLine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77.6因工程变更引起价格调整的处理方式</w:t>
      </w:r>
    </w:p>
    <w:p w14:paraId="206D109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（1）在项目实施期间，招标文件工程量清单漏项的项目、原设计没有而实际发生设计变更的项目，经发包人审批确认后，按下列办法进行工程量及综合单价的计算：</w:t>
      </w:r>
    </w:p>
    <w:p w14:paraId="0A9DE58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招标文件工程量清单漏项的项目、原设计没有而实际发生变更的项目，其工程量以监理工程师依据中华人民共和国国家标准《建设工程工程量清单计价规范》（GB50500—2013）、计价办法、《广东省住房和城乡建设厅关于营业税改征增值税后调整广东省建设工程计划依据的通知》（粤建市函〔2016〕1113号）、《广州市建设工程造价管理站关于营业税改征增值税后广州市建设工程计价有关问题的通知》（穗建造价〔2016〕31号）、《广东省建设工程计价依据（2018）》、工程量计算规则、图纸等规定计量确认的实际工程量为准；其综合单价计算方法为：</w:t>
      </w:r>
    </w:p>
    <w:p w14:paraId="26EC731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1）中标的工程量清单中已有相同项目的适用的综合单价，则沿用。</w:t>
      </w:r>
    </w:p>
    <w:p w14:paraId="6BE1270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工程量清单中已有类似项目的，则按类似项目的综合单价对相应子目、消耗量、单价等进行调整换算，原管理费、利润水平不变（若招标文件的工程量清单列出多个同类项目，而中标的投标报价有不同的综合单价，则该类项目的单价换算取工料机水平最高即消耗量最少的、管理费和利润取费最低的综合单价进行分析换算）。换算时出现类似项目综合单价中没有的材料单价按《广州地区建设工程材料综合价格》计算，综合价格没有的材料单价但品牌符合《广州地区建设工程材料（设备）厂商价格信息》中的价格下浮20%，《广州地区建设工程材料（设备）厂商价格信息》没有的，依据经发包人确认的设备、材料的规格、参数市场询价确认，或凭发包人审核确认的本工程有效发票的材料单价计算。</w:t>
      </w:r>
    </w:p>
    <w:p w14:paraId="707F48C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中标的工程量清单中没有适用或类似的，则作为新增单价（是否为新增单价由发包人确定），采用清单计价办法进行计价并按《建设工程工程量清单计价规范》（GB50500—2013）、《广东省建设工程计价依据（2018）》《广东省住房和城乡建设厅关于营业税改征增值税后调整广东省建设工程计划依据的通知》（粤建市函〔2016〕1113号）《广州市建设工程造价管理站关于营业税改征增值税后广州市建设工程计价有关问题的通知》（穗建造价〔2016〕31号）折算为综合单价，清单综合单价套用本工程相关的专业定额，如：《广东省市政工程综合定额》(2018年)、《广东省安装工程综合定额》(2018年)、《广州市市政工程补充综合定额》(2019年)、《广东省房屋建筑与装饰工程综合定额》（2018年）、《广东省园林绿化工程综合定额》(2018年)，如需采用上述定额以外的专业定额应报发包人。定额采用招标基准期结束前生效的相关专业定额及对应的工程计价办法计算确定。项目的人工、材料、机械台班价格按实际施工期间建设行政主管部门的有关规定执行，其中材料设备品种不属于《综合价格》范围而采用《广州地区建设工程材料（设备）厂商价格信息》中的价格则要求在该价格基础下浮20%，《广州地区建设工程材料（设备）厂商价格信息》没有的，依据经发包人确认的设备、材料的规格、参数市场询价确认，或凭发包人审核确认的本工程有效发票的材料单价计算。</w:t>
      </w:r>
    </w:p>
    <w:p w14:paraId="0E0BECD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新增单价，套用施工专业定额，使用工程量清单计价，清单综合单价综合下浮=1-投标下浮率，其中发包人依法供应以及甲控乙供的材料价格原则上不下浮。</w:t>
      </w:r>
    </w:p>
    <w:p w14:paraId="41CF521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中标的投标报价相对于招标文件工程量清单有漏项或未填综合单价项目，此项目的费用视为已包括在中标的投标报价的其他单价和合价中，该漏项或未填综合单价项目费用结算时，经人计量的实际已完工工程量，与招标文件工程量清单工程量对比：</w:t>
      </w:r>
    </w:p>
    <w:p w14:paraId="6B92B0C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1）两者相等时，该项目费用不得补计；</w:t>
      </w:r>
    </w:p>
    <w:p w14:paraId="69F1AAF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2）前者比后者增加时，增加部份的费用采用上述清单计价办法进行计价，综合单价按下浮10%进行计算；</w:t>
      </w:r>
    </w:p>
    <w:p w14:paraId="6C23778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前者比后者减少时，减少部份的费用采用上述清单计价办法进行扣减；无论两者相等还是增、减，投标报价漏项或未填综合单价项目的原招标文件工程量清单工程量不得补计；增项清单项目不作为签订合同及结算等的依据。</w:t>
      </w:r>
    </w:p>
    <w:p w14:paraId="4B17FC5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（3）本合同项目的结算造价以发包人或其委托的第三方造价机构审核后工程结算价作为本合同项目的最终结算造价。财政资金项目以财政评审部门审核后工程结算价作为本合同项目的最终结算造价。</w:t>
      </w:r>
    </w:p>
    <w:p w14:paraId="368DFE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（4）承包人的所有施工技术措施和施工方案均必须得到发包人的认可并足以保证本工程项目能按时、按量、保质、安全的完成。</w:t>
      </w:r>
    </w:p>
    <w:p w14:paraId="0134C28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77.7预算包干费</w:t>
      </w:r>
    </w:p>
    <w:p w14:paraId="3D82152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预算包干费的内容：按相应专业包含对应内容，包干内容不再依据方案或签证计算费用。</w:t>
      </w:r>
    </w:p>
    <w:p w14:paraId="5DE5B11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市政工程：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w:t>
      </w:r>
    </w:p>
    <w:p w14:paraId="783834A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建筑与装饰工程、通用安装工程：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w:t>
      </w:r>
    </w:p>
    <w:p w14:paraId="46526FA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园林绿化工程：包括施工雨（污）水的排除；场内料具二次运输；树穴内的泥浆清除；工程用水加压措施；施工材料堆放场地的整理；工程成品的保护；施工中的临时停水停电；日间施工照明增加费；完工后的场地清理。</w:t>
      </w:r>
    </w:p>
    <w:p w14:paraId="67B1C20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77.8总承包服务费：包括但不限于专业工程、发包人进行分包和自行采购的设备、材料等进行管理、服务以及施工现场管理、竣工资料汇总整理、规划报建及验收、施工场地处置等相关费用及协调。</w:t>
      </w:r>
    </w:p>
    <w:p w14:paraId="1DC9842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总承包服务费（如有）已包含发包人供应材料和设备保管费相关内容，发包人不再支付发包人供应材料和设备保管费相关费用，但承包人仍需履行第77.9款。</w:t>
      </w:r>
    </w:p>
    <w:p w14:paraId="5A37F56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77.9发包人供应材料和设备保管费：承包人负责所有材料的保管包括但不限于租借地、仓库等。</w:t>
      </w:r>
    </w:p>
    <w:p w14:paraId="67CF2BF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77.10材料二次运输费：承包人应充分考虑本次招标各线路场地的特点，应对施工范围内各材料（包括但不限于管材、管件、砌筑材料、回填材料、余泥渣土及废弃物）的堆放及运输做好相关措施，根据施工组织设计要求，运送到施工现场指定的地点堆积。相关内容不再依据方案或签证计算费用。</w:t>
      </w:r>
      <w:bookmarkStart w:id="690" w:name="_Toc10624971"/>
      <w:bookmarkStart w:id="691" w:name="_Toc469384127"/>
    </w:p>
    <w:p w14:paraId="72F9D605">
      <w:pPr>
        <w:spacing w:line="420" w:lineRule="exact"/>
        <w:rPr>
          <w:rFonts w:hint="eastAsia" w:ascii="仿宋_GB2312" w:hAnsi="仿宋_GB2312" w:eastAsia="仿宋_GB2312" w:cs="仿宋_GB2312"/>
          <w:color w:val="auto"/>
          <w:kern w:val="0"/>
          <w:sz w:val="24"/>
          <w:szCs w:val="24"/>
          <w:highlight w:val="none"/>
        </w:rPr>
      </w:pPr>
    </w:p>
    <w:p w14:paraId="2F907350">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78. 支付事项</w:t>
      </w:r>
      <w:bookmarkEnd w:id="690"/>
      <w:bookmarkEnd w:id="691"/>
    </w:p>
    <w:p w14:paraId="4E3075D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78.2 计算利息的利率</w:t>
      </w:r>
    </w:p>
    <w:p w14:paraId="031AE68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按照中国人民银行发布的同期同类贷款利率。</w:t>
      </w:r>
    </w:p>
    <w:p w14:paraId="5F4A872F">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按照不超过中国人民银行发布的同期活期存款利率。   </w:t>
      </w:r>
      <w:bookmarkStart w:id="692" w:name="_Toc10624972"/>
      <w:bookmarkStart w:id="693" w:name="_Toc469384128"/>
    </w:p>
    <w:p w14:paraId="5CE02650">
      <w:pPr>
        <w:spacing w:line="420" w:lineRule="exact"/>
        <w:rPr>
          <w:rFonts w:hint="eastAsia" w:ascii="仿宋_GB2312" w:hAnsi="仿宋_GB2312" w:eastAsia="仿宋_GB2312" w:cs="仿宋_GB2312"/>
          <w:color w:val="auto"/>
          <w:kern w:val="0"/>
          <w:sz w:val="24"/>
          <w:szCs w:val="24"/>
          <w:highlight w:val="none"/>
          <w:u w:val="single"/>
        </w:rPr>
      </w:pPr>
    </w:p>
    <w:p w14:paraId="4950F19C">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★79. 预付款</w:t>
      </w:r>
      <w:bookmarkEnd w:id="692"/>
      <w:bookmarkEnd w:id="693"/>
    </w:p>
    <w:p w14:paraId="260438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79.1 预付款的约定及管理</w:t>
      </w:r>
    </w:p>
    <w:p w14:paraId="603A77A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预付款的约定</w:t>
      </w:r>
    </w:p>
    <w:p w14:paraId="1B88E4C0">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不约定预付款的，本条不适用。</w:t>
      </w:r>
    </w:p>
    <w:p w14:paraId="645170D5">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约定预付款的，预付款的金额为</w:t>
      </w:r>
      <w:permStart w:id="310" w:edGrp="everyone"/>
      <w:r>
        <w:rPr>
          <w:rFonts w:hint="eastAsia" w:ascii="仿宋_GB2312" w:hAnsi="仿宋_GB2312" w:eastAsia="仿宋_GB2312" w:cs="仿宋_GB2312"/>
          <w:color w:val="auto"/>
          <w:kern w:val="0"/>
          <w:sz w:val="24"/>
          <w:szCs w:val="24"/>
          <w:highlight w:val="none"/>
          <w:u w:val="single"/>
        </w:rPr>
        <w:t xml:space="preserve">     </w:t>
      </w:r>
      <w:permEnd w:id="310"/>
      <w:r>
        <w:rPr>
          <w:rFonts w:hint="eastAsia" w:ascii="仿宋_GB2312" w:hAnsi="仿宋_GB2312" w:eastAsia="仿宋_GB2312" w:cs="仿宋_GB2312"/>
          <w:color w:val="auto"/>
          <w:kern w:val="0"/>
          <w:sz w:val="24"/>
          <w:szCs w:val="24"/>
          <w:highlight w:val="none"/>
        </w:rPr>
        <w:t>元，其支付办法和抵扣方式，按本条有关专用条款的约定。</w:t>
      </w:r>
    </w:p>
    <w:p w14:paraId="2358DF7D">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预付款的最高限额</w:t>
      </w:r>
    </w:p>
    <w:p w14:paraId="281F6F50">
      <w:pPr>
        <w:widowControl w:val="0"/>
        <w:adjustRightInd w:val="0"/>
        <w:snapToGrid w:val="0"/>
        <w:ind w:firstLine="480" w:firstLineChars="200"/>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sym w:font="Wingdings 2" w:char="0052"/>
      </w:r>
      <w:r>
        <w:rPr>
          <w:rFonts w:hint="eastAsia" w:ascii="仿宋_GB2312" w:hAnsi="仿宋_GB2312" w:eastAsia="仿宋_GB2312" w:cs="仿宋_GB2312"/>
          <w:color w:val="auto"/>
          <w:kern w:val="0"/>
          <w:sz w:val="24"/>
          <w:szCs w:val="24"/>
          <w:highlight w:val="none"/>
          <w:lang w:val="en-US" w:eastAsia="zh-CN" w:bidi="ar-SA"/>
        </w:rPr>
        <w:t xml:space="preserve">预付比例不低于工程价款（按第1.55款关于工程价款的定义）的10%，不高于工程价款（按第1.55款关于工程价款的定义）的30%，即 </w:t>
      </w:r>
      <w:permStart w:id="311" w:edGrp="everyone"/>
      <w:r>
        <w:rPr>
          <w:rFonts w:hint="eastAsia" w:ascii="仿宋_GB2312" w:hAnsi="仿宋_GB2312" w:eastAsia="仿宋_GB2312" w:cs="仿宋_GB2312"/>
          <w:color w:val="auto"/>
          <w:kern w:val="0"/>
          <w:sz w:val="24"/>
          <w:szCs w:val="24"/>
          <w:highlight w:val="none"/>
          <w:u w:val="single"/>
          <w:lang w:val="en-US" w:eastAsia="zh-CN" w:bidi="ar-SA"/>
        </w:rPr>
        <w:t xml:space="preserve">   30   </w:t>
      </w:r>
      <w:permEnd w:id="311"/>
      <w:r>
        <w:rPr>
          <w:rFonts w:hint="eastAsia" w:ascii="仿宋_GB2312" w:hAnsi="仿宋_GB2312" w:eastAsia="仿宋_GB2312" w:cs="仿宋_GB2312"/>
          <w:color w:val="auto"/>
          <w:kern w:val="0"/>
          <w:sz w:val="24"/>
          <w:szCs w:val="24"/>
          <w:highlight w:val="none"/>
          <w:lang w:val="en-US" w:eastAsia="zh-CN" w:bidi="ar-SA"/>
        </w:rPr>
        <w:t>%，即</w:t>
      </w:r>
      <w:permStart w:id="312" w:edGrp="everyone"/>
      <w:r>
        <w:rPr>
          <w:rFonts w:hint="eastAsia" w:ascii="仿宋_GB2312" w:hAnsi="仿宋_GB2312" w:eastAsia="仿宋_GB2312" w:cs="仿宋_GB2312"/>
          <w:color w:val="auto"/>
          <w:kern w:val="0"/>
          <w:sz w:val="24"/>
          <w:szCs w:val="24"/>
          <w:highlight w:val="none"/>
          <w:u w:val="single"/>
          <w:lang w:val="en-US" w:eastAsia="zh-CN" w:bidi="ar-SA"/>
        </w:rPr>
        <w:t xml:space="preserve">       </w:t>
      </w:r>
      <w:permEnd w:id="312"/>
      <w:r>
        <w:rPr>
          <w:rFonts w:hint="eastAsia" w:ascii="仿宋_GB2312" w:hAnsi="仿宋_GB2312" w:eastAsia="仿宋_GB2312" w:cs="仿宋_GB2312"/>
          <w:color w:val="auto"/>
          <w:kern w:val="0"/>
          <w:sz w:val="24"/>
          <w:szCs w:val="24"/>
          <w:highlight w:val="none"/>
          <w:lang w:val="en-US" w:eastAsia="zh-CN" w:bidi="ar-SA"/>
        </w:rPr>
        <w:t>元。</w:t>
      </w:r>
    </w:p>
    <w:p w14:paraId="27C8C38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另作约定：</w:t>
      </w:r>
      <w:r>
        <w:rPr>
          <w:rFonts w:hint="eastAsia" w:ascii="仿宋_GB2312" w:hAnsi="仿宋_GB2312" w:eastAsia="仿宋_GB2312" w:cs="仿宋_GB2312"/>
          <w:color w:val="auto"/>
          <w:kern w:val="0"/>
          <w:sz w:val="24"/>
          <w:szCs w:val="24"/>
          <w:highlight w:val="none"/>
          <w:u w:val="single"/>
        </w:rPr>
        <w:t xml:space="preserve">    /。 </w:t>
      </w:r>
    </w:p>
    <w:p w14:paraId="731DB81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79.2 预付款支付申请的提交、核实与支付</w:t>
      </w:r>
    </w:p>
    <w:p w14:paraId="202B79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（3）向发包人提供与预付款等额的预付款保函的正本。</w:t>
      </w:r>
    </w:p>
    <w:p w14:paraId="5E5BBA1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预付款保函的金额与预付款金额相同。预付款保函的提交时间：合同签订后30天内。预付款保函的担保金额应当根据预付款扣回的金额递减，保函条款中可以设立担保金额递减的条款。发包人在签认每一期进度付款证书后14天内，应当以书面方式通知出具预付款保函的担保人并附上一份经其签认的进度付款证书副本，担保人根据发包人的通知和经发包人签认的进度付款证书中累计扣回的预付款金额等额调减预付款保函的担保金额。自担保人收到发包人通知之日起，该经过递减的担保金额为预付款保函担保金额。</w:t>
      </w:r>
    </w:p>
    <w:p w14:paraId="2D3FA75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2）预付款保函的格式：承包人应当按照第79.2（3）项约定的金额和时间以及发包人在本工程招标文件中规定的或者其他经过发包人事先认可的格式向发包人递交一份无条件兑付的和不可撤销的预付款保函。</w:t>
      </w:r>
    </w:p>
    <w:p w14:paraId="1276766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3）预付款保函的有效期：预付款保函的有效期应当自预付款支付给承包人之日起至发包人签认的进度付款证书说明预付款已完全扣清之日止。</w:t>
      </w:r>
    </w:p>
    <w:p w14:paraId="0549DE3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4）发包人的通知义务：不管保函条款中如何约定，发包人根据担保提出索赔或兑现要求之前，均应通知承包人并说明导致此类索赔或兑现的原因，但此类通知不应理解为是在任何意义上寻求承包人的同意。</w:t>
      </w:r>
    </w:p>
    <w:p w14:paraId="544469F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5）预付款保函的退还：预付款保函应在发包人签认的进度付款证书说明预付款已完全扣清之日后14天内退还给承包人。发包人不承担承包人与预付款保函有关的任何利息或其它类似的费用或者收益。</w:t>
      </w:r>
    </w:p>
    <w:p w14:paraId="7AFEB68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（4）提交预付款支付申请期限：</w:t>
      </w:r>
    </w:p>
    <w:p w14:paraId="5E179C8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按承包人在完成本款三项工作后的7天内。</w:t>
      </w:r>
    </w:p>
    <w:p w14:paraId="13110022">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另作约定：合同</w:t>
      </w:r>
      <w:r>
        <w:rPr>
          <w:rFonts w:hint="eastAsia" w:ascii="仿宋_GB2312" w:hAnsi="仿宋_GB2312" w:eastAsia="仿宋_GB2312" w:cs="仿宋_GB2312"/>
          <w:color w:val="auto"/>
          <w:kern w:val="0"/>
          <w:sz w:val="24"/>
          <w:szCs w:val="24"/>
          <w:highlight w:val="none"/>
          <w:lang w:val="zh-CN"/>
        </w:rPr>
        <w:t>签订后且收到承包人提交的等额预付款银行保函后，经发包人及监理工程师审核确认后，发包人向承包人支付工程预付款。</w:t>
      </w:r>
      <w:r>
        <w:rPr>
          <w:rFonts w:hint="eastAsia" w:ascii="仿宋_GB2312" w:hAnsi="仿宋_GB2312" w:eastAsia="仿宋_GB2312" w:cs="仿宋_GB2312"/>
          <w:color w:val="auto"/>
          <w:kern w:val="0"/>
          <w:sz w:val="24"/>
          <w:szCs w:val="24"/>
          <w:highlight w:val="none"/>
        </w:rPr>
        <w:t>发包人逾期支付合同约定的预付款，除承担相应的违约责任外，还应向承包人支付按第81.2（1）项约定的标准和方法计算的逾期付款违约金。</w:t>
      </w:r>
    </w:p>
    <w:p w14:paraId="297886E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79.4 预付款抵扣方式</w:t>
      </w:r>
    </w:p>
    <w:p w14:paraId="6D51F3C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预付款按照期中应支付工程款的</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%扣回，直到扣完为止。</w:t>
      </w:r>
    </w:p>
    <w:p w14:paraId="44E6A4B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其它方式：</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0"/>
        <w:gridCol w:w="2960"/>
        <w:gridCol w:w="2961"/>
      </w:tblGrid>
      <w:tr w14:paraId="2685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14:paraId="24BCE4C9">
            <w:pPr>
              <w:widowControl w:val="0"/>
              <w:adjustRightInd w:val="0"/>
              <w:spacing w:line="360" w:lineRule="auto"/>
              <w:ind w:firstLine="0"/>
              <w:jc w:val="both"/>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已完成工作量与合同工程价款（按专用条款1.55工程价款的定义）之比</w:t>
            </w:r>
          </w:p>
        </w:tc>
        <w:tc>
          <w:tcPr>
            <w:tcW w:w="2960" w:type="dxa"/>
            <w:vAlign w:val="center"/>
          </w:tcPr>
          <w:p w14:paraId="0E0033E3">
            <w:pPr>
              <w:widowControl w:val="0"/>
              <w:adjustRightInd w:val="0"/>
              <w:spacing w:line="360" w:lineRule="auto"/>
              <w:ind w:firstLine="0"/>
              <w:jc w:val="center"/>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扣回预付款的比例</w:t>
            </w:r>
          </w:p>
        </w:tc>
        <w:tc>
          <w:tcPr>
            <w:tcW w:w="2961" w:type="dxa"/>
            <w:vAlign w:val="center"/>
          </w:tcPr>
          <w:p w14:paraId="100A7482">
            <w:pPr>
              <w:widowControl w:val="0"/>
              <w:adjustRightInd w:val="0"/>
              <w:spacing w:line="360" w:lineRule="auto"/>
              <w:ind w:firstLine="0"/>
              <w:jc w:val="center"/>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累计扣回比例</w:t>
            </w:r>
          </w:p>
        </w:tc>
      </w:tr>
      <w:tr w14:paraId="2396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960" w:type="dxa"/>
            <w:vAlign w:val="center"/>
          </w:tcPr>
          <w:p w14:paraId="6530D3D2">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20%≤a＜30%</w:t>
            </w:r>
          </w:p>
        </w:tc>
        <w:tc>
          <w:tcPr>
            <w:tcW w:w="2960" w:type="dxa"/>
            <w:vAlign w:val="center"/>
          </w:tcPr>
          <w:p w14:paraId="3B45C014">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10%</w:t>
            </w:r>
          </w:p>
        </w:tc>
        <w:tc>
          <w:tcPr>
            <w:tcW w:w="2961" w:type="dxa"/>
            <w:vAlign w:val="center"/>
          </w:tcPr>
          <w:p w14:paraId="62156856">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10%</w:t>
            </w:r>
          </w:p>
        </w:tc>
      </w:tr>
      <w:tr w14:paraId="63B7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14:paraId="6AACD977">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30%≤a＜40%</w:t>
            </w:r>
          </w:p>
        </w:tc>
        <w:tc>
          <w:tcPr>
            <w:tcW w:w="2960" w:type="dxa"/>
            <w:vAlign w:val="center"/>
          </w:tcPr>
          <w:p w14:paraId="6A714D32">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20%</w:t>
            </w:r>
          </w:p>
        </w:tc>
        <w:tc>
          <w:tcPr>
            <w:tcW w:w="2961" w:type="dxa"/>
            <w:vAlign w:val="center"/>
          </w:tcPr>
          <w:p w14:paraId="3DF511F9">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30%</w:t>
            </w:r>
          </w:p>
        </w:tc>
      </w:tr>
      <w:tr w14:paraId="54E0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14:paraId="303BACDA">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40%≤a＜50%</w:t>
            </w:r>
          </w:p>
        </w:tc>
        <w:tc>
          <w:tcPr>
            <w:tcW w:w="2960" w:type="dxa"/>
            <w:vAlign w:val="center"/>
          </w:tcPr>
          <w:p w14:paraId="35067B77">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30%</w:t>
            </w:r>
          </w:p>
        </w:tc>
        <w:tc>
          <w:tcPr>
            <w:tcW w:w="2961" w:type="dxa"/>
            <w:vAlign w:val="center"/>
          </w:tcPr>
          <w:p w14:paraId="48960974">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60%</w:t>
            </w:r>
          </w:p>
        </w:tc>
      </w:tr>
      <w:tr w14:paraId="3311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0" w:type="dxa"/>
            <w:vAlign w:val="center"/>
          </w:tcPr>
          <w:p w14:paraId="5DCF5FAE">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50%≤a＜60%</w:t>
            </w:r>
          </w:p>
        </w:tc>
        <w:tc>
          <w:tcPr>
            <w:tcW w:w="2960" w:type="dxa"/>
            <w:vAlign w:val="center"/>
          </w:tcPr>
          <w:p w14:paraId="2455E75B">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40%</w:t>
            </w:r>
          </w:p>
        </w:tc>
        <w:tc>
          <w:tcPr>
            <w:tcW w:w="2961" w:type="dxa"/>
            <w:vAlign w:val="center"/>
          </w:tcPr>
          <w:p w14:paraId="58F20AA1">
            <w:pPr>
              <w:widowControl w:val="0"/>
              <w:adjustRightInd w:val="0"/>
              <w:spacing w:line="360" w:lineRule="auto"/>
              <w:ind w:firstLine="0"/>
              <w:jc w:val="center"/>
              <w:textAlignment w:val="baseline"/>
              <w:rPr>
                <w:rFonts w:hint="eastAsia" w:ascii="仿宋_GB2312" w:hAnsi="仿宋_GB2312" w:eastAsia="仿宋_GB2312" w:cs="仿宋_GB2312"/>
                <w:color w:val="auto"/>
                <w:spacing w:val="5"/>
                <w:kern w:val="2"/>
                <w:sz w:val="24"/>
                <w:szCs w:val="24"/>
                <w:highlight w:val="none"/>
                <w:lang w:val="en-US" w:eastAsia="zh-CN" w:bidi="ar-SA"/>
              </w:rPr>
            </w:pPr>
            <w:r>
              <w:rPr>
                <w:rFonts w:hint="eastAsia" w:ascii="仿宋_GB2312" w:hAnsi="仿宋_GB2312" w:eastAsia="仿宋_GB2312" w:cs="仿宋_GB2312"/>
                <w:color w:val="auto"/>
                <w:spacing w:val="5"/>
                <w:kern w:val="2"/>
                <w:sz w:val="24"/>
                <w:szCs w:val="24"/>
                <w:highlight w:val="none"/>
                <w:lang w:val="en-US" w:eastAsia="zh-CN" w:bidi="ar-SA"/>
              </w:rPr>
              <w:t>100%</w:t>
            </w:r>
          </w:p>
        </w:tc>
      </w:tr>
    </w:tbl>
    <w:p w14:paraId="381D782D">
      <w:pPr>
        <w:spacing w:line="420" w:lineRule="exact"/>
        <w:rPr>
          <w:rFonts w:hint="eastAsia" w:ascii="仿宋_GB2312" w:hAnsi="仿宋_GB2312" w:eastAsia="仿宋_GB2312" w:cs="仿宋_GB2312"/>
          <w:color w:val="auto"/>
          <w:kern w:val="0"/>
          <w:sz w:val="24"/>
          <w:szCs w:val="24"/>
          <w:highlight w:val="none"/>
        </w:rPr>
      </w:pPr>
    </w:p>
    <w:p w14:paraId="777DBD9B">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694" w:name="_Toc10624973"/>
      <w:bookmarkStart w:id="695" w:name="_Toc469384129"/>
      <w:r>
        <w:rPr>
          <w:rFonts w:hint="eastAsia" w:ascii="黑体" w:hAnsi="黑体" w:eastAsia="黑体" w:cs="黑体"/>
          <w:b w:val="0"/>
          <w:bCs w:val="0"/>
          <w:color w:val="auto"/>
          <w:kern w:val="0"/>
          <w:sz w:val="24"/>
          <w:szCs w:val="24"/>
          <w:highlight w:val="none"/>
          <w:lang w:val="en-US" w:eastAsia="zh-CN" w:bidi="ar-SA"/>
        </w:rPr>
        <w:t>★80. 按系数计算的绿色施工安全防护措施费</w:t>
      </w:r>
      <w:bookmarkEnd w:id="694"/>
      <w:bookmarkEnd w:id="695"/>
    </w:p>
    <w:p w14:paraId="47793BE6">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80.1 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费的内容、范围和金额</w:t>
      </w:r>
    </w:p>
    <w:p w14:paraId="01A8C110">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（1）内容和范围</w:t>
      </w:r>
    </w:p>
    <w:p w14:paraId="69AA3E5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按通用条款的规定，以现行广东省统一工程计价依据规定、</w:t>
      </w:r>
      <w:r>
        <w:rPr>
          <w:rFonts w:hint="eastAsia" w:ascii="仿宋_GB2312" w:hAnsi="仿宋_GB2312" w:eastAsia="仿宋_GB2312" w:cs="仿宋_GB2312"/>
          <w:color w:val="auto"/>
          <w:sz w:val="24"/>
          <w:szCs w:val="24"/>
          <w:highlight w:val="none"/>
        </w:rPr>
        <w:t>省市造价管理部门发布管理文件</w:t>
      </w:r>
      <w:r>
        <w:rPr>
          <w:rFonts w:hint="eastAsia" w:ascii="仿宋_GB2312" w:hAnsi="仿宋_GB2312" w:eastAsia="仿宋_GB2312" w:cs="仿宋_GB2312"/>
          <w:color w:val="auto"/>
          <w:kern w:val="0"/>
          <w:sz w:val="24"/>
          <w:szCs w:val="24"/>
          <w:highlight w:val="none"/>
        </w:rPr>
        <w:t>为准。其中，计价文件按照以下顺序执行：1.广东省统一工程计价依据规定；2.双方按照市场价进行协商定价；3.承包人提供的发票价格。</w:t>
      </w:r>
    </w:p>
    <w:p w14:paraId="4BF93FB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14:paraId="1699A03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费的总金额为</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元；</w:t>
      </w:r>
    </w:p>
    <w:p w14:paraId="183F96EB">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其中：施工扬尘污染防治措施费为</w:t>
      </w:r>
      <w:permStart w:id="313" w:edGrp="everyone"/>
      <w:r>
        <w:rPr>
          <w:rFonts w:hint="eastAsia" w:ascii="仿宋_GB2312" w:hAnsi="仿宋_GB2312" w:eastAsia="仿宋_GB2312" w:cs="仿宋_GB2312"/>
          <w:color w:val="auto"/>
          <w:kern w:val="0"/>
          <w:sz w:val="24"/>
          <w:szCs w:val="24"/>
          <w:highlight w:val="none"/>
          <w:u w:val="single"/>
        </w:rPr>
        <w:t xml:space="preserve">                </w:t>
      </w:r>
      <w:permEnd w:id="313"/>
      <w:r>
        <w:rPr>
          <w:rFonts w:hint="eastAsia" w:ascii="仿宋_GB2312" w:hAnsi="仿宋_GB2312" w:eastAsia="仿宋_GB2312" w:cs="仿宋_GB2312"/>
          <w:color w:val="auto"/>
          <w:kern w:val="0"/>
          <w:sz w:val="24"/>
          <w:szCs w:val="24"/>
          <w:highlight w:val="none"/>
        </w:rPr>
        <w:t>元；</w:t>
      </w:r>
    </w:p>
    <w:p w14:paraId="0A10408A">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用工实名管理费为</w:t>
      </w:r>
      <w:permStart w:id="314" w:edGrp="everyone"/>
      <w:r>
        <w:rPr>
          <w:rFonts w:hint="eastAsia" w:ascii="仿宋_GB2312" w:hAnsi="仿宋_GB2312" w:eastAsia="仿宋_GB2312" w:cs="仿宋_GB2312"/>
          <w:color w:val="auto"/>
          <w:kern w:val="0"/>
          <w:sz w:val="24"/>
          <w:szCs w:val="24"/>
          <w:highlight w:val="none"/>
          <w:u w:val="single"/>
        </w:rPr>
        <w:t xml:space="preserve">                </w:t>
      </w:r>
      <w:permEnd w:id="314"/>
      <w:r>
        <w:rPr>
          <w:rFonts w:hint="eastAsia" w:ascii="仿宋_GB2312" w:hAnsi="仿宋_GB2312" w:eastAsia="仿宋_GB2312" w:cs="仿宋_GB2312"/>
          <w:color w:val="auto"/>
          <w:kern w:val="0"/>
          <w:sz w:val="24"/>
          <w:szCs w:val="24"/>
          <w:highlight w:val="none"/>
        </w:rPr>
        <w:t>元。</w:t>
      </w:r>
    </w:p>
    <w:p w14:paraId="4AFF8923">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危大工程安全防护文明施工措施费</w:t>
      </w:r>
      <w:permStart w:id="315" w:edGrp="everyone"/>
      <w:r>
        <w:rPr>
          <w:rFonts w:hint="eastAsia" w:ascii="仿宋_GB2312" w:hAnsi="仿宋_GB2312" w:eastAsia="仿宋_GB2312" w:cs="仿宋_GB2312"/>
          <w:color w:val="auto"/>
          <w:kern w:val="0"/>
          <w:sz w:val="24"/>
          <w:szCs w:val="24"/>
          <w:highlight w:val="none"/>
          <w:u w:val="single"/>
        </w:rPr>
        <w:t xml:space="preserve">                </w:t>
      </w:r>
      <w:permEnd w:id="315"/>
      <w:r>
        <w:rPr>
          <w:rFonts w:hint="eastAsia" w:ascii="仿宋_GB2312" w:hAnsi="仿宋_GB2312" w:eastAsia="仿宋_GB2312" w:cs="仿宋_GB2312"/>
          <w:color w:val="auto"/>
          <w:kern w:val="0"/>
          <w:sz w:val="24"/>
          <w:szCs w:val="24"/>
          <w:highlight w:val="none"/>
        </w:rPr>
        <w:t>元。</w:t>
      </w:r>
    </w:p>
    <w:p w14:paraId="49D719A2">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80.2 支付申请的提交与核实</w:t>
      </w:r>
    </w:p>
    <w:p w14:paraId="7E6EC30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w:t>
      </w:r>
    </w:p>
    <w:p w14:paraId="1733BE4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 xml:space="preserve">       </w:t>
      </w:r>
    </w:p>
    <w:p w14:paraId="7B09262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80.3 费用支付</w:t>
      </w:r>
    </w:p>
    <w:p w14:paraId="4F77EB5E">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按系数计算的</w:t>
      </w:r>
      <w:r>
        <w:rPr>
          <w:rFonts w:hint="eastAsia" w:ascii="仿宋_GB2312" w:hAnsi="仿宋_GB2312" w:eastAsia="仿宋_GB2312" w:cs="仿宋_GB2312"/>
          <w:color w:val="auto"/>
          <w:sz w:val="24"/>
          <w:szCs w:val="24"/>
          <w:highlight w:val="none"/>
        </w:rPr>
        <w:t>绿色施工安全防护措施</w:t>
      </w:r>
      <w:r>
        <w:rPr>
          <w:rFonts w:hint="eastAsia" w:ascii="仿宋_GB2312" w:hAnsi="仿宋_GB2312" w:eastAsia="仿宋_GB2312" w:cs="仿宋_GB2312"/>
          <w:color w:val="auto"/>
          <w:kern w:val="0"/>
          <w:sz w:val="24"/>
          <w:szCs w:val="24"/>
          <w:highlight w:val="none"/>
        </w:rPr>
        <w:t>费的支付办法和抵扣方式：</w:t>
      </w:r>
    </w:p>
    <w:p w14:paraId="500D181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14:paraId="3337598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另作约定：</w:t>
      </w:r>
    </w:p>
    <w:p w14:paraId="59DCF52B">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（1）合同生效后7日内，承包人提供本工程的按系数计算的绿色施工安全防护措施费实施方案，经监理工程师审核并报发包人批准后预付按系数计算的绿色施工安全防护措施费的70%；</w:t>
      </w:r>
    </w:p>
    <w:p w14:paraId="69DFDD6F">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按系数计算的绿色施工安全防护措施费的支付和抵扣：承包人在报送已完工程款额报告和支付申请的同时，应报送上月的“安全文明施工统计表”、“按系数计算的绿色施工安全防护措施费支付申请书”、“按系数计算的绿色施工安全防护措施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按系数计算的绿色施工安全防护措施费与进度款同期支付。除非根据有关条款进行了调整，否则总的支付金额不超过投标时的按系数计算的绿色施工安全防护措施费总额。</w:t>
      </w:r>
    </w:p>
    <w:p w14:paraId="762E951C">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按系数计算的绿色施工安全防护措施费按照“专款专用、按实计量、独立拨付、独立核算”的原则进行管理，至按系数计算的绿色施工安全防护措施费已经按实全部拨付，还需要进行按系数计算的绿色施工安全防护措施费投入的，则需增加的按系数计算的绿色施工安全防护措施费视为已经包含在投标报价中，承包人仍需提交按系数计算的绿色施工安全防护措施费投入计划，并按批准的计划做好绿色施工安全防护措施，发包人不另行计量支付。</w:t>
      </w:r>
    </w:p>
    <w:p w14:paraId="10768A6E">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（4）按照65.2确定的暂估价，经发包人审批后：</w:t>
      </w:r>
    </w:p>
    <w:p w14:paraId="13316175">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（4.1）按系数计算的绿色施工安全防护措施费不受80.3.（2）和80.3.（3）的约束；</w:t>
      </w:r>
    </w:p>
    <w:p w14:paraId="189ACFD1">
      <w:pPr>
        <w:numPr>
          <w:ilvl w:val="255"/>
          <w:numId w:val="0"/>
        </w:num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（4.2）结算时，按系数计算的绿色施工安全防护措施费不得超过经审批的暂估价中的按系数计算的绿色施工安全防护措施费。</w:t>
      </w:r>
    </w:p>
    <w:p w14:paraId="54C49D2C">
      <w:pPr>
        <w:spacing w:line="420" w:lineRule="exact"/>
        <w:ind w:firstLine="241" w:firstLineChars="1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kern w:val="0"/>
          <w:sz w:val="24"/>
          <w:szCs w:val="24"/>
          <w:highlight w:val="none"/>
        </w:rPr>
        <w:t>80.6 文明工地增加费</w:t>
      </w:r>
    </w:p>
    <w:p w14:paraId="5C315DCA">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文明工地增加费的计算额度：</w:t>
      </w:r>
    </w:p>
    <w:p w14:paraId="5B017B82">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6" w:edGrp="everyone"/>
      <w:r>
        <w:rPr>
          <w:rFonts w:hint="eastAsia" w:ascii="仿宋_GB2312" w:hAnsi="仿宋_GB2312" w:eastAsia="仿宋_GB2312" w:cs="仿宋_GB2312"/>
          <w:color w:val="auto"/>
          <w:kern w:val="0"/>
          <w:sz w:val="24"/>
          <w:szCs w:val="24"/>
          <w:highlight w:val="none"/>
          <w:lang w:eastAsia="zh-CN"/>
        </w:rPr>
        <w:sym w:font="Wingdings 2" w:char="0051"/>
      </w:r>
      <w:permEnd w:id="316"/>
      <w:r>
        <w:rPr>
          <w:rFonts w:hint="eastAsia" w:ascii="仿宋_GB2312" w:hAnsi="仿宋_GB2312" w:eastAsia="仿宋_GB2312" w:cs="仿宋_GB2312"/>
          <w:color w:val="auto"/>
          <w:kern w:val="0"/>
          <w:sz w:val="24"/>
          <w:szCs w:val="24"/>
          <w:highlight w:val="none"/>
        </w:rPr>
        <w:t xml:space="preserve"> 按通用条款规定计算。</w:t>
      </w:r>
    </w:p>
    <w:p w14:paraId="13CA5C21">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17" w:edGrp="everyone"/>
      <w:r>
        <w:rPr>
          <w:rFonts w:hint="eastAsia" w:ascii="仿宋_GB2312" w:hAnsi="仿宋_GB2312" w:eastAsia="仿宋_GB2312" w:cs="仿宋_GB2312"/>
          <w:color w:val="auto"/>
          <w:kern w:val="0"/>
          <w:sz w:val="24"/>
          <w:szCs w:val="24"/>
          <w:highlight w:val="none"/>
          <w:lang w:eastAsia="zh-CN"/>
        </w:rPr>
        <w:sym w:font="Wingdings 2" w:char="0051"/>
      </w:r>
      <w:permEnd w:id="317"/>
      <w:r>
        <w:rPr>
          <w:rFonts w:hint="eastAsia" w:ascii="仿宋_GB2312" w:hAnsi="仿宋_GB2312" w:eastAsia="仿宋_GB2312" w:cs="仿宋_GB2312"/>
          <w:color w:val="auto"/>
          <w:kern w:val="0"/>
          <w:sz w:val="24"/>
          <w:szCs w:val="24"/>
          <w:highlight w:val="none"/>
        </w:rPr>
        <w:t xml:space="preserve"> 按分部分项工程费为基础计算。</w:t>
      </w:r>
    </w:p>
    <w:p w14:paraId="0687BD2D">
      <w:pPr>
        <w:spacing w:line="420" w:lineRule="exact"/>
        <w:ind w:left="660" w:hanging="720" w:hangingChars="3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18" w:edGrp="everyone"/>
      <w:r>
        <w:rPr>
          <w:rFonts w:hint="eastAsia" w:ascii="仿宋_GB2312" w:hAnsi="仿宋_GB2312" w:eastAsia="仿宋_GB2312" w:cs="仿宋_GB2312"/>
          <w:color w:val="auto"/>
          <w:kern w:val="0"/>
          <w:sz w:val="24"/>
          <w:szCs w:val="24"/>
          <w:highlight w:val="none"/>
          <w:lang w:eastAsia="zh-CN"/>
        </w:rPr>
        <w:sym w:font="Wingdings 2" w:char="0051"/>
      </w:r>
      <w:permEnd w:id="318"/>
      <w:r>
        <w:rPr>
          <w:rFonts w:hint="eastAsia" w:ascii="仿宋_GB2312" w:hAnsi="仿宋_GB2312" w:eastAsia="仿宋_GB2312" w:cs="仿宋_GB2312"/>
          <w:color w:val="auto"/>
          <w:kern w:val="0"/>
          <w:sz w:val="24"/>
          <w:szCs w:val="24"/>
          <w:highlight w:val="none"/>
        </w:rPr>
        <w:t xml:space="preserve"> 另作约定（文明工地增加费率参考广东省建设工程计价依据文明工地增加费、广州市住房和城乡建设局发布的文明工地增加费；合同工程同时获得下列多个奖项的，只按最高奖项的额度计算。）：</w:t>
      </w:r>
    </w:p>
    <w:p w14:paraId="4BE474F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市级安全文明工地</w:t>
      </w:r>
      <w:r>
        <w:rPr>
          <w:rFonts w:hint="eastAsia" w:ascii="仿宋_GB2312" w:hAnsi="仿宋_GB2312" w:eastAsia="仿宋_GB2312" w:cs="仿宋_GB2312"/>
          <w:color w:val="auto"/>
          <w:kern w:val="0"/>
          <w:sz w:val="24"/>
          <w:szCs w:val="24"/>
          <w:highlight w:val="none"/>
        </w:rPr>
        <w:t>增加费</w:t>
      </w:r>
      <w:permStart w:id="31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19"/>
      <w:r>
        <w:rPr>
          <w:rFonts w:hint="eastAsia" w:ascii="仿宋_GB2312" w:hAnsi="仿宋_GB2312" w:eastAsia="仿宋_GB2312" w:cs="仿宋_GB2312"/>
          <w:color w:val="auto"/>
          <w:kern w:val="0"/>
          <w:sz w:val="24"/>
          <w:szCs w:val="24"/>
          <w:highlight w:val="none"/>
        </w:rPr>
        <w:t xml:space="preserve"> %；</w:t>
      </w:r>
    </w:p>
    <w:p w14:paraId="7D3F326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省级安全文明工地</w:t>
      </w:r>
      <w:r>
        <w:rPr>
          <w:rFonts w:hint="eastAsia" w:ascii="仿宋_GB2312" w:hAnsi="仿宋_GB2312" w:eastAsia="仿宋_GB2312" w:cs="仿宋_GB2312"/>
          <w:color w:val="auto"/>
          <w:kern w:val="0"/>
          <w:sz w:val="24"/>
          <w:szCs w:val="24"/>
          <w:highlight w:val="none"/>
        </w:rPr>
        <w:t>增加费</w:t>
      </w:r>
      <w:permStart w:id="32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20"/>
      <w:r>
        <w:rPr>
          <w:rFonts w:hint="eastAsia" w:ascii="仿宋_GB2312" w:hAnsi="仿宋_GB2312" w:eastAsia="仿宋_GB2312" w:cs="仿宋_GB2312"/>
          <w:color w:val="auto"/>
          <w:kern w:val="0"/>
          <w:sz w:val="24"/>
          <w:szCs w:val="24"/>
          <w:highlight w:val="none"/>
        </w:rPr>
        <w:t>%；</w:t>
      </w:r>
    </w:p>
    <w:p w14:paraId="69604D0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国家级安全文明工地</w:t>
      </w:r>
      <w:r>
        <w:rPr>
          <w:rFonts w:hint="eastAsia" w:ascii="仿宋_GB2312" w:hAnsi="仿宋_GB2312" w:eastAsia="仿宋_GB2312" w:cs="仿宋_GB2312"/>
          <w:color w:val="auto"/>
          <w:kern w:val="0"/>
          <w:sz w:val="24"/>
          <w:szCs w:val="24"/>
          <w:highlight w:val="none"/>
        </w:rPr>
        <w:t>增加费</w:t>
      </w:r>
      <w:permStart w:id="32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21"/>
      <w:r>
        <w:rPr>
          <w:rFonts w:hint="eastAsia" w:ascii="仿宋_GB2312" w:hAnsi="仿宋_GB2312" w:eastAsia="仿宋_GB2312" w:cs="仿宋_GB2312"/>
          <w:color w:val="auto"/>
          <w:kern w:val="0"/>
          <w:sz w:val="24"/>
          <w:szCs w:val="24"/>
          <w:highlight w:val="none"/>
        </w:rPr>
        <w:t>%；</w:t>
      </w:r>
    </w:p>
    <w:p w14:paraId="5E0678C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，文明工地增加费</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bookmarkStart w:id="696" w:name="_Toc10624974"/>
      <w:bookmarkStart w:id="697" w:name="_Toc469384130"/>
    </w:p>
    <w:p w14:paraId="73FE9A78">
      <w:pPr>
        <w:spacing w:line="420" w:lineRule="exact"/>
        <w:rPr>
          <w:rFonts w:hint="eastAsia" w:ascii="仿宋_GB2312" w:hAnsi="仿宋_GB2312" w:eastAsia="仿宋_GB2312" w:cs="仿宋_GB2312"/>
          <w:color w:val="auto"/>
          <w:kern w:val="0"/>
          <w:sz w:val="24"/>
          <w:szCs w:val="24"/>
          <w:highlight w:val="none"/>
        </w:rPr>
      </w:pPr>
    </w:p>
    <w:p w14:paraId="2F68790D">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★81. 进度款</w:t>
      </w:r>
      <w:bookmarkEnd w:id="696"/>
      <w:bookmarkEnd w:id="697"/>
    </w:p>
    <w:p w14:paraId="503D25BB">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81.1 约定支付期限和提交支付申请</w:t>
      </w:r>
    </w:p>
    <w:p w14:paraId="7DA53D3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支付期限、比例</w:t>
      </w:r>
    </w:p>
    <w:p w14:paraId="23B11E17">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以月为单位，支付比例及其他支付要求：</w:t>
      </w:r>
    </w:p>
    <w:p w14:paraId="6693688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1）承包人向监理工程师提交付款申请，进度付款申请单应</w:t>
      </w:r>
      <w:permStart w:id="322" w:edGrp="everyone"/>
      <w:r>
        <w:rPr>
          <w:rFonts w:hint="eastAsia" w:ascii="仿宋_GB2312" w:hAnsi="仿宋_GB2312" w:eastAsia="仿宋_GB2312" w:cs="仿宋_GB2312"/>
          <w:color w:val="auto"/>
          <w:kern w:val="0"/>
          <w:sz w:val="24"/>
          <w:szCs w:val="24"/>
          <w:highlight w:val="none"/>
        </w:rPr>
        <w:sym w:font="Wingdings 2" w:char="0051"/>
      </w:r>
      <w:permEnd w:id="322"/>
      <w:r>
        <w:rPr>
          <w:rFonts w:hint="eastAsia" w:ascii="仿宋_GB2312" w:hAnsi="仿宋_GB2312" w:eastAsia="仿宋_GB2312" w:cs="仿宋_GB2312"/>
          <w:color w:val="auto"/>
          <w:kern w:val="0"/>
          <w:sz w:val="24"/>
          <w:szCs w:val="24"/>
          <w:highlight w:val="none"/>
          <w:u w:val="single"/>
        </w:rPr>
        <w:t>分片区</w:t>
      </w:r>
      <w:r>
        <w:rPr>
          <w:rFonts w:hint="eastAsia" w:ascii="仿宋_GB2312" w:hAnsi="仿宋_GB2312" w:eastAsia="仿宋_GB2312" w:cs="仿宋_GB2312"/>
          <w:color w:val="auto"/>
          <w:kern w:val="0"/>
          <w:sz w:val="24"/>
          <w:szCs w:val="24"/>
          <w:highlight w:val="none"/>
        </w:rPr>
        <w:t>列明完成的工程量折算的工程价款，经监理工程师和发包人确认后出具进度付款证书。进度款按照当月（当期）实际完成工程量折算的工程价款的80%（扣除违约金、赔偿金和工程预付款扣回金额）支付。在工程完工时，累计最多支付至合同工程价款的80%（</w:t>
      </w:r>
      <w:permStart w:id="323" w:edGrp="everyone"/>
      <w:r>
        <w:rPr>
          <w:rFonts w:hint="eastAsia" w:ascii="仿宋_GB2312" w:hAnsi="仿宋_GB2312" w:eastAsia="仿宋_GB2312" w:cs="仿宋_GB2312"/>
          <w:color w:val="auto"/>
          <w:kern w:val="0"/>
          <w:sz w:val="24"/>
          <w:szCs w:val="24"/>
          <w:highlight w:val="none"/>
        </w:rPr>
        <w:sym w:font="Wingdings 2" w:char="0051"/>
      </w:r>
      <w:permEnd w:id="323"/>
      <w:r>
        <w:rPr>
          <w:rFonts w:hint="eastAsia" w:ascii="仿宋_GB2312" w:hAnsi="仿宋_GB2312" w:eastAsia="仿宋_GB2312" w:cs="仿宋_GB2312"/>
          <w:color w:val="auto"/>
          <w:kern w:val="0"/>
          <w:sz w:val="24"/>
          <w:szCs w:val="24"/>
          <w:highlight w:val="none"/>
        </w:rPr>
        <w:t>同时最多支付至该片区对应合同工程价款的80%）。</w:t>
      </w:r>
    </w:p>
    <w:p w14:paraId="488536C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竣工资料和竣工图在工程完工20天内必须报发包人档案部门进行档案验收，通过发包人组织的档案竣工验收。在完成了工程建设项目竣工联合验收合格后6个月内，先向城建档案馆报送一套符合规范要求的建设工程档案并取得城建档案馆的接收证明，再将竣工资料及竣工图（均为原件，一式两套）移交给发包人档案管理部门并取得发包人档案管理部门的移交凭证。如期完成工程档案移交的，由发包人支付至工程价款的85％（</w:t>
      </w:r>
      <w:permStart w:id="324" w:edGrp="everyone"/>
      <w:r>
        <w:rPr>
          <w:rFonts w:hint="eastAsia" w:ascii="仿宋_GB2312" w:hAnsi="仿宋_GB2312" w:eastAsia="仿宋_GB2312" w:cs="仿宋_GB2312"/>
          <w:color w:val="auto"/>
          <w:kern w:val="0"/>
          <w:sz w:val="24"/>
          <w:szCs w:val="24"/>
          <w:highlight w:val="none"/>
        </w:rPr>
        <w:sym w:font="Wingdings 2" w:char="0051"/>
      </w:r>
      <w:permEnd w:id="324"/>
      <w:r>
        <w:rPr>
          <w:rFonts w:hint="eastAsia" w:ascii="仿宋_GB2312" w:hAnsi="仿宋_GB2312" w:eastAsia="仿宋_GB2312" w:cs="仿宋_GB2312"/>
          <w:color w:val="auto"/>
          <w:kern w:val="0"/>
          <w:sz w:val="24"/>
          <w:szCs w:val="24"/>
          <w:highlight w:val="none"/>
        </w:rPr>
        <w:t>分片区的，支付至对应片区工程价款的85%）；未能如期移交的，每天扣罚合同价的</w:t>
      </w:r>
      <w:permStart w:id="325" w:edGrp="everyone"/>
      <w:r>
        <w:rPr>
          <w:rFonts w:hint="eastAsia" w:ascii="仿宋_GB2312" w:hAnsi="仿宋_GB2312" w:eastAsia="仿宋_GB2312" w:cs="仿宋_GB2312"/>
          <w:color w:val="auto"/>
          <w:kern w:val="0"/>
          <w:sz w:val="24"/>
          <w:szCs w:val="24"/>
          <w:highlight w:val="none"/>
          <w:u w:val="single"/>
        </w:rPr>
        <w:t>1.5‰</w:t>
      </w:r>
      <w:permEnd w:id="325"/>
      <w:r>
        <w:rPr>
          <w:rFonts w:hint="eastAsia" w:ascii="仿宋_GB2312" w:hAnsi="仿宋_GB2312" w:eastAsia="仿宋_GB2312" w:cs="仿宋_GB2312"/>
          <w:color w:val="auto"/>
          <w:kern w:val="0"/>
          <w:sz w:val="24"/>
          <w:szCs w:val="24"/>
          <w:highlight w:val="none"/>
        </w:rPr>
        <w:t>。</w:t>
      </w:r>
    </w:p>
    <w:p w14:paraId="243A762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kern w:val="0"/>
          <w:sz w:val="24"/>
          <w:szCs w:val="24"/>
          <w:highlight w:val="none"/>
          <w:lang w:val="zh-CN"/>
        </w:rPr>
        <w:t>本工程</w:t>
      </w:r>
      <w:permStart w:id="326" w:edGrp="everyone"/>
      <w:r>
        <w:rPr>
          <w:rFonts w:hint="eastAsia" w:ascii="仿宋_GB2312" w:hAnsi="仿宋_GB2312" w:eastAsia="仿宋_GB2312" w:cs="仿宋_GB2312"/>
          <w:color w:val="auto"/>
          <w:kern w:val="0"/>
          <w:sz w:val="24"/>
          <w:szCs w:val="24"/>
          <w:highlight w:val="none"/>
          <w:lang w:val="zh-CN"/>
        </w:rPr>
        <w:sym w:font="Wingdings 2" w:char="0051"/>
      </w:r>
      <w:permEnd w:id="326"/>
      <w:r>
        <w:rPr>
          <w:rFonts w:hint="eastAsia" w:ascii="仿宋_GB2312" w:hAnsi="仿宋_GB2312" w:eastAsia="仿宋_GB2312" w:cs="仿宋_GB2312"/>
          <w:color w:val="auto"/>
          <w:kern w:val="0"/>
          <w:sz w:val="24"/>
          <w:szCs w:val="24"/>
          <w:highlight w:val="none"/>
        </w:rPr>
        <w:t>按片区分别结算，</w:t>
      </w:r>
      <w:r>
        <w:rPr>
          <w:rFonts w:hint="eastAsia" w:ascii="仿宋_GB2312" w:hAnsi="仿宋_GB2312" w:eastAsia="仿宋_GB2312" w:cs="仿宋_GB2312"/>
          <w:color w:val="auto"/>
          <w:kern w:val="0"/>
          <w:sz w:val="24"/>
          <w:szCs w:val="24"/>
          <w:highlight w:val="none"/>
          <w:lang w:val="zh-CN"/>
        </w:rPr>
        <w:t>结算工程量最终以现场监理工程师及发包人代表确认的工程量为准；</w:t>
      </w:r>
      <w:r>
        <w:rPr>
          <w:rFonts w:hint="eastAsia" w:ascii="仿宋_GB2312" w:hAnsi="仿宋_GB2312" w:eastAsia="仿宋_GB2312" w:cs="仿宋_GB2312"/>
          <w:color w:val="auto"/>
          <w:kern w:val="0"/>
          <w:sz w:val="24"/>
          <w:szCs w:val="24"/>
          <w:highlight w:val="none"/>
        </w:rPr>
        <w:t>工程结算经财政评审或发包人委托的第三方造价咨询单位审核、竣工资料和竣工图经市城建档案馆验收合格并已办理工程竣工验收备案和竣工档案认可手续后</w:t>
      </w:r>
      <w:r>
        <w:rPr>
          <w:rFonts w:hint="eastAsia" w:ascii="仿宋_GB2312" w:hAnsi="仿宋_GB2312" w:eastAsia="仿宋_GB2312" w:cs="仿宋_GB2312"/>
          <w:color w:val="auto"/>
          <w:kern w:val="0"/>
          <w:sz w:val="24"/>
          <w:szCs w:val="24"/>
          <w:highlight w:val="none"/>
          <w:lang w:eastAsia="zh-CN"/>
        </w:rPr>
        <w:t>，以及在本工程自达到预定可使用状态之日起1个月内协助发包人办理固定资产暂估新增，完成资产移交清点后</w:t>
      </w:r>
      <w:r>
        <w:rPr>
          <w:rFonts w:hint="eastAsia" w:ascii="仿宋_GB2312" w:hAnsi="仿宋_GB2312" w:eastAsia="仿宋_GB2312" w:cs="仿宋_GB2312"/>
          <w:color w:val="auto"/>
          <w:kern w:val="0"/>
          <w:sz w:val="24"/>
          <w:szCs w:val="24"/>
          <w:highlight w:val="none"/>
        </w:rPr>
        <w:t>，</w:t>
      </w:r>
      <w:permStart w:id="327" w:edGrp="everyone"/>
      <w:r>
        <w:rPr>
          <w:rFonts w:hint="eastAsia" w:ascii="仿宋_GB2312" w:hAnsi="仿宋_GB2312" w:eastAsia="仿宋_GB2312" w:cs="仿宋_GB2312"/>
          <w:color w:val="auto"/>
          <w:kern w:val="0"/>
          <w:sz w:val="24"/>
          <w:szCs w:val="24"/>
          <w:highlight w:val="none"/>
        </w:rPr>
        <w:sym w:font="Wingdings 2" w:char="0052"/>
      </w:r>
      <w:permEnd w:id="327"/>
      <w:r>
        <w:rPr>
          <w:rFonts w:hint="eastAsia" w:ascii="仿宋_GB2312" w:hAnsi="仿宋_GB2312" w:eastAsia="仿宋_GB2312" w:cs="仿宋_GB2312"/>
          <w:color w:val="auto"/>
          <w:kern w:val="0"/>
          <w:sz w:val="24"/>
          <w:szCs w:val="24"/>
          <w:highlight w:val="none"/>
        </w:rPr>
        <w:t>发包人支付结算款/</w:t>
      </w:r>
      <w:permStart w:id="328" w:edGrp="everyone"/>
      <w:r>
        <w:rPr>
          <w:rFonts w:hint="eastAsia" w:ascii="仿宋_GB2312" w:hAnsi="仿宋_GB2312" w:eastAsia="仿宋_GB2312" w:cs="仿宋_GB2312"/>
          <w:color w:val="auto"/>
          <w:kern w:val="0"/>
          <w:sz w:val="24"/>
          <w:szCs w:val="24"/>
          <w:highlight w:val="none"/>
        </w:rPr>
        <w:sym w:font="Wingdings 2" w:char="0051"/>
      </w:r>
      <w:permEnd w:id="328"/>
      <w:r>
        <w:rPr>
          <w:rFonts w:hint="eastAsia" w:ascii="仿宋_GB2312" w:hAnsi="仿宋_GB2312" w:eastAsia="仿宋_GB2312" w:cs="仿宋_GB2312"/>
          <w:color w:val="auto"/>
          <w:kern w:val="0"/>
          <w:sz w:val="24"/>
          <w:szCs w:val="24"/>
          <w:highlight w:val="none"/>
        </w:rPr>
        <w:t>发包人按已完结算的片区支付结算款，结算款付至结算价的97％(已包含因乙方未按规定履行合同义务而产生的各种违约金、扣罚金以及应由乙方交纳的各种费用等)。</w:t>
      </w:r>
    </w:p>
    <w:p w14:paraId="2B90924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4）工程竣工验收后30天内承包人必须提交完整的结算资料，由承包人原因造成未能如期提交的，每天扣罚合同价的</w:t>
      </w:r>
      <w:permStart w:id="329" w:edGrp="everyone"/>
      <w:r>
        <w:rPr>
          <w:rFonts w:hint="eastAsia" w:ascii="仿宋_GB2312" w:hAnsi="仿宋_GB2312" w:eastAsia="仿宋_GB2312" w:cs="仿宋_GB2312"/>
          <w:color w:val="auto"/>
          <w:kern w:val="0"/>
          <w:sz w:val="24"/>
          <w:szCs w:val="24"/>
          <w:highlight w:val="none"/>
          <w:u w:val="single"/>
        </w:rPr>
        <w:t>0.1‰</w:t>
      </w:r>
      <w:permEnd w:id="329"/>
      <w:r>
        <w:rPr>
          <w:rFonts w:hint="eastAsia" w:ascii="仿宋_GB2312" w:hAnsi="仿宋_GB2312" w:eastAsia="仿宋_GB2312" w:cs="仿宋_GB2312"/>
          <w:color w:val="auto"/>
          <w:kern w:val="0"/>
          <w:sz w:val="24"/>
          <w:szCs w:val="24"/>
          <w:highlight w:val="none"/>
        </w:rPr>
        <w:t>。在本合同约定的缺陷责任期包括按本合同约定延长的期限终止后14天内，由监理人向承包人出具经发包人签认的缺陷责任期终止证书，并退还剩余的质量保证金（无息）。</w:t>
      </w:r>
    </w:p>
    <w:p w14:paraId="39BD6AC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5）暂估价，根据第65条，经发包人审定金额后，按第81.1款执行。</w:t>
      </w:r>
    </w:p>
    <w:p w14:paraId="2146CFF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6）建筑垃圾消纳费，根据本合同第一部分《协议书》第六条，经发包人审定金额后，按第81.1款执行。</w:t>
      </w:r>
    </w:p>
    <w:p w14:paraId="7B93AA86">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7）发包人供应材料运输费，根据第48.8（1）项，经发包人审定金额后，按第81.1款执行。</w:t>
      </w:r>
    </w:p>
    <w:p w14:paraId="0FCCE6A8">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以季度为单位，支付比例：</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14:paraId="2E7135A5">
      <w:pPr>
        <w:spacing w:line="42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以形象进度为准，具体为：</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w:t>
      </w:r>
    </w:p>
    <w:p w14:paraId="147757AD">
      <w:pPr>
        <w:spacing w:line="420" w:lineRule="exact"/>
        <w:ind w:firstLine="480" w:firstLineChars="200"/>
        <w:jc w:val="both"/>
        <w:rPr>
          <w:rFonts w:hint="eastAsia" w:ascii="仿宋_GB2312" w:hAnsi="仿宋_GB2312" w:eastAsia="仿宋_GB2312" w:cs="仿宋_GB2312"/>
          <w:color w:val="auto"/>
          <w:kern w:val="0"/>
          <w:sz w:val="24"/>
          <w:szCs w:val="24"/>
          <w:highlight w:val="none"/>
          <w:lang w:val="en-US" w:eastAsia="zh-CN"/>
        </w:rPr>
      </w:pPr>
      <w:permStart w:id="330" w:edGrp="everyone"/>
      <w:r>
        <w:rPr>
          <w:rFonts w:hint="eastAsia" w:ascii="仿宋_GB2312" w:hAnsi="仿宋_GB2312" w:eastAsia="仿宋_GB2312" w:cs="仿宋_GB2312"/>
          <w:color w:val="auto"/>
          <w:kern w:val="0"/>
          <w:sz w:val="24"/>
          <w:szCs w:val="24"/>
          <w:highlight w:val="none"/>
        </w:rPr>
        <w:sym w:font="Wingdings 2" w:char="0051"/>
      </w:r>
      <w:permEnd w:id="330"/>
      <w:r>
        <w:rPr>
          <w:rFonts w:hint="eastAsia" w:ascii="仿宋_GB2312" w:hAnsi="仿宋_GB2312" w:eastAsia="仿宋_GB2312" w:cs="仿宋_GB2312"/>
          <w:color w:val="auto"/>
          <w:kern w:val="0"/>
          <w:sz w:val="24"/>
          <w:szCs w:val="24"/>
          <w:highlight w:val="none"/>
        </w:rPr>
        <w:t>实施施工过程结算方式，具体为：</w:t>
      </w:r>
      <w:permStart w:id="33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ermEnd w:id="331"/>
    </w:p>
    <w:p w14:paraId="4DC8A504">
      <w:pPr>
        <w:spacing w:line="420" w:lineRule="exact"/>
        <w:ind w:firstLine="480" w:firstLineChars="200"/>
        <w:rPr>
          <w:rFonts w:hint="eastAsia" w:ascii="仿宋_GB2312" w:hAnsi="仿宋_GB2312" w:eastAsia="仿宋_GB2312" w:cs="仿宋_GB2312"/>
          <w:color w:val="auto"/>
          <w:kern w:val="0"/>
          <w:sz w:val="24"/>
          <w:szCs w:val="24"/>
          <w:highlight w:val="none"/>
          <w:u w:val="single"/>
          <w:lang w:val="en-US" w:eastAsia="zh-CN"/>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其它方式：</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 xml:space="preserve">        </w:t>
      </w:r>
    </w:p>
    <w:p w14:paraId="052248E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支付申请内容：（11）本期间应支付或扣留（回）的其他款项：</w:t>
      </w:r>
    </w:p>
    <w:p w14:paraId="17A6B4FA">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（13）根据发包人要求、发包人委托的第三方社审机构要求提供的其他清单内容。</w:t>
      </w:r>
    </w:p>
    <w:p w14:paraId="0DEEEE3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（2）政府资金投资工程的支付期、支付办法</w:t>
      </w:r>
    </w:p>
    <w:p w14:paraId="4B941FAB">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14:paraId="2B0B6A1A">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32" w:edGrp="everyone"/>
      <w:r>
        <w:rPr>
          <w:rFonts w:hint="eastAsia" w:ascii="仿宋_GB2312" w:hAnsi="仿宋_GB2312" w:eastAsia="仿宋_GB2312" w:cs="仿宋_GB2312"/>
          <w:color w:val="auto"/>
          <w:kern w:val="0"/>
          <w:sz w:val="24"/>
          <w:szCs w:val="24"/>
          <w:highlight w:val="none"/>
        </w:rPr>
        <w:sym w:font="Wingdings 2" w:char="0051"/>
      </w:r>
      <w:permEnd w:id="332"/>
      <w:r>
        <w:rPr>
          <w:rFonts w:hint="eastAsia" w:ascii="仿宋_GB2312" w:hAnsi="仿宋_GB2312" w:eastAsia="仿宋_GB2312" w:cs="仿宋_GB2312"/>
          <w:color w:val="auto"/>
          <w:kern w:val="0"/>
          <w:sz w:val="24"/>
          <w:szCs w:val="24"/>
          <w:highlight w:val="none"/>
        </w:rPr>
        <w:t xml:space="preserve"> 实施施工过程结算方式：</w:t>
      </w:r>
      <w:permStart w:id="33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3"/>
    </w:p>
    <w:p w14:paraId="25746093">
      <w:pPr>
        <w:spacing w:line="420" w:lineRule="exact"/>
        <w:ind w:left="220" w:hanging="240" w:hangingChars="1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其它方式：</w:t>
      </w:r>
      <w:r>
        <w:rPr>
          <w:rFonts w:hint="eastAsia" w:ascii="仿宋_GB2312" w:hAnsi="仿宋_GB2312" w:eastAsia="仿宋_GB2312" w:cs="仿宋_GB2312"/>
          <w:color w:val="auto"/>
          <w:kern w:val="0"/>
          <w:sz w:val="24"/>
          <w:szCs w:val="24"/>
          <w:highlight w:val="none"/>
          <w:u w:val="single"/>
        </w:rPr>
        <w:t xml:space="preserve">  项目资金涉及政府财政资金的，按照国库集中支付等国家相关规定办理，承包人申请合同进度款时应考虑市财政局资金拨付的周期较长，经承包人申请、发包人配合办理本合同涉财政资金进度款拨付期间，承包人不得以合同进度款未支付为由，拒绝履行本合同所有义务和职责或向发包人主张任何权利。</w:t>
      </w:r>
    </w:p>
    <w:p w14:paraId="1C58B3E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81.2 期中支付的最低限额为</w:t>
      </w:r>
      <w:r>
        <w:rPr>
          <w:rFonts w:hint="eastAsia" w:ascii="仿宋_GB2312" w:hAnsi="仿宋_GB2312" w:eastAsia="仿宋_GB2312" w:cs="仿宋_GB2312"/>
          <w:color w:val="auto"/>
          <w:kern w:val="0"/>
          <w:sz w:val="24"/>
          <w:szCs w:val="24"/>
          <w:highlight w:val="none"/>
          <w:u w:val="single"/>
        </w:rPr>
        <w:t xml:space="preserve">       /         </w:t>
      </w:r>
      <w:r>
        <w:rPr>
          <w:rFonts w:hint="eastAsia" w:ascii="仿宋_GB2312" w:hAnsi="仿宋_GB2312" w:eastAsia="仿宋_GB2312" w:cs="仿宋_GB2312"/>
          <w:color w:val="auto"/>
          <w:kern w:val="0"/>
          <w:sz w:val="24"/>
          <w:szCs w:val="24"/>
          <w:highlight w:val="none"/>
        </w:rPr>
        <w:t>元。</w:t>
      </w:r>
    </w:p>
    <w:p w14:paraId="3AE9F7E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（1）发包人逾期付款违约金</w:t>
      </w:r>
    </w:p>
    <w:p w14:paraId="7176580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未按本合同约定的期限支付承包人依合同约定应当得到的款项，应当从应付之日起向承包人支付逾期付款违约金。承包人应当按照第74.2款的约定，在最终付款期限到期后28天内，向监理工程师递交索赔意向通知书，说明有权得到按本款约定的下列标准和方法计算的逾期付款违约金。承包人要求发包人支付逾期付款违约金不影响承包人要求发包人承担本合同约定的其他违约责任的权利。</w:t>
      </w:r>
    </w:p>
    <w:p w14:paraId="6B4C173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逾期付款违约金的计算标准为：逾期付款金额的日万分之三（单利计算）。</w:t>
      </w:r>
    </w:p>
    <w:p w14:paraId="7DADE3A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逾期付款违约金的计算方法为：逾期付款违约金从当期应付款的期限截止日之后的一天起开始计算。 </w:t>
      </w:r>
    </w:p>
    <w:p w14:paraId="48617D00">
      <w:pPr>
        <w:spacing w:line="420" w:lineRule="exact"/>
        <w:ind w:left="437" w:leftChars="208"/>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（2）耗水费支付方式</w:t>
      </w:r>
    </w:p>
    <w:p w14:paraId="4B5A358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新装管道试压、冲洗及消毒前，承包人凭由承包人发包人下属的供水分公司签发的《水费收缴通知单》及相关计量依据，向发包人申请耗水费的拨付。承包人应在收到耗水费后 5 日内向发包人下属的供水分公司足额缴纳耗水费。</w:t>
      </w:r>
    </w:p>
    <w:p w14:paraId="3583734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81.3 进度款支付</w:t>
      </w:r>
    </w:p>
    <w:p w14:paraId="5C02A41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发包人应在监理工程师和发包人确认并完成付款审批后的14个工作日内，按照进度付款证书列明的金额向承包人支付进度款。</w:t>
      </w:r>
    </w:p>
    <w:p w14:paraId="13717F7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81.7工程进度款的暂停支付</w:t>
      </w:r>
    </w:p>
    <w:p w14:paraId="6E3E8D0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双方约定，任何时候发包人有权对承包人提供的资料进行复查，包括但不限于承包人提供的工程量报告，当发包人对施工现场的工作进度进行拍照取证后，与承包人提供的资料不符时，即认定承包人存在弄虚作假的行为，发包人有权对承包人的行为作严重违约处理，所有工程进度款暂停支付。</w:t>
      </w:r>
    </w:p>
    <w:p w14:paraId="68E35EB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（2）承包人未能提交本合同履约保证金或以银行保函形式提交的履约保函未在有效期内的，发包人有权暂停所有工程进度款支付。</w:t>
      </w:r>
    </w:p>
    <w:p w14:paraId="7E4878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81.8 临时付款证书</w:t>
      </w:r>
    </w:p>
    <w:p w14:paraId="65E12F7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在合同约定的期限内，承包人和监理工程师无法对当期已完工程量和按合同约定应当支付的其他款项达成一致的，监理工程师应当在收到承包人报送的进度付款申请单等文件后14天内，就承包人没有异议的金额准备一个临时付款证书，报送发包人审查。临时付款证书中应当说明承包人有异议部分的金额及其原因，经发包人签认后，由监理工程师向承包人出具临时付款证书。发包人应当在监理工程师收到进度付款申请单后28天内，将临时付款证书中确定的应付金额支付给承包人。发包人和监理工程师均不得以任何理由延期支付工程进度付款。对临时付款证书中列明的承包人有异议部分的金额，承包人应当按照监理工程师要求，提交进一步的支持性文件和（或）与监理工程师做进一步共同复核工作，经监理工程师进一步审核并认可的应付金额，应当按照第81.6款的约定纳入到下一期进度付款证书中。经过进一步努力，承包人仍有异议的，按照第86条的约定办理。</w:t>
      </w:r>
    </w:p>
    <w:p w14:paraId="5616692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异议款项中经监理工程师进一步审核后认可的或者经过合同条款第86条约定的争议解决方式确定的应付金额，其应付之日为引发异议的进度付款证书的应付之日，承包人有权得到按照第81.2（1）项约定计算的逾期付款违约金。</w:t>
      </w:r>
    </w:p>
    <w:p w14:paraId="09D159C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81.9工人工资的支付</w:t>
      </w:r>
    </w:p>
    <w:p w14:paraId="582C7D8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承包人应根据</w:t>
      </w:r>
      <w:r>
        <w:rPr>
          <w:rFonts w:hint="eastAsia" w:ascii="仿宋_GB2312" w:hAnsi="仿宋_GB2312" w:eastAsia="仿宋_GB2312" w:cs="仿宋_GB2312"/>
          <w:color w:val="auto"/>
          <w:kern w:val="0"/>
          <w:sz w:val="24"/>
          <w:szCs w:val="24"/>
          <w:highlight w:val="none"/>
          <w:shd w:val="clear" w:color="auto" w:fill="auto"/>
          <w:lang w:eastAsia="zh-CN"/>
        </w:rPr>
        <w:t>《住房和城乡建设部人力资源社会保障部关于修改&lt;建筑工人实名制管理办法（试行）&gt;的通知》（建市〔2022〕59号）、《住房城乡建设部 人力资源社会保障部关于印发建筑工人实名管理办法（试行）的通知》（建市〔2019〕18号）、《工程建设领域农民工工资专用账户管理暂行办法）（人社部发〔2021〕53号）、《广州市住房和城乡建设局关于印发广州市建筑施工实名制管理办法的通知》（穗建规字〔2020〕18号）、《关于印发广州市建设领域工人工资支付分账管理实施细则的通知》（穗建规字〔2020〕37号）、《广州市住房和城乡建设局关于公布第五批广州市建设领域工人工资支付分账管理业务银行名录的通知》（穗建筑〔2022〕1号）、《广州市住房和城乡建设局关于进一步征集广州市建设领域工人工资支付分账业务银行的通知》（穗建筑〔2021〕673号）、《广州市水务局转发广州市根治拖欠农民工工资工作领导小组办公室关于广州市建设领域工程项目全面实施农民工工资总包代发制度的通知》（穗水投收字〔2020〕5031号）、《保障农民工工资支付条例》、《广州市水务投资集团有限公司农民工工资纠纷突发事件应急处置工作指引（试行）》</w:t>
      </w:r>
      <w:r>
        <w:rPr>
          <w:rFonts w:hint="eastAsia" w:ascii="仿宋_GB2312" w:hAnsi="仿宋_GB2312" w:eastAsia="仿宋_GB2312" w:cs="仿宋_GB2312"/>
          <w:color w:val="auto"/>
          <w:kern w:val="0"/>
          <w:sz w:val="24"/>
          <w:szCs w:val="24"/>
          <w:highlight w:val="none"/>
        </w:rPr>
        <w:t>等有关要求，做好农民工工资支付工作及落实实名制和工人工资支付分账制度。</w:t>
      </w:r>
    </w:p>
    <w:p w14:paraId="252F52E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应在办理施工许可手续前，在建设行业主管部门公布的、项目所在地的商业银行办理工人工资支付专用账户，并将工人工资支付专用账户相关信息报监理工程师和发包人。同时，承包人应在用工之日起15日内为每个工人办理工人工资个人账户。</w:t>
      </w:r>
    </w:p>
    <w:p w14:paraId="7B86E83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应当建立工人实名、考勤、工资结算、支付等制度和管理台账，并存档备查，并将相关信息按月报送监理工程师，承包人的工人工资支付分账管理落实情况资料作为当期工程进度款申请拨付依据之一。</w:t>
      </w:r>
    </w:p>
    <w:p w14:paraId="0B56A1D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按本合同约定的工人工资款比例，将每期工程进度款中的工人工资款拨付到承包人的工人工资支付专用账户。承包人应将每期工人工资的银行支付凭证资料作为下期工程进度款请款资料提交给发包人。</w:t>
      </w:r>
    </w:p>
    <w:p w14:paraId="545B0EF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1）工程进度款中的工人工资款比例：参照施工招标的《中标通知书》中单列的人工费金额除以中标金额对应的工程价款计算。</w:t>
      </w:r>
    </w:p>
    <w:p w14:paraId="66998B73">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对实名制管理和工人工资支付负总责，分包单位支付工资情况进行监督。承包人依法将部分工程分包的，应当按第7条约定执行，与分包单位签订分包合同，并明确工人工资比例。工人工资支付专用账户资金少于应支付工人工资的，承包人应当及时补足。</w:t>
      </w:r>
    </w:p>
    <w:p w14:paraId="0557314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如存在客观原因，承包人未能在广州市建设领域管理应用信息平台办理实名制登记情况下，承包人仍须按本合同约定自行落实工人工资实名制，设置专门的工人工资支付账户。发包人将不定期对工人工资支付的银行划转凭证及台账资料进行抽查，如承包人未自行落实实名制和工人工资支付分账制度，按约定追究其违约责任。</w:t>
      </w:r>
    </w:p>
    <w:p w14:paraId="506BC97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（5）承包人若没有实施上述措施，在工程结算时将对该项包干管理费用予以扣减。</w:t>
      </w:r>
    </w:p>
    <w:p w14:paraId="15EF7C6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81.10暂估价，根据第65条，经发包人审定金额后，按第81.1款执行。</w:t>
      </w:r>
    </w:p>
    <w:p w14:paraId="4024554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81.11建筑垃圾消纳费，根据本合同第一部分《协议书》第六条，经发包人审定金额后，按第81.1款执行。</w:t>
      </w:r>
    </w:p>
    <w:p w14:paraId="6A0F1ED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81.12发包人供应材料运输费，根据第48.8（1）项，经发包人审定金额后，按第81.1款执行。</w:t>
      </w:r>
    </w:p>
    <w:p w14:paraId="1641A09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81.13</w:t>
      </w:r>
      <w:permStart w:id="334" w:edGrp="everyone"/>
      <w:r>
        <w:rPr>
          <w:rFonts w:hint="eastAsia" w:ascii="仿宋_GB2312" w:hAnsi="仿宋_GB2312" w:eastAsia="仿宋_GB2312" w:cs="仿宋_GB2312"/>
          <w:color w:val="auto"/>
          <w:kern w:val="0"/>
          <w:sz w:val="24"/>
          <w:szCs w:val="24"/>
          <w:highlight w:val="none"/>
        </w:rPr>
        <w:t>☒</w:t>
      </w:r>
      <w:permEnd w:id="334"/>
      <w:r>
        <w:rPr>
          <w:rFonts w:hint="eastAsia" w:ascii="仿宋_GB2312" w:hAnsi="仿宋_GB2312" w:eastAsia="仿宋_GB2312" w:cs="仿宋_GB2312"/>
          <w:color w:val="auto"/>
          <w:kern w:val="0"/>
          <w:sz w:val="24"/>
          <w:szCs w:val="24"/>
          <w:highlight w:val="none"/>
        </w:rPr>
        <w:t>总价措施费中的“盾构段钢结构工作平台”原则上按包含五次搭拆摊销费用，根据投标报价包干使用。如因客观原因或发包人意见，最终搭拆次数超出该范围，超出部分双方友好协商适度计算。</w:t>
      </w:r>
      <w:bookmarkStart w:id="698" w:name="_Toc10624975"/>
      <w:bookmarkStart w:id="699" w:name="_Toc469384131"/>
    </w:p>
    <w:p w14:paraId="22DCD29B">
      <w:pPr>
        <w:spacing w:line="420" w:lineRule="exact"/>
        <w:rPr>
          <w:rFonts w:hint="eastAsia" w:ascii="仿宋_GB2312" w:hAnsi="仿宋_GB2312" w:eastAsia="仿宋_GB2312" w:cs="仿宋_GB2312"/>
          <w:color w:val="auto"/>
          <w:kern w:val="0"/>
          <w:sz w:val="24"/>
          <w:szCs w:val="24"/>
          <w:highlight w:val="none"/>
        </w:rPr>
      </w:pPr>
    </w:p>
    <w:p w14:paraId="490FBF0A">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82. 竣工结算</w:t>
      </w:r>
      <w:bookmarkEnd w:id="698"/>
      <w:bookmarkEnd w:id="699"/>
    </w:p>
    <w:p w14:paraId="06A6216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82.1 （1）竣工结算的程序和时限：</w:t>
      </w:r>
    </w:p>
    <w:p w14:paraId="7A84742F">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35" w:edGrp="everyone"/>
      <w:r>
        <w:rPr>
          <w:rFonts w:hint="eastAsia" w:ascii="仿宋_GB2312" w:hAnsi="仿宋_GB2312" w:eastAsia="仿宋_GB2312" w:cs="仿宋_GB2312"/>
          <w:color w:val="auto"/>
          <w:kern w:val="0"/>
          <w:sz w:val="24"/>
          <w:szCs w:val="24"/>
          <w:highlight w:val="none"/>
        </w:rPr>
        <w:sym w:font="Wingdings 2" w:char="0052"/>
      </w:r>
      <w:permEnd w:id="335"/>
      <w:r>
        <w:rPr>
          <w:rFonts w:hint="eastAsia" w:ascii="仿宋_GB2312" w:hAnsi="仿宋_GB2312" w:eastAsia="仿宋_GB2312" w:cs="仿宋_GB2312"/>
          <w:color w:val="auto"/>
          <w:kern w:val="0"/>
          <w:sz w:val="24"/>
          <w:szCs w:val="24"/>
          <w:highlight w:val="none"/>
        </w:rPr>
        <w:t xml:space="preserve"> 按通用条款的规定办理。</w:t>
      </w:r>
    </w:p>
    <w:p w14:paraId="3E80C0DF">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permStart w:id="336" w:edGrp="everyone"/>
      <w:r>
        <w:rPr>
          <w:rFonts w:hint="eastAsia" w:ascii="仿宋_GB2312" w:hAnsi="仿宋_GB2312" w:eastAsia="仿宋_GB2312" w:cs="仿宋_GB2312"/>
          <w:color w:val="auto"/>
          <w:kern w:val="0"/>
          <w:sz w:val="24"/>
          <w:szCs w:val="24"/>
          <w:highlight w:val="none"/>
        </w:rPr>
        <w:sym w:font="Wingdings 2" w:char="0051"/>
      </w:r>
      <w:permEnd w:id="336"/>
      <w:r>
        <w:rPr>
          <w:rFonts w:hint="eastAsia" w:ascii="仿宋_GB2312" w:hAnsi="仿宋_GB2312" w:eastAsia="仿宋_GB2312" w:cs="仿宋_GB2312"/>
          <w:color w:val="auto"/>
          <w:kern w:val="0"/>
          <w:sz w:val="24"/>
          <w:szCs w:val="24"/>
          <w:highlight w:val="none"/>
        </w:rPr>
        <w:t xml:space="preserve"> 另作约定：</w:t>
      </w:r>
      <w:permStart w:id="337"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7"/>
      <w:r>
        <w:rPr>
          <w:rFonts w:hint="eastAsia" w:ascii="仿宋_GB2312" w:hAnsi="仿宋_GB2312" w:eastAsia="仿宋_GB2312" w:cs="仿宋_GB2312"/>
          <w:color w:val="auto"/>
          <w:kern w:val="0"/>
          <w:sz w:val="24"/>
          <w:szCs w:val="24"/>
          <w:highlight w:val="none"/>
        </w:rPr>
        <w:t>。</w:t>
      </w:r>
    </w:p>
    <w:p w14:paraId="6AE5B43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（2）施工过程结算约定：</w:t>
      </w:r>
    </w:p>
    <w:p w14:paraId="5F8CE74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1）施工过程结算的程序</w:t>
      </w:r>
      <w:r>
        <w:rPr>
          <w:rFonts w:hint="eastAsia" w:ascii="仿宋_GB2312" w:hAnsi="仿宋_GB2312" w:eastAsia="仿宋_GB2312" w:cs="仿宋_GB2312"/>
          <w:color w:val="auto"/>
          <w:kern w:val="0"/>
          <w:sz w:val="24"/>
          <w:szCs w:val="24"/>
          <w:highlight w:val="none"/>
        </w:rPr>
        <w:t>：</w:t>
      </w:r>
      <w:permStart w:id="33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38"/>
    </w:p>
    <w:p w14:paraId="0D07EA7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sz w:val="24"/>
          <w:szCs w:val="24"/>
          <w:highlight w:val="none"/>
        </w:rPr>
        <w:t>施工过程结算节点：</w:t>
      </w:r>
    </w:p>
    <w:p w14:paraId="00B8138F">
      <w:pPr>
        <w:spacing w:line="420" w:lineRule="exact"/>
        <w:ind w:firstLine="480" w:firstLineChars="200"/>
        <w:rPr>
          <w:rFonts w:hint="eastAsia" w:ascii="仿宋_GB2312" w:hAnsi="仿宋_GB2312" w:eastAsia="仿宋_GB2312" w:cs="仿宋_GB2312"/>
          <w:color w:val="auto"/>
          <w:sz w:val="24"/>
          <w:szCs w:val="24"/>
          <w:highlight w:val="none"/>
        </w:rPr>
      </w:pPr>
      <w:permStart w:id="339" w:edGrp="everyone"/>
      <w:r>
        <w:rPr>
          <w:rFonts w:hint="eastAsia" w:ascii="仿宋_GB2312" w:hAnsi="仿宋_GB2312" w:eastAsia="仿宋_GB2312" w:cs="仿宋_GB2312"/>
          <w:color w:val="auto"/>
          <w:kern w:val="0"/>
          <w:sz w:val="24"/>
          <w:szCs w:val="24"/>
          <w:highlight w:val="none"/>
        </w:rPr>
        <w:sym w:font="Wingdings 2" w:char="0051"/>
      </w:r>
      <w:permEnd w:id="339"/>
      <w:r>
        <w:rPr>
          <w:rFonts w:hint="eastAsia" w:ascii="仿宋_GB2312" w:hAnsi="仿宋_GB2312" w:eastAsia="仿宋_GB2312" w:cs="仿宋_GB2312"/>
          <w:color w:val="auto"/>
          <w:sz w:val="24"/>
          <w:szCs w:val="24"/>
          <w:highlight w:val="none"/>
        </w:rPr>
        <w:t>工程分标段施工的，以标段完成后作为施工过程结算节点：</w:t>
      </w:r>
      <w:permStart w:id="34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0"/>
      <w:r>
        <w:rPr>
          <w:rFonts w:hint="eastAsia" w:ascii="仿宋_GB2312" w:hAnsi="仿宋_GB2312" w:eastAsia="仿宋_GB2312" w:cs="仿宋_GB2312"/>
          <w:color w:val="auto"/>
          <w:kern w:val="0"/>
          <w:sz w:val="24"/>
          <w:szCs w:val="24"/>
          <w:highlight w:val="none"/>
          <w:u w:val="single"/>
        </w:rPr>
        <w:t xml:space="preserve">                    </w:t>
      </w:r>
    </w:p>
    <w:p w14:paraId="74DA1F24">
      <w:pPr>
        <w:spacing w:line="420" w:lineRule="exact"/>
        <w:ind w:firstLine="480" w:firstLineChars="200"/>
        <w:rPr>
          <w:rFonts w:hint="eastAsia" w:ascii="仿宋_GB2312" w:hAnsi="仿宋_GB2312" w:eastAsia="仿宋_GB2312" w:cs="仿宋_GB2312"/>
          <w:color w:val="auto"/>
          <w:sz w:val="24"/>
          <w:szCs w:val="24"/>
          <w:highlight w:val="none"/>
        </w:rPr>
      </w:pPr>
      <w:permStart w:id="341" w:edGrp="everyone"/>
      <w:r>
        <w:rPr>
          <w:rFonts w:hint="eastAsia" w:ascii="仿宋_GB2312" w:hAnsi="仿宋_GB2312" w:eastAsia="仿宋_GB2312" w:cs="仿宋_GB2312"/>
          <w:color w:val="auto"/>
          <w:kern w:val="0"/>
          <w:sz w:val="24"/>
          <w:szCs w:val="24"/>
          <w:highlight w:val="none"/>
        </w:rPr>
        <w:sym w:font="Wingdings 2" w:char="0051"/>
      </w:r>
      <w:permEnd w:id="341"/>
      <w:r>
        <w:rPr>
          <w:rFonts w:hint="eastAsia" w:ascii="仿宋_GB2312" w:hAnsi="仿宋_GB2312" w:eastAsia="仿宋_GB2312" w:cs="仿宋_GB2312"/>
          <w:color w:val="auto"/>
          <w:sz w:val="24"/>
          <w:szCs w:val="24"/>
          <w:highlight w:val="none"/>
        </w:rPr>
        <w:t>以完成单项工程、单位工程、分部工程作为施工过程结算节点：</w:t>
      </w:r>
      <w:permStart w:id="34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2"/>
      <w:r>
        <w:rPr>
          <w:rFonts w:hint="eastAsia" w:ascii="仿宋_GB2312" w:hAnsi="仿宋_GB2312" w:eastAsia="仿宋_GB2312" w:cs="仿宋_GB2312"/>
          <w:color w:val="auto"/>
          <w:kern w:val="0"/>
          <w:sz w:val="24"/>
          <w:szCs w:val="24"/>
          <w:highlight w:val="none"/>
          <w:u w:val="single"/>
        </w:rPr>
        <w:t xml:space="preserve">                  </w:t>
      </w:r>
    </w:p>
    <w:p w14:paraId="20072B5C">
      <w:pPr>
        <w:spacing w:line="420" w:lineRule="exact"/>
        <w:ind w:firstLine="480" w:firstLineChars="200"/>
        <w:rPr>
          <w:rFonts w:hint="eastAsia" w:ascii="仿宋_GB2312" w:hAnsi="仿宋_GB2312" w:eastAsia="仿宋_GB2312" w:cs="仿宋_GB2312"/>
          <w:color w:val="auto"/>
          <w:sz w:val="24"/>
          <w:szCs w:val="24"/>
          <w:highlight w:val="none"/>
        </w:rPr>
      </w:pPr>
      <w:permStart w:id="343" w:edGrp="everyone"/>
      <w:r>
        <w:rPr>
          <w:rFonts w:hint="eastAsia" w:ascii="仿宋_GB2312" w:hAnsi="仿宋_GB2312" w:eastAsia="仿宋_GB2312" w:cs="仿宋_GB2312"/>
          <w:color w:val="auto"/>
          <w:kern w:val="0"/>
          <w:sz w:val="24"/>
          <w:szCs w:val="24"/>
          <w:highlight w:val="none"/>
        </w:rPr>
        <w:sym w:font="Wingdings 2" w:char="0051"/>
      </w:r>
      <w:permEnd w:id="343"/>
      <w:r>
        <w:rPr>
          <w:rFonts w:hint="eastAsia" w:ascii="仿宋_GB2312" w:hAnsi="仿宋_GB2312" w:eastAsia="仿宋_GB2312" w:cs="仿宋_GB2312"/>
          <w:color w:val="auto"/>
          <w:sz w:val="24"/>
          <w:szCs w:val="24"/>
          <w:highlight w:val="none"/>
        </w:rPr>
        <w:t>规模较大的分部工程或分部工程计划完成时间一年以上的，以完成分部工程的进度节点或时间（季、年等）节点作为施工过程结算节点：</w:t>
      </w:r>
      <w:permStart w:id="34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4"/>
      <w:r>
        <w:rPr>
          <w:rFonts w:hint="eastAsia" w:ascii="仿宋_GB2312" w:hAnsi="仿宋_GB2312" w:eastAsia="仿宋_GB2312" w:cs="仿宋_GB2312"/>
          <w:color w:val="auto"/>
          <w:kern w:val="0"/>
          <w:sz w:val="24"/>
          <w:szCs w:val="24"/>
          <w:highlight w:val="none"/>
          <w:u w:val="single"/>
        </w:rPr>
        <w:t xml:space="preserve">                  </w:t>
      </w:r>
    </w:p>
    <w:p w14:paraId="750D6065">
      <w:pPr>
        <w:spacing w:line="420" w:lineRule="exact"/>
        <w:ind w:firstLine="480" w:firstLineChars="200"/>
        <w:rPr>
          <w:rFonts w:hint="eastAsia" w:ascii="仿宋_GB2312" w:hAnsi="仿宋_GB2312" w:eastAsia="仿宋_GB2312" w:cs="仿宋_GB2312"/>
          <w:color w:val="auto"/>
          <w:sz w:val="24"/>
          <w:szCs w:val="24"/>
          <w:highlight w:val="none"/>
        </w:rPr>
      </w:pPr>
      <w:permStart w:id="345" w:edGrp="everyone"/>
      <w:r>
        <w:rPr>
          <w:rFonts w:hint="eastAsia" w:ascii="仿宋_GB2312" w:hAnsi="仿宋_GB2312" w:eastAsia="仿宋_GB2312" w:cs="仿宋_GB2312"/>
          <w:color w:val="auto"/>
          <w:kern w:val="0"/>
          <w:sz w:val="24"/>
          <w:szCs w:val="24"/>
          <w:highlight w:val="none"/>
        </w:rPr>
        <w:sym w:font="Wingdings 2" w:char="0051"/>
      </w:r>
      <w:permEnd w:id="345"/>
      <w:r>
        <w:rPr>
          <w:rFonts w:hint="eastAsia" w:ascii="仿宋_GB2312" w:hAnsi="仿宋_GB2312" w:eastAsia="仿宋_GB2312" w:cs="仿宋_GB2312"/>
          <w:color w:val="auto"/>
          <w:sz w:val="24"/>
          <w:szCs w:val="24"/>
          <w:highlight w:val="none"/>
        </w:rPr>
        <w:t>以完成工程功能内容或专业工程作为施工过程结算节点：</w:t>
      </w:r>
      <w:permStart w:id="346"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6"/>
      <w:r>
        <w:rPr>
          <w:rFonts w:hint="eastAsia" w:ascii="仿宋_GB2312" w:hAnsi="仿宋_GB2312" w:eastAsia="仿宋_GB2312" w:cs="仿宋_GB2312"/>
          <w:color w:val="auto"/>
          <w:kern w:val="0"/>
          <w:sz w:val="24"/>
          <w:szCs w:val="24"/>
          <w:highlight w:val="none"/>
          <w:u w:val="single"/>
        </w:rPr>
        <w:t xml:space="preserve">                 </w:t>
      </w:r>
    </w:p>
    <w:p w14:paraId="5B5CDDDB">
      <w:pPr>
        <w:spacing w:line="420" w:lineRule="exact"/>
        <w:ind w:firstLine="480" w:firstLineChars="200"/>
        <w:rPr>
          <w:rFonts w:hint="eastAsia" w:ascii="仿宋_GB2312" w:hAnsi="仿宋_GB2312" w:eastAsia="仿宋_GB2312" w:cs="仿宋_GB2312"/>
          <w:color w:val="auto"/>
          <w:kern w:val="0"/>
          <w:sz w:val="24"/>
          <w:szCs w:val="24"/>
          <w:highlight w:val="none"/>
        </w:rPr>
      </w:pPr>
      <w:permStart w:id="347" w:edGrp="everyone"/>
      <w:r>
        <w:rPr>
          <w:rFonts w:hint="eastAsia" w:ascii="仿宋_GB2312" w:hAnsi="仿宋_GB2312" w:eastAsia="仿宋_GB2312" w:cs="仿宋_GB2312"/>
          <w:color w:val="auto"/>
          <w:kern w:val="0"/>
          <w:sz w:val="24"/>
          <w:szCs w:val="24"/>
          <w:highlight w:val="none"/>
        </w:rPr>
        <w:sym w:font="Wingdings 2" w:char="0051"/>
      </w:r>
      <w:permEnd w:id="347"/>
      <w:r>
        <w:rPr>
          <w:rFonts w:hint="eastAsia" w:ascii="仿宋_GB2312" w:hAnsi="仿宋_GB2312" w:eastAsia="仿宋_GB2312" w:cs="仿宋_GB2312"/>
          <w:color w:val="auto"/>
          <w:kern w:val="0"/>
          <w:sz w:val="24"/>
          <w:szCs w:val="24"/>
          <w:highlight w:val="none"/>
        </w:rPr>
        <w:t>其它：</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01BC69B8">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sz w:val="24"/>
          <w:szCs w:val="24"/>
          <w:highlight w:val="none"/>
        </w:rPr>
        <w:t>施工过程结算价款的编制与核对：</w:t>
      </w:r>
      <w:permStart w:id="34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8"/>
    </w:p>
    <w:p w14:paraId="240FF244">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4）采用施工过程结算方法时竣工结算价款的编制与核对：</w:t>
      </w:r>
      <w:permStart w:id="34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49"/>
      <w:r>
        <w:rPr>
          <w:rFonts w:hint="eastAsia" w:ascii="仿宋_GB2312" w:hAnsi="仿宋_GB2312" w:eastAsia="仿宋_GB2312" w:cs="仿宋_GB2312"/>
          <w:color w:val="auto"/>
          <w:kern w:val="0"/>
          <w:sz w:val="24"/>
          <w:szCs w:val="24"/>
          <w:highlight w:val="none"/>
          <w:u w:val="single"/>
        </w:rPr>
        <w:t xml:space="preserve">                 </w:t>
      </w:r>
    </w:p>
    <w:p w14:paraId="3CC7B4DD">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w:t>
      </w:r>
      <w:r>
        <w:rPr>
          <w:rFonts w:hint="eastAsia" w:ascii="仿宋_GB2312" w:hAnsi="仿宋_GB2312" w:eastAsia="仿宋_GB2312" w:cs="仿宋_GB2312"/>
          <w:color w:val="auto"/>
          <w:sz w:val="24"/>
          <w:szCs w:val="24"/>
          <w:highlight w:val="none"/>
        </w:rPr>
        <w:t>施工过程结算支付时限</w:t>
      </w:r>
      <w:r>
        <w:rPr>
          <w:rFonts w:hint="eastAsia" w:ascii="仿宋_GB2312" w:hAnsi="仿宋_GB2312" w:eastAsia="仿宋_GB2312" w:cs="仿宋_GB2312"/>
          <w:color w:val="auto"/>
          <w:kern w:val="0"/>
          <w:sz w:val="24"/>
          <w:szCs w:val="24"/>
          <w:highlight w:val="none"/>
        </w:rPr>
        <w:t>：</w:t>
      </w:r>
      <w:permStart w:id="35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50"/>
      <w:r>
        <w:rPr>
          <w:rFonts w:hint="eastAsia" w:ascii="仿宋_GB2312" w:hAnsi="仿宋_GB2312" w:eastAsia="仿宋_GB2312" w:cs="仿宋_GB2312"/>
          <w:color w:val="auto"/>
          <w:kern w:val="0"/>
          <w:sz w:val="24"/>
          <w:szCs w:val="24"/>
          <w:highlight w:val="none"/>
          <w:u w:val="single"/>
        </w:rPr>
        <w:t xml:space="preserve">                      </w:t>
      </w:r>
    </w:p>
    <w:p w14:paraId="33331A7A">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6）</w:t>
      </w:r>
      <w:r>
        <w:rPr>
          <w:rFonts w:hint="eastAsia" w:ascii="仿宋_GB2312" w:hAnsi="仿宋_GB2312" w:eastAsia="仿宋_GB2312" w:cs="仿宋_GB2312"/>
          <w:color w:val="auto"/>
          <w:sz w:val="24"/>
          <w:szCs w:val="24"/>
          <w:highlight w:val="none"/>
        </w:rPr>
        <w:t>分段结算的其他约定</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778D3C5B">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（3）对属于《广州市财政投资评审管理办法》评审范围的财政性资金投资项目，财政投资评审结果作为该项目价款结算的依据。</w:t>
      </w:r>
    </w:p>
    <w:p w14:paraId="5A3D624D">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应在提交竣工验收报告的同时向发包人提供完整的工程竣工结算资料，双方按照协议书约定的合同价款及专用条款约定的合同价款调整内容，进行工程竣工结算。工程量结算最终以现场监理工程师及业主代表确认的工程量为准，工程结算造价以财政部门或业主委托的第三方造价机构审核后的工程结算价作为本合同项目的最终结算造价。</w:t>
      </w:r>
    </w:p>
    <w:p w14:paraId="577BFFAB">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工程师收到承包人递交的竣工结算报告及符合发包人要求的结算资料后进行核实，提出审核意见后送交发包人。发包人进行结算审核，承包人应配合发包人的结算工作，承包人未在合同约定时间内提供完整的工程竣工结算资料，经发包人催促后14天内仍未提供或没有明确答复的或提出不正当理由延期的，发包人有权根据已有资料办理结算，责任由承包人自负。</w:t>
      </w:r>
    </w:p>
    <w:p w14:paraId="3335B83B">
      <w:pPr>
        <w:spacing w:line="420" w:lineRule="exact"/>
        <w:ind w:left="101" w:leftChars="48"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（6）对于结算送审价</w:t>
      </w:r>
      <w:r>
        <w:rPr>
          <w:rFonts w:hint="eastAsia" w:ascii="仿宋_GB2312" w:hAnsi="仿宋_GB2312" w:eastAsia="仿宋_GB2312" w:cs="仿宋_GB2312"/>
          <w:color w:val="auto"/>
          <w:kern w:val="0"/>
          <w:sz w:val="24"/>
          <w:szCs w:val="24"/>
          <w:highlight w:val="none"/>
        </w:rPr>
        <w:t>☒超</w:t>
      </w:r>
      <w:r>
        <w:rPr>
          <w:rFonts w:hint="eastAsia" w:ascii="宋体" w:hAnsi="宋体" w:cs="宋体"/>
          <w:color w:val="auto"/>
          <w:kern w:val="0"/>
          <w:sz w:val="22"/>
          <w:highlight w:val="none"/>
        </w:rPr>
        <w:t>合同签订价/</w:t>
      </w:r>
      <w:r>
        <w:rPr>
          <w:rFonts w:hint="eastAsia" w:ascii="宋体" w:hAnsi="宋体" w:cs="宋体"/>
          <w:color w:val="auto"/>
          <w:kern w:val="0"/>
          <w:sz w:val="22"/>
          <w:highlight w:val="none"/>
        </w:rPr>
        <w:sym w:font="Wingdings" w:char="00FE"/>
      </w:r>
      <w:r>
        <w:rPr>
          <w:rFonts w:hint="eastAsia" w:ascii="宋体" w:hAnsi="宋体" w:cs="宋体"/>
          <w:color w:val="auto"/>
          <w:kern w:val="0"/>
          <w:sz w:val="22"/>
          <w:highlight w:val="none"/>
        </w:rPr>
        <w:t>承包人提供的会审后施工预算（招标图招标适用）</w:t>
      </w:r>
      <w:r>
        <w:rPr>
          <w:rFonts w:hint="eastAsia" w:ascii="仿宋_GB2312" w:hAnsi="仿宋_GB2312" w:eastAsia="仿宋_GB2312" w:cs="仿宋_GB2312"/>
          <w:color w:val="auto"/>
          <w:kern w:val="0"/>
          <w:sz w:val="24"/>
          <w:szCs w:val="24"/>
          <w:highlight w:val="none"/>
        </w:rPr>
        <w:t>10%（含10%），如按分区或单元工程送审结算的，则各单元工程应同步送审（甩项除外），如要求按单元工程分别送审的，送审价按各区或单元工程送审总额核算的，若其结算核减率（即核减金额比送审金额）超过10%，超出10%的部分结算核减额所产生的结算评审服务费用须由承包单位承担，并在工程结算款内扣除。经发包人同意分批出具结算意见的，按总额核算后在最后一批结算款内扣减。</w:t>
      </w:r>
    </w:p>
    <w:p w14:paraId="372758F8">
      <w:pPr>
        <w:spacing w:line="420" w:lineRule="exact"/>
        <w:ind w:left="94" w:leftChars="45"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（7）若项目列入政府审核或主管部门的社会审核计划，承包人有义务配合相关抽审工作；审核机构认为需调整终审金额的，应当无条件按审核机构出具的审核意见执行，办理多退少补。</w:t>
      </w:r>
    </w:p>
    <w:p w14:paraId="6BB26DA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82.2</w:t>
      </w:r>
      <w:r>
        <w:rPr>
          <w:rFonts w:hint="eastAsia" w:ascii="仿宋_GB2312" w:hAnsi="仿宋_GB2312" w:eastAsia="仿宋_GB2312" w:cs="仿宋_GB2312"/>
          <w:color w:val="auto"/>
          <w:sz w:val="24"/>
          <w:szCs w:val="24"/>
          <w:highlight w:val="none"/>
        </w:rPr>
        <w:t>（1）竣工结算文件清单：</w:t>
      </w:r>
    </w:p>
    <w:p w14:paraId="779CB708">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 xml:space="preserve">1）工程结算书及电子文件：要求分两部分编制：第一部分是以竣工图为依据编制部分,包括图纸会审记录、设计变更、监理工程师通知或发包人施工指令等；第二部分以现场签证、工程洽商记录以及其它有关费用为依据编制部分。上述两部分不应有重复列项的内容，用电脑编制的结算书要求提供相应的电子版本并注明使用软件。必须使用清单计价，并严格按照清单规范编制。 </w:t>
      </w:r>
    </w:p>
    <w:p w14:paraId="680D96A7">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工程量计算书：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量。</w:t>
      </w:r>
    </w:p>
    <w:p w14:paraId="1811BEEB">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3）钢筋抽料表（如有）：钢筋抽料表应提供详细的抽料表和明细汇总表，详细的抽料表应注明钢筋所在构件名称、施工部位、钢筋编号、图样、计算式等，明细汇总表应区分不同类型、不同构件的汇总数量。</w:t>
      </w:r>
    </w:p>
    <w:p w14:paraId="30DD4144">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4）合同文件：包括发包人与承包人签订的工程承发包合同、经发包人确认的承包人与第三方签订的分包合同、各类补充合同、合同附件等，要求将上述合同文件列出总目录按顺序整理装订成册。</w:t>
      </w:r>
    </w:p>
    <w:p w14:paraId="18BEBFAA">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5）工程竣工图（含电子版和相关部门要求的专用软件版本）：竣工图是工程结算依据的关键部分，必须与现场实际情况完全一致，必须有施工单位竣工图专用章及其相关人员签字。经发包人、设计、监理等单位确认的图纸会审记录、设计变更、监理工程师通知或发包人施工指令等内容均应反映在相应的竣工图上。对未在竣工图上反映的图纸会审记录、设计变更等内容，其费用在结算时发包人有权不予考虑；对未在竣工图纸上反映的事实变更，结算时发包人有权作出调整。</w:t>
      </w:r>
    </w:p>
    <w:p w14:paraId="11D3AC89">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6）工程竣工资料（含电子版及相关部门要求的专用软件版本、单位工程开工申请报告、单位工程工程竣工验收报告）：开工报告、工程质量验收评定证书、材料检验报告、产品质量合格证、经发包人批准的施工组织设计或施工方案、隐蔽工程验收记录、安装工程的调试方案和调试记录等。要求监理工程师和发包人在确认表上盖章确认。</w:t>
      </w:r>
    </w:p>
    <w:p w14:paraId="34D2958F">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7）图纸会审记录：要求按图纸会审的时间先后整理装订成册，图纸会审记录须有各单位参加会审人员签字及会审单位盖章确认。</w:t>
      </w:r>
    </w:p>
    <w:p w14:paraId="7DB09DA3">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8）工程设计变更文件：要求分专业，按变更的时间先后整理装订成册。设计变更审批表要求原件，审批手续完备。</w:t>
      </w:r>
    </w:p>
    <w:p w14:paraId="499E61C2">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9）工程洽商记录：要求根据工程洽商记录的时间先后整理装订成册，统一编号，要有监理单位和发包人相关人员的签字和单位盖章确认。</w:t>
      </w:r>
    </w:p>
    <w:p w14:paraId="41F74906">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10）监理工程师通知或发包人施工指令：要求根据监理工程师通知或发包人施工指令的时间先后整理装订成册，统一编号。监理工程师通知及发包人施工指令要求为原件。</w:t>
      </w:r>
    </w:p>
    <w:p w14:paraId="3BEA628C">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11）会议纪要：指工程质量、安全、技术、经济等现场协调会会议纪要等。要求根据会议纪要的时间先后整理装订成册，统一编号。会议纪要要求有参与会议的各方代表签字，并有监理人和发包人盖章确认。</w:t>
      </w:r>
    </w:p>
    <w:p w14:paraId="7DAB11B9">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12）工程签证文件：要求根据现场签证单的时间先后整理装订成册，现场签证单上应有工程数量的计算过程、具体部位和施工简图，审批手续完备。</w:t>
      </w:r>
    </w:p>
    <w:p w14:paraId="1C79C96C">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13）材料设备单价呈批审核单：承包人采购的材料设备要求根据材料设备单价呈批审核单的编号顺序整理装订成册。每项审核单应附有相关的资料或注明相关资料在送审结算资料的具体位置，审批手续完备；发包人供应的材料设备应由承包人提供材料实际耗用量确认表。</w:t>
      </w:r>
    </w:p>
    <w:p w14:paraId="6CF6462D">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14）综合单价呈批审核单</w:t>
      </w:r>
    </w:p>
    <w:p w14:paraId="7DB52A63">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15）招标文件（含工程量清单）、答疑纪要：包括招标图纸、招标文件所附合同条款和技术规范、投标须知、招标澄清、招标答疑纪要、工程量清单等整套招标文件及其附件（由发包人另行提供）。</w:t>
      </w:r>
    </w:p>
    <w:p w14:paraId="7236DF3D">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16）投标文件（含经济标软件版）、中标通知书：包括技术标、经济标、投标承诺书、投标补充函等所有投标文件和中标通知书。</w:t>
      </w:r>
    </w:p>
    <w:p w14:paraId="4CC62503">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17）发包人供应材料收货验收签收单（如有）</w:t>
      </w:r>
    </w:p>
    <w:p w14:paraId="5FE7EF93">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18）其他结算资料：在结算审核中需要的其他资料均需提供，例如：打桩、地基处理、回填等隐蔽记录、施工日记、地质勘察报告、非常用的标准图集、应由施工单位承担而由建设单位支付的费用证明等。</w:t>
      </w:r>
    </w:p>
    <w:p w14:paraId="49BFCBF4">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19）工期履行审核表</w:t>
      </w:r>
    </w:p>
    <w:p w14:paraId="15D4DDF6">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20）移交资料签收表</w:t>
      </w:r>
    </w:p>
    <w:p w14:paraId="189B0B2C">
      <w:pPr>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21）增项目审批文件：要求分专业，按新增项目的时间先后整理装订成册。新增项目审批表要求原件，审批手续完备。</w:t>
      </w:r>
    </w:p>
    <w:p w14:paraId="5B0F5D73">
      <w:pPr>
        <w:spacing w:line="42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sz w:val="24"/>
          <w:szCs w:val="24"/>
          <w:highlight w:val="none"/>
        </w:rPr>
        <w:t>22）其它</w:t>
      </w:r>
    </w:p>
    <w:p w14:paraId="3CC08F15">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（2）发包人对送审结算资料的具体要求： 竣工结算资料一式两套，有关竣工结算文件的编制和审核均须经承包人签字及盖章确认。</w:t>
      </w:r>
    </w:p>
    <w:p w14:paraId="2C8B8E2E">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（3）承包人应在发包人相关结算管理制度规定的响应时间内完成对数，如需补充资料需按发包人相关结算管理制度规定的响应时间内补充相关资料。未按时完成对数或补充资料的，每逾期一天扣罚合同价的</w:t>
      </w:r>
      <w:r>
        <w:rPr>
          <w:rFonts w:hint="eastAsia" w:ascii="仿宋_GB2312" w:hAnsi="仿宋_GB2312" w:eastAsia="仿宋_GB2312" w:cs="仿宋_GB2312"/>
          <w:color w:val="auto"/>
          <w:kern w:val="0"/>
          <w:sz w:val="24"/>
          <w:szCs w:val="24"/>
          <w:highlight w:val="none"/>
          <w:u w:val="single"/>
        </w:rPr>
        <w:t>1.5‰</w:t>
      </w:r>
      <w:r>
        <w:rPr>
          <w:rFonts w:hint="eastAsia" w:ascii="仿宋_GB2312" w:hAnsi="仿宋_GB2312" w:eastAsia="仿宋_GB2312" w:cs="仿宋_GB2312"/>
          <w:color w:val="auto"/>
          <w:kern w:val="0"/>
          <w:sz w:val="24"/>
          <w:szCs w:val="24"/>
          <w:highlight w:val="none"/>
        </w:rPr>
        <w:t>，且发包人有权根据已有资料办理结算。</w:t>
      </w:r>
    </w:p>
    <w:p w14:paraId="17C7D9CA">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（4）单方结算</w:t>
      </w:r>
    </w:p>
    <w:p w14:paraId="1AF240B4">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承包人必须按时提交完整的结算资料。</w:t>
      </w:r>
    </w:p>
    <w:p w14:paraId="28EF13C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1）竣工后超出合同规定的结算资料提交时间并经发包人书面发函催办仍然不响应提交结算资料的，发包人可执行3）条款。</w:t>
      </w:r>
    </w:p>
    <w:p w14:paraId="7758428F">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结算审核期间，对发包人或第三方审核机构出具的审核意见，通过下述途径仍无法达到一致意见的，发包人可执行3）条款。结算清单内项目（是否结算清单由发包人决定），三个月内无实质性响应和回复，并且经发包人、第三方审核机构、承包人参加的协调会均无法达成一致意见的；非结算清单内项目，六个月内无实质性响应和回复，并且经发包人、第三方审核机构、承包人参加的协调会均无法达成一致意见的；</w:t>
      </w:r>
    </w:p>
    <w:p w14:paraId="64605367">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根据已有资料、现场实际情况及监理工程师审核确认后，办理单方结算，并将结算成果发函至承包人。承包人不得因单方结算减少自身的保修责任，发包人保留相关因单方结算导致的损失向施工方追讨实际损失的权利。</w:t>
      </w:r>
      <w:bookmarkStart w:id="700" w:name="_Toc10624976"/>
      <w:bookmarkStart w:id="701" w:name="_Toc469384132"/>
    </w:p>
    <w:p w14:paraId="641EF10F">
      <w:pPr>
        <w:spacing w:line="420" w:lineRule="exact"/>
        <w:jc w:val="left"/>
        <w:rPr>
          <w:rFonts w:hint="eastAsia" w:ascii="仿宋_GB2312" w:hAnsi="仿宋_GB2312" w:eastAsia="仿宋_GB2312" w:cs="仿宋_GB2312"/>
          <w:color w:val="auto"/>
          <w:kern w:val="0"/>
          <w:sz w:val="24"/>
          <w:szCs w:val="24"/>
          <w:highlight w:val="none"/>
        </w:rPr>
      </w:pPr>
    </w:p>
    <w:p w14:paraId="461BD333">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★83. 结算款</w:t>
      </w:r>
      <w:bookmarkEnd w:id="700"/>
      <w:bookmarkEnd w:id="701"/>
    </w:p>
    <w:p w14:paraId="29043625">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83.1 提交竣工支付申请</w:t>
      </w:r>
    </w:p>
    <w:p w14:paraId="019D5E9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竣工支付申请单</w:t>
      </w:r>
    </w:p>
    <w:p w14:paraId="6F0A6D2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承包人提交竣工支付申请单的份数：</w:t>
      </w:r>
      <w:permStart w:id="35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一式</w:t>
      </w:r>
      <w:r>
        <w:rPr>
          <w:rFonts w:hint="eastAsia" w:ascii="仿宋_GB2312" w:hAnsi="仿宋_GB2312" w:eastAsia="仿宋_GB2312" w:cs="仿宋_GB2312"/>
          <w:color w:val="auto"/>
          <w:kern w:val="0"/>
          <w:sz w:val="24"/>
          <w:szCs w:val="24"/>
          <w:highlight w:val="none"/>
          <w:u w:val="single"/>
          <w:lang w:eastAsia="zh-CN"/>
        </w:rPr>
        <w:t>叁</w:t>
      </w:r>
      <w:r>
        <w:rPr>
          <w:rFonts w:hint="eastAsia" w:ascii="仿宋_GB2312" w:hAnsi="仿宋_GB2312" w:eastAsia="仿宋_GB2312" w:cs="仿宋_GB2312"/>
          <w:color w:val="auto"/>
          <w:kern w:val="0"/>
          <w:sz w:val="24"/>
          <w:szCs w:val="24"/>
          <w:highlight w:val="none"/>
          <w:u w:val="single"/>
        </w:rPr>
        <w:t>份</w:t>
      </w:r>
      <w:r>
        <w:rPr>
          <w:rFonts w:hint="eastAsia" w:ascii="仿宋_GB2312" w:hAnsi="仿宋_GB2312" w:eastAsia="仿宋_GB2312" w:cs="仿宋_GB2312"/>
          <w:color w:val="auto"/>
          <w:kern w:val="0"/>
          <w:sz w:val="24"/>
          <w:szCs w:val="24"/>
          <w:highlight w:val="none"/>
          <w:u w:val="single"/>
        </w:rPr>
        <w:t xml:space="preserve"> </w:t>
      </w:r>
      <w:permEnd w:id="351"/>
      <w:r>
        <w:rPr>
          <w:rFonts w:hint="eastAsia" w:ascii="仿宋_GB2312" w:hAnsi="仿宋_GB2312" w:eastAsia="仿宋_GB2312" w:cs="仿宋_GB2312"/>
          <w:color w:val="auto"/>
          <w:kern w:val="0"/>
          <w:sz w:val="24"/>
          <w:szCs w:val="24"/>
          <w:highlight w:val="none"/>
        </w:rPr>
        <w:t>；</w:t>
      </w:r>
    </w:p>
    <w:p w14:paraId="2EC6ECB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承包人提交竣工支付申请单的期限：</w:t>
      </w:r>
      <w:permStart w:id="35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工程完成结算后30天内</w:t>
      </w:r>
      <w:r>
        <w:rPr>
          <w:rFonts w:hint="eastAsia" w:ascii="仿宋_GB2312" w:hAnsi="仿宋_GB2312" w:eastAsia="仿宋_GB2312" w:cs="仿宋_GB2312"/>
          <w:color w:val="auto"/>
          <w:kern w:val="0"/>
          <w:sz w:val="24"/>
          <w:szCs w:val="24"/>
          <w:highlight w:val="none"/>
          <w:u w:val="single"/>
        </w:rPr>
        <w:t xml:space="preserve">  </w:t>
      </w:r>
      <w:permEnd w:id="352"/>
      <w:r>
        <w:rPr>
          <w:rFonts w:hint="eastAsia" w:ascii="仿宋_GB2312" w:hAnsi="仿宋_GB2312" w:eastAsia="仿宋_GB2312" w:cs="仿宋_GB2312"/>
          <w:color w:val="auto"/>
          <w:kern w:val="0"/>
          <w:sz w:val="24"/>
          <w:szCs w:val="24"/>
          <w:highlight w:val="none"/>
        </w:rPr>
        <w:t>；</w:t>
      </w:r>
    </w:p>
    <w:p w14:paraId="5D0118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竣工支付申请单的内容：</w:t>
      </w:r>
      <w:permStart w:id="353"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rPr>
        <w:t>不限于竣工(完工)结算合同总价、发包人已支付承包人的工程价款、应扣留的质量保证金，应支付的竣工(完工) 结算付款金额等</w:t>
      </w:r>
      <w:r>
        <w:rPr>
          <w:rFonts w:hint="eastAsia" w:ascii="仿宋_GB2312" w:hAnsi="仿宋_GB2312" w:eastAsia="仿宋_GB2312" w:cs="仿宋_GB2312"/>
          <w:color w:val="auto"/>
          <w:kern w:val="0"/>
          <w:sz w:val="24"/>
          <w:szCs w:val="24"/>
          <w:highlight w:val="none"/>
          <w:u w:val="single"/>
        </w:rPr>
        <w:t xml:space="preserve"> </w:t>
      </w:r>
      <w:permEnd w:id="353"/>
      <w:r>
        <w:rPr>
          <w:rFonts w:hint="eastAsia" w:ascii="仿宋_GB2312" w:hAnsi="仿宋_GB2312" w:eastAsia="仿宋_GB2312" w:cs="仿宋_GB2312"/>
          <w:color w:val="auto"/>
          <w:kern w:val="0"/>
          <w:sz w:val="24"/>
          <w:szCs w:val="24"/>
          <w:highlight w:val="none"/>
        </w:rPr>
        <w:t>；</w:t>
      </w:r>
    </w:p>
    <w:p w14:paraId="6C796ECD">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未按本项约定的期限和内容提交竣工付款申请单或者未按第83.1（2）项约定提交修正后的竣工支付申请单，经监理工程师催促后14天内仍未提交或者没有明确答复的，监理工程师和发包人有权根据已有资料进行审查，审查确定的竣工结算合同总价和竣工付款金额视同是经承包人认可的工程竣工结算合同总价和竣工付款金额。</w:t>
      </w:r>
    </w:p>
    <w:p w14:paraId="1CE1925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发包人在项目竣工验收后，6个月内完成本工程结算工作内办清竣工结算和竣工付款。</w:t>
      </w:r>
    </w:p>
    <w:p w14:paraId="63E2C3B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（2）监理工程师对竣工支付申请单有异议的，有权要求承包人进行修正和提供补充资料。经监理工程师和承包人协商后，由承包人向监理工程师提交修正后的竣工支付申请单。</w:t>
      </w:r>
    </w:p>
    <w:p w14:paraId="5882E8D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 竣工支付期限</w:t>
      </w:r>
    </w:p>
    <w:p w14:paraId="736F748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按通用条款的规定，在造价工程师签发竣工结算支付证书后的28天内。</w:t>
      </w:r>
    </w:p>
    <w:p w14:paraId="38C6137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w:t>
      </w:r>
    </w:p>
    <w:p w14:paraId="29EE1D25">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 政府资金投资工程的支付期、支付办法</w:t>
      </w:r>
    </w:p>
    <w:p w14:paraId="3C7646B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w:t>
      </w:r>
    </w:p>
    <w:p w14:paraId="000DF61E">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另作约定：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5AC9EA14">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（5）实施</w:t>
      </w:r>
      <w:r>
        <w:rPr>
          <w:rFonts w:hint="eastAsia" w:ascii="仿宋_GB2312" w:hAnsi="仿宋_GB2312" w:eastAsia="仿宋_GB2312" w:cs="仿宋_GB2312"/>
          <w:color w:val="auto"/>
          <w:sz w:val="24"/>
          <w:szCs w:val="24"/>
          <w:highlight w:val="none"/>
        </w:rPr>
        <w:t>施工过程结算</w:t>
      </w:r>
      <w:r>
        <w:rPr>
          <w:rFonts w:hint="eastAsia" w:ascii="仿宋_GB2312" w:hAnsi="仿宋_GB2312" w:eastAsia="仿宋_GB2312" w:cs="仿宋_GB2312"/>
          <w:color w:val="auto"/>
          <w:kern w:val="0"/>
          <w:sz w:val="24"/>
          <w:szCs w:val="24"/>
          <w:highlight w:val="none"/>
        </w:rPr>
        <w:t>的，其竣工结算支付方法：</w:t>
      </w:r>
      <w:permStart w:id="354"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54"/>
      <w:bookmarkStart w:id="702" w:name="_Toc10624977"/>
      <w:bookmarkStart w:id="703" w:name="_Toc469384133"/>
    </w:p>
    <w:p w14:paraId="5B6D33E8">
      <w:pPr>
        <w:spacing w:line="420" w:lineRule="exact"/>
        <w:rPr>
          <w:rFonts w:hint="eastAsia" w:ascii="仿宋_GB2312" w:hAnsi="仿宋_GB2312" w:eastAsia="仿宋_GB2312" w:cs="仿宋_GB2312"/>
          <w:b/>
          <w:bCs/>
          <w:color w:val="auto"/>
          <w:sz w:val="24"/>
          <w:szCs w:val="24"/>
          <w:highlight w:val="none"/>
        </w:rPr>
      </w:pPr>
    </w:p>
    <w:p w14:paraId="5D2AD400">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★84. 质量保证金</w:t>
      </w:r>
      <w:bookmarkEnd w:id="702"/>
      <w:bookmarkEnd w:id="703"/>
    </w:p>
    <w:p w14:paraId="374D9FD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84.2 质量保证金的约定与扣留</w:t>
      </w:r>
    </w:p>
    <w:p w14:paraId="2410840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质量保证金的约定</w:t>
      </w:r>
    </w:p>
    <w:p w14:paraId="7B2FC69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按通用条款规定为合同</w:t>
      </w:r>
      <w:r>
        <w:rPr>
          <w:rFonts w:hint="eastAsia" w:ascii="仿宋_GB2312" w:hAnsi="仿宋_GB2312" w:eastAsia="仿宋_GB2312" w:cs="仿宋_GB2312"/>
          <w:color w:val="auto"/>
          <w:kern w:val="0"/>
          <w:sz w:val="24"/>
          <w:szCs w:val="24"/>
          <w:highlight w:val="none"/>
          <w:lang w:val="en-US" w:eastAsia="zh-CN"/>
        </w:rPr>
        <w:t>价款</w:t>
      </w:r>
      <w:r>
        <w:rPr>
          <w:rFonts w:hint="eastAsia" w:ascii="仿宋_GB2312" w:hAnsi="仿宋_GB2312" w:eastAsia="仿宋_GB2312" w:cs="仿宋_GB2312"/>
          <w:color w:val="auto"/>
          <w:kern w:val="0"/>
          <w:sz w:val="24"/>
          <w:szCs w:val="24"/>
          <w:highlight w:val="none"/>
        </w:rPr>
        <w:t xml:space="preserve">的3%(采用银行保函)，即 </w:t>
      </w:r>
      <w:permStart w:id="355"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ermEnd w:id="355"/>
      <w:r>
        <w:rPr>
          <w:rFonts w:hint="eastAsia" w:ascii="仿宋_GB2312" w:hAnsi="仿宋_GB2312" w:eastAsia="仿宋_GB2312" w:cs="仿宋_GB2312"/>
          <w:color w:val="auto"/>
          <w:kern w:val="0"/>
          <w:sz w:val="24"/>
          <w:szCs w:val="24"/>
          <w:highlight w:val="none"/>
        </w:rPr>
        <w:t>元。</w:t>
      </w:r>
    </w:p>
    <w:p w14:paraId="75D3811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质量保证金为审定后结算价的3%。   </w:t>
      </w:r>
    </w:p>
    <w:p w14:paraId="75033A4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 质量保证金的扣留</w:t>
      </w:r>
    </w:p>
    <w:p w14:paraId="02860BD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按通用条款的规定，按每支付期应支付给承包人的进度款和结算款的3%扣留。</w:t>
      </w:r>
    </w:p>
    <w:p w14:paraId="0F84FE5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按应支付给承包人的审定后结算价的3%扣留。质量缺陷期满后，在收到承包人退还申请的14日内无息退还。 </w:t>
      </w:r>
      <w:bookmarkStart w:id="704" w:name="_Toc469384134"/>
      <w:bookmarkStart w:id="705" w:name="_Toc10624978"/>
    </w:p>
    <w:p w14:paraId="6FE40C51">
      <w:pPr>
        <w:spacing w:line="420" w:lineRule="exact"/>
        <w:rPr>
          <w:rFonts w:hint="eastAsia" w:ascii="仿宋_GB2312" w:hAnsi="仿宋_GB2312" w:eastAsia="仿宋_GB2312" w:cs="仿宋_GB2312"/>
          <w:color w:val="auto"/>
          <w:kern w:val="0"/>
          <w:sz w:val="24"/>
          <w:szCs w:val="24"/>
          <w:highlight w:val="none"/>
        </w:rPr>
      </w:pPr>
    </w:p>
    <w:p w14:paraId="01E3A62E">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85. 最终清算款</w:t>
      </w:r>
      <w:bookmarkEnd w:id="704"/>
      <w:bookmarkEnd w:id="705"/>
    </w:p>
    <w:p w14:paraId="713E637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85.1 提交最终清算支付申请</w:t>
      </w:r>
    </w:p>
    <w:p w14:paraId="3F83623F">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 最终清算支付申请</w:t>
      </w:r>
    </w:p>
    <w:p w14:paraId="5A7E76A8">
      <w:pPr>
        <w:spacing w:line="420" w:lineRule="exact"/>
        <w:ind w:firstLine="48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提交份数：</w:t>
      </w:r>
      <w:r>
        <w:rPr>
          <w:rFonts w:hint="eastAsia" w:ascii="仿宋_GB2312" w:hAnsi="仿宋_GB2312" w:eastAsia="仿宋_GB2312" w:cs="仿宋_GB2312"/>
          <w:color w:val="auto"/>
          <w:kern w:val="0"/>
          <w:sz w:val="24"/>
          <w:szCs w:val="24"/>
          <w:highlight w:val="none"/>
          <w:u w:val="single"/>
        </w:rPr>
        <w:t xml:space="preserve">   2份。        </w:t>
      </w:r>
    </w:p>
    <w:p w14:paraId="3DCA18B3">
      <w:pPr>
        <w:spacing w:line="420" w:lineRule="exact"/>
        <w:ind w:firstLine="48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提交期限：</w:t>
      </w:r>
      <w:r>
        <w:rPr>
          <w:rFonts w:hint="eastAsia" w:ascii="仿宋_GB2312" w:hAnsi="仿宋_GB2312" w:eastAsia="仿宋_GB2312" w:cs="仿宋_GB2312"/>
          <w:color w:val="auto"/>
          <w:kern w:val="0"/>
          <w:sz w:val="24"/>
          <w:szCs w:val="24"/>
          <w:highlight w:val="none"/>
          <w:u w:val="single"/>
        </w:rPr>
        <w:t xml:space="preserve">    按第85.2、85.5款办理。       </w:t>
      </w:r>
    </w:p>
    <w:p w14:paraId="0953CE95">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(2)  最终清算支付时限</w:t>
      </w:r>
    </w:p>
    <w:p w14:paraId="58783FA5">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按通用条款的规定，在造价工程师签发最终清算支付证书后的14天内。</w:t>
      </w:r>
    </w:p>
    <w:p w14:paraId="7899193A">
      <w:pPr>
        <w:spacing w:line="420" w:lineRule="exact"/>
        <w:ind w:firstLine="44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                                                                </w:t>
      </w:r>
    </w:p>
    <w:p w14:paraId="62C59BF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85.7 相关计价文件的有效性</w:t>
      </w:r>
    </w:p>
    <w:p w14:paraId="5AC791E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本合同中涉及的相关计价、价格文件，如遇上级部门最新调整的，则按最新版执行。</w:t>
      </w:r>
    </w:p>
    <w:p w14:paraId="0EECE8A4">
      <w:pPr>
        <w:widowControl w:val="0"/>
        <w:spacing w:after="120"/>
        <w:ind w:firstLine="440"/>
        <w:jc w:val="both"/>
        <w:rPr>
          <w:rFonts w:hint="eastAsia" w:ascii="仿宋_GB2312" w:hAnsi="仿宋_GB2312" w:eastAsia="仿宋_GB2312" w:cs="仿宋_GB2312"/>
          <w:color w:val="auto"/>
          <w:kern w:val="0"/>
          <w:sz w:val="24"/>
          <w:szCs w:val="24"/>
          <w:highlight w:val="none"/>
          <w:lang w:val="en-US" w:eastAsia="zh-CN" w:bidi="ar-SA"/>
        </w:rPr>
      </w:pPr>
    </w:p>
    <w:p w14:paraId="09D4FCAD">
      <w:pPr>
        <w:widowControl w:val="0"/>
        <w:numPr>
          <w:ilvl w:val="0"/>
          <w:numId w:val="0"/>
        </w:numPr>
        <w:tabs>
          <w:tab w:val="left" w:pos="420"/>
          <w:tab w:val="left" w:pos="576"/>
        </w:tabs>
        <w:spacing w:before="260" w:line="420" w:lineRule="exact"/>
        <w:ind w:left="576" w:hanging="576"/>
        <w:jc w:val="left"/>
        <w:outlineLvl w:val="1"/>
        <w:rPr>
          <w:rFonts w:hint="eastAsia" w:ascii="黑体" w:hAnsi="黑体" w:eastAsia="黑体" w:cs="黑体"/>
          <w:b w:val="0"/>
          <w:bCs w:val="0"/>
          <w:color w:val="auto"/>
          <w:kern w:val="0"/>
          <w:sz w:val="24"/>
          <w:szCs w:val="24"/>
          <w:highlight w:val="none"/>
          <w:lang w:val="en-US" w:eastAsia="zh-CN" w:bidi="ar-SA"/>
        </w:rPr>
      </w:pPr>
      <w:bookmarkStart w:id="706" w:name="_Toc469384135"/>
      <w:bookmarkStart w:id="707" w:name="_Toc10624979"/>
      <w:r>
        <w:rPr>
          <w:rFonts w:hint="eastAsia" w:ascii="黑体" w:hAnsi="黑体" w:eastAsia="黑体" w:cs="黑体"/>
          <w:b w:val="0"/>
          <w:bCs w:val="0"/>
          <w:color w:val="auto"/>
          <w:kern w:val="0"/>
          <w:sz w:val="24"/>
          <w:szCs w:val="24"/>
          <w:highlight w:val="none"/>
          <w:lang w:val="en-US" w:eastAsia="zh-CN" w:bidi="ar-SA"/>
        </w:rPr>
        <w:t>86. 合同争议</w:t>
      </w:r>
      <w:bookmarkEnd w:id="706"/>
      <w:bookmarkEnd w:id="707"/>
    </w:p>
    <w:p w14:paraId="0856124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86.4 调解或认定</w:t>
      </w:r>
    </w:p>
    <w:p w14:paraId="7CF725D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争议调解或认定机构：</w:t>
      </w:r>
    </w:p>
    <w:p w14:paraId="34623ED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按通用条款的规定。</w:t>
      </w:r>
    </w:p>
    <w:p w14:paraId="3B7E7C4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另有约定：</w:t>
      </w:r>
    </w:p>
    <w:p w14:paraId="380B8F4C">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u w:val="single"/>
        </w:rPr>
        <w:t xml:space="preserve"> 按通用条款的规定。  </w:t>
      </w:r>
    </w:p>
    <w:p w14:paraId="797E84E1">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kern w:val="0"/>
          <w:sz w:val="24"/>
          <w:szCs w:val="24"/>
          <w:highlight w:val="none"/>
          <w:u w:val="single"/>
        </w:rPr>
        <w:t xml:space="preserve"> 按通用条款的规定。  </w:t>
      </w:r>
    </w:p>
    <w:p w14:paraId="3BC8BF9B">
      <w:pPr>
        <w:spacing w:line="420" w:lineRule="exact"/>
        <w:ind w:firstLine="480" w:firstLineChars="20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（3）</w:t>
      </w:r>
      <w:r>
        <w:rPr>
          <w:rFonts w:hint="eastAsia" w:ascii="仿宋_GB2312" w:hAnsi="仿宋_GB2312" w:eastAsia="仿宋_GB2312" w:cs="仿宋_GB2312"/>
          <w:color w:val="auto"/>
          <w:kern w:val="0"/>
          <w:sz w:val="24"/>
          <w:szCs w:val="24"/>
          <w:highlight w:val="none"/>
          <w:u w:val="single"/>
        </w:rPr>
        <w:t xml:space="preserve"> 对于工程造价相关的争议，自争议发生之日起3个月内如合同双方仍无法协商达成一致的，应当将相关资料提交到项目发生地所属定额站，并根据相关定额站的认定意见进行处理。</w:t>
      </w:r>
    </w:p>
    <w:p w14:paraId="3B2257F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86.6 仲裁或诉讼</w:t>
      </w:r>
    </w:p>
    <w:p w14:paraId="6516725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解决争议的最终方式：</w:t>
      </w:r>
    </w:p>
    <w:p w14:paraId="4BA7D09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向广州仲裁委员会申请仲裁。</w:t>
      </w:r>
    </w:p>
    <w:p w14:paraId="48029A4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向工程所在地有管辖权的人民法院提起诉讼。</w:t>
      </w:r>
      <w:bookmarkStart w:id="708" w:name="_Toc469384136"/>
      <w:bookmarkStart w:id="709" w:name="_Toc10624980"/>
    </w:p>
    <w:p w14:paraId="69DDD42A">
      <w:pPr>
        <w:spacing w:line="420" w:lineRule="exact"/>
        <w:rPr>
          <w:rFonts w:hint="eastAsia" w:ascii="仿宋_GB2312" w:hAnsi="仿宋_GB2312" w:eastAsia="仿宋_GB2312" w:cs="仿宋_GB2312"/>
          <w:color w:val="auto"/>
          <w:kern w:val="0"/>
          <w:sz w:val="24"/>
          <w:szCs w:val="24"/>
          <w:highlight w:val="none"/>
        </w:rPr>
      </w:pPr>
    </w:p>
    <w:p w14:paraId="43CA1892">
      <w:p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90. 承包人的违约责任</w:t>
      </w:r>
    </w:p>
    <w:p w14:paraId="293929C4">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未履行或未按时履行或未按质履行合同约定义务时（合同另有约定除外），承包人须向发包人支付违约金，或发包人有权从应支付给承包人的工程款中直接抵扣，承包人不得有异议。二次限期改正责任相当于一次一般违约；三次一般违约责任相当于一次严重违约；承包人在合同期内累计三次严重违约，发包人有权单方解除部分或全部合同，本合同条款中将部分合同或全部合同解除后，发包人有权按有关规定另行选择承包人。</w:t>
      </w:r>
    </w:p>
    <w:p w14:paraId="19D13EB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1）限期改正：承包人未履行或未按时履行或未按质履行义务时，监理工程师应发出书面通知，并要求承包人必须在7天内履行义务或整改完毕。</w:t>
      </w:r>
    </w:p>
    <w:p w14:paraId="1205AAE3">
      <w:pPr>
        <w:spacing w:line="420" w:lineRule="exact"/>
        <w:ind w:left="218" w:leftChars="104"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2）一般违约责任：承包人违反本合同的约定须承担一般违约责任时，应当支付发包人合同价款人民币</w:t>
      </w:r>
      <w:permStart w:id="356" w:edGrp="everyone"/>
      <w:r>
        <w:rPr>
          <w:rFonts w:hint="eastAsia" w:ascii="仿宋_GB2312" w:hAnsi="仿宋_GB2312" w:eastAsia="仿宋_GB2312" w:cs="仿宋_GB2312"/>
          <w:color w:val="auto"/>
          <w:kern w:val="0"/>
          <w:sz w:val="24"/>
          <w:szCs w:val="24"/>
          <w:highlight w:val="none"/>
          <w:u w:val="single"/>
        </w:rPr>
        <w:t xml:space="preserve">1万元/次 </w:t>
      </w:r>
      <w:permEnd w:id="356"/>
      <w:r>
        <w:rPr>
          <w:rFonts w:hint="eastAsia" w:ascii="仿宋_GB2312" w:hAnsi="仿宋_GB2312" w:eastAsia="仿宋_GB2312" w:cs="仿宋_GB2312"/>
          <w:color w:val="auto"/>
          <w:kern w:val="0"/>
          <w:sz w:val="24"/>
          <w:szCs w:val="24"/>
          <w:highlight w:val="none"/>
        </w:rPr>
        <w:t>作为违约金；若承包人再犯性质相同的违约责任，第2次支付发包人合同价款人民币</w:t>
      </w:r>
      <w:permStart w:id="357" w:edGrp="everyone"/>
      <w:r>
        <w:rPr>
          <w:rFonts w:hint="eastAsia" w:ascii="仿宋_GB2312" w:hAnsi="仿宋_GB2312" w:eastAsia="仿宋_GB2312" w:cs="仿宋_GB2312"/>
          <w:color w:val="auto"/>
          <w:kern w:val="0"/>
          <w:sz w:val="24"/>
          <w:szCs w:val="24"/>
          <w:highlight w:val="none"/>
          <w:u w:val="single"/>
        </w:rPr>
        <w:t xml:space="preserve"> 1.5万元  </w:t>
      </w:r>
      <w:permEnd w:id="357"/>
      <w:r>
        <w:rPr>
          <w:rFonts w:hint="eastAsia" w:ascii="仿宋_GB2312" w:hAnsi="仿宋_GB2312" w:eastAsia="仿宋_GB2312" w:cs="仿宋_GB2312"/>
          <w:color w:val="auto"/>
          <w:kern w:val="0"/>
          <w:sz w:val="24"/>
          <w:szCs w:val="24"/>
          <w:highlight w:val="none"/>
        </w:rPr>
        <w:t>作为违约金，2次以上（不含本数）按合同价款</w:t>
      </w:r>
      <w:r>
        <w:rPr>
          <w:rFonts w:hint="eastAsia" w:ascii="仿宋_GB2312" w:hAnsi="仿宋_GB2312" w:eastAsia="仿宋_GB2312" w:cs="仿宋_GB2312"/>
          <w:color w:val="auto"/>
          <w:kern w:val="0"/>
          <w:sz w:val="24"/>
          <w:szCs w:val="24"/>
          <w:highlight w:val="none"/>
          <w:u w:val="single"/>
        </w:rPr>
        <w:t xml:space="preserve"> </w:t>
      </w:r>
      <w:permStart w:id="358" w:edGrp="everyone"/>
      <w:r>
        <w:rPr>
          <w:rFonts w:hint="eastAsia" w:ascii="仿宋_GB2312" w:hAnsi="仿宋_GB2312" w:eastAsia="仿宋_GB2312" w:cs="仿宋_GB2312"/>
          <w:color w:val="auto"/>
          <w:kern w:val="0"/>
          <w:sz w:val="24"/>
          <w:szCs w:val="24"/>
          <w:highlight w:val="none"/>
          <w:u w:val="single"/>
        </w:rPr>
        <w:t>2万元/次</w:t>
      </w:r>
      <w:permEnd w:id="358"/>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支付发包人作为违约金。</w:t>
      </w:r>
    </w:p>
    <w:p w14:paraId="31B9ED32">
      <w:pPr>
        <w:spacing w:line="420" w:lineRule="exact"/>
        <w:ind w:left="218" w:leftChars="104"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3）严重违约责任：承包人违反本合同的约定须承担严重违约责任时，应当支付发包人合同价款人民币</w:t>
      </w:r>
      <w:permStart w:id="359" w:edGrp="everyone"/>
      <w:r>
        <w:rPr>
          <w:rFonts w:hint="eastAsia" w:ascii="仿宋_GB2312" w:hAnsi="仿宋_GB2312" w:eastAsia="仿宋_GB2312" w:cs="仿宋_GB2312"/>
          <w:color w:val="auto"/>
          <w:kern w:val="0"/>
          <w:sz w:val="24"/>
          <w:szCs w:val="24"/>
          <w:highlight w:val="none"/>
          <w:u w:val="single"/>
        </w:rPr>
        <w:t xml:space="preserve">5万元/次 </w:t>
      </w:r>
      <w:permEnd w:id="359"/>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作为违约金。</w:t>
      </w:r>
    </w:p>
    <w:p w14:paraId="31D23BAE">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解除部分合同：当承包人违反本合同的约定符合解除部分合同的条件时，发包人有权向承包人发出书面解除部分合同的通知，该通知在送达承包人时部分解除合同即生效。部分解除合同的法律后果按照第87条的相关约定执行。</w:t>
      </w:r>
    </w:p>
    <w:p w14:paraId="68AC2A3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解除合同：当承包人违反本合同的约定符合解除全部合同的条件时，发包人有权向承包人发出书面解除全部合同的通知，该通知在送达承包人时解除合同即生效。解除合同的法律后果按照第87条的相关约定执行。</w:t>
      </w:r>
    </w:p>
    <w:p w14:paraId="6D8D1275">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违反第49条、第50条、第51条的约定使用了不合格材料或工程设备，工程质量达不到标准要求，又拒绝清除不合格工程，监理工程师可向承包人发出整改通知，要求其在指定的期限内改正。承包人应承担其违约所引起的费用增加和（或）工期延误。</w:t>
      </w:r>
    </w:p>
    <w:p w14:paraId="30AD5EAE">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承包人未能按合同进度计划及时完成合同约定的工作，已造成或预期造成工期延误，监理工程师可向承包人发出整改通知，要求其在指定的期限内改正。承包人应承担其违约所引起的费用增加和（或）工期延误。</w:t>
      </w:r>
    </w:p>
    <w:p w14:paraId="6FC2AEEE">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承包人在缺陷责任期内，未能对工程接收证书所列的缺陷清单的内容或缺陷责任期内发生的缺陷进行修复，而又拒绝按监理工程师指示再进行修补，监理工程师可向承包人发出整改通知，要求其在指定的期限内改正。承包人应承担其违约所引起的费用增加和（或）工期延误。</w:t>
      </w:r>
    </w:p>
    <w:p w14:paraId="12DE2157">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（5）承包人无法继续履行或明确表示不履行或实质上已停止履行合同，发包人可通知承包人立即解除合同，并按有关法律处理。</w:t>
      </w:r>
    </w:p>
    <w:p w14:paraId="07CA1C4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监理工程师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6C19C84F">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在工程实施期间或缺陷责任期内发生危及工程安全的事件，监理工程师通知承包人进行抢救，承包人声明无能力或不愿立即执行的，发包人有权雇佣其他人员进行抢救。此类抢救按合同约定属于承包人义务的，由此发生的金额和（或）工期延误由承包人承担。</w:t>
      </w:r>
    </w:p>
    <w:p w14:paraId="1029E680">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（8）承包人未按发包人或监理工程师开工令要求时间开工的，每迟延开工1天，应向发包人支付违约金</w:t>
      </w:r>
      <w:permStart w:id="360" w:edGrp="everyone"/>
      <w:r>
        <w:rPr>
          <w:rFonts w:hint="eastAsia" w:ascii="仿宋_GB2312" w:hAnsi="仿宋_GB2312" w:eastAsia="仿宋_GB2312" w:cs="仿宋_GB2312"/>
          <w:color w:val="auto"/>
          <w:kern w:val="0"/>
          <w:sz w:val="24"/>
          <w:szCs w:val="24"/>
          <w:highlight w:val="none"/>
          <w:u w:val="single"/>
        </w:rPr>
        <w:t xml:space="preserve">  1万元  </w:t>
      </w:r>
      <w:permEnd w:id="360"/>
      <w:r>
        <w:rPr>
          <w:rFonts w:hint="eastAsia" w:ascii="仿宋_GB2312" w:hAnsi="仿宋_GB2312" w:eastAsia="仿宋_GB2312" w:cs="仿宋_GB2312"/>
          <w:color w:val="auto"/>
          <w:kern w:val="0"/>
          <w:sz w:val="24"/>
          <w:szCs w:val="24"/>
          <w:highlight w:val="none"/>
        </w:rPr>
        <w:t>；迟延开工超过30天的，发包人有权根据实际情况单方面解除合同。</w:t>
      </w:r>
    </w:p>
    <w:p w14:paraId="46231F5C">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承包人不能按照协议书约定的竣工日期或工程师同意顺延的工期竣工，延误的工期每延误</w:t>
      </w:r>
      <w:permStart w:id="361" w:edGrp="everyone"/>
      <w:r>
        <w:rPr>
          <w:rFonts w:hint="eastAsia" w:ascii="仿宋_GB2312" w:hAnsi="仿宋_GB2312" w:eastAsia="仿宋_GB2312" w:cs="仿宋_GB2312"/>
          <w:color w:val="auto"/>
          <w:kern w:val="0"/>
          <w:sz w:val="24"/>
          <w:szCs w:val="24"/>
          <w:highlight w:val="none"/>
          <w:u w:val="single"/>
        </w:rPr>
        <w:t>1天</w:t>
      </w:r>
      <w:permEnd w:id="361"/>
      <w:r>
        <w:rPr>
          <w:rFonts w:hint="eastAsia" w:ascii="仿宋_GB2312" w:hAnsi="仿宋_GB2312" w:eastAsia="仿宋_GB2312" w:cs="仿宋_GB2312"/>
          <w:color w:val="auto"/>
          <w:kern w:val="0"/>
          <w:sz w:val="24"/>
          <w:szCs w:val="24"/>
          <w:highlight w:val="none"/>
        </w:rPr>
        <w:t>，应向发包人支付本工程合同价款的</w:t>
      </w:r>
      <w:permStart w:id="362" w:edGrp="everyone"/>
      <w:r>
        <w:rPr>
          <w:rFonts w:hint="eastAsia" w:ascii="仿宋_GB2312" w:hAnsi="仿宋_GB2312" w:eastAsia="仿宋_GB2312" w:cs="仿宋_GB2312"/>
          <w:color w:val="auto"/>
          <w:kern w:val="0"/>
          <w:sz w:val="24"/>
          <w:szCs w:val="24"/>
          <w:highlight w:val="none"/>
          <w:u w:val="single"/>
        </w:rPr>
        <w:t xml:space="preserve">  1.5%  </w:t>
      </w:r>
      <w:permEnd w:id="362"/>
      <w:r>
        <w:rPr>
          <w:rFonts w:hint="eastAsia" w:ascii="仿宋_GB2312" w:hAnsi="仿宋_GB2312" w:eastAsia="仿宋_GB2312" w:cs="仿宋_GB2312"/>
          <w:color w:val="auto"/>
          <w:kern w:val="0"/>
          <w:sz w:val="24"/>
          <w:szCs w:val="24"/>
          <w:highlight w:val="none"/>
        </w:rPr>
        <w:t xml:space="preserve">作为违约金，且不低于每天1万元，误期赔偿限额为合同价款的 </w:t>
      </w:r>
      <w:permStart w:id="363" w:edGrp="everyone"/>
      <w:r>
        <w:rPr>
          <w:rFonts w:hint="eastAsia" w:ascii="仿宋_GB2312" w:hAnsi="仿宋_GB2312" w:eastAsia="仿宋_GB2312" w:cs="仿宋_GB2312"/>
          <w:color w:val="auto"/>
          <w:kern w:val="0"/>
          <w:sz w:val="24"/>
          <w:szCs w:val="24"/>
          <w:highlight w:val="none"/>
          <w:u w:val="single"/>
        </w:rPr>
        <w:t xml:space="preserve">20% </w:t>
      </w:r>
      <w:permEnd w:id="363"/>
      <w:r>
        <w:rPr>
          <w:rFonts w:hint="eastAsia" w:ascii="仿宋_GB2312" w:hAnsi="仿宋_GB2312" w:eastAsia="仿宋_GB2312" w:cs="仿宋_GB2312"/>
          <w:color w:val="auto"/>
          <w:kern w:val="0"/>
          <w:sz w:val="24"/>
          <w:szCs w:val="24"/>
          <w:highlight w:val="none"/>
        </w:rPr>
        <w:t>；延误工期超过30天的，发包人有权解除合同，将本工程另行发包，并不免除承包人的违约赔偿责任。</w:t>
      </w:r>
    </w:p>
    <w:p w14:paraId="54AE6C84">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对各工序必须报验核查质量控制点。如承包人申请报验后，经监理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14:paraId="036CCCD3">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（10）工程竣工验收达不到合同约定的质量标准的，承包人向发包人支付审定结算总价的</w:t>
      </w:r>
      <w:permStart w:id="364" w:edGrp="everyone"/>
      <w:r>
        <w:rPr>
          <w:rFonts w:hint="eastAsia" w:ascii="仿宋_GB2312" w:hAnsi="仿宋_GB2312" w:eastAsia="仿宋_GB2312" w:cs="仿宋_GB2312"/>
          <w:color w:val="auto"/>
          <w:kern w:val="0"/>
          <w:sz w:val="24"/>
          <w:szCs w:val="24"/>
          <w:highlight w:val="none"/>
          <w:u w:val="single"/>
        </w:rPr>
        <w:t xml:space="preserve"> 2% </w:t>
      </w:r>
      <w:permEnd w:id="364"/>
      <w:r>
        <w:rPr>
          <w:rFonts w:hint="eastAsia" w:ascii="仿宋_GB2312" w:hAnsi="仿宋_GB2312" w:eastAsia="仿宋_GB2312" w:cs="仿宋_GB2312"/>
          <w:color w:val="auto"/>
          <w:kern w:val="0"/>
          <w:sz w:val="24"/>
          <w:szCs w:val="24"/>
          <w:highlight w:val="none"/>
        </w:rPr>
        <w:t>作为违约金。</w:t>
      </w:r>
    </w:p>
    <w:p w14:paraId="6DF4EA57">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（11）工程保修期内发现质量不合格，承包人必须在规定的期限返工并达到合同约定的质量等级，并向发包人支付按该不合格项目所处分项工程造价的</w:t>
      </w:r>
      <w:permStart w:id="365" w:edGrp="everyone"/>
      <w:r>
        <w:rPr>
          <w:rFonts w:hint="eastAsia" w:ascii="仿宋_GB2312" w:hAnsi="仿宋_GB2312" w:eastAsia="仿宋_GB2312" w:cs="仿宋_GB2312"/>
          <w:color w:val="auto"/>
          <w:kern w:val="0"/>
          <w:sz w:val="24"/>
          <w:szCs w:val="24"/>
          <w:highlight w:val="none"/>
          <w:u w:val="single"/>
        </w:rPr>
        <w:t xml:space="preserve"> 3%</w:t>
      </w:r>
      <w:permEnd w:id="365"/>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作为违约金。</w:t>
      </w:r>
    </w:p>
    <w:p w14:paraId="6095AEAE">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（12）承包人应协助发包人办理有关工程报建手续。若因施工单位的原因导致工程受影响，造成发包人的经济损失，由施工单位承担全部的经济和法律责任。</w:t>
      </w:r>
    </w:p>
    <w:p w14:paraId="382FBA82">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监理工程师按照第49.9款约定抽查承包人的工程材料时，发现所检查的材料与该条款约定的标准的任何一项不符合时，承包人除必须全部退货、返工，并赔偿由此造成的损失外，承包人应当按照该批次材料的价值，按照如下方式承担违约责任：</w:t>
      </w:r>
    </w:p>
    <w:p w14:paraId="0E5FBCE3">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1）单宗或批次材料价值在10万元以上100万元以下（含100万元），承包人承担1次一般违约责任。</w:t>
      </w:r>
    </w:p>
    <w:p w14:paraId="7AD71B99">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2）单宗或批次材料价值100-200万元（含200万元），承包人承担1次严重违约责任。</w:t>
      </w:r>
    </w:p>
    <w:p w14:paraId="19440851">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3）单宗或批次材料价值在200万元以上的，发包人有权部分解除合同或全部解除合同，并要求承包人赔偿发包人由此遭受的实际损失。</w:t>
      </w:r>
    </w:p>
    <w:p w14:paraId="29D41F7E">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4）对于单宗或批次材料价值不高于10万元的（含10万元），但累计抽检不合格达5次，承包人承担1次一般违约责任。</w:t>
      </w:r>
    </w:p>
    <w:p w14:paraId="379F84E9">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承包人不按文明施工要求和规定进行施工，在发包人发出通知2日内，承包人应按要求进行整改，如承包人不整改或整改后仍达不到要求的，监理人有权委托第三人进行整改，所发生的费用由承包人承担，发包人可在应付的合同费用或履约保证金内直接抵扣。</w:t>
      </w:r>
    </w:p>
    <w:p w14:paraId="00BE9F7C">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（15）承包人应根据进度同步组织、整理档案资料，经发包人定期或不定期检查确定档案资料与进度不符且未在发包人发出书面整改通知的30天内落实整改的，承包人每次应支付发包人合同价的</w:t>
      </w:r>
      <w:permStart w:id="366" w:edGrp="everyone"/>
      <w:r>
        <w:rPr>
          <w:rFonts w:hint="eastAsia" w:ascii="仿宋_GB2312" w:hAnsi="仿宋_GB2312" w:eastAsia="仿宋_GB2312" w:cs="仿宋_GB2312"/>
          <w:color w:val="auto"/>
          <w:kern w:val="0"/>
          <w:sz w:val="24"/>
          <w:szCs w:val="24"/>
          <w:highlight w:val="none"/>
          <w:u w:val="single"/>
        </w:rPr>
        <w:t xml:space="preserve"> 0.01% </w:t>
      </w:r>
      <w:permEnd w:id="366"/>
      <w:r>
        <w:rPr>
          <w:rFonts w:hint="eastAsia" w:ascii="仿宋_GB2312" w:hAnsi="仿宋_GB2312" w:eastAsia="仿宋_GB2312" w:cs="仿宋_GB2312"/>
          <w:color w:val="auto"/>
          <w:kern w:val="0"/>
          <w:sz w:val="24"/>
          <w:szCs w:val="24"/>
          <w:highlight w:val="none"/>
        </w:rPr>
        <w:t>作为违约金。如承包人未能如期完成竣工资料、结算资料等工程档案的移交手续，每逾期一天向发包人支付合同价款的</w:t>
      </w:r>
      <w:permStart w:id="367" w:edGrp="everyone"/>
      <w:r>
        <w:rPr>
          <w:rFonts w:hint="eastAsia" w:ascii="仿宋_GB2312" w:hAnsi="仿宋_GB2312" w:eastAsia="仿宋_GB2312" w:cs="仿宋_GB2312"/>
          <w:color w:val="auto"/>
          <w:kern w:val="0"/>
          <w:sz w:val="24"/>
          <w:szCs w:val="24"/>
          <w:highlight w:val="none"/>
          <w:u w:val="single"/>
        </w:rPr>
        <w:t xml:space="preserve"> 1.5‰ </w:t>
      </w:r>
      <w:permEnd w:id="367"/>
      <w:r>
        <w:rPr>
          <w:rFonts w:hint="eastAsia" w:ascii="仿宋_GB2312" w:hAnsi="仿宋_GB2312" w:eastAsia="仿宋_GB2312" w:cs="仿宋_GB2312"/>
          <w:color w:val="auto"/>
          <w:kern w:val="0"/>
          <w:sz w:val="24"/>
          <w:szCs w:val="24"/>
          <w:highlight w:val="none"/>
        </w:rPr>
        <w:t>作为违约金，若因承包人的原因致使发包人未能按照国家规定向政府有关部门移交工程竣工档案而受到经济处罚的，由承包人承担全额赔偿责任。</w:t>
      </w:r>
    </w:p>
    <w:p w14:paraId="2BD472B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建设管理方（如有）定期对主要管理和技术人员的到位情况进行检查；若无正当理由、未经建设管理方同意更换承包人代表（负责人）或承包人代表（负责人）未按要求在施工现场进行施工管理工作的，则无条件接受发包人和建设管理方经济处罚，将从合同总价中扣减</w:t>
      </w:r>
      <w:permStart w:id="368" w:edGrp="everyone"/>
      <w:r>
        <w:rPr>
          <w:rFonts w:hint="eastAsia" w:ascii="仿宋_GB2312" w:hAnsi="仿宋_GB2312" w:eastAsia="仿宋_GB2312" w:cs="仿宋_GB2312"/>
          <w:color w:val="auto"/>
          <w:kern w:val="0"/>
          <w:sz w:val="24"/>
          <w:szCs w:val="24"/>
          <w:highlight w:val="none"/>
          <w:u w:val="single"/>
        </w:rPr>
        <w:t xml:space="preserve"> 50万元/人/次 </w:t>
      </w:r>
      <w:permEnd w:id="368"/>
      <w:r>
        <w:rPr>
          <w:rFonts w:hint="eastAsia" w:ascii="仿宋_GB2312" w:hAnsi="仿宋_GB2312" w:eastAsia="仿宋_GB2312" w:cs="仿宋_GB2312"/>
          <w:color w:val="auto"/>
          <w:kern w:val="0"/>
          <w:sz w:val="24"/>
          <w:szCs w:val="24"/>
          <w:highlight w:val="none"/>
        </w:rPr>
        <w:t>的扣款（具体由发包人视工程重要程度和合同额按</w:t>
      </w:r>
      <w:r>
        <w:rPr>
          <w:rFonts w:hint="eastAsia" w:ascii="仿宋_GB2312" w:hAnsi="仿宋_GB2312" w:eastAsia="仿宋_GB2312" w:cs="仿宋_GB2312"/>
          <w:color w:val="auto"/>
          <w:kern w:val="0"/>
          <w:sz w:val="24"/>
          <w:szCs w:val="24"/>
          <w:highlight w:val="none"/>
          <w:u w:val="none"/>
        </w:rPr>
        <w:t xml:space="preserve"> 10-50 万元/人/次约定） </w:t>
      </w:r>
      <w:r>
        <w:rPr>
          <w:rFonts w:hint="eastAsia" w:ascii="仿宋_GB2312" w:hAnsi="仿宋_GB2312" w:eastAsia="仿宋_GB2312" w:cs="仿宋_GB2312"/>
          <w:color w:val="auto"/>
          <w:kern w:val="0"/>
          <w:sz w:val="24"/>
          <w:szCs w:val="24"/>
          <w:highlight w:val="none"/>
        </w:rPr>
        <w:t>（意外身亡、司法拘留情况除外），并按建设管理方要求重新整顿落实。若发现施工现场承包人代表（负责人）和总工每月驻工地时间少于25天，以每月少于25天为一次计算，根据对发包人的影响程度，每次支付合同价款的</w:t>
      </w:r>
      <w:permStart w:id="369" w:edGrp="everyone"/>
      <w:r>
        <w:rPr>
          <w:rFonts w:hint="eastAsia" w:ascii="仿宋_GB2312" w:hAnsi="仿宋_GB2312" w:eastAsia="仿宋_GB2312" w:cs="仿宋_GB2312"/>
          <w:color w:val="auto"/>
          <w:kern w:val="0"/>
          <w:sz w:val="24"/>
          <w:szCs w:val="24"/>
          <w:highlight w:val="none"/>
          <w:u w:val="single"/>
        </w:rPr>
        <w:t xml:space="preserve">  1％ </w:t>
      </w:r>
      <w:permEnd w:id="369"/>
      <w:r>
        <w:rPr>
          <w:rFonts w:hint="eastAsia" w:ascii="仿宋_GB2312" w:hAnsi="仿宋_GB2312" w:eastAsia="仿宋_GB2312" w:cs="仿宋_GB2312"/>
          <w:color w:val="auto"/>
          <w:kern w:val="0"/>
          <w:sz w:val="24"/>
          <w:szCs w:val="24"/>
          <w:highlight w:val="none"/>
        </w:rPr>
        <w:t>作为违约金。若人员、设备、机械设备及检测设备不按照投标书中的承诺投入，根据对发包人的影响程度，每发现一次支付合同价款的</w:t>
      </w:r>
      <w:permStart w:id="370" w:edGrp="everyone"/>
      <w:r>
        <w:rPr>
          <w:rFonts w:hint="eastAsia" w:ascii="仿宋_GB2312" w:hAnsi="仿宋_GB2312" w:eastAsia="仿宋_GB2312" w:cs="仿宋_GB2312"/>
          <w:color w:val="auto"/>
          <w:kern w:val="0"/>
          <w:sz w:val="24"/>
          <w:szCs w:val="24"/>
          <w:highlight w:val="none"/>
          <w:u w:val="single"/>
        </w:rPr>
        <w:t xml:space="preserve">  2％ </w:t>
      </w:r>
      <w:permEnd w:id="370"/>
      <w:r>
        <w:rPr>
          <w:rFonts w:hint="eastAsia" w:ascii="仿宋_GB2312" w:hAnsi="仿宋_GB2312" w:eastAsia="仿宋_GB2312" w:cs="仿宋_GB2312"/>
          <w:color w:val="auto"/>
          <w:kern w:val="0"/>
          <w:sz w:val="24"/>
          <w:szCs w:val="24"/>
          <w:highlight w:val="none"/>
        </w:rPr>
        <w:t>作为违约金。如发现承包人代表及主要负责人兼职情况，经监理工程师核实后，发包人要求立即撤换该人员，承包人承担违约责任并向发包人支付违约金</w:t>
      </w:r>
      <w:permStart w:id="371" w:edGrp="everyone"/>
      <w:r>
        <w:rPr>
          <w:rFonts w:hint="eastAsia" w:ascii="仿宋_GB2312" w:hAnsi="仿宋_GB2312" w:eastAsia="仿宋_GB2312" w:cs="仿宋_GB2312"/>
          <w:color w:val="auto"/>
          <w:kern w:val="0"/>
          <w:sz w:val="24"/>
          <w:szCs w:val="24"/>
          <w:highlight w:val="none"/>
          <w:u w:val="single"/>
        </w:rPr>
        <w:t>10万元/人/次</w:t>
      </w:r>
      <w:permEnd w:id="371"/>
      <w:r>
        <w:rPr>
          <w:rFonts w:hint="eastAsia" w:ascii="仿宋_GB2312" w:hAnsi="仿宋_GB2312" w:eastAsia="仿宋_GB2312" w:cs="仿宋_GB2312"/>
          <w:color w:val="auto"/>
          <w:kern w:val="0"/>
          <w:sz w:val="24"/>
          <w:szCs w:val="24"/>
          <w:highlight w:val="none"/>
        </w:rPr>
        <w:t>。</w:t>
      </w:r>
    </w:p>
    <w:p w14:paraId="2269845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根据《广州市水务局关于印发广州市水务工程施工和监理企业诚信评价管理办法的通知》（穗水规字〔2020〕11号）等有关规定，针对广州市水务投资集团有限公司(以下简称“市水投集团”)全资子公司广州市自来水有限公司组织实施的建设项目，市水投集团对不充分履约或严重违反合同约定的企业，按诚信评价标准对其作出评价，且该评价结果由广州市自来水有限公司直接录入诚信评价信息系统，并运用于建设项目招投标活动中。</w:t>
      </w:r>
    </w:p>
    <w:p w14:paraId="4B93010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（18）工程结算方面的违约</w:t>
      </w:r>
    </w:p>
    <w:p w14:paraId="48354668">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承包人未在合同约定时间内提供完整的工程竣工结算资料，经发包人催促后14天内仍未提供或没有明确答复的或提出不正当理由延期的，发包人有权根据已有资料办理结算，责任由承包人自负，并向发包人支付合同价款的</w:t>
      </w:r>
      <w:permStart w:id="372" w:edGrp="everyone"/>
      <w:r>
        <w:rPr>
          <w:rFonts w:hint="eastAsia" w:ascii="仿宋_GB2312" w:hAnsi="仿宋_GB2312" w:eastAsia="仿宋_GB2312" w:cs="仿宋_GB2312"/>
          <w:color w:val="auto"/>
          <w:kern w:val="0"/>
          <w:sz w:val="24"/>
          <w:szCs w:val="24"/>
          <w:highlight w:val="none"/>
          <w:u w:val="single"/>
        </w:rPr>
        <w:t xml:space="preserve"> 0.1‰/天 </w:t>
      </w:r>
      <w:permEnd w:id="372"/>
      <w:r>
        <w:rPr>
          <w:rFonts w:hint="eastAsia" w:ascii="仿宋_GB2312" w:hAnsi="仿宋_GB2312" w:eastAsia="仿宋_GB2312" w:cs="仿宋_GB2312"/>
          <w:color w:val="auto"/>
          <w:kern w:val="0"/>
          <w:sz w:val="24"/>
          <w:szCs w:val="24"/>
          <w:highlight w:val="none"/>
        </w:rPr>
        <w:t>作为违约金。</w:t>
      </w:r>
    </w:p>
    <w:p w14:paraId="74C15D0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2）若承包人不配合结算审核工作以至工程结算不能按时完成或承包人对终审部门的审核结果拒不确认，则发包人有权根据已有资料，与终审部门共同确认最终的审核结果，责任由承包人自负。</w:t>
      </w:r>
    </w:p>
    <w:p w14:paraId="250626E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承包人未能按照第20.2（8）项约定做好施工场地地下管线和邻近建筑物、构筑物（包括文物保护建筑）、古树名木保护工作的约定的，承包人出现未经相关行政主管部门许可，随意砍伐树木、破坏绿化或文物等行为，所造成的的损失由承包人承担，并向发包人支付合同价款的</w:t>
      </w:r>
      <w:permStart w:id="373" w:edGrp="everyone"/>
      <w:r>
        <w:rPr>
          <w:rFonts w:hint="eastAsia" w:ascii="仿宋_GB2312" w:hAnsi="仿宋_GB2312" w:eastAsia="仿宋_GB2312" w:cs="仿宋_GB2312"/>
          <w:color w:val="auto"/>
          <w:kern w:val="0"/>
          <w:sz w:val="24"/>
          <w:szCs w:val="24"/>
          <w:highlight w:val="none"/>
          <w:u w:val="single"/>
        </w:rPr>
        <w:t xml:space="preserve"> 1% </w:t>
      </w:r>
      <w:permEnd w:id="373"/>
      <w:r>
        <w:rPr>
          <w:rFonts w:hint="eastAsia" w:ascii="仿宋_GB2312" w:hAnsi="仿宋_GB2312" w:eastAsia="仿宋_GB2312" w:cs="仿宋_GB2312"/>
          <w:color w:val="auto"/>
          <w:kern w:val="0"/>
          <w:sz w:val="24"/>
          <w:szCs w:val="24"/>
          <w:highlight w:val="none"/>
        </w:rPr>
        <w:t>作为违约金。</w:t>
      </w:r>
    </w:p>
    <w:p w14:paraId="53FAA005">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（20）由于承包人原因未能按照第20.2（22）项约定如期完成竣工验收及备案工作的，每逾期一天承包人应向发包人支付合同价款的</w:t>
      </w:r>
      <w:permStart w:id="374" w:edGrp="everyone"/>
      <w:r>
        <w:rPr>
          <w:rFonts w:hint="eastAsia" w:ascii="仿宋_GB2312" w:hAnsi="仿宋_GB2312" w:eastAsia="仿宋_GB2312" w:cs="仿宋_GB2312"/>
          <w:color w:val="auto"/>
          <w:kern w:val="0"/>
          <w:sz w:val="24"/>
          <w:szCs w:val="24"/>
          <w:highlight w:val="none"/>
          <w:u w:val="single"/>
        </w:rPr>
        <w:t xml:space="preserve"> 1‰ </w:t>
      </w:r>
      <w:permEnd w:id="374"/>
      <w:r>
        <w:rPr>
          <w:rFonts w:hint="eastAsia" w:ascii="仿宋_GB2312" w:hAnsi="仿宋_GB2312" w:eastAsia="仿宋_GB2312" w:cs="仿宋_GB2312"/>
          <w:color w:val="auto"/>
          <w:kern w:val="0"/>
          <w:sz w:val="24"/>
          <w:szCs w:val="24"/>
          <w:highlight w:val="none"/>
        </w:rPr>
        <w:t>作为违约金。</w:t>
      </w:r>
    </w:p>
    <w:p w14:paraId="3CDF3EC6">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（21）由于承包人原因未能按照第20.2（23）项约定如期完成本工程结算工作的，每逾期一天承包人应向发包人支付合同价款的</w:t>
      </w:r>
      <w:permStart w:id="375" w:edGrp="everyone"/>
      <w:r>
        <w:rPr>
          <w:rFonts w:hint="eastAsia" w:ascii="仿宋_GB2312" w:hAnsi="仿宋_GB2312" w:eastAsia="仿宋_GB2312" w:cs="仿宋_GB2312"/>
          <w:color w:val="auto"/>
          <w:kern w:val="0"/>
          <w:sz w:val="24"/>
          <w:szCs w:val="24"/>
          <w:highlight w:val="none"/>
          <w:u w:val="single"/>
        </w:rPr>
        <w:t xml:space="preserve"> 1‰ </w:t>
      </w:r>
      <w:permEnd w:id="375"/>
      <w:r>
        <w:rPr>
          <w:rFonts w:hint="eastAsia" w:ascii="仿宋_GB2312" w:hAnsi="仿宋_GB2312" w:eastAsia="仿宋_GB2312" w:cs="仿宋_GB2312"/>
          <w:color w:val="auto"/>
          <w:kern w:val="0"/>
          <w:sz w:val="24"/>
          <w:szCs w:val="24"/>
          <w:highlight w:val="none"/>
        </w:rPr>
        <w:t>作为违约金。</w:t>
      </w:r>
    </w:p>
    <w:p w14:paraId="4D071563">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（22）承包人未能按照第20.2（35）项落实生态环境保护相关要求的，发包人或行政主管部门检查发现施工现场环境不合规问题，承包人应支付发包人合同价的</w:t>
      </w:r>
      <w:permStart w:id="376" w:edGrp="everyone"/>
      <w:r>
        <w:rPr>
          <w:rFonts w:hint="eastAsia" w:ascii="仿宋_GB2312" w:hAnsi="仿宋_GB2312" w:eastAsia="仿宋_GB2312" w:cs="仿宋_GB2312"/>
          <w:color w:val="auto"/>
          <w:kern w:val="0"/>
          <w:sz w:val="24"/>
          <w:szCs w:val="24"/>
          <w:highlight w:val="none"/>
          <w:u w:val="single"/>
        </w:rPr>
        <w:t>1‰</w:t>
      </w:r>
      <w:permEnd w:id="376"/>
      <w:r>
        <w:rPr>
          <w:rFonts w:hint="eastAsia" w:ascii="仿宋_GB2312" w:hAnsi="仿宋_GB2312" w:eastAsia="仿宋_GB2312" w:cs="仿宋_GB2312"/>
          <w:color w:val="auto"/>
          <w:kern w:val="0"/>
          <w:sz w:val="24"/>
          <w:szCs w:val="24"/>
          <w:highlight w:val="none"/>
        </w:rPr>
        <w:t>作为违约金。如发现问题后仍未能按规定时  限整改应当向发包人支付合同价款的</w:t>
      </w:r>
      <w:permStart w:id="377" w:edGrp="everyone"/>
      <w:r>
        <w:rPr>
          <w:rFonts w:hint="eastAsia" w:ascii="仿宋_GB2312" w:hAnsi="仿宋_GB2312" w:eastAsia="仿宋_GB2312" w:cs="仿宋_GB2312"/>
          <w:color w:val="auto"/>
          <w:kern w:val="0"/>
          <w:sz w:val="24"/>
          <w:szCs w:val="24"/>
          <w:highlight w:val="none"/>
          <w:u w:val="single"/>
        </w:rPr>
        <w:t>1‰</w:t>
      </w:r>
      <w:permEnd w:id="377"/>
      <w:r>
        <w:rPr>
          <w:rFonts w:hint="eastAsia" w:ascii="仿宋_GB2312" w:hAnsi="仿宋_GB2312" w:eastAsia="仿宋_GB2312" w:cs="仿宋_GB2312"/>
          <w:color w:val="auto"/>
          <w:kern w:val="0"/>
          <w:sz w:val="24"/>
          <w:szCs w:val="24"/>
          <w:highlight w:val="none"/>
        </w:rPr>
        <w:t>作为违约金。</w:t>
      </w:r>
    </w:p>
    <w:p w14:paraId="284072F0">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（23）承包人未能按照第25.6款约定出席发包人组织的工程会议或监理人组织的每周工地例会的，每缺席一次，承包人应向发包人支付</w:t>
      </w:r>
      <w:permStart w:id="378" w:edGrp="everyone"/>
      <w:r>
        <w:rPr>
          <w:rFonts w:hint="eastAsia" w:ascii="仿宋_GB2312" w:hAnsi="仿宋_GB2312" w:eastAsia="仿宋_GB2312" w:cs="仿宋_GB2312"/>
          <w:color w:val="auto"/>
          <w:kern w:val="0"/>
          <w:sz w:val="24"/>
          <w:szCs w:val="24"/>
          <w:highlight w:val="none"/>
          <w:u w:val="single"/>
        </w:rPr>
        <w:t xml:space="preserve"> 2万元/人/次 </w:t>
      </w:r>
      <w:permEnd w:id="378"/>
      <w:r>
        <w:rPr>
          <w:rFonts w:hint="eastAsia" w:ascii="仿宋_GB2312" w:hAnsi="仿宋_GB2312" w:eastAsia="仿宋_GB2312" w:cs="仿宋_GB2312"/>
          <w:color w:val="auto"/>
          <w:kern w:val="0"/>
          <w:sz w:val="24"/>
          <w:szCs w:val="24"/>
          <w:highlight w:val="none"/>
        </w:rPr>
        <w:t>作为违约金。</w:t>
      </w:r>
    </w:p>
    <w:p w14:paraId="2D756763">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24）如发包人或监理人在施工现场考勤检查中，发现管理团队人员的考勤情况未达到每人每月25天或以上的，承包人应支付每人每次1万元作为违约金；如因考勤天数未达上述要求导致缺席发包人组织的工程会议或监理人组织的每周工地例会，承包人除支付考勤违约金外，应当按第90条（23）项约定支付相应的违约金。</w:t>
      </w:r>
    </w:p>
    <w:p w14:paraId="02F1D8B7">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（25）如承包人未经发包人同意擅自更换承包人代表的（包括</w:t>
      </w:r>
      <w:r>
        <w:rPr>
          <w:rFonts w:hint="eastAsia" w:ascii="仿宋_GB2312" w:hAnsi="仿宋_GB2312" w:eastAsia="仿宋_GB2312" w:cs="仿宋_GB2312"/>
          <w:color w:val="auto"/>
          <w:sz w:val="24"/>
          <w:szCs w:val="24"/>
          <w:highlight w:val="none"/>
        </w:rPr>
        <w:t>不能按要求到位累计1个月或以上</w:t>
      </w:r>
      <w:r>
        <w:rPr>
          <w:rFonts w:hint="eastAsia" w:ascii="仿宋_GB2312" w:hAnsi="仿宋_GB2312" w:eastAsia="仿宋_GB2312" w:cs="仿宋_GB2312"/>
          <w:color w:val="auto"/>
          <w:kern w:val="0"/>
          <w:sz w:val="24"/>
          <w:szCs w:val="24"/>
          <w:highlight w:val="none"/>
        </w:rPr>
        <w:t>），或由于承包人代表辞职、调换岗位等除第21.2款约定的情形以外的承包人原因更换承包人代表的，或因承包人代表不胜任发包人要求撤换而承包人拒不撤换的，承包人应向发包人支付</w:t>
      </w:r>
      <w:permStart w:id="379" w:edGrp="everyone"/>
      <w:r>
        <w:rPr>
          <w:rFonts w:hint="eastAsia" w:ascii="仿宋_GB2312" w:hAnsi="仿宋_GB2312" w:eastAsia="仿宋_GB2312" w:cs="仿宋_GB2312"/>
          <w:color w:val="auto"/>
          <w:kern w:val="0"/>
          <w:sz w:val="24"/>
          <w:szCs w:val="24"/>
          <w:highlight w:val="none"/>
          <w:u w:val="single"/>
        </w:rPr>
        <w:t>50万元/人/次</w:t>
      </w:r>
      <w:permEnd w:id="379"/>
      <w:r>
        <w:rPr>
          <w:rFonts w:hint="eastAsia" w:ascii="仿宋_GB2312" w:hAnsi="仿宋_GB2312" w:eastAsia="仿宋_GB2312" w:cs="仿宋_GB2312"/>
          <w:color w:val="auto"/>
          <w:kern w:val="0"/>
          <w:sz w:val="24"/>
          <w:szCs w:val="24"/>
          <w:highlight w:val="none"/>
        </w:rPr>
        <w:t>（具体由发包人视工程重要程度和合同金额按10-50 万元/人次约定）作为违约金。</w:t>
      </w:r>
    </w:p>
    <w:p w14:paraId="1B231B9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如承包人未经发包人同意擅自更换其他管理团队人员的（包括</w:t>
      </w:r>
      <w:r>
        <w:rPr>
          <w:rFonts w:hint="eastAsia" w:ascii="仿宋_GB2312" w:hAnsi="仿宋_GB2312" w:eastAsia="仿宋_GB2312" w:cs="仿宋_GB2312"/>
          <w:color w:val="auto"/>
          <w:sz w:val="24"/>
          <w:szCs w:val="24"/>
          <w:highlight w:val="none"/>
        </w:rPr>
        <w:t>不能按要求到位累计1个月或以上</w:t>
      </w:r>
      <w:r>
        <w:rPr>
          <w:rFonts w:hint="eastAsia" w:ascii="仿宋_GB2312" w:hAnsi="仿宋_GB2312" w:eastAsia="仿宋_GB2312" w:cs="仿宋_GB2312"/>
          <w:color w:val="auto"/>
          <w:kern w:val="0"/>
          <w:sz w:val="24"/>
          <w:szCs w:val="24"/>
          <w:highlight w:val="none"/>
        </w:rPr>
        <w:t>），或由于其他管理团队人员辞职、调换岗位等除第25.8款约定的情形以外的承包人原因更换其他管理团队人员的，或因其他管理团队人员不胜任发包人要求撤换而承包人拒不撤换的，承包人应向发包人支付</w:t>
      </w:r>
      <w:permStart w:id="380" w:edGrp="everyone"/>
      <w:r>
        <w:rPr>
          <w:rFonts w:hint="eastAsia" w:ascii="仿宋_GB2312" w:hAnsi="仿宋_GB2312" w:eastAsia="仿宋_GB2312" w:cs="仿宋_GB2312"/>
          <w:color w:val="auto"/>
          <w:kern w:val="0"/>
          <w:sz w:val="24"/>
          <w:szCs w:val="24"/>
          <w:highlight w:val="none"/>
          <w:u w:val="single"/>
        </w:rPr>
        <w:t>25万元/人/次</w:t>
      </w:r>
      <w:permEnd w:id="380"/>
      <w:r>
        <w:rPr>
          <w:rFonts w:hint="eastAsia" w:ascii="仿宋_GB2312" w:hAnsi="仿宋_GB2312" w:eastAsia="仿宋_GB2312" w:cs="仿宋_GB2312"/>
          <w:color w:val="auto"/>
          <w:kern w:val="0"/>
          <w:sz w:val="24"/>
          <w:szCs w:val="24"/>
          <w:highlight w:val="none"/>
        </w:rPr>
        <w:t>（具体由发包人视工程重要程度和合同金额按5-25 万元/人次约定）作为违约金。</w:t>
      </w:r>
    </w:p>
    <w:p w14:paraId="356FCCE9">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（26）经发包人现场检查，承包人代表不在现场1次，承包人应向发包人支付</w:t>
      </w:r>
      <w:permStart w:id="381" w:edGrp="everyone"/>
      <w:r>
        <w:rPr>
          <w:rFonts w:hint="eastAsia" w:ascii="仿宋_GB2312" w:hAnsi="仿宋_GB2312" w:eastAsia="仿宋_GB2312" w:cs="仿宋_GB2312"/>
          <w:color w:val="auto"/>
          <w:kern w:val="0"/>
          <w:sz w:val="24"/>
          <w:szCs w:val="24"/>
          <w:highlight w:val="none"/>
          <w:u w:val="single"/>
        </w:rPr>
        <w:t>2万元/人/次</w:t>
      </w:r>
      <w:permEnd w:id="381"/>
      <w:r>
        <w:rPr>
          <w:rFonts w:hint="eastAsia" w:ascii="仿宋_GB2312" w:hAnsi="仿宋_GB2312" w:eastAsia="仿宋_GB2312" w:cs="仿宋_GB2312"/>
          <w:color w:val="auto"/>
          <w:kern w:val="0"/>
          <w:sz w:val="24"/>
          <w:szCs w:val="24"/>
          <w:highlight w:val="none"/>
        </w:rPr>
        <w:t>作为违约金，累计达到5次的，发包人可同时要求撤换该承包人代表，并报水行政主管部门记承包人代表和承包人不良行为各一次。</w:t>
      </w:r>
    </w:p>
    <w:p w14:paraId="363ED6C8">
      <w:pPr>
        <w:spacing w:after="120"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（27）经发包人现场检查，承包人的技术、安全生产负责人不在现场1次，承包人应向发包人支付</w:t>
      </w:r>
      <w:permStart w:id="382" w:edGrp="everyone"/>
      <w:r>
        <w:rPr>
          <w:rFonts w:hint="eastAsia" w:ascii="仿宋_GB2312" w:hAnsi="仿宋_GB2312" w:eastAsia="仿宋_GB2312" w:cs="仿宋_GB2312"/>
          <w:color w:val="auto"/>
          <w:kern w:val="0"/>
          <w:sz w:val="24"/>
          <w:szCs w:val="24"/>
          <w:highlight w:val="none"/>
          <w:u w:val="single"/>
        </w:rPr>
        <w:t>1万元/人/次</w:t>
      </w:r>
      <w:permEnd w:id="382"/>
      <w:r>
        <w:rPr>
          <w:rFonts w:hint="eastAsia" w:ascii="仿宋_GB2312" w:hAnsi="仿宋_GB2312" w:eastAsia="仿宋_GB2312" w:cs="仿宋_GB2312"/>
          <w:color w:val="auto"/>
          <w:kern w:val="0"/>
          <w:sz w:val="24"/>
          <w:szCs w:val="24"/>
          <w:highlight w:val="none"/>
        </w:rPr>
        <w:t>作为违约金，累计达到5次的，发包人可同时要求撤换该项目技术、安全生产负责人，并报水行政主管部门记技术负责人和承包人不良行为各一次。</w:t>
      </w:r>
    </w:p>
    <w:p w14:paraId="5D133F9B">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（28）经发包人现场检查，如发现在特殊工种的施工中，特殊工种人员、各种领班以上人员在施工期间未佩带上岗证的，每发现一次，承包人应向发包人支付</w:t>
      </w:r>
      <w:permStart w:id="383" w:edGrp="everyone"/>
      <w:r>
        <w:rPr>
          <w:rFonts w:hint="eastAsia" w:ascii="仿宋_GB2312" w:hAnsi="仿宋_GB2312" w:eastAsia="仿宋_GB2312" w:cs="仿宋_GB2312"/>
          <w:color w:val="auto"/>
          <w:kern w:val="0"/>
          <w:sz w:val="24"/>
          <w:szCs w:val="24"/>
          <w:highlight w:val="none"/>
          <w:u w:val="single"/>
        </w:rPr>
        <w:t>100元/人/次</w:t>
      </w:r>
      <w:permEnd w:id="383"/>
      <w:r>
        <w:rPr>
          <w:rFonts w:hint="eastAsia" w:ascii="仿宋_GB2312" w:hAnsi="仿宋_GB2312" w:eastAsia="仿宋_GB2312" w:cs="仿宋_GB2312"/>
          <w:color w:val="auto"/>
          <w:kern w:val="0"/>
          <w:sz w:val="24"/>
          <w:szCs w:val="24"/>
          <w:highlight w:val="none"/>
        </w:rPr>
        <w:t>作为违约金。</w:t>
      </w:r>
    </w:p>
    <w:p w14:paraId="76CDE28A">
      <w:p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29）承包人如违反操作规程或施工质量不符合本合同要求，发包人或监理人有权责令承包人停止施工；对不符合本合同质量要求的工程，承包人应无偿返工，直至工程质量达到本合同要求为止，由此造成的经济损失、工期的延误以及由此引起变更设计增加的费用，均由承包人负责。</w:t>
      </w:r>
    </w:p>
    <w:p w14:paraId="6CBD34AB">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30）如因承包人原因导致的工程质量问题，承包人应立即返修，并承担因此造成的其他损失及赔偿责任，返修的一切费用均由承包人负责支付；如因承包人施工质量问题等原因造成质量监管部门或上级管理部门下达的整改通知责任书的，承包人每次因工程质量问题需要整改的，承包人应向发包人支付合同价款的1.5‰作为违约金，并在当季的诚信履约评价中予以扣分，累计两次，发包人有权将承包人的失信情况报上级部门。</w:t>
      </w:r>
    </w:p>
    <w:p w14:paraId="4C6861FF">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(31)承包人未按规定加强占道施工现场管理，未落实相关法律法规、规范、标准等对占道施工管理的要求，发生如未办理道路挖掘占用许可手续、超出许可有效期施工、超出许可批准范围施工、未按标准进行占道施工围蔽、未按标准进行占道施工信息公示、未按标准进行道路修复、未按要求落实占道施工管理相关工作等违约行为的，承包人除承担因此造成的法律责任和经济责任外，还应由发包人按照合同专用条款中规定的“承包人未履行或未按时履行或未按质履行合同约定义务”的情形进行扣罚，并酌情在当季施工、监理企业诚信评价中对相关责任单位实施扣分处理。</w:t>
      </w:r>
    </w:p>
    <w:p w14:paraId="1CB40A56">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（32）如因承包人未按时报送竣工档案资料和规划验收资料导致发包人的供水管道由于规划或路由问题，被其他管线或物体骑压、损坏而造成顺势，承包人需赔偿经济损失并承担相应的法律责任。</w:t>
      </w:r>
    </w:p>
    <w:p w14:paraId="436C57BD">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（33）承包人所提交的竣工图与现场实际情况不一致的，承包人应支付违约金，按照不一致部分工程量偏差对应的造价金额</w:t>
      </w:r>
      <w:permStart w:id="384" w:edGrp="everyone"/>
      <w:r>
        <w:rPr>
          <w:rFonts w:hint="eastAsia" w:ascii="仿宋_GB2312" w:hAnsi="仿宋_GB2312" w:eastAsia="仿宋_GB2312" w:cs="仿宋_GB2312"/>
          <w:color w:val="auto"/>
          <w:kern w:val="0"/>
          <w:sz w:val="24"/>
          <w:szCs w:val="24"/>
          <w:highlight w:val="none"/>
          <w:u w:val="single"/>
          <w:lang w:val="en-US" w:eastAsia="zh-CN" w:bidi="ar-SA"/>
        </w:rPr>
        <w:t>1.5-2倍</w:t>
      </w:r>
      <w:permEnd w:id="384"/>
      <w:r>
        <w:rPr>
          <w:rFonts w:hint="eastAsia" w:ascii="仿宋_GB2312" w:hAnsi="仿宋_GB2312" w:eastAsia="仿宋_GB2312" w:cs="仿宋_GB2312"/>
          <w:color w:val="auto"/>
          <w:kern w:val="0"/>
          <w:sz w:val="24"/>
          <w:szCs w:val="24"/>
          <w:highlight w:val="none"/>
          <w:lang w:val="en-US" w:eastAsia="zh-CN" w:bidi="ar-SA"/>
        </w:rPr>
        <w:t>计算，违约金限额为合同价款的</w:t>
      </w:r>
      <w:permStart w:id="385" w:edGrp="everyone"/>
      <w:r>
        <w:rPr>
          <w:rFonts w:hint="eastAsia" w:ascii="仿宋_GB2312" w:hAnsi="仿宋_GB2312" w:eastAsia="仿宋_GB2312" w:cs="仿宋_GB2312"/>
          <w:color w:val="auto"/>
          <w:kern w:val="0"/>
          <w:sz w:val="24"/>
          <w:szCs w:val="24"/>
          <w:highlight w:val="none"/>
          <w:u w:val="single"/>
          <w:lang w:val="en-US" w:eastAsia="zh-CN" w:bidi="ar-SA"/>
        </w:rPr>
        <w:t xml:space="preserve"> 20% </w:t>
      </w:r>
      <w:permEnd w:id="385"/>
      <w:r>
        <w:rPr>
          <w:rFonts w:hint="eastAsia" w:ascii="仿宋_GB2312" w:hAnsi="仿宋_GB2312" w:eastAsia="仿宋_GB2312" w:cs="仿宋_GB2312"/>
          <w:color w:val="auto"/>
          <w:kern w:val="0"/>
          <w:sz w:val="24"/>
          <w:szCs w:val="24"/>
          <w:highlight w:val="none"/>
          <w:lang w:val="en-US" w:eastAsia="zh-CN" w:bidi="ar-SA"/>
        </w:rPr>
        <w:t>。</w:t>
      </w:r>
    </w:p>
    <w:p w14:paraId="0078FAC9">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（34）承包人未按经审查的施工图、经监理、发包人审核的各类专项方案进行施工，违反设计、施工等有关规范、规程的施工行为。承包人应向发包人支付</w:t>
      </w:r>
      <w:permStart w:id="386" w:edGrp="everyone"/>
      <w:r>
        <w:rPr>
          <w:rFonts w:hint="eastAsia" w:ascii="仿宋_GB2312" w:hAnsi="仿宋_GB2312" w:eastAsia="仿宋_GB2312" w:cs="仿宋_GB2312"/>
          <w:color w:val="auto"/>
          <w:kern w:val="0"/>
          <w:sz w:val="24"/>
          <w:szCs w:val="24"/>
          <w:highlight w:val="none"/>
          <w:u w:val="single"/>
        </w:rPr>
        <w:t>5万元/次</w:t>
      </w:r>
      <w:permEnd w:id="386"/>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14:paraId="5232F0A1">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35）承包人未按工程所在地当地政府相关部门、权属单位要求做好安全文明施工、扬尘防治、环境保护、水土保持防治、河涌保护、涉路涉桥安全等专项保护方案等规定及要求等一系列施工行为。承包人应向发包人支付</w:t>
      </w:r>
      <w:permStart w:id="387" w:edGrp="everyone"/>
      <w:r>
        <w:rPr>
          <w:rFonts w:hint="eastAsia" w:ascii="仿宋_GB2312" w:hAnsi="仿宋_GB2312" w:eastAsia="仿宋_GB2312" w:cs="仿宋_GB2312"/>
          <w:color w:val="auto"/>
          <w:kern w:val="0"/>
          <w:sz w:val="24"/>
          <w:szCs w:val="24"/>
          <w:highlight w:val="none"/>
          <w:u w:val="single"/>
        </w:rPr>
        <w:t>5万元/次</w:t>
      </w:r>
      <w:permEnd w:id="387"/>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14:paraId="2BCD2C61">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（36）承包人原因导致本项目未达到工程质量及标准、未完成隐蔽验收、项目未能通过验收等一系列行为。承包人应向发包人支付</w:t>
      </w:r>
      <w:permStart w:id="388" w:edGrp="everyone"/>
      <w:r>
        <w:rPr>
          <w:rFonts w:hint="eastAsia" w:ascii="仿宋_GB2312" w:hAnsi="仿宋_GB2312" w:eastAsia="仿宋_GB2312" w:cs="仿宋_GB2312"/>
          <w:color w:val="auto"/>
          <w:kern w:val="0"/>
          <w:sz w:val="24"/>
          <w:szCs w:val="24"/>
          <w:highlight w:val="none"/>
          <w:u w:val="single"/>
        </w:rPr>
        <w:t>5万元/次</w:t>
      </w:r>
      <w:permEnd w:id="388"/>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14:paraId="36620812">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（37）承包人未按监理、发包人及质量监督等行政管理部门发出的整改通知进行整改、或限期未及时纠正、多次出现上述涉施工安全、质量、进度等施工行为。承包人应向发包人支付</w:t>
      </w:r>
      <w:permStart w:id="389" w:edGrp="everyone"/>
      <w:r>
        <w:rPr>
          <w:rFonts w:hint="eastAsia" w:ascii="仿宋_GB2312" w:hAnsi="仿宋_GB2312" w:eastAsia="仿宋_GB2312" w:cs="仿宋_GB2312"/>
          <w:color w:val="auto"/>
          <w:kern w:val="0"/>
          <w:sz w:val="24"/>
          <w:szCs w:val="24"/>
          <w:highlight w:val="none"/>
          <w:u w:val="single"/>
        </w:rPr>
        <w:t>5万元/次</w:t>
      </w:r>
      <w:permEnd w:id="389"/>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14:paraId="3E4DBD0E">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（38）未按政府部门相关规定、合同约定等要求及时支付工人工资。承包人应向发包人支付</w:t>
      </w:r>
      <w:permStart w:id="390" w:edGrp="everyone"/>
      <w:r>
        <w:rPr>
          <w:rFonts w:hint="eastAsia" w:ascii="仿宋_GB2312" w:hAnsi="仿宋_GB2312" w:eastAsia="仿宋_GB2312" w:cs="仿宋_GB2312"/>
          <w:color w:val="auto"/>
          <w:kern w:val="0"/>
          <w:sz w:val="24"/>
          <w:szCs w:val="24"/>
          <w:highlight w:val="none"/>
          <w:u w:val="single"/>
        </w:rPr>
        <w:t>5万元/次</w:t>
      </w:r>
      <w:permEnd w:id="390"/>
      <w:r>
        <w:rPr>
          <w:rFonts w:hint="eastAsia" w:ascii="仿宋_GB2312" w:hAnsi="仿宋_GB2312" w:eastAsia="仿宋_GB2312" w:cs="仿宋_GB2312"/>
          <w:color w:val="auto"/>
          <w:kern w:val="0"/>
          <w:sz w:val="24"/>
          <w:szCs w:val="24"/>
          <w:highlight w:val="none"/>
        </w:rPr>
        <w:t>作为违约金，同时承担因上述违约行为引起的费用增加和(或)工期延误等责任，违约金不足以补偿发包人损失的，发包人有权就其所遭受的实际经济损失继续向承包人追偿，并承担1次严重违约责任。</w:t>
      </w:r>
    </w:p>
    <w:p w14:paraId="6ED6B83D">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（39）安全、文明施工违约处理</w:t>
      </w:r>
    </w:p>
    <w:p w14:paraId="0370A567">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必须按本合同的约定编制施工组织设计(施工方案、包括安全文明施工措施),经过监理工程师和发包人审核确认后按其施工，不得随意更改。如果根据实际情况确需修改，则需经监理工程师及发包人审批同意。如果未经监理工程师及发包人审批同意而擅自更改施工组织设计(施工方案，包括安全文明施工措施)或不按照施工组织设计(施工方案，包括安全文明施工措施)施工，则发包人将扣减更改部分的造价(该造价按广东省相关综合定额和取费标准计算，不下浮)；同时，每擅自更改一次，承包人应向发包人支付人民币1万元作为违约金。</w:t>
      </w:r>
    </w:p>
    <w:p w14:paraId="7D64DC72">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承包人应严格遵守国家、省、市及区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向发包人支付</w:t>
      </w:r>
      <w:permStart w:id="391" w:edGrp="everyone"/>
      <w:r>
        <w:rPr>
          <w:rFonts w:hint="eastAsia" w:ascii="仿宋_GB2312" w:hAnsi="仿宋_GB2312" w:eastAsia="仿宋_GB2312" w:cs="仿宋_GB2312"/>
          <w:color w:val="auto"/>
          <w:kern w:val="0"/>
          <w:sz w:val="24"/>
          <w:szCs w:val="24"/>
          <w:highlight w:val="none"/>
          <w:u w:val="single"/>
          <w:lang w:val="en-US" w:eastAsia="zh-CN" w:bidi="ar-SA"/>
        </w:rPr>
        <w:t>20万元</w:t>
      </w:r>
      <w:permEnd w:id="391"/>
      <w:r>
        <w:rPr>
          <w:rFonts w:hint="eastAsia" w:ascii="仿宋_GB2312" w:hAnsi="仿宋_GB2312" w:eastAsia="仿宋_GB2312" w:cs="仿宋_GB2312"/>
          <w:color w:val="auto"/>
          <w:kern w:val="0"/>
          <w:sz w:val="24"/>
          <w:szCs w:val="24"/>
          <w:highlight w:val="none"/>
          <w:lang w:val="en-US" w:eastAsia="zh-CN" w:bidi="ar-SA"/>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14:paraId="35F7A85E">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3）如果承包人未按招投标文件及本合同要求做好安全、文明施工相关措施，经监理工程师或发包人检查发现的，每发现一次，承包人向发包人支付</w:t>
      </w:r>
      <w:permStart w:id="392"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392"/>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393"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393"/>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w:t>
      </w:r>
    </w:p>
    <w:p w14:paraId="77AD895F">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承包人因自身原因造成重大安全事故的(含工程质量事故，事故的标准以国务院颁发的《生产安全事故报告和调查处理条例》为准),除按国家规定由承包人承担发包人主管部门的处罚外，承包人必须依照下列约定承担违约责任，并赔偿由此造成的一切损失，发包人有权部分或全部解除合同：</w:t>
      </w:r>
    </w:p>
    <w:p w14:paraId="4039B71C">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①发生特别重大事故，承包人按事故所造成损失额的</w:t>
      </w:r>
      <w:permStart w:id="394" w:edGrp="everyone"/>
      <w:r>
        <w:rPr>
          <w:rFonts w:hint="eastAsia" w:ascii="仿宋_GB2312" w:hAnsi="仿宋_GB2312" w:eastAsia="仿宋_GB2312" w:cs="仿宋_GB2312"/>
          <w:color w:val="auto"/>
          <w:kern w:val="0"/>
          <w:sz w:val="24"/>
          <w:szCs w:val="24"/>
          <w:highlight w:val="none"/>
          <w:u w:val="single"/>
          <w:lang w:val="en-US" w:eastAsia="zh-CN" w:bidi="ar-SA"/>
        </w:rPr>
        <w:t>15%</w:t>
      </w:r>
      <w:permEnd w:id="394"/>
      <w:r>
        <w:rPr>
          <w:rFonts w:hint="eastAsia" w:ascii="仿宋_GB2312" w:hAnsi="仿宋_GB2312" w:eastAsia="仿宋_GB2312" w:cs="仿宋_GB2312"/>
          <w:color w:val="auto"/>
          <w:kern w:val="0"/>
          <w:sz w:val="24"/>
          <w:szCs w:val="24"/>
          <w:highlight w:val="none"/>
          <w:lang w:val="en-US" w:eastAsia="zh-CN" w:bidi="ar-SA"/>
        </w:rPr>
        <w:t>,向发包人支付违约金；</w:t>
      </w:r>
    </w:p>
    <w:p w14:paraId="092DE15B">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②发生重大事故，承包人按事故所处分项工程总价</w:t>
      </w:r>
      <w:permStart w:id="395" w:edGrp="everyone"/>
      <w:r>
        <w:rPr>
          <w:rFonts w:hint="eastAsia" w:ascii="仿宋_GB2312" w:hAnsi="仿宋_GB2312" w:eastAsia="仿宋_GB2312" w:cs="仿宋_GB2312"/>
          <w:color w:val="auto"/>
          <w:kern w:val="0"/>
          <w:sz w:val="24"/>
          <w:szCs w:val="24"/>
          <w:highlight w:val="none"/>
          <w:u w:val="single"/>
          <w:lang w:val="en-US" w:eastAsia="zh-CN" w:bidi="ar-SA"/>
        </w:rPr>
        <w:t>12%</w:t>
      </w:r>
      <w:permEnd w:id="395"/>
      <w:r>
        <w:rPr>
          <w:rFonts w:hint="eastAsia" w:ascii="仿宋_GB2312" w:hAnsi="仿宋_GB2312" w:eastAsia="仿宋_GB2312" w:cs="仿宋_GB2312"/>
          <w:color w:val="auto"/>
          <w:kern w:val="0"/>
          <w:sz w:val="24"/>
          <w:szCs w:val="24"/>
          <w:highlight w:val="none"/>
          <w:lang w:val="en-US" w:eastAsia="zh-CN" w:bidi="ar-SA"/>
        </w:rPr>
        <w:t>,向发包人支付违约金；</w:t>
      </w:r>
    </w:p>
    <w:p w14:paraId="5FDE009E">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③发生较大事故，承包人按事故所处分项工程总价</w:t>
      </w:r>
      <w:permStart w:id="396" w:edGrp="everyone"/>
      <w:r>
        <w:rPr>
          <w:rFonts w:hint="eastAsia" w:ascii="仿宋_GB2312" w:hAnsi="仿宋_GB2312" w:eastAsia="仿宋_GB2312" w:cs="仿宋_GB2312"/>
          <w:color w:val="auto"/>
          <w:kern w:val="0"/>
          <w:sz w:val="24"/>
          <w:szCs w:val="24"/>
          <w:highlight w:val="none"/>
          <w:u w:val="single"/>
          <w:lang w:val="en-US" w:eastAsia="zh-CN" w:bidi="ar-SA"/>
        </w:rPr>
        <w:t>10%</w:t>
      </w:r>
      <w:permEnd w:id="396"/>
      <w:r>
        <w:rPr>
          <w:rFonts w:hint="eastAsia" w:ascii="仿宋_GB2312" w:hAnsi="仿宋_GB2312" w:eastAsia="仿宋_GB2312" w:cs="仿宋_GB2312"/>
          <w:color w:val="auto"/>
          <w:kern w:val="0"/>
          <w:sz w:val="24"/>
          <w:szCs w:val="24"/>
          <w:highlight w:val="none"/>
          <w:lang w:val="en-US" w:eastAsia="zh-CN" w:bidi="ar-SA"/>
        </w:rPr>
        <w:t>,向发包人支付违约金；</w:t>
      </w:r>
    </w:p>
    <w:p w14:paraId="3073E370">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④发生一般事故，承包人按事故所处分项工程总价</w:t>
      </w:r>
      <w:permStart w:id="397" w:edGrp="everyone"/>
      <w:r>
        <w:rPr>
          <w:rFonts w:hint="eastAsia" w:ascii="仿宋_GB2312" w:hAnsi="仿宋_GB2312" w:eastAsia="仿宋_GB2312" w:cs="仿宋_GB2312"/>
          <w:color w:val="auto"/>
          <w:kern w:val="0"/>
          <w:sz w:val="24"/>
          <w:szCs w:val="24"/>
          <w:highlight w:val="none"/>
          <w:u w:val="single"/>
          <w:lang w:val="en-US" w:eastAsia="zh-CN" w:bidi="ar-SA"/>
        </w:rPr>
        <w:t>8%</w:t>
      </w:r>
      <w:permEnd w:id="397"/>
      <w:r>
        <w:rPr>
          <w:rFonts w:hint="eastAsia" w:ascii="仿宋_GB2312" w:hAnsi="仿宋_GB2312" w:eastAsia="仿宋_GB2312" w:cs="仿宋_GB2312"/>
          <w:color w:val="auto"/>
          <w:kern w:val="0"/>
          <w:sz w:val="24"/>
          <w:szCs w:val="24"/>
          <w:highlight w:val="none"/>
          <w:u w:val="none"/>
          <w:lang w:val="en-US" w:eastAsia="zh-CN" w:bidi="ar-SA"/>
        </w:rPr>
        <w:t>,</w:t>
      </w:r>
      <w:r>
        <w:rPr>
          <w:rFonts w:hint="eastAsia" w:ascii="仿宋_GB2312" w:hAnsi="仿宋_GB2312" w:eastAsia="仿宋_GB2312" w:cs="仿宋_GB2312"/>
          <w:color w:val="auto"/>
          <w:kern w:val="0"/>
          <w:sz w:val="24"/>
          <w:szCs w:val="24"/>
          <w:highlight w:val="none"/>
          <w:lang w:val="en-US" w:eastAsia="zh-CN" w:bidi="ar-SA"/>
        </w:rPr>
        <w:t>向发包人支付违约金；</w:t>
      </w:r>
    </w:p>
    <w:p w14:paraId="73535000">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等相关管理规定的标准和要求，保证落实“一不准进，三不准出”规定，办齐排放有关证照，雇请有合格准运证车辆和具备资质的运输企业，设立专职人员管理余泥渣土、建筑垃圾的运输工作，并对分包单位依法排放余泥渣土、建筑垃圾进行监管。承包人因违反本款约定所造成的一切责任后果全部由承包人承担。经发包人或相关部门检查发现承包人未执行本款约定的，每发现一次，承包人向发包人支付</w:t>
      </w:r>
      <w:permStart w:id="398" w:edGrp="everyone"/>
      <w:r>
        <w:rPr>
          <w:rFonts w:hint="eastAsia" w:ascii="仿宋_GB2312" w:hAnsi="仿宋_GB2312" w:eastAsia="仿宋_GB2312" w:cs="仿宋_GB2312"/>
          <w:color w:val="auto"/>
          <w:kern w:val="0"/>
          <w:sz w:val="24"/>
          <w:szCs w:val="24"/>
          <w:highlight w:val="none"/>
          <w:u w:val="single"/>
          <w:lang w:val="en-US" w:eastAsia="zh-CN" w:bidi="ar-SA"/>
        </w:rPr>
        <w:t>1万元</w:t>
      </w:r>
      <w:permEnd w:id="398"/>
      <w:r>
        <w:rPr>
          <w:rFonts w:hint="eastAsia" w:ascii="仿宋_GB2312" w:hAnsi="仿宋_GB2312" w:eastAsia="仿宋_GB2312" w:cs="仿宋_GB2312"/>
          <w:color w:val="auto"/>
          <w:kern w:val="0"/>
          <w:sz w:val="24"/>
          <w:szCs w:val="24"/>
          <w:highlight w:val="none"/>
          <w:lang w:val="en-US" w:eastAsia="zh-CN" w:bidi="ar-SA"/>
        </w:rPr>
        <w:t>作为违约金。同时，发包人将根据承包人违反余泥渣土运输管理有关规定而造成的不良后果的严重程度，上报区、市水行政、建设行政主管部门进行处理。</w:t>
      </w:r>
    </w:p>
    <w:p w14:paraId="46745802">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6）经发包人或监理工程师抽查发现承包人违反合同专用条款的约定，其技术管理人员或施工作业人员没有佩带平安卡的，承包人按每人次</w:t>
      </w:r>
      <w:permStart w:id="399" w:edGrp="everyone"/>
      <w:r>
        <w:rPr>
          <w:rFonts w:hint="eastAsia" w:ascii="仿宋_GB2312" w:hAnsi="仿宋_GB2312" w:eastAsia="仿宋_GB2312" w:cs="仿宋_GB2312"/>
          <w:color w:val="auto"/>
          <w:kern w:val="0"/>
          <w:sz w:val="24"/>
          <w:szCs w:val="24"/>
          <w:highlight w:val="none"/>
          <w:u w:val="single"/>
          <w:lang w:val="en-US" w:eastAsia="zh-CN" w:bidi="ar-SA"/>
        </w:rPr>
        <w:t>1000元</w:t>
      </w:r>
      <w:permEnd w:id="399"/>
      <w:r>
        <w:rPr>
          <w:rFonts w:hint="eastAsia" w:ascii="仿宋_GB2312" w:hAnsi="仿宋_GB2312" w:eastAsia="仿宋_GB2312" w:cs="仿宋_GB2312"/>
          <w:color w:val="auto"/>
          <w:kern w:val="0"/>
          <w:sz w:val="24"/>
          <w:szCs w:val="24"/>
          <w:highlight w:val="none"/>
          <w:lang w:val="en-US" w:eastAsia="zh-CN" w:bidi="ar-SA"/>
        </w:rPr>
        <w:t>的标准向发包人支付违约金。</w:t>
      </w:r>
    </w:p>
    <w:p w14:paraId="0DB85A12">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（40）环境保护、水土防治、河涌保护、涉路涉桥等安全专项保护方案等规定及要求等一系列施工行为的违约责任</w:t>
      </w:r>
    </w:p>
    <w:p w14:paraId="364A5A6D">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必须按本合同的约定编制环境保护、水土保持防治、河涌保护、涉路涉桥安全等专项保护方案措施，经过监理工程师和发包人审核确认后按其施工，不得随意更改。如果根据实际情况确需修改，则需经监理工程师及发包人审批同意。如果未经监理工程师及发包人审批同意而擅自更改环境保护、水土保持防治、河涌保护、涉路涉桥安全等专项保护方案措施，则发包人将扣减更改部分的造价(该造价按广东省相关综合定额和取费标准计算，不下浮)；同时，每擅自更改一次，承包人需支付发包人</w:t>
      </w:r>
      <w:permStart w:id="400"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400"/>
      <w:r>
        <w:rPr>
          <w:rFonts w:hint="eastAsia" w:ascii="仿宋_GB2312" w:hAnsi="仿宋_GB2312" w:eastAsia="仿宋_GB2312" w:cs="仿宋_GB2312"/>
          <w:color w:val="auto"/>
          <w:kern w:val="0"/>
          <w:sz w:val="24"/>
          <w:szCs w:val="24"/>
          <w:highlight w:val="none"/>
          <w:lang w:val="en-US" w:eastAsia="zh-CN" w:bidi="ar-SA"/>
        </w:rPr>
        <w:t>人民币作为违约金。</w:t>
      </w:r>
    </w:p>
    <w:p w14:paraId="24D52CD6">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2）在相关部门的检查中，因上述问题，承包人施工场地被评为不合格工地或被通报批评或者被新闻媒体曝光的，每发生一次，承包人向发包人支付</w:t>
      </w:r>
      <w:permStart w:id="401" w:edGrp="everyone"/>
      <w:r>
        <w:rPr>
          <w:rFonts w:hint="eastAsia" w:ascii="仿宋_GB2312" w:hAnsi="仿宋_GB2312" w:eastAsia="仿宋_GB2312" w:cs="仿宋_GB2312"/>
          <w:color w:val="auto"/>
          <w:kern w:val="0"/>
          <w:sz w:val="24"/>
          <w:szCs w:val="24"/>
          <w:highlight w:val="none"/>
          <w:u w:val="single"/>
          <w:lang w:val="en-US" w:eastAsia="zh-CN" w:bidi="ar-SA"/>
        </w:rPr>
        <w:t>20万元</w:t>
      </w:r>
      <w:permEnd w:id="401"/>
      <w:r>
        <w:rPr>
          <w:rFonts w:hint="eastAsia" w:ascii="仿宋_GB2312" w:hAnsi="仿宋_GB2312" w:eastAsia="仿宋_GB2312" w:cs="仿宋_GB2312"/>
          <w:color w:val="auto"/>
          <w:kern w:val="0"/>
          <w:sz w:val="24"/>
          <w:szCs w:val="24"/>
          <w:highlight w:val="none"/>
          <w:lang w:val="en-US" w:eastAsia="zh-CN" w:bidi="ar-SA"/>
        </w:rPr>
        <w:t>作为违约金，如发包人因此被相关部门处罚的，罚金由承包人承担。造成严重社会影响或累计被通报或被曝光2次以上(含本数)的，发包人有权解除合同，将本工程另行发包，但并不免除承包人应承担的违约赔偿责任。若造成发包人被他人索赔时，承包人应赔偿发包人因此遭受的损失。</w:t>
      </w:r>
    </w:p>
    <w:p w14:paraId="17A68FB3">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3）如果承包人未按招投标文件及本合同要求做好环境保护、水土保持防治、河涌保护、涉路涉桥安全等专项保护方案措施，经监理工程师或发包人检查发现的，每发现一次，承包人向发包人支付</w:t>
      </w:r>
      <w:permStart w:id="402"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402"/>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403"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403"/>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w:t>
      </w:r>
    </w:p>
    <w:p w14:paraId="268C8960">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4）如果承包人未按国土部门批复的土地复垦实施方案要求、招投标文件及本合同要求做土地复垦措施，经监理工程师或发包人检查发现的，每发现一次，承包人向发包人支付</w:t>
      </w:r>
      <w:permStart w:id="404" w:edGrp="everyone"/>
      <w:r>
        <w:rPr>
          <w:rFonts w:hint="eastAsia" w:ascii="仿宋_GB2312" w:hAnsi="仿宋_GB2312" w:eastAsia="仿宋_GB2312" w:cs="仿宋_GB2312"/>
          <w:color w:val="auto"/>
          <w:kern w:val="0"/>
          <w:sz w:val="24"/>
          <w:szCs w:val="24"/>
          <w:highlight w:val="none"/>
          <w:u w:val="single"/>
          <w:lang w:val="en-US" w:eastAsia="zh-CN" w:bidi="ar-SA"/>
        </w:rPr>
        <w:t>10000元</w:t>
      </w:r>
      <w:permEnd w:id="404"/>
      <w:r>
        <w:rPr>
          <w:rFonts w:hint="eastAsia" w:ascii="仿宋_GB2312" w:hAnsi="仿宋_GB2312" w:eastAsia="仿宋_GB2312" w:cs="仿宋_GB2312"/>
          <w:color w:val="auto"/>
          <w:kern w:val="0"/>
          <w:sz w:val="24"/>
          <w:szCs w:val="24"/>
          <w:highlight w:val="none"/>
          <w:lang w:val="en-US" w:eastAsia="zh-CN" w:bidi="ar-SA"/>
        </w:rPr>
        <w:t>作为违约金，并按发包人或监理工程师要求限期整改，未在限期内完成整改的，每延期一天，承包人向发包人支付</w:t>
      </w:r>
      <w:permStart w:id="405" w:edGrp="everyone"/>
      <w:r>
        <w:rPr>
          <w:rFonts w:hint="eastAsia" w:ascii="仿宋_GB2312" w:hAnsi="仿宋_GB2312" w:eastAsia="仿宋_GB2312" w:cs="仿宋_GB2312"/>
          <w:color w:val="auto"/>
          <w:kern w:val="0"/>
          <w:sz w:val="24"/>
          <w:szCs w:val="24"/>
          <w:highlight w:val="none"/>
          <w:u w:val="single"/>
          <w:lang w:val="en-US" w:eastAsia="zh-CN" w:bidi="ar-SA"/>
        </w:rPr>
        <w:t>5000元</w:t>
      </w:r>
      <w:permEnd w:id="405"/>
      <w:r>
        <w:rPr>
          <w:rFonts w:hint="eastAsia" w:ascii="仿宋_GB2312" w:hAnsi="仿宋_GB2312" w:eastAsia="仿宋_GB2312" w:cs="仿宋_GB2312"/>
          <w:color w:val="auto"/>
          <w:kern w:val="0"/>
          <w:sz w:val="24"/>
          <w:szCs w:val="24"/>
          <w:highlight w:val="none"/>
          <w:lang w:val="en-US" w:eastAsia="zh-CN" w:bidi="ar-SA"/>
        </w:rPr>
        <w:t>作为违约金。此类问题的认定，以发包人、监理工程师书面通知、指令、通报和会议纪要为准。因承包人实施的土地复垦措施未达到国土部门批复的土地复垦实施方案要求、招投标文件以及本合同要求而造成土地复垦验收不合格，承包人须按要求在规定时间内完成整改并白行承担整改费用以及由此引发增加的临时用地租金等费用。如承包人不履行土地复垦责任导致发包人在与国土部门签署的复垦协议项下发生违约而造成的违约金、赔偿损失等一切经济支出，发包人有权要求承包人全额赔偿，并向发包人支付合同价款的</w:t>
      </w:r>
      <w:permStart w:id="406" w:edGrp="everyone"/>
      <w:r>
        <w:rPr>
          <w:rFonts w:hint="eastAsia" w:ascii="仿宋_GB2312" w:hAnsi="仿宋_GB2312" w:eastAsia="仿宋_GB2312" w:cs="仿宋_GB2312"/>
          <w:color w:val="auto"/>
          <w:kern w:val="0"/>
          <w:sz w:val="24"/>
          <w:szCs w:val="24"/>
          <w:highlight w:val="none"/>
          <w:u w:val="single"/>
          <w:lang w:val="en-US" w:eastAsia="zh-CN" w:bidi="ar-SA"/>
        </w:rPr>
        <w:t>0.1%</w:t>
      </w:r>
      <w:permEnd w:id="406"/>
      <w:r>
        <w:rPr>
          <w:rFonts w:hint="eastAsia" w:ascii="仿宋_GB2312" w:hAnsi="仿宋_GB2312" w:eastAsia="仿宋_GB2312" w:cs="仿宋_GB2312"/>
          <w:color w:val="auto"/>
          <w:kern w:val="0"/>
          <w:sz w:val="24"/>
          <w:szCs w:val="24"/>
          <w:highlight w:val="none"/>
          <w:lang w:val="en-US" w:eastAsia="zh-CN" w:bidi="ar-SA"/>
        </w:rPr>
        <w:t>作为违约金。</w:t>
      </w:r>
    </w:p>
    <w:p w14:paraId="606347DE">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（41）工程质量方面的违约责任</w:t>
      </w:r>
    </w:p>
    <w:p w14:paraId="0B77F6C4">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经监理工程师或发包人检查发现工序存在较大质量问题(如存在质量问题的部分超过检查部分工程的5%的),则该工序质量为不合格，承包人必须对不合格部分进行返工，返工后经检查合格才准进入下一工序，工期不予顺延。复检的结果，按单项分项工程计算，总计发现3次或连续发现2次质量控制点不合格的，承包人向发包人支付合同价款的</w:t>
      </w:r>
      <w:permStart w:id="407" w:edGrp="everyone"/>
      <w:r>
        <w:rPr>
          <w:rFonts w:hint="eastAsia" w:ascii="仿宋_GB2312" w:hAnsi="仿宋_GB2312" w:eastAsia="仿宋_GB2312" w:cs="仿宋_GB2312"/>
          <w:color w:val="auto"/>
          <w:kern w:val="0"/>
          <w:sz w:val="24"/>
          <w:szCs w:val="24"/>
          <w:highlight w:val="none"/>
          <w:u w:val="single"/>
          <w:lang w:val="en-US" w:eastAsia="zh-CN" w:bidi="ar-SA"/>
        </w:rPr>
        <w:t>0.1%</w:t>
      </w:r>
      <w:permEnd w:id="407"/>
      <w:r>
        <w:rPr>
          <w:rFonts w:hint="eastAsia" w:ascii="仿宋_GB2312" w:hAnsi="仿宋_GB2312" w:eastAsia="仿宋_GB2312" w:cs="仿宋_GB2312"/>
          <w:color w:val="auto"/>
          <w:kern w:val="0"/>
          <w:sz w:val="24"/>
          <w:szCs w:val="24"/>
          <w:highlight w:val="none"/>
          <w:lang w:val="en-US" w:eastAsia="zh-CN" w:bidi="ar-SA"/>
        </w:rPr>
        <w:t>作为违约金；总计发现3次以上(不含本数)或连续发现2次以上(不含本数)质量控制点不合格的，承包人向发包人支付合同价款的</w:t>
      </w:r>
      <w:permStart w:id="408" w:edGrp="everyone"/>
      <w:r>
        <w:rPr>
          <w:rFonts w:hint="eastAsia" w:ascii="仿宋_GB2312" w:hAnsi="仿宋_GB2312" w:eastAsia="仿宋_GB2312" w:cs="仿宋_GB2312"/>
          <w:color w:val="auto"/>
          <w:kern w:val="0"/>
          <w:sz w:val="24"/>
          <w:szCs w:val="24"/>
          <w:highlight w:val="none"/>
          <w:u w:val="single"/>
          <w:lang w:val="en-US" w:eastAsia="zh-CN" w:bidi="ar-SA"/>
        </w:rPr>
        <w:t>0.2%</w:t>
      </w:r>
      <w:permEnd w:id="408"/>
      <w:r>
        <w:rPr>
          <w:rFonts w:hint="eastAsia" w:ascii="仿宋_GB2312" w:hAnsi="仿宋_GB2312" w:eastAsia="仿宋_GB2312" w:cs="仿宋_GB2312"/>
          <w:color w:val="auto"/>
          <w:kern w:val="0"/>
          <w:sz w:val="24"/>
          <w:szCs w:val="24"/>
          <w:highlight w:val="none"/>
          <w:lang w:val="en-US" w:eastAsia="zh-CN" w:bidi="ar-SA"/>
        </w:rPr>
        <w:t>作为违约金(连续违约可累计计算)；承包人采取整改措施后仍出现质量问题的，发包人有权部分解除合同，将该分项工程另行发包，并不免除承包人应承担的违约赔偿责任。</w:t>
      </w:r>
    </w:p>
    <w:p w14:paraId="4F2113F1">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2）工程竣工验收达不到合同约定的质量标准的，承包人向发包人支付审定结算总价的</w:t>
      </w:r>
      <w:permStart w:id="409" w:edGrp="everyone"/>
      <w:r>
        <w:rPr>
          <w:rFonts w:hint="eastAsia" w:ascii="仿宋_GB2312" w:hAnsi="仿宋_GB2312" w:eastAsia="仿宋_GB2312" w:cs="仿宋_GB2312"/>
          <w:color w:val="auto"/>
          <w:kern w:val="0"/>
          <w:sz w:val="24"/>
          <w:szCs w:val="24"/>
          <w:highlight w:val="none"/>
          <w:u w:val="single"/>
          <w:lang w:val="en-US" w:eastAsia="zh-CN" w:bidi="ar-SA"/>
        </w:rPr>
        <w:t>2%</w:t>
      </w:r>
      <w:permEnd w:id="409"/>
      <w:r>
        <w:rPr>
          <w:rFonts w:hint="eastAsia" w:ascii="仿宋_GB2312" w:hAnsi="仿宋_GB2312" w:eastAsia="仿宋_GB2312" w:cs="仿宋_GB2312"/>
          <w:color w:val="auto"/>
          <w:kern w:val="0"/>
          <w:sz w:val="24"/>
          <w:szCs w:val="24"/>
          <w:highlight w:val="none"/>
          <w:lang w:val="en-US" w:eastAsia="zh-CN" w:bidi="ar-SA"/>
        </w:rPr>
        <w:t>作为违约金。</w:t>
      </w:r>
    </w:p>
    <w:p w14:paraId="431E398E">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3）施工期和工程保修期内发现重大质量不合格问题，承包人必须在规定的期限返工并达到合同约定的质量等级，并按该不合格项目所处分项工程造价的</w:t>
      </w:r>
      <w:permStart w:id="410" w:edGrp="everyone"/>
      <w:r>
        <w:rPr>
          <w:rFonts w:hint="eastAsia" w:ascii="仿宋_GB2312" w:hAnsi="仿宋_GB2312" w:eastAsia="仿宋_GB2312" w:cs="仿宋_GB2312"/>
          <w:color w:val="auto"/>
          <w:kern w:val="0"/>
          <w:sz w:val="24"/>
          <w:szCs w:val="24"/>
          <w:highlight w:val="none"/>
          <w:u w:val="single"/>
          <w:lang w:val="en-US" w:eastAsia="zh-CN" w:bidi="ar-SA"/>
        </w:rPr>
        <w:t>5%</w:t>
      </w:r>
      <w:permEnd w:id="410"/>
      <w:r>
        <w:rPr>
          <w:rFonts w:hint="eastAsia" w:ascii="仿宋_GB2312" w:hAnsi="仿宋_GB2312" w:eastAsia="仿宋_GB2312" w:cs="仿宋_GB2312"/>
          <w:color w:val="auto"/>
          <w:kern w:val="0"/>
          <w:sz w:val="24"/>
          <w:szCs w:val="24"/>
          <w:highlight w:val="none"/>
          <w:lang w:val="en-US" w:eastAsia="zh-CN" w:bidi="ar-SA"/>
        </w:rPr>
        <w:t>向发包人支付违约金。</w:t>
      </w:r>
    </w:p>
    <w:p w14:paraId="262D0F1B">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由于承包人原因造成工程质量不合格，由此引起返工的一切费用由承包人自行承担，若因此带给其他项目(专业)的承包人连带损失时，一切赔偿责任由本工程承包人承担；造成发包人被他人索赔时，承包人应赔偿发包人因此遭受的损失。</w:t>
      </w:r>
    </w:p>
    <w:p w14:paraId="0BE15624">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5）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承包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就每处不符合要求的行为向发包人支付合同价款的</w:t>
      </w:r>
      <w:permStart w:id="411" w:edGrp="everyone"/>
      <w:r>
        <w:rPr>
          <w:rFonts w:hint="eastAsia" w:ascii="仿宋_GB2312" w:hAnsi="仿宋_GB2312" w:eastAsia="仿宋_GB2312" w:cs="仿宋_GB2312"/>
          <w:color w:val="auto"/>
          <w:kern w:val="0"/>
          <w:sz w:val="24"/>
          <w:szCs w:val="24"/>
          <w:highlight w:val="none"/>
          <w:u w:val="single"/>
          <w:lang w:val="en-US" w:eastAsia="zh-CN" w:bidi="ar-SA"/>
        </w:rPr>
        <w:t xml:space="preserve"> 1% </w:t>
      </w:r>
      <w:permEnd w:id="411"/>
      <w:r>
        <w:rPr>
          <w:rFonts w:hint="eastAsia" w:ascii="仿宋_GB2312" w:hAnsi="仿宋_GB2312" w:eastAsia="仿宋_GB2312" w:cs="仿宋_GB2312"/>
          <w:color w:val="auto"/>
          <w:kern w:val="0"/>
          <w:sz w:val="24"/>
          <w:szCs w:val="24"/>
          <w:highlight w:val="none"/>
          <w:lang w:val="en-US" w:eastAsia="zh-CN" w:bidi="ar-SA"/>
        </w:rPr>
        <w:t>作为违约金。</w:t>
      </w:r>
    </w:p>
    <w:p w14:paraId="46B72CBD">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6）若承包人在投标文件中已承诺本标段所有单位工程验收均达到优良等级，但在验收时未全部达到优良等级的，应支付合同价款</w:t>
      </w:r>
      <w:permStart w:id="412" w:edGrp="everyone"/>
      <w:r>
        <w:rPr>
          <w:rFonts w:hint="eastAsia" w:ascii="仿宋_GB2312" w:hAnsi="仿宋_GB2312" w:eastAsia="仿宋_GB2312" w:cs="仿宋_GB2312"/>
          <w:color w:val="auto"/>
          <w:kern w:val="0"/>
          <w:sz w:val="24"/>
          <w:szCs w:val="24"/>
          <w:highlight w:val="none"/>
          <w:u w:val="single"/>
          <w:lang w:val="en-US" w:eastAsia="zh-CN" w:bidi="ar-SA"/>
        </w:rPr>
        <w:t>2%</w:t>
      </w:r>
      <w:permEnd w:id="412"/>
      <w:r>
        <w:rPr>
          <w:rFonts w:hint="eastAsia" w:ascii="仿宋_GB2312" w:hAnsi="仿宋_GB2312" w:eastAsia="仿宋_GB2312" w:cs="仿宋_GB2312"/>
          <w:color w:val="auto"/>
          <w:kern w:val="0"/>
          <w:sz w:val="24"/>
          <w:szCs w:val="24"/>
          <w:highlight w:val="none"/>
          <w:lang w:val="en-US" w:eastAsia="zh-CN" w:bidi="ar-SA"/>
        </w:rPr>
        <w:t>的违约金给发包人。</w:t>
      </w:r>
    </w:p>
    <w:p w14:paraId="20594BB1">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承包人违反第51.4款的约定，未经监理工程师批准，私自将已按合同约定进入施工场地的施工设备、临时设施或材料撤离施工场地，监理工程师可向承包人发出整改通知，要求其在指定的期限内改正。承包人应承担其违约所引起的费用增加和（或）工期延误。</w:t>
      </w:r>
    </w:p>
    <w:p w14:paraId="0CC77D74">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（42）项目管理机构人员、机械设备、劳动力到位方面的违约责任</w:t>
      </w:r>
    </w:p>
    <w:p w14:paraId="22E1B6B4">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1）如果承包人未按投标文件中的机械设备投入计划投入机械设备，经监理工程师或发包人代表检查发现的，将书面告知限期整改，未在限期内完成整改的，每延期一天，承包人需支付</w:t>
      </w:r>
      <w:permStart w:id="413" w:edGrp="everyone"/>
      <w:r>
        <w:rPr>
          <w:rFonts w:hint="eastAsia" w:ascii="仿宋_GB2312" w:hAnsi="仿宋_GB2312" w:eastAsia="仿宋_GB2312" w:cs="仿宋_GB2312"/>
          <w:color w:val="auto"/>
          <w:kern w:val="0"/>
          <w:sz w:val="24"/>
          <w:szCs w:val="24"/>
          <w:highlight w:val="none"/>
          <w:u w:val="single"/>
          <w:lang w:val="en-US" w:eastAsia="zh-CN" w:bidi="ar-SA"/>
        </w:rPr>
        <w:t xml:space="preserve"> 3000元 </w:t>
      </w:r>
      <w:permEnd w:id="413"/>
      <w:r>
        <w:rPr>
          <w:rFonts w:hint="eastAsia" w:ascii="仿宋_GB2312" w:hAnsi="仿宋_GB2312" w:eastAsia="仿宋_GB2312" w:cs="仿宋_GB2312"/>
          <w:color w:val="auto"/>
          <w:kern w:val="0"/>
          <w:sz w:val="24"/>
          <w:szCs w:val="24"/>
          <w:highlight w:val="none"/>
          <w:lang w:val="en-US" w:eastAsia="zh-CN" w:bidi="ar-SA"/>
        </w:rPr>
        <w:t>违约金给发包人。</w:t>
      </w:r>
    </w:p>
    <w:p w14:paraId="0C42F0AE">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2）如果承包人未按投标文件中的人力投入计划投入人力，经监理工程师和发包人代表检查发现的，每发现一次，承包人向发包人支付</w:t>
      </w:r>
      <w:permStart w:id="414" w:edGrp="everyone"/>
      <w:r>
        <w:rPr>
          <w:rFonts w:hint="eastAsia" w:ascii="仿宋_GB2312" w:hAnsi="仿宋_GB2312" w:eastAsia="仿宋_GB2312" w:cs="仿宋_GB2312"/>
          <w:color w:val="auto"/>
          <w:kern w:val="0"/>
          <w:sz w:val="24"/>
          <w:szCs w:val="24"/>
          <w:highlight w:val="none"/>
          <w:u w:val="single"/>
          <w:lang w:val="en-US" w:eastAsia="zh-CN" w:bidi="ar-SA"/>
        </w:rPr>
        <w:t xml:space="preserve"> 3000元 </w:t>
      </w:r>
      <w:permEnd w:id="414"/>
      <w:r>
        <w:rPr>
          <w:rFonts w:hint="eastAsia" w:ascii="仿宋_GB2312" w:hAnsi="仿宋_GB2312" w:eastAsia="仿宋_GB2312" w:cs="仿宋_GB2312"/>
          <w:color w:val="auto"/>
          <w:kern w:val="0"/>
          <w:sz w:val="24"/>
          <w:szCs w:val="24"/>
          <w:highlight w:val="none"/>
          <w:lang w:val="en-US" w:eastAsia="zh-CN" w:bidi="ar-SA"/>
        </w:rPr>
        <w:t>作为违约金。</w:t>
      </w:r>
    </w:p>
    <w:p w14:paraId="2CBED91B">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如果检查发现承包人超过三次未按承诺投入的人力、机械、物力组织施工，发包人将作为不良纪录报区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发包人将发出书面警告，警告发出后15天内，主要工序的工期延误仍然超过10天，发包人将作为不良纪录报区、市建设行政主管部门备案。对此，承包人不得有异议。</w:t>
      </w:r>
    </w:p>
    <w:p w14:paraId="6E7726A4">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4）安全负责人、质量负责人、防火负责人等必须常驻施工现场，且须无条件参加每周的工地例会以及双方约定的其他重要会议，如有缺席，则每人每缺席一次，承包人向发包人支付</w:t>
      </w:r>
      <w:permStart w:id="415" w:edGrp="everyone"/>
      <w:r>
        <w:rPr>
          <w:rFonts w:hint="eastAsia" w:ascii="仿宋_GB2312" w:hAnsi="仿宋_GB2312" w:eastAsia="仿宋_GB2312" w:cs="仿宋_GB2312"/>
          <w:color w:val="auto"/>
          <w:kern w:val="0"/>
          <w:sz w:val="24"/>
          <w:szCs w:val="24"/>
          <w:highlight w:val="none"/>
          <w:u w:val="single"/>
          <w:lang w:val="en-US" w:eastAsia="zh-CN" w:bidi="ar-SA"/>
        </w:rPr>
        <w:t xml:space="preserve">  5000元 </w:t>
      </w:r>
      <w:permEnd w:id="415"/>
      <w:r>
        <w:rPr>
          <w:rFonts w:hint="eastAsia" w:ascii="仿宋_GB2312" w:hAnsi="仿宋_GB2312" w:eastAsia="仿宋_GB2312" w:cs="仿宋_GB2312"/>
          <w:color w:val="auto"/>
          <w:kern w:val="0"/>
          <w:sz w:val="24"/>
          <w:szCs w:val="24"/>
          <w:highlight w:val="none"/>
          <w:lang w:val="en-US" w:eastAsia="zh-CN" w:bidi="ar-SA"/>
        </w:rPr>
        <w:t>人民币作为违约金。</w:t>
      </w:r>
    </w:p>
    <w:p w14:paraId="36708EBB">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（43）工程违法分包、转包违约责任</w:t>
      </w:r>
    </w:p>
    <w:p w14:paraId="45347E73">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承包人在本工程中擅自分包、违法分包或者转包工程、转让、出借资质证书或者以其他方式允许他人以本企业的名义承揽工程的，或者私自将合同的全部或部分权利转让给其他人，或者私自将合同的全部或部分义务转移给其他人的，须向发包人支付合同价款的</w:t>
      </w:r>
      <w:permStart w:id="416" w:edGrp="everyone"/>
      <w:r>
        <w:rPr>
          <w:rFonts w:hint="eastAsia" w:ascii="仿宋_GB2312" w:hAnsi="仿宋_GB2312" w:eastAsia="仿宋_GB2312" w:cs="仿宋_GB2312"/>
          <w:color w:val="auto"/>
          <w:kern w:val="0"/>
          <w:sz w:val="24"/>
          <w:szCs w:val="24"/>
          <w:highlight w:val="none"/>
          <w:u w:val="single"/>
          <w:lang w:val="en-US" w:eastAsia="zh-CN" w:bidi="ar-SA"/>
        </w:rPr>
        <w:t xml:space="preserve"> 1.5‰ </w:t>
      </w:r>
      <w:permEnd w:id="416"/>
      <w:r>
        <w:rPr>
          <w:rFonts w:hint="eastAsia" w:ascii="仿宋_GB2312" w:hAnsi="仿宋_GB2312" w:eastAsia="仿宋_GB2312" w:cs="仿宋_GB2312"/>
          <w:color w:val="auto"/>
          <w:kern w:val="0"/>
          <w:sz w:val="24"/>
          <w:szCs w:val="24"/>
          <w:highlight w:val="none"/>
          <w:lang w:val="en-US" w:eastAsia="zh-CN" w:bidi="ar-SA"/>
        </w:rPr>
        <w:t>作为违约金，同时，发包人有权单方解除部分合同或解除合同，由此而造成的经济损失由承包人负责赔偿。</w:t>
      </w:r>
    </w:p>
    <w:p w14:paraId="2463BF68">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分包工程应当事先需取得监理工程师、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3AAF331E">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（44）承包人违约责任的认定方式、送达程序及违约金的处理</w:t>
      </w:r>
    </w:p>
    <w:p w14:paraId="63F15A6A">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1）认定方式：以发包人发出的通知、通报、会议纪要等书面文件确定的内容为准。</w:t>
      </w:r>
    </w:p>
    <w:p w14:paraId="17694E5F">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2）送达程序：发包人以下列方式之一将书面违约处理决定送达承包人：</w:t>
      </w:r>
    </w:p>
    <w:p w14:paraId="340E5027">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①承包人现场管理机构工作人员签收。</w:t>
      </w:r>
    </w:p>
    <w:p w14:paraId="457F8BA5">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②承包人其他工作人员签收。</w:t>
      </w:r>
    </w:p>
    <w:p w14:paraId="738D30F9">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③发包人邮寄送达。</w:t>
      </w:r>
    </w:p>
    <w:p w14:paraId="3C962A0A">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个工作日内审核完毕且作出书面决定并通知承包人。在异议审核期间，承包人须正常施工，不得以审核未确定为由拖延或者中止工程施工。</w:t>
      </w:r>
    </w:p>
    <w:p w14:paraId="65AE6A4D">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（45）如发现承包人所提交的竣工图、工程量及结算资料存在弄虚作假等情形的，无论何时发包人均保留追究承包人相应违约责任及相关法律责任的权利。</w:t>
      </w:r>
    </w:p>
    <w:p w14:paraId="55D58F17">
      <w:pPr>
        <w:numPr>
          <w:ilvl w:val="255"/>
          <w:numId w:val="0"/>
        </w:numPr>
        <w:spacing w:line="42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（46）承包人的其他违约责任。</w:t>
      </w:r>
    </w:p>
    <w:p w14:paraId="7FCD7923">
      <w:pPr>
        <w:widowControl w:val="0"/>
        <w:adjustRightInd w:val="0"/>
        <w:spacing w:line="420" w:lineRule="exact"/>
        <w:ind w:firstLine="480" w:firstLineChars="200"/>
        <w:jc w:val="both"/>
        <w:textAlignment w:val="baseline"/>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除上述违约责任外，因承包人履行本合同不符合约定或相关规定，发包人可根据实际情况，给予承包人通报批评及作不良记录等处罚措施；监理工程师可向承包人发出整改通知，要求其在指定的期限内纠正。同时，承包人须向发包人支付合同价款的</w:t>
      </w:r>
      <w:permStart w:id="417" w:edGrp="everyone"/>
      <w:r>
        <w:rPr>
          <w:rFonts w:hint="eastAsia" w:ascii="仿宋_GB2312" w:hAnsi="仿宋_GB2312" w:eastAsia="仿宋_GB2312" w:cs="仿宋_GB2312"/>
          <w:color w:val="auto"/>
          <w:kern w:val="0"/>
          <w:sz w:val="24"/>
          <w:szCs w:val="24"/>
          <w:highlight w:val="none"/>
          <w:u w:val="single"/>
          <w:lang w:val="en-US" w:eastAsia="zh-CN" w:bidi="ar-SA"/>
        </w:rPr>
        <w:t xml:space="preserve"> 0.1% </w:t>
      </w:r>
      <w:permEnd w:id="417"/>
      <w:r>
        <w:rPr>
          <w:rFonts w:hint="eastAsia" w:ascii="仿宋_GB2312" w:hAnsi="仿宋_GB2312" w:eastAsia="仿宋_GB2312" w:cs="仿宋_GB2312"/>
          <w:color w:val="auto"/>
          <w:kern w:val="0"/>
          <w:sz w:val="24"/>
          <w:szCs w:val="24"/>
          <w:highlight w:val="none"/>
          <w:lang w:val="en-US" w:eastAsia="zh-CN" w:bidi="ar-SA"/>
        </w:rPr>
        <w:t>作为违约金，并承担其违约所引起的费用增加和(或)工期延误。</w:t>
      </w:r>
    </w:p>
    <w:p w14:paraId="5665D8CF">
      <w:pPr>
        <w:widowControl w:val="0"/>
        <w:adjustRightInd w:val="0"/>
        <w:spacing w:line="420" w:lineRule="exact"/>
        <w:ind w:firstLine="0"/>
        <w:jc w:val="both"/>
        <w:textAlignment w:val="baseline"/>
        <w:rPr>
          <w:rFonts w:hint="eastAsia" w:ascii="仿宋_GB2312" w:hAnsi="仿宋_GB2312" w:eastAsia="仿宋_GB2312" w:cs="仿宋_GB2312"/>
          <w:color w:val="auto"/>
          <w:kern w:val="0"/>
          <w:sz w:val="24"/>
          <w:szCs w:val="24"/>
          <w:highlight w:val="none"/>
          <w:lang w:val="en-US" w:eastAsia="zh-CN" w:bidi="ar-SA"/>
        </w:rPr>
      </w:pPr>
    </w:p>
    <w:p w14:paraId="54B87474">
      <w:pPr>
        <w:widowControl w:val="0"/>
        <w:adjustRightInd w:val="0"/>
        <w:spacing w:line="420" w:lineRule="exact"/>
        <w:ind w:firstLine="0"/>
        <w:jc w:val="both"/>
        <w:textAlignment w:val="baseline"/>
        <w:rPr>
          <w:rFonts w:hint="eastAsia" w:ascii="黑体" w:hAnsi="黑体" w:eastAsia="黑体" w:cs="黑体"/>
          <w:b w:val="0"/>
          <w:bCs w:val="0"/>
          <w:color w:val="auto"/>
          <w:kern w:val="0"/>
          <w:sz w:val="24"/>
          <w:szCs w:val="24"/>
          <w:highlight w:val="none"/>
          <w:lang w:val="en-US" w:eastAsia="zh-CN" w:bidi="ar-SA"/>
        </w:rPr>
      </w:pPr>
      <w:r>
        <w:rPr>
          <w:rFonts w:hint="eastAsia" w:ascii="黑体" w:hAnsi="黑体" w:eastAsia="黑体" w:cs="黑体"/>
          <w:b w:val="0"/>
          <w:bCs w:val="0"/>
          <w:color w:val="auto"/>
          <w:kern w:val="0"/>
          <w:sz w:val="24"/>
          <w:szCs w:val="24"/>
          <w:highlight w:val="none"/>
          <w:lang w:val="en-US" w:eastAsia="zh-CN" w:bidi="ar-SA"/>
        </w:rPr>
        <w:t>91. 发包人的违约责任</w:t>
      </w:r>
    </w:p>
    <w:p w14:paraId="43ACCB35">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发包人未能按合同约定支付预付款或合同价款，或拖延、拒绝批准付款申请和支付凭证，导致付款延误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14:paraId="0BE7FE79">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发包人原因造成停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14:paraId="0168D8CF">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监理人无正当理由没有在约定期限内发出复工指示，导致承包人无法复工的，承包人可向发包人发出通知，要求发包人采取有效措施纠正违约行为。发包人收到承包人通知后的28天内仍不履行合同义务，承包人有权暂停施工，并通知监理工程师，发包人应承担由此增加的费用和（或）工期延误，并支付承包人合理利润。</w:t>
      </w:r>
    </w:p>
    <w:p w14:paraId="309C6ACA">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（4）发包人无法继续履行或明确表示不履行或实质上已停止履行合同的，承包人可书面通知发包人解除合同。</w:t>
      </w:r>
    </w:p>
    <w:p w14:paraId="0E73DD2B">
      <w:pPr>
        <w:numPr>
          <w:ilvl w:val="255"/>
          <w:numId w:val="0"/>
        </w:num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（5）承包人暂停施工28天后，发包人仍不纠正违约行为的，承包人可向发包人发出解除合同通知。但承包人的这一行动不免除发包人承担的违约责任，也不影响承包人根据合同约定享有的索赔权利。</w:t>
      </w:r>
    </w:p>
    <w:p w14:paraId="1DB01EA6">
      <w:pPr>
        <w:spacing w:line="42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（6）发包人的其他违约责任。</w:t>
      </w:r>
    </w:p>
    <w:p w14:paraId="54042F46">
      <w:pPr>
        <w:spacing w:line="420" w:lineRule="exact"/>
        <w:jc w:val="left"/>
        <w:rPr>
          <w:rFonts w:hint="eastAsia" w:ascii="仿宋_GB2312" w:hAnsi="仿宋_GB2312" w:eastAsia="仿宋_GB2312" w:cs="仿宋_GB2312"/>
          <w:color w:val="auto"/>
          <w:kern w:val="0"/>
          <w:sz w:val="24"/>
          <w:szCs w:val="24"/>
          <w:highlight w:val="none"/>
        </w:rPr>
      </w:pPr>
    </w:p>
    <w:p w14:paraId="723386EB">
      <w:pPr>
        <w:spacing w:line="420" w:lineRule="exact"/>
        <w:jc w:val="lef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94. 保密要求</w:t>
      </w:r>
      <w:bookmarkEnd w:id="708"/>
      <w:bookmarkEnd w:id="709"/>
    </w:p>
    <w:p w14:paraId="72756AC2">
      <w:pPr>
        <w:spacing w:line="420" w:lineRule="exact"/>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rPr>
        <w:t xml:space="preserve">  94.1 提供保密信息的期限：</w:t>
      </w:r>
      <w:bookmarkStart w:id="710" w:name="_Toc10624981"/>
      <w:bookmarkStart w:id="711" w:name="_Toc469384137"/>
      <w:permStart w:id="418"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none"/>
        </w:rPr>
        <w:t>根据发包人要求执行</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single"/>
        </w:rPr>
        <w:t xml:space="preserve"> </w:t>
      </w:r>
      <w:permEnd w:id="418"/>
    </w:p>
    <w:p w14:paraId="3BA45F37">
      <w:pPr>
        <w:spacing w:line="420" w:lineRule="exact"/>
        <w:rPr>
          <w:rFonts w:hint="eastAsia" w:ascii="仿宋_GB2312" w:hAnsi="仿宋_GB2312" w:eastAsia="仿宋_GB2312" w:cs="仿宋_GB2312"/>
          <w:b/>
          <w:bCs/>
          <w:color w:val="auto"/>
          <w:sz w:val="24"/>
          <w:szCs w:val="24"/>
          <w:highlight w:val="none"/>
        </w:rPr>
      </w:pPr>
    </w:p>
    <w:p w14:paraId="168AFB67">
      <w:pPr>
        <w:spacing w:line="420" w:lineRule="exac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97. 合同份数</w:t>
      </w:r>
      <w:bookmarkEnd w:id="710"/>
      <w:bookmarkEnd w:id="711"/>
    </w:p>
    <w:p w14:paraId="5B644C25">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97.1 约定提供合同文件</w:t>
      </w:r>
    </w:p>
    <w:p w14:paraId="40FD1CE2">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提供合同文本：</w:t>
      </w:r>
    </w:p>
    <w:p w14:paraId="283F5834">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rPr>
        <w:sym w:font="Wingdings 2" w:char="0052"/>
      </w:r>
      <w:r>
        <w:rPr>
          <w:rFonts w:hint="eastAsia" w:ascii="仿宋_GB2312" w:hAnsi="仿宋_GB2312" w:eastAsia="仿宋_GB2312" w:cs="仿宋_GB2312"/>
          <w:color w:val="auto"/>
          <w:kern w:val="0"/>
          <w:sz w:val="24"/>
          <w:szCs w:val="24"/>
          <w:highlight w:val="none"/>
        </w:rPr>
        <w:t xml:space="preserve"> 按通用条款的规定，由发包人向承包人提供。</w:t>
      </w:r>
    </w:p>
    <w:p w14:paraId="2A62A9A2">
      <w:pPr>
        <w:spacing w:line="420" w:lineRule="exact"/>
        <w:ind w:firstLine="240" w:firstLineChars="1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sym w:font="Wingdings 2" w:char="0051"/>
      </w:r>
      <w:r>
        <w:rPr>
          <w:rFonts w:hint="eastAsia" w:ascii="仿宋_GB2312" w:hAnsi="仿宋_GB2312" w:eastAsia="仿宋_GB2312" w:cs="仿宋_GB2312"/>
          <w:color w:val="auto"/>
          <w:kern w:val="0"/>
          <w:sz w:val="24"/>
          <w:szCs w:val="24"/>
          <w:highlight w:val="none"/>
        </w:rPr>
        <w:t xml:space="preserve"> 另有约定：</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w:t>
      </w:r>
      <w:r>
        <w:rPr>
          <w:rFonts w:hint="eastAsia" w:ascii="仿宋_GB2312" w:hAnsi="仿宋_GB2312" w:eastAsia="仿宋_GB2312" w:cs="仿宋_GB2312"/>
          <w:color w:val="auto"/>
          <w:kern w:val="0"/>
          <w:sz w:val="24"/>
          <w:szCs w:val="24"/>
          <w:highlight w:val="none"/>
          <w:u w:val="single"/>
        </w:rPr>
        <w:t xml:space="preserve">                          </w:t>
      </w:r>
    </w:p>
    <w:p w14:paraId="5C747A26">
      <w:pPr>
        <w:spacing w:line="42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97.2 正副本效力</w:t>
      </w:r>
    </w:p>
    <w:p w14:paraId="3B12DC16">
      <w:pPr>
        <w:spacing w:line="420" w:lineRule="exact"/>
        <w:ind w:left="218" w:leftChars="104"/>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合同的份数：正本</w:t>
      </w:r>
      <w:permStart w:id="419"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贰</w:t>
      </w:r>
      <w:r>
        <w:rPr>
          <w:rFonts w:hint="eastAsia" w:ascii="仿宋_GB2312" w:hAnsi="仿宋_GB2312" w:eastAsia="仿宋_GB2312" w:cs="仿宋_GB2312"/>
          <w:color w:val="auto"/>
          <w:kern w:val="0"/>
          <w:sz w:val="24"/>
          <w:szCs w:val="24"/>
          <w:highlight w:val="none"/>
          <w:u w:val="single"/>
        </w:rPr>
        <w:t xml:space="preserve">  </w:t>
      </w:r>
      <w:permEnd w:id="419"/>
      <w:r>
        <w:rPr>
          <w:rFonts w:hint="eastAsia" w:ascii="仿宋_GB2312" w:hAnsi="仿宋_GB2312" w:eastAsia="仿宋_GB2312" w:cs="仿宋_GB2312"/>
          <w:color w:val="auto"/>
          <w:kern w:val="0"/>
          <w:sz w:val="24"/>
          <w:szCs w:val="24"/>
          <w:highlight w:val="none"/>
        </w:rPr>
        <w:t>份，副本</w:t>
      </w:r>
      <w:permStart w:id="420"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伍</w:t>
      </w:r>
      <w:r>
        <w:rPr>
          <w:rFonts w:hint="eastAsia" w:ascii="仿宋_GB2312" w:hAnsi="仿宋_GB2312" w:eastAsia="仿宋_GB2312" w:cs="仿宋_GB2312"/>
          <w:color w:val="auto"/>
          <w:kern w:val="0"/>
          <w:sz w:val="24"/>
          <w:szCs w:val="24"/>
          <w:highlight w:val="none"/>
          <w:u w:val="single"/>
        </w:rPr>
        <w:t xml:space="preserve">  </w:t>
      </w:r>
      <w:permEnd w:id="420"/>
      <w:r>
        <w:rPr>
          <w:rFonts w:hint="eastAsia" w:ascii="仿宋_GB2312" w:hAnsi="仿宋_GB2312" w:eastAsia="仿宋_GB2312" w:cs="仿宋_GB2312"/>
          <w:color w:val="auto"/>
          <w:kern w:val="0"/>
          <w:sz w:val="24"/>
          <w:szCs w:val="24"/>
          <w:highlight w:val="none"/>
        </w:rPr>
        <w:t>份。其中：发包人正本</w:t>
      </w:r>
      <w:permStart w:id="421"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壹</w:t>
      </w:r>
      <w:r>
        <w:rPr>
          <w:rFonts w:hint="eastAsia" w:ascii="仿宋_GB2312" w:hAnsi="仿宋_GB2312" w:eastAsia="仿宋_GB2312" w:cs="仿宋_GB2312"/>
          <w:color w:val="auto"/>
          <w:kern w:val="0"/>
          <w:sz w:val="24"/>
          <w:szCs w:val="24"/>
          <w:highlight w:val="none"/>
          <w:u w:val="single"/>
        </w:rPr>
        <w:t xml:space="preserve">   </w:t>
      </w:r>
      <w:permEnd w:id="421"/>
      <w:r>
        <w:rPr>
          <w:rFonts w:hint="eastAsia" w:ascii="仿宋_GB2312" w:hAnsi="仿宋_GB2312" w:eastAsia="仿宋_GB2312" w:cs="仿宋_GB2312"/>
          <w:color w:val="auto"/>
          <w:kern w:val="0"/>
          <w:sz w:val="24"/>
          <w:szCs w:val="24"/>
          <w:highlight w:val="none"/>
        </w:rPr>
        <w:t>份，副本</w:t>
      </w:r>
      <w:r>
        <w:rPr>
          <w:rFonts w:hint="eastAsia" w:ascii="仿宋_GB2312" w:hAnsi="仿宋_GB2312" w:eastAsia="仿宋_GB2312" w:cs="仿宋_GB2312"/>
          <w:color w:val="auto"/>
          <w:kern w:val="0"/>
          <w:sz w:val="24"/>
          <w:szCs w:val="24"/>
          <w:highlight w:val="none"/>
          <w:lang w:val="en-US" w:eastAsia="zh-CN"/>
        </w:rPr>
        <w:t>叁</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rPr>
        <w:t>份；承包人正本</w:t>
      </w:r>
      <w:permStart w:id="422" w:edGrp="everyone"/>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壹</w:t>
      </w:r>
      <w:r>
        <w:rPr>
          <w:rFonts w:hint="eastAsia" w:ascii="仿宋_GB2312" w:hAnsi="仿宋_GB2312" w:eastAsia="仿宋_GB2312" w:cs="仿宋_GB2312"/>
          <w:color w:val="auto"/>
          <w:kern w:val="0"/>
          <w:sz w:val="24"/>
          <w:szCs w:val="24"/>
          <w:highlight w:val="none"/>
          <w:u w:val="single"/>
        </w:rPr>
        <w:t xml:space="preserve">   </w:t>
      </w:r>
      <w:permEnd w:id="422"/>
      <w:r>
        <w:rPr>
          <w:rFonts w:hint="eastAsia" w:ascii="仿宋_GB2312" w:hAnsi="仿宋_GB2312" w:eastAsia="仿宋_GB2312" w:cs="仿宋_GB2312"/>
          <w:color w:val="auto"/>
          <w:kern w:val="0"/>
          <w:sz w:val="24"/>
          <w:szCs w:val="24"/>
          <w:highlight w:val="none"/>
        </w:rPr>
        <w:t>份，副本</w:t>
      </w:r>
      <w:permStart w:id="423" w:edGrp="everyone"/>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4"/>
          <w:highlight w:val="none"/>
          <w:u w:val="single"/>
          <w:lang w:val="en-US" w:eastAsia="zh-CN"/>
        </w:rPr>
        <w:t>贰</w:t>
      </w:r>
      <w:r>
        <w:rPr>
          <w:rFonts w:hint="eastAsia" w:ascii="仿宋_GB2312" w:hAnsi="仿宋_GB2312" w:eastAsia="仿宋_GB2312" w:cs="仿宋_GB2312"/>
          <w:color w:val="auto"/>
          <w:kern w:val="0"/>
          <w:sz w:val="24"/>
          <w:szCs w:val="24"/>
          <w:highlight w:val="none"/>
          <w:u w:val="single"/>
        </w:rPr>
        <w:t xml:space="preserve">   </w:t>
      </w:r>
      <w:permEnd w:id="423"/>
      <w:r>
        <w:rPr>
          <w:rFonts w:hint="eastAsia" w:ascii="仿宋_GB2312" w:hAnsi="仿宋_GB2312" w:eastAsia="仿宋_GB2312" w:cs="仿宋_GB2312"/>
          <w:color w:val="auto"/>
          <w:kern w:val="0"/>
          <w:sz w:val="24"/>
          <w:szCs w:val="24"/>
          <w:highlight w:val="none"/>
        </w:rPr>
        <w:t>份。</w:t>
      </w:r>
      <w:bookmarkStart w:id="712" w:name="_Toc10624982"/>
      <w:bookmarkStart w:id="713" w:name="_Toc469384138"/>
      <w:bookmarkStart w:id="714" w:name="_Toc266892922"/>
    </w:p>
    <w:p w14:paraId="329D7961">
      <w:pPr>
        <w:spacing w:line="420" w:lineRule="exact"/>
        <w:jc w:val="center"/>
        <w:rPr>
          <w:rFonts w:ascii="方正黑体_GBK" w:hAnsi="方正黑体_GBK" w:eastAsia="方正黑体_GBK" w:cs="方正黑体_GBK"/>
          <w:b/>
          <w:bCs/>
          <w:color w:val="auto"/>
          <w:szCs w:val="21"/>
          <w:highlight w:val="none"/>
        </w:rPr>
      </w:pPr>
      <w:r>
        <w:rPr>
          <w:rFonts w:hint="eastAsia" w:ascii="方正黑体_GBK" w:hAnsi="方正黑体_GBK" w:eastAsia="方正黑体_GBK" w:cs="方正黑体_GBK"/>
          <w:b/>
          <w:bCs/>
          <w:color w:val="auto"/>
          <w:szCs w:val="21"/>
          <w:highlight w:val="none"/>
        </w:rPr>
        <w:br w:type="page"/>
      </w:r>
    </w:p>
    <w:p w14:paraId="5BBEAAE4">
      <w:pPr>
        <w:keepNext/>
        <w:keepLines/>
        <w:widowControl/>
        <w:numPr>
          <w:ilvl w:val="255"/>
          <w:numId w:val="0"/>
        </w:numPr>
        <w:tabs>
          <w:tab w:val="left" w:pos="420"/>
        </w:tabs>
        <w:spacing w:before="0" w:after="0"/>
        <w:ind w:left="432" w:hanging="432"/>
        <w:jc w:val="center"/>
        <w:outlineLvl w:val="0"/>
        <w:rPr>
          <w:rFonts w:ascii="方正黑体_GBK" w:hAnsi="方正黑体_GBK" w:eastAsia="方正黑体_GBK" w:cs="方正黑体_GBK"/>
          <w:b/>
          <w:bCs/>
          <w:color w:val="auto"/>
          <w:kern w:val="0"/>
          <w:sz w:val="28"/>
          <w:szCs w:val="28"/>
          <w:highlight w:val="none"/>
          <w:lang w:val="en-US" w:eastAsia="zh-CN" w:bidi="ar-SA"/>
        </w:rPr>
      </w:pPr>
    </w:p>
    <w:p w14:paraId="3444B38E">
      <w:pPr>
        <w:keepNext/>
        <w:keepLines/>
        <w:widowControl/>
        <w:numPr>
          <w:ilvl w:val="255"/>
          <w:numId w:val="0"/>
        </w:numPr>
        <w:tabs>
          <w:tab w:val="left" w:pos="420"/>
        </w:tabs>
        <w:spacing w:before="0" w:after="0"/>
        <w:ind w:left="432" w:hanging="432"/>
        <w:jc w:val="center"/>
        <w:outlineLvl w:val="0"/>
        <w:rPr>
          <w:rFonts w:hint="eastAsia" w:ascii="方正小标宋简体" w:hAnsi="方正小标宋简体" w:eastAsia="方正小标宋简体" w:cs="方正小标宋简体"/>
          <w:b w:val="0"/>
          <w:bCs w:val="0"/>
          <w:color w:val="auto"/>
          <w:kern w:val="0"/>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0"/>
          <w:sz w:val="32"/>
          <w:szCs w:val="32"/>
          <w:highlight w:val="none"/>
          <w:lang w:val="en-US" w:eastAsia="zh-CN" w:bidi="ar-SA"/>
        </w:rPr>
        <w:t>第四部分 附件与格式</w:t>
      </w:r>
      <w:bookmarkEnd w:id="712"/>
      <w:bookmarkEnd w:id="713"/>
      <w:bookmarkEnd w:id="714"/>
    </w:p>
    <w:p w14:paraId="6C95AB37">
      <w:pPr>
        <w:spacing w:line="560" w:lineRule="exact"/>
        <w:ind w:firstLine="640" w:firstLineChars="200"/>
        <w:rPr>
          <w:rFonts w:ascii="仿宋_GB2312" w:hAnsi="宋体" w:eastAsia="仿宋_GB2312" w:cs="宋体"/>
          <w:color w:val="auto"/>
          <w:kern w:val="0"/>
          <w:sz w:val="32"/>
          <w:szCs w:val="32"/>
          <w:highlight w:val="none"/>
        </w:rPr>
      </w:pPr>
      <w:bookmarkStart w:id="715" w:name="_Toc469384139"/>
      <w:bookmarkStart w:id="716" w:name="_Toc10624983"/>
      <w:bookmarkStart w:id="717" w:name="_Toc266892923"/>
    </w:p>
    <w:p w14:paraId="26122B8B">
      <w:pPr>
        <w:spacing w:line="560" w:lineRule="exact"/>
        <w:ind w:firstLine="480" w:firstLineChars="200"/>
        <w:rPr>
          <w:rFonts w:ascii="仿宋_GB2312" w:hAnsi="宋体" w:eastAsia="仿宋_GB2312" w:cs="宋体"/>
          <w:strike/>
          <w:color w:val="auto"/>
          <w:kern w:val="0"/>
          <w:sz w:val="24"/>
          <w:szCs w:val="24"/>
          <w:highlight w:val="none"/>
        </w:rPr>
      </w:pPr>
      <w:permStart w:id="424" w:edGrp="everyone"/>
      <w:r>
        <w:rPr>
          <w:rFonts w:hint="eastAsia" w:ascii="仿宋_GB2312" w:hAnsi="宋体" w:eastAsia="仿宋_GB2312" w:cs="宋体"/>
          <w:strike/>
          <w:color w:val="auto"/>
          <w:kern w:val="0"/>
          <w:sz w:val="24"/>
          <w:szCs w:val="24"/>
          <w:highlight w:val="none"/>
        </w:rPr>
        <w:t>附件1联合体施工协议书</w:t>
      </w:r>
    </w:p>
    <w:p w14:paraId="69211569">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附件2承包人派驻现场主要管理人员及技术骨干名单</w:t>
      </w:r>
    </w:p>
    <w:p w14:paraId="0AB996A8">
      <w:pPr>
        <w:spacing w:line="560" w:lineRule="exact"/>
        <w:ind w:firstLine="480" w:firstLineChars="200"/>
        <w:rPr>
          <w:rFonts w:ascii="仿宋_GB2312" w:hAnsi="宋体" w:eastAsia="仿宋_GB2312" w:cs="宋体"/>
          <w:strike/>
          <w:color w:val="auto"/>
          <w:kern w:val="0"/>
          <w:sz w:val="24"/>
          <w:szCs w:val="24"/>
          <w:highlight w:val="none"/>
        </w:rPr>
      </w:pPr>
      <w:r>
        <w:rPr>
          <w:rFonts w:hint="eastAsia" w:ascii="仿宋_GB2312" w:hAnsi="宋体" w:eastAsia="仿宋_GB2312" w:cs="宋体"/>
          <w:strike/>
          <w:color w:val="auto"/>
          <w:kern w:val="0"/>
          <w:sz w:val="24"/>
          <w:szCs w:val="24"/>
          <w:highlight w:val="none"/>
        </w:rPr>
        <w:t>附件3发包人供应材料设备一览表</w:t>
      </w:r>
    </w:p>
    <w:p w14:paraId="37A7D6FF">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附件4工程质量保修书</w:t>
      </w:r>
    </w:p>
    <w:p w14:paraId="2B22F49C">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附件5工程安全生产、质量文明施工协议书</w:t>
      </w:r>
    </w:p>
    <w:p w14:paraId="2C260CE8">
      <w:pPr>
        <w:spacing w:line="560" w:lineRule="exact"/>
        <w:ind w:firstLine="480" w:firstLineChars="200"/>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附件6廉洁责任书</w:t>
      </w:r>
    </w:p>
    <w:p w14:paraId="264C3377">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附件7建设工程按系数计算的绿色施工安全防护措施费协议书</w:t>
      </w:r>
    </w:p>
    <w:p w14:paraId="01029BDC">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附件8环保承诺书</w:t>
      </w:r>
    </w:p>
    <w:p w14:paraId="0F2815FC">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附件9外来人员工作证样式</w:t>
      </w:r>
    </w:p>
    <w:p w14:paraId="4D24F44C">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附件10施工现场安全管理处罚细则</w:t>
      </w:r>
    </w:p>
    <w:p w14:paraId="7E47483C">
      <w:pPr>
        <w:spacing w:line="560" w:lineRule="exact"/>
        <w:ind w:firstLine="484" w:firstLineChars="200"/>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 xml:space="preserve">附件11日间施工标准化清单 </w:t>
      </w:r>
    </w:p>
    <w:p w14:paraId="4965E711">
      <w:pPr>
        <w:spacing w:line="560" w:lineRule="exact"/>
        <w:ind w:firstLine="484" w:firstLineChars="200"/>
        <w:rPr>
          <w:rFonts w:ascii="仿宋_GB2312" w:hAnsi="Calibri" w:eastAsia="仿宋_GB2312" w:cs="Calibri"/>
          <w:color w:val="auto"/>
          <w:kern w:val="0"/>
          <w:sz w:val="24"/>
          <w:szCs w:val="24"/>
          <w:highlight w:val="none"/>
        </w:rPr>
      </w:pPr>
      <w:r>
        <w:rPr>
          <w:rFonts w:hint="eastAsia" w:ascii="仿宋_GB2312" w:hAnsi="Calibri" w:eastAsia="仿宋_GB2312" w:cs="宋体"/>
          <w:color w:val="auto"/>
          <w:spacing w:val="1"/>
          <w:kern w:val="0"/>
          <w:sz w:val="24"/>
          <w:szCs w:val="24"/>
          <w:highlight w:val="none"/>
        </w:rPr>
        <w:t>附件12夜间施工标准化清单</w:t>
      </w:r>
    </w:p>
    <w:p w14:paraId="0E8171B1">
      <w:pPr>
        <w:spacing w:line="560" w:lineRule="exact"/>
        <w:ind w:firstLine="484" w:firstLineChars="200"/>
        <w:jc w:val="left"/>
        <w:rPr>
          <w:rFonts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附件13拟投入的机械设备承诺函</w:t>
      </w:r>
    </w:p>
    <w:p w14:paraId="2D1C25CA">
      <w:pPr>
        <w:spacing w:line="560" w:lineRule="exact"/>
        <w:ind w:firstLine="484" w:firstLineChars="200"/>
        <w:jc w:val="left"/>
        <w:rPr>
          <w:rFonts w:ascii="仿宋_GB2312" w:hAnsi="Calibri" w:eastAsia="仿宋_GB2312" w:cs="宋体"/>
          <w:strike w:val="0"/>
          <w:color w:val="auto"/>
          <w:spacing w:val="1"/>
          <w:kern w:val="0"/>
          <w:sz w:val="24"/>
          <w:szCs w:val="24"/>
          <w:highlight w:val="none"/>
        </w:rPr>
      </w:pPr>
      <w:r>
        <w:rPr>
          <w:rFonts w:hint="eastAsia" w:ascii="仿宋_GB2312" w:hAnsi="Calibri" w:eastAsia="仿宋_GB2312" w:cs="宋体"/>
          <w:strike w:val="0"/>
          <w:color w:val="auto"/>
          <w:spacing w:val="1"/>
          <w:kern w:val="0"/>
          <w:sz w:val="24"/>
          <w:szCs w:val="24"/>
          <w:highlight w:val="none"/>
        </w:rPr>
        <w:t>附件14工程竣工档案承诺书</w:t>
      </w:r>
    </w:p>
    <w:p w14:paraId="33E6BBDD">
      <w:pPr>
        <w:spacing w:line="560" w:lineRule="exact"/>
        <w:ind w:firstLine="484" w:firstLineChars="200"/>
        <w:rPr>
          <w:rFonts w:ascii="仿宋_GB2312" w:hAnsi="Calibri" w:eastAsia="仿宋_GB2312" w:cs="宋体"/>
          <w:strike/>
          <w:color w:val="auto"/>
          <w:spacing w:val="1"/>
          <w:kern w:val="0"/>
          <w:sz w:val="24"/>
          <w:szCs w:val="24"/>
          <w:highlight w:val="none"/>
        </w:rPr>
      </w:pPr>
      <w:r>
        <w:rPr>
          <w:rFonts w:hint="eastAsia" w:ascii="仿宋_GB2312" w:hAnsi="Calibri" w:eastAsia="仿宋_GB2312" w:cs="宋体"/>
          <w:strike/>
          <w:color w:val="auto"/>
          <w:spacing w:val="1"/>
          <w:kern w:val="0"/>
          <w:sz w:val="24"/>
          <w:szCs w:val="24"/>
          <w:highlight w:val="none"/>
        </w:rPr>
        <w:t>附件15 承包人供应材料一览表（装修、修缮类工程）</w:t>
      </w:r>
    </w:p>
    <w:p w14:paraId="0F1AA736">
      <w:pPr>
        <w:spacing w:line="560" w:lineRule="exact"/>
        <w:ind w:firstLine="484" w:firstLineChars="200"/>
        <w:rPr>
          <w:rFonts w:hint="eastAsia"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t>附件16其他附件</w:t>
      </w:r>
    </w:p>
    <w:p w14:paraId="0344482C">
      <w:pPr>
        <w:rPr>
          <w:rFonts w:hint="eastAsia" w:ascii="仿宋_GB2312" w:hAnsi="Calibri" w:eastAsia="仿宋_GB2312" w:cs="宋体"/>
          <w:color w:val="auto"/>
          <w:spacing w:val="1"/>
          <w:kern w:val="0"/>
          <w:sz w:val="24"/>
          <w:szCs w:val="24"/>
          <w:highlight w:val="none"/>
        </w:rPr>
      </w:pPr>
      <w:r>
        <w:rPr>
          <w:rFonts w:hint="eastAsia" w:ascii="仿宋_GB2312" w:hAnsi="Calibri" w:eastAsia="仿宋_GB2312" w:cs="宋体"/>
          <w:color w:val="auto"/>
          <w:spacing w:val="1"/>
          <w:kern w:val="0"/>
          <w:sz w:val="24"/>
          <w:szCs w:val="24"/>
          <w:highlight w:val="none"/>
        </w:rPr>
        <w:br w:type="page"/>
      </w:r>
    </w:p>
    <w:p w14:paraId="249DFD23">
      <w:pPr>
        <w:keepNext/>
        <w:keepLines/>
        <w:widowControl/>
        <w:tabs>
          <w:tab w:val="left" w:pos="420"/>
        </w:tabs>
        <w:spacing w:before="340" w:after="330" w:line="420" w:lineRule="exact"/>
        <w:ind w:left="0" w:firstLine="0"/>
        <w:jc w:val="left"/>
        <w:outlineLvl w:val="0"/>
        <w:rPr>
          <w:rFonts w:hint="default" w:ascii="黑体" w:hAnsi="黑体" w:eastAsia="黑体" w:cs="黑体"/>
          <w:b w:val="0"/>
          <w:bCs w:val="0"/>
          <w:strike/>
          <w:color w:val="auto"/>
          <w:kern w:val="0"/>
          <w:sz w:val="24"/>
          <w:szCs w:val="24"/>
          <w:highlight w:val="none"/>
          <w:lang w:val="en-US" w:eastAsia="zh-CN" w:bidi="ar-SA"/>
        </w:rPr>
      </w:pPr>
      <w:r>
        <w:rPr>
          <w:rFonts w:hint="eastAsia" w:ascii="黑体" w:hAnsi="黑体" w:eastAsia="黑体" w:cs="黑体"/>
          <w:b w:val="0"/>
          <w:bCs w:val="0"/>
          <w:strike/>
          <w:color w:val="auto"/>
          <w:kern w:val="0"/>
          <w:sz w:val="24"/>
          <w:szCs w:val="24"/>
          <w:highlight w:val="none"/>
          <w:lang w:val="en-US" w:eastAsia="zh-CN" w:bidi="ar-SA"/>
        </w:rPr>
        <w:t>附件1</w:t>
      </w:r>
    </w:p>
    <w:p w14:paraId="2DB0411E">
      <w:pPr>
        <w:spacing w:line="420" w:lineRule="exact"/>
        <w:rPr>
          <w:rFonts w:ascii="宋体" w:hAnsi="宋体" w:cs="宋体"/>
          <w:strike/>
          <w:color w:val="auto"/>
          <w:sz w:val="22"/>
          <w:szCs w:val="22"/>
          <w:highlight w:val="none"/>
        </w:rPr>
      </w:pPr>
    </w:p>
    <w:p w14:paraId="4923FF94">
      <w:pPr>
        <w:spacing w:line="420" w:lineRule="exact"/>
        <w:jc w:val="center"/>
        <w:rPr>
          <w:rFonts w:hint="eastAsia" w:ascii="方正小标宋简体" w:hAnsi="方正小标宋简体" w:eastAsia="方正小标宋简体" w:cs="方正小标宋简体"/>
          <w:b w:val="0"/>
          <w:bCs w:val="0"/>
          <w:strike/>
          <w:color w:val="auto"/>
          <w:sz w:val="32"/>
          <w:szCs w:val="32"/>
          <w:highlight w:val="none"/>
        </w:rPr>
      </w:pPr>
      <w:r>
        <w:rPr>
          <w:rFonts w:hint="eastAsia" w:ascii="方正小标宋简体" w:hAnsi="方正小标宋简体" w:eastAsia="方正小标宋简体" w:cs="方正小标宋简体"/>
          <w:b w:val="0"/>
          <w:bCs w:val="0"/>
          <w:strike/>
          <w:color w:val="auto"/>
          <w:sz w:val="32"/>
          <w:szCs w:val="32"/>
          <w:highlight w:val="none"/>
        </w:rPr>
        <w:t>联合体施工协议书</w:t>
      </w:r>
    </w:p>
    <w:p w14:paraId="3EB7FE1A">
      <w:pPr>
        <w:spacing w:line="420" w:lineRule="exact"/>
        <w:rPr>
          <w:rFonts w:ascii="宋体" w:hAnsi="宋体" w:cs="宋体"/>
          <w:strike/>
          <w:color w:val="auto"/>
          <w:sz w:val="22"/>
          <w:szCs w:val="22"/>
          <w:highlight w:val="none"/>
        </w:rPr>
      </w:pPr>
    </w:p>
    <w:p w14:paraId="2FA0227E">
      <w:pPr>
        <w:spacing w:line="420" w:lineRule="exact"/>
        <w:rPr>
          <w:rFonts w:hint="eastAsia" w:ascii="仿宋_GB2312" w:hAnsi="仿宋_GB2312" w:eastAsia="仿宋_GB2312" w:cs="仿宋_GB2312"/>
          <w:strike/>
          <w:color w:val="auto"/>
          <w:sz w:val="24"/>
          <w:szCs w:val="24"/>
          <w:highlight w:val="none"/>
          <w:u w:val="single"/>
        </w:rPr>
      </w:pPr>
      <w:r>
        <w:rPr>
          <w:rFonts w:hint="eastAsia" w:ascii="仿宋_GB2312" w:hAnsi="仿宋_GB2312" w:eastAsia="仿宋_GB2312" w:cs="仿宋_GB2312"/>
          <w:strike/>
          <w:color w:val="auto"/>
          <w:sz w:val="24"/>
          <w:szCs w:val="24"/>
          <w:highlight w:val="none"/>
        </w:rPr>
        <w:t>甲公司（全称）：</w:t>
      </w:r>
      <w:r>
        <w:rPr>
          <w:rFonts w:hint="eastAsia" w:ascii="仿宋_GB2312" w:hAnsi="仿宋_GB2312" w:eastAsia="仿宋_GB2312" w:cs="仿宋_GB2312"/>
          <w:strike/>
          <w:color w:val="auto"/>
          <w:sz w:val="24"/>
          <w:szCs w:val="24"/>
          <w:highlight w:val="none"/>
          <w:u w:val="single"/>
        </w:rPr>
        <w:t xml:space="preserve">                                    </w:t>
      </w:r>
    </w:p>
    <w:p w14:paraId="0E1401F0">
      <w:pPr>
        <w:spacing w:line="420" w:lineRule="exact"/>
        <w:jc w:val="left"/>
        <w:rPr>
          <w:rFonts w:hint="eastAsia" w:ascii="仿宋_GB2312" w:hAnsi="仿宋_GB2312" w:eastAsia="仿宋_GB2312" w:cs="仿宋_GB2312"/>
          <w:strike/>
          <w:color w:val="auto"/>
          <w:sz w:val="24"/>
          <w:szCs w:val="24"/>
          <w:highlight w:val="none"/>
          <w:u w:val="single"/>
        </w:rPr>
      </w:pPr>
      <w:r>
        <w:rPr>
          <w:rFonts w:hint="eastAsia" w:ascii="仿宋_GB2312" w:hAnsi="仿宋_GB2312" w:eastAsia="仿宋_GB2312" w:cs="仿宋_GB2312"/>
          <w:strike/>
          <w:color w:val="auto"/>
          <w:sz w:val="24"/>
          <w:szCs w:val="24"/>
          <w:highlight w:val="none"/>
        </w:rPr>
        <w:t>……公司（全称）：</w:t>
      </w:r>
      <w:r>
        <w:rPr>
          <w:rFonts w:hint="eastAsia" w:ascii="仿宋_GB2312" w:hAnsi="仿宋_GB2312" w:eastAsia="仿宋_GB2312" w:cs="仿宋_GB2312"/>
          <w:strike/>
          <w:color w:val="auto"/>
          <w:sz w:val="24"/>
          <w:szCs w:val="24"/>
          <w:highlight w:val="none"/>
          <w:u w:val="single"/>
        </w:rPr>
        <w:t xml:space="preserve">          　　　　　　　　　　　　</w:t>
      </w:r>
    </w:p>
    <w:p w14:paraId="1BBDE1C6">
      <w:pPr>
        <w:spacing w:line="420" w:lineRule="exact"/>
        <w:rPr>
          <w:rFonts w:hint="eastAsia" w:ascii="仿宋_GB2312" w:hAnsi="仿宋_GB2312" w:eastAsia="仿宋_GB2312" w:cs="仿宋_GB2312"/>
          <w:strike/>
          <w:color w:val="auto"/>
          <w:sz w:val="24"/>
          <w:szCs w:val="24"/>
          <w:highlight w:val="none"/>
          <w:u w:val="single"/>
        </w:rPr>
      </w:pPr>
      <w:r>
        <w:rPr>
          <w:rFonts w:hint="eastAsia" w:ascii="仿宋_GB2312" w:hAnsi="仿宋_GB2312" w:eastAsia="仿宋_GB2312" w:cs="仿宋_GB2312"/>
          <w:strike/>
          <w:color w:val="auto"/>
          <w:sz w:val="24"/>
          <w:szCs w:val="24"/>
          <w:highlight w:val="none"/>
        </w:rPr>
        <w:t>丁公司（全称）：</w:t>
      </w:r>
      <w:r>
        <w:rPr>
          <w:rFonts w:hint="eastAsia" w:ascii="仿宋_GB2312" w:hAnsi="仿宋_GB2312" w:eastAsia="仿宋_GB2312" w:cs="仿宋_GB2312"/>
          <w:strike/>
          <w:color w:val="auto"/>
          <w:sz w:val="24"/>
          <w:szCs w:val="24"/>
          <w:highlight w:val="none"/>
          <w:u w:val="single"/>
        </w:rPr>
        <w:t xml:space="preserve">                                    </w:t>
      </w:r>
    </w:p>
    <w:p w14:paraId="4D118A73">
      <w:pPr>
        <w:spacing w:line="420" w:lineRule="exact"/>
        <w:rPr>
          <w:rFonts w:hint="eastAsia" w:ascii="仿宋_GB2312" w:hAnsi="仿宋_GB2312" w:eastAsia="仿宋_GB2312" w:cs="仿宋_GB2312"/>
          <w:strike/>
          <w:color w:val="auto"/>
          <w:sz w:val="24"/>
          <w:szCs w:val="24"/>
          <w:highlight w:val="none"/>
        </w:rPr>
      </w:pPr>
    </w:p>
    <w:p w14:paraId="33263E22">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本协议书各方遵循平等、自愿、公平和诚实信用的原则，共同愿意组成联合体，实施、完成并保修合同工程。现就下列有关事宜，订立本协议书。</w:t>
      </w:r>
    </w:p>
    <w:p w14:paraId="3DBEDA5B">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 xml:space="preserve">1.  </w:t>
      </w:r>
      <w:r>
        <w:rPr>
          <w:rFonts w:hint="eastAsia" w:ascii="仿宋_GB2312" w:hAnsi="仿宋_GB2312" w:eastAsia="仿宋_GB2312" w:cs="仿宋_GB2312"/>
          <w:strike/>
          <w:color w:val="auto"/>
          <w:sz w:val="24"/>
          <w:szCs w:val="24"/>
          <w:highlight w:val="none"/>
          <w:u w:val="single"/>
        </w:rPr>
        <w:t>（甲公司名称）</w:t>
      </w:r>
      <w:r>
        <w:rPr>
          <w:rFonts w:hint="eastAsia" w:ascii="仿宋_GB2312" w:hAnsi="仿宋_GB2312" w:eastAsia="仿宋_GB2312" w:cs="仿宋_GB2312"/>
          <w:strike/>
          <w:color w:val="auto"/>
          <w:sz w:val="24"/>
          <w:szCs w:val="24"/>
          <w:highlight w:val="none"/>
        </w:rPr>
        <w:t>为联合体主办人，</w:t>
      </w:r>
      <w:r>
        <w:rPr>
          <w:rFonts w:hint="eastAsia" w:ascii="仿宋_GB2312" w:hAnsi="仿宋_GB2312" w:eastAsia="仿宋_GB2312" w:cs="仿宋_GB2312"/>
          <w:strike/>
          <w:color w:val="auto"/>
          <w:sz w:val="24"/>
          <w:szCs w:val="24"/>
          <w:highlight w:val="none"/>
          <w:u w:val="single"/>
        </w:rPr>
        <w:t>（……公司名称）</w:t>
      </w:r>
      <w:r>
        <w:rPr>
          <w:rFonts w:hint="eastAsia" w:ascii="仿宋_GB2312" w:hAnsi="仿宋_GB2312" w:eastAsia="仿宋_GB2312" w:cs="仿宋_GB2312"/>
          <w:strike/>
          <w:color w:val="auto"/>
          <w:sz w:val="24"/>
          <w:szCs w:val="24"/>
          <w:highlight w:val="none"/>
        </w:rPr>
        <w:t>、</w:t>
      </w:r>
      <w:r>
        <w:rPr>
          <w:rFonts w:hint="eastAsia" w:ascii="仿宋_GB2312" w:hAnsi="仿宋_GB2312" w:eastAsia="仿宋_GB2312" w:cs="仿宋_GB2312"/>
          <w:strike/>
          <w:color w:val="auto"/>
          <w:sz w:val="24"/>
          <w:szCs w:val="24"/>
          <w:highlight w:val="none"/>
          <w:u w:val="single"/>
        </w:rPr>
        <w:t>（丁公司名称）</w:t>
      </w:r>
      <w:r>
        <w:rPr>
          <w:rFonts w:hint="eastAsia" w:ascii="仿宋_GB2312" w:hAnsi="仿宋_GB2312" w:eastAsia="仿宋_GB2312" w:cs="仿宋_GB2312"/>
          <w:strike/>
          <w:color w:val="auto"/>
          <w:sz w:val="24"/>
          <w:szCs w:val="24"/>
          <w:highlight w:val="none"/>
        </w:rPr>
        <w:t>为联合体成员；</w:t>
      </w:r>
    </w:p>
    <w:p w14:paraId="11B4FAEF">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  联合体各方当事人对内部有关事项规定如下：</w:t>
      </w:r>
    </w:p>
    <w:p w14:paraId="403DD94F">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2.1  联合体由主办人负责与发包人联系；</w:t>
      </w:r>
    </w:p>
    <w:p w14:paraId="34CB01C5">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2.2  合同工程一切工作由联合体主办人负责组织，由联合体各方当事人按内部工作分范围具体实施；</w:t>
      </w:r>
    </w:p>
    <w:p w14:paraId="2B75AA65">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2.3  联合体各方当事人将严格按照招标文件的各项要求，切实执行合同工程一切合同工程文件，共同承担合同约定的一切义务，同时按照内部工作范围划分的职责，各自承担自身的责任和风险；</w:t>
      </w:r>
    </w:p>
    <w:p w14:paraId="085B6EEA">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2.4  联合体各方当事人的内部工作范围划分如下：</w:t>
      </w:r>
    </w:p>
    <w:p w14:paraId="61CB235C">
      <w:pPr>
        <w:spacing w:line="420" w:lineRule="exact"/>
        <w:ind w:firstLine="480" w:firstLineChars="200"/>
        <w:rPr>
          <w:rFonts w:hint="eastAsia" w:ascii="仿宋_GB2312" w:hAnsi="仿宋_GB2312" w:eastAsia="仿宋_GB2312" w:cs="仿宋_GB2312"/>
          <w:strike/>
          <w:color w:val="auto"/>
          <w:kern w:val="0"/>
          <w:sz w:val="24"/>
          <w:szCs w:val="24"/>
          <w:highlight w:val="none"/>
          <w:lang w:val="zh-CN"/>
        </w:rPr>
      </w:pPr>
      <w:r>
        <w:rPr>
          <w:rFonts w:hint="eastAsia" w:ascii="仿宋_GB2312" w:hAnsi="仿宋_GB2312" w:eastAsia="仿宋_GB2312" w:cs="仿宋_GB2312"/>
          <w:strike/>
          <w:color w:val="auto"/>
          <w:sz w:val="24"/>
          <w:szCs w:val="24"/>
          <w:highlight w:val="none"/>
        </w:rPr>
        <w:t>2.4.1</w:t>
      </w:r>
      <w:r>
        <w:rPr>
          <w:rFonts w:hint="eastAsia" w:ascii="仿宋_GB2312" w:hAnsi="仿宋_GB2312" w:eastAsia="仿宋_GB2312" w:cs="仿宋_GB2312"/>
          <w:strike/>
          <w:color w:val="auto"/>
          <w:kern w:val="0"/>
          <w:sz w:val="24"/>
          <w:szCs w:val="24"/>
          <w:highlight w:val="none"/>
          <w:lang w:val="zh-CN"/>
        </w:rPr>
        <w:t>（甲公司名称）承担合同工程工作内容：</w:t>
      </w:r>
      <w:r>
        <w:rPr>
          <w:rFonts w:hint="eastAsia" w:ascii="仿宋_GB2312" w:hAnsi="仿宋_GB2312" w:eastAsia="仿宋_GB2312" w:cs="仿宋_GB2312"/>
          <w:strike/>
          <w:color w:val="auto"/>
          <w:kern w:val="0"/>
          <w:sz w:val="24"/>
          <w:szCs w:val="24"/>
          <w:highlight w:val="none"/>
          <w:u w:val="single"/>
          <w:lang w:val="zh-CN"/>
        </w:rPr>
        <w:t xml:space="preserve">                                          </w:t>
      </w:r>
      <w:r>
        <w:rPr>
          <w:rFonts w:hint="eastAsia" w:ascii="仿宋_GB2312" w:hAnsi="仿宋_GB2312" w:eastAsia="仿宋_GB2312" w:cs="仿宋_GB2312"/>
          <w:strike/>
          <w:color w:val="auto"/>
          <w:kern w:val="0"/>
          <w:sz w:val="24"/>
          <w:szCs w:val="24"/>
          <w:highlight w:val="none"/>
          <w:lang w:val="zh-CN"/>
        </w:rPr>
        <w:t xml:space="preserve">            </w:t>
      </w:r>
    </w:p>
    <w:p w14:paraId="107F54BE">
      <w:pPr>
        <w:spacing w:line="420" w:lineRule="exact"/>
        <w:ind w:firstLine="480" w:firstLineChars="200"/>
        <w:rPr>
          <w:rFonts w:hint="eastAsia" w:ascii="仿宋_GB2312" w:hAnsi="仿宋_GB2312" w:eastAsia="仿宋_GB2312" w:cs="仿宋_GB2312"/>
          <w:strike/>
          <w:color w:val="auto"/>
          <w:kern w:val="0"/>
          <w:sz w:val="24"/>
          <w:szCs w:val="24"/>
          <w:highlight w:val="none"/>
          <w:lang w:val="zh-CN"/>
        </w:rPr>
      </w:pPr>
      <w:r>
        <w:rPr>
          <w:rFonts w:hint="eastAsia" w:ascii="仿宋_GB2312" w:hAnsi="仿宋_GB2312" w:eastAsia="仿宋_GB2312" w:cs="仿宋_GB2312"/>
          <w:strike/>
          <w:color w:val="auto"/>
          <w:sz w:val="24"/>
          <w:szCs w:val="24"/>
          <w:highlight w:val="none"/>
        </w:rPr>
        <w:t>2.4.2</w:t>
      </w:r>
      <w:r>
        <w:rPr>
          <w:rFonts w:hint="eastAsia" w:ascii="仿宋_GB2312" w:hAnsi="仿宋_GB2312" w:eastAsia="仿宋_GB2312" w:cs="仿宋_GB2312"/>
          <w:strike/>
          <w:color w:val="auto"/>
          <w:kern w:val="0"/>
          <w:sz w:val="24"/>
          <w:szCs w:val="24"/>
          <w:highlight w:val="none"/>
          <w:lang w:val="zh-CN"/>
        </w:rPr>
        <w:t>（</w:t>
      </w:r>
      <w:r>
        <w:rPr>
          <w:rFonts w:hint="eastAsia" w:ascii="仿宋_GB2312" w:hAnsi="仿宋_GB2312" w:eastAsia="仿宋_GB2312" w:cs="仿宋_GB2312"/>
          <w:strike/>
          <w:color w:val="auto"/>
          <w:kern w:val="0"/>
          <w:sz w:val="24"/>
          <w:szCs w:val="24"/>
          <w:highlight w:val="none"/>
        </w:rPr>
        <w:t></w:t>
      </w:r>
      <w:r>
        <w:rPr>
          <w:rFonts w:hint="eastAsia" w:ascii="仿宋_GB2312" w:hAnsi="仿宋_GB2312" w:eastAsia="仿宋_GB2312" w:cs="仿宋_GB2312"/>
          <w:strike/>
          <w:color w:val="auto"/>
          <w:kern w:val="0"/>
          <w:sz w:val="24"/>
          <w:szCs w:val="24"/>
          <w:highlight w:val="none"/>
          <w:lang w:val="zh-CN"/>
        </w:rPr>
        <w:t>公司名称）承担合同工程工作内容：</w:t>
      </w:r>
      <w:r>
        <w:rPr>
          <w:rFonts w:hint="eastAsia" w:ascii="仿宋_GB2312" w:hAnsi="仿宋_GB2312" w:eastAsia="仿宋_GB2312" w:cs="仿宋_GB2312"/>
          <w:strike/>
          <w:color w:val="auto"/>
          <w:kern w:val="0"/>
          <w:sz w:val="24"/>
          <w:szCs w:val="24"/>
          <w:highlight w:val="none"/>
          <w:u w:val="single"/>
          <w:lang w:val="zh-CN"/>
        </w:rPr>
        <w:t xml:space="preserve">                                          </w:t>
      </w:r>
    </w:p>
    <w:p w14:paraId="0DFEDD3F">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2.4.3</w:t>
      </w:r>
      <w:r>
        <w:rPr>
          <w:rFonts w:hint="eastAsia" w:ascii="仿宋_GB2312" w:hAnsi="仿宋_GB2312" w:eastAsia="仿宋_GB2312" w:cs="仿宋_GB2312"/>
          <w:strike/>
          <w:color w:val="auto"/>
          <w:kern w:val="0"/>
          <w:sz w:val="24"/>
          <w:szCs w:val="24"/>
          <w:highlight w:val="none"/>
          <w:lang w:val="zh-CN"/>
        </w:rPr>
        <w:t>（丁公司名称）承担合同工程工作内容：</w:t>
      </w:r>
      <w:r>
        <w:rPr>
          <w:rFonts w:hint="eastAsia" w:ascii="仿宋_GB2312" w:hAnsi="仿宋_GB2312" w:eastAsia="仿宋_GB2312" w:cs="仿宋_GB2312"/>
          <w:strike/>
          <w:color w:val="auto"/>
          <w:kern w:val="0"/>
          <w:sz w:val="24"/>
          <w:szCs w:val="24"/>
          <w:highlight w:val="none"/>
          <w:u w:val="single"/>
          <w:lang w:val="zh-CN"/>
        </w:rPr>
        <w:t xml:space="preserve">                                                 </w:t>
      </w:r>
      <w:r>
        <w:rPr>
          <w:rFonts w:hint="eastAsia" w:ascii="仿宋_GB2312" w:hAnsi="仿宋_GB2312" w:eastAsia="仿宋_GB2312" w:cs="仿宋_GB2312"/>
          <w:strike/>
          <w:color w:val="auto"/>
          <w:kern w:val="0"/>
          <w:sz w:val="24"/>
          <w:szCs w:val="24"/>
          <w:highlight w:val="none"/>
          <w:lang w:val="zh-CN"/>
        </w:rPr>
        <w:t xml:space="preserve">   </w:t>
      </w:r>
    </w:p>
    <w:p w14:paraId="35F50D1F">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2.4.4 …………………</w:t>
      </w:r>
      <w:r>
        <w:rPr>
          <w:rFonts w:hint="eastAsia" w:ascii="仿宋_GB2312" w:hAnsi="仿宋_GB2312" w:eastAsia="仿宋_GB2312" w:cs="仿宋_GB2312"/>
          <w:strike/>
          <w:color w:val="auto"/>
          <w:kern w:val="0"/>
          <w:sz w:val="24"/>
          <w:szCs w:val="24"/>
          <w:highlight w:val="none"/>
          <w:lang w:val="zh-CN"/>
        </w:rPr>
        <w:t>承担合同工程工作内容</w:t>
      </w:r>
      <w:r>
        <w:rPr>
          <w:rFonts w:hint="eastAsia" w:ascii="仿宋_GB2312" w:hAnsi="仿宋_GB2312" w:eastAsia="仿宋_GB2312" w:cs="仿宋_GB2312"/>
          <w:strike/>
          <w:color w:val="auto"/>
          <w:sz w:val="24"/>
          <w:szCs w:val="24"/>
          <w:highlight w:val="none"/>
        </w:rPr>
        <w:t>：</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 xml:space="preserve">   </w:t>
      </w:r>
    </w:p>
    <w:p w14:paraId="51A9C4F3">
      <w:pPr>
        <w:spacing w:line="420" w:lineRule="exact"/>
        <w:ind w:firstLine="480" w:firstLineChars="200"/>
        <w:rPr>
          <w:rFonts w:hint="eastAsia" w:ascii="仿宋_GB2312" w:hAnsi="仿宋_GB2312" w:eastAsia="仿宋_GB2312" w:cs="仿宋_GB2312"/>
          <w:strike/>
          <w:color w:val="auto"/>
          <w:kern w:val="0"/>
          <w:sz w:val="24"/>
          <w:szCs w:val="24"/>
          <w:highlight w:val="none"/>
          <w:lang w:val="zh-CN"/>
        </w:rPr>
      </w:pPr>
      <w:r>
        <w:rPr>
          <w:rFonts w:hint="eastAsia" w:ascii="仿宋_GB2312" w:hAnsi="仿宋_GB2312" w:eastAsia="仿宋_GB2312" w:cs="仿宋_GB2312"/>
          <w:strike/>
          <w:color w:val="auto"/>
          <w:sz w:val="24"/>
          <w:szCs w:val="24"/>
          <w:highlight w:val="none"/>
        </w:rPr>
        <w:t xml:space="preserve">2.5  </w:t>
      </w:r>
      <w:r>
        <w:rPr>
          <w:rFonts w:hint="eastAsia" w:ascii="仿宋_GB2312" w:hAnsi="仿宋_GB2312" w:eastAsia="仿宋_GB2312" w:cs="仿宋_GB2312"/>
          <w:strike/>
          <w:color w:val="auto"/>
          <w:kern w:val="0"/>
          <w:sz w:val="24"/>
          <w:szCs w:val="24"/>
          <w:highlight w:val="none"/>
          <w:lang w:val="zh-CN"/>
        </w:rPr>
        <w:t>联合体各方当事人对合同工程的其他约定：</w:t>
      </w:r>
    </w:p>
    <w:p w14:paraId="3A281AD6">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 xml:space="preserve">2.6  </w:t>
      </w:r>
      <w:r>
        <w:rPr>
          <w:rFonts w:hint="eastAsia" w:ascii="仿宋_GB2312" w:hAnsi="仿宋_GB2312" w:eastAsia="仿宋_GB2312" w:cs="仿宋_GB2312"/>
          <w:strike/>
          <w:color w:val="auto"/>
          <w:kern w:val="0"/>
          <w:sz w:val="24"/>
          <w:szCs w:val="24"/>
          <w:highlight w:val="none"/>
          <w:lang w:val="zh-CN"/>
        </w:rPr>
        <w:t>联合体各方当事人在合同工程实施过程中的有关费用，按各自承担的工作量所占比例分摊，或由联合体各方当事人具体协商确定。</w:t>
      </w:r>
    </w:p>
    <w:p w14:paraId="4F45A4EE">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 xml:space="preserve">3.  </w:t>
      </w:r>
      <w:r>
        <w:rPr>
          <w:rFonts w:hint="eastAsia" w:ascii="仿宋_GB2312" w:hAnsi="仿宋_GB2312" w:eastAsia="仿宋_GB2312" w:cs="仿宋_GB2312"/>
          <w:strike/>
          <w:color w:val="auto"/>
          <w:kern w:val="0"/>
          <w:sz w:val="24"/>
          <w:szCs w:val="24"/>
          <w:highlight w:val="none"/>
          <w:lang w:val="zh-CN"/>
        </w:rPr>
        <w:t>本协议书签署后，联合体主办人应将本协议书及时送交发包人和监理工程师、造价工程师。</w:t>
      </w:r>
    </w:p>
    <w:p w14:paraId="258EB83D">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4.  本协议书自签署之日起生效，至各方当事人履行完施工合同全部义务后自行失效，并随施工合同的终止而终止；</w:t>
      </w:r>
    </w:p>
    <w:p w14:paraId="6F747A97">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 xml:space="preserve">5.  </w:t>
      </w:r>
      <w:r>
        <w:rPr>
          <w:rFonts w:hint="eastAsia" w:ascii="仿宋_GB2312" w:hAnsi="仿宋_GB2312" w:eastAsia="仿宋_GB2312" w:cs="仿宋_GB2312"/>
          <w:strike/>
          <w:color w:val="auto"/>
          <w:kern w:val="0"/>
          <w:sz w:val="24"/>
          <w:szCs w:val="24"/>
          <w:highlight w:val="none"/>
          <w:lang w:val="zh-CN"/>
        </w:rPr>
        <w:t>本协议书正本与副本具有同等效力，当正本与副本不一致时，以正本为准。</w:t>
      </w:r>
    </w:p>
    <w:p w14:paraId="2A057803">
      <w:pPr>
        <w:spacing w:line="420" w:lineRule="exact"/>
        <w:ind w:firstLine="480" w:firstLineChars="20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正本一式</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份，联合体各方当事人各执一份，送交发包人和监理工程师、造价工程师各一份；副本一式</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份，联合体各方当事人各执</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份。</w:t>
      </w:r>
    </w:p>
    <w:p w14:paraId="55446DF8">
      <w:pPr>
        <w:spacing w:line="420" w:lineRule="exact"/>
        <w:ind w:firstLine="480" w:firstLineChars="200"/>
        <w:jc w:val="center"/>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（以下无正文）</w:t>
      </w:r>
    </w:p>
    <w:p w14:paraId="032FE3AE">
      <w:pPr>
        <w:spacing w:line="420" w:lineRule="exact"/>
        <w:ind w:firstLine="480" w:firstLineChars="200"/>
        <w:rPr>
          <w:rFonts w:hint="eastAsia" w:ascii="仿宋_GB2312" w:hAnsi="仿宋_GB2312" w:eastAsia="仿宋_GB2312" w:cs="仿宋_GB2312"/>
          <w:strike/>
          <w:color w:val="auto"/>
          <w:sz w:val="24"/>
          <w:szCs w:val="24"/>
          <w:highlight w:val="none"/>
        </w:rPr>
      </w:pPr>
    </w:p>
    <w:p w14:paraId="380E394A">
      <w:pPr>
        <w:spacing w:line="420" w:lineRule="exact"/>
        <w:ind w:firstLine="480" w:firstLineChars="200"/>
        <w:rPr>
          <w:rFonts w:hint="eastAsia" w:ascii="仿宋_GB2312" w:hAnsi="仿宋_GB2312" w:eastAsia="仿宋_GB2312" w:cs="仿宋_GB2312"/>
          <w:strike/>
          <w:color w:val="auto"/>
          <w:sz w:val="24"/>
          <w:szCs w:val="24"/>
          <w:highlight w:val="none"/>
        </w:rPr>
      </w:pPr>
    </w:p>
    <w:p w14:paraId="2902F531">
      <w:pPr>
        <w:spacing w:line="420" w:lineRule="exact"/>
        <w:ind w:firstLine="480" w:firstLineChars="200"/>
        <w:rPr>
          <w:rFonts w:hint="eastAsia" w:ascii="仿宋_GB2312" w:hAnsi="仿宋_GB2312" w:eastAsia="仿宋_GB2312" w:cs="仿宋_GB2312"/>
          <w:strike/>
          <w:color w:val="auto"/>
          <w:sz w:val="24"/>
          <w:szCs w:val="24"/>
          <w:highlight w:val="none"/>
        </w:rPr>
      </w:pPr>
    </w:p>
    <w:p w14:paraId="12B73726">
      <w:pPr>
        <w:spacing w:line="420" w:lineRule="exact"/>
        <w:ind w:firstLine="480" w:firstLineChars="200"/>
        <w:rPr>
          <w:rFonts w:hint="eastAsia" w:ascii="仿宋_GB2312" w:hAnsi="仿宋_GB2312" w:eastAsia="仿宋_GB2312" w:cs="仿宋_GB2312"/>
          <w:strike/>
          <w:color w:val="auto"/>
          <w:sz w:val="24"/>
          <w:szCs w:val="24"/>
          <w:highlight w:val="none"/>
        </w:rPr>
      </w:pPr>
    </w:p>
    <w:p w14:paraId="639EBDDB">
      <w:pPr>
        <w:spacing w:line="420" w:lineRule="exact"/>
        <w:ind w:firstLine="360" w:firstLineChars="15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甲公司名称：（盖章）                        丁公司名称：（盖章）</w:t>
      </w:r>
    </w:p>
    <w:p w14:paraId="69A1C384">
      <w:pPr>
        <w:spacing w:line="420" w:lineRule="exact"/>
        <w:ind w:firstLine="360" w:firstLineChars="150"/>
        <w:rPr>
          <w:rFonts w:hint="eastAsia" w:ascii="仿宋_GB2312" w:hAnsi="仿宋_GB2312" w:eastAsia="仿宋_GB2312" w:cs="仿宋_GB2312"/>
          <w:strike/>
          <w:color w:val="auto"/>
          <w:sz w:val="24"/>
          <w:szCs w:val="24"/>
          <w:highlight w:val="none"/>
          <w:lang w:eastAsia="zh-CN"/>
        </w:rPr>
      </w:pPr>
      <w:r>
        <w:rPr>
          <w:rFonts w:hint="eastAsia" w:ascii="仿宋_GB2312" w:hAnsi="仿宋_GB2312" w:eastAsia="仿宋_GB2312" w:cs="仿宋_GB2312"/>
          <w:strike/>
          <w:color w:val="auto"/>
          <w:sz w:val="24"/>
          <w:szCs w:val="24"/>
          <w:highlight w:val="none"/>
        </w:rPr>
        <w:t>法定代表人</w:t>
      </w:r>
      <w:r>
        <w:rPr>
          <w:rFonts w:hint="eastAsia" w:ascii="仿宋_GB2312" w:hAnsi="仿宋_GB2312" w:eastAsia="仿宋_GB2312" w:cs="仿宋_GB2312"/>
          <w:strike/>
          <w:color w:val="auto"/>
          <w:sz w:val="24"/>
          <w:szCs w:val="24"/>
          <w:highlight w:val="none"/>
          <w:lang w:val="en-US" w:eastAsia="zh-CN"/>
        </w:rPr>
        <w:t>或</w:t>
      </w:r>
      <w:r>
        <w:rPr>
          <w:rFonts w:hint="eastAsia" w:ascii="仿宋_GB2312" w:hAnsi="仿宋_GB2312" w:eastAsia="仿宋_GB2312" w:cs="仿宋_GB2312"/>
          <w:strike/>
          <w:color w:val="auto"/>
          <w:sz w:val="24"/>
          <w:szCs w:val="24"/>
          <w:highlight w:val="none"/>
        </w:rPr>
        <w:t xml:space="preserve">                        </w:t>
      </w:r>
      <w:r>
        <w:rPr>
          <w:rFonts w:hint="eastAsia" w:ascii="仿宋_GB2312" w:hAnsi="仿宋_GB2312" w:eastAsia="仿宋_GB2312" w:cs="仿宋_GB2312"/>
          <w:strike/>
          <w:color w:val="auto"/>
          <w:sz w:val="24"/>
          <w:szCs w:val="24"/>
          <w:highlight w:val="none"/>
          <w:lang w:val="en-US" w:eastAsia="zh-CN"/>
        </w:rPr>
        <w:t xml:space="preserve">       </w:t>
      </w:r>
      <w:r>
        <w:rPr>
          <w:rFonts w:hint="eastAsia" w:ascii="仿宋_GB2312" w:hAnsi="仿宋_GB2312" w:eastAsia="仿宋_GB2312" w:cs="仿宋_GB2312"/>
          <w:strike/>
          <w:color w:val="auto"/>
          <w:sz w:val="24"/>
          <w:szCs w:val="24"/>
          <w:highlight w:val="none"/>
        </w:rPr>
        <w:t>法定代表人</w:t>
      </w:r>
      <w:r>
        <w:rPr>
          <w:rFonts w:hint="eastAsia" w:ascii="仿宋_GB2312" w:hAnsi="仿宋_GB2312" w:eastAsia="仿宋_GB2312" w:cs="仿宋_GB2312"/>
          <w:strike/>
          <w:color w:val="auto"/>
          <w:sz w:val="24"/>
          <w:szCs w:val="24"/>
          <w:highlight w:val="none"/>
          <w:lang w:val="en-US" w:eastAsia="zh-CN"/>
        </w:rPr>
        <w:t>或</w:t>
      </w:r>
    </w:p>
    <w:p w14:paraId="485E9A03">
      <w:pPr>
        <w:spacing w:line="420" w:lineRule="exact"/>
        <w:ind w:firstLine="360" w:firstLineChars="15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rPr>
        <w:t>委托代理人：（签字）                        委托代理人：（签字）</w:t>
      </w:r>
    </w:p>
    <w:p w14:paraId="70A2331F">
      <w:pPr>
        <w:spacing w:line="420" w:lineRule="exact"/>
        <w:ind w:firstLine="360" w:firstLineChars="150"/>
        <w:jc w:val="left"/>
        <w:rPr>
          <w:rFonts w:hint="eastAsia" w:ascii="仿宋_GB2312" w:hAnsi="仿宋_GB2312" w:eastAsia="仿宋_GB2312" w:cs="仿宋_GB2312"/>
          <w:strike/>
          <w:color w:val="auto"/>
          <w:sz w:val="24"/>
          <w:szCs w:val="24"/>
          <w:highlight w:val="none"/>
          <w:u w:val="single"/>
        </w:rPr>
      </w:pPr>
      <w:r>
        <w:rPr>
          <w:rFonts w:hint="eastAsia" w:ascii="仿宋_GB2312" w:hAnsi="仿宋_GB2312" w:eastAsia="仿宋_GB2312" w:cs="仿宋_GB2312"/>
          <w:strike/>
          <w:color w:val="auto"/>
          <w:sz w:val="24"/>
          <w:szCs w:val="24"/>
          <w:highlight w:val="none"/>
        </w:rPr>
        <w:t>联系电话：</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 xml:space="preserve">                  联系电话：</w:t>
      </w:r>
      <w:r>
        <w:rPr>
          <w:rFonts w:hint="eastAsia" w:ascii="仿宋_GB2312" w:hAnsi="仿宋_GB2312" w:eastAsia="仿宋_GB2312" w:cs="仿宋_GB2312"/>
          <w:strike/>
          <w:color w:val="auto"/>
          <w:sz w:val="24"/>
          <w:szCs w:val="24"/>
          <w:highlight w:val="none"/>
          <w:u w:val="single"/>
        </w:rPr>
        <w:t xml:space="preserve">              </w:t>
      </w:r>
    </w:p>
    <w:p w14:paraId="06E92E1D">
      <w:pPr>
        <w:spacing w:line="420" w:lineRule="exact"/>
        <w:ind w:firstLine="360" w:firstLineChars="150"/>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年</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月</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 xml:space="preserve">日                  </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年</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月</w:t>
      </w:r>
      <w:r>
        <w:rPr>
          <w:rFonts w:hint="eastAsia" w:ascii="仿宋_GB2312" w:hAnsi="仿宋_GB2312" w:eastAsia="仿宋_GB2312" w:cs="仿宋_GB2312"/>
          <w:strike/>
          <w:color w:val="auto"/>
          <w:sz w:val="24"/>
          <w:szCs w:val="24"/>
          <w:highlight w:val="none"/>
          <w:u w:val="single"/>
        </w:rPr>
        <w:t xml:space="preserve">    </w:t>
      </w:r>
      <w:r>
        <w:rPr>
          <w:rFonts w:hint="eastAsia" w:ascii="仿宋_GB2312" w:hAnsi="仿宋_GB2312" w:eastAsia="仿宋_GB2312" w:cs="仿宋_GB2312"/>
          <w:strike/>
          <w:color w:val="auto"/>
          <w:sz w:val="24"/>
          <w:szCs w:val="24"/>
          <w:highlight w:val="none"/>
        </w:rPr>
        <w:t>日</w:t>
      </w:r>
    </w:p>
    <w:p w14:paraId="68B8023F">
      <w:pPr>
        <w:spacing w:line="420" w:lineRule="exact"/>
        <w:ind w:firstLine="330" w:firstLineChars="150"/>
        <w:rPr>
          <w:rFonts w:ascii="宋体" w:hAnsi="宋体" w:cs="宋体"/>
          <w:color w:val="auto"/>
          <w:sz w:val="22"/>
          <w:szCs w:val="22"/>
          <w:highlight w:val="none"/>
        </w:rPr>
      </w:pPr>
    </w:p>
    <w:p w14:paraId="200E66D8">
      <w:pPr>
        <w:pStyle w:val="8"/>
        <w:rPr>
          <w:color w:val="auto"/>
          <w:highlight w:val="none"/>
        </w:rPr>
      </w:pPr>
    </w:p>
    <w:permEnd w:id="424"/>
    <w:p w14:paraId="23654D27">
      <w:pPr>
        <w:outlineLvl w:val="1"/>
        <w:rPr>
          <w:rFonts w:ascii="宋体" w:hAnsi="宋体" w:cs="宋体"/>
          <w:color w:val="auto"/>
          <w:sz w:val="22"/>
          <w:szCs w:val="22"/>
          <w:highlight w:val="none"/>
        </w:rPr>
      </w:pPr>
      <w:r>
        <w:rPr>
          <w:rFonts w:hint="eastAsia" w:ascii="仿宋_GB2312" w:hAnsi="宋体" w:eastAsia="仿宋_GB2312" w:cs="宋体"/>
          <w:color w:val="auto"/>
          <w:kern w:val="0"/>
          <w:sz w:val="32"/>
          <w:szCs w:val="32"/>
          <w:highlight w:val="none"/>
        </w:rPr>
        <w:br w:type="page"/>
      </w:r>
      <w:bookmarkEnd w:id="715"/>
      <w:bookmarkEnd w:id="716"/>
      <w:bookmarkEnd w:id="717"/>
    </w:p>
    <w:p w14:paraId="76AFCF2E">
      <w:pPr>
        <w:widowControl/>
        <w:spacing w:afterAutospacing="1" w:line="420" w:lineRule="exact"/>
        <w:jc w:val="left"/>
        <w:rPr>
          <w:rFonts w:ascii="宋体" w:hAnsi="宋体" w:cs="宋体"/>
          <w:color w:val="auto"/>
          <w:kern w:val="0"/>
          <w:sz w:val="22"/>
          <w:szCs w:val="22"/>
          <w:highlight w:val="none"/>
        </w:rPr>
        <w:sectPr>
          <w:footerReference r:id="rId9" w:type="first"/>
          <w:footerReference r:id="rId8" w:type="default"/>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3578937E">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lang w:val="en-US" w:eastAsia="zh-CN"/>
        </w:rPr>
      </w:pPr>
      <w:bookmarkStart w:id="718" w:name="_Toc266892924"/>
      <w:bookmarkStart w:id="719" w:name="_Toc10624984"/>
      <w:bookmarkStart w:id="720" w:name="_Toc469384140"/>
      <w:permStart w:id="425"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2</w:t>
      </w:r>
    </w:p>
    <w:permEnd w:id="425"/>
    <w:p w14:paraId="05CCEA03">
      <w:pPr>
        <w:spacing w:line="420" w:lineRule="exact"/>
        <w:jc w:val="center"/>
        <w:rPr>
          <w:rFonts w:hint="eastAsia" w:ascii="方正小标宋简体" w:hAnsi="方正小标宋简体" w:eastAsia="方正小标宋简体" w:cs="方正小标宋简体"/>
          <w:b w:val="0"/>
          <w:bCs w:val="0"/>
          <w:color w:val="auto"/>
          <w:spacing w:val="32"/>
          <w:kern w:val="36"/>
          <w:sz w:val="32"/>
          <w:szCs w:val="32"/>
          <w:highlight w:val="none"/>
        </w:rPr>
      </w:pPr>
      <w:r>
        <w:rPr>
          <w:rFonts w:hint="eastAsia" w:ascii="方正小标宋简体" w:hAnsi="方正小标宋简体" w:eastAsia="方正小标宋简体" w:cs="方正小标宋简体"/>
          <w:b w:val="0"/>
          <w:bCs w:val="0"/>
          <w:color w:val="auto"/>
          <w:spacing w:val="32"/>
          <w:kern w:val="36"/>
          <w:sz w:val="32"/>
          <w:szCs w:val="32"/>
          <w:highlight w:val="none"/>
        </w:rPr>
        <w:t>承包人派驻现场主要管理人员及技术骨干名单</w:t>
      </w:r>
    </w:p>
    <w:tbl>
      <w:tblPr>
        <w:tblStyle w:val="18"/>
        <w:tblpPr w:leftFromText="180" w:rightFromText="180" w:vertAnchor="text" w:horzAnchor="page" w:tblpX="1059" w:tblpY="852"/>
        <w:tblOverlap w:val="never"/>
        <w:tblW w:w="54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737"/>
        <w:gridCol w:w="642"/>
        <w:gridCol w:w="481"/>
        <w:gridCol w:w="709"/>
        <w:gridCol w:w="441"/>
        <w:gridCol w:w="765"/>
        <w:gridCol w:w="696"/>
        <w:gridCol w:w="509"/>
        <w:gridCol w:w="994"/>
        <w:gridCol w:w="1033"/>
        <w:gridCol w:w="1250"/>
        <w:gridCol w:w="1304"/>
      </w:tblGrid>
      <w:tr w14:paraId="1815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45" w:type="pct"/>
            <w:vAlign w:val="center"/>
          </w:tcPr>
          <w:p w14:paraId="2E7829D0">
            <w:pPr>
              <w:spacing w:line="420" w:lineRule="exact"/>
              <w:jc w:val="center"/>
              <w:rPr>
                <w:rFonts w:ascii="宋体" w:hAnsi="宋体" w:cs="宋体"/>
                <w:color w:val="auto"/>
                <w:sz w:val="18"/>
                <w:szCs w:val="18"/>
                <w:highlight w:val="none"/>
              </w:rPr>
            </w:pPr>
            <w:permStart w:id="426" w:edGrp="everyone"/>
            <w:r>
              <w:rPr>
                <w:rFonts w:hint="eastAsia" w:ascii="宋体" w:hAnsi="宋体" w:cs="宋体"/>
                <w:color w:val="auto"/>
                <w:sz w:val="18"/>
                <w:szCs w:val="18"/>
                <w:highlight w:val="none"/>
              </w:rPr>
              <w:t>序号</w:t>
            </w:r>
          </w:p>
        </w:tc>
        <w:tc>
          <w:tcPr>
            <w:tcW w:w="366" w:type="pct"/>
            <w:vAlign w:val="center"/>
          </w:tcPr>
          <w:p w14:paraId="13741C0C">
            <w:pPr>
              <w:tabs>
                <w:tab w:val="left" w:pos="150"/>
              </w:tabs>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姓名</w:t>
            </w:r>
          </w:p>
        </w:tc>
        <w:tc>
          <w:tcPr>
            <w:tcW w:w="319" w:type="pct"/>
            <w:vAlign w:val="center"/>
          </w:tcPr>
          <w:p w14:paraId="1D098EA9">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性别</w:t>
            </w:r>
          </w:p>
        </w:tc>
        <w:tc>
          <w:tcPr>
            <w:tcW w:w="239" w:type="pct"/>
            <w:vAlign w:val="center"/>
          </w:tcPr>
          <w:p w14:paraId="3E304D56">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年龄</w:t>
            </w:r>
          </w:p>
        </w:tc>
        <w:tc>
          <w:tcPr>
            <w:tcW w:w="352" w:type="pct"/>
            <w:vAlign w:val="center"/>
          </w:tcPr>
          <w:p w14:paraId="2C27EE3D">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学历</w:t>
            </w:r>
          </w:p>
        </w:tc>
        <w:tc>
          <w:tcPr>
            <w:tcW w:w="219" w:type="pct"/>
            <w:vAlign w:val="center"/>
          </w:tcPr>
          <w:p w14:paraId="54D4B735">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专业</w:t>
            </w:r>
          </w:p>
        </w:tc>
        <w:tc>
          <w:tcPr>
            <w:tcW w:w="380" w:type="pct"/>
            <w:vAlign w:val="center"/>
          </w:tcPr>
          <w:p w14:paraId="2940AD97">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现任职务、</w:t>
            </w:r>
          </w:p>
          <w:p w14:paraId="3F093D47">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技术职务</w:t>
            </w:r>
          </w:p>
        </w:tc>
        <w:tc>
          <w:tcPr>
            <w:tcW w:w="346" w:type="pct"/>
            <w:vAlign w:val="center"/>
          </w:tcPr>
          <w:p w14:paraId="07A4AF08">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联系电话</w:t>
            </w:r>
          </w:p>
        </w:tc>
        <w:tc>
          <w:tcPr>
            <w:tcW w:w="253" w:type="pct"/>
            <w:vAlign w:val="center"/>
          </w:tcPr>
          <w:p w14:paraId="2D268239">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专业</w:t>
            </w:r>
          </w:p>
          <w:p w14:paraId="1A888D8F">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工龄</w:t>
            </w:r>
          </w:p>
        </w:tc>
        <w:tc>
          <w:tcPr>
            <w:tcW w:w="494" w:type="pct"/>
            <w:vAlign w:val="center"/>
          </w:tcPr>
          <w:p w14:paraId="770139C3">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专业</w:t>
            </w:r>
          </w:p>
          <w:p w14:paraId="76EC7257">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特长</w:t>
            </w:r>
          </w:p>
        </w:tc>
        <w:tc>
          <w:tcPr>
            <w:tcW w:w="513" w:type="pct"/>
            <w:vAlign w:val="center"/>
          </w:tcPr>
          <w:p w14:paraId="14CB973A">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从事施工</w:t>
            </w:r>
          </w:p>
          <w:p w14:paraId="7E19C84A">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工作年限</w:t>
            </w:r>
          </w:p>
        </w:tc>
        <w:tc>
          <w:tcPr>
            <w:tcW w:w="621" w:type="pct"/>
            <w:vAlign w:val="center"/>
          </w:tcPr>
          <w:p w14:paraId="1D626255">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主要专业工作经历（曾参与过的羡慕和获奖情况）</w:t>
            </w:r>
          </w:p>
        </w:tc>
        <w:tc>
          <w:tcPr>
            <w:tcW w:w="648" w:type="pct"/>
            <w:vAlign w:val="center"/>
          </w:tcPr>
          <w:p w14:paraId="6B1AD860">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在本工程担任职务</w:t>
            </w:r>
          </w:p>
        </w:tc>
      </w:tr>
      <w:tr w14:paraId="1E5E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Align w:val="center"/>
          </w:tcPr>
          <w:p w14:paraId="736BB458">
            <w:pPr>
              <w:spacing w:line="420" w:lineRule="exact"/>
              <w:jc w:val="center"/>
              <w:rPr>
                <w:rFonts w:ascii="宋体" w:hAnsi="宋体" w:cs="宋体"/>
                <w:color w:val="auto"/>
                <w:sz w:val="18"/>
                <w:szCs w:val="18"/>
                <w:highlight w:val="none"/>
              </w:rPr>
            </w:pPr>
          </w:p>
        </w:tc>
        <w:tc>
          <w:tcPr>
            <w:tcW w:w="366" w:type="pct"/>
          </w:tcPr>
          <w:p w14:paraId="0F1C42DA">
            <w:pPr>
              <w:spacing w:line="420" w:lineRule="exact"/>
              <w:jc w:val="center"/>
              <w:rPr>
                <w:rFonts w:ascii="宋体" w:hAnsi="宋体" w:cs="宋体"/>
                <w:color w:val="auto"/>
                <w:sz w:val="18"/>
                <w:szCs w:val="18"/>
                <w:highlight w:val="none"/>
              </w:rPr>
            </w:pPr>
          </w:p>
        </w:tc>
        <w:tc>
          <w:tcPr>
            <w:tcW w:w="319" w:type="pct"/>
            <w:vAlign w:val="center"/>
          </w:tcPr>
          <w:p w14:paraId="29E35312">
            <w:pPr>
              <w:spacing w:line="420" w:lineRule="exact"/>
              <w:jc w:val="center"/>
              <w:rPr>
                <w:rFonts w:ascii="宋体" w:hAnsi="宋体" w:cs="宋体"/>
                <w:color w:val="auto"/>
                <w:sz w:val="18"/>
                <w:szCs w:val="18"/>
                <w:highlight w:val="none"/>
              </w:rPr>
            </w:pPr>
          </w:p>
        </w:tc>
        <w:tc>
          <w:tcPr>
            <w:tcW w:w="239" w:type="pct"/>
            <w:vAlign w:val="center"/>
          </w:tcPr>
          <w:p w14:paraId="22A6B845">
            <w:pPr>
              <w:spacing w:line="420" w:lineRule="exact"/>
              <w:jc w:val="center"/>
              <w:rPr>
                <w:rFonts w:ascii="宋体" w:hAnsi="宋体" w:cs="宋体"/>
                <w:color w:val="auto"/>
                <w:sz w:val="18"/>
                <w:szCs w:val="18"/>
                <w:highlight w:val="none"/>
              </w:rPr>
            </w:pPr>
          </w:p>
        </w:tc>
        <w:tc>
          <w:tcPr>
            <w:tcW w:w="352" w:type="pct"/>
            <w:vAlign w:val="center"/>
          </w:tcPr>
          <w:p w14:paraId="076CE5BF">
            <w:pPr>
              <w:spacing w:line="420" w:lineRule="exact"/>
              <w:jc w:val="center"/>
              <w:rPr>
                <w:rFonts w:ascii="宋体" w:hAnsi="宋体" w:cs="宋体"/>
                <w:color w:val="auto"/>
                <w:sz w:val="18"/>
                <w:szCs w:val="18"/>
                <w:highlight w:val="none"/>
              </w:rPr>
            </w:pPr>
          </w:p>
        </w:tc>
        <w:tc>
          <w:tcPr>
            <w:tcW w:w="219" w:type="pct"/>
            <w:vAlign w:val="center"/>
          </w:tcPr>
          <w:p w14:paraId="4B5725B9">
            <w:pPr>
              <w:spacing w:line="420" w:lineRule="exact"/>
              <w:jc w:val="center"/>
              <w:rPr>
                <w:rFonts w:ascii="宋体" w:hAnsi="宋体" w:cs="宋体"/>
                <w:color w:val="auto"/>
                <w:sz w:val="18"/>
                <w:szCs w:val="18"/>
                <w:highlight w:val="none"/>
              </w:rPr>
            </w:pPr>
          </w:p>
        </w:tc>
        <w:tc>
          <w:tcPr>
            <w:tcW w:w="380" w:type="pct"/>
            <w:vAlign w:val="center"/>
          </w:tcPr>
          <w:p w14:paraId="3B5BD77C">
            <w:pPr>
              <w:spacing w:line="420" w:lineRule="exact"/>
              <w:jc w:val="center"/>
              <w:rPr>
                <w:rFonts w:ascii="宋体" w:hAnsi="宋体" w:cs="宋体"/>
                <w:color w:val="auto"/>
                <w:sz w:val="18"/>
                <w:szCs w:val="18"/>
                <w:highlight w:val="none"/>
              </w:rPr>
            </w:pPr>
          </w:p>
        </w:tc>
        <w:tc>
          <w:tcPr>
            <w:tcW w:w="346" w:type="pct"/>
            <w:vAlign w:val="center"/>
          </w:tcPr>
          <w:p w14:paraId="7840980E">
            <w:pPr>
              <w:spacing w:line="420" w:lineRule="exact"/>
              <w:jc w:val="center"/>
              <w:rPr>
                <w:rFonts w:ascii="宋体" w:hAnsi="宋体" w:cs="宋体"/>
                <w:color w:val="auto"/>
                <w:sz w:val="18"/>
                <w:szCs w:val="18"/>
                <w:highlight w:val="none"/>
              </w:rPr>
            </w:pPr>
          </w:p>
        </w:tc>
        <w:tc>
          <w:tcPr>
            <w:tcW w:w="253" w:type="pct"/>
            <w:vAlign w:val="center"/>
          </w:tcPr>
          <w:p w14:paraId="6341056D">
            <w:pPr>
              <w:spacing w:line="420" w:lineRule="exact"/>
              <w:jc w:val="center"/>
              <w:rPr>
                <w:rFonts w:ascii="宋体" w:hAnsi="宋体" w:cs="宋体"/>
                <w:color w:val="auto"/>
                <w:sz w:val="18"/>
                <w:szCs w:val="18"/>
                <w:highlight w:val="none"/>
              </w:rPr>
            </w:pPr>
          </w:p>
        </w:tc>
        <w:tc>
          <w:tcPr>
            <w:tcW w:w="494" w:type="pct"/>
            <w:vAlign w:val="center"/>
          </w:tcPr>
          <w:p w14:paraId="56E5DF2F">
            <w:pPr>
              <w:spacing w:line="420" w:lineRule="exact"/>
              <w:jc w:val="center"/>
              <w:rPr>
                <w:rFonts w:ascii="宋体" w:hAnsi="宋体" w:cs="宋体"/>
                <w:color w:val="auto"/>
                <w:sz w:val="18"/>
                <w:szCs w:val="18"/>
                <w:highlight w:val="none"/>
              </w:rPr>
            </w:pPr>
          </w:p>
        </w:tc>
        <w:tc>
          <w:tcPr>
            <w:tcW w:w="513" w:type="pct"/>
            <w:vAlign w:val="center"/>
          </w:tcPr>
          <w:p w14:paraId="68C92131">
            <w:pPr>
              <w:spacing w:line="420" w:lineRule="exact"/>
              <w:jc w:val="center"/>
              <w:rPr>
                <w:rFonts w:ascii="宋体" w:hAnsi="宋体" w:cs="宋体"/>
                <w:color w:val="auto"/>
                <w:sz w:val="18"/>
                <w:szCs w:val="18"/>
                <w:highlight w:val="none"/>
              </w:rPr>
            </w:pPr>
          </w:p>
        </w:tc>
        <w:tc>
          <w:tcPr>
            <w:tcW w:w="621" w:type="pct"/>
          </w:tcPr>
          <w:p w14:paraId="49D90E07">
            <w:pPr>
              <w:spacing w:line="420" w:lineRule="exact"/>
              <w:jc w:val="center"/>
              <w:rPr>
                <w:rFonts w:ascii="宋体" w:hAnsi="宋体" w:cs="宋体"/>
                <w:color w:val="auto"/>
                <w:sz w:val="18"/>
                <w:szCs w:val="18"/>
                <w:highlight w:val="none"/>
              </w:rPr>
            </w:pPr>
          </w:p>
        </w:tc>
        <w:tc>
          <w:tcPr>
            <w:tcW w:w="648" w:type="pct"/>
          </w:tcPr>
          <w:p w14:paraId="401ED715">
            <w:pPr>
              <w:spacing w:line="420" w:lineRule="exact"/>
              <w:jc w:val="center"/>
              <w:rPr>
                <w:rFonts w:ascii="宋体" w:hAnsi="宋体" w:cs="宋体"/>
                <w:color w:val="auto"/>
                <w:sz w:val="18"/>
                <w:szCs w:val="18"/>
                <w:highlight w:val="none"/>
              </w:rPr>
            </w:pPr>
          </w:p>
        </w:tc>
      </w:tr>
      <w:tr w14:paraId="61D7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Align w:val="center"/>
          </w:tcPr>
          <w:p w14:paraId="30D39F75">
            <w:pPr>
              <w:spacing w:line="420" w:lineRule="exact"/>
              <w:jc w:val="center"/>
              <w:rPr>
                <w:rFonts w:ascii="宋体" w:hAnsi="宋体" w:cs="宋体"/>
                <w:color w:val="auto"/>
                <w:sz w:val="18"/>
                <w:szCs w:val="18"/>
                <w:highlight w:val="none"/>
              </w:rPr>
            </w:pPr>
          </w:p>
        </w:tc>
        <w:tc>
          <w:tcPr>
            <w:tcW w:w="366" w:type="pct"/>
          </w:tcPr>
          <w:p w14:paraId="0168B878">
            <w:pPr>
              <w:spacing w:line="420" w:lineRule="exact"/>
              <w:jc w:val="center"/>
              <w:rPr>
                <w:rFonts w:ascii="宋体" w:hAnsi="宋体" w:cs="宋体"/>
                <w:color w:val="auto"/>
                <w:sz w:val="18"/>
                <w:szCs w:val="18"/>
                <w:highlight w:val="none"/>
              </w:rPr>
            </w:pPr>
          </w:p>
        </w:tc>
        <w:tc>
          <w:tcPr>
            <w:tcW w:w="319" w:type="pct"/>
            <w:vAlign w:val="center"/>
          </w:tcPr>
          <w:p w14:paraId="1E935123">
            <w:pPr>
              <w:spacing w:line="420" w:lineRule="exact"/>
              <w:jc w:val="center"/>
              <w:rPr>
                <w:rFonts w:ascii="宋体" w:hAnsi="宋体" w:cs="宋体"/>
                <w:color w:val="auto"/>
                <w:sz w:val="18"/>
                <w:szCs w:val="18"/>
                <w:highlight w:val="none"/>
              </w:rPr>
            </w:pPr>
          </w:p>
        </w:tc>
        <w:tc>
          <w:tcPr>
            <w:tcW w:w="239" w:type="pct"/>
            <w:vAlign w:val="center"/>
          </w:tcPr>
          <w:p w14:paraId="0CD13DD9">
            <w:pPr>
              <w:spacing w:line="420" w:lineRule="exact"/>
              <w:jc w:val="center"/>
              <w:rPr>
                <w:rFonts w:ascii="宋体" w:hAnsi="宋体" w:cs="宋体"/>
                <w:color w:val="auto"/>
                <w:sz w:val="18"/>
                <w:szCs w:val="18"/>
                <w:highlight w:val="none"/>
              </w:rPr>
            </w:pPr>
          </w:p>
        </w:tc>
        <w:tc>
          <w:tcPr>
            <w:tcW w:w="352" w:type="pct"/>
            <w:vAlign w:val="center"/>
          </w:tcPr>
          <w:p w14:paraId="7F1CE6A1">
            <w:pPr>
              <w:spacing w:line="420" w:lineRule="exact"/>
              <w:jc w:val="center"/>
              <w:rPr>
                <w:rFonts w:ascii="宋体" w:hAnsi="宋体" w:cs="宋体"/>
                <w:color w:val="auto"/>
                <w:sz w:val="18"/>
                <w:szCs w:val="18"/>
                <w:highlight w:val="none"/>
              </w:rPr>
            </w:pPr>
          </w:p>
        </w:tc>
        <w:tc>
          <w:tcPr>
            <w:tcW w:w="219" w:type="pct"/>
            <w:vAlign w:val="center"/>
          </w:tcPr>
          <w:p w14:paraId="71F2B2FD">
            <w:pPr>
              <w:spacing w:line="420" w:lineRule="exact"/>
              <w:jc w:val="center"/>
              <w:rPr>
                <w:rFonts w:ascii="宋体" w:hAnsi="宋体" w:cs="宋体"/>
                <w:color w:val="auto"/>
                <w:sz w:val="18"/>
                <w:szCs w:val="18"/>
                <w:highlight w:val="none"/>
              </w:rPr>
            </w:pPr>
          </w:p>
        </w:tc>
        <w:tc>
          <w:tcPr>
            <w:tcW w:w="380" w:type="pct"/>
            <w:vAlign w:val="center"/>
          </w:tcPr>
          <w:p w14:paraId="1A7BF601">
            <w:pPr>
              <w:spacing w:line="420" w:lineRule="exact"/>
              <w:jc w:val="center"/>
              <w:rPr>
                <w:rFonts w:ascii="宋体" w:hAnsi="宋体" w:cs="宋体"/>
                <w:color w:val="auto"/>
                <w:sz w:val="18"/>
                <w:szCs w:val="18"/>
                <w:highlight w:val="none"/>
              </w:rPr>
            </w:pPr>
          </w:p>
        </w:tc>
        <w:tc>
          <w:tcPr>
            <w:tcW w:w="346" w:type="pct"/>
            <w:vAlign w:val="center"/>
          </w:tcPr>
          <w:p w14:paraId="4C430139">
            <w:pPr>
              <w:spacing w:line="420" w:lineRule="exact"/>
              <w:jc w:val="center"/>
              <w:rPr>
                <w:rFonts w:ascii="宋体" w:hAnsi="宋体" w:cs="宋体"/>
                <w:color w:val="auto"/>
                <w:sz w:val="18"/>
                <w:szCs w:val="18"/>
                <w:highlight w:val="none"/>
              </w:rPr>
            </w:pPr>
          </w:p>
        </w:tc>
        <w:tc>
          <w:tcPr>
            <w:tcW w:w="253" w:type="pct"/>
            <w:vAlign w:val="center"/>
          </w:tcPr>
          <w:p w14:paraId="54A78058">
            <w:pPr>
              <w:spacing w:line="420" w:lineRule="exact"/>
              <w:jc w:val="center"/>
              <w:rPr>
                <w:rFonts w:ascii="宋体" w:hAnsi="宋体" w:cs="宋体"/>
                <w:color w:val="auto"/>
                <w:sz w:val="18"/>
                <w:szCs w:val="18"/>
                <w:highlight w:val="none"/>
              </w:rPr>
            </w:pPr>
          </w:p>
        </w:tc>
        <w:tc>
          <w:tcPr>
            <w:tcW w:w="494" w:type="pct"/>
            <w:vAlign w:val="center"/>
          </w:tcPr>
          <w:p w14:paraId="76254519">
            <w:pPr>
              <w:spacing w:line="420" w:lineRule="exact"/>
              <w:jc w:val="center"/>
              <w:rPr>
                <w:rFonts w:ascii="宋体" w:hAnsi="宋体" w:cs="宋体"/>
                <w:color w:val="auto"/>
                <w:sz w:val="18"/>
                <w:szCs w:val="18"/>
                <w:highlight w:val="none"/>
              </w:rPr>
            </w:pPr>
          </w:p>
        </w:tc>
        <w:tc>
          <w:tcPr>
            <w:tcW w:w="513" w:type="pct"/>
            <w:vAlign w:val="center"/>
          </w:tcPr>
          <w:p w14:paraId="11D084A1">
            <w:pPr>
              <w:spacing w:line="420" w:lineRule="exact"/>
              <w:jc w:val="center"/>
              <w:rPr>
                <w:rFonts w:ascii="宋体" w:hAnsi="宋体" w:cs="宋体"/>
                <w:color w:val="auto"/>
                <w:sz w:val="18"/>
                <w:szCs w:val="18"/>
                <w:highlight w:val="none"/>
              </w:rPr>
            </w:pPr>
          </w:p>
        </w:tc>
        <w:tc>
          <w:tcPr>
            <w:tcW w:w="621" w:type="pct"/>
          </w:tcPr>
          <w:p w14:paraId="427D2BD6">
            <w:pPr>
              <w:spacing w:line="420" w:lineRule="exact"/>
              <w:jc w:val="center"/>
              <w:rPr>
                <w:rFonts w:ascii="宋体" w:hAnsi="宋体" w:cs="宋体"/>
                <w:color w:val="auto"/>
                <w:sz w:val="18"/>
                <w:szCs w:val="18"/>
                <w:highlight w:val="none"/>
              </w:rPr>
            </w:pPr>
          </w:p>
        </w:tc>
        <w:tc>
          <w:tcPr>
            <w:tcW w:w="648" w:type="pct"/>
          </w:tcPr>
          <w:p w14:paraId="151E8686">
            <w:pPr>
              <w:spacing w:line="420" w:lineRule="exact"/>
              <w:jc w:val="center"/>
              <w:rPr>
                <w:rFonts w:ascii="宋体" w:hAnsi="宋体" w:cs="宋体"/>
                <w:color w:val="auto"/>
                <w:sz w:val="18"/>
                <w:szCs w:val="18"/>
                <w:highlight w:val="none"/>
              </w:rPr>
            </w:pPr>
          </w:p>
        </w:tc>
      </w:tr>
      <w:tr w14:paraId="6877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Align w:val="center"/>
          </w:tcPr>
          <w:p w14:paraId="356DFD24">
            <w:pPr>
              <w:spacing w:line="420" w:lineRule="exact"/>
              <w:jc w:val="center"/>
              <w:rPr>
                <w:rFonts w:ascii="宋体" w:hAnsi="宋体" w:cs="宋体"/>
                <w:color w:val="auto"/>
                <w:sz w:val="18"/>
                <w:szCs w:val="18"/>
                <w:highlight w:val="none"/>
              </w:rPr>
            </w:pPr>
          </w:p>
        </w:tc>
        <w:tc>
          <w:tcPr>
            <w:tcW w:w="366" w:type="pct"/>
          </w:tcPr>
          <w:p w14:paraId="7794797D">
            <w:pPr>
              <w:spacing w:line="420" w:lineRule="exact"/>
              <w:jc w:val="center"/>
              <w:rPr>
                <w:rFonts w:ascii="宋体" w:hAnsi="宋体" w:cs="宋体"/>
                <w:color w:val="auto"/>
                <w:sz w:val="18"/>
                <w:szCs w:val="18"/>
                <w:highlight w:val="none"/>
              </w:rPr>
            </w:pPr>
          </w:p>
        </w:tc>
        <w:tc>
          <w:tcPr>
            <w:tcW w:w="319" w:type="pct"/>
            <w:vAlign w:val="center"/>
          </w:tcPr>
          <w:p w14:paraId="1E2F0634">
            <w:pPr>
              <w:spacing w:line="420" w:lineRule="exact"/>
              <w:jc w:val="center"/>
              <w:rPr>
                <w:rFonts w:ascii="宋体" w:hAnsi="宋体" w:cs="宋体"/>
                <w:color w:val="auto"/>
                <w:sz w:val="18"/>
                <w:szCs w:val="18"/>
                <w:highlight w:val="none"/>
              </w:rPr>
            </w:pPr>
          </w:p>
        </w:tc>
        <w:tc>
          <w:tcPr>
            <w:tcW w:w="239" w:type="pct"/>
            <w:vAlign w:val="center"/>
          </w:tcPr>
          <w:p w14:paraId="221CA8CD">
            <w:pPr>
              <w:spacing w:line="420" w:lineRule="exact"/>
              <w:jc w:val="center"/>
              <w:rPr>
                <w:rFonts w:ascii="宋体" w:hAnsi="宋体" w:cs="宋体"/>
                <w:color w:val="auto"/>
                <w:sz w:val="18"/>
                <w:szCs w:val="18"/>
                <w:highlight w:val="none"/>
              </w:rPr>
            </w:pPr>
          </w:p>
        </w:tc>
        <w:tc>
          <w:tcPr>
            <w:tcW w:w="352" w:type="pct"/>
            <w:vAlign w:val="center"/>
          </w:tcPr>
          <w:p w14:paraId="3AC78B38">
            <w:pPr>
              <w:spacing w:line="420" w:lineRule="exact"/>
              <w:jc w:val="center"/>
              <w:rPr>
                <w:rFonts w:ascii="宋体" w:hAnsi="宋体" w:cs="宋体"/>
                <w:color w:val="auto"/>
                <w:sz w:val="18"/>
                <w:szCs w:val="18"/>
                <w:highlight w:val="none"/>
              </w:rPr>
            </w:pPr>
          </w:p>
        </w:tc>
        <w:tc>
          <w:tcPr>
            <w:tcW w:w="219" w:type="pct"/>
            <w:vAlign w:val="center"/>
          </w:tcPr>
          <w:p w14:paraId="5EBF4A0D">
            <w:pPr>
              <w:spacing w:line="420" w:lineRule="exact"/>
              <w:jc w:val="center"/>
              <w:rPr>
                <w:rFonts w:ascii="宋体" w:hAnsi="宋体" w:cs="宋体"/>
                <w:color w:val="auto"/>
                <w:sz w:val="18"/>
                <w:szCs w:val="18"/>
                <w:highlight w:val="none"/>
              </w:rPr>
            </w:pPr>
          </w:p>
        </w:tc>
        <w:tc>
          <w:tcPr>
            <w:tcW w:w="380" w:type="pct"/>
            <w:vAlign w:val="center"/>
          </w:tcPr>
          <w:p w14:paraId="7EBF1535">
            <w:pPr>
              <w:spacing w:line="420" w:lineRule="exact"/>
              <w:jc w:val="center"/>
              <w:rPr>
                <w:rFonts w:ascii="宋体" w:hAnsi="宋体" w:cs="宋体"/>
                <w:color w:val="auto"/>
                <w:sz w:val="18"/>
                <w:szCs w:val="18"/>
                <w:highlight w:val="none"/>
              </w:rPr>
            </w:pPr>
          </w:p>
        </w:tc>
        <w:tc>
          <w:tcPr>
            <w:tcW w:w="346" w:type="pct"/>
            <w:vAlign w:val="center"/>
          </w:tcPr>
          <w:p w14:paraId="6B3C5CF4">
            <w:pPr>
              <w:spacing w:line="420" w:lineRule="exact"/>
              <w:jc w:val="center"/>
              <w:rPr>
                <w:rFonts w:ascii="宋体" w:hAnsi="宋体" w:cs="宋体"/>
                <w:color w:val="auto"/>
                <w:sz w:val="18"/>
                <w:szCs w:val="18"/>
                <w:highlight w:val="none"/>
              </w:rPr>
            </w:pPr>
          </w:p>
        </w:tc>
        <w:tc>
          <w:tcPr>
            <w:tcW w:w="253" w:type="pct"/>
            <w:vAlign w:val="center"/>
          </w:tcPr>
          <w:p w14:paraId="1B343783">
            <w:pPr>
              <w:spacing w:line="420" w:lineRule="exact"/>
              <w:jc w:val="center"/>
              <w:rPr>
                <w:rFonts w:ascii="宋体" w:hAnsi="宋体" w:cs="宋体"/>
                <w:color w:val="auto"/>
                <w:sz w:val="18"/>
                <w:szCs w:val="18"/>
                <w:highlight w:val="none"/>
              </w:rPr>
            </w:pPr>
          </w:p>
        </w:tc>
        <w:tc>
          <w:tcPr>
            <w:tcW w:w="494" w:type="pct"/>
            <w:vAlign w:val="center"/>
          </w:tcPr>
          <w:p w14:paraId="1966FD46">
            <w:pPr>
              <w:spacing w:line="420" w:lineRule="exact"/>
              <w:jc w:val="center"/>
              <w:rPr>
                <w:rFonts w:ascii="宋体" w:hAnsi="宋体" w:cs="宋体"/>
                <w:color w:val="auto"/>
                <w:sz w:val="18"/>
                <w:szCs w:val="18"/>
                <w:highlight w:val="none"/>
              </w:rPr>
            </w:pPr>
          </w:p>
        </w:tc>
        <w:tc>
          <w:tcPr>
            <w:tcW w:w="513" w:type="pct"/>
            <w:vAlign w:val="center"/>
          </w:tcPr>
          <w:p w14:paraId="35CD0296">
            <w:pPr>
              <w:spacing w:line="420" w:lineRule="exact"/>
              <w:jc w:val="center"/>
              <w:rPr>
                <w:rFonts w:ascii="宋体" w:hAnsi="宋体" w:cs="宋体"/>
                <w:color w:val="auto"/>
                <w:sz w:val="18"/>
                <w:szCs w:val="18"/>
                <w:highlight w:val="none"/>
              </w:rPr>
            </w:pPr>
          </w:p>
        </w:tc>
        <w:tc>
          <w:tcPr>
            <w:tcW w:w="621" w:type="pct"/>
          </w:tcPr>
          <w:p w14:paraId="088F91E0">
            <w:pPr>
              <w:spacing w:line="420" w:lineRule="exact"/>
              <w:jc w:val="center"/>
              <w:rPr>
                <w:rFonts w:ascii="宋体" w:hAnsi="宋体" w:cs="宋体"/>
                <w:color w:val="auto"/>
                <w:sz w:val="18"/>
                <w:szCs w:val="18"/>
                <w:highlight w:val="none"/>
              </w:rPr>
            </w:pPr>
          </w:p>
        </w:tc>
        <w:tc>
          <w:tcPr>
            <w:tcW w:w="648" w:type="pct"/>
          </w:tcPr>
          <w:p w14:paraId="1BD317DD">
            <w:pPr>
              <w:spacing w:line="420" w:lineRule="exact"/>
              <w:jc w:val="center"/>
              <w:rPr>
                <w:rFonts w:ascii="宋体" w:hAnsi="宋体" w:cs="宋体"/>
                <w:color w:val="auto"/>
                <w:sz w:val="18"/>
                <w:szCs w:val="18"/>
                <w:highlight w:val="none"/>
              </w:rPr>
            </w:pPr>
          </w:p>
        </w:tc>
      </w:tr>
      <w:tr w14:paraId="2C04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Align w:val="center"/>
          </w:tcPr>
          <w:p w14:paraId="4C5D5D80">
            <w:pPr>
              <w:spacing w:line="420" w:lineRule="exact"/>
              <w:jc w:val="center"/>
              <w:rPr>
                <w:rFonts w:ascii="宋体" w:hAnsi="宋体" w:cs="宋体"/>
                <w:color w:val="auto"/>
                <w:sz w:val="18"/>
                <w:szCs w:val="18"/>
                <w:highlight w:val="none"/>
              </w:rPr>
            </w:pPr>
          </w:p>
        </w:tc>
        <w:tc>
          <w:tcPr>
            <w:tcW w:w="366" w:type="pct"/>
          </w:tcPr>
          <w:p w14:paraId="7CD7ABA9">
            <w:pPr>
              <w:spacing w:line="420" w:lineRule="exact"/>
              <w:jc w:val="center"/>
              <w:rPr>
                <w:rFonts w:ascii="宋体" w:hAnsi="宋体" w:cs="宋体"/>
                <w:color w:val="auto"/>
                <w:sz w:val="18"/>
                <w:szCs w:val="18"/>
                <w:highlight w:val="none"/>
              </w:rPr>
            </w:pPr>
          </w:p>
        </w:tc>
        <w:tc>
          <w:tcPr>
            <w:tcW w:w="319" w:type="pct"/>
            <w:vAlign w:val="center"/>
          </w:tcPr>
          <w:p w14:paraId="0C395D20">
            <w:pPr>
              <w:spacing w:line="420" w:lineRule="exact"/>
              <w:jc w:val="center"/>
              <w:rPr>
                <w:rFonts w:ascii="宋体" w:hAnsi="宋体" w:cs="宋体"/>
                <w:color w:val="auto"/>
                <w:sz w:val="18"/>
                <w:szCs w:val="18"/>
                <w:highlight w:val="none"/>
              </w:rPr>
            </w:pPr>
          </w:p>
        </w:tc>
        <w:tc>
          <w:tcPr>
            <w:tcW w:w="239" w:type="pct"/>
            <w:vAlign w:val="center"/>
          </w:tcPr>
          <w:p w14:paraId="68F6B5F6">
            <w:pPr>
              <w:spacing w:line="420" w:lineRule="exact"/>
              <w:jc w:val="center"/>
              <w:rPr>
                <w:rFonts w:ascii="宋体" w:hAnsi="宋体" w:cs="宋体"/>
                <w:color w:val="auto"/>
                <w:sz w:val="18"/>
                <w:szCs w:val="18"/>
                <w:highlight w:val="none"/>
              </w:rPr>
            </w:pPr>
          </w:p>
        </w:tc>
        <w:tc>
          <w:tcPr>
            <w:tcW w:w="352" w:type="pct"/>
            <w:vAlign w:val="center"/>
          </w:tcPr>
          <w:p w14:paraId="27E88F68">
            <w:pPr>
              <w:spacing w:line="420" w:lineRule="exact"/>
              <w:jc w:val="center"/>
              <w:rPr>
                <w:rFonts w:ascii="宋体" w:hAnsi="宋体" w:cs="宋体"/>
                <w:color w:val="auto"/>
                <w:sz w:val="18"/>
                <w:szCs w:val="18"/>
                <w:highlight w:val="none"/>
              </w:rPr>
            </w:pPr>
          </w:p>
        </w:tc>
        <w:tc>
          <w:tcPr>
            <w:tcW w:w="219" w:type="pct"/>
            <w:vAlign w:val="center"/>
          </w:tcPr>
          <w:p w14:paraId="58097B5E">
            <w:pPr>
              <w:spacing w:line="420" w:lineRule="exact"/>
              <w:jc w:val="center"/>
              <w:rPr>
                <w:rFonts w:ascii="宋体" w:hAnsi="宋体" w:cs="宋体"/>
                <w:color w:val="auto"/>
                <w:sz w:val="18"/>
                <w:szCs w:val="18"/>
                <w:highlight w:val="none"/>
              </w:rPr>
            </w:pPr>
          </w:p>
        </w:tc>
        <w:tc>
          <w:tcPr>
            <w:tcW w:w="380" w:type="pct"/>
            <w:vAlign w:val="center"/>
          </w:tcPr>
          <w:p w14:paraId="016BDE8B">
            <w:pPr>
              <w:spacing w:line="420" w:lineRule="exact"/>
              <w:jc w:val="center"/>
              <w:rPr>
                <w:rFonts w:ascii="宋体" w:hAnsi="宋体" w:cs="宋体"/>
                <w:color w:val="auto"/>
                <w:sz w:val="18"/>
                <w:szCs w:val="18"/>
                <w:highlight w:val="none"/>
              </w:rPr>
            </w:pPr>
          </w:p>
        </w:tc>
        <w:tc>
          <w:tcPr>
            <w:tcW w:w="346" w:type="pct"/>
            <w:vAlign w:val="center"/>
          </w:tcPr>
          <w:p w14:paraId="72DA5E74">
            <w:pPr>
              <w:spacing w:line="420" w:lineRule="exact"/>
              <w:jc w:val="center"/>
              <w:rPr>
                <w:rFonts w:ascii="宋体" w:hAnsi="宋体" w:cs="宋体"/>
                <w:color w:val="auto"/>
                <w:sz w:val="18"/>
                <w:szCs w:val="18"/>
                <w:highlight w:val="none"/>
              </w:rPr>
            </w:pPr>
          </w:p>
        </w:tc>
        <w:tc>
          <w:tcPr>
            <w:tcW w:w="253" w:type="pct"/>
            <w:vAlign w:val="center"/>
          </w:tcPr>
          <w:p w14:paraId="23F04FE5">
            <w:pPr>
              <w:spacing w:line="420" w:lineRule="exact"/>
              <w:jc w:val="center"/>
              <w:rPr>
                <w:rFonts w:ascii="宋体" w:hAnsi="宋体" w:cs="宋体"/>
                <w:color w:val="auto"/>
                <w:sz w:val="18"/>
                <w:szCs w:val="18"/>
                <w:highlight w:val="none"/>
              </w:rPr>
            </w:pPr>
          </w:p>
        </w:tc>
        <w:tc>
          <w:tcPr>
            <w:tcW w:w="494" w:type="pct"/>
            <w:vAlign w:val="center"/>
          </w:tcPr>
          <w:p w14:paraId="7D6AC5D0">
            <w:pPr>
              <w:spacing w:line="420" w:lineRule="exact"/>
              <w:jc w:val="center"/>
              <w:rPr>
                <w:rFonts w:ascii="宋体" w:hAnsi="宋体" w:cs="宋体"/>
                <w:color w:val="auto"/>
                <w:sz w:val="18"/>
                <w:szCs w:val="18"/>
                <w:highlight w:val="none"/>
              </w:rPr>
            </w:pPr>
          </w:p>
        </w:tc>
        <w:tc>
          <w:tcPr>
            <w:tcW w:w="513" w:type="pct"/>
            <w:vAlign w:val="center"/>
          </w:tcPr>
          <w:p w14:paraId="26788BE2">
            <w:pPr>
              <w:spacing w:line="420" w:lineRule="exact"/>
              <w:jc w:val="center"/>
              <w:rPr>
                <w:rFonts w:ascii="宋体" w:hAnsi="宋体" w:cs="宋体"/>
                <w:color w:val="auto"/>
                <w:sz w:val="18"/>
                <w:szCs w:val="18"/>
                <w:highlight w:val="none"/>
              </w:rPr>
            </w:pPr>
          </w:p>
        </w:tc>
        <w:tc>
          <w:tcPr>
            <w:tcW w:w="621" w:type="pct"/>
          </w:tcPr>
          <w:p w14:paraId="7D8B9112">
            <w:pPr>
              <w:spacing w:line="420" w:lineRule="exact"/>
              <w:jc w:val="center"/>
              <w:rPr>
                <w:rFonts w:ascii="宋体" w:hAnsi="宋体" w:cs="宋体"/>
                <w:color w:val="auto"/>
                <w:sz w:val="18"/>
                <w:szCs w:val="18"/>
                <w:highlight w:val="none"/>
              </w:rPr>
            </w:pPr>
          </w:p>
        </w:tc>
        <w:tc>
          <w:tcPr>
            <w:tcW w:w="648" w:type="pct"/>
          </w:tcPr>
          <w:p w14:paraId="2CB5B718">
            <w:pPr>
              <w:spacing w:line="420" w:lineRule="exact"/>
              <w:jc w:val="center"/>
              <w:rPr>
                <w:rFonts w:ascii="宋体" w:hAnsi="宋体" w:cs="宋体"/>
                <w:color w:val="auto"/>
                <w:sz w:val="18"/>
                <w:szCs w:val="18"/>
                <w:highlight w:val="none"/>
              </w:rPr>
            </w:pPr>
          </w:p>
        </w:tc>
      </w:tr>
      <w:tr w14:paraId="116A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Align w:val="center"/>
          </w:tcPr>
          <w:p w14:paraId="363BCD0B">
            <w:pPr>
              <w:spacing w:line="420" w:lineRule="exact"/>
              <w:jc w:val="center"/>
              <w:rPr>
                <w:rFonts w:ascii="宋体" w:hAnsi="宋体" w:cs="宋体"/>
                <w:color w:val="auto"/>
                <w:sz w:val="18"/>
                <w:szCs w:val="18"/>
                <w:highlight w:val="none"/>
              </w:rPr>
            </w:pPr>
          </w:p>
        </w:tc>
        <w:tc>
          <w:tcPr>
            <w:tcW w:w="366" w:type="pct"/>
          </w:tcPr>
          <w:p w14:paraId="2CAE3BFA">
            <w:pPr>
              <w:spacing w:line="420" w:lineRule="exact"/>
              <w:jc w:val="center"/>
              <w:rPr>
                <w:rFonts w:ascii="宋体" w:hAnsi="宋体" w:cs="宋体"/>
                <w:color w:val="auto"/>
                <w:sz w:val="18"/>
                <w:szCs w:val="18"/>
                <w:highlight w:val="none"/>
              </w:rPr>
            </w:pPr>
          </w:p>
        </w:tc>
        <w:tc>
          <w:tcPr>
            <w:tcW w:w="319" w:type="pct"/>
            <w:vAlign w:val="center"/>
          </w:tcPr>
          <w:p w14:paraId="25F0E63C">
            <w:pPr>
              <w:spacing w:line="420" w:lineRule="exact"/>
              <w:jc w:val="center"/>
              <w:rPr>
                <w:rFonts w:ascii="宋体" w:hAnsi="宋体" w:cs="宋体"/>
                <w:color w:val="auto"/>
                <w:sz w:val="18"/>
                <w:szCs w:val="18"/>
                <w:highlight w:val="none"/>
              </w:rPr>
            </w:pPr>
          </w:p>
        </w:tc>
        <w:tc>
          <w:tcPr>
            <w:tcW w:w="239" w:type="pct"/>
            <w:vAlign w:val="center"/>
          </w:tcPr>
          <w:p w14:paraId="7711651B">
            <w:pPr>
              <w:spacing w:line="420" w:lineRule="exact"/>
              <w:jc w:val="center"/>
              <w:rPr>
                <w:rFonts w:ascii="宋体" w:hAnsi="宋体" w:cs="宋体"/>
                <w:color w:val="auto"/>
                <w:sz w:val="18"/>
                <w:szCs w:val="18"/>
                <w:highlight w:val="none"/>
              </w:rPr>
            </w:pPr>
          </w:p>
        </w:tc>
        <w:tc>
          <w:tcPr>
            <w:tcW w:w="352" w:type="pct"/>
            <w:vAlign w:val="center"/>
          </w:tcPr>
          <w:p w14:paraId="2EF8ED19">
            <w:pPr>
              <w:spacing w:line="420" w:lineRule="exact"/>
              <w:jc w:val="center"/>
              <w:rPr>
                <w:rFonts w:ascii="宋体" w:hAnsi="宋体" w:cs="宋体"/>
                <w:color w:val="auto"/>
                <w:sz w:val="18"/>
                <w:szCs w:val="18"/>
                <w:highlight w:val="none"/>
              </w:rPr>
            </w:pPr>
          </w:p>
        </w:tc>
        <w:tc>
          <w:tcPr>
            <w:tcW w:w="219" w:type="pct"/>
            <w:vAlign w:val="center"/>
          </w:tcPr>
          <w:p w14:paraId="615883B1">
            <w:pPr>
              <w:spacing w:line="420" w:lineRule="exact"/>
              <w:jc w:val="center"/>
              <w:rPr>
                <w:rFonts w:ascii="宋体" w:hAnsi="宋体" w:cs="宋体"/>
                <w:color w:val="auto"/>
                <w:sz w:val="18"/>
                <w:szCs w:val="18"/>
                <w:highlight w:val="none"/>
              </w:rPr>
            </w:pPr>
          </w:p>
        </w:tc>
        <w:tc>
          <w:tcPr>
            <w:tcW w:w="380" w:type="pct"/>
            <w:vAlign w:val="center"/>
          </w:tcPr>
          <w:p w14:paraId="609D7072">
            <w:pPr>
              <w:spacing w:line="420" w:lineRule="exact"/>
              <w:jc w:val="center"/>
              <w:rPr>
                <w:rFonts w:ascii="宋体" w:hAnsi="宋体" w:cs="宋体"/>
                <w:color w:val="auto"/>
                <w:sz w:val="18"/>
                <w:szCs w:val="18"/>
                <w:highlight w:val="none"/>
              </w:rPr>
            </w:pPr>
          </w:p>
        </w:tc>
        <w:tc>
          <w:tcPr>
            <w:tcW w:w="346" w:type="pct"/>
            <w:vAlign w:val="center"/>
          </w:tcPr>
          <w:p w14:paraId="08AC2C8D">
            <w:pPr>
              <w:spacing w:line="420" w:lineRule="exact"/>
              <w:jc w:val="center"/>
              <w:rPr>
                <w:rFonts w:ascii="宋体" w:hAnsi="宋体" w:cs="宋体"/>
                <w:color w:val="auto"/>
                <w:sz w:val="18"/>
                <w:szCs w:val="18"/>
                <w:highlight w:val="none"/>
              </w:rPr>
            </w:pPr>
          </w:p>
        </w:tc>
        <w:tc>
          <w:tcPr>
            <w:tcW w:w="253" w:type="pct"/>
            <w:vAlign w:val="center"/>
          </w:tcPr>
          <w:p w14:paraId="51E08938">
            <w:pPr>
              <w:spacing w:line="420" w:lineRule="exact"/>
              <w:jc w:val="center"/>
              <w:rPr>
                <w:rFonts w:ascii="宋体" w:hAnsi="宋体" w:cs="宋体"/>
                <w:color w:val="auto"/>
                <w:sz w:val="18"/>
                <w:szCs w:val="18"/>
                <w:highlight w:val="none"/>
              </w:rPr>
            </w:pPr>
          </w:p>
        </w:tc>
        <w:tc>
          <w:tcPr>
            <w:tcW w:w="494" w:type="pct"/>
            <w:vAlign w:val="center"/>
          </w:tcPr>
          <w:p w14:paraId="78E7F8EE">
            <w:pPr>
              <w:spacing w:line="420" w:lineRule="exact"/>
              <w:jc w:val="center"/>
              <w:rPr>
                <w:rFonts w:ascii="宋体" w:hAnsi="宋体" w:cs="宋体"/>
                <w:color w:val="auto"/>
                <w:sz w:val="18"/>
                <w:szCs w:val="18"/>
                <w:highlight w:val="none"/>
              </w:rPr>
            </w:pPr>
          </w:p>
        </w:tc>
        <w:tc>
          <w:tcPr>
            <w:tcW w:w="513" w:type="pct"/>
            <w:vAlign w:val="center"/>
          </w:tcPr>
          <w:p w14:paraId="0D9D1601">
            <w:pPr>
              <w:spacing w:line="420" w:lineRule="exact"/>
              <w:jc w:val="center"/>
              <w:rPr>
                <w:rFonts w:ascii="宋体" w:hAnsi="宋体" w:cs="宋体"/>
                <w:color w:val="auto"/>
                <w:sz w:val="18"/>
                <w:szCs w:val="18"/>
                <w:highlight w:val="none"/>
              </w:rPr>
            </w:pPr>
          </w:p>
        </w:tc>
        <w:tc>
          <w:tcPr>
            <w:tcW w:w="621" w:type="pct"/>
          </w:tcPr>
          <w:p w14:paraId="144A673E">
            <w:pPr>
              <w:spacing w:line="420" w:lineRule="exact"/>
              <w:jc w:val="center"/>
              <w:rPr>
                <w:rFonts w:ascii="宋体" w:hAnsi="宋体" w:cs="宋体"/>
                <w:color w:val="auto"/>
                <w:sz w:val="18"/>
                <w:szCs w:val="18"/>
                <w:highlight w:val="none"/>
              </w:rPr>
            </w:pPr>
          </w:p>
        </w:tc>
        <w:tc>
          <w:tcPr>
            <w:tcW w:w="648" w:type="pct"/>
          </w:tcPr>
          <w:p w14:paraId="72FFB20D">
            <w:pPr>
              <w:spacing w:line="420" w:lineRule="exact"/>
              <w:jc w:val="center"/>
              <w:rPr>
                <w:rFonts w:ascii="宋体" w:hAnsi="宋体" w:cs="宋体"/>
                <w:color w:val="auto"/>
                <w:sz w:val="18"/>
                <w:szCs w:val="18"/>
                <w:highlight w:val="none"/>
              </w:rPr>
            </w:pPr>
          </w:p>
        </w:tc>
      </w:tr>
      <w:tr w14:paraId="799B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5" w:type="pct"/>
            <w:vAlign w:val="center"/>
          </w:tcPr>
          <w:p w14:paraId="4CC26F94">
            <w:pPr>
              <w:spacing w:line="420" w:lineRule="exact"/>
              <w:jc w:val="center"/>
              <w:rPr>
                <w:rFonts w:ascii="宋体" w:hAnsi="宋体" w:cs="宋体"/>
                <w:color w:val="auto"/>
                <w:sz w:val="18"/>
                <w:szCs w:val="18"/>
                <w:highlight w:val="none"/>
              </w:rPr>
            </w:pPr>
          </w:p>
        </w:tc>
        <w:tc>
          <w:tcPr>
            <w:tcW w:w="366" w:type="pct"/>
          </w:tcPr>
          <w:p w14:paraId="10E3B01F">
            <w:pPr>
              <w:spacing w:line="420" w:lineRule="exact"/>
              <w:jc w:val="center"/>
              <w:rPr>
                <w:rFonts w:ascii="宋体" w:hAnsi="宋体" w:cs="宋体"/>
                <w:color w:val="auto"/>
                <w:sz w:val="18"/>
                <w:szCs w:val="18"/>
                <w:highlight w:val="none"/>
              </w:rPr>
            </w:pPr>
          </w:p>
        </w:tc>
        <w:tc>
          <w:tcPr>
            <w:tcW w:w="319" w:type="pct"/>
            <w:vAlign w:val="center"/>
          </w:tcPr>
          <w:p w14:paraId="3AB59C0B">
            <w:pPr>
              <w:spacing w:line="420" w:lineRule="exact"/>
              <w:jc w:val="center"/>
              <w:rPr>
                <w:rFonts w:ascii="宋体" w:hAnsi="宋体" w:cs="宋体"/>
                <w:color w:val="auto"/>
                <w:sz w:val="18"/>
                <w:szCs w:val="18"/>
                <w:highlight w:val="none"/>
              </w:rPr>
            </w:pPr>
          </w:p>
        </w:tc>
        <w:tc>
          <w:tcPr>
            <w:tcW w:w="239" w:type="pct"/>
            <w:vAlign w:val="center"/>
          </w:tcPr>
          <w:p w14:paraId="5C34889B">
            <w:pPr>
              <w:spacing w:line="420" w:lineRule="exact"/>
              <w:jc w:val="center"/>
              <w:rPr>
                <w:rFonts w:ascii="宋体" w:hAnsi="宋体" w:cs="宋体"/>
                <w:color w:val="auto"/>
                <w:sz w:val="18"/>
                <w:szCs w:val="18"/>
                <w:highlight w:val="none"/>
              </w:rPr>
            </w:pPr>
          </w:p>
        </w:tc>
        <w:tc>
          <w:tcPr>
            <w:tcW w:w="352" w:type="pct"/>
            <w:vAlign w:val="center"/>
          </w:tcPr>
          <w:p w14:paraId="2EBCD8B5">
            <w:pPr>
              <w:spacing w:line="420" w:lineRule="exact"/>
              <w:jc w:val="center"/>
              <w:rPr>
                <w:rFonts w:ascii="宋体" w:hAnsi="宋体" w:cs="宋体"/>
                <w:color w:val="auto"/>
                <w:sz w:val="18"/>
                <w:szCs w:val="18"/>
                <w:highlight w:val="none"/>
              </w:rPr>
            </w:pPr>
          </w:p>
        </w:tc>
        <w:tc>
          <w:tcPr>
            <w:tcW w:w="219" w:type="pct"/>
            <w:vAlign w:val="center"/>
          </w:tcPr>
          <w:p w14:paraId="35ED0A32">
            <w:pPr>
              <w:spacing w:line="420" w:lineRule="exact"/>
              <w:jc w:val="center"/>
              <w:rPr>
                <w:rFonts w:ascii="宋体" w:hAnsi="宋体" w:cs="宋体"/>
                <w:color w:val="auto"/>
                <w:sz w:val="18"/>
                <w:szCs w:val="18"/>
                <w:highlight w:val="none"/>
              </w:rPr>
            </w:pPr>
          </w:p>
        </w:tc>
        <w:tc>
          <w:tcPr>
            <w:tcW w:w="380" w:type="pct"/>
            <w:vAlign w:val="center"/>
          </w:tcPr>
          <w:p w14:paraId="7EF3B3D3">
            <w:pPr>
              <w:spacing w:line="420" w:lineRule="exact"/>
              <w:jc w:val="center"/>
              <w:rPr>
                <w:rFonts w:ascii="宋体" w:hAnsi="宋体" w:cs="宋体"/>
                <w:color w:val="auto"/>
                <w:sz w:val="18"/>
                <w:szCs w:val="18"/>
                <w:highlight w:val="none"/>
              </w:rPr>
            </w:pPr>
          </w:p>
        </w:tc>
        <w:tc>
          <w:tcPr>
            <w:tcW w:w="346" w:type="pct"/>
            <w:vAlign w:val="center"/>
          </w:tcPr>
          <w:p w14:paraId="0E0C663C">
            <w:pPr>
              <w:spacing w:line="420" w:lineRule="exact"/>
              <w:jc w:val="center"/>
              <w:rPr>
                <w:rFonts w:ascii="宋体" w:hAnsi="宋体" w:cs="宋体"/>
                <w:color w:val="auto"/>
                <w:sz w:val="18"/>
                <w:szCs w:val="18"/>
                <w:highlight w:val="none"/>
              </w:rPr>
            </w:pPr>
          </w:p>
        </w:tc>
        <w:tc>
          <w:tcPr>
            <w:tcW w:w="253" w:type="pct"/>
            <w:vAlign w:val="center"/>
          </w:tcPr>
          <w:p w14:paraId="35D61D00">
            <w:pPr>
              <w:spacing w:line="420" w:lineRule="exact"/>
              <w:jc w:val="center"/>
              <w:rPr>
                <w:rFonts w:ascii="宋体" w:hAnsi="宋体" w:cs="宋体"/>
                <w:color w:val="auto"/>
                <w:sz w:val="18"/>
                <w:szCs w:val="18"/>
                <w:highlight w:val="none"/>
              </w:rPr>
            </w:pPr>
          </w:p>
        </w:tc>
        <w:tc>
          <w:tcPr>
            <w:tcW w:w="494" w:type="pct"/>
            <w:vAlign w:val="center"/>
          </w:tcPr>
          <w:p w14:paraId="1A5AD230">
            <w:pPr>
              <w:spacing w:line="420" w:lineRule="exact"/>
              <w:jc w:val="center"/>
              <w:rPr>
                <w:rFonts w:ascii="宋体" w:hAnsi="宋体" w:cs="宋体"/>
                <w:color w:val="auto"/>
                <w:sz w:val="18"/>
                <w:szCs w:val="18"/>
                <w:highlight w:val="none"/>
              </w:rPr>
            </w:pPr>
          </w:p>
        </w:tc>
        <w:tc>
          <w:tcPr>
            <w:tcW w:w="513" w:type="pct"/>
            <w:vAlign w:val="center"/>
          </w:tcPr>
          <w:p w14:paraId="6DB4187B">
            <w:pPr>
              <w:spacing w:line="420" w:lineRule="exact"/>
              <w:jc w:val="center"/>
              <w:rPr>
                <w:rFonts w:ascii="宋体" w:hAnsi="宋体" w:cs="宋体"/>
                <w:color w:val="auto"/>
                <w:sz w:val="18"/>
                <w:szCs w:val="18"/>
                <w:highlight w:val="none"/>
              </w:rPr>
            </w:pPr>
          </w:p>
        </w:tc>
        <w:tc>
          <w:tcPr>
            <w:tcW w:w="621" w:type="pct"/>
          </w:tcPr>
          <w:p w14:paraId="1A479887">
            <w:pPr>
              <w:spacing w:line="420" w:lineRule="exact"/>
              <w:jc w:val="center"/>
              <w:rPr>
                <w:rFonts w:ascii="宋体" w:hAnsi="宋体" w:cs="宋体"/>
                <w:color w:val="auto"/>
                <w:sz w:val="18"/>
                <w:szCs w:val="18"/>
                <w:highlight w:val="none"/>
              </w:rPr>
            </w:pPr>
          </w:p>
        </w:tc>
        <w:tc>
          <w:tcPr>
            <w:tcW w:w="648" w:type="pct"/>
          </w:tcPr>
          <w:p w14:paraId="3C3640CC">
            <w:pPr>
              <w:spacing w:line="420" w:lineRule="exact"/>
              <w:jc w:val="center"/>
              <w:rPr>
                <w:rFonts w:ascii="宋体" w:hAnsi="宋体" w:cs="宋体"/>
                <w:color w:val="auto"/>
                <w:sz w:val="18"/>
                <w:szCs w:val="18"/>
                <w:highlight w:val="none"/>
              </w:rPr>
            </w:pPr>
          </w:p>
        </w:tc>
      </w:tr>
      <w:tr w14:paraId="69C9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45" w:type="pct"/>
            <w:vAlign w:val="center"/>
          </w:tcPr>
          <w:p w14:paraId="0B5F2C6C">
            <w:pPr>
              <w:spacing w:line="420" w:lineRule="exact"/>
              <w:jc w:val="center"/>
              <w:rPr>
                <w:rFonts w:ascii="宋体" w:hAnsi="宋体" w:cs="宋体"/>
                <w:color w:val="auto"/>
                <w:sz w:val="18"/>
                <w:szCs w:val="18"/>
                <w:highlight w:val="none"/>
              </w:rPr>
            </w:pPr>
          </w:p>
        </w:tc>
        <w:tc>
          <w:tcPr>
            <w:tcW w:w="366" w:type="pct"/>
          </w:tcPr>
          <w:p w14:paraId="66C613D3">
            <w:pPr>
              <w:spacing w:line="420" w:lineRule="exact"/>
              <w:jc w:val="center"/>
              <w:rPr>
                <w:rFonts w:ascii="宋体" w:hAnsi="宋体" w:cs="宋体"/>
                <w:color w:val="auto"/>
                <w:sz w:val="18"/>
                <w:szCs w:val="18"/>
                <w:highlight w:val="none"/>
              </w:rPr>
            </w:pPr>
          </w:p>
        </w:tc>
        <w:tc>
          <w:tcPr>
            <w:tcW w:w="319" w:type="pct"/>
            <w:vAlign w:val="center"/>
          </w:tcPr>
          <w:p w14:paraId="25F41279">
            <w:pPr>
              <w:spacing w:line="420" w:lineRule="exact"/>
              <w:jc w:val="center"/>
              <w:rPr>
                <w:rFonts w:ascii="宋体" w:hAnsi="宋体" w:cs="宋体"/>
                <w:color w:val="auto"/>
                <w:sz w:val="18"/>
                <w:szCs w:val="18"/>
                <w:highlight w:val="none"/>
              </w:rPr>
            </w:pPr>
          </w:p>
        </w:tc>
        <w:tc>
          <w:tcPr>
            <w:tcW w:w="239" w:type="pct"/>
            <w:vAlign w:val="center"/>
          </w:tcPr>
          <w:p w14:paraId="15713BB7">
            <w:pPr>
              <w:spacing w:line="420" w:lineRule="exact"/>
              <w:jc w:val="center"/>
              <w:rPr>
                <w:rFonts w:ascii="宋体" w:hAnsi="宋体" w:cs="宋体"/>
                <w:color w:val="auto"/>
                <w:sz w:val="18"/>
                <w:szCs w:val="18"/>
                <w:highlight w:val="none"/>
              </w:rPr>
            </w:pPr>
          </w:p>
        </w:tc>
        <w:tc>
          <w:tcPr>
            <w:tcW w:w="352" w:type="pct"/>
            <w:vAlign w:val="center"/>
          </w:tcPr>
          <w:p w14:paraId="2587AD71">
            <w:pPr>
              <w:spacing w:line="420" w:lineRule="exact"/>
              <w:jc w:val="center"/>
              <w:rPr>
                <w:rFonts w:ascii="宋体" w:hAnsi="宋体" w:cs="宋体"/>
                <w:color w:val="auto"/>
                <w:sz w:val="18"/>
                <w:szCs w:val="18"/>
                <w:highlight w:val="none"/>
              </w:rPr>
            </w:pPr>
          </w:p>
        </w:tc>
        <w:tc>
          <w:tcPr>
            <w:tcW w:w="219" w:type="pct"/>
            <w:vAlign w:val="center"/>
          </w:tcPr>
          <w:p w14:paraId="27162BF7">
            <w:pPr>
              <w:spacing w:line="420" w:lineRule="exact"/>
              <w:jc w:val="center"/>
              <w:rPr>
                <w:rFonts w:ascii="宋体" w:hAnsi="宋体" w:cs="宋体"/>
                <w:color w:val="auto"/>
                <w:sz w:val="18"/>
                <w:szCs w:val="18"/>
                <w:highlight w:val="none"/>
              </w:rPr>
            </w:pPr>
          </w:p>
        </w:tc>
        <w:tc>
          <w:tcPr>
            <w:tcW w:w="380" w:type="pct"/>
            <w:vAlign w:val="center"/>
          </w:tcPr>
          <w:p w14:paraId="6ADBDD47">
            <w:pPr>
              <w:spacing w:line="420" w:lineRule="exact"/>
              <w:jc w:val="center"/>
              <w:rPr>
                <w:rFonts w:ascii="宋体" w:hAnsi="宋体" w:cs="宋体"/>
                <w:color w:val="auto"/>
                <w:sz w:val="18"/>
                <w:szCs w:val="18"/>
                <w:highlight w:val="none"/>
              </w:rPr>
            </w:pPr>
          </w:p>
        </w:tc>
        <w:tc>
          <w:tcPr>
            <w:tcW w:w="346" w:type="pct"/>
            <w:vAlign w:val="center"/>
          </w:tcPr>
          <w:p w14:paraId="11D67237">
            <w:pPr>
              <w:spacing w:line="420" w:lineRule="exact"/>
              <w:jc w:val="center"/>
              <w:rPr>
                <w:rFonts w:ascii="宋体" w:hAnsi="宋体" w:cs="宋体"/>
                <w:color w:val="auto"/>
                <w:sz w:val="18"/>
                <w:szCs w:val="18"/>
                <w:highlight w:val="none"/>
              </w:rPr>
            </w:pPr>
          </w:p>
        </w:tc>
        <w:tc>
          <w:tcPr>
            <w:tcW w:w="253" w:type="pct"/>
            <w:vAlign w:val="center"/>
          </w:tcPr>
          <w:p w14:paraId="1860FB16">
            <w:pPr>
              <w:spacing w:line="420" w:lineRule="exact"/>
              <w:jc w:val="center"/>
              <w:rPr>
                <w:rFonts w:ascii="宋体" w:hAnsi="宋体" w:cs="宋体"/>
                <w:color w:val="auto"/>
                <w:sz w:val="18"/>
                <w:szCs w:val="18"/>
                <w:highlight w:val="none"/>
              </w:rPr>
            </w:pPr>
          </w:p>
        </w:tc>
        <w:tc>
          <w:tcPr>
            <w:tcW w:w="494" w:type="pct"/>
            <w:vAlign w:val="center"/>
          </w:tcPr>
          <w:p w14:paraId="007113D5">
            <w:pPr>
              <w:spacing w:line="420" w:lineRule="exact"/>
              <w:jc w:val="center"/>
              <w:rPr>
                <w:rFonts w:ascii="宋体" w:hAnsi="宋体" w:cs="宋体"/>
                <w:color w:val="auto"/>
                <w:sz w:val="18"/>
                <w:szCs w:val="18"/>
                <w:highlight w:val="none"/>
              </w:rPr>
            </w:pPr>
          </w:p>
        </w:tc>
        <w:tc>
          <w:tcPr>
            <w:tcW w:w="513" w:type="pct"/>
            <w:vAlign w:val="center"/>
          </w:tcPr>
          <w:p w14:paraId="6156DDD0">
            <w:pPr>
              <w:spacing w:line="420" w:lineRule="exact"/>
              <w:jc w:val="center"/>
              <w:rPr>
                <w:rFonts w:ascii="宋体" w:hAnsi="宋体" w:cs="宋体"/>
                <w:color w:val="auto"/>
                <w:sz w:val="18"/>
                <w:szCs w:val="18"/>
                <w:highlight w:val="none"/>
              </w:rPr>
            </w:pPr>
          </w:p>
        </w:tc>
        <w:tc>
          <w:tcPr>
            <w:tcW w:w="621" w:type="pct"/>
          </w:tcPr>
          <w:p w14:paraId="6D7E873D">
            <w:pPr>
              <w:spacing w:line="420" w:lineRule="exact"/>
              <w:jc w:val="center"/>
              <w:rPr>
                <w:rFonts w:ascii="宋体" w:hAnsi="宋体" w:cs="宋体"/>
                <w:color w:val="auto"/>
                <w:sz w:val="18"/>
                <w:szCs w:val="18"/>
                <w:highlight w:val="none"/>
              </w:rPr>
            </w:pPr>
          </w:p>
        </w:tc>
        <w:tc>
          <w:tcPr>
            <w:tcW w:w="648" w:type="pct"/>
          </w:tcPr>
          <w:p w14:paraId="12AB457F">
            <w:pPr>
              <w:spacing w:line="420" w:lineRule="exact"/>
              <w:jc w:val="center"/>
              <w:rPr>
                <w:rFonts w:ascii="宋体" w:hAnsi="宋体" w:cs="宋体"/>
                <w:color w:val="auto"/>
                <w:sz w:val="18"/>
                <w:szCs w:val="18"/>
                <w:highlight w:val="none"/>
              </w:rPr>
            </w:pPr>
          </w:p>
        </w:tc>
      </w:tr>
      <w:permEnd w:id="426"/>
    </w:tbl>
    <w:p w14:paraId="660AD4F6">
      <w:pPr>
        <w:spacing w:line="420" w:lineRule="exact"/>
        <w:jc w:val="left"/>
        <w:rPr>
          <w:rFonts w:hint="default" w:ascii="宋体" w:hAnsi="宋体" w:cs="宋体" w:eastAsiaTheme="minorEastAsia"/>
          <w:color w:val="auto"/>
          <w:sz w:val="22"/>
          <w:szCs w:val="22"/>
          <w:highlight w:val="none"/>
          <w:lang w:val="en-US" w:eastAsia="zh-CN"/>
        </w:rPr>
      </w:pPr>
      <w:r>
        <w:rPr>
          <w:rFonts w:hint="eastAsia" w:ascii="宋体" w:hAnsi="宋体" w:cs="宋体"/>
          <w:color w:val="auto"/>
          <w:sz w:val="22"/>
          <w:szCs w:val="22"/>
          <w:highlight w:val="none"/>
        </w:rPr>
        <w:t>工程名称：</w:t>
      </w:r>
      <w:permStart w:id="427" w:edGrp="everyone"/>
      <w:r>
        <w:rPr>
          <w:rFonts w:hint="eastAsia" w:ascii="宋体" w:hAnsi="宋体" w:cs="宋体"/>
          <w:color w:val="auto"/>
          <w:sz w:val="22"/>
          <w:szCs w:val="22"/>
          <w:highlight w:val="none"/>
        </w:rPr>
        <w:t xml:space="preserve"> </w:t>
      </w:r>
      <w:r>
        <w:rPr>
          <w:rFonts w:hint="eastAsia" w:ascii="仿宋_GB2312" w:hAnsi="仿宋_GB2312" w:eastAsia="仿宋_GB2312" w:cs="仿宋_GB2312"/>
          <w:color w:val="auto"/>
          <w:sz w:val="24"/>
          <w:szCs w:val="24"/>
          <w:highlight w:val="none"/>
          <w:u w:val="single"/>
          <w:lang w:eastAsia="zh-CN"/>
        </w:rPr>
        <w:t>车陂</w:t>
      </w:r>
      <w:r>
        <w:rPr>
          <w:rFonts w:hint="eastAsia" w:ascii="仿宋_GB2312" w:hAnsi="仿宋_GB2312" w:eastAsia="仿宋_GB2312" w:cs="仿宋_GB2312"/>
          <w:color w:val="auto"/>
          <w:sz w:val="24"/>
          <w:szCs w:val="24"/>
          <w:highlight w:val="none"/>
          <w:u w:val="single"/>
        </w:rPr>
        <w:t>加压站复建工程第二阶段(附属设施用房)施工总承包</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en-US" w:eastAsia="zh-CN"/>
        </w:rPr>
        <w:t xml:space="preserve">              </w:t>
      </w:r>
      <w:permEnd w:id="427"/>
      <w:r>
        <w:rPr>
          <w:rFonts w:hint="eastAsia" w:ascii="宋体" w:hAnsi="宋体" w:cs="宋体"/>
          <w:color w:val="auto"/>
          <w:sz w:val="22"/>
          <w:szCs w:val="22"/>
          <w:highlight w:val="none"/>
        </w:rPr>
        <w:t>编号：</w:t>
      </w:r>
      <w:permStart w:id="428" w:edGrp="everyone"/>
      <w:r>
        <w:rPr>
          <w:rFonts w:hint="eastAsia" w:ascii="宋体" w:hAnsi="宋体" w:cs="宋体"/>
          <w:color w:val="auto"/>
          <w:sz w:val="22"/>
          <w:szCs w:val="22"/>
          <w:highlight w:val="none"/>
          <w:lang w:val="en-US" w:eastAsia="zh-CN"/>
        </w:rPr>
        <w:t xml:space="preserve">   </w:t>
      </w:r>
    </w:p>
    <w:permEnd w:id="428"/>
    <w:p w14:paraId="1A9B6128">
      <w:pPr>
        <w:spacing w:line="420" w:lineRule="exact"/>
        <w:ind w:left="899" w:leftChars="428"/>
        <w:rPr>
          <w:rFonts w:ascii="宋体" w:hAnsi="宋体" w:cs="宋体"/>
          <w:color w:val="auto"/>
          <w:sz w:val="22"/>
          <w:szCs w:val="22"/>
          <w:highlight w:val="none"/>
        </w:rPr>
      </w:pPr>
    </w:p>
    <w:p w14:paraId="7C59435F">
      <w:pPr>
        <w:spacing w:line="420" w:lineRule="exact"/>
        <w:ind w:left="13" w:leftChars="0" w:hanging="13" w:hangingChars="6"/>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说明：1.表中人员一经确认不得随意修改变换。如需变换，应按照通用条款第 21 条规定执行。 </w:t>
      </w:r>
    </w:p>
    <w:p w14:paraId="09B37B62">
      <w:pPr>
        <w:spacing w:line="420" w:lineRule="exact"/>
        <w:ind w:left="13" w:leftChars="0" w:hanging="13" w:hangingChars="6"/>
        <w:rPr>
          <w:rFonts w:ascii="宋体" w:hAnsi="宋体" w:cs="宋体"/>
          <w:color w:val="auto"/>
          <w:sz w:val="22"/>
          <w:szCs w:val="22"/>
          <w:highlight w:val="none"/>
        </w:rPr>
      </w:pPr>
      <w:r>
        <w:rPr>
          <w:rFonts w:hint="eastAsia" w:ascii="宋体" w:hAnsi="宋体" w:cs="宋体"/>
          <w:color w:val="auto"/>
          <w:sz w:val="22"/>
          <w:szCs w:val="22"/>
          <w:highlight w:val="none"/>
        </w:rPr>
        <w:t>2.表中人员必须提供为其购买的社会养老保险费用凭证。</w:t>
      </w:r>
    </w:p>
    <w:p w14:paraId="03A604DA">
      <w:pPr>
        <w:spacing w:line="420" w:lineRule="exact"/>
        <w:ind w:left="13" w:leftChars="0" w:hanging="13" w:hangingChars="6"/>
        <w:rPr>
          <w:rFonts w:ascii="宋体" w:hAnsi="宋体" w:cs="宋体"/>
          <w:color w:val="auto"/>
          <w:sz w:val="22"/>
          <w:szCs w:val="22"/>
          <w:highlight w:val="none"/>
        </w:rPr>
      </w:pPr>
      <w:r>
        <w:rPr>
          <w:rFonts w:hint="eastAsia" w:ascii="宋体" w:hAnsi="宋体" w:cs="宋体"/>
          <w:color w:val="auto"/>
          <w:sz w:val="22"/>
          <w:szCs w:val="22"/>
          <w:highlight w:val="none"/>
        </w:rPr>
        <w:t>3.承包人应提供表中人员的聘用合同、专业技术职称书等复印件。</w:t>
      </w:r>
    </w:p>
    <w:p w14:paraId="01DBDCEB">
      <w:pPr>
        <w:widowControl/>
        <w:spacing w:line="420" w:lineRule="exact"/>
        <w:ind w:left="13" w:leftChars="0" w:hanging="13" w:hangingChars="6"/>
        <w:jc w:val="left"/>
        <w:rPr>
          <w:rFonts w:ascii="宋体" w:hAnsi="宋体" w:cs="宋体"/>
          <w:color w:val="auto"/>
          <w:kern w:val="0"/>
          <w:sz w:val="22"/>
          <w:szCs w:val="22"/>
          <w:highlight w:val="none"/>
        </w:rPr>
        <w:sectPr>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1648DAC0">
      <w:pPr>
        <w:spacing w:line="420" w:lineRule="exact"/>
        <w:ind w:firstLine="360" w:firstLineChars="150"/>
        <w:outlineLvl w:val="1"/>
        <w:rPr>
          <w:rFonts w:hint="eastAsia" w:ascii="黑体" w:hAnsi="黑体" w:eastAsia="黑体" w:cs="黑体"/>
          <w:b w:val="0"/>
          <w:bCs w:val="0"/>
          <w:strike w:val="0"/>
          <w:color w:val="auto"/>
          <w:sz w:val="24"/>
          <w:szCs w:val="24"/>
          <w:highlight w:val="none"/>
          <w:lang w:val="en-US" w:eastAsia="zh-CN"/>
        </w:rPr>
      </w:pPr>
      <w:permStart w:id="429" w:edGrp="everyone"/>
      <w:r>
        <w:rPr>
          <w:rFonts w:hint="eastAsia" w:ascii="黑体" w:hAnsi="黑体" w:eastAsia="黑体" w:cs="黑体"/>
          <w:b w:val="0"/>
          <w:bCs w:val="0"/>
          <w:strike w:val="0"/>
          <w:color w:val="auto"/>
          <w:sz w:val="24"/>
          <w:szCs w:val="24"/>
          <w:highlight w:val="none"/>
        </w:rPr>
        <w:t>附件</w:t>
      </w:r>
      <w:bookmarkEnd w:id="718"/>
      <w:bookmarkEnd w:id="719"/>
      <w:bookmarkEnd w:id="720"/>
      <w:r>
        <w:rPr>
          <w:rFonts w:hint="eastAsia" w:ascii="黑体" w:hAnsi="黑体" w:eastAsia="黑体" w:cs="黑体"/>
          <w:b w:val="0"/>
          <w:bCs w:val="0"/>
          <w:strike w:val="0"/>
          <w:color w:val="auto"/>
          <w:sz w:val="24"/>
          <w:szCs w:val="24"/>
          <w:highlight w:val="none"/>
          <w:lang w:val="en-US" w:eastAsia="zh-CN"/>
        </w:rPr>
        <w:t>3</w:t>
      </w:r>
    </w:p>
    <w:p w14:paraId="40CA3681">
      <w:pPr>
        <w:spacing w:line="420" w:lineRule="exact"/>
        <w:jc w:val="center"/>
        <w:rPr>
          <w:rFonts w:hint="eastAsia" w:ascii="方正小标宋简体" w:hAnsi="方正小标宋简体" w:eastAsia="方正小标宋简体" w:cs="方正小标宋简体"/>
          <w:b w:val="0"/>
          <w:bCs w:val="0"/>
          <w:strike/>
          <w:color w:val="auto"/>
          <w:spacing w:val="32"/>
          <w:kern w:val="36"/>
          <w:sz w:val="32"/>
          <w:szCs w:val="32"/>
          <w:highlight w:val="none"/>
        </w:rPr>
      </w:pPr>
      <w:r>
        <w:rPr>
          <w:rFonts w:hint="eastAsia" w:ascii="方正小标宋简体" w:hAnsi="方正小标宋简体" w:eastAsia="方正小标宋简体" w:cs="方正小标宋简体"/>
          <w:b w:val="0"/>
          <w:bCs w:val="0"/>
          <w:strike/>
          <w:color w:val="auto"/>
          <w:spacing w:val="32"/>
          <w:kern w:val="36"/>
          <w:sz w:val="32"/>
          <w:szCs w:val="32"/>
          <w:highlight w:val="none"/>
        </w:rPr>
        <w:t>发包人供应材料设备一览表</w:t>
      </w:r>
    </w:p>
    <w:p w14:paraId="7EE71B50">
      <w:pPr>
        <w:spacing w:line="420" w:lineRule="exact"/>
        <w:jc w:val="left"/>
        <w:rPr>
          <w:rFonts w:ascii="宋体" w:hAnsi="宋体" w:cs="宋体"/>
          <w:strike/>
          <w:color w:val="auto"/>
          <w:sz w:val="22"/>
          <w:szCs w:val="22"/>
          <w:highlight w:val="none"/>
        </w:rPr>
      </w:pPr>
      <w:r>
        <w:rPr>
          <w:rFonts w:hint="eastAsia" w:ascii="宋体" w:hAnsi="宋体" w:cs="宋体"/>
          <w:strike/>
          <w:color w:val="auto"/>
          <w:sz w:val="22"/>
          <w:szCs w:val="22"/>
          <w:highlight w:val="none"/>
        </w:rPr>
        <w:t xml:space="preserve">   工程名称：                                                      工程编号：</w:t>
      </w:r>
    </w:p>
    <w:tbl>
      <w:tblPr>
        <w:tblStyle w:val="18"/>
        <w:tblW w:w="10163" w:type="dxa"/>
        <w:tblInd w:w="-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637"/>
        <w:gridCol w:w="1369"/>
        <w:gridCol w:w="600"/>
        <w:gridCol w:w="1031"/>
        <w:gridCol w:w="675"/>
        <w:gridCol w:w="844"/>
        <w:gridCol w:w="1088"/>
        <w:gridCol w:w="1012"/>
        <w:gridCol w:w="994"/>
        <w:gridCol w:w="1275"/>
      </w:tblGrid>
      <w:tr w14:paraId="4555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638" w:type="dxa"/>
            <w:vAlign w:val="center"/>
          </w:tcPr>
          <w:p w14:paraId="787C7A3D">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序号</w:t>
            </w:r>
          </w:p>
        </w:tc>
        <w:tc>
          <w:tcPr>
            <w:tcW w:w="637" w:type="dxa"/>
            <w:vAlign w:val="center"/>
          </w:tcPr>
          <w:p w14:paraId="76D6230A">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编码</w:t>
            </w:r>
          </w:p>
        </w:tc>
        <w:tc>
          <w:tcPr>
            <w:tcW w:w="1369" w:type="dxa"/>
            <w:vAlign w:val="center"/>
          </w:tcPr>
          <w:p w14:paraId="21DE3875">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材料设备名称</w:t>
            </w:r>
          </w:p>
        </w:tc>
        <w:tc>
          <w:tcPr>
            <w:tcW w:w="600" w:type="dxa"/>
            <w:vAlign w:val="center"/>
          </w:tcPr>
          <w:p w14:paraId="0DB7D33C">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规格</w:t>
            </w:r>
          </w:p>
        </w:tc>
        <w:tc>
          <w:tcPr>
            <w:tcW w:w="1031" w:type="dxa"/>
            <w:vAlign w:val="center"/>
          </w:tcPr>
          <w:p w14:paraId="3E8BEF46">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生产厂家</w:t>
            </w:r>
          </w:p>
        </w:tc>
        <w:tc>
          <w:tcPr>
            <w:tcW w:w="675" w:type="dxa"/>
            <w:vAlign w:val="center"/>
          </w:tcPr>
          <w:p w14:paraId="44CCC96E">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单位</w:t>
            </w:r>
          </w:p>
        </w:tc>
        <w:tc>
          <w:tcPr>
            <w:tcW w:w="844" w:type="dxa"/>
            <w:vAlign w:val="center"/>
          </w:tcPr>
          <w:p w14:paraId="4B202D09">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数量</w:t>
            </w:r>
          </w:p>
        </w:tc>
        <w:tc>
          <w:tcPr>
            <w:tcW w:w="1088" w:type="dxa"/>
            <w:vAlign w:val="center"/>
          </w:tcPr>
          <w:p w14:paraId="415CC0D8">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单价（元）</w:t>
            </w:r>
          </w:p>
        </w:tc>
        <w:tc>
          <w:tcPr>
            <w:tcW w:w="1012" w:type="dxa"/>
            <w:vAlign w:val="center"/>
          </w:tcPr>
          <w:p w14:paraId="1DA62FC3">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总价（元）</w:t>
            </w:r>
          </w:p>
        </w:tc>
        <w:tc>
          <w:tcPr>
            <w:tcW w:w="994" w:type="dxa"/>
            <w:vAlign w:val="center"/>
          </w:tcPr>
          <w:p w14:paraId="321483B5">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投产日期</w:t>
            </w:r>
          </w:p>
        </w:tc>
        <w:tc>
          <w:tcPr>
            <w:tcW w:w="1275" w:type="dxa"/>
            <w:vAlign w:val="center"/>
          </w:tcPr>
          <w:p w14:paraId="6EF77EB1">
            <w:pPr>
              <w:spacing w:line="420" w:lineRule="exact"/>
              <w:jc w:val="center"/>
              <w:rPr>
                <w:rFonts w:ascii="宋体" w:hAnsi="宋体" w:cs="宋体"/>
                <w:strike/>
                <w:color w:val="auto"/>
                <w:sz w:val="18"/>
                <w:szCs w:val="18"/>
                <w:highlight w:val="none"/>
              </w:rPr>
            </w:pPr>
            <w:r>
              <w:rPr>
                <w:rFonts w:hint="eastAsia" w:ascii="宋体" w:hAnsi="宋体" w:cs="宋体"/>
                <w:strike/>
                <w:color w:val="auto"/>
                <w:sz w:val="18"/>
                <w:szCs w:val="18"/>
                <w:highlight w:val="none"/>
              </w:rPr>
              <w:t>备注</w:t>
            </w:r>
          </w:p>
        </w:tc>
      </w:tr>
      <w:tr w14:paraId="0097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48B62F91">
            <w:pPr>
              <w:spacing w:line="420" w:lineRule="exact"/>
              <w:jc w:val="center"/>
              <w:rPr>
                <w:rFonts w:ascii="宋体" w:hAnsi="宋体" w:cs="宋体"/>
                <w:strike/>
                <w:color w:val="auto"/>
                <w:sz w:val="18"/>
                <w:szCs w:val="18"/>
                <w:highlight w:val="none"/>
              </w:rPr>
            </w:pPr>
          </w:p>
        </w:tc>
        <w:tc>
          <w:tcPr>
            <w:tcW w:w="637" w:type="dxa"/>
          </w:tcPr>
          <w:p w14:paraId="3E72C0D6">
            <w:pPr>
              <w:spacing w:line="420" w:lineRule="exact"/>
              <w:jc w:val="center"/>
              <w:rPr>
                <w:rFonts w:ascii="宋体" w:hAnsi="宋体" w:cs="宋体"/>
                <w:strike/>
                <w:color w:val="auto"/>
                <w:sz w:val="18"/>
                <w:szCs w:val="18"/>
                <w:highlight w:val="none"/>
              </w:rPr>
            </w:pPr>
          </w:p>
        </w:tc>
        <w:tc>
          <w:tcPr>
            <w:tcW w:w="1369" w:type="dxa"/>
            <w:vAlign w:val="center"/>
          </w:tcPr>
          <w:p w14:paraId="42B75186">
            <w:pPr>
              <w:spacing w:line="420" w:lineRule="exact"/>
              <w:jc w:val="center"/>
              <w:rPr>
                <w:rFonts w:ascii="宋体" w:hAnsi="宋体" w:cs="宋体"/>
                <w:strike/>
                <w:color w:val="auto"/>
                <w:sz w:val="18"/>
                <w:szCs w:val="18"/>
                <w:highlight w:val="none"/>
              </w:rPr>
            </w:pPr>
          </w:p>
        </w:tc>
        <w:tc>
          <w:tcPr>
            <w:tcW w:w="600" w:type="dxa"/>
            <w:vAlign w:val="center"/>
          </w:tcPr>
          <w:p w14:paraId="4771C557">
            <w:pPr>
              <w:spacing w:line="420" w:lineRule="exact"/>
              <w:jc w:val="center"/>
              <w:rPr>
                <w:rFonts w:ascii="宋体" w:hAnsi="宋体" w:cs="宋体"/>
                <w:strike/>
                <w:color w:val="auto"/>
                <w:sz w:val="18"/>
                <w:szCs w:val="18"/>
                <w:highlight w:val="none"/>
              </w:rPr>
            </w:pPr>
          </w:p>
        </w:tc>
        <w:tc>
          <w:tcPr>
            <w:tcW w:w="1031" w:type="dxa"/>
            <w:vAlign w:val="center"/>
          </w:tcPr>
          <w:p w14:paraId="5697521A">
            <w:pPr>
              <w:spacing w:line="420" w:lineRule="exact"/>
              <w:jc w:val="center"/>
              <w:rPr>
                <w:rFonts w:ascii="宋体" w:hAnsi="宋体" w:cs="宋体"/>
                <w:strike/>
                <w:color w:val="auto"/>
                <w:sz w:val="18"/>
                <w:szCs w:val="18"/>
                <w:highlight w:val="none"/>
              </w:rPr>
            </w:pPr>
          </w:p>
        </w:tc>
        <w:tc>
          <w:tcPr>
            <w:tcW w:w="675" w:type="dxa"/>
            <w:vAlign w:val="center"/>
          </w:tcPr>
          <w:p w14:paraId="405D8F49">
            <w:pPr>
              <w:spacing w:line="420" w:lineRule="exact"/>
              <w:jc w:val="center"/>
              <w:rPr>
                <w:rFonts w:ascii="宋体" w:hAnsi="宋体" w:cs="宋体"/>
                <w:strike/>
                <w:color w:val="auto"/>
                <w:sz w:val="18"/>
                <w:szCs w:val="18"/>
                <w:highlight w:val="none"/>
              </w:rPr>
            </w:pPr>
          </w:p>
        </w:tc>
        <w:tc>
          <w:tcPr>
            <w:tcW w:w="844" w:type="dxa"/>
            <w:vAlign w:val="center"/>
          </w:tcPr>
          <w:p w14:paraId="199F8E6F">
            <w:pPr>
              <w:spacing w:line="420" w:lineRule="exact"/>
              <w:jc w:val="center"/>
              <w:rPr>
                <w:rFonts w:ascii="宋体" w:hAnsi="宋体" w:cs="宋体"/>
                <w:strike/>
                <w:color w:val="auto"/>
                <w:sz w:val="18"/>
                <w:szCs w:val="18"/>
                <w:highlight w:val="none"/>
              </w:rPr>
            </w:pPr>
          </w:p>
        </w:tc>
        <w:tc>
          <w:tcPr>
            <w:tcW w:w="1088" w:type="dxa"/>
            <w:vAlign w:val="center"/>
          </w:tcPr>
          <w:p w14:paraId="34B6001E">
            <w:pPr>
              <w:spacing w:line="420" w:lineRule="exact"/>
              <w:jc w:val="center"/>
              <w:rPr>
                <w:rFonts w:ascii="宋体" w:hAnsi="宋体" w:cs="宋体"/>
                <w:strike/>
                <w:color w:val="auto"/>
                <w:sz w:val="18"/>
                <w:szCs w:val="18"/>
                <w:highlight w:val="none"/>
              </w:rPr>
            </w:pPr>
          </w:p>
        </w:tc>
        <w:tc>
          <w:tcPr>
            <w:tcW w:w="1012" w:type="dxa"/>
            <w:vAlign w:val="center"/>
          </w:tcPr>
          <w:p w14:paraId="274EC47C">
            <w:pPr>
              <w:spacing w:line="420" w:lineRule="exact"/>
              <w:jc w:val="center"/>
              <w:rPr>
                <w:rFonts w:ascii="宋体" w:hAnsi="宋体" w:cs="宋体"/>
                <w:strike/>
                <w:color w:val="auto"/>
                <w:sz w:val="18"/>
                <w:szCs w:val="18"/>
                <w:highlight w:val="none"/>
              </w:rPr>
            </w:pPr>
          </w:p>
        </w:tc>
        <w:tc>
          <w:tcPr>
            <w:tcW w:w="994" w:type="dxa"/>
            <w:vAlign w:val="center"/>
          </w:tcPr>
          <w:p w14:paraId="52599DE9">
            <w:pPr>
              <w:spacing w:line="420" w:lineRule="exact"/>
              <w:jc w:val="center"/>
              <w:rPr>
                <w:rFonts w:ascii="宋体" w:hAnsi="宋体" w:cs="宋体"/>
                <w:strike/>
                <w:color w:val="auto"/>
                <w:sz w:val="18"/>
                <w:szCs w:val="18"/>
                <w:highlight w:val="none"/>
              </w:rPr>
            </w:pPr>
          </w:p>
        </w:tc>
        <w:tc>
          <w:tcPr>
            <w:tcW w:w="1275" w:type="dxa"/>
            <w:vAlign w:val="center"/>
          </w:tcPr>
          <w:p w14:paraId="3298AF22">
            <w:pPr>
              <w:spacing w:line="420" w:lineRule="exact"/>
              <w:jc w:val="center"/>
              <w:rPr>
                <w:rFonts w:ascii="宋体" w:hAnsi="宋体" w:cs="宋体"/>
                <w:strike/>
                <w:color w:val="auto"/>
                <w:sz w:val="18"/>
                <w:szCs w:val="18"/>
                <w:highlight w:val="none"/>
              </w:rPr>
            </w:pPr>
          </w:p>
        </w:tc>
      </w:tr>
      <w:tr w14:paraId="60C3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3378D4B0">
            <w:pPr>
              <w:spacing w:line="420" w:lineRule="exact"/>
              <w:jc w:val="center"/>
              <w:rPr>
                <w:rFonts w:ascii="宋体" w:hAnsi="宋体" w:cs="宋体"/>
                <w:strike/>
                <w:color w:val="auto"/>
                <w:sz w:val="18"/>
                <w:szCs w:val="18"/>
                <w:highlight w:val="none"/>
              </w:rPr>
            </w:pPr>
          </w:p>
        </w:tc>
        <w:tc>
          <w:tcPr>
            <w:tcW w:w="637" w:type="dxa"/>
          </w:tcPr>
          <w:p w14:paraId="287146A1">
            <w:pPr>
              <w:spacing w:line="420" w:lineRule="exact"/>
              <w:jc w:val="center"/>
              <w:rPr>
                <w:rFonts w:ascii="宋体" w:hAnsi="宋体" w:cs="宋体"/>
                <w:strike/>
                <w:color w:val="auto"/>
                <w:sz w:val="18"/>
                <w:szCs w:val="18"/>
                <w:highlight w:val="none"/>
              </w:rPr>
            </w:pPr>
          </w:p>
        </w:tc>
        <w:tc>
          <w:tcPr>
            <w:tcW w:w="1369" w:type="dxa"/>
            <w:vAlign w:val="center"/>
          </w:tcPr>
          <w:p w14:paraId="318D7DFF">
            <w:pPr>
              <w:spacing w:line="420" w:lineRule="exact"/>
              <w:jc w:val="center"/>
              <w:rPr>
                <w:rFonts w:ascii="宋体" w:hAnsi="宋体" w:cs="宋体"/>
                <w:strike/>
                <w:color w:val="auto"/>
                <w:sz w:val="18"/>
                <w:szCs w:val="18"/>
                <w:highlight w:val="none"/>
              </w:rPr>
            </w:pPr>
          </w:p>
        </w:tc>
        <w:tc>
          <w:tcPr>
            <w:tcW w:w="600" w:type="dxa"/>
            <w:vAlign w:val="center"/>
          </w:tcPr>
          <w:p w14:paraId="7D002224">
            <w:pPr>
              <w:spacing w:line="420" w:lineRule="exact"/>
              <w:jc w:val="center"/>
              <w:rPr>
                <w:rFonts w:ascii="宋体" w:hAnsi="宋体" w:cs="宋体"/>
                <w:strike/>
                <w:color w:val="auto"/>
                <w:sz w:val="18"/>
                <w:szCs w:val="18"/>
                <w:highlight w:val="none"/>
              </w:rPr>
            </w:pPr>
          </w:p>
        </w:tc>
        <w:tc>
          <w:tcPr>
            <w:tcW w:w="1031" w:type="dxa"/>
            <w:vAlign w:val="center"/>
          </w:tcPr>
          <w:p w14:paraId="1938F8A6">
            <w:pPr>
              <w:spacing w:line="420" w:lineRule="exact"/>
              <w:jc w:val="center"/>
              <w:rPr>
                <w:rFonts w:ascii="宋体" w:hAnsi="宋体" w:cs="宋体"/>
                <w:strike/>
                <w:color w:val="auto"/>
                <w:sz w:val="18"/>
                <w:szCs w:val="18"/>
                <w:highlight w:val="none"/>
              </w:rPr>
            </w:pPr>
          </w:p>
        </w:tc>
        <w:tc>
          <w:tcPr>
            <w:tcW w:w="675" w:type="dxa"/>
            <w:vAlign w:val="center"/>
          </w:tcPr>
          <w:p w14:paraId="587DBD56">
            <w:pPr>
              <w:spacing w:line="420" w:lineRule="exact"/>
              <w:jc w:val="center"/>
              <w:rPr>
                <w:rFonts w:ascii="宋体" w:hAnsi="宋体" w:cs="宋体"/>
                <w:strike/>
                <w:color w:val="auto"/>
                <w:sz w:val="18"/>
                <w:szCs w:val="18"/>
                <w:highlight w:val="none"/>
              </w:rPr>
            </w:pPr>
          </w:p>
        </w:tc>
        <w:tc>
          <w:tcPr>
            <w:tcW w:w="844" w:type="dxa"/>
            <w:vAlign w:val="center"/>
          </w:tcPr>
          <w:p w14:paraId="3C6E06F5">
            <w:pPr>
              <w:spacing w:line="420" w:lineRule="exact"/>
              <w:jc w:val="center"/>
              <w:rPr>
                <w:rFonts w:ascii="宋体" w:hAnsi="宋体" w:cs="宋体"/>
                <w:strike/>
                <w:color w:val="auto"/>
                <w:sz w:val="18"/>
                <w:szCs w:val="18"/>
                <w:highlight w:val="none"/>
              </w:rPr>
            </w:pPr>
          </w:p>
        </w:tc>
        <w:tc>
          <w:tcPr>
            <w:tcW w:w="1088" w:type="dxa"/>
            <w:vAlign w:val="center"/>
          </w:tcPr>
          <w:p w14:paraId="67B32A04">
            <w:pPr>
              <w:spacing w:line="420" w:lineRule="exact"/>
              <w:jc w:val="center"/>
              <w:rPr>
                <w:rFonts w:ascii="宋体" w:hAnsi="宋体" w:cs="宋体"/>
                <w:strike/>
                <w:color w:val="auto"/>
                <w:sz w:val="18"/>
                <w:szCs w:val="18"/>
                <w:highlight w:val="none"/>
              </w:rPr>
            </w:pPr>
          </w:p>
        </w:tc>
        <w:tc>
          <w:tcPr>
            <w:tcW w:w="1012" w:type="dxa"/>
            <w:vAlign w:val="center"/>
          </w:tcPr>
          <w:p w14:paraId="2A4C85E3">
            <w:pPr>
              <w:spacing w:line="420" w:lineRule="exact"/>
              <w:jc w:val="center"/>
              <w:rPr>
                <w:rFonts w:ascii="宋体" w:hAnsi="宋体" w:cs="宋体"/>
                <w:strike/>
                <w:color w:val="auto"/>
                <w:sz w:val="18"/>
                <w:szCs w:val="18"/>
                <w:highlight w:val="none"/>
              </w:rPr>
            </w:pPr>
          </w:p>
        </w:tc>
        <w:tc>
          <w:tcPr>
            <w:tcW w:w="994" w:type="dxa"/>
            <w:vAlign w:val="center"/>
          </w:tcPr>
          <w:p w14:paraId="44FA8DE2">
            <w:pPr>
              <w:spacing w:line="420" w:lineRule="exact"/>
              <w:jc w:val="center"/>
              <w:rPr>
                <w:rFonts w:ascii="宋体" w:hAnsi="宋体" w:cs="宋体"/>
                <w:strike/>
                <w:color w:val="auto"/>
                <w:sz w:val="18"/>
                <w:szCs w:val="18"/>
                <w:highlight w:val="none"/>
              </w:rPr>
            </w:pPr>
          </w:p>
        </w:tc>
        <w:tc>
          <w:tcPr>
            <w:tcW w:w="1275" w:type="dxa"/>
            <w:vAlign w:val="center"/>
          </w:tcPr>
          <w:p w14:paraId="738175D9">
            <w:pPr>
              <w:spacing w:line="420" w:lineRule="exact"/>
              <w:jc w:val="center"/>
              <w:rPr>
                <w:rFonts w:ascii="宋体" w:hAnsi="宋体" w:cs="宋体"/>
                <w:strike/>
                <w:color w:val="auto"/>
                <w:sz w:val="18"/>
                <w:szCs w:val="18"/>
                <w:highlight w:val="none"/>
              </w:rPr>
            </w:pPr>
          </w:p>
        </w:tc>
      </w:tr>
      <w:tr w14:paraId="3771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4C56AC12">
            <w:pPr>
              <w:spacing w:line="420" w:lineRule="exact"/>
              <w:jc w:val="center"/>
              <w:rPr>
                <w:rFonts w:ascii="宋体" w:hAnsi="宋体" w:cs="宋体"/>
                <w:strike/>
                <w:color w:val="auto"/>
                <w:sz w:val="18"/>
                <w:szCs w:val="18"/>
                <w:highlight w:val="none"/>
              </w:rPr>
            </w:pPr>
          </w:p>
        </w:tc>
        <w:tc>
          <w:tcPr>
            <w:tcW w:w="637" w:type="dxa"/>
          </w:tcPr>
          <w:p w14:paraId="7254E15B">
            <w:pPr>
              <w:spacing w:line="420" w:lineRule="exact"/>
              <w:jc w:val="center"/>
              <w:rPr>
                <w:rFonts w:ascii="宋体" w:hAnsi="宋体" w:cs="宋体"/>
                <w:strike/>
                <w:color w:val="auto"/>
                <w:sz w:val="18"/>
                <w:szCs w:val="18"/>
                <w:highlight w:val="none"/>
              </w:rPr>
            </w:pPr>
          </w:p>
        </w:tc>
        <w:tc>
          <w:tcPr>
            <w:tcW w:w="1369" w:type="dxa"/>
            <w:vAlign w:val="center"/>
          </w:tcPr>
          <w:p w14:paraId="0A78BB42">
            <w:pPr>
              <w:spacing w:line="420" w:lineRule="exact"/>
              <w:jc w:val="center"/>
              <w:rPr>
                <w:rFonts w:ascii="宋体" w:hAnsi="宋体" w:cs="宋体"/>
                <w:strike/>
                <w:color w:val="auto"/>
                <w:sz w:val="18"/>
                <w:szCs w:val="18"/>
                <w:highlight w:val="none"/>
              </w:rPr>
            </w:pPr>
          </w:p>
        </w:tc>
        <w:tc>
          <w:tcPr>
            <w:tcW w:w="600" w:type="dxa"/>
            <w:vAlign w:val="center"/>
          </w:tcPr>
          <w:p w14:paraId="65C97CDA">
            <w:pPr>
              <w:spacing w:line="420" w:lineRule="exact"/>
              <w:jc w:val="center"/>
              <w:rPr>
                <w:rFonts w:ascii="宋体" w:hAnsi="宋体" w:cs="宋体"/>
                <w:strike/>
                <w:color w:val="auto"/>
                <w:sz w:val="18"/>
                <w:szCs w:val="18"/>
                <w:highlight w:val="none"/>
              </w:rPr>
            </w:pPr>
          </w:p>
        </w:tc>
        <w:tc>
          <w:tcPr>
            <w:tcW w:w="1031" w:type="dxa"/>
            <w:vAlign w:val="center"/>
          </w:tcPr>
          <w:p w14:paraId="694D61FE">
            <w:pPr>
              <w:spacing w:line="420" w:lineRule="exact"/>
              <w:jc w:val="center"/>
              <w:rPr>
                <w:rFonts w:ascii="宋体" w:hAnsi="宋体" w:cs="宋体"/>
                <w:strike/>
                <w:color w:val="auto"/>
                <w:sz w:val="18"/>
                <w:szCs w:val="18"/>
                <w:highlight w:val="none"/>
              </w:rPr>
            </w:pPr>
          </w:p>
        </w:tc>
        <w:tc>
          <w:tcPr>
            <w:tcW w:w="675" w:type="dxa"/>
            <w:vAlign w:val="center"/>
          </w:tcPr>
          <w:p w14:paraId="01BC8D58">
            <w:pPr>
              <w:spacing w:line="420" w:lineRule="exact"/>
              <w:jc w:val="center"/>
              <w:rPr>
                <w:rFonts w:ascii="宋体" w:hAnsi="宋体" w:cs="宋体"/>
                <w:strike/>
                <w:color w:val="auto"/>
                <w:sz w:val="18"/>
                <w:szCs w:val="18"/>
                <w:highlight w:val="none"/>
              </w:rPr>
            </w:pPr>
          </w:p>
        </w:tc>
        <w:tc>
          <w:tcPr>
            <w:tcW w:w="844" w:type="dxa"/>
            <w:vAlign w:val="center"/>
          </w:tcPr>
          <w:p w14:paraId="323C4A29">
            <w:pPr>
              <w:spacing w:line="420" w:lineRule="exact"/>
              <w:jc w:val="center"/>
              <w:rPr>
                <w:rFonts w:ascii="宋体" w:hAnsi="宋体" w:cs="宋体"/>
                <w:strike/>
                <w:color w:val="auto"/>
                <w:sz w:val="18"/>
                <w:szCs w:val="18"/>
                <w:highlight w:val="none"/>
              </w:rPr>
            </w:pPr>
          </w:p>
        </w:tc>
        <w:tc>
          <w:tcPr>
            <w:tcW w:w="1088" w:type="dxa"/>
            <w:vAlign w:val="center"/>
          </w:tcPr>
          <w:p w14:paraId="3021C8B8">
            <w:pPr>
              <w:spacing w:line="420" w:lineRule="exact"/>
              <w:jc w:val="center"/>
              <w:rPr>
                <w:rFonts w:ascii="宋体" w:hAnsi="宋体" w:cs="宋体"/>
                <w:strike/>
                <w:color w:val="auto"/>
                <w:sz w:val="18"/>
                <w:szCs w:val="18"/>
                <w:highlight w:val="none"/>
              </w:rPr>
            </w:pPr>
          </w:p>
        </w:tc>
        <w:tc>
          <w:tcPr>
            <w:tcW w:w="1012" w:type="dxa"/>
            <w:vAlign w:val="center"/>
          </w:tcPr>
          <w:p w14:paraId="11F3347C">
            <w:pPr>
              <w:spacing w:line="420" w:lineRule="exact"/>
              <w:jc w:val="center"/>
              <w:rPr>
                <w:rFonts w:ascii="宋体" w:hAnsi="宋体" w:cs="宋体"/>
                <w:strike/>
                <w:color w:val="auto"/>
                <w:sz w:val="18"/>
                <w:szCs w:val="18"/>
                <w:highlight w:val="none"/>
              </w:rPr>
            </w:pPr>
          </w:p>
        </w:tc>
        <w:tc>
          <w:tcPr>
            <w:tcW w:w="994" w:type="dxa"/>
            <w:vAlign w:val="center"/>
          </w:tcPr>
          <w:p w14:paraId="1D32843F">
            <w:pPr>
              <w:spacing w:line="420" w:lineRule="exact"/>
              <w:jc w:val="center"/>
              <w:rPr>
                <w:rFonts w:ascii="宋体" w:hAnsi="宋体" w:cs="宋体"/>
                <w:strike/>
                <w:color w:val="auto"/>
                <w:sz w:val="18"/>
                <w:szCs w:val="18"/>
                <w:highlight w:val="none"/>
              </w:rPr>
            </w:pPr>
          </w:p>
        </w:tc>
        <w:tc>
          <w:tcPr>
            <w:tcW w:w="1275" w:type="dxa"/>
            <w:vAlign w:val="center"/>
          </w:tcPr>
          <w:p w14:paraId="1656A95A">
            <w:pPr>
              <w:spacing w:line="420" w:lineRule="exact"/>
              <w:jc w:val="center"/>
              <w:rPr>
                <w:rFonts w:ascii="宋体" w:hAnsi="宋体" w:cs="宋体"/>
                <w:strike/>
                <w:color w:val="auto"/>
                <w:sz w:val="18"/>
                <w:szCs w:val="18"/>
                <w:highlight w:val="none"/>
              </w:rPr>
            </w:pPr>
          </w:p>
        </w:tc>
      </w:tr>
      <w:tr w14:paraId="392F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6C273189">
            <w:pPr>
              <w:spacing w:line="420" w:lineRule="exact"/>
              <w:jc w:val="center"/>
              <w:rPr>
                <w:rFonts w:ascii="宋体" w:hAnsi="宋体" w:cs="宋体"/>
                <w:strike/>
                <w:color w:val="auto"/>
                <w:sz w:val="18"/>
                <w:szCs w:val="18"/>
                <w:highlight w:val="none"/>
              </w:rPr>
            </w:pPr>
          </w:p>
        </w:tc>
        <w:tc>
          <w:tcPr>
            <w:tcW w:w="637" w:type="dxa"/>
          </w:tcPr>
          <w:p w14:paraId="35BF355C">
            <w:pPr>
              <w:spacing w:line="420" w:lineRule="exact"/>
              <w:jc w:val="center"/>
              <w:rPr>
                <w:rFonts w:ascii="宋体" w:hAnsi="宋体" w:cs="宋体"/>
                <w:strike/>
                <w:color w:val="auto"/>
                <w:sz w:val="18"/>
                <w:szCs w:val="18"/>
                <w:highlight w:val="none"/>
              </w:rPr>
            </w:pPr>
          </w:p>
        </w:tc>
        <w:tc>
          <w:tcPr>
            <w:tcW w:w="1369" w:type="dxa"/>
            <w:vAlign w:val="center"/>
          </w:tcPr>
          <w:p w14:paraId="1B237DC8">
            <w:pPr>
              <w:spacing w:line="420" w:lineRule="exact"/>
              <w:jc w:val="center"/>
              <w:rPr>
                <w:rFonts w:ascii="宋体" w:hAnsi="宋体" w:cs="宋体"/>
                <w:strike/>
                <w:color w:val="auto"/>
                <w:sz w:val="18"/>
                <w:szCs w:val="18"/>
                <w:highlight w:val="none"/>
              </w:rPr>
            </w:pPr>
          </w:p>
        </w:tc>
        <w:tc>
          <w:tcPr>
            <w:tcW w:w="600" w:type="dxa"/>
            <w:vAlign w:val="center"/>
          </w:tcPr>
          <w:p w14:paraId="6E67E68B">
            <w:pPr>
              <w:spacing w:line="420" w:lineRule="exact"/>
              <w:jc w:val="center"/>
              <w:rPr>
                <w:rFonts w:ascii="宋体" w:hAnsi="宋体" w:cs="宋体"/>
                <w:strike/>
                <w:color w:val="auto"/>
                <w:sz w:val="18"/>
                <w:szCs w:val="18"/>
                <w:highlight w:val="none"/>
              </w:rPr>
            </w:pPr>
          </w:p>
        </w:tc>
        <w:tc>
          <w:tcPr>
            <w:tcW w:w="1031" w:type="dxa"/>
            <w:vAlign w:val="center"/>
          </w:tcPr>
          <w:p w14:paraId="0B82EF97">
            <w:pPr>
              <w:spacing w:line="420" w:lineRule="exact"/>
              <w:jc w:val="center"/>
              <w:rPr>
                <w:rFonts w:ascii="宋体" w:hAnsi="宋体" w:cs="宋体"/>
                <w:strike/>
                <w:color w:val="auto"/>
                <w:sz w:val="18"/>
                <w:szCs w:val="18"/>
                <w:highlight w:val="none"/>
              </w:rPr>
            </w:pPr>
          </w:p>
        </w:tc>
        <w:tc>
          <w:tcPr>
            <w:tcW w:w="675" w:type="dxa"/>
            <w:vAlign w:val="center"/>
          </w:tcPr>
          <w:p w14:paraId="1CAF5D15">
            <w:pPr>
              <w:spacing w:line="420" w:lineRule="exact"/>
              <w:jc w:val="center"/>
              <w:rPr>
                <w:rFonts w:ascii="宋体" w:hAnsi="宋体" w:cs="宋体"/>
                <w:strike/>
                <w:color w:val="auto"/>
                <w:sz w:val="18"/>
                <w:szCs w:val="18"/>
                <w:highlight w:val="none"/>
              </w:rPr>
            </w:pPr>
          </w:p>
        </w:tc>
        <w:tc>
          <w:tcPr>
            <w:tcW w:w="844" w:type="dxa"/>
            <w:vAlign w:val="center"/>
          </w:tcPr>
          <w:p w14:paraId="3C70A3D2">
            <w:pPr>
              <w:spacing w:line="420" w:lineRule="exact"/>
              <w:jc w:val="center"/>
              <w:rPr>
                <w:rFonts w:ascii="宋体" w:hAnsi="宋体" w:cs="宋体"/>
                <w:strike/>
                <w:color w:val="auto"/>
                <w:sz w:val="18"/>
                <w:szCs w:val="18"/>
                <w:highlight w:val="none"/>
              </w:rPr>
            </w:pPr>
          </w:p>
        </w:tc>
        <w:tc>
          <w:tcPr>
            <w:tcW w:w="1088" w:type="dxa"/>
            <w:vAlign w:val="center"/>
          </w:tcPr>
          <w:p w14:paraId="676BCCEB">
            <w:pPr>
              <w:spacing w:line="420" w:lineRule="exact"/>
              <w:jc w:val="center"/>
              <w:rPr>
                <w:rFonts w:ascii="宋体" w:hAnsi="宋体" w:cs="宋体"/>
                <w:strike/>
                <w:color w:val="auto"/>
                <w:sz w:val="18"/>
                <w:szCs w:val="18"/>
                <w:highlight w:val="none"/>
              </w:rPr>
            </w:pPr>
          </w:p>
        </w:tc>
        <w:tc>
          <w:tcPr>
            <w:tcW w:w="1012" w:type="dxa"/>
            <w:vAlign w:val="center"/>
          </w:tcPr>
          <w:p w14:paraId="0FF0ED2F">
            <w:pPr>
              <w:spacing w:line="420" w:lineRule="exact"/>
              <w:jc w:val="center"/>
              <w:rPr>
                <w:rFonts w:ascii="宋体" w:hAnsi="宋体" w:cs="宋体"/>
                <w:strike/>
                <w:color w:val="auto"/>
                <w:sz w:val="18"/>
                <w:szCs w:val="18"/>
                <w:highlight w:val="none"/>
              </w:rPr>
            </w:pPr>
          </w:p>
        </w:tc>
        <w:tc>
          <w:tcPr>
            <w:tcW w:w="994" w:type="dxa"/>
            <w:vAlign w:val="center"/>
          </w:tcPr>
          <w:p w14:paraId="770DF933">
            <w:pPr>
              <w:spacing w:line="420" w:lineRule="exact"/>
              <w:jc w:val="center"/>
              <w:rPr>
                <w:rFonts w:ascii="宋体" w:hAnsi="宋体" w:cs="宋体"/>
                <w:strike/>
                <w:color w:val="auto"/>
                <w:sz w:val="18"/>
                <w:szCs w:val="18"/>
                <w:highlight w:val="none"/>
              </w:rPr>
            </w:pPr>
          </w:p>
        </w:tc>
        <w:tc>
          <w:tcPr>
            <w:tcW w:w="1275" w:type="dxa"/>
            <w:vAlign w:val="center"/>
          </w:tcPr>
          <w:p w14:paraId="11AEE31C">
            <w:pPr>
              <w:spacing w:line="420" w:lineRule="exact"/>
              <w:jc w:val="center"/>
              <w:rPr>
                <w:rFonts w:ascii="宋体" w:hAnsi="宋体" w:cs="宋体"/>
                <w:strike/>
                <w:color w:val="auto"/>
                <w:sz w:val="18"/>
                <w:szCs w:val="18"/>
                <w:highlight w:val="none"/>
              </w:rPr>
            </w:pPr>
          </w:p>
        </w:tc>
      </w:tr>
      <w:tr w14:paraId="31E2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37B4F197">
            <w:pPr>
              <w:spacing w:line="420" w:lineRule="exact"/>
              <w:jc w:val="center"/>
              <w:rPr>
                <w:rFonts w:ascii="宋体" w:hAnsi="宋体" w:cs="宋体"/>
                <w:strike/>
                <w:color w:val="auto"/>
                <w:sz w:val="18"/>
                <w:szCs w:val="18"/>
                <w:highlight w:val="none"/>
              </w:rPr>
            </w:pPr>
          </w:p>
        </w:tc>
        <w:tc>
          <w:tcPr>
            <w:tcW w:w="637" w:type="dxa"/>
          </w:tcPr>
          <w:p w14:paraId="7B52065D">
            <w:pPr>
              <w:spacing w:line="420" w:lineRule="exact"/>
              <w:jc w:val="center"/>
              <w:rPr>
                <w:rFonts w:ascii="宋体" w:hAnsi="宋体" w:cs="宋体"/>
                <w:strike/>
                <w:color w:val="auto"/>
                <w:sz w:val="18"/>
                <w:szCs w:val="18"/>
                <w:highlight w:val="none"/>
              </w:rPr>
            </w:pPr>
          </w:p>
        </w:tc>
        <w:tc>
          <w:tcPr>
            <w:tcW w:w="1369" w:type="dxa"/>
            <w:vAlign w:val="center"/>
          </w:tcPr>
          <w:p w14:paraId="650DA9C5">
            <w:pPr>
              <w:spacing w:line="420" w:lineRule="exact"/>
              <w:jc w:val="center"/>
              <w:rPr>
                <w:rFonts w:ascii="宋体" w:hAnsi="宋体" w:cs="宋体"/>
                <w:strike/>
                <w:color w:val="auto"/>
                <w:sz w:val="18"/>
                <w:szCs w:val="18"/>
                <w:highlight w:val="none"/>
              </w:rPr>
            </w:pPr>
          </w:p>
        </w:tc>
        <w:tc>
          <w:tcPr>
            <w:tcW w:w="600" w:type="dxa"/>
            <w:vAlign w:val="center"/>
          </w:tcPr>
          <w:p w14:paraId="2274470F">
            <w:pPr>
              <w:spacing w:line="420" w:lineRule="exact"/>
              <w:jc w:val="center"/>
              <w:rPr>
                <w:rFonts w:ascii="宋体" w:hAnsi="宋体" w:cs="宋体"/>
                <w:strike/>
                <w:color w:val="auto"/>
                <w:sz w:val="18"/>
                <w:szCs w:val="18"/>
                <w:highlight w:val="none"/>
              </w:rPr>
            </w:pPr>
          </w:p>
        </w:tc>
        <w:tc>
          <w:tcPr>
            <w:tcW w:w="1031" w:type="dxa"/>
            <w:vAlign w:val="center"/>
          </w:tcPr>
          <w:p w14:paraId="76DF9C8E">
            <w:pPr>
              <w:spacing w:line="420" w:lineRule="exact"/>
              <w:jc w:val="center"/>
              <w:rPr>
                <w:rFonts w:ascii="宋体" w:hAnsi="宋体" w:cs="宋体"/>
                <w:strike/>
                <w:color w:val="auto"/>
                <w:sz w:val="18"/>
                <w:szCs w:val="18"/>
                <w:highlight w:val="none"/>
              </w:rPr>
            </w:pPr>
          </w:p>
        </w:tc>
        <w:tc>
          <w:tcPr>
            <w:tcW w:w="675" w:type="dxa"/>
            <w:vAlign w:val="center"/>
          </w:tcPr>
          <w:p w14:paraId="710F3B8B">
            <w:pPr>
              <w:spacing w:line="420" w:lineRule="exact"/>
              <w:jc w:val="center"/>
              <w:rPr>
                <w:rFonts w:ascii="宋体" w:hAnsi="宋体" w:cs="宋体"/>
                <w:strike/>
                <w:color w:val="auto"/>
                <w:sz w:val="18"/>
                <w:szCs w:val="18"/>
                <w:highlight w:val="none"/>
              </w:rPr>
            </w:pPr>
          </w:p>
        </w:tc>
        <w:tc>
          <w:tcPr>
            <w:tcW w:w="844" w:type="dxa"/>
            <w:vAlign w:val="center"/>
          </w:tcPr>
          <w:p w14:paraId="1D7FB162">
            <w:pPr>
              <w:spacing w:line="420" w:lineRule="exact"/>
              <w:jc w:val="center"/>
              <w:rPr>
                <w:rFonts w:ascii="宋体" w:hAnsi="宋体" w:cs="宋体"/>
                <w:strike/>
                <w:color w:val="auto"/>
                <w:sz w:val="18"/>
                <w:szCs w:val="18"/>
                <w:highlight w:val="none"/>
              </w:rPr>
            </w:pPr>
          </w:p>
        </w:tc>
        <w:tc>
          <w:tcPr>
            <w:tcW w:w="1088" w:type="dxa"/>
            <w:vAlign w:val="center"/>
          </w:tcPr>
          <w:p w14:paraId="310D4477">
            <w:pPr>
              <w:spacing w:line="420" w:lineRule="exact"/>
              <w:jc w:val="center"/>
              <w:rPr>
                <w:rFonts w:ascii="宋体" w:hAnsi="宋体" w:cs="宋体"/>
                <w:strike/>
                <w:color w:val="auto"/>
                <w:sz w:val="18"/>
                <w:szCs w:val="18"/>
                <w:highlight w:val="none"/>
              </w:rPr>
            </w:pPr>
          </w:p>
        </w:tc>
        <w:tc>
          <w:tcPr>
            <w:tcW w:w="1012" w:type="dxa"/>
            <w:vAlign w:val="center"/>
          </w:tcPr>
          <w:p w14:paraId="4A8F77F0">
            <w:pPr>
              <w:spacing w:line="420" w:lineRule="exact"/>
              <w:jc w:val="center"/>
              <w:rPr>
                <w:rFonts w:ascii="宋体" w:hAnsi="宋体" w:cs="宋体"/>
                <w:strike/>
                <w:color w:val="auto"/>
                <w:sz w:val="18"/>
                <w:szCs w:val="18"/>
                <w:highlight w:val="none"/>
              </w:rPr>
            </w:pPr>
          </w:p>
        </w:tc>
        <w:tc>
          <w:tcPr>
            <w:tcW w:w="994" w:type="dxa"/>
            <w:vAlign w:val="center"/>
          </w:tcPr>
          <w:p w14:paraId="7242ACBE">
            <w:pPr>
              <w:spacing w:line="420" w:lineRule="exact"/>
              <w:jc w:val="center"/>
              <w:rPr>
                <w:rFonts w:ascii="宋体" w:hAnsi="宋体" w:cs="宋体"/>
                <w:strike/>
                <w:color w:val="auto"/>
                <w:sz w:val="18"/>
                <w:szCs w:val="18"/>
                <w:highlight w:val="none"/>
              </w:rPr>
            </w:pPr>
          </w:p>
        </w:tc>
        <w:tc>
          <w:tcPr>
            <w:tcW w:w="1275" w:type="dxa"/>
            <w:vAlign w:val="center"/>
          </w:tcPr>
          <w:p w14:paraId="35E2E6AF">
            <w:pPr>
              <w:spacing w:line="420" w:lineRule="exact"/>
              <w:jc w:val="center"/>
              <w:rPr>
                <w:rFonts w:ascii="宋体" w:hAnsi="宋体" w:cs="宋体"/>
                <w:strike/>
                <w:color w:val="auto"/>
                <w:sz w:val="18"/>
                <w:szCs w:val="18"/>
                <w:highlight w:val="none"/>
              </w:rPr>
            </w:pPr>
          </w:p>
        </w:tc>
      </w:tr>
      <w:tr w14:paraId="2403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285F2A97">
            <w:pPr>
              <w:spacing w:line="420" w:lineRule="exact"/>
              <w:jc w:val="center"/>
              <w:rPr>
                <w:rFonts w:ascii="宋体" w:hAnsi="宋体" w:cs="宋体"/>
                <w:strike/>
                <w:color w:val="auto"/>
                <w:sz w:val="18"/>
                <w:szCs w:val="18"/>
                <w:highlight w:val="none"/>
              </w:rPr>
            </w:pPr>
          </w:p>
        </w:tc>
        <w:tc>
          <w:tcPr>
            <w:tcW w:w="637" w:type="dxa"/>
          </w:tcPr>
          <w:p w14:paraId="2B606232">
            <w:pPr>
              <w:spacing w:line="420" w:lineRule="exact"/>
              <w:jc w:val="center"/>
              <w:rPr>
                <w:rFonts w:ascii="宋体" w:hAnsi="宋体" w:cs="宋体"/>
                <w:strike/>
                <w:color w:val="auto"/>
                <w:sz w:val="18"/>
                <w:szCs w:val="18"/>
                <w:highlight w:val="none"/>
              </w:rPr>
            </w:pPr>
          </w:p>
        </w:tc>
        <w:tc>
          <w:tcPr>
            <w:tcW w:w="1369" w:type="dxa"/>
            <w:vAlign w:val="center"/>
          </w:tcPr>
          <w:p w14:paraId="4C4D8229">
            <w:pPr>
              <w:spacing w:line="420" w:lineRule="exact"/>
              <w:jc w:val="center"/>
              <w:rPr>
                <w:rFonts w:ascii="宋体" w:hAnsi="宋体" w:cs="宋体"/>
                <w:strike/>
                <w:color w:val="auto"/>
                <w:sz w:val="18"/>
                <w:szCs w:val="18"/>
                <w:highlight w:val="none"/>
              </w:rPr>
            </w:pPr>
          </w:p>
        </w:tc>
        <w:tc>
          <w:tcPr>
            <w:tcW w:w="600" w:type="dxa"/>
            <w:vAlign w:val="center"/>
          </w:tcPr>
          <w:p w14:paraId="116E2292">
            <w:pPr>
              <w:spacing w:line="420" w:lineRule="exact"/>
              <w:jc w:val="center"/>
              <w:rPr>
                <w:rFonts w:ascii="宋体" w:hAnsi="宋体" w:cs="宋体"/>
                <w:strike/>
                <w:color w:val="auto"/>
                <w:sz w:val="18"/>
                <w:szCs w:val="18"/>
                <w:highlight w:val="none"/>
              </w:rPr>
            </w:pPr>
          </w:p>
        </w:tc>
        <w:tc>
          <w:tcPr>
            <w:tcW w:w="1031" w:type="dxa"/>
            <w:vAlign w:val="center"/>
          </w:tcPr>
          <w:p w14:paraId="7322EC01">
            <w:pPr>
              <w:spacing w:line="420" w:lineRule="exact"/>
              <w:jc w:val="center"/>
              <w:rPr>
                <w:rFonts w:ascii="宋体" w:hAnsi="宋体" w:cs="宋体"/>
                <w:strike/>
                <w:color w:val="auto"/>
                <w:sz w:val="18"/>
                <w:szCs w:val="18"/>
                <w:highlight w:val="none"/>
              </w:rPr>
            </w:pPr>
          </w:p>
        </w:tc>
        <w:tc>
          <w:tcPr>
            <w:tcW w:w="675" w:type="dxa"/>
            <w:vAlign w:val="center"/>
          </w:tcPr>
          <w:p w14:paraId="21C4E871">
            <w:pPr>
              <w:spacing w:line="420" w:lineRule="exact"/>
              <w:jc w:val="center"/>
              <w:rPr>
                <w:rFonts w:ascii="宋体" w:hAnsi="宋体" w:cs="宋体"/>
                <w:strike/>
                <w:color w:val="auto"/>
                <w:sz w:val="18"/>
                <w:szCs w:val="18"/>
                <w:highlight w:val="none"/>
              </w:rPr>
            </w:pPr>
          </w:p>
        </w:tc>
        <w:tc>
          <w:tcPr>
            <w:tcW w:w="844" w:type="dxa"/>
            <w:vAlign w:val="center"/>
          </w:tcPr>
          <w:p w14:paraId="5B851D84">
            <w:pPr>
              <w:spacing w:line="420" w:lineRule="exact"/>
              <w:jc w:val="center"/>
              <w:rPr>
                <w:rFonts w:ascii="宋体" w:hAnsi="宋体" w:cs="宋体"/>
                <w:strike/>
                <w:color w:val="auto"/>
                <w:sz w:val="18"/>
                <w:szCs w:val="18"/>
                <w:highlight w:val="none"/>
              </w:rPr>
            </w:pPr>
          </w:p>
        </w:tc>
        <w:tc>
          <w:tcPr>
            <w:tcW w:w="1088" w:type="dxa"/>
            <w:vAlign w:val="center"/>
          </w:tcPr>
          <w:p w14:paraId="7347EFF1">
            <w:pPr>
              <w:spacing w:line="420" w:lineRule="exact"/>
              <w:jc w:val="center"/>
              <w:rPr>
                <w:rFonts w:ascii="宋体" w:hAnsi="宋体" w:cs="宋体"/>
                <w:strike/>
                <w:color w:val="auto"/>
                <w:sz w:val="18"/>
                <w:szCs w:val="18"/>
                <w:highlight w:val="none"/>
              </w:rPr>
            </w:pPr>
          </w:p>
        </w:tc>
        <w:tc>
          <w:tcPr>
            <w:tcW w:w="1012" w:type="dxa"/>
            <w:vAlign w:val="center"/>
          </w:tcPr>
          <w:p w14:paraId="1EAEDECA">
            <w:pPr>
              <w:spacing w:line="420" w:lineRule="exact"/>
              <w:jc w:val="center"/>
              <w:rPr>
                <w:rFonts w:ascii="宋体" w:hAnsi="宋体" w:cs="宋体"/>
                <w:strike/>
                <w:color w:val="auto"/>
                <w:sz w:val="18"/>
                <w:szCs w:val="18"/>
                <w:highlight w:val="none"/>
              </w:rPr>
            </w:pPr>
          </w:p>
        </w:tc>
        <w:tc>
          <w:tcPr>
            <w:tcW w:w="994" w:type="dxa"/>
            <w:vAlign w:val="center"/>
          </w:tcPr>
          <w:p w14:paraId="59BE5BD6">
            <w:pPr>
              <w:spacing w:line="420" w:lineRule="exact"/>
              <w:jc w:val="center"/>
              <w:rPr>
                <w:rFonts w:ascii="宋体" w:hAnsi="宋体" w:cs="宋体"/>
                <w:strike/>
                <w:color w:val="auto"/>
                <w:sz w:val="18"/>
                <w:szCs w:val="18"/>
                <w:highlight w:val="none"/>
              </w:rPr>
            </w:pPr>
          </w:p>
        </w:tc>
        <w:tc>
          <w:tcPr>
            <w:tcW w:w="1275" w:type="dxa"/>
            <w:vAlign w:val="center"/>
          </w:tcPr>
          <w:p w14:paraId="3684F158">
            <w:pPr>
              <w:spacing w:line="420" w:lineRule="exact"/>
              <w:jc w:val="center"/>
              <w:rPr>
                <w:rFonts w:ascii="宋体" w:hAnsi="宋体" w:cs="宋体"/>
                <w:strike/>
                <w:color w:val="auto"/>
                <w:sz w:val="18"/>
                <w:szCs w:val="18"/>
                <w:highlight w:val="none"/>
              </w:rPr>
            </w:pPr>
          </w:p>
        </w:tc>
      </w:tr>
      <w:tr w14:paraId="62DB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7B885B89">
            <w:pPr>
              <w:spacing w:line="420" w:lineRule="exact"/>
              <w:jc w:val="center"/>
              <w:rPr>
                <w:rFonts w:ascii="宋体" w:hAnsi="宋体" w:cs="宋体"/>
                <w:strike/>
                <w:color w:val="auto"/>
                <w:sz w:val="18"/>
                <w:szCs w:val="18"/>
                <w:highlight w:val="none"/>
              </w:rPr>
            </w:pPr>
          </w:p>
        </w:tc>
        <w:tc>
          <w:tcPr>
            <w:tcW w:w="637" w:type="dxa"/>
          </w:tcPr>
          <w:p w14:paraId="799E3073">
            <w:pPr>
              <w:spacing w:line="420" w:lineRule="exact"/>
              <w:jc w:val="center"/>
              <w:rPr>
                <w:rFonts w:ascii="宋体" w:hAnsi="宋体" w:cs="宋体"/>
                <w:strike/>
                <w:color w:val="auto"/>
                <w:sz w:val="18"/>
                <w:szCs w:val="18"/>
                <w:highlight w:val="none"/>
              </w:rPr>
            </w:pPr>
          </w:p>
        </w:tc>
        <w:tc>
          <w:tcPr>
            <w:tcW w:w="1369" w:type="dxa"/>
            <w:vAlign w:val="center"/>
          </w:tcPr>
          <w:p w14:paraId="31862F98">
            <w:pPr>
              <w:spacing w:line="420" w:lineRule="exact"/>
              <w:jc w:val="center"/>
              <w:rPr>
                <w:rFonts w:ascii="宋体" w:hAnsi="宋体" w:cs="宋体"/>
                <w:strike/>
                <w:color w:val="auto"/>
                <w:sz w:val="18"/>
                <w:szCs w:val="18"/>
                <w:highlight w:val="none"/>
              </w:rPr>
            </w:pPr>
          </w:p>
        </w:tc>
        <w:tc>
          <w:tcPr>
            <w:tcW w:w="600" w:type="dxa"/>
            <w:vAlign w:val="center"/>
          </w:tcPr>
          <w:p w14:paraId="1A8FBA57">
            <w:pPr>
              <w:spacing w:line="420" w:lineRule="exact"/>
              <w:jc w:val="center"/>
              <w:rPr>
                <w:rFonts w:ascii="宋体" w:hAnsi="宋体" w:cs="宋体"/>
                <w:strike/>
                <w:color w:val="auto"/>
                <w:sz w:val="18"/>
                <w:szCs w:val="18"/>
                <w:highlight w:val="none"/>
              </w:rPr>
            </w:pPr>
          </w:p>
        </w:tc>
        <w:tc>
          <w:tcPr>
            <w:tcW w:w="1031" w:type="dxa"/>
            <w:vAlign w:val="center"/>
          </w:tcPr>
          <w:p w14:paraId="402D8B6A">
            <w:pPr>
              <w:spacing w:line="420" w:lineRule="exact"/>
              <w:jc w:val="center"/>
              <w:rPr>
                <w:rFonts w:ascii="宋体" w:hAnsi="宋体" w:cs="宋体"/>
                <w:strike/>
                <w:color w:val="auto"/>
                <w:sz w:val="18"/>
                <w:szCs w:val="18"/>
                <w:highlight w:val="none"/>
              </w:rPr>
            </w:pPr>
          </w:p>
        </w:tc>
        <w:tc>
          <w:tcPr>
            <w:tcW w:w="675" w:type="dxa"/>
            <w:vAlign w:val="center"/>
          </w:tcPr>
          <w:p w14:paraId="7564F866">
            <w:pPr>
              <w:spacing w:line="420" w:lineRule="exact"/>
              <w:jc w:val="center"/>
              <w:rPr>
                <w:rFonts w:ascii="宋体" w:hAnsi="宋体" w:cs="宋体"/>
                <w:strike/>
                <w:color w:val="auto"/>
                <w:sz w:val="18"/>
                <w:szCs w:val="18"/>
                <w:highlight w:val="none"/>
              </w:rPr>
            </w:pPr>
          </w:p>
        </w:tc>
        <w:tc>
          <w:tcPr>
            <w:tcW w:w="844" w:type="dxa"/>
            <w:vAlign w:val="center"/>
          </w:tcPr>
          <w:p w14:paraId="01B7A444">
            <w:pPr>
              <w:spacing w:line="420" w:lineRule="exact"/>
              <w:jc w:val="center"/>
              <w:rPr>
                <w:rFonts w:ascii="宋体" w:hAnsi="宋体" w:cs="宋体"/>
                <w:strike/>
                <w:color w:val="auto"/>
                <w:sz w:val="18"/>
                <w:szCs w:val="18"/>
                <w:highlight w:val="none"/>
              </w:rPr>
            </w:pPr>
          </w:p>
        </w:tc>
        <w:tc>
          <w:tcPr>
            <w:tcW w:w="1088" w:type="dxa"/>
            <w:vAlign w:val="center"/>
          </w:tcPr>
          <w:p w14:paraId="61940ED5">
            <w:pPr>
              <w:spacing w:line="420" w:lineRule="exact"/>
              <w:jc w:val="center"/>
              <w:rPr>
                <w:rFonts w:ascii="宋体" w:hAnsi="宋体" w:cs="宋体"/>
                <w:strike/>
                <w:color w:val="auto"/>
                <w:sz w:val="18"/>
                <w:szCs w:val="18"/>
                <w:highlight w:val="none"/>
              </w:rPr>
            </w:pPr>
          </w:p>
        </w:tc>
        <w:tc>
          <w:tcPr>
            <w:tcW w:w="1012" w:type="dxa"/>
            <w:vAlign w:val="center"/>
          </w:tcPr>
          <w:p w14:paraId="5FE3DA1F">
            <w:pPr>
              <w:spacing w:line="420" w:lineRule="exact"/>
              <w:jc w:val="center"/>
              <w:rPr>
                <w:rFonts w:ascii="宋体" w:hAnsi="宋体" w:cs="宋体"/>
                <w:strike/>
                <w:color w:val="auto"/>
                <w:sz w:val="18"/>
                <w:szCs w:val="18"/>
                <w:highlight w:val="none"/>
              </w:rPr>
            </w:pPr>
          </w:p>
        </w:tc>
        <w:tc>
          <w:tcPr>
            <w:tcW w:w="994" w:type="dxa"/>
            <w:vAlign w:val="center"/>
          </w:tcPr>
          <w:p w14:paraId="64942CDE">
            <w:pPr>
              <w:spacing w:line="420" w:lineRule="exact"/>
              <w:jc w:val="center"/>
              <w:rPr>
                <w:rFonts w:ascii="宋体" w:hAnsi="宋体" w:cs="宋体"/>
                <w:strike/>
                <w:color w:val="auto"/>
                <w:sz w:val="18"/>
                <w:szCs w:val="18"/>
                <w:highlight w:val="none"/>
              </w:rPr>
            </w:pPr>
          </w:p>
        </w:tc>
        <w:tc>
          <w:tcPr>
            <w:tcW w:w="1275" w:type="dxa"/>
            <w:vAlign w:val="center"/>
          </w:tcPr>
          <w:p w14:paraId="16B219BC">
            <w:pPr>
              <w:spacing w:line="420" w:lineRule="exact"/>
              <w:jc w:val="center"/>
              <w:rPr>
                <w:rFonts w:ascii="宋体" w:hAnsi="宋体" w:cs="宋体"/>
                <w:strike/>
                <w:color w:val="auto"/>
                <w:sz w:val="18"/>
                <w:szCs w:val="18"/>
                <w:highlight w:val="none"/>
              </w:rPr>
            </w:pPr>
          </w:p>
        </w:tc>
      </w:tr>
      <w:tr w14:paraId="334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537400B9">
            <w:pPr>
              <w:spacing w:line="420" w:lineRule="exact"/>
              <w:jc w:val="center"/>
              <w:rPr>
                <w:rFonts w:ascii="宋体" w:hAnsi="宋体" w:cs="宋体"/>
                <w:strike/>
                <w:color w:val="auto"/>
                <w:sz w:val="18"/>
                <w:szCs w:val="18"/>
                <w:highlight w:val="none"/>
              </w:rPr>
            </w:pPr>
          </w:p>
        </w:tc>
        <w:tc>
          <w:tcPr>
            <w:tcW w:w="637" w:type="dxa"/>
          </w:tcPr>
          <w:p w14:paraId="28F6D530">
            <w:pPr>
              <w:spacing w:line="420" w:lineRule="exact"/>
              <w:jc w:val="center"/>
              <w:rPr>
                <w:rFonts w:ascii="宋体" w:hAnsi="宋体" w:cs="宋体"/>
                <w:strike/>
                <w:color w:val="auto"/>
                <w:sz w:val="18"/>
                <w:szCs w:val="18"/>
                <w:highlight w:val="none"/>
              </w:rPr>
            </w:pPr>
          </w:p>
        </w:tc>
        <w:tc>
          <w:tcPr>
            <w:tcW w:w="1369" w:type="dxa"/>
            <w:vAlign w:val="center"/>
          </w:tcPr>
          <w:p w14:paraId="2FA9A81E">
            <w:pPr>
              <w:spacing w:line="420" w:lineRule="exact"/>
              <w:jc w:val="center"/>
              <w:rPr>
                <w:rFonts w:ascii="宋体" w:hAnsi="宋体" w:cs="宋体"/>
                <w:strike/>
                <w:color w:val="auto"/>
                <w:sz w:val="18"/>
                <w:szCs w:val="18"/>
                <w:highlight w:val="none"/>
              </w:rPr>
            </w:pPr>
          </w:p>
        </w:tc>
        <w:tc>
          <w:tcPr>
            <w:tcW w:w="600" w:type="dxa"/>
            <w:vAlign w:val="center"/>
          </w:tcPr>
          <w:p w14:paraId="7ACB8C66">
            <w:pPr>
              <w:spacing w:line="420" w:lineRule="exact"/>
              <w:jc w:val="center"/>
              <w:rPr>
                <w:rFonts w:ascii="宋体" w:hAnsi="宋体" w:cs="宋体"/>
                <w:strike/>
                <w:color w:val="auto"/>
                <w:sz w:val="18"/>
                <w:szCs w:val="18"/>
                <w:highlight w:val="none"/>
              </w:rPr>
            </w:pPr>
          </w:p>
        </w:tc>
        <w:tc>
          <w:tcPr>
            <w:tcW w:w="1031" w:type="dxa"/>
            <w:vAlign w:val="center"/>
          </w:tcPr>
          <w:p w14:paraId="58BBA0C5">
            <w:pPr>
              <w:spacing w:line="420" w:lineRule="exact"/>
              <w:jc w:val="center"/>
              <w:rPr>
                <w:rFonts w:ascii="宋体" w:hAnsi="宋体" w:cs="宋体"/>
                <w:strike/>
                <w:color w:val="auto"/>
                <w:sz w:val="18"/>
                <w:szCs w:val="18"/>
                <w:highlight w:val="none"/>
              </w:rPr>
            </w:pPr>
          </w:p>
        </w:tc>
        <w:tc>
          <w:tcPr>
            <w:tcW w:w="675" w:type="dxa"/>
            <w:vAlign w:val="center"/>
          </w:tcPr>
          <w:p w14:paraId="5FA4F4C8">
            <w:pPr>
              <w:spacing w:line="420" w:lineRule="exact"/>
              <w:jc w:val="center"/>
              <w:rPr>
                <w:rFonts w:ascii="宋体" w:hAnsi="宋体" w:cs="宋体"/>
                <w:strike/>
                <w:color w:val="auto"/>
                <w:sz w:val="18"/>
                <w:szCs w:val="18"/>
                <w:highlight w:val="none"/>
              </w:rPr>
            </w:pPr>
          </w:p>
        </w:tc>
        <w:tc>
          <w:tcPr>
            <w:tcW w:w="844" w:type="dxa"/>
            <w:vAlign w:val="center"/>
          </w:tcPr>
          <w:p w14:paraId="78F8EC73">
            <w:pPr>
              <w:spacing w:line="420" w:lineRule="exact"/>
              <w:jc w:val="center"/>
              <w:rPr>
                <w:rFonts w:ascii="宋体" w:hAnsi="宋体" w:cs="宋体"/>
                <w:strike/>
                <w:color w:val="auto"/>
                <w:sz w:val="18"/>
                <w:szCs w:val="18"/>
                <w:highlight w:val="none"/>
              </w:rPr>
            </w:pPr>
          </w:p>
        </w:tc>
        <w:tc>
          <w:tcPr>
            <w:tcW w:w="1088" w:type="dxa"/>
            <w:vAlign w:val="center"/>
          </w:tcPr>
          <w:p w14:paraId="19679AC1">
            <w:pPr>
              <w:spacing w:line="420" w:lineRule="exact"/>
              <w:jc w:val="center"/>
              <w:rPr>
                <w:rFonts w:ascii="宋体" w:hAnsi="宋体" w:cs="宋体"/>
                <w:strike/>
                <w:color w:val="auto"/>
                <w:sz w:val="18"/>
                <w:szCs w:val="18"/>
                <w:highlight w:val="none"/>
              </w:rPr>
            </w:pPr>
          </w:p>
        </w:tc>
        <w:tc>
          <w:tcPr>
            <w:tcW w:w="1012" w:type="dxa"/>
            <w:vAlign w:val="center"/>
          </w:tcPr>
          <w:p w14:paraId="44E69312">
            <w:pPr>
              <w:spacing w:line="420" w:lineRule="exact"/>
              <w:jc w:val="center"/>
              <w:rPr>
                <w:rFonts w:ascii="宋体" w:hAnsi="宋体" w:cs="宋体"/>
                <w:strike/>
                <w:color w:val="auto"/>
                <w:sz w:val="18"/>
                <w:szCs w:val="18"/>
                <w:highlight w:val="none"/>
              </w:rPr>
            </w:pPr>
          </w:p>
        </w:tc>
        <w:tc>
          <w:tcPr>
            <w:tcW w:w="994" w:type="dxa"/>
            <w:vAlign w:val="center"/>
          </w:tcPr>
          <w:p w14:paraId="64FD65B0">
            <w:pPr>
              <w:spacing w:line="420" w:lineRule="exact"/>
              <w:jc w:val="center"/>
              <w:rPr>
                <w:rFonts w:ascii="宋体" w:hAnsi="宋体" w:cs="宋体"/>
                <w:strike/>
                <w:color w:val="auto"/>
                <w:sz w:val="18"/>
                <w:szCs w:val="18"/>
                <w:highlight w:val="none"/>
              </w:rPr>
            </w:pPr>
          </w:p>
        </w:tc>
        <w:tc>
          <w:tcPr>
            <w:tcW w:w="1275" w:type="dxa"/>
            <w:vAlign w:val="center"/>
          </w:tcPr>
          <w:p w14:paraId="38AACDB2">
            <w:pPr>
              <w:spacing w:line="420" w:lineRule="exact"/>
              <w:jc w:val="center"/>
              <w:rPr>
                <w:rFonts w:ascii="宋体" w:hAnsi="宋体" w:cs="宋体"/>
                <w:strike/>
                <w:color w:val="auto"/>
                <w:sz w:val="18"/>
                <w:szCs w:val="18"/>
                <w:highlight w:val="none"/>
              </w:rPr>
            </w:pPr>
          </w:p>
        </w:tc>
      </w:tr>
      <w:tr w14:paraId="603C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3BC451FF">
            <w:pPr>
              <w:spacing w:line="420" w:lineRule="exact"/>
              <w:jc w:val="center"/>
              <w:rPr>
                <w:rFonts w:ascii="宋体" w:hAnsi="宋体" w:cs="宋体"/>
                <w:strike/>
                <w:color w:val="auto"/>
                <w:sz w:val="18"/>
                <w:szCs w:val="18"/>
                <w:highlight w:val="none"/>
              </w:rPr>
            </w:pPr>
          </w:p>
        </w:tc>
        <w:tc>
          <w:tcPr>
            <w:tcW w:w="637" w:type="dxa"/>
          </w:tcPr>
          <w:p w14:paraId="4AEA19AA">
            <w:pPr>
              <w:spacing w:line="420" w:lineRule="exact"/>
              <w:jc w:val="center"/>
              <w:rPr>
                <w:rFonts w:ascii="宋体" w:hAnsi="宋体" w:cs="宋体"/>
                <w:strike/>
                <w:color w:val="auto"/>
                <w:sz w:val="18"/>
                <w:szCs w:val="18"/>
                <w:highlight w:val="none"/>
              </w:rPr>
            </w:pPr>
          </w:p>
        </w:tc>
        <w:tc>
          <w:tcPr>
            <w:tcW w:w="1369" w:type="dxa"/>
            <w:vAlign w:val="center"/>
          </w:tcPr>
          <w:p w14:paraId="6FBA87AD">
            <w:pPr>
              <w:spacing w:line="420" w:lineRule="exact"/>
              <w:jc w:val="center"/>
              <w:rPr>
                <w:rFonts w:ascii="宋体" w:hAnsi="宋体" w:cs="宋体"/>
                <w:strike/>
                <w:color w:val="auto"/>
                <w:sz w:val="18"/>
                <w:szCs w:val="18"/>
                <w:highlight w:val="none"/>
              </w:rPr>
            </w:pPr>
          </w:p>
        </w:tc>
        <w:tc>
          <w:tcPr>
            <w:tcW w:w="600" w:type="dxa"/>
            <w:vAlign w:val="center"/>
          </w:tcPr>
          <w:p w14:paraId="581D8BB1">
            <w:pPr>
              <w:spacing w:line="420" w:lineRule="exact"/>
              <w:jc w:val="center"/>
              <w:rPr>
                <w:rFonts w:ascii="宋体" w:hAnsi="宋体" w:cs="宋体"/>
                <w:strike/>
                <w:color w:val="auto"/>
                <w:sz w:val="18"/>
                <w:szCs w:val="18"/>
                <w:highlight w:val="none"/>
              </w:rPr>
            </w:pPr>
          </w:p>
        </w:tc>
        <w:tc>
          <w:tcPr>
            <w:tcW w:w="1031" w:type="dxa"/>
            <w:vAlign w:val="center"/>
          </w:tcPr>
          <w:p w14:paraId="3275A003">
            <w:pPr>
              <w:spacing w:line="420" w:lineRule="exact"/>
              <w:jc w:val="center"/>
              <w:rPr>
                <w:rFonts w:ascii="宋体" w:hAnsi="宋体" w:cs="宋体"/>
                <w:strike/>
                <w:color w:val="auto"/>
                <w:sz w:val="18"/>
                <w:szCs w:val="18"/>
                <w:highlight w:val="none"/>
              </w:rPr>
            </w:pPr>
          </w:p>
        </w:tc>
        <w:tc>
          <w:tcPr>
            <w:tcW w:w="675" w:type="dxa"/>
            <w:vAlign w:val="center"/>
          </w:tcPr>
          <w:p w14:paraId="0D3412B0">
            <w:pPr>
              <w:spacing w:line="420" w:lineRule="exact"/>
              <w:jc w:val="center"/>
              <w:rPr>
                <w:rFonts w:ascii="宋体" w:hAnsi="宋体" w:cs="宋体"/>
                <w:strike/>
                <w:color w:val="auto"/>
                <w:sz w:val="18"/>
                <w:szCs w:val="18"/>
                <w:highlight w:val="none"/>
              </w:rPr>
            </w:pPr>
          </w:p>
        </w:tc>
        <w:tc>
          <w:tcPr>
            <w:tcW w:w="844" w:type="dxa"/>
            <w:vAlign w:val="center"/>
          </w:tcPr>
          <w:p w14:paraId="3457DA7C">
            <w:pPr>
              <w:spacing w:line="420" w:lineRule="exact"/>
              <w:jc w:val="center"/>
              <w:rPr>
                <w:rFonts w:ascii="宋体" w:hAnsi="宋体" w:cs="宋体"/>
                <w:strike/>
                <w:color w:val="auto"/>
                <w:sz w:val="18"/>
                <w:szCs w:val="18"/>
                <w:highlight w:val="none"/>
              </w:rPr>
            </w:pPr>
          </w:p>
        </w:tc>
        <w:tc>
          <w:tcPr>
            <w:tcW w:w="1088" w:type="dxa"/>
            <w:vAlign w:val="center"/>
          </w:tcPr>
          <w:p w14:paraId="30D6D2FB">
            <w:pPr>
              <w:spacing w:line="420" w:lineRule="exact"/>
              <w:jc w:val="center"/>
              <w:rPr>
                <w:rFonts w:ascii="宋体" w:hAnsi="宋体" w:cs="宋体"/>
                <w:strike/>
                <w:color w:val="auto"/>
                <w:sz w:val="18"/>
                <w:szCs w:val="18"/>
                <w:highlight w:val="none"/>
              </w:rPr>
            </w:pPr>
          </w:p>
        </w:tc>
        <w:tc>
          <w:tcPr>
            <w:tcW w:w="1012" w:type="dxa"/>
            <w:vAlign w:val="center"/>
          </w:tcPr>
          <w:p w14:paraId="62921844">
            <w:pPr>
              <w:spacing w:line="420" w:lineRule="exact"/>
              <w:jc w:val="center"/>
              <w:rPr>
                <w:rFonts w:ascii="宋体" w:hAnsi="宋体" w:cs="宋体"/>
                <w:strike/>
                <w:color w:val="auto"/>
                <w:sz w:val="18"/>
                <w:szCs w:val="18"/>
                <w:highlight w:val="none"/>
              </w:rPr>
            </w:pPr>
          </w:p>
        </w:tc>
        <w:tc>
          <w:tcPr>
            <w:tcW w:w="994" w:type="dxa"/>
            <w:vAlign w:val="center"/>
          </w:tcPr>
          <w:p w14:paraId="1835E3DC">
            <w:pPr>
              <w:spacing w:line="420" w:lineRule="exact"/>
              <w:jc w:val="center"/>
              <w:rPr>
                <w:rFonts w:ascii="宋体" w:hAnsi="宋体" w:cs="宋体"/>
                <w:strike/>
                <w:color w:val="auto"/>
                <w:sz w:val="18"/>
                <w:szCs w:val="18"/>
                <w:highlight w:val="none"/>
              </w:rPr>
            </w:pPr>
          </w:p>
        </w:tc>
        <w:tc>
          <w:tcPr>
            <w:tcW w:w="1275" w:type="dxa"/>
            <w:vAlign w:val="center"/>
          </w:tcPr>
          <w:p w14:paraId="7E3FF9C2">
            <w:pPr>
              <w:spacing w:line="420" w:lineRule="exact"/>
              <w:jc w:val="center"/>
              <w:rPr>
                <w:rFonts w:ascii="宋体" w:hAnsi="宋体" w:cs="宋体"/>
                <w:strike/>
                <w:color w:val="auto"/>
                <w:sz w:val="18"/>
                <w:szCs w:val="18"/>
                <w:highlight w:val="none"/>
              </w:rPr>
            </w:pPr>
          </w:p>
        </w:tc>
      </w:tr>
      <w:tr w14:paraId="2954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116D78E9">
            <w:pPr>
              <w:spacing w:line="420" w:lineRule="exact"/>
              <w:jc w:val="center"/>
              <w:rPr>
                <w:rFonts w:ascii="宋体" w:hAnsi="宋体" w:cs="宋体"/>
                <w:strike/>
                <w:color w:val="auto"/>
                <w:sz w:val="18"/>
                <w:szCs w:val="18"/>
                <w:highlight w:val="none"/>
              </w:rPr>
            </w:pPr>
          </w:p>
        </w:tc>
        <w:tc>
          <w:tcPr>
            <w:tcW w:w="637" w:type="dxa"/>
          </w:tcPr>
          <w:p w14:paraId="25961456">
            <w:pPr>
              <w:spacing w:line="420" w:lineRule="exact"/>
              <w:jc w:val="center"/>
              <w:rPr>
                <w:rFonts w:ascii="宋体" w:hAnsi="宋体" w:cs="宋体"/>
                <w:strike/>
                <w:color w:val="auto"/>
                <w:sz w:val="18"/>
                <w:szCs w:val="18"/>
                <w:highlight w:val="none"/>
              </w:rPr>
            </w:pPr>
          </w:p>
        </w:tc>
        <w:tc>
          <w:tcPr>
            <w:tcW w:w="1369" w:type="dxa"/>
            <w:vAlign w:val="center"/>
          </w:tcPr>
          <w:p w14:paraId="7A43D573">
            <w:pPr>
              <w:spacing w:line="420" w:lineRule="exact"/>
              <w:jc w:val="center"/>
              <w:rPr>
                <w:rFonts w:ascii="宋体" w:hAnsi="宋体" w:cs="宋体"/>
                <w:strike/>
                <w:color w:val="auto"/>
                <w:sz w:val="18"/>
                <w:szCs w:val="18"/>
                <w:highlight w:val="none"/>
              </w:rPr>
            </w:pPr>
          </w:p>
        </w:tc>
        <w:tc>
          <w:tcPr>
            <w:tcW w:w="600" w:type="dxa"/>
            <w:vAlign w:val="center"/>
          </w:tcPr>
          <w:p w14:paraId="6532B522">
            <w:pPr>
              <w:spacing w:line="420" w:lineRule="exact"/>
              <w:jc w:val="center"/>
              <w:rPr>
                <w:rFonts w:ascii="宋体" w:hAnsi="宋体" w:cs="宋体"/>
                <w:strike/>
                <w:color w:val="auto"/>
                <w:sz w:val="18"/>
                <w:szCs w:val="18"/>
                <w:highlight w:val="none"/>
              </w:rPr>
            </w:pPr>
          </w:p>
        </w:tc>
        <w:tc>
          <w:tcPr>
            <w:tcW w:w="1031" w:type="dxa"/>
            <w:vAlign w:val="center"/>
          </w:tcPr>
          <w:p w14:paraId="65A10422">
            <w:pPr>
              <w:spacing w:line="420" w:lineRule="exact"/>
              <w:jc w:val="center"/>
              <w:rPr>
                <w:rFonts w:ascii="宋体" w:hAnsi="宋体" w:cs="宋体"/>
                <w:strike/>
                <w:color w:val="auto"/>
                <w:sz w:val="18"/>
                <w:szCs w:val="18"/>
                <w:highlight w:val="none"/>
              </w:rPr>
            </w:pPr>
          </w:p>
        </w:tc>
        <w:tc>
          <w:tcPr>
            <w:tcW w:w="675" w:type="dxa"/>
            <w:vAlign w:val="center"/>
          </w:tcPr>
          <w:p w14:paraId="1F7D0DAB">
            <w:pPr>
              <w:spacing w:line="420" w:lineRule="exact"/>
              <w:jc w:val="center"/>
              <w:rPr>
                <w:rFonts w:ascii="宋体" w:hAnsi="宋体" w:cs="宋体"/>
                <w:strike/>
                <w:color w:val="auto"/>
                <w:sz w:val="18"/>
                <w:szCs w:val="18"/>
                <w:highlight w:val="none"/>
              </w:rPr>
            </w:pPr>
          </w:p>
        </w:tc>
        <w:tc>
          <w:tcPr>
            <w:tcW w:w="844" w:type="dxa"/>
            <w:vAlign w:val="center"/>
          </w:tcPr>
          <w:p w14:paraId="4ECD8B6E">
            <w:pPr>
              <w:spacing w:line="420" w:lineRule="exact"/>
              <w:jc w:val="center"/>
              <w:rPr>
                <w:rFonts w:ascii="宋体" w:hAnsi="宋体" w:cs="宋体"/>
                <w:strike/>
                <w:color w:val="auto"/>
                <w:sz w:val="18"/>
                <w:szCs w:val="18"/>
                <w:highlight w:val="none"/>
              </w:rPr>
            </w:pPr>
          </w:p>
        </w:tc>
        <w:tc>
          <w:tcPr>
            <w:tcW w:w="1088" w:type="dxa"/>
            <w:vAlign w:val="center"/>
          </w:tcPr>
          <w:p w14:paraId="067E4775">
            <w:pPr>
              <w:spacing w:line="420" w:lineRule="exact"/>
              <w:jc w:val="center"/>
              <w:rPr>
                <w:rFonts w:ascii="宋体" w:hAnsi="宋体" w:cs="宋体"/>
                <w:strike/>
                <w:color w:val="auto"/>
                <w:sz w:val="18"/>
                <w:szCs w:val="18"/>
                <w:highlight w:val="none"/>
              </w:rPr>
            </w:pPr>
          </w:p>
        </w:tc>
        <w:tc>
          <w:tcPr>
            <w:tcW w:w="1012" w:type="dxa"/>
            <w:vAlign w:val="center"/>
          </w:tcPr>
          <w:p w14:paraId="371A0F31">
            <w:pPr>
              <w:spacing w:line="420" w:lineRule="exact"/>
              <w:jc w:val="center"/>
              <w:rPr>
                <w:rFonts w:ascii="宋体" w:hAnsi="宋体" w:cs="宋体"/>
                <w:strike/>
                <w:color w:val="auto"/>
                <w:sz w:val="18"/>
                <w:szCs w:val="18"/>
                <w:highlight w:val="none"/>
              </w:rPr>
            </w:pPr>
          </w:p>
        </w:tc>
        <w:tc>
          <w:tcPr>
            <w:tcW w:w="994" w:type="dxa"/>
            <w:vAlign w:val="center"/>
          </w:tcPr>
          <w:p w14:paraId="263F70AF">
            <w:pPr>
              <w:spacing w:line="420" w:lineRule="exact"/>
              <w:jc w:val="center"/>
              <w:rPr>
                <w:rFonts w:ascii="宋体" w:hAnsi="宋体" w:cs="宋体"/>
                <w:strike/>
                <w:color w:val="auto"/>
                <w:sz w:val="18"/>
                <w:szCs w:val="18"/>
                <w:highlight w:val="none"/>
              </w:rPr>
            </w:pPr>
          </w:p>
        </w:tc>
        <w:tc>
          <w:tcPr>
            <w:tcW w:w="1275" w:type="dxa"/>
            <w:vAlign w:val="center"/>
          </w:tcPr>
          <w:p w14:paraId="57AA501F">
            <w:pPr>
              <w:spacing w:line="420" w:lineRule="exact"/>
              <w:jc w:val="center"/>
              <w:rPr>
                <w:rFonts w:ascii="宋体" w:hAnsi="宋体" w:cs="宋体"/>
                <w:strike/>
                <w:color w:val="auto"/>
                <w:sz w:val="18"/>
                <w:szCs w:val="18"/>
                <w:highlight w:val="none"/>
              </w:rPr>
            </w:pPr>
          </w:p>
        </w:tc>
      </w:tr>
      <w:tr w14:paraId="02B5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38835448">
            <w:pPr>
              <w:spacing w:line="420" w:lineRule="exact"/>
              <w:jc w:val="center"/>
              <w:rPr>
                <w:rFonts w:ascii="宋体" w:hAnsi="宋体" w:cs="宋体"/>
                <w:strike/>
                <w:color w:val="auto"/>
                <w:sz w:val="18"/>
                <w:szCs w:val="18"/>
                <w:highlight w:val="none"/>
              </w:rPr>
            </w:pPr>
          </w:p>
        </w:tc>
        <w:tc>
          <w:tcPr>
            <w:tcW w:w="637" w:type="dxa"/>
          </w:tcPr>
          <w:p w14:paraId="247DDAB1">
            <w:pPr>
              <w:spacing w:line="420" w:lineRule="exact"/>
              <w:jc w:val="center"/>
              <w:rPr>
                <w:rFonts w:ascii="宋体" w:hAnsi="宋体" w:cs="宋体"/>
                <w:strike/>
                <w:color w:val="auto"/>
                <w:sz w:val="18"/>
                <w:szCs w:val="18"/>
                <w:highlight w:val="none"/>
              </w:rPr>
            </w:pPr>
          </w:p>
        </w:tc>
        <w:tc>
          <w:tcPr>
            <w:tcW w:w="1369" w:type="dxa"/>
            <w:vAlign w:val="center"/>
          </w:tcPr>
          <w:p w14:paraId="2DEE1A72">
            <w:pPr>
              <w:spacing w:line="420" w:lineRule="exact"/>
              <w:jc w:val="center"/>
              <w:rPr>
                <w:rFonts w:ascii="宋体" w:hAnsi="宋体" w:cs="宋体"/>
                <w:strike/>
                <w:color w:val="auto"/>
                <w:sz w:val="18"/>
                <w:szCs w:val="18"/>
                <w:highlight w:val="none"/>
              </w:rPr>
            </w:pPr>
          </w:p>
        </w:tc>
        <w:tc>
          <w:tcPr>
            <w:tcW w:w="600" w:type="dxa"/>
            <w:vAlign w:val="center"/>
          </w:tcPr>
          <w:p w14:paraId="454EAF19">
            <w:pPr>
              <w:spacing w:line="420" w:lineRule="exact"/>
              <w:jc w:val="center"/>
              <w:rPr>
                <w:rFonts w:ascii="宋体" w:hAnsi="宋体" w:cs="宋体"/>
                <w:strike/>
                <w:color w:val="auto"/>
                <w:sz w:val="18"/>
                <w:szCs w:val="18"/>
                <w:highlight w:val="none"/>
              </w:rPr>
            </w:pPr>
          </w:p>
        </w:tc>
        <w:tc>
          <w:tcPr>
            <w:tcW w:w="1031" w:type="dxa"/>
            <w:vAlign w:val="center"/>
          </w:tcPr>
          <w:p w14:paraId="5E393CE2">
            <w:pPr>
              <w:spacing w:line="420" w:lineRule="exact"/>
              <w:jc w:val="center"/>
              <w:rPr>
                <w:rFonts w:ascii="宋体" w:hAnsi="宋体" w:cs="宋体"/>
                <w:strike/>
                <w:color w:val="auto"/>
                <w:sz w:val="18"/>
                <w:szCs w:val="18"/>
                <w:highlight w:val="none"/>
              </w:rPr>
            </w:pPr>
          </w:p>
        </w:tc>
        <w:tc>
          <w:tcPr>
            <w:tcW w:w="675" w:type="dxa"/>
            <w:vAlign w:val="center"/>
          </w:tcPr>
          <w:p w14:paraId="568DD9F9">
            <w:pPr>
              <w:spacing w:line="420" w:lineRule="exact"/>
              <w:jc w:val="center"/>
              <w:rPr>
                <w:rFonts w:ascii="宋体" w:hAnsi="宋体" w:cs="宋体"/>
                <w:strike/>
                <w:color w:val="auto"/>
                <w:sz w:val="18"/>
                <w:szCs w:val="18"/>
                <w:highlight w:val="none"/>
              </w:rPr>
            </w:pPr>
          </w:p>
        </w:tc>
        <w:tc>
          <w:tcPr>
            <w:tcW w:w="844" w:type="dxa"/>
            <w:vAlign w:val="center"/>
          </w:tcPr>
          <w:p w14:paraId="71FAABD8">
            <w:pPr>
              <w:spacing w:line="420" w:lineRule="exact"/>
              <w:jc w:val="center"/>
              <w:rPr>
                <w:rFonts w:ascii="宋体" w:hAnsi="宋体" w:cs="宋体"/>
                <w:strike/>
                <w:color w:val="auto"/>
                <w:sz w:val="18"/>
                <w:szCs w:val="18"/>
                <w:highlight w:val="none"/>
              </w:rPr>
            </w:pPr>
          </w:p>
        </w:tc>
        <w:tc>
          <w:tcPr>
            <w:tcW w:w="1088" w:type="dxa"/>
            <w:vAlign w:val="center"/>
          </w:tcPr>
          <w:p w14:paraId="1827BA34">
            <w:pPr>
              <w:spacing w:line="420" w:lineRule="exact"/>
              <w:jc w:val="center"/>
              <w:rPr>
                <w:rFonts w:ascii="宋体" w:hAnsi="宋体" w:cs="宋体"/>
                <w:strike/>
                <w:color w:val="auto"/>
                <w:sz w:val="18"/>
                <w:szCs w:val="18"/>
                <w:highlight w:val="none"/>
              </w:rPr>
            </w:pPr>
          </w:p>
        </w:tc>
        <w:tc>
          <w:tcPr>
            <w:tcW w:w="1012" w:type="dxa"/>
            <w:vAlign w:val="center"/>
          </w:tcPr>
          <w:p w14:paraId="3188E55F">
            <w:pPr>
              <w:spacing w:line="420" w:lineRule="exact"/>
              <w:jc w:val="center"/>
              <w:rPr>
                <w:rFonts w:ascii="宋体" w:hAnsi="宋体" w:cs="宋体"/>
                <w:strike/>
                <w:color w:val="auto"/>
                <w:sz w:val="18"/>
                <w:szCs w:val="18"/>
                <w:highlight w:val="none"/>
              </w:rPr>
            </w:pPr>
          </w:p>
        </w:tc>
        <w:tc>
          <w:tcPr>
            <w:tcW w:w="994" w:type="dxa"/>
            <w:vAlign w:val="center"/>
          </w:tcPr>
          <w:p w14:paraId="711DC95A">
            <w:pPr>
              <w:spacing w:line="420" w:lineRule="exact"/>
              <w:jc w:val="center"/>
              <w:rPr>
                <w:rFonts w:ascii="宋体" w:hAnsi="宋体" w:cs="宋体"/>
                <w:strike/>
                <w:color w:val="auto"/>
                <w:sz w:val="18"/>
                <w:szCs w:val="18"/>
                <w:highlight w:val="none"/>
              </w:rPr>
            </w:pPr>
          </w:p>
        </w:tc>
        <w:tc>
          <w:tcPr>
            <w:tcW w:w="1275" w:type="dxa"/>
            <w:vAlign w:val="center"/>
          </w:tcPr>
          <w:p w14:paraId="309D8177">
            <w:pPr>
              <w:spacing w:line="420" w:lineRule="exact"/>
              <w:jc w:val="center"/>
              <w:rPr>
                <w:rFonts w:ascii="宋体" w:hAnsi="宋体" w:cs="宋体"/>
                <w:strike/>
                <w:color w:val="auto"/>
                <w:sz w:val="18"/>
                <w:szCs w:val="18"/>
                <w:highlight w:val="none"/>
              </w:rPr>
            </w:pPr>
          </w:p>
        </w:tc>
      </w:tr>
      <w:tr w14:paraId="729E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6A16456E">
            <w:pPr>
              <w:spacing w:line="420" w:lineRule="exact"/>
              <w:jc w:val="center"/>
              <w:rPr>
                <w:rFonts w:ascii="宋体" w:hAnsi="宋体" w:cs="宋体"/>
                <w:strike/>
                <w:color w:val="auto"/>
                <w:sz w:val="18"/>
                <w:szCs w:val="18"/>
                <w:highlight w:val="none"/>
              </w:rPr>
            </w:pPr>
          </w:p>
        </w:tc>
        <w:tc>
          <w:tcPr>
            <w:tcW w:w="637" w:type="dxa"/>
          </w:tcPr>
          <w:p w14:paraId="793192FA">
            <w:pPr>
              <w:spacing w:line="420" w:lineRule="exact"/>
              <w:jc w:val="center"/>
              <w:rPr>
                <w:rFonts w:ascii="宋体" w:hAnsi="宋体" w:cs="宋体"/>
                <w:strike/>
                <w:color w:val="auto"/>
                <w:sz w:val="18"/>
                <w:szCs w:val="18"/>
                <w:highlight w:val="none"/>
              </w:rPr>
            </w:pPr>
          </w:p>
        </w:tc>
        <w:tc>
          <w:tcPr>
            <w:tcW w:w="1369" w:type="dxa"/>
            <w:vAlign w:val="center"/>
          </w:tcPr>
          <w:p w14:paraId="27CC34D9">
            <w:pPr>
              <w:spacing w:line="420" w:lineRule="exact"/>
              <w:jc w:val="center"/>
              <w:rPr>
                <w:rFonts w:ascii="宋体" w:hAnsi="宋体" w:cs="宋体"/>
                <w:strike/>
                <w:color w:val="auto"/>
                <w:sz w:val="18"/>
                <w:szCs w:val="18"/>
                <w:highlight w:val="none"/>
              </w:rPr>
            </w:pPr>
          </w:p>
        </w:tc>
        <w:tc>
          <w:tcPr>
            <w:tcW w:w="600" w:type="dxa"/>
            <w:vAlign w:val="center"/>
          </w:tcPr>
          <w:p w14:paraId="289D741F">
            <w:pPr>
              <w:spacing w:line="420" w:lineRule="exact"/>
              <w:jc w:val="center"/>
              <w:rPr>
                <w:rFonts w:ascii="宋体" w:hAnsi="宋体" w:cs="宋体"/>
                <w:strike/>
                <w:color w:val="auto"/>
                <w:sz w:val="18"/>
                <w:szCs w:val="18"/>
                <w:highlight w:val="none"/>
              </w:rPr>
            </w:pPr>
          </w:p>
        </w:tc>
        <w:tc>
          <w:tcPr>
            <w:tcW w:w="1031" w:type="dxa"/>
            <w:vAlign w:val="center"/>
          </w:tcPr>
          <w:p w14:paraId="34DDA682">
            <w:pPr>
              <w:spacing w:line="420" w:lineRule="exact"/>
              <w:jc w:val="center"/>
              <w:rPr>
                <w:rFonts w:ascii="宋体" w:hAnsi="宋体" w:cs="宋体"/>
                <w:strike/>
                <w:color w:val="auto"/>
                <w:sz w:val="18"/>
                <w:szCs w:val="18"/>
                <w:highlight w:val="none"/>
              </w:rPr>
            </w:pPr>
          </w:p>
        </w:tc>
        <w:tc>
          <w:tcPr>
            <w:tcW w:w="675" w:type="dxa"/>
            <w:vAlign w:val="center"/>
          </w:tcPr>
          <w:p w14:paraId="1529A3D8">
            <w:pPr>
              <w:spacing w:line="420" w:lineRule="exact"/>
              <w:jc w:val="center"/>
              <w:rPr>
                <w:rFonts w:ascii="宋体" w:hAnsi="宋体" w:cs="宋体"/>
                <w:strike/>
                <w:color w:val="auto"/>
                <w:sz w:val="18"/>
                <w:szCs w:val="18"/>
                <w:highlight w:val="none"/>
              </w:rPr>
            </w:pPr>
          </w:p>
        </w:tc>
        <w:tc>
          <w:tcPr>
            <w:tcW w:w="844" w:type="dxa"/>
            <w:vAlign w:val="center"/>
          </w:tcPr>
          <w:p w14:paraId="741EC0DF">
            <w:pPr>
              <w:spacing w:line="420" w:lineRule="exact"/>
              <w:jc w:val="center"/>
              <w:rPr>
                <w:rFonts w:ascii="宋体" w:hAnsi="宋体" w:cs="宋体"/>
                <w:strike/>
                <w:color w:val="auto"/>
                <w:sz w:val="18"/>
                <w:szCs w:val="18"/>
                <w:highlight w:val="none"/>
              </w:rPr>
            </w:pPr>
          </w:p>
        </w:tc>
        <w:tc>
          <w:tcPr>
            <w:tcW w:w="1088" w:type="dxa"/>
            <w:vAlign w:val="center"/>
          </w:tcPr>
          <w:p w14:paraId="6710B837">
            <w:pPr>
              <w:spacing w:line="420" w:lineRule="exact"/>
              <w:jc w:val="center"/>
              <w:rPr>
                <w:rFonts w:ascii="宋体" w:hAnsi="宋体" w:cs="宋体"/>
                <w:strike/>
                <w:color w:val="auto"/>
                <w:sz w:val="18"/>
                <w:szCs w:val="18"/>
                <w:highlight w:val="none"/>
              </w:rPr>
            </w:pPr>
          </w:p>
        </w:tc>
        <w:tc>
          <w:tcPr>
            <w:tcW w:w="1012" w:type="dxa"/>
            <w:vAlign w:val="center"/>
          </w:tcPr>
          <w:p w14:paraId="288B454F">
            <w:pPr>
              <w:spacing w:line="420" w:lineRule="exact"/>
              <w:jc w:val="center"/>
              <w:rPr>
                <w:rFonts w:ascii="宋体" w:hAnsi="宋体" w:cs="宋体"/>
                <w:strike/>
                <w:color w:val="auto"/>
                <w:sz w:val="18"/>
                <w:szCs w:val="18"/>
                <w:highlight w:val="none"/>
              </w:rPr>
            </w:pPr>
          </w:p>
        </w:tc>
        <w:tc>
          <w:tcPr>
            <w:tcW w:w="994" w:type="dxa"/>
            <w:vAlign w:val="center"/>
          </w:tcPr>
          <w:p w14:paraId="73F5418A">
            <w:pPr>
              <w:spacing w:line="420" w:lineRule="exact"/>
              <w:jc w:val="center"/>
              <w:rPr>
                <w:rFonts w:ascii="宋体" w:hAnsi="宋体" w:cs="宋体"/>
                <w:strike/>
                <w:color w:val="auto"/>
                <w:sz w:val="18"/>
                <w:szCs w:val="18"/>
                <w:highlight w:val="none"/>
              </w:rPr>
            </w:pPr>
          </w:p>
        </w:tc>
        <w:tc>
          <w:tcPr>
            <w:tcW w:w="1275" w:type="dxa"/>
            <w:vAlign w:val="center"/>
          </w:tcPr>
          <w:p w14:paraId="28121C98">
            <w:pPr>
              <w:spacing w:line="420" w:lineRule="exact"/>
              <w:jc w:val="center"/>
              <w:rPr>
                <w:rFonts w:ascii="宋体" w:hAnsi="宋体" w:cs="宋体"/>
                <w:strike/>
                <w:color w:val="auto"/>
                <w:sz w:val="18"/>
                <w:szCs w:val="18"/>
                <w:highlight w:val="none"/>
              </w:rPr>
            </w:pPr>
          </w:p>
        </w:tc>
      </w:tr>
      <w:tr w14:paraId="0D74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1CCE7383">
            <w:pPr>
              <w:spacing w:line="420" w:lineRule="exact"/>
              <w:jc w:val="center"/>
              <w:rPr>
                <w:rFonts w:ascii="宋体" w:hAnsi="宋体" w:cs="宋体"/>
                <w:strike/>
                <w:color w:val="auto"/>
                <w:sz w:val="18"/>
                <w:szCs w:val="18"/>
                <w:highlight w:val="none"/>
              </w:rPr>
            </w:pPr>
          </w:p>
        </w:tc>
        <w:tc>
          <w:tcPr>
            <w:tcW w:w="637" w:type="dxa"/>
          </w:tcPr>
          <w:p w14:paraId="7CE9201D">
            <w:pPr>
              <w:spacing w:line="420" w:lineRule="exact"/>
              <w:jc w:val="center"/>
              <w:rPr>
                <w:rFonts w:ascii="宋体" w:hAnsi="宋体" w:cs="宋体"/>
                <w:strike/>
                <w:color w:val="auto"/>
                <w:sz w:val="18"/>
                <w:szCs w:val="18"/>
                <w:highlight w:val="none"/>
              </w:rPr>
            </w:pPr>
          </w:p>
        </w:tc>
        <w:tc>
          <w:tcPr>
            <w:tcW w:w="1369" w:type="dxa"/>
            <w:vAlign w:val="center"/>
          </w:tcPr>
          <w:p w14:paraId="5279C7B3">
            <w:pPr>
              <w:spacing w:line="420" w:lineRule="exact"/>
              <w:jc w:val="center"/>
              <w:rPr>
                <w:rFonts w:ascii="宋体" w:hAnsi="宋体" w:cs="宋体"/>
                <w:strike/>
                <w:color w:val="auto"/>
                <w:sz w:val="18"/>
                <w:szCs w:val="18"/>
                <w:highlight w:val="none"/>
              </w:rPr>
            </w:pPr>
          </w:p>
        </w:tc>
        <w:tc>
          <w:tcPr>
            <w:tcW w:w="600" w:type="dxa"/>
            <w:vAlign w:val="center"/>
          </w:tcPr>
          <w:p w14:paraId="546BBB39">
            <w:pPr>
              <w:spacing w:line="420" w:lineRule="exact"/>
              <w:jc w:val="center"/>
              <w:rPr>
                <w:rFonts w:ascii="宋体" w:hAnsi="宋体" w:cs="宋体"/>
                <w:strike/>
                <w:color w:val="auto"/>
                <w:sz w:val="18"/>
                <w:szCs w:val="18"/>
                <w:highlight w:val="none"/>
              </w:rPr>
            </w:pPr>
          </w:p>
        </w:tc>
        <w:tc>
          <w:tcPr>
            <w:tcW w:w="1031" w:type="dxa"/>
            <w:vAlign w:val="center"/>
          </w:tcPr>
          <w:p w14:paraId="73477655">
            <w:pPr>
              <w:spacing w:line="420" w:lineRule="exact"/>
              <w:jc w:val="center"/>
              <w:rPr>
                <w:rFonts w:ascii="宋体" w:hAnsi="宋体" w:cs="宋体"/>
                <w:strike/>
                <w:color w:val="auto"/>
                <w:sz w:val="18"/>
                <w:szCs w:val="18"/>
                <w:highlight w:val="none"/>
              </w:rPr>
            </w:pPr>
          </w:p>
        </w:tc>
        <w:tc>
          <w:tcPr>
            <w:tcW w:w="675" w:type="dxa"/>
            <w:vAlign w:val="center"/>
          </w:tcPr>
          <w:p w14:paraId="3CC5CBF4">
            <w:pPr>
              <w:spacing w:line="420" w:lineRule="exact"/>
              <w:jc w:val="center"/>
              <w:rPr>
                <w:rFonts w:ascii="宋体" w:hAnsi="宋体" w:cs="宋体"/>
                <w:strike/>
                <w:color w:val="auto"/>
                <w:sz w:val="18"/>
                <w:szCs w:val="18"/>
                <w:highlight w:val="none"/>
              </w:rPr>
            </w:pPr>
          </w:p>
        </w:tc>
        <w:tc>
          <w:tcPr>
            <w:tcW w:w="844" w:type="dxa"/>
            <w:vAlign w:val="center"/>
          </w:tcPr>
          <w:p w14:paraId="3FFAA9D0">
            <w:pPr>
              <w:spacing w:line="420" w:lineRule="exact"/>
              <w:jc w:val="center"/>
              <w:rPr>
                <w:rFonts w:ascii="宋体" w:hAnsi="宋体" w:cs="宋体"/>
                <w:strike/>
                <w:color w:val="auto"/>
                <w:sz w:val="18"/>
                <w:szCs w:val="18"/>
                <w:highlight w:val="none"/>
              </w:rPr>
            </w:pPr>
          </w:p>
        </w:tc>
        <w:tc>
          <w:tcPr>
            <w:tcW w:w="1088" w:type="dxa"/>
            <w:vAlign w:val="center"/>
          </w:tcPr>
          <w:p w14:paraId="289335EE">
            <w:pPr>
              <w:spacing w:line="420" w:lineRule="exact"/>
              <w:jc w:val="center"/>
              <w:rPr>
                <w:rFonts w:ascii="宋体" w:hAnsi="宋体" w:cs="宋体"/>
                <w:strike/>
                <w:color w:val="auto"/>
                <w:sz w:val="18"/>
                <w:szCs w:val="18"/>
                <w:highlight w:val="none"/>
              </w:rPr>
            </w:pPr>
          </w:p>
        </w:tc>
        <w:tc>
          <w:tcPr>
            <w:tcW w:w="1012" w:type="dxa"/>
            <w:vAlign w:val="center"/>
          </w:tcPr>
          <w:p w14:paraId="0200A0E5">
            <w:pPr>
              <w:spacing w:line="420" w:lineRule="exact"/>
              <w:jc w:val="center"/>
              <w:rPr>
                <w:rFonts w:ascii="宋体" w:hAnsi="宋体" w:cs="宋体"/>
                <w:strike/>
                <w:color w:val="auto"/>
                <w:sz w:val="18"/>
                <w:szCs w:val="18"/>
                <w:highlight w:val="none"/>
              </w:rPr>
            </w:pPr>
          </w:p>
        </w:tc>
        <w:tc>
          <w:tcPr>
            <w:tcW w:w="994" w:type="dxa"/>
            <w:vAlign w:val="center"/>
          </w:tcPr>
          <w:p w14:paraId="4AB01474">
            <w:pPr>
              <w:spacing w:line="420" w:lineRule="exact"/>
              <w:jc w:val="center"/>
              <w:rPr>
                <w:rFonts w:ascii="宋体" w:hAnsi="宋体" w:cs="宋体"/>
                <w:strike/>
                <w:color w:val="auto"/>
                <w:sz w:val="18"/>
                <w:szCs w:val="18"/>
                <w:highlight w:val="none"/>
              </w:rPr>
            </w:pPr>
          </w:p>
        </w:tc>
        <w:tc>
          <w:tcPr>
            <w:tcW w:w="1275" w:type="dxa"/>
            <w:vAlign w:val="center"/>
          </w:tcPr>
          <w:p w14:paraId="7A310A39">
            <w:pPr>
              <w:spacing w:line="420" w:lineRule="exact"/>
              <w:jc w:val="center"/>
              <w:rPr>
                <w:rFonts w:ascii="宋体" w:hAnsi="宋体" w:cs="宋体"/>
                <w:strike/>
                <w:color w:val="auto"/>
                <w:sz w:val="18"/>
                <w:szCs w:val="18"/>
                <w:highlight w:val="none"/>
              </w:rPr>
            </w:pPr>
          </w:p>
        </w:tc>
      </w:tr>
      <w:tr w14:paraId="308B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3161241B">
            <w:pPr>
              <w:spacing w:line="420" w:lineRule="exact"/>
              <w:jc w:val="center"/>
              <w:rPr>
                <w:rFonts w:ascii="宋体" w:hAnsi="宋体" w:cs="宋体"/>
                <w:strike/>
                <w:color w:val="auto"/>
                <w:sz w:val="18"/>
                <w:szCs w:val="18"/>
                <w:highlight w:val="none"/>
              </w:rPr>
            </w:pPr>
          </w:p>
        </w:tc>
        <w:tc>
          <w:tcPr>
            <w:tcW w:w="637" w:type="dxa"/>
          </w:tcPr>
          <w:p w14:paraId="507A3CFF">
            <w:pPr>
              <w:spacing w:line="420" w:lineRule="exact"/>
              <w:jc w:val="center"/>
              <w:rPr>
                <w:rFonts w:ascii="宋体" w:hAnsi="宋体" w:cs="宋体"/>
                <w:strike/>
                <w:color w:val="auto"/>
                <w:sz w:val="18"/>
                <w:szCs w:val="18"/>
                <w:highlight w:val="none"/>
              </w:rPr>
            </w:pPr>
          </w:p>
        </w:tc>
        <w:tc>
          <w:tcPr>
            <w:tcW w:w="1369" w:type="dxa"/>
            <w:vAlign w:val="center"/>
          </w:tcPr>
          <w:p w14:paraId="544C2993">
            <w:pPr>
              <w:spacing w:line="420" w:lineRule="exact"/>
              <w:jc w:val="center"/>
              <w:rPr>
                <w:rFonts w:ascii="宋体" w:hAnsi="宋体" w:cs="宋体"/>
                <w:strike/>
                <w:color w:val="auto"/>
                <w:sz w:val="18"/>
                <w:szCs w:val="18"/>
                <w:highlight w:val="none"/>
              </w:rPr>
            </w:pPr>
          </w:p>
        </w:tc>
        <w:tc>
          <w:tcPr>
            <w:tcW w:w="600" w:type="dxa"/>
            <w:vAlign w:val="center"/>
          </w:tcPr>
          <w:p w14:paraId="6007E6FA">
            <w:pPr>
              <w:spacing w:line="420" w:lineRule="exact"/>
              <w:jc w:val="center"/>
              <w:rPr>
                <w:rFonts w:ascii="宋体" w:hAnsi="宋体" w:cs="宋体"/>
                <w:strike/>
                <w:color w:val="auto"/>
                <w:sz w:val="18"/>
                <w:szCs w:val="18"/>
                <w:highlight w:val="none"/>
              </w:rPr>
            </w:pPr>
          </w:p>
        </w:tc>
        <w:tc>
          <w:tcPr>
            <w:tcW w:w="1031" w:type="dxa"/>
            <w:vAlign w:val="center"/>
          </w:tcPr>
          <w:p w14:paraId="29D5C5BE">
            <w:pPr>
              <w:spacing w:line="420" w:lineRule="exact"/>
              <w:jc w:val="center"/>
              <w:rPr>
                <w:rFonts w:ascii="宋体" w:hAnsi="宋体" w:cs="宋体"/>
                <w:strike/>
                <w:color w:val="auto"/>
                <w:sz w:val="18"/>
                <w:szCs w:val="18"/>
                <w:highlight w:val="none"/>
              </w:rPr>
            </w:pPr>
          </w:p>
        </w:tc>
        <w:tc>
          <w:tcPr>
            <w:tcW w:w="675" w:type="dxa"/>
            <w:vAlign w:val="center"/>
          </w:tcPr>
          <w:p w14:paraId="39969142">
            <w:pPr>
              <w:spacing w:line="420" w:lineRule="exact"/>
              <w:jc w:val="center"/>
              <w:rPr>
                <w:rFonts w:ascii="宋体" w:hAnsi="宋体" w:cs="宋体"/>
                <w:strike/>
                <w:color w:val="auto"/>
                <w:sz w:val="18"/>
                <w:szCs w:val="18"/>
                <w:highlight w:val="none"/>
              </w:rPr>
            </w:pPr>
          </w:p>
        </w:tc>
        <w:tc>
          <w:tcPr>
            <w:tcW w:w="844" w:type="dxa"/>
            <w:vAlign w:val="center"/>
          </w:tcPr>
          <w:p w14:paraId="023F4069">
            <w:pPr>
              <w:spacing w:line="420" w:lineRule="exact"/>
              <w:jc w:val="center"/>
              <w:rPr>
                <w:rFonts w:ascii="宋体" w:hAnsi="宋体" w:cs="宋体"/>
                <w:strike/>
                <w:color w:val="auto"/>
                <w:sz w:val="18"/>
                <w:szCs w:val="18"/>
                <w:highlight w:val="none"/>
              </w:rPr>
            </w:pPr>
          </w:p>
        </w:tc>
        <w:tc>
          <w:tcPr>
            <w:tcW w:w="1088" w:type="dxa"/>
            <w:vAlign w:val="center"/>
          </w:tcPr>
          <w:p w14:paraId="74F1E8D6">
            <w:pPr>
              <w:spacing w:line="420" w:lineRule="exact"/>
              <w:jc w:val="center"/>
              <w:rPr>
                <w:rFonts w:ascii="宋体" w:hAnsi="宋体" w:cs="宋体"/>
                <w:strike/>
                <w:color w:val="auto"/>
                <w:sz w:val="18"/>
                <w:szCs w:val="18"/>
                <w:highlight w:val="none"/>
              </w:rPr>
            </w:pPr>
          </w:p>
        </w:tc>
        <w:tc>
          <w:tcPr>
            <w:tcW w:w="1012" w:type="dxa"/>
            <w:vAlign w:val="center"/>
          </w:tcPr>
          <w:p w14:paraId="42131E05">
            <w:pPr>
              <w:spacing w:line="420" w:lineRule="exact"/>
              <w:jc w:val="center"/>
              <w:rPr>
                <w:rFonts w:ascii="宋体" w:hAnsi="宋体" w:cs="宋体"/>
                <w:strike/>
                <w:color w:val="auto"/>
                <w:sz w:val="18"/>
                <w:szCs w:val="18"/>
                <w:highlight w:val="none"/>
              </w:rPr>
            </w:pPr>
          </w:p>
        </w:tc>
        <w:tc>
          <w:tcPr>
            <w:tcW w:w="994" w:type="dxa"/>
            <w:vAlign w:val="center"/>
          </w:tcPr>
          <w:p w14:paraId="0C4ECA48">
            <w:pPr>
              <w:spacing w:line="420" w:lineRule="exact"/>
              <w:jc w:val="center"/>
              <w:rPr>
                <w:rFonts w:ascii="宋体" w:hAnsi="宋体" w:cs="宋体"/>
                <w:strike/>
                <w:color w:val="auto"/>
                <w:sz w:val="18"/>
                <w:szCs w:val="18"/>
                <w:highlight w:val="none"/>
              </w:rPr>
            </w:pPr>
          </w:p>
        </w:tc>
        <w:tc>
          <w:tcPr>
            <w:tcW w:w="1275" w:type="dxa"/>
            <w:vAlign w:val="center"/>
          </w:tcPr>
          <w:p w14:paraId="1B9AC8CC">
            <w:pPr>
              <w:spacing w:line="420" w:lineRule="exact"/>
              <w:jc w:val="center"/>
              <w:rPr>
                <w:rFonts w:ascii="宋体" w:hAnsi="宋体" w:cs="宋体"/>
                <w:strike/>
                <w:color w:val="auto"/>
                <w:sz w:val="18"/>
                <w:szCs w:val="18"/>
                <w:highlight w:val="none"/>
              </w:rPr>
            </w:pPr>
          </w:p>
        </w:tc>
      </w:tr>
      <w:tr w14:paraId="339A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38" w:type="dxa"/>
            <w:vAlign w:val="center"/>
          </w:tcPr>
          <w:p w14:paraId="61D8E0A4">
            <w:pPr>
              <w:spacing w:line="420" w:lineRule="exact"/>
              <w:jc w:val="center"/>
              <w:rPr>
                <w:rFonts w:ascii="宋体" w:hAnsi="宋体" w:cs="宋体"/>
                <w:strike/>
                <w:color w:val="auto"/>
                <w:sz w:val="18"/>
                <w:szCs w:val="18"/>
                <w:highlight w:val="none"/>
              </w:rPr>
            </w:pPr>
          </w:p>
        </w:tc>
        <w:tc>
          <w:tcPr>
            <w:tcW w:w="637" w:type="dxa"/>
          </w:tcPr>
          <w:p w14:paraId="5DBD007C">
            <w:pPr>
              <w:spacing w:line="420" w:lineRule="exact"/>
              <w:jc w:val="center"/>
              <w:rPr>
                <w:rFonts w:ascii="宋体" w:hAnsi="宋体" w:cs="宋体"/>
                <w:strike/>
                <w:color w:val="auto"/>
                <w:sz w:val="18"/>
                <w:szCs w:val="18"/>
                <w:highlight w:val="none"/>
              </w:rPr>
            </w:pPr>
          </w:p>
        </w:tc>
        <w:tc>
          <w:tcPr>
            <w:tcW w:w="1369" w:type="dxa"/>
            <w:vAlign w:val="center"/>
          </w:tcPr>
          <w:p w14:paraId="3FBB74FE">
            <w:pPr>
              <w:spacing w:line="420" w:lineRule="exact"/>
              <w:jc w:val="center"/>
              <w:rPr>
                <w:rFonts w:ascii="宋体" w:hAnsi="宋体" w:cs="宋体"/>
                <w:strike/>
                <w:color w:val="auto"/>
                <w:sz w:val="18"/>
                <w:szCs w:val="18"/>
                <w:highlight w:val="none"/>
              </w:rPr>
            </w:pPr>
          </w:p>
        </w:tc>
        <w:tc>
          <w:tcPr>
            <w:tcW w:w="600" w:type="dxa"/>
            <w:vAlign w:val="center"/>
          </w:tcPr>
          <w:p w14:paraId="1945BCA5">
            <w:pPr>
              <w:spacing w:line="420" w:lineRule="exact"/>
              <w:jc w:val="center"/>
              <w:rPr>
                <w:rFonts w:ascii="宋体" w:hAnsi="宋体" w:cs="宋体"/>
                <w:strike/>
                <w:color w:val="auto"/>
                <w:sz w:val="18"/>
                <w:szCs w:val="18"/>
                <w:highlight w:val="none"/>
              </w:rPr>
            </w:pPr>
          </w:p>
        </w:tc>
        <w:tc>
          <w:tcPr>
            <w:tcW w:w="1031" w:type="dxa"/>
            <w:vAlign w:val="center"/>
          </w:tcPr>
          <w:p w14:paraId="080AD1D3">
            <w:pPr>
              <w:spacing w:line="420" w:lineRule="exact"/>
              <w:jc w:val="center"/>
              <w:rPr>
                <w:rFonts w:ascii="宋体" w:hAnsi="宋体" w:cs="宋体"/>
                <w:strike/>
                <w:color w:val="auto"/>
                <w:sz w:val="18"/>
                <w:szCs w:val="18"/>
                <w:highlight w:val="none"/>
              </w:rPr>
            </w:pPr>
          </w:p>
        </w:tc>
        <w:tc>
          <w:tcPr>
            <w:tcW w:w="675" w:type="dxa"/>
            <w:vAlign w:val="center"/>
          </w:tcPr>
          <w:p w14:paraId="246E8B30">
            <w:pPr>
              <w:spacing w:line="420" w:lineRule="exact"/>
              <w:jc w:val="center"/>
              <w:rPr>
                <w:rFonts w:ascii="宋体" w:hAnsi="宋体" w:cs="宋体"/>
                <w:strike/>
                <w:color w:val="auto"/>
                <w:sz w:val="18"/>
                <w:szCs w:val="18"/>
                <w:highlight w:val="none"/>
              </w:rPr>
            </w:pPr>
          </w:p>
        </w:tc>
        <w:tc>
          <w:tcPr>
            <w:tcW w:w="844" w:type="dxa"/>
            <w:vAlign w:val="center"/>
          </w:tcPr>
          <w:p w14:paraId="181B3691">
            <w:pPr>
              <w:spacing w:line="420" w:lineRule="exact"/>
              <w:jc w:val="center"/>
              <w:rPr>
                <w:rFonts w:ascii="宋体" w:hAnsi="宋体" w:cs="宋体"/>
                <w:strike/>
                <w:color w:val="auto"/>
                <w:sz w:val="18"/>
                <w:szCs w:val="18"/>
                <w:highlight w:val="none"/>
              </w:rPr>
            </w:pPr>
          </w:p>
        </w:tc>
        <w:tc>
          <w:tcPr>
            <w:tcW w:w="1088" w:type="dxa"/>
            <w:vAlign w:val="center"/>
          </w:tcPr>
          <w:p w14:paraId="259246D2">
            <w:pPr>
              <w:spacing w:line="420" w:lineRule="exact"/>
              <w:jc w:val="center"/>
              <w:rPr>
                <w:rFonts w:ascii="宋体" w:hAnsi="宋体" w:cs="宋体"/>
                <w:strike/>
                <w:color w:val="auto"/>
                <w:sz w:val="18"/>
                <w:szCs w:val="18"/>
                <w:highlight w:val="none"/>
              </w:rPr>
            </w:pPr>
          </w:p>
        </w:tc>
        <w:tc>
          <w:tcPr>
            <w:tcW w:w="1012" w:type="dxa"/>
            <w:vAlign w:val="center"/>
          </w:tcPr>
          <w:p w14:paraId="6D7ABCAF">
            <w:pPr>
              <w:spacing w:line="420" w:lineRule="exact"/>
              <w:jc w:val="center"/>
              <w:rPr>
                <w:rFonts w:ascii="宋体" w:hAnsi="宋体" w:cs="宋体"/>
                <w:strike/>
                <w:color w:val="auto"/>
                <w:sz w:val="18"/>
                <w:szCs w:val="18"/>
                <w:highlight w:val="none"/>
              </w:rPr>
            </w:pPr>
          </w:p>
        </w:tc>
        <w:tc>
          <w:tcPr>
            <w:tcW w:w="994" w:type="dxa"/>
            <w:vAlign w:val="center"/>
          </w:tcPr>
          <w:p w14:paraId="0E76A0B0">
            <w:pPr>
              <w:spacing w:line="420" w:lineRule="exact"/>
              <w:jc w:val="center"/>
              <w:rPr>
                <w:rFonts w:ascii="宋体" w:hAnsi="宋体" w:cs="宋体"/>
                <w:strike/>
                <w:color w:val="auto"/>
                <w:sz w:val="18"/>
                <w:szCs w:val="18"/>
                <w:highlight w:val="none"/>
              </w:rPr>
            </w:pPr>
          </w:p>
        </w:tc>
        <w:tc>
          <w:tcPr>
            <w:tcW w:w="1275" w:type="dxa"/>
            <w:vAlign w:val="center"/>
          </w:tcPr>
          <w:p w14:paraId="5AB0C0E4">
            <w:pPr>
              <w:spacing w:line="420" w:lineRule="exact"/>
              <w:jc w:val="center"/>
              <w:rPr>
                <w:rFonts w:ascii="宋体" w:hAnsi="宋体" w:cs="宋体"/>
                <w:strike/>
                <w:color w:val="auto"/>
                <w:sz w:val="18"/>
                <w:szCs w:val="18"/>
                <w:highlight w:val="none"/>
              </w:rPr>
            </w:pPr>
          </w:p>
        </w:tc>
      </w:tr>
      <w:tr w14:paraId="4FB4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38" w:type="dxa"/>
            <w:vAlign w:val="center"/>
          </w:tcPr>
          <w:p w14:paraId="54C1E130">
            <w:pPr>
              <w:spacing w:line="420" w:lineRule="exact"/>
              <w:jc w:val="center"/>
              <w:rPr>
                <w:rFonts w:ascii="宋体" w:hAnsi="宋体" w:cs="宋体"/>
                <w:strike/>
                <w:color w:val="auto"/>
                <w:sz w:val="18"/>
                <w:szCs w:val="18"/>
                <w:highlight w:val="none"/>
              </w:rPr>
            </w:pPr>
          </w:p>
        </w:tc>
        <w:tc>
          <w:tcPr>
            <w:tcW w:w="637" w:type="dxa"/>
          </w:tcPr>
          <w:p w14:paraId="594F5116">
            <w:pPr>
              <w:spacing w:line="420" w:lineRule="exact"/>
              <w:jc w:val="center"/>
              <w:rPr>
                <w:rFonts w:ascii="宋体" w:hAnsi="宋体" w:cs="宋体"/>
                <w:strike/>
                <w:color w:val="auto"/>
                <w:sz w:val="18"/>
                <w:szCs w:val="18"/>
                <w:highlight w:val="none"/>
              </w:rPr>
            </w:pPr>
          </w:p>
        </w:tc>
        <w:tc>
          <w:tcPr>
            <w:tcW w:w="1369" w:type="dxa"/>
            <w:vAlign w:val="center"/>
          </w:tcPr>
          <w:p w14:paraId="3B98FA42">
            <w:pPr>
              <w:spacing w:line="420" w:lineRule="exact"/>
              <w:jc w:val="center"/>
              <w:rPr>
                <w:rFonts w:ascii="宋体" w:hAnsi="宋体" w:cs="宋体"/>
                <w:strike/>
                <w:color w:val="auto"/>
                <w:sz w:val="18"/>
                <w:szCs w:val="18"/>
                <w:highlight w:val="none"/>
              </w:rPr>
            </w:pPr>
          </w:p>
        </w:tc>
        <w:tc>
          <w:tcPr>
            <w:tcW w:w="600" w:type="dxa"/>
            <w:vAlign w:val="center"/>
          </w:tcPr>
          <w:p w14:paraId="5E3210BA">
            <w:pPr>
              <w:spacing w:line="420" w:lineRule="exact"/>
              <w:jc w:val="center"/>
              <w:rPr>
                <w:rFonts w:ascii="宋体" w:hAnsi="宋体" w:cs="宋体"/>
                <w:strike/>
                <w:color w:val="auto"/>
                <w:sz w:val="18"/>
                <w:szCs w:val="18"/>
                <w:highlight w:val="none"/>
              </w:rPr>
            </w:pPr>
          </w:p>
        </w:tc>
        <w:tc>
          <w:tcPr>
            <w:tcW w:w="1031" w:type="dxa"/>
            <w:vAlign w:val="center"/>
          </w:tcPr>
          <w:p w14:paraId="018F3AD3">
            <w:pPr>
              <w:spacing w:line="420" w:lineRule="exact"/>
              <w:jc w:val="center"/>
              <w:rPr>
                <w:rFonts w:ascii="宋体" w:hAnsi="宋体" w:cs="宋体"/>
                <w:strike/>
                <w:color w:val="auto"/>
                <w:sz w:val="18"/>
                <w:szCs w:val="18"/>
                <w:highlight w:val="none"/>
              </w:rPr>
            </w:pPr>
          </w:p>
        </w:tc>
        <w:tc>
          <w:tcPr>
            <w:tcW w:w="675" w:type="dxa"/>
            <w:vAlign w:val="center"/>
          </w:tcPr>
          <w:p w14:paraId="3A143871">
            <w:pPr>
              <w:spacing w:line="420" w:lineRule="exact"/>
              <w:jc w:val="center"/>
              <w:rPr>
                <w:rFonts w:ascii="宋体" w:hAnsi="宋体" w:cs="宋体"/>
                <w:strike/>
                <w:color w:val="auto"/>
                <w:sz w:val="18"/>
                <w:szCs w:val="18"/>
                <w:highlight w:val="none"/>
              </w:rPr>
            </w:pPr>
          </w:p>
        </w:tc>
        <w:tc>
          <w:tcPr>
            <w:tcW w:w="844" w:type="dxa"/>
            <w:vAlign w:val="center"/>
          </w:tcPr>
          <w:p w14:paraId="45F8F08C">
            <w:pPr>
              <w:spacing w:line="420" w:lineRule="exact"/>
              <w:jc w:val="center"/>
              <w:rPr>
                <w:rFonts w:ascii="宋体" w:hAnsi="宋体" w:cs="宋体"/>
                <w:strike/>
                <w:color w:val="auto"/>
                <w:sz w:val="18"/>
                <w:szCs w:val="18"/>
                <w:highlight w:val="none"/>
              </w:rPr>
            </w:pPr>
          </w:p>
        </w:tc>
        <w:tc>
          <w:tcPr>
            <w:tcW w:w="1088" w:type="dxa"/>
            <w:vAlign w:val="center"/>
          </w:tcPr>
          <w:p w14:paraId="7F6605EE">
            <w:pPr>
              <w:spacing w:line="420" w:lineRule="exact"/>
              <w:jc w:val="center"/>
              <w:rPr>
                <w:rFonts w:ascii="宋体" w:hAnsi="宋体" w:cs="宋体"/>
                <w:strike/>
                <w:color w:val="auto"/>
                <w:sz w:val="18"/>
                <w:szCs w:val="18"/>
                <w:highlight w:val="none"/>
              </w:rPr>
            </w:pPr>
          </w:p>
        </w:tc>
        <w:tc>
          <w:tcPr>
            <w:tcW w:w="1012" w:type="dxa"/>
            <w:vAlign w:val="center"/>
          </w:tcPr>
          <w:p w14:paraId="29C8DE1D">
            <w:pPr>
              <w:spacing w:line="420" w:lineRule="exact"/>
              <w:jc w:val="center"/>
              <w:rPr>
                <w:rFonts w:ascii="宋体" w:hAnsi="宋体" w:cs="宋体"/>
                <w:strike/>
                <w:color w:val="auto"/>
                <w:sz w:val="18"/>
                <w:szCs w:val="18"/>
                <w:highlight w:val="none"/>
              </w:rPr>
            </w:pPr>
          </w:p>
        </w:tc>
        <w:tc>
          <w:tcPr>
            <w:tcW w:w="994" w:type="dxa"/>
            <w:vAlign w:val="center"/>
          </w:tcPr>
          <w:p w14:paraId="386308FC">
            <w:pPr>
              <w:spacing w:line="420" w:lineRule="exact"/>
              <w:jc w:val="center"/>
              <w:rPr>
                <w:rFonts w:ascii="宋体" w:hAnsi="宋体" w:cs="宋体"/>
                <w:strike/>
                <w:color w:val="auto"/>
                <w:sz w:val="18"/>
                <w:szCs w:val="18"/>
                <w:highlight w:val="none"/>
              </w:rPr>
            </w:pPr>
          </w:p>
        </w:tc>
        <w:tc>
          <w:tcPr>
            <w:tcW w:w="1275" w:type="dxa"/>
            <w:vAlign w:val="center"/>
          </w:tcPr>
          <w:p w14:paraId="10DB0136">
            <w:pPr>
              <w:spacing w:line="420" w:lineRule="exact"/>
              <w:jc w:val="center"/>
              <w:rPr>
                <w:rFonts w:ascii="宋体" w:hAnsi="宋体" w:cs="宋体"/>
                <w:strike/>
                <w:color w:val="auto"/>
                <w:sz w:val="18"/>
                <w:szCs w:val="18"/>
                <w:highlight w:val="none"/>
              </w:rPr>
            </w:pPr>
          </w:p>
        </w:tc>
      </w:tr>
    </w:tbl>
    <w:p w14:paraId="73E38288">
      <w:pPr>
        <w:spacing w:line="420" w:lineRule="exact"/>
        <w:jc w:val="left"/>
        <w:rPr>
          <w:rFonts w:ascii="宋体" w:hAnsi="宋体" w:cs="宋体"/>
          <w:strike/>
          <w:color w:val="auto"/>
          <w:sz w:val="22"/>
          <w:szCs w:val="22"/>
          <w:highlight w:val="none"/>
        </w:rPr>
      </w:pPr>
      <w:r>
        <w:rPr>
          <w:rFonts w:hint="eastAsia" w:ascii="宋体" w:hAnsi="宋体" w:cs="宋体"/>
          <w:strike/>
          <w:color w:val="auto"/>
          <w:sz w:val="22"/>
          <w:szCs w:val="22"/>
          <w:highlight w:val="none"/>
        </w:rPr>
        <w:t>填表：      复核：     批准：       单位（章）　　　日期：  　　年 　　月 　　日</w:t>
      </w:r>
    </w:p>
    <w:permEnd w:id="429"/>
    <w:p w14:paraId="4D837B69">
      <w:pPr>
        <w:spacing w:line="420" w:lineRule="exact"/>
        <w:rPr>
          <w:rFonts w:ascii="宋体" w:hAnsi="宋体" w:cs="宋体"/>
          <w:strike/>
          <w:color w:val="auto"/>
          <w:sz w:val="22"/>
          <w:szCs w:val="22"/>
          <w:highlight w:val="none"/>
        </w:rPr>
      </w:pPr>
    </w:p>
    <w:p w14:paraId="71BA1425">
      <w:pPr>
        <w:widowControl/>
        <w:spacing w:afterAutospacing="1" w:line="420" w:lineRule="exact"/>
        <w:jc w:val="left"/>
        <w:rPr>
          <w:rFonts w:ascii="宋体" w:hAnsi="宋体" w:cs="宋体"/>
          <w:b/>
          <w:bCs/>
          <w:strike/>
          <w:color w:val="auto"/>
          <w:kern w:val="0"/>
          <w:sz w:val="22"/>
          <w:szCs w:val="22"/>
          <w:highlight w:val="none"/>
        </w:rPr>
        <w:sectPr>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502B1600">
      <w:pPr>
        <w:spacing w:line="420" w:lineRule="exact"/>
        <w:outlineLvl w:val="1"/>
        <w:rPr>
          <w:rFonts w:hint="eastAsia" w:ascii="黑体" w:hAnsi="黑体" w:eastAsia="黑体" w:cs="黑体"/>
          <w:b w:val="0"/>
          <w:bCs w:val="0"/>
          <w:color w:val="auto"/>
          <w:sz w:val="24"/>
          <w:szCs w:val="24"/>
          <w:highlight w:val="none"/>
          <w:lang w:val="en-US" w:eastAsia="zh-CN"/>
        </w:rPr>
      </w:pPr>
      <w:permStart w:id="430" w:edGrp="everyone"/>
      <w:bookmarkStart w:id="721" w:name="_Toc469384141"/>
      <w:bookmarkStart w:id="722" w:name="_Toc266892925"/>
      <w:bookmarkStart w:id="723" w:name="_Toc10624985"/>
      <w:r>
        <w:rPr>
          <w:rFonts w:hint="eastAsia" w:ascii="黑体" w:hAnsi="黑体" w:eastAsia="黑体" w:cs="黑体"/>
          <w:b w:val="0"/>
          <w:bCs w:val="0"/>
          <w:color w:val="auto"/>
          <w:sz w:val="24"/>
          <w:szCs w:val="24"/>
          <w:highlight w:val="none"/>
        </w:rPr>
        <w:t>附件</w:t>
      </w:r>
      <w:bookmarkEnd w:id="721"/>
      <w:bookmarkEnd w:id="722"/>
      <w:bookmarkEnd w:id="723"/>
      <w:r>
        <w:rPr>
          <w:rFonts w:hint="eastAsia" w:ascii="黑体" w:hAnsi="黑体" w:eastAsia="黑体" w:cs="黑体"/>
          <w:b w:val="0"/>
          <w:bCs w:val="0"/>
          <w:color w:val="auto"/>
          <w:sz w:val="24"/>
          <w:szCs w:val="24"/>
          <w:highlight w:val="none"/>
          <w:lang w:val="en-US" w:eastAsia="zh-CN"/>
        </w:rPr>
        <w:t>4</w:t>
      </w:r>
    </w:p>
    <w:permEnd w:id="430"/>
    <w:p w14:paraId="0FF17D7A">
      <w:pPr>
        <w:spacing w:line="420" w:lineRule="exact"/>
        <w:rPr>
          <w:rFonts w:ascii="宋体" w:hAnsi="宋体" w:cs="宋体"/>
          <w:color w:val="auto"/>
          <w:sz w:val="22"/>
          <w:szCs w:val="22"/>
          <w:highlight w:val="none"/>
        </w:rPr>
      </w:pPr>
    </w:p>
    <w:p w14:paraId="55A9AD33">
      <w:pPr>
        <w:adjustRightInd w:val="0"/>
        <w:snapToGrid w:val="0"/>
        <w:spacing w:line="420" w:lineRule="exact"/>
        <w:jc w:val="center"/>
        <w:rPr>
          <w:rFonts w:hint="eastAsia" w:ascii="方正小标宋简体" w:hAnsi="方正小标宋简体" w:eastAsia="方正小标宋简体" w:cs="方正小标宋简体"/>
          <w:b w:val="0"/>
          <w:bCs w:val="0"/>
          <w:color w:val="auto"/>
          <w:spacing w:val="32"/>
          <w:sz w:val="32"/>
          <w:szCs w:val="32"/>
          <w:highlight w:val="none"/>
        </w:rPr>
      </w:pPr>
      <w:r>
        <w:rPr>
          <w:rFonts w:hint="eastAsia" w:ascii="方正小标宋简体" w:hAnsi="方正小标宋简体" w:eastAsia="方正小标宋简体" w:cs="方正小标宋简体"/>
          <w:b w:val="0"/>
          <w:bCs w:val="0"/>
          <w:color w:val="auto"/>
          <w:spacing w:val="32"/>
          <w:sz w:val="32"/>
          <w:szCs w:val="32"/>
          <w:highlight w:val="none"/>
        </w:rPr>
        <w:t>工程质量保修书</w:t>
      </w:r>
    </w:p>
    <w:p w14:paraId="73574B5E">
      <w:pPr>
        <w:adjustRightInd w:val="0"/>
        <w:snapToGrid w:val="0"/>
        <w:spacing w:line="420" w:lineRule="exact"/>
        <w:rPr>
          <w:rFonts w:ascii="宋体" w:hAnsi="宋体" w:cs="宋体"/>
          <w:color w:val="auto"/>
          <w:sz w:val="22"/>
          <w:szCs w:val="22"/>
          <w:highlight w:val="none"/>
        </w:rPr>
      </w:pPr>
    </w:p>
    <w:p w14:paraId="159051DF">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发包人：（全称）</w:t>
      </w:r>
      <w:permStart w:id="43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广州市自来水有限公司</w:t>
      </w:r>
      <w:r>
        <w:rPr>
          <w:rFonts w:hint="eastAsia" w:ascii="仿宋_GB2312" w:hAnsi="仿宋_GB2312" w:eastAsia="仿宋_GB2312" w:cs="仿宋_GB2312"/>
          <w:color w:val="auto"/>
          <w:sz w:val="24"/>
          <w:szCs w:val="24"/>
          <w:highlight w:val="none"/>
          <w:u w:val="single"/>
        </w:rPr>
        <w:t xml:space="preserve">  </w:t>
      </w:r>
      <w:permEnd w:id="431"/>
    </w:p>
    <w:p w14:paraId="6E16C25B">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承包人：（全称）</w:t>
      </w:r>
      <w:permStart w:id="432" w:edGrp="everyone"/>
      <w:r>
        <w:rPr>
          <w:rFonts w:hint="eastAsia" w:ascii="仿宋_GB2312" w:hAnsi="仿宋_GB2312" w:eastAsia="仿宋_GB2312" w:cs="仿宋_GB2312"/>
          <w:color w:val="auto"/>
          <w:sz w:val="24"/>
          <w:szCs w:val="24"/>
          <w:highlight w:val="none"/>
          <w:u w:val="single"/>
        </w:rPr>
        <w:t xml:space="preserve">                            </w:t>
      </w:r>
      <w:permEnd w:id="432"/>
    </w:p>
    <w:p w14:paraId="70B8CCCA">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为保证 </w:t>
      </w:r>
      <w:permStart w:id="433"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车陂</w:t>
      </w:r>
      <w:r>
        <w:rPr>
          <w:rFonts w:hint="eastAsia" w:ascii="仿宋_GB2312" w:hAnsi="仿宋_GB2312" w:eastAsia="仿宋_GB2312" w:cs="仿宋_GB2312"/>
          <w:color w:val="auto"/>
          <w:sz w:val="24"/>
          <w:szCs w:val="24"/>
          <w:highlight w:val="none"/>
          <w:u w:val="single"/>
        </w:rPr>
        <w:t>加压站复建工程第二阶段(附属设施用房)</w:t>
      </w:r>
      <w:r>
        <w:rPr>
          <w:rFonts w:hint="eastAsia" w:ascii="仿宋_GB2312" w:hAnsi="仿宋_GB2312" w:eastAsia="仿宋_GB2312" w:cs="仿宋_GB2312"/>
          <w:color w:val="auto"/>
          <w:sz w:val="24"/>
          <w:szCs w:val="24"/>
          <w:highlight w:val="none"/>
          <w:u w:val="single"/>
          <w:lang w:val="en-US" w:eastAsia="zh-CN"/>
        </w:rPr>
        <w:t>施工总承包</w:t>
      </w:r>
      <w:r>
        <w:rPr>
          <w:rFonts w:hint="eastAsia" w:ascii="仿宋_GB2312" w:hAnsi="仿宋_GB2312" w:eastAsia="仿宋_GB2312" w:cs="仿宋_GB2312"/>
          <w:color w:val="auto"/>
          <w:sz w:val="24"/>
          <w:szCs w:val="24"/>
          <w:highlight w:val="none"/>
          <w:u w:val="single"/>
        </w:rPr>
        <w:t xml:space="preserve"> </w:t>
      </w:r>
      <w:permEnd w:id="433"/>
      <w:r>
        <w:rPr>
          <w:rFonts w:hint="eastAsia" w:ascii="仿宋_GB2312" w:hAnsi="仿宋_GB2312" w:eastAsia="仿宋_GB2312" w:cs="仿宋_GB2312"/>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14:paraId="41140659">
      <w:pPr>
        <w:numPr>
          <w:ilvl w:val="0"/>
          <w:numId w:val="15"/>
        </w:numPr>
        <w:adjustRightInd w:val="0"/>
        <w:snapToGrid w:val="0"/>
        <w:spacing w:line="420" w:lineRule="exact"/>
        <w:ind w:left="902" w:leftChars="200" w:hanging="482"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质量保修范围</w:t>
      </w:r>
    </w:p>
    <w:p w14:paraId="77FF3DDA">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667732BD">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ermStart w:id="434" w:edGrp="everyone"/>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即承包人施工的本工程范围</w:t>
      </w:r>
      <w:r>
        <w:rPr>
          <w:rFonts w:hint="eastAsia" w:ascii="仿宋_GB2312" w:hAnsi="仿宋_GB2312" w:eastAsia="仿宋_GB2312" w:cs="仿宋_GB2312"/>
          <w:color w:val="auto"/>
          <w:sz w:val="24"/>
          <w:szCs w:val="24"/>
          <w:highlight w:val="none"/>
        </w:rPr>
        <w:t xml:space="preserve"> </w:t>
      </w:r>
      <w:permEnd w:id="434"/>
      <w:r>
        <w:rPr>
          <w:rFonts w:hint="eastAsia" w:ascii="仿宋_GB2312" w:hAnsi="仿宋_GB2312" w:eastAsia="仿宋_GB2312" w:cs="仿宋_GB2312"/>
          <w:color w:val="auto"/>
          <w:sz w:val="24"/>
          <w:szCs w:val="24"/>
          <w:highlight w:val="none"/>
        </w:rPr>
        <w:t xml:space="preserve">      </w:t>
      </w:r>
    </w:p>
    <w:p w14:paraId="232D72C3">
      <w:pPr>
        <w:numPr>
          <w:ilvl w:val="0"/>
          <w:numId w:val="15"/>
        </w:numPr>
        <w:adjustRightInd w:val="0"/>
        <w:snapToGrid w:val="0"/>
        <w:spacing w:line="420" w:lineRule="exact"/>
        <w:ind w:left="902" w:leftChars="200" w:hanging="482"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质量保修期</w:t>
      </w:r>
    </w:p>
    <w:p w14:paraId="757CF178">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 质量保修期从工程实际竣工之日算起。单项竣工验收的工程，按单项工程分别计算质量保修期。</w:t>
      </w:r>
    </w:p>
    <w:p w14:paraId="42F95674">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2.2 </w:t>
      </w:r>
      <w:r>
        <w:rPr>
          <w:rFonts w:hint="eastAsia" w:ascii="仿宋_GB2312" w:hAnsi="仿宋_GB2312" w:eastAsia="仿宋_GB2312" w:cs="仿宋_GB2312"/>
          <w:color w:val="auto"/>
          <w:kern w:val="0"/>
          <w:sz w:val="24"/>
          <w:szCs w:val="24"/>
          <w:highlight w:val="none"/>
          <w:lang w:val="zh-CN"/>
        </w:rPr>
        <w:t>合同工程质量保修期，合同双方当事人约定如下</w:t>
      </w:r>
      <w:r>
        <w:rPr>
          <w:rFonts w:hint="eastAsia" w:ascii="仿宋_GB2312" w:hAnsi="仿宋_GB2312" w:eastAsia="仿宋_GB2312" w:cs="仿宋_GB2312"/>
          <w:color w:val="auto"/>
          <w:sz w:val="24"/>
          <w:szCs w:val="24"/>
          <w:highlight w:val="none"/>
        </w:rPr>
        <w:t>：</w:t>
      </w:r>
    </w:p>
    <w:p w14:paraId="232CE2CA">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1．地基基础工程、主体结构工程为设计文件规定的合理使用年限；</w:t>
      </w:r>
    </w:p>
    <w:p w14:paraId="02CF6E1E">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2．屋面防水工程、有防水要求的卫生间、房间和外墙面的防渗漏工程为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5</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p>
    <w:p w14:paraId="06F362EA">
      <w:pPr>
        <w:adjustRightInd w:val="0"/>
        <w:snapToGrid w:val="0"/>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3．电气管线工程、给排水管道工程、设备安装工程为</w:t>
      </w:r>
      <w:permStart w:id="435"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u w:val="single"/>
        </w:rPr>
        <w:t xml:space="preserve">     </w:t>
      </w:r>
      <w:permEnd w:id="435"/>
      <w:r>
        <w:rPr>
          <w:rFonts w:hint="eastAsia" w:ascii="仿宋_GB2312" w:hAnsi="仿宋_GB2312" w:eastAsia="仿宋_GB2312" w:cs="仿宋_GB2312"/>
          <w:color w:val="auto"/>
          <w:sz w:val="24"/>
          <w:szCs w:val="24"/>
          <w:highlight w:val="none"/>
        </w:rPr>
        <w:t>年；</w:t>
      </w:r>
    </w:p>
    <w:p w14:paraId="5E6DED03">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4．供热、供冷系统工程为</w:t>
      </w:r>
      <w:permStart w:id="436" w:edGrp="everyone"/>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u w:val="single"/>
        </w:rPr>
        <w:t xml:space="preserve">   </w:t>
      </w:r>
      <w:permEnd w:id="436"/>
      <w:r>
        <w:rPr>
          <w:rFonts w:hint="eastAsia" w:ascii="仿宋_GB2312" w:hAnsi="仿宋_GB2312" w:eastAsia="仿宋_GB2312" w:cs="仿宋_GB2312"/>
          <w:color w:val="auto"/>
          <w:sz w:val="24"/>
          <w:szCs w:val="24"/>
          <w:highlight w:val="none"/>
        </w:rPr>
        <w:t>个采暖期、供冷期；</w:t>
      </w:r>
    </w:p>
    <w:p w14:paraId="747B113D">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5．装饰装修工程为</w:t>
      </w:r>
      <w:permStart w:id="437"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u w:val="single"/>
        </w:rPr>
        <w:t xml:space="preserve">    </w:t>
      </w:r>
      <w:permEnd w:id="437"/>
      <w:r>
        <w:rPr>
          <w:rFonts w:hint="eastAsia" w:ascii="仿宋_GB2312" w:hAnsi="仿宋_GB2312" w:eastAsia="仿宋_GB2312" w:cs="仿宋_GB2312"/>
          <w:color w:val="auto"/>
          <w:sz w:val="24"/>
          <w:szCs w:val="24"/>
          <w:highlight w:val="none"/>
        </w:rPr>
        <w:t>年；</w:t>
      </w:r>
    </w:p>
    <w:p w14:paraId="59B792F3">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6．其他项目</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218B1B48">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 </w:t>
      </w:r>
      <w:r>
        <w:rPr>
          <w:rFonts w:hint="eastAsia" w:ascii="仿宋_GB2312" w:hAnsi="仿宋_GB2312" w:eastAsia="仿宋_GB2312" w:cs="仿宋_GB2312"/>
          <w:b/>
          <w:bCs/>
          <w:color w:val="auto"/>
          <w:sz w:val="24"/>
          <w:szCs w:val="24"/>
          <w:highlight w:val="none"/>
        </w:rPr>
        <w:t>质量保修责任</w:t>
      </w:r>
    </w:p>
    <w:p w14:paraId="1B6A57A5">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3.1  </w:t>
      </w:r>
      <w:r>
        <w:rPr>
          <w:rFonts w:hint="eastAsia" w:ascii="仿宋_GB2312" w:hAnsi="仿宋_GB2312" w:eastAsia="仿宋_GB2312" w:cs="仿宋_GB2312"/>
          <w:color w:val="auto"/>
          <w:kern w:val="0"/>
          <w:sz w:val="24"/>
          <w:szCs w:val="24"/>
          <w:highlight w:val="none"/>
          <w:lang w:val="zh-CN"/>
        </w:rPr>
        <w:t>属于保修范围的项目，承包人应在接到发包人通知后的</w:t>
      </w:r>
      <w:r>
        <w:rPr>
          <w:rFonts w:hint="eastAsia" w:ascii="仿宋_GB2312" w:hAnsi="仿宋_GB2312" w:eastAsia="仿宋_GB2312" w:cs="仿宋_GB2312"/>
          <w:color w:val="auto"/>
          <w:kern w:val="0"/>
          <w:sz w:val="24"/>
          <w:szCs w:val="24"/>
          <w:highlight w:val="none"/>
        </w:rPr>
        <w:t xml:space="preserve"> 7 </w:t>
      </w:r>
      <w:r>
        <w:rPr>
          <w:rFonts w:hint="eastAsia" w:ascii="仿宋_GB2312" w:hAnsi="仿宋_GB2312" w:eastAsia="仿宋_GB2312" w:cs="仿宋_GB2312"/>
          <w:color w:val="auto"/>
          <w:kern w:val="0"/>
          <w:sz w:val="24"/>
          <w:szCs w:val="24"/>
          <w:highlight w:val="none"/>
          <w:lang w:val="zh-CN"/>
        </w:rPr>
        <w:t>天内派人保修。承包人未能在规定时间内派人保修的，发包人可自行或委托第三方保修</w:t>
      </w:r>
      <w:r>
        <w:rPr>
          <w:rFonts w:hint="eastAsia" w:ascii="仿宋_GB2312" w:hAnsi="仿宋_GB2312" w:eastAsia="仿宋_GB2312" w:cs="仿宋_GB2312"/>
          <w:color w:val="auto"/>
          <w:sz w:val="24"/>
          <w:szCs w:val="24"/>
          <w:highlight w:val="none"/>
        </w:rPr>
        <w:t>。</w:t>
      </w:r>
    </w:p>
    <w:p w14:paraId="5F4BEE35">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  发生紧急抢修事故的，承包人在接到通知后，应立即到达事故现场抢修。</w:t>
      </w:r>
    </w:p>
    <w:p w14:paraId="77115135">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  在国家规定的工程合理使用期限内，承包人应确保地基基础工程和主体结构的质量和安全。凡出现其质量问题，应立即报告当地建设行政主管部门，经设计人提出保修方案后，承包人应立即实施保修。</w:t>
      </w:r>
    </w:p>
    <w:p w14:paraId="4B5E4082">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  质量保修完成后，由发包人组织验收。</w:t>
      </w:r>
    </w:p>
    <w:p w14:paraId="3B9DB029">
      <w:pPr>
        <w:adjustRightInd w:val="0"/>
        <w:snapToGrid w:val="0"/>
        <w:spacing w:line="420" w:lineRule="exact"/>
        <w:ind w:left="48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b/>
          <w:bCs/>
          <w:color w:val="auto"/>
          <w:sz w:val="24"/>
          <w:szCs w:val="24"/>
          <w:highlight w:val="none"/>
        </w:rPr>
        <w:t>质量保修费用</w:t>
      </w:r>
    </w:p>
    <w:p w14:paraId="3A25332A">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zh-CN"/>
        </w:rPr>
        <w:t>质量保修等费用，由责任方承担</w:t>
      </w:r>
      <w:r>
        <w:rPr>
          <w:rFonts w:hint="eastAsia" w:ascii="仿宋_GB2312" w:hAnsi="仿宋_GB2312" w:eastAsia="仿宋_GB2312" w:cs="仿宋_GB2312"/>
          <w:color w:val="auto"/>
          <w:sz w:val="24"/>
          <w:szCs w:val="24"/>
          <w:highlight w:val="none"/>
        </w:rPr>
        <w:t>。</w:t>
      </w:r>
    </w:p>
    <w:p w14:paraId="45928967">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b/>
          <w:bCs/>
          <w:color w:val="auto"/>
          <w:sz w:val="24"/>
          <w:szCs w:val="24"/>
          <w:highlight w:val="none"/>
        </w:rPr>
        <w:t>质量保证金</w:t>
      </w:r>
    </w:p>
    <w:p w14:paraId="73BE475C">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zh-CN"/>
        </w:rPr>
        <w:t>质量保证金的约定、支付和使用与本合同第二部分《通用条款》第</w:t>
      </w:r>
      <w:r>
        <w:rPr>
          <w:rFonts w:hint="eastAsia" w:ascii="仿宋_GB2312" w:hAnsi="仿宋_GB2312" w:eastAsia="仿宋_GB2312" w:cs="仿宋_GB2312"/>
          <w:color w:val="auto"/>
          <w:kern w:val="0"/>
          <w:sz w:val="24"/>
          <w:szCs w:val="24"/>
          <w:highlight w:val="none"/>
        </w:rPr>
        <w:t xml:space="preserve"> 84 </w:t>
      </w:r>
      <w:r>
        <w:rPr>
          <w:rFonts w:hint="eastAsia" w:ascii="仿宋_GB2312" w:hAnsi="仿宋_GB2312" w:eastAsia="仿宋_GB2312" w:cs="仿宋_GB2312"/>
          <w:color w:val="auto"/>
          <w:kern w:val="0"/>
          <w:sz w:val="24"/>
          <w:szCs w:val="24"/>
          <w:highlight w:val="none"/>
          <w:lang w:val="zh-CN"/>
        </w:rPr>
        <w:t>条赋予的规</w:t>
      </w:r>
      <w:r>
        <w:rPr>
          <w:rFonts w:hint="eastAsia" w:ascii="仿宋_GB2312" w:hAnsi="仿宋_GB2312" w:eastAsia="仿宋_GB2312" w:cs="仿宋_GB2312"/>
          <w:color w:val="auto"/>
          <w:sz w:val="24"/>
          <w:szCs w:val="24"/>
          <w:highlight w:val="none"/>
        </w:rPr>
        <w:t>定一致。</w:t>
      </w:r>
    </w:p>
    <w:p w14:paraId="0DE03534">
      <w:pPr>
        <w:adjustRightInd w:val="0"/>
        <w:snapToGrid w:val="0"/>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b/>
          <w:bCs/>
          <w:color w:val="auto"/>
          <w:sz w:val="24"/>
          <w:szCs w:val="24"/>
          <w:highlight w:val="none"/>
        </w:rPr>
        <w:t>其他</w:t>
      </w:r>
    </w:p>
    <w:p w14:paraId="4D67B499">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6.1  </w:t>
      </w:r>
      <w:r>
        <w:rPr>
          <w:rFonts w:hint="eastAsia" w:ascii="仿宋_GB2312" w:hAnsi="仿宋_GB2312" w:eastAsia="仿宋_GB2312" w:cs="仿宋_GB2312"/>
          <w:color w:val="auto"/>
          <w:kern w:val="0"/>
          <w:sz w:val="24"/>
          <w:szCs w:val="24"/>
          <w:highlight w:val="none"/>
          <w:lang w:val="zh-CN"/>
        </w:rPr>
        <w:t>合同双方当事人约定的其他质量保修事</w:t>
      </w:r>
      <w:r>
        <w:rPr>
          <w:rFonts w:hint="eastAsia" w:ascii="仿宋_GB2312" w:hAnsi="仿宋_GB2312" w:eastAsia="仿宋_GB2312" w:cs="仿宋_GB2312"/>
          <w:color w:val="auto"/>
          <w:sz w:val="24"/>
          <w:szCs w:val="24"/>
          <w:highlight w:val="none"/>
        </w:rPr>
        <w:t>项：</w:t>
      </w:r>
    </w:p>
    <w:p w14:paraId="0AC88D39">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6.2  </w:t>
      </w:r>
      <w:r>
        <w:rPr>
          <w:rFonts w:hint="eastAsia" w:ascii="仿宋_GB2312" w:hAnsi="仿宋_GB2312" w:eastAsia="仿宋_GB2312" w:cs="仿宋_GB2312"/>
          <w:color w:val="auto"/>
          <w:kern w:val="0"/>
          <w:sz w:val="24"/>
          <w:szCs w:val="24"/>
          <w:highlight w:val="none"/>
          <w:lang w:val="zh-CN"/>
        </w:rPr>
        <w:t>本质量保修书，由合同双方当事人在承包人向发包人提交竣工验收申请报告时签署，作为本合同的附件</w:t>
      </w:r>
      <w:r>
        <w:rPr>
          <w:rFonts w:hint="eastAsia" w:ascii="仿宋_GB2312" w:hAnsi="仿宋_GB2312" w:eastAsia="仿宋_GB2312" w:cs="仿宋_GB2312"/>
          <w:color w:val="auto"/>
          <w:sz w:val="24"/>
          <w:szCs w:val="24"/>
          <w:highlight w:val="none"/>
        </w:rPr>
        <w:t>。</w:t>
      </w:r>
    </w:p>
    <w:p w14:paraId="18762CA6">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6.3  </w:t>
      </w:r>
      <w:r>
        <w:rPr>
          <w:rFonts w:hint="eastAsia" w:ascii="仿宋_GB2312" w:hAnsi="仿宋_GB2312" w:eastAsia="仿宋_GB2312" w:cs="仿宋_GB2312"/>
          <w:color w:val="auto"/>
          <w:kern w:val="0"/>
          <w:sz w:val="24"/>
          <w:szCs w:val="24"/>
          <w:highlight w:val="none"/>
          <w:lang w:val="zh-CN"/>
        </w:rPr>
        <w:t>本质量保修书，自合同双方当事人签署之日起生效，至质量保修期满后失效。</w:t>
      </w:r>
    </w:p>
    <w:p w14:paraId="7D2EE38A">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
    <w:tbl>
      <w:tblPr>
        <w:tblStyle w:val="19"/>
        <w:tblpPr w:leftFromText="180" w:rightFromText="180" w:vertAnchor="text" w:horzAnchor="page" w:tblpX="1869" w:tblpY="25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14:paraId="10EF6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52CE44FD">
            <w:pPr>
              <w:pStyle w:val="8"/>
              <w:rPr>
                <w:rFonts w:hint="eastAsia"/>
                <w:color w:val="auto"/>
                <w:highlight w:val="none"/>
                <w:vertAlign w:val="baseline"/>
              </w:rPr>
            </w:pPr>
            <w:permStart w:id="438" w:edGrp="everyone"/>
            <w:r>
              <w:rPr>
                <w:rFonts w:hint="eastAsia" w:ascii="仿宋_GB2312" w:hAnsi="仿宋_GB2312" w:eastAsia="仿宋_GB2312" w:cs="仿宋_GB2312"/>
                <w:color w:val="auto"/>
                <w:sz w:val="24"/>
                <w:szCs w:val="24"/>
                <w:highlight w:val="none"/>
              </w:rPr>
              <w:t>发 包 人：（盖章）</w:t>
            </w:r>
          </w:p>
        </w:tc>
        <w:tc>
          <w:tcPr>
            <w:tcW w:w="4261" w:type="dxa"/>
          </w:tcPr>
          <w:p w14:paraId="5786F0A2">
            <w:pPr>
              <w:pStyle w:val="8"/>
              <w:rPr>
                <w:rFonts w:hint="eastAsia"/>
                <w:color w:val="auto"/>
                <w:highlight w:val="none"/>
                <w:vertAlign w:val="baseline"/>
              </w:rPr>
            </w:pPr>
            <w:r>
              <w:rPr>
                <w:rFonts w:hint="eastAsia" w:ascii="仿宋_GB2312" w:hAnsi="仿宋_GB2312" w:eastAsia="仿宋_GB2312" w:cs="仿宋_GB2312"/>
                <w:color w:val="auto"/>
                <w:sz w:val="24"/>
                <w:szCs w:val="24"/>
                <w:highlight w:val="none"/>
              </w:rPr>
              <w:t>承 包 人：（盖章）</w:t>
            </w:r>
          </w:p>
        </w:tc>
      </w:tr>
      <w:tr w14:paraId="5FFAE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6C8542B4">
            <w:pPr>
              <w:pStyle w:val="8"/>
              <w:rPr>
                <w:rFonts w:hint="default" w:eastAsia="宋体"/>
                <w:color w:val="auto"/>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广州市自来水有限公司</w:t>
            </w:r>
          </w:p>
        </w:tc>
        <w:tc>
          <w:tcPr>
            <w:tcW w:w="4261" w:type="dxa"/>
          </w:tcPr>
          <w:p w14:paraId="0CBA6F53">
            <w:pPr>
              <w:pStyle w:val="8"/>
              <w:rPr>
                <w:rFonts w:hint="eastAsia"/>
                <w:color w:val="auto"/>
                <w:highlight w:val="none"/>
                <w:vertAlign w:val="baseline"/>
              </w:rPr>
            </w:pPr>
          </w:p>
        </w:tc>
      </w:tr>
      <w:tr w14:paraId="51914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4BFD4805">
            <w:pPr>
              <w:pStyle w:val="8"/>
              <w:rPr>
                <w:rFonts w:hint="eastAsia"/>
                <w:color w:val="auto"/>
                <w:highlight w:val="none"/>
                <w:vertAlign w:val="baseline"/>
              </w:rPr>
            </w:pPr>
          </w:p>
        </w:tc>
        <w:tc>
          <w:tcPr>
            <w:tcW w:w="4261" w:type="dxa"/>
          </w:tcPr>
          <w:p w14:paraId="4A95D3C5">
            <w:pPr>
              <w:pStyle w:val="8"/>
              <w:rPr>
                <w:rFonts w:hint="eastAsia"/>
                <w:color w:val="auto"/>
                <w:highlight w:val="none"/>
                <w:vertAlign w:val="baseline"/>
              </w:rPr>
            </w:pPr>
          </w:p>
        </w:tc>
      </w:tr>
      <w:tr w14:paraId="5600A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5DA81E60">
            <w:pPr>
              <w:pStyle w:val="8"/>
              <w:rPr>
                <w:rFonts w:hint="eastAsia"/>
                <w:color w:val="auto"/>
                <w:highlight w:val="none"/>
                <w:vertAlign w:val="baseline"/>
              </w:rPr>
            </w:pPr>
          </w:p>
        </w:tc>
        <w:tc>
          <w:tcPr>
            <w:tcW w:w="4261" w:type="dxa"/>
          </w:tcPr>
          <w:p w14:paraId="7F22ACD3">
            <w:pPr>
              <w:pStyle w:val="8"/>
              <w:rPr>
                <w:rFonts w:hint="eastAsia"/>
                <w:color w:val="auto"/>
                <w:highlight w:val="none"/>
                <w:vertAlign w:val="baseline"/>
              </w:rPr>
            </w:pPr>
          </w:p>
        </w:tc>
      </w:tr>
      <w:permEnd w:id="438"/>
    </w:tbl>
    <w:p w14:paraId="1B75E187">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p>
    <w:p w14:paraId="157CFB31">
      <w:pPr>
        <w:adjustRightInd w:val="0"/>
        <w:snapToGrid w:val="0"/>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79FB3D2">
      <w:pPr>
        <w:pStyle w:val="8"/>
        <w:rPr>
          <w:rFonts w:hint="eastAsia"/>
          <w:color w:val="auto"/>
          <w:highlight w:val="none"/>
        </w:rPr>
      </w:pPr>
    </w:p>
    <w:p w14:paraId="51B2E1E9">
      <w:pPr>
        <w:spacing w:line="420" w:lineRule="exact"/>
        <w:rPr>
          <w:rFonts w:ascii="宋体" w:hAnsi="宋体" w:cs="宋体"/>
          <w:color w:val="auto"/>
          <w:sz w:val="22"/>
          <w:szCs w:val="22"/>
          <w:highlight w:val="none"/>
        </w:rPr>
      </w:pPr>
    </w:p>
    <w:p w14:paraId="0007569E">
      <w:pPr>
        <w:spacing w:line="460" w:lineRule="exact"/>
        <w:jc w:val="left"/>
        <w:rPr>
          <w:rFonts w:hint="eastAsia" w:ascii="宋体" w:hAnsi="宋体" w:eastAsia="黑体" w:cs="宋体"/>
          <w:color w:val="auto"/>
          <w:kern w:val="0"/>
          <w:sz w:val="22"/>
          <w:szCs w:val="22"/>
          <w:highlight w:val="none"/>
          <w:lang w:val="en-US" w:eastAsia="zh-CN"/>
        </w:rPr>
      </w:pPr>
      <w:r>
        <w:rPr>
          <w:rFonts w:hint="eastAsia" w:ascii="宋体" w:hAnsi="宋体" w:cs="宋体"/>
          <w:color w:val="auto"/>
          <w:kern w:val="0"/>
          <w:sz w:val="22"/>
          <w:szCs w:val="22"/>
          <w:highlight w:val="none"/>
        </w:rPr>
        <w:br w:type="page"/>
      </w:r>
      <w:bookmarkStart w:id="724" w:name="_Toc469384142"/>
      <w:bookmarkStart w:id="725" w:name="_Toc266892926"/>
      <w:bookmarkStart w:id="726" w:name="_Toc10624986"/>
      <w:r>
        <w:rPr>
          <w:rFonts w:hint="eastAsia" w:ascii="黑体" w:hAnsi="黑体" w:eastAsia="黑体" w:cs="黑体"/>
          <w:b w:val="0"/>
          <w:bCs w:val="0"/>
          <w:color w:val="auto"/>
          <w:kern w:val="0"/>
          <w:sz w:val="22"/>
          <w:szCs w:val="22"/>
          <w:highlight w:val="none"/>
        </w:rPr>
        <w:t>附件</w:t>
      </w:r>
      <w:r>
        <w:rPr>
          <w:rFonts w:hint="eastAsia" w:ascii="黑体" w:hAnsi="黑体" w:eastAsia="黑体" w:cs="黑体"/>
          <w:b w:val="0"/>
          <w:bCs w:val="0"/>
          <w:color w:val="auto"/>
          <w:kern w:val="0"/>
          <w:sz w:val="22"/>
          <w:szCs w:val="22"/>
          <w:highlight w:val="none"/>
          <w:lang w:val="en-US" w:eastAsia="zh-CN"/>
        </w:rPr>
        <w:t>5</w:t>
      </w:r>
    </w:p>
    <w:p w14:paraId="082EB529">
      <w:pPr>
        <w:spacing w:line="460" w:lineRule="exact"/>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【标准文本】合同-SG-202111</w:t>
      </w:r>
    </w:p>
    <w:p w14:paraId="4B17D545">
      <w:pPr>
        <w:spacing w:line="460" w:lineRule="exact"/>
        <w:jc w:val="center"/>
        <w:rPr>
          <w:rFonts w:ascii="宋体" w:hAnsi="宋体" w:cs="宋体"/>
          <w:color w:val="auto"/>
          <w:kern w:val="0"/>
          <w:sz w:val="22"/>
          <w:szCs w:val="22"/>
          <w:highlight w:val="none"/>
        </w:rPr>
      </w:pPr>
    </w:p>
    <w:p w14:paraId="44011C3E">
      <w:pPr>
        <w:spacing w:line="460" w:lineRule="exact"/>
        <w:jc w:val="center"/>
        <w:rPr>
          <w:rFonts w:hint="eastAsia" w:ascii="方正小标宋简体" w:hAnsi="方正小标宋简体" w:eastAsia="方正小标宋简体" w:cs="方正小标宋简体"/>
          <w:b w:val="0"/>
          <w:bCs w:val="0"/>
          <w:color w:val="auto"/>
          <w:kern w:val="0"/>
          <w:sz w:val="32"/>
          <w:szCs w:val="32"/>
          <w:highlight w:val="none"/>
        </w:rPr>
      </w:pPr>
      <w:r>
        <w:rPr>
          <w:rFonts w:hint="eastAsia" w:ascii="方正小标宋简体" w:hAnsi="方正小标宋简体" w:eastAsia="方正小标宋简体" w:cs="方正小标宋简体"/>
          <w:b w:val="0"/>
          <w:bCs w:val="0"/>
          <w:color w:val="auto"/>
          <w:kern w:val="0"/>
          <w:sz w:val="32"/>
          <w:szCs w:val="32"/>
          <w:highlight w:val="none"/>
        </w:rPr>
        <w:t>工程安全生产、质量文明施工协议书</w:t>
      </w:r>
    </w:p>
    <w:p w14:paraId="639AE3D1">
      <w:pPr>
        <w:spacing w:line="460" w:lineRule="exact"/>
        <w:jc w:val="center"/>
        <w:rPr>
          <w:rFonts w:hint="eastAsia" w:ascii="仿宋_GB2312" w:hAnsi="仿宋_GB2312" w:eastAsia="仿宋_GB2312" w:cs="仿宋_GB2312"/>
          <w:color w:val="auto"/>
          <w:sz w:val="24"/>
          <w:szCs w:val="24"/>
          <w:highlight w:val="none"/>
        </w:rPr>
      </w:pPr>
      <w:r>
        <w:rPr>
          <w:rFonts w:hint="eastAsia" w:ascii="宋体" w:hAnsi="宋体" w:cs="宋体"/>
          <w:bCs/>
          <w:color w:val="auto"/>
          <w:sz w:val="22"/>
          <w:szCs w:val="22"/>
          <w:highlight w:val="none"/>
        </w:rPr>
        <w:t>（</w:t>
      </w:r>
      <w:r>
        <w:rPr>
          <w:rFonts w:hint="eastAsia" w:ascii="仿宋_GB2312" w:hAnsi="仿宋_GB2312" w:eastAsia="仿宋_GB2312" w:cs="仿宋_GB2312"/>
          <w:bCs/>
          <w:color w:val="auto"/>
          <w:sz w:val="24"/>
          <w:szCs w:val="24"/>
          <w:highlight w:val="none"/>
        </w:rPr>
        <w:t>适用于大型工程项目）</w:t>
      </w:r>
    </w:p>
    <w:p w14:paraId="2DE7E1CE">
      <w:pPr>
        <w:spacing w:line="460" w:lineRule="exact"/>
        <w:ind w:firstLine="482" w:firstLineChars="200"/>
        <w:rPr>
          <w:rFonts w:hint="default"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
          <w:color w:val="auto"/>
          <w:sz w:val="24"/>
          <w:szCs w:val="24"/>
          <w:highlight w:val="none"/>
        </w:rPr>
        <w:t>发包人：</w:t>
      </w:r>
      <w:r>
        <w:rPr>
          <w:rFonts w:hint="eastAsia" w:ascii="仿宋_GB2312" w:hAnsi="仿宋_GB2312" w:eastAsia="仿宋_GB2312" w:cs="仿宋_GB2312"/>
          <w:b/>
          <w:color w:val="auto"/>
          <w:sz w:val="24"/>
          <w:szCs w:val="24"/>
          <w:highlight w:val="none"/>
          <w:lang w:val="en-US" w:eastAsia="zh-CN"/>
        </w:rPr>
        <w:t xml:space="preserve">广州市自来水有限公司           </w:t>
      </w:r>
    </w:p>
    <w:p w14:paraId="4A735342">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承包人：                    </w:t>
      </w:r>
    </w:p>
    <w:p w14:paraId="09709F3B">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 xml:space="preserve">工程名称：  </w:t>
      </w:r>
      <w:r>
        <w:rPr>
          <w:rFonts w:hint="eastAsia" w:ascii="仿宋_GB2312" w:hAnsi="仿宋_GB2312" w:eastAsia="仿宋_GB2312" w:cs="仿宋_GB2312"/>
          <w:b/>
          <w:color w:val="auto"/>
          <w:sz w:val="24"/>
          <w:szCs w:val="24"/>
          <w:highlight w:val="none"/>
          <w:u w:val="none"/>
          <w:lang w:eastAsia="zh-CN"/>
        </w:rPr>
        <w:t>车陂</w:t>
      </w:r>
      <w:r>
        <w:rPr>
          <w:rFonts w:hint="eastAsia" w:ascii="仿宋_GB2312" w:hAnsi="仿宋_GB2312" w:eastAsia="仿宋_GB2312" w:cs="仿宋_GB2312"/>
          <w:b/>
          <w:color w:val="auto"/>
          <w:sz w:val="24"/>
          <w:szCs w:val="24"/>
          <w:highlight w:val="none"/>
          <w:u w:val="none"/>
        </w:rPr>
        <w:t>加压站复建工程第二阶段(附属设施用房)施工总承包</w:t>
      </w:r>
      <w:r>
        <w:rPr>
          <w:rFonts w:hint="eastAsia" w:ascii="仿宋_GB2312" w:hAnsi="仿宋_GB2312" w:eastAsia="仿宋_GB2312" w:cs="仿宋_GB2312"/>
          <w:b/>
          <w:color w:val="auto"/>
          <w:sz w:val="24"/>
          <w:szCs w:val="24"/>
          <w:highlight w:val="none"/>
        </w:rPr>
        <w:t xml:space="preserve">   </w:t>
      </w:r>
    </w:p>
    <w:p w14:paraId="5C8FCBA3">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为贯彻“安全第一，预防为主，综合治理”“百年大计，质量第一”的方针，努力提高工程安全质量管理水平，根据《中华人民共和国安全生产法》，结合本工程具体情况，为确保该工程的施工安全，双方协商一致，特制定本协议书。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b/>
          <w:bCs/>
          <w:color w:val="auto"/>
          <w:sz w:val="24"/>
          <w:szCs w:val="24"/>
          <w:highlight w:val="none"/>
        </w:rPr>
        <w:t>一、发包人的责任、权利和义务</w:t>
      </w:r>
      <w:r>
        <w:rPr>
          <w:rFonts w:hint="eastAsia" w:ascii="仿宋_GB2312" w:hAnsi="仿宋_GB2312" w:eastAsia="仿宋_GB2312" w:cs="仿宋_GB2312"/>
          <w:b/>
          <w:bCs/>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（一）贯彻执行国家和地方有关安全生产、文明施工、法律法规，支持和监督承包人依法履行安全生产工作。</w:t>
      </w:r>
    </w:p>
    <w:p w14:paraId="157C4917">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（二）定期或不定期组织检查承包人安全生产、文明施工状况，提出对存在隐患的整改措施，对存在的重大安全隐患或承包人对一般隐患整改不力，发包人有权责令承包人停工整改，直至隐患排除。</w:t>
      </w:r>
    </w:p>
    <w:p w14:paraId="08999F8F">
      <w:pPr>
        <w:tabs>
          <w:tab w:val="left" w:pos="709"/>
          <w:tab w:val="left" w:pos="8505"/>
        </w:tabs>
        <w:spacing w:line="46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二、承包人的责任、权利和义务</w:t>
      </w:r>
    </w:p>
    <w:p w14:paraId="28963FA8">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（一）承包人应当具备《安全生产法》和有关</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"http://www.govyi.com/html/gongwenxiezuo/gongjianfa/Index.shtml"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法律</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、行政法规和国家标准规定的安全生产条件，不具备安全条件的不得进行施工作业。</w:t>
      </w:r>
    </w:p>
    <w:p w14:paraId="53ADFA11">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（二）严格执行《国家和地方有关安全生产、文明施工法律法规》，并接受发包人和政府相关部门的检查考核。</w:t>
      </w:r>
    </w:p>
    <w:p w14:paraId="75C2081D">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（三）承包人应进一步建立、健全本工程安全生产管理架构和安全生产责任制，制定和完善各项安全生产</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"http://www.govyi.com/html/gongwenxiezuo/guanlizhidu/Index.shtml"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规章</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"http://www.govyi.com/html/gongwenxiezuo/guanlizhidu/Index.shtml"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制度</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和操作规程，落实施工安全责任。</w:t>
      </w:r>
    </w:p>
    <w:p w14:paraId="0B9ABC18">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承包人应当按照《安全生产法》规定建立安全风险分级管控制度，针对所承建工程可能发生的生产安全事故的特点和危害，自行组织或委托第三方服务机构、专家进行风险评估，全面开展危险源辨识和风险评价，落实安全风险管控措施，做好安全风险管控各项工作；建立健全并落实生产安全事故隐患排查治理制度，采取技术、管理措施，及时发现并消除事故隐患。</w:t>
      </w:r>
    </w:p>
    <w:p w14:paraId="128992C1">
      <w:p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监理方或第三方安全监督机构将全面排查安全隐患，督促、检查本工程的安全生产工作，检查时发现的隐患问题，承包人必须在规定的时限内整改完毕，无条件服从发包人、监理方或第三方安全监督机构的整改指令，对于隐患整改不及时，现场管理未到位或反复出现同性质的整改问题的，发包人将严格按合同约定进行违约处罚，同时报送行政主管部门进行通报批评和诚信扣分。</w:t>
      </w:r>
    </w:p>
    <w:p w14:paraId="1988CBE8">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（五）承包人必须建立和健全事故应急救援机制，根据本工程项目特点，制订事故应急救援预案并开展演练，告知从业人员和相关人员在紧急情况下应当采取的应急措施。</w:t>
      </w:r>
    </w:p>
    <w:p w14:paraId="069009C0">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（六）保证对具备安全生产条件所必需资金的投入，并对由于安全生产所必须的资金投入不足而导致的后果承担全部责任。</w:t>
      </w:r>
    </w:p>
    <w:p w14:paraId="259F0941">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（七）承包人按照国家规定配备专职或兼职的安全管理人员。</w:t>
      </w:r>
    </w:p>
    <w:p w14:paraId="7391038F">
      <w:pPr>
        <w:numPr>
          <w:ilvl w:val="255"/>
          <w:numId w:val="0"/>
        </w:numPr>
        <w:tabs>
          <w:tab w:val="left" w:pos="709"/>
          <w:tab w:val="left" w:pos="8505"/>
        </w:tabs>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（八）承包人主要负责人和安全生产管理人员必须具备与本工程项目相适应的安全生产知识和管理能力，并经专门培训考核合格后方可上岗。</w:t>
      </w:r>
    </w:p>
    <w:p w14:paraId="3CE569F7">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根据《安全生产法》的规定，承包人务必加大从业人员的安全教育，确保全体施工人员均参加安全教育培训，保证从业人员具备安全生产知识，熟悉安全生产规章制度和安全操作规程，掌握本岗位的安全操作技能，未经安全生产教育培训合格的人员不得上岗作业。培训时承包人应通知监理方到场指导、见证，培训结束后2个工作日内，承包人应将安全教育的方案、培训时的签到表、培训现场照片等相关资料，报监理方和发包人备案。</w:t>
      </w:r>
    </w:p>
    <w:p w14:paraId="4E30DF19">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特种作业人员必须按照国家有关规定经专门的安全作业培训，取得相应资格，方可上岗作业。特种作业人员的范围由国务院应急管理部门会同国务院有关部门确定，特种作业大致包括：电工作业、焊接与热切割作业、高处作业、制冷与空调作业、危险化学品安全作业等。</w:t>
      </w:r>
    </w:p>
    <w:p w14:paraId="7233B2B5">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承包人按照国家有关规定配备特种设备安全管理人员和作业人员，并对其进行必要的安全教育和技能培训。承包人需提供特种作业人员花名册、操作证复印件和培训记录。</w:t>
      </w:r>
    </w:p>
    <w:p w14:paraId="15E2E657">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（十一）施工人员进场作业时，承包人应对其进行安全教育培训及安全技术交底，没有进行安全教育或进场施工人员与安全交底时签署的人员姓名不一致时，一律禁止该作业人员进场施工。</w:t>
      </w:r>
    </w:p>
    <w:p w14:paraId="03AD23D5">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十二）发包人有权不定期监督或检查现场施工人员的安全教育培训情况，对现场施工人员进行安全保护知识、岗位技能知识的抽查。如发现现场施工人员未经安全教育培训或安全教育培训不合格，将责令承包人在2个工作日内再次组织现场施工人员进行安全教育培训。 </w:t>
      </w:r>
    </w:p>
    <w:p w14:paraId="3CD2C997">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（十三）对有较大危险因素的作业场所和有关设施、设备要设置明显的安全警示标志及其相应的安全防护措施。</w:t>
      </w:r>
    </w:p>
    <w:p w14:paraId="11ACE446">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（十四）承包人应对员工配备相应劳动防护用品，施工负责人和安全检查员应随时检查劳动防护用品的穿戴情况，不按规定穿戴防护用品的人员不得上岗。</w:t>
      </w:r>
    </w:p>
    <w:p w14:paraId="46A09AF2">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（十五）发包人和安全生产监督管理部门进行安全监督检查时，承包人要主动接受检查，并积极配合，不得拒绝、阻挠和拖延，并在检查记录上签字确认。</w:t>
      </w:r>
    </w:p>
    <w:p w14:paraId="7A308AF0">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（十六）定期召开安全文明生产会议，自查自纠不安全因素及隐患，保证工程顺利进行，会议记录上报发包人备案。</w:t>
      </w:r>
    </w:p>
    <w:p w14:paraId="08B3E674">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（十七）用电必须符合《施工现场临时用电安全技术规范》的要求。</w:t>
      </w:r>
    </w:p>
    <w:p w14:paraId="0F6364E9">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（十八）工程安全管理架构、审核(或专家评审)通过后施工方案、事故应急抢险预案等资料要工程施工前报发包人备案。</w:t>
      </w:r>
    </w:p>
    <w:p w14:paraId="26A3CD9F">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（十九）施工人员要严格遵守发包人出入生产场所的管理规定，未经许可，严禁闯入。</w:t>
      </w:r>
    </w:p>
    <w:p w14:paraId="21876C91">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（二十）施工过程中遇不明的地下设施时，必须报发包人人员鉴别后，才能继续施工。</w:t>
      </w:r>
    </w:p>
    <w:p w14:paraId="6EED1361">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（二十一）在工程建设过程中，对检查出的违法、违规、违章行为，将按合同相关条款扣罚违约责任金，承包人承担因承包人的原因造成的法律责任和经济责任。</w:t>
      </w:r>
    </w:p>
    <w:p w14:paraId="31A1CE42">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二）严格执行《生产安全事故报告和调查处理条例》。如承包人发生生产安全事故时，必须立即向发包人和政府有关部门报告，并启动事故应急救援预案，全力抢救伤员，保护事故现场。如因施救伤员必须移动现场设备、设施时，要做好记录和拍照，不得破坏事故现场。并做好善后工作，积极配合相关部门做好事故调整及取证。并负责工伤统计、安全事故指标及处理费用，发包人视事故程度，提供必要的协助。</w:t>
      </w:r>
    </w:p>
    <w:p w14:paraId="1681995D">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（二十三）承包人不得将工程项目层层转包，专业分包必须具备相应的资质及安全生产条件。</w:t>
      </w:r>
    </w:p>
    <w:p w14:paraId="7365BB2A">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（二十四）承包人根据工程项目的施工特点，编制各项安全技术方案，完善方案审批手续，并在施工过程中严格执行。</w:t>
      </w:r>
    </w:p>
    <w:p w14:paraId="45E2646A">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（二十五）承包人务须加强</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绿色施工安全防护措施费的使用与管理，确保各标段</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绿色施工安全防护措施费“专款专用”，建立健全</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绿色施工安全防护措施费使用台账，按月度报监理方审核，报发包人备案。</w:t>
      </w:r>
    </w:p>
    <w:p w14:paraId="0F828AF8">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（二十六）发包人有权不定期监督或检查承包人的</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绿色施工安全防护措施费的投入情况，对承包人的</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绿色施工安全防护措施费的使用台账进行检查。如发现承包人的</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绿色施工安全防护措施费未按规定投入，将责令承包人立即对</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绿色施工安全防护措施费的使用与管理工作进行整改。</w:t>
      </w:r>
    </w:p>
    <w:p w14:paraId="104F1F6A">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七）进场的特种设备应当符合我国安全技术规范的要求，并经检验合格，具有专业资质的检测、检验单位出具的安全技术检验证明，否则，不得投入使用。承包人应建立特种设备安全技术档案。安全技术档案应当包括以下内容：1、特种设备的设计文件、产品质量合格证明、安装及使用维护保养说明、监督检验证明等相关技术资料和文件；2、特种设备的定期检验和定期自行检查记录；3、特种设备的日常使用状况记录；4、特种设备及其附属仪器仪表的维护保养记录；5、特种设备的运行故障和事故记录。</w:t>
      </w:r>
    </w:p>
    <w:p w14:paraId="6F5D76E6">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八）禁止使用国家明令淘汰和已经报废的特种设备。承包人对其使用的特种设备进行经常性维护保养和定期自行检查，并作出记录。承包人对其使用的特种设备的安全附件、安全保护装置进行定期校验、检修，并作出记录。对于达不到安全要求又不能修复的特种设备必须停用，撤离施工现场。</w:t>
      </w:r>
    </w:p>
    <w:p w14:paraId="6DC2A81D">
      <w:pPr>
        <w:numPr>
          <w:ilvl w:val="255"/>
          <w:numId w:val="0"/>
        </w:num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（二十九）必须为进场人员购买工伤保险，必须向发包人提供购买工伤保险情况的材料。</w:t>
      </w:r>
    </w:p>
    <w:p w14:paraId="5389DD31">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（三十）承包人应按照《广东省住房和城乡建设厅关于印发&lt;房屋市政工程施工安全日志(范本)&gt;的通知》（粤建质[2023]94号）的要求，规范填写《安全日志》。</w:t>
      </w:r>
    </w:p>
    <w:p w14:paraId="432E6D4E">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三、违约责任</w:t>
      </w:r>
    </w:p>
    <w:p w14:paraId="341FF060">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承包人必须保证发包人免于受到或承担应由承包人负责的因未按规定做好安全文明施工所引起的或与之有关的索赔、诉讼、行政处罚以及其他费用的开支；若因承包人未按规定做好安全文明施工牵连发包人受到行政处罚或对发包人造成严重社会影响的，由承包人承担全部的经济和法律责任。</w:t>
      </w:r>
    </w:p>
    <w:p w14:paraId="236DE263">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（二）承包人出现以下情形时，发包人有权按规定进行处罚：</w:t>
      </w:r>
    </w:p>
    <w:p w14:paraId="25CB77EB">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包人在上级行政主管部门组织的质量安全或文明施工检查中，被发现存在安全隐患，或施工场地被评为不合格工地，或被通报批评，或被新闻媒体曝光造成不良影响的，承包人应立即采取切实有效措施予以整改，并承担违约责任，向发包人支付每次人民币伍万元整（¥50000.00元/次）的违约金，由发包人在当期应付的工程进度款内直接扣除。</w:t>
      </w:r>
    </w:p>
    <w:p w14:paraId="4383F8FD">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从业人员未按照使用规则正确佩戴、使用劳动防护用品，发现立即处罚，例如安全帽（100元/人.次）、安全带（200元/人.次）、防疫口罩（50元/人.次）、电工焊工绝缘手套（100元/人.次）、电工焊工绝缘鞋（200元/人.次）等。</w:t>
      </w:r>
    </w:p>
    <w:p w14:paraId="0103BA9C">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承包人在建设过程中须严格按要求落实安全文明施工管理措施，若因承包人工作管理不到位造成被发包人上级管理单位（如：市水投集团、水务质监站等）在检查中发现较大问题，导致发包人被通报批评、考核扣分，相关责任人员被扣罚的，发包人可对承包人连带扣罚。</w:t>
      </w:r>
    </w:p>
    <w:p w14:paraId="6BA867E8">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承包人应立即采取切实有效措施予以整改，并承担违约责任，向发包人支付相应金额的处罚金，由发包人在当期应付的工程进度款内直接扣除。对承包人拒不采取切实有效的措施整改的，或整改效果不明显的，或造成严重社会影响，或被检查两次（含本数）仍不合格而被通报或被曝光的，发包人有权解除部分或全部合同，并追究承包人的违约赔偿责任，发包人全部解除合同后可将本工程另行发包。</w:t>
      </w:r>
    </w:p>
    <w:p w14:paraId="47FC297E">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发包人或监理方在日常检查中发现承包人存在安全隐患、违章行为、文明施工措施未落实或管理不到位现象的，由发包人或监理方及时发出书面整改通知书，承包人应立即采取切实有效措施，在整改期限内予以整改，发包人或监理方复检时发现仍未整改或整改不及格的，承包人除无条件进行整改外，发包人可按实际情况给予1000元/项次的处罚，由发包人在当期应付给承包人的工程进度款内直接扣除。</w:t>
      </w:r>
    </w:p>
    <w:p w14:paraId="401FCF36">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承包人在发包人或政府行政主管部门组织的质量安全或文明施工检查中，被发现现场施工人员的安全意识薄弱或安全防护知识严重不足的，承包人须向发包人支付每次人民币伍万元整（¥50000.00元/次）的违约金（由发包人在当期应付的工程进度款内直接扣除）外，还应采取以下整改措施：</w:t>
      </w:r>
    </w:p>
    <w:p w14:paraId="1D693A46">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第一次经查问，安全意识薄弱或安全防护知识严重不足的施工人员进行安全教育培训；第二次抽查时，如发现同一施工人员仍存在安全意识薄弱或安全防护知识严重不足的，应立即暂停其作业并再次进行安全教育培训；如同一施工人员被抽查3次及以上，均存在安全意识薄弱或安全防护知识严重不足的，承包人应立即将该施工人员撤离施工现场，并进行人员撤换。</w:t>
      </w:r>
    </w:p>
    <w:p w14:paraId="0108341B">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2.对承包人拒不采取切实有效的措施整改的，发包人有权解除部分或全部合同，并追究承包人的违约赔偿责任，发包人全部解除合同后可将本工程另行发包。</w:t>
      </w:r>
    </w:p>
    <w:p w14:paraId="6EF277AF">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（五）承包人因自身原因造成的安全事故（含工程质量事故），按国家规定由相关主管部门处罚，发包人视情况严重性，有权解除部分或全部合同，按施工合同专用条款中关于合同解除的规定执行。</w:t>
      </w:r>
    </w:p>
    <w:p w14:paraId="018DECE5">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（六）发包人有权不定期监督或检查承包人的</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绿色施工安全防护措施费的投入情况，发现承包人的</w:t>
      </w:r>
      <w:r>
        <w:rPr>
          <w:rFonts w:hint="eastAsia" w:ascii="仿宋_GB2312" w:hAnsi="仿宋_GB2312" w:eastAsia="仿宋_GB2312" w:cs="仿宋_GB2312"/>
          <w:color w:val="auto"/>
          <w:sz w:val="24"/>
          <w:szCs w:val="24"/>
          <w:highlight w:val="none"/>
          <w:lang w:val="en-US" w:eastAsia="zh-CN"/>
        </w:rPr>
        <w:t>按系数计算的</w:t>
      </w:r>
      <w:r>
        <w:rPr>
          <w:rFonts w:hint="eastAsia" w:ascii="仿宋_GB2312" w:hAnsi="仿宋_GB2312" w:eastAsia="仿宋_GB2312" w:cs="仿宋_GB2312"/>
          <w:color w:val="auto"/>
          <w:sz w:val="24"/>
          <w:szCs w:val="24"/>
          <w:highlight w:val="none"/>
        </w:rPr>
        <w:t>绿色施工安全防护措施费未按规定投入，承包人应立即采取切实有效措施予以整改，并承担违约责任，向发包人支付每次人民币伍万元整（¥50000.00元/次）的违约金，由发包人在当期应付的工程进度款内直接扣除。</w:t>
      </w:r>
    </w:p>
    <w:p w14:paraId="093A8829">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四、本协议双方签字盖章生效，具有与施工合同同等法律效力，工程竣工验收后失效。未尽事宜，双方协商解决。</w:t>
      </w:r>
    </w:p>
    <w:p w14:paraId="47571644">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w:t>
      </w:r>
      <w:r>
        <w:rPr>
          <w:rFonts w:hint="eastAsia" w:ascii="仿宋_GB2312" w:hAnsi="仿宋_GB2312" w:eastAsia="仿宋_GB2312" w:cs="仿宋_GB2312"/>
          <w:color w:val="auto"/>
          <w:sz w:val="24"/>
          <w:szCs w:val="24"/>
          <w:highlight w:val="none"/>
          <w:lang w:val="en-US" w:eastAsia="zh-CN"/>
        </w:rPr>
        <w:t xml:space="preserve">广州市自来水有限公司      </w:t>
      </w:r>
      <w:r>
        <w:rPr>
          <w:rFonts w:hint="eastAsia" w:ascii="仿宋_GB2312" w:hAnsi="仿宋_GB2312" w:eastAsia="仿宋_GB2312" w:cs="仿宋_GB2312"/>
          <w:color w:val="auto"/>
          <w:sz w:val="24"/>
          <w:szCs w:val="24"/>
          <w:highlight w:val="none"/>
        </w:rPr>
        <w:t xml:space="preserve">  承包人：</w:t>
      </w:r>
    </w:p>
    <w:p w14:paraId="17E2B311">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rPr>
        <w:t>）</w:t>
      </w:r>
    </w:p>
    <w:p w14:paraId="75841B6D">
      <w:pPr>
        <w:spacing w:line="420" w:lineRule="exact"/>
        <w:outlineLvl w:val="1"/>
        <w:rPr>
          <w:rFonts w:hint="eastAsia" w:ascii="黑体" w:hAnsi="黑体" w:eastAsia="黑体" w:cs="黑体"/>
          <w:b w:val="0"/>
          <w:bCs w:val="0"/>
          <w:color w:val="auto"/>
          <w:sz w:val="24"/>
          <w:szCs w:val="24"/>
          <w:highlight w:val="none"/>
        </w:rPr>
        <w:sectPr>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ermStart w:id="439" w:edGrp="everyone"/>
    </w:p>
    <w:p w14:paraId="74647DB9">
      <w:pPr>
        <w:spacing w:line="420" w:lineRule="exact"/>
        <w:outlineLvl w:val="1"/>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rPr>
        <w:t>附件</w:t>
      </w:r>
      <w:bookmarkEnd w:id="724"/>
      <w:bookmarkEnd w:id="725"/>
      <w:bookmarkEnd w:id="726"/>
      <w:r>
        <w:rPr>
          <w:rFonts w:hint="eastAsia" w:ascii="黑体" w:hAnsi="黑体" w:eastAsia="黑体" w:cs="黑体"/>
          <w:b w:val="0"/>
          <w:bCs w:val="0"/>
          <w:color w:val="auto"/>
          <w:sz w:val="24"/>
          <w:szCs w:val="24"/>
          <w:highlight w:val="none"/>
          <w:lang w:val="en-US" w:eastAsia="zh-CN"/>
        </w:rPr>
        <w:t>6</w:t>
      </w:r>
    </w:p>
    <w:permEnd w:id="439"/>
    <w:p w14:paraId="368F554B">
      <w:pPr>
        <w:tabs>
          <w:tab w:val="left" w:pos="709"/>
        </w:tabs>
        <w:spacing w:line="560" w:lineRule="exact"/>
        <w:jc w:val="center"/>
        <w:rPr>
          <w:rFonts w:hint="eastAsia" w:ascii="方正小标宋简体" w:hAnsi="方正小标宋简体" w:eastAsia="方正小标宋简体" w:cs="方正小标宋简体"/>
          <w:b w:val="0"/>
          <w:bCs/>
          <w:color w:val="auto"/>
          <w:sz w:val="32"/>
          <w:szCs w:val="32"/>
          <w:highlight w:val="none"/>
        </w:rPr>
      </w:pPr>
      <w:r>
        <w:rPr>
          <w:rFonts w:hint="eastAsia" w:ascii="方正小标宋简体" w:hAnsi="方正小标宋简体" w:eastAsia="方正小标宋简体" w:cs="方正小标宋简体"/>
          <w:b w:val="0"/>
          <w:bCs/>
          <w:color w:val="auto"/>
          <w:sz w:val="32"/>
          <w:szCs w:val="32"/>
          <w:highlight w:val="none"/>
        </w:rPr>
        <w:t>廉洁责任书</w:t>
      </w:r>
    </w:p>
    <w:p w14:paraId="6C2B245D">
      <w:pPr>
        <w:spacing w:line="5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（2023年修订版标准文本）</w:t>
      </w:r>
    </w:p>
    <w:p w14:paraId="7914C9B8">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发包人（甲方）：</w:t>
      </w:r>
      <w:permStart w:id="440" w:edGrp="everyone"/>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u w:val="single"/>
          <w:lang w:val="en-US" w:eastAsia="zh-CN"/>
        </w:rPr>
        <w:t xml:space="preserve">广州市自来水有限公司    </w:t>
      </w:r>
      <w:r>
        <w:rPr>
          <w:rFonts w:hint="eastAsia" w:ascii="仿宋_GB2312" w:hAnsi="仿宋_GB2312" w:eastAsia="仿宋_GB2312" w:cs="仿宋_GB2312"/>
          <w:b/>
          <w:bCs/>
          <w:color w:val="auto"/>
          <w:sz w:val="24"/>
          <w:szCs w:val="24"/>
          <w:highlight w:val="none"/>
          <w:u w:val="single"/>
        </w:rPr>
        <w:t xml:space="preserve">   </w:t>
      </w:r>
      <w:permEnd w:id="440"/>
    </w:p>
    <w:p w14:paraId="76C731A4">
      <w:pPr>
        <w:tabs>
          <w:tab w:val="left" w:pos="709"/>
        </w:tabs>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承包人（乙方）：</w:t>
      </w:r>
      <w:permStart w:id="441" w:edGrp="everyone"/>
      <w:r>
        <w:rPr>
          <w:rFonts w:hint="eastAsia" w:ascii="仿宋_GB2312" w:hAnsi="仿宋_GB2312" w:eastAsia="仿宋_GB2312" w:cs="仿宋_GB2312"/>
          <w:b/>
          <w:bCs/>
          <w:color w:val="auto"/>
          <w:sz w:val="24"/>
          <w:szCs w:val="24"/>
          <w:highlight w:val="none"/>
          <w:u w:val="single"/>
        </w:rPr>
        <w:t xml:space="preserve">                    </w:t>
      </w:r>
      <w:permEnd w:id="441"/>
    </w:p>
    <w:p w14:paraId="30697F4F">
      <w:pPr>
        <w:tabs>
          <w:tab w:val="left" w:pos="709"/>
        </w:tabs>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为加强廉洁建设，防止主合同履约过程中发生各种谋取不正当利益的违法违纪行为，甲、乙双方经共同协商，在双方签订的</w:t>
      </w:r>
      <w:permStart w:id="442"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车陂</w:t>
      </w:r>
      <w:r>
        <w:rPr>
          <w:rFonts w:hint="eastAsia" w:ascii="仿宋_GB2312" w:hAnsi="仿宋_GB2312" w:eastAsia="仿宋_GB2312" w:cs="仿宋_GB2312"/>
          <w:color w:val="auto"/>
          <w:sz w:val="24"/>
          <w:szCs w:val="24"/>
          <w:highlight w:val="none"/>
          <w:u w:val="single"/>
        </w:rPr>
        <w:t>加压站复建工程第二阶段(附属设施用房)</w:t>
      </w:r>
      <w:r>
        <w:rPr>
          <w:rFonts w:hint="eastAsia" w:ascii="仿宋_GB2312" w:hAnsi="仿宋_GB2312" w:eastAsia="仿宋_GB2312" w:cs="仿宋_GB2312"/>
          <w:color w:val="auto"/>
          <w:sz w:val="24"/>
          <w:szCs w:val="24"/>
          <w:highlight w:val="none"/>
          <w:u w:val="single"/>
          <w:lang w:val="en-US" w:eastAsia="zh-CN"/>
        </w:rPr>
        <w:t>施工总承包</w:t>
      </w:r>
      <w:r>
        <w:rPr>
          <w:rFonts w:hint="eastAsia" w:ascii="仿宋_GB2312" w:hAnsi="仿宋_GB2312" w:eastAsia="仿宋_GB2312" w:cs="仿宋_GB2312"/>
          <w:color w:val="auto"/>
          <w:sz w:val="24"/>
          <w:szCs w:val="24"/>
          <w:highlight w:val="none"/>
          <w:u w:val="single"/>
        </w:rPr>
        <w:t xml:space="preserve"> </w:t>
      </w:r>
      <w:permEnd w:id="442"/>
      <w:r>
        <w:rPr>
          <w:rFonts w:hint="eastAsia" w:ascii="仿宋_GB2312" w:hAnsi="仿宋_GB2312" w:eastAsia="仿宋_GB2312" w:cs="仿宋_GB2312"/>
          <w:color w:val="auto"/>
          <w:sz w:val="24"/>
          <w:szCs w:val="24"/>
          <w:highlight w:val="none"/>
        </w:rPr>
        <w:t>项目（以下简称“本项目”）合同（合同编号：</w:t>
      </w:r>
      <w:permStart w:id="443" w:edGrp="everyone"/>
      <w:r>
        <w:rPr>
          <w:rFonts w:hint="eastAsia" w:ascii="仿宋_GB2312" w:hAnsi="仿宋_GB2312" w:eastAsia="仿宋_GB2312" w:cs="仿宋_GB2312"/>
          <w:color w:val="auto"/>
          <w:sz w:val="24"/>
          <w:szCs w:val="24"/>
          <w:highlight w:val="none"/>
          <w:u w:val="single"/>
        </w:rPr>
        <w:t xml:space="preserve">      </w:t>
      </w:r>
      <w:permEnd w:id="443"/>
      <w:r>
        <w:rPr>
          <w:rFonts w:hint="eastAsia" w:ascii="仿宋_GB2312" w:hAnsi="仿宋_GB2312" w:eastAsia="仿宋_GB2312" w:cs="仿宋_GB2312"/>
          <w:color w:val="auto"/>
          <w:sz w:val="24"/>
          <w:szCs w:val="24"/>
          <w:highlight w:val="none"/>
        </w:rPr>
        <w:t>，以下简称“主合同”）约定条款的基础上，根据国家有关法律法规和廉政建设的有关规定，特订立本廉洁责任书，以资共同遵守。</w:t>
      </w:r>
    </w:p>
    <w:p w14:paraId="7C1A4DA9">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一、双方的责任</w:t>
      </w:r>
    </w:p>
    <w:p w14:paraId="31268E66">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（一）严格遵守国家关于</w:t>
      </w:r>
      <w:permStart w:id="444" w:edGrp="everyone"/>
      <w:r>
        <w:rPr>
          <w:rFonts w:hint="eastAsia" w:ascii="仿宋_GB2312" w:hAnsi="仿宋_GB2312" w:eastAsia="仿宋_GB2312" w:cs="仿宋_GB2312"/>
          <w:color w:val="auto"/>
          <w:sz w:val="24"/>
          <w:szCs w:val="24"/>
          <w:highlight w:val="none"/>
        </w:rPr>
        <w:sym w:font="Wingdings 2" w:char="0052"/>
      </w:r>
      <w:permEnd w:id="444"/>
      <w:r>
        <w:rPr>
          <w:rFonts w:hint="eastAsia" w:ascii="仿宋_GB2312" w:hAnsi="仿宋_GB2312" w:eastAsia="仿宋_GB2312" w:cs="仿宋_GB2312"/>
          <w:color w:val="auto"/>
          <w:sz w:val="24"/>
          <w:szCs w:val="24"/>
          <w:highlight w:val="none"/>
          <w:u w:val="single"/>
        </w:rPr>
        <w:t>建设工程、</w:t>
      </w:r>
      <w:permStart w:id="445" w:edGrp="everyone"/>
      <w:r>
        <w:rPr>
          <w:rFonts w:hint="eastAsia" w:ascii="仿宋_GB2312" w:hAnsi="仿宋_GB2312" w:eastAsia="仿宋_GB2312" w:cs="仿宋_GB2312"/>
          <w:color w:val="auto"/>
          <w:kern w:val="0"/>
          <w:sz w:val="24"/>
          <w:szCs w:val="24"/>
          <w:highlight w:val="none"/>
        </w:rPr>
        <w:sym w:font="Wingdings 2" w:char="0051"/>
      </w:r>
      <w:permEnd w:id="445"/>
      <w:r>
        <w:rPr>
          <w:rFonts w:hint="eastAsia" w:ascii="仿宋_GB2312" w:hAnsi="仿宋_GB2312" w:eastAsia="仿宋_GB2312" w:cs="仿宋_GB2312"/>
          <w:color w:val="auto"/>
          <w:sz w:val="24"/>
          <w:szCs w:val="24"/>
          <w:highlight w:val="none"/>
          <w:u w:val="single"/>
        </w:rPr>
        <w:t>物资采购、</w:t>
      </w:r>
      <w:permStart w:id="446" w:edGrp="everyone"/>
      <w:r>
        <w:rPr>
          <w:rFonts w:hint="eastAsia" w:ascii="仿宋_GB2312" w:hAnsi="仿宋_GB2312" w:eastAsia="仿宋_GB2312" w:cs="仿宋_GB2312"/>
          <w:color w:val="auto"/>
          <w:kern w:val="0"/>
          <w:sz w:val="24"/>
          <w:szCs w:val="24"/>
          <w:highlight w:val="none"/>
        </w:rPr>
        <w:sym w:font="Wingdings 2" w:char="0051"/>
      </w:r>
      <w:permEnd w:id="446"/>
      <w:r>
        <w:rPr>
          <w:rFonts w:hint="eastAsia" w:ascii="仿宋_GB2312" w:hAnsi="仿宋_GB2312" w:eastAsia="仿宋_GB2312" w:cs="仿宋_GB2312"/>
          <w:color w:val="auto"/>
          <w:sz w:val="24"/>
          <w:szCs w:val="24"/>
          <w:highlight w:val="none"/>
          <w:u w:val="single"/>
        </w:rPr>
        <w:t>营运类服务</w:t>
      </w:r>
      <w:r>
        <w:rPr>
          <w:rFonts w:hint="eastAsia" w:ascii="仿宋_GB2312" w:hAnsi="仿宋_GB2312" w:eastAsia="仿宋_GB2312" w:cs="仿宋_GB2312"/>
          <w:color w:val="auto"/>
          <w:sz w:val="24"/>
          <w:szCs w:val="24"/>
          <w:highlight w:val="none"/>
        </w:rPr>
        <w:t>等有关法律法规、相关政策以及廉政建设的各项规定。</w:t>
      </w:r>
    </w:p>
    <w:p w14:paraId="362A407C">
      <w:pPr>
        <w:spacing w:line="560" w:lineRule="exact"/>
        <w:ind w:firstLine="352" w:firstLineChars="147"/>
        <w:rPr>
          <w:rFonts w:hint="eastAsia" w:ascii="仿宋_GB2312" w:hAnsi="仿宋_GB2312" w:eastAsia="仿宋_GB2312" w:cs="仿宋_GB2312"/>
          <w:color w:val="auto"/>
          <w:sz w:val="24"/>
          <w:szCs w:val="24"/>
          <w:highlight w:val="none"/>
          <w:shd w:val="clear" w:color="FFFFFF" w:fill="D9D9D9"/>
        </w:rPr>
      </w:pPr>
      <w:r>
        <w:rPr>
          <w:rFonts w:hint="eastAsia" w:ascii="仿宋_GB2312" w:hAnsi="仿宋_GB2312" w:eastAsia="仿宋_GB2312" w:cs="仿宋_GB2312"/>
          <w:color w:val="auto"/>
          <w:sz w:val="24"/>
          <w:szCs w:val="24"/>
          <w:highlight w:val="none"/>
        </w:rPr>
        <w:t>（二）严格执行主合同条款，自觉按合同办事。</w:t>
      </w:r>
    </w:p>
    <w:p w14:paraId="4A400903">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（三）业务活动必须坚持公开、公平、公正、诚信的原则，损害国家、集体和对方利益，不得违反</w:t>
      </w:r>
      <w:permStart w:id="447" w:edGrp="everyone"/>
      <w:r>
        <w:rPr>
          <w:rFonts w:hint="eastAsia" w:ascii="仿宋_GB2312" w:hAnsi="仿宋_GB2312" w:eastAsia="仿宋_GB2312" w:cs="仿宋_GB2312"/>
          <w:color w:val="auto"/>
          <w:sz w:val="24"/>
          <w:szCs w:val="24"/>
          <w:highlight w:val="none"/>
        </w:rPr>
        <w:sym w:font="Wingdings 2" w:char="0052"/>
      </w:r>
      <w:permEnd w:id="447"/>
      <w:r>
        <w:rPr>
          <w:rFonts w:hint="eastAsia" w:ascii="仿宋_GB2312" w:hAnsi="仿宋_GB2312" w:eastAsia="仿宋_GB2312" w:cs="仿宋_GB2312"/>
          <w:color w:val="auto"/>
          <w:sz w:val="24"/>
          <w:szCs w:val="24"/>
          <w:highlight w:val="none"/>
          <w:u w:val="single"/>
        </w:rPr>
        <w:t>建设工程、</w:t>
      </w:r>
      <w:permStart w:id="448" w:edGrp="everyone"/>
      <w:r>
        <w:rPr>
          <w:rFonts w:hint="eastAsia" w:ascii="仿宋_GB2312" w:hAnsi="仿宋_GB2312" w:eastAsia="仿宋_GB2312" w:cs="仿宋_GB2312"/>
          <w:color w:val="auto"/>
          <w:kern w:val="0"/>
          <w:sz w:val="24"/>
          <w:szCs w:val="24"/>
          <w:highlight w:val="none"/>
        </w:rPr>
        <w:sym w:font="Wingdings 2" w:char="0051"/>
      </w:r>
      <w:permEnd w:id="448"/>
      <w:r>
        <w:rPr>
          <w:rFonts w:hint="eastAsia" w:ascii="仿宋_GB2312" w:hAnsi="仿宋_GB2312" w:eastAsia="仿宋_GB2312" w:cs="仿宋_GB2312"/>
          <w:color w:val="auto"/>
          <w:sz w:val="24"/>
          <w:szCs w:val="24"/>
          <w:highlight w:val="none"/>
          <w:u w:val="single"/>
        </w:rPr>
        <w:t>物资采购、</w:t>
      </w:r>
      <w:permStart w:id="449" w:edGrp="everyone"/>
      <w:r>
        <w:rPr>
          <w:rFonts w:hint="eastAsia" w:ascii="仿宋_GB2312" w:hAnsi="仿宋_GB2312" w:eastAsia="仿宋_GB2312" w:cs="仿宋_GB2312"/>
          <w:color w:val="auto"/>
          <w:kern w:val="0"/>
          <w:sz w:val="24"/>
          <w:szCs w:val="24"/>
          <w:highlight w:val="none"/>
        </w:rPr>
        <w:sym w:font="Wingdings 2" w:char="0051"/>
      </w:r>
      <w:permEnd w:id="449"/>
      <w:r>
        <w:rPr>
          <w:rFonts w:hint="eastAsia" w:ascii="仿宋_GB2312" w:hAnsi="仿宋_GB2312" w:eastAsia="仿宋_GB2312" w:cs="仿宋_GB2312"/>
          <w:color w:val="auto"/>
          <w:sz w:val="24"/>
          <w:szCs w:val="24"/>
          <w:highlight w:val="none"/>
          <w:u w:val="single"/>
        </w:rPr>
        <w:t>营运类服务</w:t>
      </w:r>
      <w:r>
        <w:rPr>
          <w:rFonts w:hint="eastAsia" w:ascii="仿宋_GB2312" w:hAnsi="仿宋_GB2312" w:eastAsia="仿宋_GB2312" w:cs="仿宋_GB2312"/>
          <w:color w:val="auto"/>
          <w:sz w:val="24"/>
          <w:szCs w:val="24"/>
          <w:highlight w:val="none"/>
        </w:rPr>
        <w:t>管理的规章制度。</w:t>
      </w:r>
    </w:p>
    <w:p w14:paraId="5495754C">
      <w:pPr>
        <w:tabs>
          <w:tab w:val="left" w:pos="709"/>
        </w:tabs>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（四）在业务活动中任何一方如发现单位或人员有违规、违纪、违法行为的，均有义务向其上级主管部门或纪检监察、司法等机关举报。</w:t>
      </w:r>
    </w:p>
    <w:p w14:paraId="309D2698">
      <w:pPr>
        <w:tabs>
          <w:tab w:val="left" w:pos="709"/>
        </w:tabs>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（五）建立健全廉洁从业制度，开展项目人员廉洁教育，公布监督举报电话，接受群众监督。</w:t>
      </w:r>
    </w:p>
    <w:p w14:paraId="7E5AEFE2">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二、甲方责任</w:t>
      </w:r>
    </w:p>
    <w:p w14:paraId="779E354B">
      <w:pPr>
        <w:spacing w:line="56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（一）甲方须向乙方介绍本单位有关廉政建设的各项制度和规定，并有权监督乙方履行主合同的廉洁情况。</w:t>
      </w:r>
    </w:p>
    <w:p w14:paraId="280EF5A8">
      <w:pPr>
        <w:spacing w:line="560" w:lineRule="exact"/>
        <w:ind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（二）甲方须对本单位项目相关人员开展廉洁教育,督促本单位从业人员遵守以下规定：</w:t>
      </w:r>
    </w:p>
    <w:p w14:paraId="4F7D768D">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1.不得利用职务之便向乙方索要或接受回扣、礼金、有价证券、贵重物品、手续费、加班费、咨询费、劳务费、协调费、辛苦费等各种名义给予或赠送的钱物，难以拒收的，必须按登记上交。</w:t>
      </w:r>
    </w:p>
    <w:p w14:paraId="0A365F55">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2.不得要求乙方报销任何应由甲方或其工作人员支付的费用。</w:t>
      </w:r>
    </w:p>
    <w:p w14:paraId="358947EE">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3.不得要求、暗示或接受乙方为甲方工作人员的住房装修、婚丧嫁娶、配偶子女工作安排以及出国（境）、旅游等事项提供方便。</w:t>
      </w:r>
    </w:p>
    <w:p w14:paraId="05E142D1">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4.不得参加有可能影响公正履行岗位职责或相关业务公平公正开展的乙方安排的宴请、健身、娱乐等活动。</w:t>
      </w:r>
    </w:p>
    <w:p w14:paraId="45AE77FF">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5.不得向乙方推荐与主合同有关的劳务分包单位。</w:t>
      </w:r>
    </w:p>
    <w:p w14:paraId="1E86BB56">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6.不得向乙方推荐甲方工作人员的配偶、子女、亲属参与双方合同履行有关的经济活动。</w:t>
      </w:r>
    </w:p>
    <w:p w14:paraId="3E741A7B">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7.不得参与任何形式的赌博，并通过赌博方式收受乙方财物；不得接受乙方提供的通讯工具、交通工具（合同约定除外）和高档办公用品等。</w:t>
      </w:r>
    </w:p>
    <w:p w14:paraId="6D913B86">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8.不得有其他可能影响公正履行岗位职责的行为或其他违反廉洁规定。</w:t>
      </w:r>
    </w:p>
    <w:p w14:paraId="1F9B09C9">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三、乙方责任</w:t>
      </w:r>
    </w:p>
    <w:p w14:paraId="27EE339B">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（一）乙方应了解并配合执行甲方有关廉政建设的各项制度和规定。</w:t>
      </w:r>
    </w:p>
    <w:p w14:paraId="1D00C684">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（二）乙方应对本单位工作人员开展廉洁教育（包括甲方制定的有关廉政建设方面的各项制度和规定），按时出席甲方召集的有关会议。</w:t>
      </w:r>
    </w:p>
    <w:p w14:paraId="6E4BA3E1">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（三）乙方应与甲方保持正常的业务交往，按照有关法律法规和程序开展业务工作，严格执行有关政策规定，并遵守以下规定：</w:t>
      </w:r>
    </w:p>
    <w:p w14:paraId="52AE384E">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1.不得向甲方及其工作人员以赠送回扣、礼金、有价证券、贵重物品、手续费、加班费、咨询费、劳务费、协调费、辛苦费等各种名义给予或赠送的钱物。</w:t>
      </w:r>
    </w:p>
    <w:p w14:paraId="7338D9D7">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2.不得为甲方报销应由甲方或其工作人员支付的费用。</w:t>
      </w:r>
    </w:p>
    <w:p w14:paraId="4F9A39CF">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3.不得接受为甲方工作人员的住房装修、婚丧嫁娶、配偶子女工作安排以及出国（境）、旅游等事项提供便利。</w:t>
      </w:r>
    </w:p>
    <w:p w14:paraId="05D289B7">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4.不得为甲方及其工作人员安排、组织有可能影响公正履行岗位职责的宴请、健身、娱乐等活动。</w:t>
      </w:r>
    </w:p>
    <w:p w14:paraId="59F3BF68">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5.不得接受甲方推荐的与主合同有关的劳务分包单位。</w:t>
      </w:r>
    </w:p>
    <w:p w14:paraId="3FC54FA2">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6.不得接受甲方工作人员推荐其配偶、子女、亲属参与主合同的设备材料、劳务分包等经济活动。</w:t>
      </w:r>
    </w:p>
    <w:p w14:paraId="32C2029C">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7.乙方不得为甲方单位和个人购置或提供通讯工具和高档办公用品等物品，也不得为甲方提供与工作无关的房屋、汽车等。</w:t>
      </w:r>
    </w:p>
    <w:p w14:paraId="5762CC05">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8.乙方不得擅自与甲方工作人员就主合同中的质量、数量、价格、工程量、验收等条款进行私下商谈或者达成默契。</w:t>
      </w:r>
    </w:p>
    <w:p w14:paraId="73B78A8C">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9.乙方不得向甲方工作人员提供干股或红利。</w:t>
      </w:r>
    </w:p>
    <w:p w14:paraId="42569978">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10.不得有其他可能影响甲方工作人员公正履行岗位职责的行为或其他违反廉洁规定。</w:t>
      </w:r>
    </w:p>
    <w:p w14:paraId="4ACE24EC">
      <w:pPr>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四、违约责任及处理</w:t>
      </w:r>
    </w:p>
    <w:p w14:paraId="2871F745">
      <w:pPr>
        <w:spacing w:line="560" w:lineRule="exact"/>
        <w:ind w:firstLine="352" w:firstLineChars="1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（一）甲方工作人员有违反本责任书“一”“二”款约定的，视情节轻重，依据有关法律法规和甲方相关制度规定给予组织处理、党纪政纪处分；涉嫌犯罪的，移交司法机关追究刑事责任。</w:t>
      </w:r>
    </w:p>
    <w:p w14:paraId="397D9E19">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甲方举报投诉联系部门：广州市自来水有限公司纪检室，联系电话：020-87159082，电子邮箱：jjs@gzwatersupply.com。</w:t>
      </w:r>
    </w:p>
    <w:p w14:paraId="5C661074">
      <w:pPr>
        <w:numPr>
          <w:ilvl w:val="0"/>
          <w:numId w:val="16"/>
        </w:num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乙方工作人员有违反本责任书“一”“三”款约定的，甲方均有权根据具体情节和造成的后果，对乙方采取以下处理方式：</w:t>
      </w:r>
    </w:p>
    <w:p w14:paraId="3F6A0440">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1.扣除主合同的全部履约保证金。</w:t>
      </w:r>
    </w:p>
    <w:p w14:paraId="7A3280E7">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2.对违纪违法相关责任人依规依法进行处理和更换，并取消乙方单位服务资格。</w:t>
      </w:r>
    </w:p>
    <w:p w14:paraId="01E39E62">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3.追究乙方其他违约责任和损失赔偿。</w:t>
      </w:r>
    </w:p>
    <w:p w14:paraId="4E35295A">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4.甲方有权向乙方单位上级纪检监察部门、有关行政管理部门等提出对乙方相关责任人进行责任追究和处罚；涉嫌犯罪的，移送司法机关追究刑事责任。</w:t>
      </w:r>
    </w:p>
    <w:p w14:paraId="6CC72692">
      <w:pPr>
        <w:adjustRightInd w:val="0"/>
        <w:snapToGrid w:val="0"/>
        <w:spacing w:line="56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5.针对典型案例，形成廉洁问题专报，视情节严重程度上报上级管理部门，或在甲乙双方单位进行情况通报。</w:t>
      </w:r>
    </w:p>
    <w:p w14:paraId="176A2AB8">
      <w:pPr>
        <w:tabs>
          <w:tab w:val="left" w:pos="709"/>
        </w:tabs>
        <w:spacing w:line="560" w:lineRule="exact"/>
        <w:ind w:firstLine="482" w:firstLineChars="200"/>
        <w:rPr>
          <w:rFonts w:hint="eastAsia" w:ascii="仿宋_GB2312" w:hAnsi="仿宋_GB2312" w:eastAsia="仿宋_GB2312" w:cs="仿宋_GB2312"/>
          <w:b/>
          <w:bCs/>
          <w:color w:val="auto"/>
          <w:sz w:val="24"/>
          <w:szCs w:val="24"/>
          <w:highlight w:val="none"/>
        </w:rPr>
      </w:pPr>
      <w:permStart w:id="450" w:edGrp="everyone"/>
      <w:r>
        <w:rPr>
          <w:rFonts w:hint="eastAsia" w:ascii="仿宋_GB2312" w:hAnsi="仿宋_GB2312" w:eastAsia="仿宋_GB2312" w:cs="仿宋_GB2312"/>
          <w:b/>
          <w:bCs/>
          <w:color w:val="auto"/>
          <w:sz w:val="24"/>
          <w:szCs w:val="24"/>
          <w:highlight w:val="none"/>
        </w:rPr>
        <w:sym w:font="Wingdings 2" w:char="0052"/>
      </w:r>
      <w:r>
        <w:rPr>
          <w:rFonts w:hint="eastAsia" w:ascii="仿宋_GB2312" w:hAnsi="仿宋_GB2312" w:eastAsia="仿宋_GB2312" w:cs="仿宋_GB2312"/>
          <w:b/>
          <w:bCs/>
          <w:color w:val="auto"/>
          <w:sz w:val="24"/>
          <w:szCs w:val="24"/>
          <w:highlight w:val="none"/>
        </w:rPr>
        <w:t xml:space="preserve"> </w:t>
      </w:r>
      <w:permEnd w:id="450"/>
      <w:r>
        <w:rPr>
          <w:rFonts w:hint="eastAsia" w:ascii="仿宋_GB2312" w:hAnsi="仿宋_GB2312" w:eastAsia="仿宋_GB2312" w:cs="仿宋_GB2312"/>
          <w:b/>
          <w:bCs/>
          <w:color w:val="auto"/>
          <w:sz w:val="24"/>
          <w:szCs w:val="24"/>
          <w:highlight w:val="none"/>
        </w:rPr>
        <w:t>工程建设项目选择此项</w:t>
      </w:r>
    </w:p>
    <w:p w14:paraId="5DB094CD">
      <w:pPr>
        <w:tabs>
          <w:tab w:val="left" w:pos="709"/>
        </w:tabs>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乙方应严格执行有关勘察设计、建筑施工安装的强制性标准和规范，以及监理法规，根据广州市及甲方关于水务工程勘察设计、施工和监理企业诚信评价的有关规定，如乙方存在被纪检监察部门认定有行贿行为、被法院判决犯有行贿罪记录等违反廉政规定的，甲方书面提请水务行政主管部门处理。</w:t>
      </w:r>
    </w:p>
    <w:p w14:paraId="71CFA5AC">
      <w:pPr>
        <w:tabs>
          <w:tab w:val="left" w:pos="7513"/>
        </w:tabs>
        <w:spacing w:before="72" w:beforeLines="30" w:line="560" w:lineRule="exact"/>
        <w:ind w:firstLine="479" w:firstLineChars="19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五、责任书有效期</w:t>
      </w:r>
    </w:p>
    <w:p w14:paraId="5F411C01">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（一）本责任书作为主合同组成部分，与主合同具有同等法律效力。经双方签署后立即生效。</w:t>
      </w:r>
    </w:p>
    <w:p w14:paraId="1BF4F70F">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（二）本责任书的有效期为合同生效之日起至主合同履约结束时止。</w:t>
      </w:r>
    </w:p>
    <w:p w14:paraId="451EBBBB">
      <w:pPr>
        <w:pStyle w:val="8"/>
        <w:rPr>
          <w:rFonts w:hint="eastAsia" w:ascii="仿宋_GB2312" w:hAnsi="仿宋_GB2312" w:eastAsia="仿宋_GB2312" w:cs="仿宋_GB2312"/>
          <w:color w:val="auto"/>
          <w:sz w:val="24"/>
          <w:szCs w:val="24"/>
          <w:highlight w:val="none"/>
        </w:rPr>
      </w:pPr>
    </w:p>
    <w:tbl>
      <w:tblPr>
        <w:tblStyle w:val="19"/>
        <w:tblpPr w:leftFromText="180" w:rightFromText="180" w:vertAnchor="text" w:horzAnchor="page" w:tblpX="1774" w:tblpY="23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14:paraId="06E94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251D5D4E">
            <w:pPr>
              <w:spacing w:line="560" w:lineRule="exact"/>
              <w:rPr>
                <w:rFonts w:hint="eastAsia" w:ascii="仿宋_GB2312" w:hAnsi="仿宋_GB2312" w:eastAsia="仿宋_GB2312" w:cs="仿宋_GB2312"/>
                <w:color w:val="auto"/>
                <w:kern w:val="0"/>
                <w:sz w:val="24"/>
                <w:szCs w:val="24"/>
                <w:highlight w:val="none"/>
                <w:vertAlign w:val="baseline"/>
              </w:rPr>
            </w:pPr>
            <w:permStart w:id="451" w:edGrp="everyone"/>
            <w:r>
              <w:rPr>
                <w:rFonts w:hint="eastAsia" w:ascii="仿宋_GB2312" w:hAnsi="仿宋_GB2312" w:eastAsia="仿宋_GB2312" w:cs="仿宋_GB2312"/>
                <w:color w:val="auto"/>
                <w:sz w:val="24"/>
                <w:szCs w:val="24"/>
                <w:highlight w:val="none"/>
              </w:rPr>
              <w:t xml:space="preserve">甲方单位：（盖章） </w:t>
            </w:r>
          </w:p>
        </w:tc>
        <w:tc>
          <w:tcPr>
            <w:tcW w:w="4261" w:type="dxa"/>
          </w:tcPr>
          <w:p w14:paraId="44B4BA0C">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乙方单位：（盖章）</w:t>
            </w:r>
          </w:p>
        </w:tc>
      </w:tr>
      <w:tr w14:paraId="030AF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143D32D6">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 xml:space="preserve">甲方监督单位：广州市自来水有限公司纪检室 </w:t>
            </w:r>
          </w:p>
        </w:tc>
        <w:tc>
          <w:tcPr>
            <w:tcW w:w="4261" w:type="dxa"/>
          </w:tcPr>
          <w:p w14:paraId="79FB5E37">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乙方监督单位：</w:t>
            </w:r>
          </w:p>
        </w:tc>
      </w:tr>
      <w:tr w14:paraId="7D020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5F93F0B8">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 xml:space="preserve">甲方监督电话：020-87159082 </w:t>
            </w:r>
          </w:p>
        </w:tc>
        <w:tc>
          <w:tcPr>
            <w:tcW w:w="4261" w:type="dxa"/>
          </w:tcPr>
          <w:p w14:paraId="69E99C66">
            <w:pPr>
              <w:spacing w:line="560" w:lineRule="exac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sz w:val="24"/>
                <w:szCs w:val="24"/>
                <w:highlight w:val="none"/>
              </w:rPr>
              <w:t>乙方监督电话：</w:t>
            </w:r>
          </w:p>
        </w:tc>
      </w:tr>
      <w:permEnd w:id="451"/>
    </w:tbl>
    <w:p w14:paraId="06B075A0">
      <w:pPr>
        <w:rPr>
          <w:rFonts w:hint="eastAsia"/>
          <w:color w:val="auto"/>
          <w:highlight w:val="none"/>
        </w:rPr>
      </w:pPr>
    </w:p>
    <w:p w14:paraId="69EC6C05">
      <w:pPr>
        <w:rPr>
          <w:rFonts w:hint="eastAsia" w:ascii="黑体" w:hAnsi="黑体" w:eastAsia="黑体" w:cs="黑体"/>
          <w:b w:val="0"/>
          <w:bCs w:val="0"/>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br w:type="page"/>
      </w:r>
      <w:bookmarkStart w:id="727" w:name="_Toc10624987"/>
      <w:bookmarkStart w:id="728" w:name="_Toc469384143"/>
      <w:bookmarkStart w:id="729" w:name="_Toc266892927"/>
      <w:permStart w:id="452"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7</w:t>
      </w:r>
      <w:permEnd w:id="452"/>
    </w:p>
    <w:p w14:paraId="30440B04">
      <w:pPr>
        <w:keepNext/>
        <w:keepLines/>
        <w:ind w:right="85"/>
        <w:jc w:val="center"/>
        <w:outlineLvl w:val="0"/>
        <w:rPr>
          <w:rFonts w:hint="eastAsia" w:ascii="宋体" w:hAnsi="宋体" w:cs="宋体"/>
          <w:b/>
          <w:bCs/>
          <w:color w:val="auto"/>
          <w:kern w:val="44"/>
          <w:sz w:val="22"/>
          <w:szCs w:val="22"/>
          <w:highlight w:val="none"/>
        </w:rPr>
      </w:pPr>
      <w:bookmarkStart w:id="730" w:name="_Toc493602599"/>
      <w:bookmarkStart w:id="731" w:name="_Toc451352266"/>
      <w:bookmarkStart w:id="732" w:name="_Toc451351753"/>
      <w:bookmarkStart w:id="733" w:name="_Toc457222692"/>
    </w:p>
    <w:p w14:paraId="0C7703C8">
      <w:pPr>
        <w:keepNext/>
        <w:keepLines/>
        <w:ind w:right="85"/>
        <w:jc w:val="center"/>
        <w:outlineLvl w:val="0"/>
        <w:rPr>
          <w:rFonts w:hint="eastAsia" w:ascii="方正小标宋简体" w:hAnsi="方正小标宋简体" w:eastAsia="方正小标宋简体" w:cs="方正小标宋简体"/>
          <w:b w:val="0"/>
          <w:bCs w:val="0"/>
          <w:color w:val="auto"/>
          <w:kern w:val="44"/>
          <w:sz w:val="32"/>
          <w:szCs w:val="32"/>
          <w:highlight w:val="none"/>
        </w:rPr>
      </w:pPr>
      <w:r>
        <w:rPr>
          <w:rFonts w:hint="eastAsia" w:ascii="方正小标宋简体" w:hAnsi="方正小标宋简体" w:eastAsia="方正小标宋简体" w:cs="方正小标宋简体"/>
          <w:b w:val="0"/>
          <w:bCs w:val="0"/>
          <w:color w:val="auto"/>
          <w:kern w:val="44"/>
          <w:sz w:val="32"/>
          <w:szCs w:val="32"/>
          <w:highlight w:val="none"/>
        </w:rPr>
        <w:t>建设工程按系数计算的绿色施工安全防护措施费协议书</w:t>
      </w:r>
      <w:bookmarkEnd w:id="730"/>
      <w:bookmarkEnd w:id="731"/>
      <w:bookmarkEnd w:id="732"/>
      <w:bookmarkEnd w:id="733"/>
    </w:p>
    <w:p w14:paraId="6DA2CDEC">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项目名称：</w:t>
      </w:r>
      <w:permStart w:id="453" w:edGrp="everyone"/>
      <w:r>
        <w:rPr>
          <w:rFonts w:hint="eastAsia" w:ascii="仿宋_GB2312" w:hAnsi="仿宋_GB2312" w:eastAsia="仿宋_GB2312" w:cs="仿宋_GB2312"/>
          <w:b/>
          <w:bCs/>
          <w:color w:val="auto"/>
          <w:kern w:val="0"/>
          <w:sz w:val="24"/>
          <w:szCs w:val="24"/>
          <w:highlight w:val="none"/>
          <w:u w:val="single"/>
        </w:rPr>
        <w:t xml:space="preserve"> 车陂加压站复建工程第二阶段(附属设施用房)</w:t>
      </w:r>
      <w:r>
        <w:rPr>
          <w:rFonts w:hint="eastAsia" w:ascii="仿宋_GB2312" w:hAnsi="仿宋_GB2312" w:eastAsia="仿宋_GB2312" w:cs="仿宋_GB2312"/>
          <w:b/>
          <w:bCs/>
          <w:color w:val="auto"/>
          <w:kern w:val="0"/>
          <w:sz w:val="24"/>
          <w:szCs w:val="24"/>
          <w:highlight w:val="none"/>
          <w:u w:val="single"/>
          <w:lang w:val="en-US" w:eastAsia="zh-CN"/>
        </w:rPr>
        <w:t>施工总承包</w:t>
      </w:r>
      <w:r>
        <w:rPr>
          <w:rFonts w:hint="eastAsia" w:ascii="仿宋_GB2312" w:hAnsi="仿宋_GB2312" w:eastAsia="仿宋_GB2312" w:cs="仿宋_GB2312"/>
          <w:b/>
          <w:bCs/>
          <w:color w:val="auto"/>
          <w:kern w:val="0"/>
          <w:sz w:val="24"/>
          <w:szCs w:val="24"/>
          <w:highlight w:val="none"/>
          <w:u w:val="single"/>
        </w:rPr>
        <w:t xml:space="preserve">  </w:t>
      </w:r>
      <w:permEnd w:id="453"/>
    </w:p>
    <w:p w14:paraId="356E41FB">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甲方：</w:t>
      </w:r>
      <w:permStart w:id="454" w:edGrp="everyone"/>
      <w:r>
        <w:rPr>
          <w:rFonts w:hint="eastAsia" w:ascii="仿宋_GB2312" w:hAnsi="仿宋_GB2312" w:eastAsia="仿宋_GB2312" w:cs="仿宋_GB2312"/>
          <w:b/>
          <w:bCs/>
          <w:color w:val="auto"/>
          <w:kern w:val="0"/>
          <w:sz w:val="24"/>
          <w:szCs w:val="24"/>
          <w:highlight w:val="none"/>
          <w:u w:val="single"/>
        </w:rPr>
        <w:t xml:space="preserve">  </w:t>
      </w:r>
      <w:r>
        <w:rPr>
          <w:rFonts w:hint="eastAsia" w:ascii="仿宋_GB2312" w:hAnsi="仿宋_GB2312" w:eastAsia="仿宋_GB2312" w:cs="仿宋_GB2312"/>
          <w:b/>
          <w:bCs/>
          <w:color w:val="auto"/>
          <w:kern w:val="0"/>
          <w:sz w:val="24"/>
          <w:szCs w:val="24"/>
          <w:highlight w:val="none"/>
          <w:u w:val="single"/>
          <w:lang w:val="en-US" w:eastAsia="zh-CN"/>
        </w:rPr>
        <w:t xml:space="preserve">广州市自来水有限公司         </w:t>
      </w:r>
      <w:r>
        <w:rPr>
          <w:rFonts w:hint="eastAsia" w:ascii="仿宋_GB2312" w:hAnsi="仿宋_GB2312" w:eastAsia="仿宋_GB2312" w:cs="仿宋_GB2312"/>
          <w:b/>
          <w:bCs/>
          <w:color w:val="auto"/>
          <w:kern w:val="0"/>
          <w:sz w:val="24"/>
          <w:szCs w:val="24"/>
          <w:highlight w:val="none"/>
          <w:u w:val="single"/>
        </w:rPr>
        <w:t xml:space="preserve">   </w:t>
      </w:r>
    </w:p>
    <w:permEnd w:id="454"/>
    <w:p w14:paraId="6EEEEA98">
      <w:pPr>
        <w:spacing w:line="560" w:lineRule="exact"/>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乙方：</w:t>
      </w:r>
      <w:permStart w:id="455" w:edGrp="everyone"/>
      <w:r>
        <w:rPr>
          <w:rFonts w:hint="eastAsia" w:ascii="仿宋_GB2312" w:hAnsi="仿宋_GB2312" w:eastAsia="仿宋_GB2312" w:cs="仿宋_GB2312"/>
          <w:b/>
          <w:bCs/>
          <w:color w:val="auto"/>
          <w:kern w:val="0"/>
          <w:sz w:val="24"/>
          <w:szCs w:val="24"/>
          <w:highlight w:val="none"/>
          <w:u w:val="single"/>
        </w:rPr>
        <w:t xml:space="preserve">                      </w:t>
      </w:r>
      <w:permEnd w:id="455"/>
    </w:p>
    <w:p w14:paraId="35AE084B">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根据《关于印发﹙建筑工程绿色施工安全防护措施费用及使用管理规定〉的通知》规定要求内容，经双方协商，对本工程的</w:t>
      </w:r>
      <w:r>
        <w:rPr>
          <w:rFonts w:hint="eastAsia" w:ascii="仿宋_GB2312" w:hAnsi="仿宋_GB2312" w:eastAsia="仿宋_GB2312" w:cs="仿宋_GB2312"/>
          <w:color w:val="auto"/>
          <w:kern w:val="0"/>
          <w:sz w:val="24"/>
          <w:szCs w:val="24"/>
          <w:highlight w:val="none"/>
          <w:lang w:val="en-US" w:eastAsia="zh-CN"/>
        </w:rPr>
        <w:t>按系数计算的</w:t>
      </w:r>
      <w:r>
        <w:rPr>
          <w:rFonts w:hint="eastAsia" w:ascii="仿宋_GB2312" w:hAnsi="仿宋_GB2312" w:eastAsia="仿宋_GB2312" w:cs="仿宋_GB2312"/>
          <w:color w:val="auto"/>
          <w:kern w:val="0"/>
          <w:sz w:val="24"/>
          <w:szCs w:val="24"/>
          <w:highlight w:val="none"/>
        </w:rPr>
        <w:t>绿色施工安全防护措施费用达成以下协定共同遵守，并作为工程施工合同的补充。</w:t>
      </w:r>
    </w:p>
    <w:p w14:paraId="52478A7E">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一、按系数计算的绿色施工安全防护措施费全部用于施工中的安全文明生产及文明施工方面，单列设立，专款专用。</w:t>
      </w:r>
    </w:p>
    <w:p w14:paraId="19AC80E7">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二、双方责任：甲乙双方共同遵守《关于印发﹙建筑工程绿色施工安全防护措施费用及使用管理规定〉的通知》，并按其内容执行。</w:t>
      </w:r>
    </w:p>
    <w:p w14:paraId="3DA7D493">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三、根据文件内容要求甲方将按系数计算的绿色施工安全防护措施费划拨给乙方专款专用，做到符合《关于印发﹙建筑工程绿色施工安全防护措施费用及使用管理规定〉的通知》的要求。</w:t>
      </w:r>
    </w:p>
    <w:p w14:paraId="7DABEB15">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四、按照文件要求，甲方支付乙方按系数计算的绿色施工安全防护措施费为￥</w:t>
      </w:r>
      <w:permStart w:id="456" w:edGrp="everyone"/>
      <w:r>
        <w:rPr>
          <w:rFonts w:hint="eastAsia" w:ascii="仿宋_GB2312" w:hAnsi="仿宋_GB2312" w:eastAsia="仿宋_GB2312" w:cs="仿宋_GB2312"/>
          <w:color w:val="auto"/>
          <w:kern w:val="0"/>
          <w:sz w:val="24"/>
          <w:szCs w:val="24"/>
          <w:highlight w:val="none"/>
          <w:u w:val="single"/>
        </w:rPr>
        <w:t xml:space="preserve">     </w:t>
      </w:r>
      <w:permEnd w:id="456"/>
      <w:r>
        <w:rPr>
          <w:rFonts w:hint="eastAsia" w:ascii="仿宋_GB2312" w:hAnsi="仿宋_GB2312" w:eastAsia="仿宋_GB2312" w:cs="仿宋_GB2312"/>
          <w:color w:val="auto"/>
          <w:kern w:val="0"/>
          <w:sz w:val="24"/>
          <w:szCs w:val="24"/>
          <w:highlight w:val="none"/>
        </w:rPr>
        <w:t>元（大写：</w:t>
      </w:r>
      <w:permStart w:id="457" w:edGrp="everyone"/>
      <w:r>
        <w:rPr>
          <w:rFonts w:hint="eastAsia" w:ascii="仿宋_GB2312" w:hAnsi="仿宋_GB2312" w:eastAsia="仿宋_GB2312" w:cs="仿宋_GB2312"/>
          <w:color w:val="auto"/>
          <w:kern w:val="0"/>
          <w:sz w:val="24"/>
          <w:szCs w:val="24"/>
          <w:highlight w:val="none"/>
          <w:u w:val="single"/>
        </w:rPr>
        <w:t xml:space="preserve">      </w:t>
      </w:r>
      <w:permEnd w:id="457"/>
      <w:r>
        <w:rPr>
          <w:rFonts w:hint="eastAsia" w:ascii="仿宋_GB2312" w:hAnsi="仿宋_GB2312" w:eastAsia="仿宋_GB2312" w:cs="仿宋_GB2312"/>
          <w:color w:val="auto"/>
          <w:kern w:val="0"/>
          <w:sz w:val="24"/>
          <w:szCs w:val="24"/>
          <w:highlight w:val="none"/>
        </w:rPr>
        <w:t>元）。此项费用已包含在中标总价内。</w:t>
      </w:r>
    </w:p>
    <w:p w14:paraId="7B29AF3E">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五、按系数计算的绿色施工安全防护措施费用的支付及结算：</w:t>
      </w:r>
    </w:p>
    <w:p w14:paraId="4AD2917C">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1.合同生效后7日内，承包人提供本工程的按系数计算的绿色施工安全防护措施费实施方案，经监理工程师审核并报发包人批准后预付</w:t>
      </w:r>
      <w:r>
        <w:rPr>
          <w:rFonts w:hint="eastAsia" w:ascii="仿宋_GB2312" w:hAnsi="仿宋_GB2312" w:eastAsia="仿宋_GB2312" w:cs="仿宋_GB2312"/>
          <w:color w:val="auto"/>
          <w:kern w:val="0"/>
          <w:sz w:val="24"/>
          <w:szCs w:val="24"/>
          <w:highlight w:val="none"/>
          <w:lang w:val="en-US" w:eastAsia="zh-CN"/>
        </w:rPr>
        <w:t>按系数计算的</w:t>
      </w:r>
      <w:r>
        <w:rPr>
          <w:rFonts w:hint="eastAsia" w:ascii="仿宋_GB2312" w:hAnsi="仿宋_GB2312" w:eastAsia="仿宋_GB2312" w:cs="仿宋_GB2312"/>
          <w:color w:val="auto"/>
          <w:kern w:val="0"/>
          <w:sz w:val="24"/>
          <w:szCs w:val="24"/>
          <w:highlight w:val="none"/>
        </w:rPr>
        <w:t>绿色施工安全防护措施费的70%。</w:t>
      </w:r>
    </w:p>
    <w:p w14:paraId="25542C7E">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2.承包人申请第一次工程进度款时，经监理工程师审核并报发包人批准后支付按系数计算的绿色施工安全防护措施费的20%；</w:t>
      </w:r>
    </w:p>
    <w:p w14:paraId="2A2FE690">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3.工程施工安全评价合格后，承包人按实际发生的金额办理按系数计算的绿色施工安全防护措施费结算，经监理工程师审核并报发包人批准后，一次性支付</w:t>
      </w:r>
      <w:r>
        <w:rPr>
          <w:rFonts w:hint="eastAsia" w:ascii="仿宋_GB2312" w:hAnsi="仿宋_GB2312" w:eastAsia="仿宋_GB2312" w:cs="仿宋_GB2312"/>
          <w:color w:val="auto"/>
          <w:kern w:val="0"/>
          <w:sz w:val="24"/>
          <w:szCs w:val="24"/>
          <w:highlight w:val="none"/>
        </w:rPr>
        <w:t>按系数计算的</w:t>
      </w:r>
      <w:r>
        <w:rPr>
          <w:rFonts w:hint="eastAsia" w:ascii="仿宋_GB2312" w:hAnsi="仿宋_GB2312" w:eastAsia="仿宋_GB2312" w:cs="仿宋_GB2312"/>
          <w:color w:val="auto"/>
          <w:kern w:val="0"/>
          <w:sz w:val="24"/>
          <w:szCs w:val="24"/>
          <w:highlight w:val="none"/>
        </w:rPr>
        <w:t>绿色施工安全防护措施费余款。</w:t>
      </w:r>
    </w:p>
    <w:p w14:paraId="0C06439F">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六、违约责任：如果乙方提取了工程按系数计算的绿色施工安全防护措施费用而达不到安监机构有关规定，或未办理好施工许可证的，乙方须承担全部责任。</w:t>
      </w:r>
    </w:p>
    <w:p w14:paraId="09370809">
      <w:pPr>
        <w:spacing w:line="560" w:lineRule="exact"/>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以上条款共同遵守。未尽事宜，双方协商解决。</w:t>
      </w:r>
    </w:p>
    <w:tbl>
      <w:tblPr>
        <w:tblStyle w:val="19"/>
        <w:tblpPr w:leftFromText="180" w:rightFromText="180" w:vertAnchor="text" w:horzAnchor="page" w:tblpX="1812" w:tblpY="36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1"/>
      </w:tblGrid>
      <w:tr w14:paraId="5988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0" w:type="dxa"/>
          </w:tcPr>
          <w:p w14:paraId="4C38ECF2">
            <w:pPr>
              <w:spacing w:line="560" w:lineRule="exact"/>
              <w:jc w:val="left"/>
              <w:rPr>
                <w:rFonts w:hint="eastAsia" w:ascii="仿宋_GB2312" w:hAnsi="仿宋_GB2312" w:eastAsia="仿宋_GB2312" w:cs="仿宋_GB2312"/>
                <w:color w:val="auto"/>
                <w:kern w:val="0"/>
                <w:sz w:val="24"/>
                <w:szCs w:val="24"/>
                <w:highlight w:val="none"/>
              </w:rPr>
            </w:pPr>
            <w:permStart w:id="458" w:edGrp="everyone"/>
            <w:r>
              <w:rPr>
                <w:rFonts w:hint="eastAsia" w:ascii="仿宋_GB2312" w:hAnsi="仿宋_GB2312" w:eastAsia="仿宋_GB2312" w:cs="仿宋_GB2312"/>
                <w:color w:val="auto"/>
                <w:kern w:val="0"/>
                <w:sz w:val="24"/>
                <w:szCs w:val="24"/>
                <w:highlight w:val="none"/>
              </w:rPr>
              <w:t>甲方：（盖章）</w:t>
            </w:r>
          </w:p>
          <w:p w14:paraId="05CABB20">
            <w:pPr>
              <w:pStyle w:val="3"/>
              <w:jc w:val="left"/>
              <w:rPr>
                <w:rFonts w:hint="default" w:eastAsia="仿宋_GB2312"/>
                <w:color w:val="auto"/>
                <w:highlight w:val="none"/>
                <w:lang w:val="en-US" w:eastAsia="zh-CN"/>
              </w:rPr>
            </w:pPr>
            <w:r>
              <w:rPr>
                <w:rFonts w:hint="eastAsia" w:ascii="仿宋_GB2312" w:hAnsi="仿宋_GB2312" w:eastAsia="仿宋_GB2312" w:cs="仿宋_GB2312"/>
                <w:color w:val="auto"/>
                <w:kern w:val="0"/>
                <w:sz w:val="24"/>
                <w:szCs w:val="24"/>
                <w:highlight w:val="none"/>
                <w:lang w:val="en-US" w:eastAsia="zh-CN"/>
              </w:rPr>
              <w:t>广州市自来水有限公司</w:t>
            </w:r>
          </w:p>
        </w:tc>
        <w:tc>
          <w:tcPr>
            <w:tcW w:w="4261" w:type="dxa"/>
          </w:tcPr>
          <w:p w14:paraId="0D6B4CE1">
            <w:pPr>
              <w:spacing w:line="560" w:lineRule="exact"/>
              <w:jc w:val="left"/>
              <w:rPr>
                <w:rFonts w:hint="eastAsia" w:ascii="仿宋_GB2312" w:hAnsi="仿宋_GB2312" w:eastAsia="仿宋_GB2312" w:cs="仿宋_GB2312"/>
                <w:color w:val="auto"/>
                <w:kern w:val="0"/>
                <w:sz w:val="24"/>
                <w:szCs w:val="24"/>
                <w:highlight w:val="none"/>
                <w:vertAlign w:val="baseline"/>
              </w:rPr>
            </w:pPr>
            <w:r>
              <w:rPr>
                <w:rFonts w:hint="eastAsia" w:ascii="仿宋_GB2312" w:hAnsi="仿宋_GB2312" w:eastAsia="仿宋_GB2312" w:cs="仿宋_GB2312"/>
                <w:color w:val="auto"/>
                <w:kern w:val="0"/>
                <w:sz w:val="24"/>
                <w:szCs w:val="24"/>
                <w:highlight w:val="none"/>
              </w:rPr>
              <w:t>乙方：（盖章）</w:t>
            </w:r>
          </w:p>
        </w:tc>
      </w:tr>
      <w:permEnd w:id="458"/>
    </w:tbl>
    <w:p w14:paraId="7CE01410">
      <w:pPr>
        <w:pStyle w:val="8"/>
        <w:rPr>
          <w:rFonts w:hint="eastAsia"/>
          <w:color w:val="auto"/>
          <w:highlight w:val="none"/>
        </w:rPr>
      </w:pPr>
    </w:p>
    <w:p w14:paraId="7F9F15A1">
      <w:pPr>
        <w:jc w:val="left"/>
        <w:rPr>
          <w:rFonts w:hint="default" w:ascii="黑体" w:hAnsi="黑体" w:eastAsia="黑体" w:cs="黑体"/>
          <w:b w:val="0"/>
          <w:bCs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br w:type="column"/>
      </w:r>
      <w:permStart w:id="459"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8</w:t>
      </w:r>
      <w:permEnd w:id="459"/>
    </w:p>
    <w:p w14:paraId="3C0F8C0B">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环保承诺书</w:t>
      </w:r>
    </w:p>
    <w:p w14:paraId="79787862">
      <w:pPr>
        <w:spacing w:line="560" w:lineRule="exact"/>
        <w:rPr>
          <w:rFonts w:hint="eastAsia" w:ascii="仿宋_GB2312" w:hAnsi="仿宋_GB2312" w:eastAsia="仿宋_GB2312" w:cs="仿宋_GB2312"/>
          <w:b/>
          <w:bCs/>
          <w:color w:val="auto"/>
          <w:sz w:val="24"/>
          <w:szCs w:val="24"/>
          <w:highlight w:val="none"/>
        </w:rPr>
      </w:pPr>
      <w:permStart w:id="460" w:edGrp="everyone"/>
      <w:r>
        <w:rPr>
          <w:rFonts w:hint="eastAsia" w:ascii="仿宋_GB2312" w:hAnsi="仿宋_GB2312" w:eastAsia="仿宋_GB2312" w:cs="仿宋_GB2312"/>
          <w:b/>
          <w:bCs/>
          <w:color w:val="auto"/>
          <w:sz w:val="24"/>
          <w:szCs w:val="24"/>
          <w:highlight w:val="none"/>
        </w:rPr>
        <w:t>项目名称:</w:t>
      </w:r>
      <w:r>
        <w:rPr>
          <w:rFonts w:hint="eastAsia" w:ascii="仿宋_GB2312" w:hAnsi="仿宋_GB2312" w:eastAsia="仿宋_GB2312" w:cs="仿宋_GB2312"/>
          <w:b/>
          <w:bCs/>
          <w:color w:val="auto"/>
          <w:sz w:val="24"/>
          <w:szCs w:val="24"/>
          <w:highlight w:val="none"/>
          <w:u w:val="single"/>
        </w:rPr>
        <w:t xml:space="preserve"> 车陂加压站复建工程第二阶段(附属设施用房)</w:t>
      </w:r>
      <w:r>
        <w:rPr>
          <w:rFonts w:hint="eastAsia" w:ascii="仿宋_GB2312" w:hAnsi="仿宋_GB2312" w:eastAsia="仿宋_GB2312" w:cs="仿宋_GB2312"/>
          <w:b/>
          <w:bCs/>
          <w:color w:val="auto"/>
          <w:sz w:val="24"/>
          <w:szCs w:val="24"/>
          <w:highlight w:val="none"/>
          <w:u w:val="single"/>
          <w:lang w:val="en-US" w:eastAsia="zh-CN"/>
        </w:rPr>
        <w:t>施工总承包</w:t>
      </w:r>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rPr>
        <w:t xml:space="preserve">     </w:t>
      </w:r>
    </w:p>
    <w:p w14:paraId="7FC1DC07">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项目地址：</w:t>
      </w:r>
      <w:r>
        <w:rPr>
          <w:rFonts w:hint="eastAsia" w:ascii="仿宋_GB2312" w:hAnsi="仿宋_GB2312" w:eastAsia="仿宋_GB2312" w:cs="仿宋_GB2312"/>
          <w:b/>
          <w:bCs/>
          <w:color w:val="auto"/>
          <w:sz w:val="24"/>
          <w:szCs w:val="24"/>
          <w:highlight w:val="none"/>
          <w:u w:val="single"/>
        </w:rPr>
        <w:t xml:space="preserve">广州市天河区黄埔大道金融城ATO91003地块  </w:t>
      </w:r>
    </w:p>
    <w:p w14:paraId="186B72F2">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承包范围：</w:t>
      </w:r>
      <w:r>
        <w:rPr>
          <w:rFonts w:hint="eastAsia" w:ascii="仿宋_GB2312" w:hAnsi="仿宋_GB2312" w:eastAsia="仿宋_GB2312" w:cs="仿宋_GB2312"/>
          <w:b/>
          <w:bCs/>
          <w:color w:val="auto"/>
          <w:sz w:val="24"/>
          <w:szCs w:val="24"/>
          <w:highlight w:val="none"/>
          <w:u w:val="single"/>
        </w:rPr>
        <w:t xml:space="preserve"> </w:t>
      </w:r>
      <w:r>
        <w:rPr>
          <w:rFonts w:hint="eastAsia" w:ascii="仿宋_GB2312" w:hAnsi="仿宋_GB2312" w:eastAsia="仿宋_GB2312" w:cs="仿宋_GB2312"/>
          <w:b/>
          <w:bCs/>
          <w:color w:val="auto"/>
          <w:sz w:val="24"/>
          <w:szCs w:val="24"/>
          <w:highlight w:val="none"/>
          <w:u w:val="single"/>
        </w:rPr>
        <w:t>车陂加压站复建工程第二阶段（附属设施用房）新建2栋单体建筑施工总承包，包括但不限于新建2栋单体建筑、建筑给水排水等管道系统、小型给水排水构筑物、道路及绿化等施工；建筑的变配电及应急电源系统、配电系统、照明系统、防雷、接地及安全措施、通风空调及防排烟系统等施</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rPr>
        <w:t>具体以招标文件、招标图纸、工程量清单及有关资料说明为准。</w:t>
      </w:r>
    </w:p>
    <w:p w14:paraId="7CA7F731">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u w:val="single"/>
        </w:rPr>
        <w:t>包括但不限于以下内容：</w:t>
      </w:r>
    </w:p>
    <w:p w14:paraId="76228F23">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u w:val="single"/>
        </w:rPr>
        <w:t>（1）负责全过程施工、竣工验收、竣工结算及智慧工地管理等承包工作，包括但不限于：站内三通一平、临水临电、临设建设，附属设施用房的土建、电气安装、电源接驳、室内外给排水；白蚁防治、临时及永久路面修复、管线保护与迁改、防雷专项验收、消防专项验收、海绵城市专项验收。</w:t>
      </w:r>
    </w:p>
    <w:p w14:paraId="050227AB">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2</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rPr>
        <w:t>、负责全部施工范围内施工放线、地下管线会签交底工作;办理本项目安全质量登记监督备案、办理取得项目监管部门的开工批复；项目涉及城市绿化、燃气、石油、国防光缆及其他相关设施范围的，应编制专项评估及保护方案，组织专家评审，报相应权属单位审批，负责满足项目施工影响范围内相关权属管理单位要求实施的施工前相关前置报批及其他相关工作，完善开工前准备工作。负责各项水务质监、水投集团、市自来水公司和属地监管部门要求的在建工地视频监控等信息化建设。</w:t>
      </w:r>
    </w:p>
    <w:p w14:paraId="60880741">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3</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rPr>
        <w:t>、负责全部施工范围内安全文明措施、临时及永久路面修复、现状设施查探及地下管线保护、拆除或废除旧管、迁移相关管线的土建和管道安装施工。负责编制深基坑、高支模等超过一定规模的危险性较大分部分项工程的安全专项施工方案和组织专家论证。在施工过程中，如遇燃气、电力通信等重点设施，应积极协调对应的管理部门，开展安全评估及施工过程中的监测等工作，相关费用已包含在投标报价中。</w:t>
      </w:r>
    </w:p>
    <w:p w14:paraId="2BE3EBF3">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u w:val="single"/>
        </w:rPr>
        <w:t>（4）落实海绵城市、环境保护、工程验收、移交、耗水费代缴、工程结算、档案资料移交等施工过程管理，竣工图编制 (竣工图必须是根据工程实际完成情况重新绘制的图纸)，</w:t>
      </w:r>
      <w:r>
        <w:rPr>
          <w:rFonts w:hint="eastAsia" w:ascii="仿宋_GB2312" w:hAnsi="仿宋_GB2312" w:eastAsia="仿宋_GB2312" w:cs="仿宋_GB2312"/>
          <w:b/>
          <w:bCs/>
          <w:color w:val="auto"/>
          <w:sz w:val="24"/>
          <w:szCs w:val="24"/>
          <w:highlight w:val="none"/>
          <w:u w:val="single"/>
          <w:lang w:eastAsia="zh-CN"/>
        </w:rPr>
        <w:t>负责</w:t>
      </w:r>
      <w:r>
        <w:rPr>
          <w:rFonts w:hint="eastAsia" w:ascii="仿宋_GB2312" w:hAnsi="仿宋_GB2312" w:eastAsia="仿宋_GB2312" w:cs="仿宋_GB2312"/>
          <w:b/>
          <w:bCs/>
          <w:color w:val="auto"/>
          <w:sz w:val="24"/>
          <w:szCs w:val="24"/>
          <w:highlight w:val="none"/>
          <w:u w:val="single"/>
        </w:rPr>
        <w:t>树木迁移及保护。</w:t>
      </w:r>
    </w:p>
    <w:p w14:paraId="5E2EF94F">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u w:val="single"/>
        </w:rPr>
        <w:t xml:space="preserve">（5）本工程所有设备和材料均采用乙供。 </w:t>
      </w:r>
      <w:r>
        <w:rPr>
          <w:rFonts w:hint="eastAsia" w:ascii="仿宋_GB2312" w:hAnsi="仿宋_GB2312" w:eastAsia="仿宋_GB2312" w:cs="仿宋_GB2312"/>
          <w:b/>
          <w:bCs/>
          <w:color w:val="auto"/>
          <w:sz w:val="24"/>
          <w:szCs w:val="24"/>
          <w:highlight w:val="none"/>
        </w:rPr>
        <w:t xml:space="preserve">          </w:t>
      </w:r>
    </w:p>
    <w:p w14:paraId="04BB9E02">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rPr>
        <w:t>承包方式：</w:t>
      </w:r>
      <w:r>
        <w:rPr>
          <w:rFonts w:hint="eastAsia" w:ascii="仿宋_GB2312" w:hAnsi="仿宋_GB2312" w:eastAsia="仿宋_GB2312" w:cs="仿宋_GB2312"/>
          <w:b/>
          <w:bCs/>
          <w:color w:val="auto"/>
          <w:sz w:val="24"/>
          <w:szCs w:val="24"/>
          <w:highlight w:val="none"/>
          <w:u w:val="single"/>
        </w:rPr>
        <w:t xml:space="preserve"> </w:t>
      </w:r>
      <w:bookmarkStart w:id="734" w:name="OLE_LINK2"/>
      <w:r>
        <w:rPr>
          <w:rFonts w:hint="eastAsia" w:ascii="仿宋_GB2312" w:hAnsi="仿宋_GB2312" w:eastAsia="仿宋_GB2312" w:cs="仿宋_GB2312"/>
          <w:b/>
          <w:bCs/>
          <w:color w:val="auto"/>
          <w:sz w:val="24"/>
          <w:szCs w:val="24"/>
          <w:highlight w:val="none"/>
          <w:u w:val="single"/>
        </w:rPr>
        <w:t>按施工图内容，包人工、包材料（</w:t>
      </w:r>
      <w:r>
        <w:rPr>
          <w:rFonts w:hint="eastAsia" w:ascii="仿宋_GB2312" w:hAnsi="仿宋_GB2312" w:eastAsia="仿宋_GB2312" w:cs="仿宋_GB2312"/>
          <w:b/>
          <w:bCs/>
          <w:color w:val="auto"/>
          <w:sz w:val="24"/>
          <w:szCs w:val="24"/>
          <w:highlight w:val="none"/>
          <w:u w:val="single"/>
        </w:rPr>
        <w:sym w:font="Wingdings 2" w:char="0051"/>
      </w:r>
      <w:r>
        <w:rPr>
          <w:rFonts w:hint="eastAsia" w:ascii="仿宋_GB2312" w:hAnsi="仿宋_GB2312" w:eastAsia="仿宋_GB2312" w:cs="仿宋_GB2312"/>
          <w:b/>
          <w:bCs/>
          <w:color w:val="auto"/>
          <w:sz w:val="24"/>
          <w:szCs w:val="24"/>
          <w:highlight w:val="none"/>
          <w:u w:val="single"/>
        </w:rPr>
        <w:t>由发包人供应的材料除</w:t>
      </w:r>
    </w:p>
    <w:p w14:paraId="6F200A8E">
      <w:pPr>
        <w:spacing w:line="560" w:lineRule="exact"/>
        <w:rPr>
          <w:rFonts w:hint="eastAsia" w:ascii="仿宋_GB2312" w:hAnsi="仿宋_GB2312" w:eastAsia="仿宋_GB2312" w:cs="仿宋_GB2312"/>
          <w:b/>
          <w:bCs/>
          <w:color w:val="auto"/>
          <w:sz w:val="24"/>
          <w:szCs w:val="24"/>
          <w:highlight w:val="none"/>
          <w:u w:val="single"/>
        </w:rPr>
      </w:pPr>
      <w:r>
        <w:rPr>
          <w:rFonts w:hint="eastAsia" w:ascii="仿宋_GB2312" w:hAnsi="仿宋_GB2312" w:eastAsia="仿宋_GB2312" w:cs="仿宋_GB2312"/>
          <w:b/>
          <w:bCs/>
          <w:color w:val="auto"/>
          <w:sz w:val="24"/>
          <w:szCs w:val="24"/>
          <w:highlight w:val="none"/>
          <w:u w:val="single"/>
        </w:rPr>
        <w:t>外）、包安装、包质量、包工期、包文明施工，以及采取有效措施，不发生安全事故；包劳保、包验收、包保修；包承包范围内工程验收通过、包移交、包结算、包资料整理、包施工承包管理和现场整体组织、包专业协调及配合。</w:t>
      </w:r>
    </w:p>
    <w:p w14:paraId="08C606F4">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rPr>
        <w:t xml:space="preserve"> 包路面修复；</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rPr>
        <w:t xml:space="preserve"> 包交通疏解。</w:t>
      </w:r>
      <w:bookmarkEnd w:id="734"/>
    </w:p>
    <w:p w14:paraId="355F329B">
      <w:pPr>
        <w:spacing w:line="56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项目合同编号：</w:t>
      </w:r>
    </w:p>
    <w:p w14:paraId="6C478B05">
      <w:pPr>
        <w:spacing w:line="48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项目期限：</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2025</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5</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1</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日起开工至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2026</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9</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30</w:t>
      </w:r>
      <w:r>
        <w:rPr>
          <w:rFonts w:hint="eastAsia" w:ascii="仿宋_GB2312" w:hAnsi="仿宋_GB2312" w:eastAsia="仿宋_GB2312" w:cs="仿宋_GB2312"/>
          <w:color w:val="auto"/>
          <w:sz w:val="24"/>
          <w:szCs w:val="24"/>
          <w:highlight w:val="none"/>
        </w:rPr>
        <w:t>日完工。</w:t>
      </w:r>
    </w:p>
    <w:permEnd w:id="460"/>
    <w:p w14:paraId="4DA5BD09">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为确保</w:t>
      </w:r>
      <w:permStart w:id="461" w:edGrp="everyone"/>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车陂</w:t>
      </w:r>
      <w:r>
        <w:rPr>
          <w:rFonts w:hint="eastAsia" w:ascii="仿宋_GB2312" w:hAnsi="仿宋_GB2312" w:eastAsia="仿宋_GB2312" w:cs="仿宋_GB2312"/>
          <w:color w:val="auto"/>
          <w:sz w:val="24"/>
          <w:szCs w:val="24"/>
          <w:highlight w:val="none"/>
          <w:u w:val="single"/>
        </w:rPr>
        <w:t>加压站复建工程第二阶段(附属设施用房)</w:t>
      </w:r>
      <w:r>
        <w:rPr>
          <w:rFonts w:hint="eastAsia" w:ascii="仿宋_GB2312" w:hAnsi="仿宋_GB2312" w:eastAsia="仿宋_GB2312" w:cs="仿宋_GB2312"/>
          <w:color w:val="auto"/>
          <w:sz w:val="24"/>
          <w:szCs w:val="24"/>
          <w:highlight w:val="none"/>
          <w:u w:val="single"/>
        </w:rPr>
        <w:t>施工总承包</w:t>
      </w:r>
      <w:r>
        <w:rPr>
          <w:rFonts w:hint="eastAsia" w:ascii="仿宋_GB2312" w:hAnsi="仿宋_GB2312" w:eastAsia="仿宋_GB2312" w:cs="仿宋_GB2312"/>
          <w:color w:val="auto"/>
          <w:sz w:val="24"/>
          <w:szCs w:val="24"/>
          <w:highlight w:val="none"/>
          <w:u w:val="single"/>
        </w:rPr>
        <w:t xml:space="preserve">  </w:t>
      </w:r>
      <w:permEnd w:id="461"/>
      <w:r>
        <w:rPr>
          <w:rFonts w:hint="eastAsia" w:ascii="仿宋_GB2312" w:hAnsi="仿宋_GB2312" w:eastAsia="仿宋_GB2312" w:cs="仿宋_GB2312"/>
          <w:color w:val="auto"/>
          <w:sz w:val="24"/>
          <w:szCs w:val="24"/>
          <w:highlight w:val="none"/>
        </w:rPr>
        <w:t>项目的顺利实施，特向甲方和各级主管部门作出如下承诺：</w:t>
      </w:r>
    </w:p>
    <w:p w14:paraId="7DE3687E">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一、项目实施期间我方将严格遵守国家、省市相关环保法律、法规。</w:t>
      </w:r>
    </w:p>
    <w:p w14:paraId="2645DB34">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二、作为责任主体，我方对项目实施期间造成的环境侵权事故、不良环境影响及由此产生的所有费用及损失承担全部责任（包括给第三人造成损害导致的赔偿责任）。</w:t>
      </w:r>
    </w:p>
    <w:p w14:paraId="187DB9B5">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三、做好人员的环保教育培训，对经考核合格的人员，发放上岗证。乙方不定期对工作人员进行安全教育培训。</w:t>
      </w:r>
    </w:p>
    <w:p w14:paraId="200A2642">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四、作业之前，负责项目管理的技术人员对有关环保施工的技术要求向项目作业班组、作业人员作出详细说明。项目实施期间，我方采取必要的环境保护措施，作业人员严格遵守环保规章制度与环保操作规程。</w:t>
      </w:r>
    </w:p>
    <w:p w14:paraId="5C47B329">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五、我方将采取有效措施控制能源、资源消耗，杜绝排放物造成环境污染。</w:t>
      </w:r>
    </w:p>
    <w:p w14:paraId="01FFFCD5">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六、项目废料按规定地点分类堆放和处理，特别是严格按要求堆放和处理危险废弃物，做到工完、料净、场地清，杜绝安全隐患和环境污染。</w:t>
      </w:r>
    </w:p>
    <w:p w14:paraId="6229C102">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七、其他承诺</w:t>
      </w:r>
    </w:p>
    <w:p w14:paraId="69F0DBDB">
      <w:pPr>
        <w:spacing w:line="56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3306EE80">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本承诺书作为合同附件，与合同条款具有同等的法律效力。</w:t>
      </w:r>
    </w:p>
    <w:p w14:paraId="47D6D43F">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本承诺书一式两份，甲方执一份，乙方执一份。</w:t>
      </w:r>
    </w:p>
    <w:p w14:paraId="6BE663E9">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2F7D5F7C">
      <w:pPr>
        <w:spacing w:line="560" w:lineRule="exact"/>
        <w:ind w:firstLine="3840" w:firstLineChars="1600"/>
        <w:rPr>
          <w:rFonts w:hint="eastAsia" w:ascii="仿宋_GB2312" w:hAnsi="仿宋_GB2312" w:eastAsia="仿宋_GB2312" w:cs="仿宋_GB2312"/>
          <w:color w:val="auto"/>
          <w:sz w:val="24"/>
          <w:szCs w:val="24"/>
          <w:highlight w:val="none"/>
        </w:rPr>
      </w:pPr>
      <w:permStart w:id="462" w:edGrp="everyone"/>
      <w:r>
        <w:rPr>
          <w:rFonts w:hint="eastAsia" w:ascii="仿宋_GB2312" w:hAnsi="仿宋_GB2312" w:eastAsia="仿宋_GB2312" w:cs="仿宋_GB2312"/>
          <w:color w:val="auto"/>
          <w:sz w:val="24"/>
          <w:szCs w:val="24"/>
          <w:highlight w:val="none"/>
        </w:rPr>
        <w:t>承诺单位（盖章）：</w:t>
      </w:r>
    </w:p>
    <w:p w14:paraId="6786AB0E">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法定代表人</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委托代理人：</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联系人：</w:t>
      </w:r>
    </w:p>
    <w:p w14:paraId="0F45045C">
      <w:pPr>
        <w:spacing w:line="5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年    月     日</w:t>
      </w:r>
    </w:p>
    <w:p w14:paraId="3F7A7F63">
      <w:pPr>
        <w:spacing w:before="240" w:beforeLines="100" w:after="240" w:afterLines="100" w:line="420" w:lineRule="exact"/>
        <w:outlineLvl w:val="1"/>
        <w:rPr>
          <w:rFonts w:hint="eastAsia" w:ascii="仿宋_GB2312" w:hAnsi="仿宋_GB2312" w:eastAsia="仿宋_GB2312" w:cs="仿宋_GB2312"/>
          <w:b/>
          <w:bCs/>
          <w:color w:val="auto"/>
          <w:kern w:val="0"/>
          <w:sz w:val="24"/>
          <w:szCs w:val="24"/>
          <w:highlight w:val="none"/>
        </w:rPr>
        <w:sectPr>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74920FFB">
      <w:pPr>
        <w:ind w:right="87"/>
        <w:jc w:val="left"/>
        <w:rPr>
          <w:rFonts w:hint="default" w:ascii="黑体" w:hAnsi="黑体" w:eastAsia="黑体" w:cs="黑体"/>
          <w:b w:val="0"/>
          <w:bCs w:val="0"/>
          <w:color w:val="auto"/>
          <w:kern w:val="0"/>
          <w:sz w:val="24"/>
          <w:szCs w:val="24"/>
          <w:highlight w:val="none"/>
          <w:lang w:val="en-US" w:eastAsia="zh-CN"/>
        </w:rPr>
      </w:pPr>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9</w:t>
      </w:r>
    </w:p>
    <w:permEnd w:id="462"/>
    <w:p w14:paraId="33540013">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drawing>
          <wp:anchor distT="0" distB="0" distL="114300" distR="114300" simplePos="0" relativeHeight="252085248" behindDoc="1" locked="0" layoutInCell="1" allowOverlap="1">
            <wp:simplePos x="0" y="0"/>
            <wp:positionH relativeFrom="column">
              <wp:posOffset>-17780</wp:posOffset>
            </wp:positionH>
            <wp:positionV relativeFrom="paragraph">
              <wp:posOffset>328930</wp:posOffset>
            </wp:positionV>
            <wp:extent cx="4336415" cy="3286125"/>
            <wp:effectExtent l="0" t="0" r="6985" b="9525"/>
            <wp:wrapNone/>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15" cstate="print"/>
                    <a:srcRect/>
                    <a:stretch>
                      <a:fillRect/>
                    </a:stretch>
                  </pic:blipFill>
                  <pic:spPr>
                    <a:xfrm>
                      <a:off x="0" y="0"/>
                      <a:ext cx="4336415" cy="3286125"/>
                    </a:xfrm>
                    <a:prstGeom prst="rect">
                      <a:avLst/>
                    </a:prstGeom>
                    <a:noFill/>
                    <a:ln w="9525">
                      <a:noFill/>
                      <a:miter lim="800000"/>
                      <a:headEnd/>
                      <a:tailEnd/>
                    </a:ln>
                    <a:effectLst/>
                  </pic:spPr>
                </pic:pic>
              </a:graphicData>
            </a:graphic>
          </wp:anchor>
        </w:drawing>
      </w:r>
      <w:r>
        <w:rPr>
          <w:rFonts w:hint="eastAsia" w:ascii="方正小标宋简体" w:hAnsi="方正小标宋简体" w:eastAsia="方正小标宋简体" w:cs="方正小标宋简体"/>
          <w:b w:val="0"/>
          <w:bCs w:val="0"/>
          <w:color w:val="auto"/>
          <w:sz w:val="32"/>
          <w:szCs w:val="32"/>
          <w:highlight w:val="none"/>
        </w:rPr>
        <w:t>外来人员工作证样式</w:t>
      </w:r>
    </w:p>
    <w:p w14:paraId="2F8BDBA7">
      <w:pPr>
        <w:jc w:val="center"/>
        <w:rPr>
          <w:rFonts w:ascii="宋体" w:hAnsi="宋体" w:cs="Calibri"/>
          <w:b/>
          <w:color w:val="auto"/>
          <w:sz w:val="44"/>
          <w:szCs w:val="44"/>
          <w:highlight w:val="none"/>
        </w:rPr>
      </w:pPr>
      <w:r>
        <w:rPr>
          <w:rFonts w:hint="eastAsia" w:ascii="仿宋_GB2312" w:hAnsi="Times New Roman" w:eastAsia="仿宋_GB2312" w:cs="Calibri"/>
          <w:color w:val="auto"/>
          <w:sz w:val="32"/>
          <w:szCs w:val="32"/>
          <w:highlight w:val="none"/>
        </w:rPr>
        <w:drawing>
          <wp:anchor distT="0" distB="0" distL="114300" distR="114300" simplePos="0" relativeHeight="252087296" behindDoc="0" locked="0" layoutInCell="1" allowOverlap="1">
            <wp:simplePos x="0" y="0"/>
            <wp:positionH relativeFrom="column">
              <wp:posOffset>4612005</wp:posOffset>
            </wp:positionH>
            <wp:positionV relativeFrom="paragraph">
              <wp:posOffset>243840</wp:posOffset>
            </wp:positionV>
            <wp:extent cx="4000500" cy="2933700"/>
            <wp:effectExtent l="0" t="0" r="0" b="0"/>
            <wp:wrapNone/>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16" cstate="print"/>
                    <a:srcRect/>
                    <a:stretch>
                      <a:fillRect/>
                    </a:stretch>
                  </pic:blipFill>
                  <pic:spPr>
                    <a:xfrm>
                      <a:off x="0" y="0"/>
                      <a:ext cx="4000500" cy="2933700"/>
                    </a:xfrm>
                    <a:prstGeom prst="rect">
                      <a:avLst/>
                    </a:prstGeom>
                    <a:noFill/>
                    <a:ln w="9525">
                      <a:noFill/>
                      <a:miter lim="800000"/>
                      <a:headEnd/>
                      <a:tailEnd/>
                    </a:ln>
                    <a:effectLst/>
                  </pic:spPr>
                </pic:pic>
              </a:graphicData>
            </a:graphic>
          </wp:anchor>
        </w:drawing>
      </w:r>
    </w:p>
    <w:p w14:paraId="00BC0B6B">
      <w:pPr>
        <w:rPr>
          <w:rFonts w:ascii="仿宋_GB2312" w:hAnsi="Times New Roman" w:eastAsia="仿宋_GB2312" w:cs="Calibri"/>
          <w:color w:val="auto"/>
          <w:sz w:val="32"/>
          <w:szCs w:val="32"/>
          <w:highlight w:val="none"/>
        </w:rPr>
      </w:pPr>
      <w:r>
        <w:rPr>
          <w:rFonts w:ascii="仿宋_GB2312" w:hAnsi="Times New Roman" w:eastAsia="仿宋_GB2312" w:cs="Calibri"/>
          <w:color w:val="auto"/>
          <w:sz w:val="32"/>
          <w:szCs w:val="32"/>
          <w:highlight w:val="none"/>
        </w:rPr>
        <w:pict>
          <v:shape id="艺术字 13" o:spid="_x0000_s1449" o:spt="136" type="#_x0000_t136" style="position:absolute;left:0pt;margin-left:403.5pt;margin-top:-0.1pt;height:24.25pt;width:248.25pt;z-index:252089344;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r>
        <w:rPr>
          <w:rFonts w:ascii="仿宋_GB2312" w:hAnsi="Times New Roman" w:eastAsia="仿宋_GB2312" w:cs="Calibri"/>
          <w:color w:val="auto"/>
          <w:sz w:val="32"/>
          <w:szCs w:val="32"/>
          <w:highlight w:val="none"/>
        </w:rPr>
        <w:pict>
          <v:shape id="艺术字 14" o:spid="_x0000_s1450" o:spt="136" type="#_x0000_t136" style="position:absolute;left:0pt;margin-left:57pt;margin-top:8.35pt;height:24.25pt;width:248.25pt;z-index:252092416;mso-width-relative:page;mso-height-relative:page;" fillcolor="#0070C0" filled="t" coordsize="21600,21600">
            <v:path/>
            <v:fill on="t" focussize="0,0"/>
            <v:stroke/>
            <v:imagedata o:title=""/>
            <o:lock v:ext="edit"/>
            <v:textpath on="t" fitshape="t" fitpath="t" trim="t" xscale="f" string="广州市xxx有限公司" style="font-family:??;font-size:36pt;font-weight:bold;v-text-align:center;"/>
          </v:shape>
        </w:pict>
      </w:r>
    </w:p>
    <w:p w14:paraId="750F772D">
      <w:pPr>
        <w:rPr>
          <w:rFonts w:ascii="仿宋_GB2312" w:hAnsi="Times New Roman" w:eastAsia="仿宋_GB2312" w:cs="Calibri"/>
          <w:color w:val="auto"/>
          <w:sz w:val="32"/>
          <w:szCs w:val="32"/>
          <w:highlight w:val="none"/>
        </w:rPr>
      </w:pPr>
      <w:r>
        <w:rPr>
          <w:rFonts w:hint="eastAsia" w:ascii="仿宋_GB2312" w:hAnsi="Times New Roman" w:eastAsia="仿宋_GB2312" w:cs="Calibri"/>
          <w:color w:val="auto"/>
          <w:sz w:val="32"/>
          <w:szCs w:val="32"/>
          <w:highlight w:val="none"/>
        </w:rPr>
        <mc:AlternateContent>
          <mc:Choice Requires="wpc">
            <w:drawing>
              <wp:anchor distT="0" distB="0" distL="114300" distR="114300" simplePos="0" relativeHeight="252086272" behindDoc="0" locked="0" layoutInCell="1" allowOverlap="1">
                <wp:simplePos x="0" y="0"/>
                <wp:positionH relativeFrom="column">
                  <wp:posOffset>523875</wp:posOffset>
                </wp:positionH>
                <wp:positionV relativeFrom="paragraph">
                  <wp:posOffset>137795</wp:posOffset>
                </wp:positionV>
                <wp:extent cx="3848100" cy="885825"/>
                <wp:effectExtent l="0" t="0" r="0" b="0"/>
                <wp:wrapNone/>
                <wp:docPr id="431" name="画布 43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41.25pt;margin-top:10.85pt;height:69.75pt;width:303pt;z-index:252086272;mso-width-relative:page;mso-height-relative:page;" coordsize="3848100,885825" editas="canvas"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YbL/N2QAAAAkBAAAPAAAAAAAAAAEAIAAAACIAAABkcnMvZG93bnJldi54bWxQSwECFAAUAAAA&#10;CACHTuJAc2lxkHsBAAARAwAADgAAAAAAAAABACAAAAAoAQAAZHJzL2Uyb0RvYy54bWxQSwUGAAAA&#10;AAYABgBZAQAAFQUAAAAA&#10;">
                <o:lock v:ext="edit" aspectratio="f"/>
                <v:shape id="_x0000_s1026" o:spid="_x0000_s1026" style="position:absolute;left:0;top:0;height:885825;width:3848100;" filled="f" stroked="f" coordsize="21600,21600" o:gfxdata="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">
                  <v:fill on="f" focussize="0,0"/>
                  <v:stroke on="f"/>
                  <v:imagedata o:title=""/>
                  <o:lock v:ext="edit" aspectratio="f"/>
                </v:shape>
              </v:group>
            </w:pict>
          </mc:Fallback>
        </mc:AlternateContent>
      </w:r>
    </w:p>
    <w:p w14:paraId="79DBD09E">
      <w:pPr>
        <w:rPr>
          <w:rFonts w:ascii="仿宋_GB2312" w:hAnsi="Times New Roman" w:eastAsia="仿宋_GB2312" w:cs="Calibri"/>
          <w:color w:val="auto"/>
          <w:sz w:val="32"/>
          <w:szCs w:val="32"/>
          <w:highlight w:val="none"/>
        </w:rPr>
      </w:pPr>
    </w:p>
    <w:p w14:paraId="48C4E0F0">
      <w:pPr>
        <w:rPr>
          <w:rFonts w:ascii="仿宋_GB2312" w:hAnsi="Times New Roman" w:eastAsia="仿宋_GB2312" w:cs="Calibri"/>
          <w:color w:val="auto"/>
          <w:sz w:val="32"/>
          <w:szCs w:val="32"/>
          <w:highlight w:val="none"/>
        </w:rPr>
      </w:pPr>
    </w:p>
    <w:p w14:paraId="1FB2E087">
      <w:pPr>
        <w:rPr>
          <w:rFonts w:ascii="仿宋_GB2312" w:hAnsi="Times New Roman" w:eastAsia="仿宋_GB2312" w:cs="Calibri"/>
          <w:color w:val="auto"/>
          <w:sz w:val="32"/>
          <w:szCs w:val="32"/>
          <w:highlight w:val="none"/>
        </w:rPr>
      </w:pPr>
      <w:r>
        <w:rPr>
          <w:rFonts w:ascii="仿宋_GB2312" w:hAnsi="Times New Roman" w:eastAsia="仿宋_GB2312" w:cs="Calibri"/>
          <w:color w:val="auto"/>
          <w:sz w:val="32"/>
          <w:szCs w:val="32"/>
          <w:highlight w:val="none"/>
        </w:rPr>
        <w:pict>
          <v:shape id="艺术字 10" o:spid="_x0000_s1451" o:spt="136" type="#_x0000_t136" style="position:absolute;left:0pt;margin-left:466.6pt;margin-top:19.35pt;height:15.75pt;width:105pt;z-index:252090368;mso-width-relative:page;mso-height-relative:page;" fillcolor="#0070C0" filled="t" coordsize="21600,21600">
            <v:path/>
            <v:fill on="t" focussize="0,0"/>
            <v:stroke/>
            <v:imagedata o:title=""/>
            <o:lock v:ext="edit"/>
            <v:textpath on="t" fitshape="t" fitpath="t" trim="t" xscale="f" string="证件编号：00000123" style="font-family:??;font-size:36pt;v-text-align:center;"/>
          </v:shape>
        </w:pict>
      </w:r>
      <w:r>
        <w:rPr>
          <w:rFonts w:ascii="仿宋_GB2312" w:hAnsi="Times New Roman" w:eastAsia="仿宋_GB2312" w:cs="Calibri"/>
          <w:color w:val="auto"/>
          <w:sz w:val="32"/>
          <w:szCs w:val="32"/>
          <w:highlight w:val="none"/>
        </w:rPr>
        <w:pict>
          <v:shape id="艺术字 16" o:spid="_x0000_s1452" o:spt="144" type="#_x0000_t144" style="position:absolute;left:0pt;margin-left:103.15pt;margin-top:21.7pt;height:71.25pt;width:60pt;z-index:252091392;mso-width-relative:page;mso-height-relative:page;" fillcolor="#FF0000" filled="t" stroked="t" coordsize="21600,21600">
            <v:path/>
            <v:fill on="t" focussize="0,0"/>
            <v:stroke color="#FF0000"/>
            <v:imagedata o:title=""/>
            <o:lock v:ext="edit"/>
            <v:textpath on="t" fitshape="t" fitpath="t" trim="t" xscale="f" string="广州市xxx有限公司" style="font-family:宋体;font-size:36pt;v-text-align:center;"/>
          </v:shape>
        </w:pict>
      </w:r>
      <w:r>
        <w:rPr>
          <w:rFonts w:hint="eastAsia" w:ascii="仿宋_GB2312" w:hAnsi="Times New Roman" w:eastAsia="仿宋_GB2312" w:cs="Calibri"/>
          <w:color w:val="auto"/>
          <w:sz w:val="32"/>
          <w:szCs w:val="32"/>
          <w:highlight w:val="none"/>
        </w:rPr>
        <mc:AlternateContent>
          <mc:Choice Requires="wpc">
            <w:drawing>
              <wp:anchor distT="0" distB="0" distL="114300" distR="114300" simplePos="0" relativeHeight="252088320" behindDoc="0" locked="0" layoutInCell="1" allowOverlap="1">
                <wp:simplePos x="0" y="0"/>
                <wp:positionH relativeFrom="column">
                  <wp:posOffset>4867275</wp:posOffset>
                </wp:positionH>
                <wp:positionV relativeFrom="paragraph">
                  <wp:posOffset>28575</wp:posOffset>
                </wp:positionV>
                <wp:extent cx="3848100" cy="885825"/>
                <wp:effectExtent l="0" t="0" r="0" b="0"/>
                <wp:wrapNone/>
                <wp:docPr id="432" name="画布 432"/>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383.25pt;margin-top:2.25pt;height:69.75pt;width:303pt;z-index:252088320;mso-width-relative:page;mso-height-relative:page;" coordsize="3848100,885825" editas="canvas"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">
                <o:lock v:ext="edit" aspectratio="f"/>
                <v:shape id="_x0000_s1026" o:spid="_x0000_s1026" style="position:absolute;left:0;top:0;height:885825;width:3848100;" filled="f" stroked="f" coordsize="21600,21600" o:gfxdata="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">
                  <v:fill on="f" focussize="0,0"/>
                  <v:stroke on="f"/>
                  <v:imagedata o:title=""/>
                  <o:lock v:ext="edit" aspectratio="f"/>
                </v:shape>
              </v:group>
            </w:pict>
          </mc:Fallback>
        </mc:AlternateContent>
      </w:r>
    </w:p>
    <w:p w14:paraId="416368F4">
      <w:pPr>
        <w:rPr>
          <w:rFonts w:ascii="仿宋_GB2312" w:hAnsi="Times New Roman" w:eastAsia="仿宋_GB2312" w:cs="Calibri"/>
          <w:color w:val="auto"/>
          <w:sz w:val="32"/>
          <w:szCs w:val="32"/>
          <w:highlight w:val="none"/>
        </w:rPr>
      </w:pPr>
    </w:p>
    <w:p w14:paraId="4E748441">
      <w:pPr>
        <w:rPr>
          <w:rFonts w:ascii="仿宋_GB2312" w:hAnsi="Times New Roman" w:eastAsia="仿宋_GB2312" w:cs="Calibri"/>
          <w:color w:val="auto"/>
          <w:sz w:val="32"/>
          <w:szCs w:val="32"/>
          <w:highlight w:val="none"/>
        </w:rPr>
      </w:pPr>
    </w:p>
    <w:p w14:paraId="52F268D9">
      <w:pPr>
        <w:jc w:val="center"/>
        <w:rPr>
          <w:rFonts w:ascii="宋体" w:hAnsi="宋体" w:eastAsia="仿宋_GB2312" w:cs="Calibri"/>
          <w:b/>
          <w:color w:val="auto"/>
          <w:sz w:val="32"/>
          <w:szCs w:val="32"/>
          <w:highlight w:val="none"/>
        </w:rPr>
      </w:pPr>
      <w:r>
        <w:rPr>
          <w:rFonts w:hint="eastAsia" w:ascii="宋体" w:hAnsi="宋体" w:eastAsia="仿宋_GB2312" w:cs="Calibri"/>
          <w:b/>
          <w:color w:val="auto"/>
          <w:sz w:val="32"/>
          <w:szCs w:val="32"/>
          <w:highlight w:val="none"/>
        </w:rPr>
        <w:t>正面                                               背面</w:t>
      </w:r>
    </w:p>
    <w:p w14:paraId="73AACF22">
      <w:pPr>
        <w:ind w:firstLine="0" w:firstLineChars="0"/>
        <w:rPr>
          <w:rFonts w:hint="eastAsia" w:ascii="仿宋_GB2312" w:hAnsi="Times New Roman" w:eastAsia="仿宋_GB2312" w:cs="Calibri"/>
          <w:color w:val="auto"/>
          <w:sz w:val="28"/>
          <w:szCs w:val="28"/>
          <w:highlight w:val="none"/>
        </w:rPr>
      </w:pPr>
    </w:p>
    <w:p w14:paraId="02046962">
      <w:pPr>
        <w:ind w:firstLine="560" w:firstLineChars="200"/>
        <w:rPr>
          <w:rFonts w:ascii="仿宋_GB2312" w:hAnsi="Times New Roman" w:eastAsia="仿宋_GB2312"/>
          <w:color w:val="auto"/>
          <w:sz w:val="32"/>
          <w:szCs w:val="32"/>
          <w:highlight w:val="none"/>
        </w:rPr>
        <w:sectPr>
          <w:pgSz w:w="16838" w:h="11905" w:orient="landscape"/>
          <w:pgMar w:top="1417" w:right="1247" w:bottom="1417" w:left="1134"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r>
        <w:rPr>
          <w:rFonts w:hint="eastAsia" w:ascii="仿宋_GB2312" w:hAnsi="Times New Roman" w:eastAsia="仿宋_GB2312" w:cs="Calibri"/>
          <w:color w:val="auto"/>
          <w:sz w:val="28"/>
          <w:szCs w:val="28"/>
          <w:highlight w:val="none"/>
        </w:rPr>
        <w:t>注：1.“工种”类包括：现场施工管理人员、电工、焊工等。2.“有效期”：该工程施工时段。3.“证件编号”：按照“一人一编号”原则进行编排。4.照片为小一寸彩色照片。5.公章必须骑缝照片之上。</w:t>
      </w:r>
    </w:p>
    <w:p w14:paraId="35FC637F">
      <w:pPr>
        <w:ind w:right="87"/>
        <w:jc w:val="left"/>
        <w:rPr>
          <w:rFonts w:hint="default" w:ascii="黑体" w:hAnsi="黑体" w:eastAsia="黑体" w:cs="黑体"/>
          <w:b w:val="0"/>
          <w:bCs w:val="0"/>
          <w:color w:val="auto"/>
          <w:kern w:val="0"/>
          <w:sz w:val="24"/>
          <w:szCs w:val="24"/>
          <w:highlight w:val="none"/>
          <w:lang w:val="en-US" w:eastAsia="zh-CN"/>
        </w:rPr>
      </w:pPr>
      <w:permStart w:id="463"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10</w:t>
      </w:r>
    </w:p>
    <w:permEnd w:id="463"/>
    <w:p w14:paraId="72FAEF7A">
      <w:pPr>
        <w:jc w:val="center"/>
        <w:rPr>
          <w:rFonts w:hint="eastAsia" w:ascii="方正小标宋简体" w:hAnsi="方正小标宋简体" w:eastAsia="方正小标宋简体" w:cs="方正小标宋简体"/>
          <w:b w:val="0"/>
          <w:bCs w:val="0"/>
          <w:color w:val="auto"/>
          <w:sz w:val="32"/>
          <w:szCs w:val="32"/>
          <w:highlight w:val="none"/>
        </w:rPr>
      </w:pPr>
      <w:r>
        <w:rPr>
          <w:rFonts w:hint="eastAsia" w:ascii="方正小标宋简体" w:hAnsi="方正小标宋简体" w:eastAsia="方正小标宋简体" w:cs="方正小标宋简体"/>
          <w:b w:val="0"/>
          <w:bCs w:val="0"/>
          <w:color w:val="auto"/>
          <w:sz w:val="32"/>
          <w:szCs w:val="32"/>
          <w:highlight w:val="none"/>
        </w:rPr>
        <w:t>施工现场安全管理处罚细则</w:t>
      </w:r>
    </w:p>
    <w:p w14:paraId="2D073D0B">
      <w:pPr>
        <w:ind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一、安全文明施工方面</w:t>
      </w:r>
    </w:p>
    <w:p w14:paraId="200578D9">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（一）进入工地的任何人员必须戴安全帽、扣好帽绳，违反者每人罚款100元。</w:t>
      </w:r>
    </w:p>
    <w:p w14:paraId="5202B9D3">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（二）在施工现场作业的人员必须正确穿戴劳动保护用品，亚禁穿高跟鞋、拖鞋或光脚，违者每例罚款100元。</w:t>
      </w:r>
    </w:p>
    <w:p w14:paraId="25048354">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（三）酒后作业的，罚款300元。</w:t>
      </w:r>
    </w:p>
    <w:p w14:paraId="71AA2054">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（四）特种作业人员不持有效证件上岗的，罚款500元；超过有效期，罚款300元；人员未备案，罚款300元。</w:t>
      </w:r>
    </w:p>
    <w:p w14:paraId="07B0851A">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（五）在施工现场打架斗殴的，罚款1000元；工作时间在施工现场戏耍打闹的，罚款100元。</w:t>
      </w:r>
    </w:p>
    <w:p w14:paraId="198C09D8">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（六）施工人员私自拆除或随意挪动(用)施工现场的防护设施或消防设施、安全标志的，罚款500-1000元。</w:t>
      </w:r>
    </w:p>
    <w:p w14:paraId="35AA29F9">
      <w:pPr>
        <w:keepNext/>
        <w:keepLines/>
        <w:widowControl/>
        <w:numPr>
          <w:ilvl w:val="0"/>
          <w:numId w:val="0"/>
        </w:numPr>
        <w:tabs>
          <w:tab w:val="left" w:pos="420"/>
          <w:tab w:val="left" w:pos="1287"/>
        </w:tabs>
        <w:spacing w:before="260" w:after="260" w:line="420" w:lineRule="exact"/>
        <w:jc w:val="left"/>
        <w:outlineLvl w:val="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（七）在没有防护设施的高空、悬崖和陡坡上作业必须系好安全带，违者每例罚款100元。</w:t>
      </w:r>
    </w:p>
    <w:p w14:paraId="4A018DBA">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（八）施工期间，外脚手架、钢井架各立面设置密目安全网和挡脚板，两侧面和外立面设置疏目安全网，违者每例罚款200-500元。</w:t>
      </w:r>
    </w:p>
    <w:p w14:paraId="02A5A551">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（九）从高处向下抛掷物品及建筑垃圾的，每件罚款500-1000元。</w:t>
      </w:r>
    </w:p>
    <w:p w14:paraId="57F774D0">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（十）安排未经三级安全教育和没有安全培训证的新工人上岗作业，每一人罚款200元。</w:t>
      </w:r>
    </w:p>
    <w:p w14:paraId="5C1020D5">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（十一）木工拆卸顶架模板时，先将顶架满堂红拆卸，再拆梁板底板枋的，罚款500元。</w:t>
      </w:r>
    </w:p>
    <w:p w14:paraId="3B218196">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（十二）井架无搭设方案或无验收使用，每台罚款200元。</w:t>
      </w:r>
    </w:p>
    <w:p w14:paraId="2F8169FB">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（十三）凡施工机械应设防护罩的必须按规定设置，如没有设置安全防护罩的每台罚款200元。</w:t>
      </w:r>
    </w:p>
    <w:p w14:paraId="429A902E">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（十四）在施工现场随地大小便，大便罚款300元/人/次，小便罚款100元/人/次。</w:t>
      </w:r>
    </w:p>
    <w:p w14:paraId="36DEC16B">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（十五）进入施工现场禁烟区域吸烟，罚款200元/人/次。</w:t>
      </w:r>
    </w:p>
    <w:p w14:paraId="55E760D5">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（十六）施工现场不得使用电褥子、煤油炉、热得快、电炉、酒精炉、汽油炉，罚款1000元/台/次。</w:t>
      </w:r>
    </w:p>
    <w:p w14:paraId="4AF1637E">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（十七）建筑物内和库房内不准住人，否则，罚款100元/人/次。</w:t>
      </w:r>
    </w:p>
    <w:p w14:paraId="7238C05B">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（十八）施工、装卸材料的过程中故意制造人为噪音、扬尘，罚款，500元/人/次。</w:t>
      </w:r>
    </w:p>
    <w:p w14:paraId="3CC901B7">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（十九）施工现场做到活完场地清、不得有建筑垃圾，否则，罚款100元/处/次。</w:t>
      </w:r>
    </w:p>
    <w:p w14:paraId="72C31BD5">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（二十）油漆库单独设置，否则，罚款200元/次。</w:t>
      </w:r>
    </w:p>
    <w:p w14:paraId="3A4F3C0E">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（二十一）建筑垃圾及时分拣、运到指定的堆放点，否则，罚款100元/人/次。</w:t>
      </w:r>
    </w:p>
    <w:p w14:paraId="501BD21F">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（二十二）对其他单位已完成工序、工程造成破坏的，视破坏的情况和大小否罚款500-10000/处/次。</w:t>
      </w:r>
    </w:p>
    <w:p w14:paraId="555D930A">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（二十三）未经许可擅自进入禁止区域或乱动电柜、电器、机械开关者的，100-500元/次。</w:t>
      </w:r>
    </w:p>
    <w:p w14:paraId="5B3168F1">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（二十四）各种机械、材料进出场必须有进出门须登记，遵守现场的保卫规定，否则，罚款500元/人/次。</w:t>
      </w:r>
    </w:p>
    <w:p w14:paraId="6C2C4375">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（二十五）对于要求的隐患整改必须按照要求的时间完成，否则每拖延一天罚款500元。</w:t>
      </w:r>
    </w:p>
    <w:p w14:paraId="3489C620">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（二十六）未按规定定期对施工现场作业人员的行为规范和安全措施的落实情况进行监督检查，每起扣除2000元。</w:t>
      </w:r>
    </w:p>
    <w:p w14:paraId="13BB103A">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（二十七）不配合安全检查(包括建设单位、监理单位和主管部门对工程项目的检查)，每起扣除1000元；对存在问题不落实整改，每起扣除2000元；重复发生上述同类问题，加倍扣除。</w:t>
      </w:r>
    </w:p>
    <w:p w14:paraId="6DC32D94">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（二十八）未按照甲方监理审批过总平面布置和安全文明施工管理制度、标准，制定安全技术措施计划，每起扣除2000元；未报甲方备案，每起扣除1000元。</w:t>
      </w:r>
    </w:p>
    <w:p w14:paraId="532E6552">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（二十九）未建立完善相关安全记录台帐，每起扣除500元。</w:t>
      </w:r>
    </w:p>
    <w:p w14:paraId="4776D698">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（三十）施工方案和安全措施未向全体施工人员交底，未经双方签字确认，每起扣除1000元，出现代签字的每起罚款500元。</w:t>
      </w:r>
    </w:p>
    <w:p w14:paraId="40DEAC09">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（三十一）未按照国家规定为施工人员办理人身意外保险，每人次扣除1000元。</w:t>
      </w:r>
    </w:p>
    <w:p w14:paraId="4CCD8B51">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（三十二）未按规定配备具备相应的任职资格的专职安全员，每人次扣除1000-2000元。</w:t>
      </w:r>
    </w:p>
    <w:p w14:paraId="700F4DB4">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（三十三）使用不符合资质要求的劳务分包单位，责令停止作业、终止合同，并扣除5000元；劳务分包未经甲方同意，扣除1000-5000元;使用不符合资格要求的人员，每人次扣除200-500元。</w:t>
      </w:r>
    </w:p>
    <w:p w14:paraId="32463239">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（三十四）未签订分包安全协议提前开工，责令停工并扣除2000-5000元。</w:t>
      </w:r>
    </w:p>
    <w:p w14:paraId="61C66ABA">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（三十五）夜间施工对周边造成环境影响而被投诉，每起扣除2000元。</w:t>
      </w:r>
    </w:p>
    <w:p w14:paraId="32BB9AF2">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（三十六）交叉作业时未采取相应的隔离和措施施工等安全措施，每处扣除2000元。</w:t>
      </w:r>
    </w:p>
    <w:p w14:paraId="7FEDF314">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（三十七）未执行对危险化学品采购、运输、储存、领用、保管、退库和废料处理的安全措施，每项扣除500-1000元。</w:t>
      </w:r>
    </w:p>
    <w:p w14:paraId="415CC083">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（三十八）作业场所未按规定设置危险点告知牌，每处扣除500-1000元。</w:t>
      </w:r>
    </w:p>
    <w:p w14:paraId="2992A1AA">
      <w:pPr>
        <w:numPr>
          <w:ilvl w:val="255"/>
          <w:numId w:val="0"/>
        </w:num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十九）未为施工人员配备合格、规范的劳动防护用品，每起扣除1000元；施工人员未佩带和使用劳动防护用品，每人次扣除200元;未正确使用劳动防护用品的，每人次扣除100元。使用不合格的安全帽、安全带、绝缘鞋等劳动防护用品，视为未使用安全防护用品。</w:t>
      </w:r>
    </w:p>
    <w:p w14:paraId="34B64F2C">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二、工程实体方面</w:t>
      </w:r>
    </w:p>
    <w:p w14:paraId="46A788D2">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（一）基坑支护无方案，未经过专家论证，未按方案实施，罚款 1000元。基坑周边堆料距坑边距离小于设计规定的每处罚款500元。</w:t>
      </w:r>
    </w:p>
    <w:p w14:paraId="7187669B">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脚手架无方案施工的，罚款1000元。剪刀撑搭设情况、与建筑物拉接不符合方案的每处罚款300元。外脚手架架体要求高出建筑物1.2m，并与建筑物锚固，严禁随意抽取外脚手架棚板(延长累计1米为一处)，或拆卸拉顶的，违者每处罚款500元。</w:t>
      </w:r>
    </w:p>
    <w:p w14:paraId="19E57DE7">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（三）模板工程方案未按规定编制与审批，高支模、大跨度模板方案未按规定组织专家论证就施工的罚款1000元。</w:t>
      </w:r>
    </w:p>
    <w:p w14:paraId="65812E21">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（四）作业面临边防护未同步的每处罚款500元。“四口”无防护措施的每处罚款500元。“五临边”无防护措施的每处罚款500元。</w:t>
      </w:r>
    </w:p>
    <w:p w14:paraId="53265323">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三、安全用电方面</w:t>
      </w:r>
    </w:p>
    <w:p w14:paraId="77D5E1C3">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（一）无临时施工用电方案或无审批即实施的，每项罚款200元。</w:t>
      </w:r>
    </w:p>
    <w:p w14:paraId="221BFEDC">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（二）配电箱、开关箱无防雨装置，箱体结构不符合要求，或安装位置不正确的，每处罚款50元。</w:t>
      </w:r>
    </w:p>
    <w:p w14:paraId="4B103C70">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（三）不按规定采用三相五线制，或不按规定采用三级配电、三级保护的，每处罚款200元。</w:t>
      </w:r>
    </w:p>
    <w:p w14:paraId="41EA339F">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（四）违反“一机、一闸、一漏、一箱”规定的，每处罚款 100 元。</w:t>
      </w:r>
    </w:p>
    <w:p w14:paraId="52039224">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（五）工地现场不得乱拉乱接电线，电线、电缆不得拖地，违者每项罚款100元。</w:t>
      </w:r>
    </w:p>
    <w:p w14:paraId="42933FBF">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（六）电工、焊工、机械工、起重机司机、架子工、工地内机动车辆驾驶员等特种作业人员无证上岗的，每项罚款200元。</w:t>
      </w:r>
    </w:p>
    <w:p w14:paraId="51D170BE">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（七）手持电动工具、潜水泵、电锯、移动式电气设备、宿舍用电线路等没有按规定装设漏电保护开关的，每项罚款100元。</w:t>
      </w:r>
    </w:p>
    <w:p w14:paraId="51B8077B">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（八）电焊机的电源线、焊钳或其接线的绝缘破损、接线柱无护罩的，每台罚款50元。</w:t>
      </w:r>
    </w:p>
    <w:p w14:paraId="43B135CA">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（九）乙炔发生器或乙炔气瓶没有防止回火安全装置的，气瓶间距小于5米，距离明火小于10米而又没有隔离措施的，现场没有防晒、防雨措施的，每处罚款100元。</w:t>
      </w:r>
    </w:p>
    <w:p w14:paraId="36DC19BD">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（十）湿作业时未及时对灯线盒、地漏、管口等采取保护措施的，罚200元。</w:t>
      </w:r>
    </w:p>
    <w:p w14:paraId="646F1BC8">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（十一）使用破损的插头或用导a线直接插在插座上的，罚200元。</w:t>
      </w:r>
    </w:p>
    <w:p w14:paraId="08C928AC">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（十二）违反焊割作业“十不烧”规定，每起扣除500元。</w:t>
      </w:r>
    </w:p>
    <w:p w14:paraId="3322FFFB">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四、现场消防方面</w:t>
      </w:r>
    </w:p>
    <w:p w14:paraId="4B73EBE9">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（一）施工现场临时消防车通道未设置、不满足消防车通行、停靠和扑救作业要求的或者被堆物、堆料或者挤占的每发现一次罚款500元。</w:t>
      </w:r>
    </w:p>
    <w:p w14:paraId="3D7F11AB">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（二）施工现场消防管网未设置或不能保持充足的管网压力和流量的罚款500元。</w:t>
      </w:r>
    </w:p>
    <w:p w14:paraId="22325413">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（三）两个相邻消火栓间距大于60米每发现一次罚款200元。</w:t>
      </w:r>
    </w:p>
    <w:p w14:paraId="25BDABBD">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（四）手提式灭火器配备地下室重点防火部位少于2组的或者地上重点防火部位、现场可燃材料库房、工程实体内明火作业部位少于1组的，每次罚款500元。</w:t>
      </w:r>
    </w:p>
    <w:p w14:paraId="55E451C6">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（五）易燃易爆物品库房或堆放处距离工程实体小于10m的每次罚款500元。</w:t>
      </w:r>
    </w:p>
    <w:p w14:paraId="6CA96ED6">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（六）现场内动用电气焊及明火作业未开动火证或动火地点与证上地点不符的，罚200元。</w:t>
      </w:r>
    </w:p>
    <w:p w14:paraId="59EE1401">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（七）未按规定在施工场所、生活区域配置消防设施和器材、设置消防安全标志和安全通道，每处扣除500-1000元；未定期组织检验、维修，保障消防设施和器材有效、完好，每起扣除500-1000元。</w:t>
      </w:r>
    </w:p>
    <w:p w14:paraId="05802A88">
      <w:pPr>
        <w:ind w:left="105"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五、设备管理方面</w:t>
      </w:r>
    </w:p>
    <w:p w14:paraId="2DA6BF89">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（一）塔机方面</w:t>
      </w:r>
    </w:p>
    <w:p w14:paraId="73466237">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（1）没有编制安装拆卸方案的罚款500元。</w:t>
      </w:r>
    </w:p>
    <w:p w14:paraId="133D2C13">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（2）作业人员无证上岗的罚款200元。</w:t>
      </w:r>
    </w:p>
    <w:p w14:paraId="63EAA627">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（3）无指挥人员或无证指挥的罚款100元。</w:t>
      </w:r>
    </w:p>
    <w:p w14:paraId="21833608">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（4）未按要求办理起重机械登记编号，塔机安装没有验收就使用的罚款1000元。</w:t>
      </w:r>
    </w:p>
    <w:p w14:paraId="6423E1DD">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（5）塔机指挥不使用对讲机的罚款100元。</w:t>
      </w:r>
    </w:p>
    <w:p w14:paraId="0FDECBC5">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（6）违反“十不吊”的每次罚款500元。</w:t>
      </w:r>
    </w:p>
    <w:p w14:paraId="38438E5E">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（7）每天巡视检查未有详细的记录、未定期保养的每次罚款200元。</w:t>
      </w:r>
    </w:p>
    <w:p w14:paraId="72F2A167">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（二）施工电梯方面</w:t>
      </w:r>
    </w:p>
    <w:p w14:paraId="2E454660">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（1）司机无证上岗的罚款500元。</w:t>
      </w:r>
    </w:p>
    <w:p w14:paraId="5AEDEC91">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（2）没有编制安装拆卸方案的罚款500元。</w:t>
      </w:r>
    </w:p>
    <w:p w14:paraId="7E0836EC">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（3）电梯安装后没有验收就使用的罚款1000元。</w:t>
      </w:r>
    </w:p>
    <w:p w14:paraId="6031B359">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（4）楼层出入口没有安全防护门或有防护门不使用的每处罚款200元。</w:t>
      </w:r>
    </w:p>
    <w:p w14:paraId="3BEA2745">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（5）超过规定承载人数的罚款500元。</w:t>
      </w:r>
    </w:p>
    <w:p w14:paraId="20CA078A">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（三）吊篮、施工升降机等方面</w:t>
      </w:r>
    </w:p>
    <w:p w14:paraId="6A6F3485">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（1）未进行检测、验收而投入使用，罚款1000元。</w:t>
      </w:r>
    </w:p>
    <w:p w14:paraId="55C489D1">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（2）施工升降机防护门10%以内未设置或常开的，每处罚款200元。</w:t>
      </w:r>
    </w:p>
    <w:p w14:paraId="1A9BB6B9">
      <w:pPr>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（3）大型起重机械安全装置不完善或失效，每台扣除500元。</w:t>
      </w:r>
    </w:p>
    <w:p w14:paraId="566F7E68">
      <w:pPr>
        <w:rPr>
          <w:rFonts w:hint="eastAsia" w:ascii="仿宋_GB2312" w:hAnsi="仿宋_GB2312" w:eastAsia="仿宋_GB2312" w:cs="仿宋_GB2312"/>
          <w:color w:val="auto"/>
          <w:sz w:val="24"/>
          <w:szCs w:val="24"/>
          <w:highlight w:val="none"/>
        </w:rPr>
        <w:sect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176CD905">
      <w:pPr>
        <w:rPr>
          <w:rFonts w:hint="default" w:ascii="黑体" w:hAnsi="黑体" w:eastAsia="黑体" w:cs="黑体"/>
          <w:b w:val="0"/>
          <w:bCs w:val="0"/>
          <w:color w:val="auto"/>
          <w:sz w:val="24"/>
          <w:szCs w:val="24"/>
          <w:highlight w:val="none"/>
          <w:lang w:val="en-US" w:eastAsia="zh-CN"/>
        </w:rPr>
      </w:pPr>
      <w:permStart w:id="464" w:edGrp="everyone"/>
      <w:r>
        <w:rPr>
          <w:rFonts w:hint="eastAsia" w:ascii="黑体" w:hAnsi="黑体" w:eastAsia="黑体" w:cs="黑体"/>
          <w:b w:val="0"/>
          <w:bCs w:val="0"/>
          <w:color w:val="auto"/>
          <w:kern w:val="0"/>
          <w:sz w:val="24"/>
          <w:szCs w:val="24"/>
          <w:highlight w:val="none"/>
        </w:rPr>
        <w:t>附件</w:t>
      </w:r>
      <w:r>
        <w:rPr>
          <w:rFonts w:hint="eastAsia" w:ascii="黑体" w:hAnsi="黑体" w:eastAsia="黑体" w:cs="黑体"/>
          <w:b w:val="0"/>
          <w:bCs w:val="0"/>
          <w:color w:val="auto"/>
          <w:kern w:val="0"/>
          <w:sz w:val="24"/>
          <w:szCs w:val="24"/>
          <w:highlight w:val="none"/>
          <w:lang w:val="en-US" w:eastAsia="zh-CN"/>
        </w:rPr>
        <w:t>11</w:t>
      </w:r>
    </w:p>
    <w:permEnd w:id="464"/>
    <w:tbl>
      <w:tblPr>
        <w:tblStyle w:val="18"/>
        <w:tblW w:w="9750" w:type="dxa"/>
        <w:tblInd w:w="-408" w:type="dxa"/>
        <w:tblLayout w:type="fixed"/>
        <w:tblCellMar>
          <w:top w:w="0" w:type="dxa"/>
          <w:left w:w="108" w:type="dxa"/>
          <w:bottom w:w="0" w:type="dxa"/>
          <w:right w:w="108" w:type="dxa"/>
        </w:tblCellMar>
      </w:tblPr>
      <w:tblGrid>
        <w:gridCol w:w="694"/>
        <w:gridCol w:w="3919"/>
        <w:gridCol w:w="3693"/>
        <w:gridCol w:w="1444"/>
      </w:tblGrid>
      <w:tr w14:paraId="2A79014E">
        <w:tblPrEx>
          <w:tblCellMar>
            <w:top w:w="0" w:type="dxa"/>
            <w:left w:w="108" w:type="dxa"/>
            <w:bottom w:w="0" w:type="dxa"/>
            <w:right w:w="108" w:type="dxa"/>
          </w:tblCellMar>
        </w:tblPrEx>
        <w:trPr>
          <w:trHeight w:val="700" w:hRule="atLeast"/>
        </w:trPr>
        <w:tc>
          <w:tcPr>
            <w:tcW w:w="9750" w:type="dxa"/>
            <w:gridSpan w:val="4"/>
            <w:tcBorders>
              <w:top w:val="nil"/>
              <w:left w:val="nil"/>
              <w:bottom w:val="single" w:color="000000" w:sz="4" w:space="0"/>
              <w:right w:val="nil"/>
            </w:tcBorders>
            <w:vAlign w:val="center"/>
          </w:tcPr>
          <w:p w14:paraId="2EC087E0">
            <w:pPr>
              <w:widowControl/>
              <w:jc w:val="center"/>
              <w:textAlignment w:val="center"/>
              <w:rPr>
                <w:rFonts w:ascii="宋体" w:hAnsi="宋体" w:cs="宋体"/>
                <w:color w:val="auto"/>
                <w:sz w:val="22"/>
                <w:szCs w:val="22"/>
                <w:highlight w:val="none"/>
              </w:rPr>
            </w:pPr>
            <w:r>
              <w:rPr>
                <w:rFonts w:hint="eastAsia" w:ascii="方正小标宋简体" w:hAnsi="方正小标宋简体" w:eastAsia="方正小标宋简体" w:cs="方正小标宋简体"/>
                <w:b w:val="0"/>
                <w:bCs w:val="0"/>
                <w:color w:val="auto"/>
                <w:sz w:val="32"/>
                <w:szCs w:val="32"/>
                <w:highlight w:val="none"/>
              </w:rPr>
              <w:t>日间施工标准化清单</w:t>
            </w:r>
          </w:p>
        </w:tc>
      </w:tr>
      <w:tr w14:paraId="7A12D7B4">
        <w:tblPrEx>
          <w:tblCellMar>
            <w:top w:w="0" w:type="dxa"/>
            <w:left w:w="108" w:type="dxa"/>
            <w:bottom w:w="0" w:type="dxa"/>
            <w:right w:w="108" w:type="dxa"/>
          </w:tblCellMar>
        </w:tblPrEx>
        <w:trPr>
          <w:trHeight w:val="496" w:hRule="atLeast"/>
        </w:trPr>
        <w:tc>
          <w:tcPr>
            <w:tcW w:w="4613" w:type="dxa"/>
            <w:gridSpan w:val="2"/>
            <w:tcBorders>
              <w:top w:val="single" w:color="000000" w:sz="4" w:space="0"/>
              <w:left w:val="single" w:color="000000" w:sz="4" w:space="0"/>
              <w:bottom w:val="single" w:color="000000" w:sz="4" w:space="0"/>
              <w:right w:val="single" w:color="000000" w:sz="4" w:space="0"/>
            </w:tcBorders>
            <w:vAlign w:val="center"/>
          </w:tcPr>
          <w:p w14:paraId="64EFB9FB">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管控要点</w:t>
            </w:r>
          </w:p>
        </w:tc>
        <w:tc>
          <w:tcPr>
            <w:tcW w:w="3693" w:type="dxa"/>
            <w:tcBorders>
              <w:top w:val="single" w:color="000000" w:sz="4" w:space="0"/>
              <w:left w:val="single" w:color="000000" w:sz="4" w:space="0"/>
              <w:bottom w:val="single" w:color="000000" w:sz="4" w:space="0"/>
              <w:right w:val="single" w:color="000000" w:sz="4" w:space="0"/>
            </w:tcBorders>
            <w:vAlign w:val="center"/>
          </w:tcPr>
          <w:p w14:paraId="203AFDCA">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注意事项</w:t>
            </w:r>
          </w:p>
        </w:tc>
        <w:tc>
          <w:tcPr>
            <w:tcW w:w="1444" w:type="dxa"/>
            <w:tcBorders>
              <w:top w:val="single" w:color="000000" w:sz="4" w:space="0"/>
              <w:left w:val="single" w:color="000000" w:sz="4" w:space="0"/>
              <w:bottom w:val="single" w:color="000000" w:sz="4" w:space="0"/>
              <w:right w:val="single" w:color="000000" w:sz="4" w:space="0"/>
            </w:tcBorders>
            <w:vAlign w:val="center"/>
          </w:tcPr>
          <w:p w14:paraId="22415C6B">
            <w:pPr>
              <w:widowControl/>
              <w:jc w:val="center"/>
              <w:textAlignment w:val="center"/>
              <w:rPr>
                <w:rFonts w:ascii="等线" w:hAnsi="等线" w:eastAsia="等线" w:cs="等线"/>
                <w:b/>
                <w:bCs/>
                <w:color w:val="auto"/>
                <w:sz w:val="20"/>
                <w:szCs w:val="20"/>
                <w:highlight w:val="none"/>
              </w:rPr>
            </w:pPr>
            <w:r>
              <w:rPr>
                <w:rFonts w:hint="eastAsia" w:ascii="等线" w:hAnsi="等线" w:eastAsia="等线" w:cs="等线"/>
                <w:b/>
                <w:bCs/>
                <w:color w:val="auto"/>
                <w:kern w:val="0"/>
                <w:sz w:val="20"/>
                <w:szCs w:val="20"/>
                <w:highlight w:val="none"/>
                <w:lang w:bidi="ar"/>
              </w:rPr>
              <w:t>记录情况</w:t>
            </w:r>
          </w:p>
        </w:tc>
      </w:tr>
      <w:tr w14:paraId="366AE25D">
        <w:tblPrEx>
          <w:tblCellMar>
            <w:top w:w="0" w:type="dxa"/>
            <w:left w:w="108" w:type="dxa"/>
            <w:bottom w:w="0" w:type="dxa"/>
            <w:right w:w="108" w:type="dxa"/>
          </w:tblCellMar>
        </w:tblPrEx>
        <w:trPr>
          <w:trHeight w:val="850"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14EDE26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总则</w:t>
            </w:r>
          </w:p>
        </w:tc>
        <w:tc>
          <w:tcPr>
            <w:tcW w:w="3919" w:type="dxa"/>
            <w:tcBorders>
              <w:top w:val="single" w:color="000000" w:sz="4" w:space="0"/>
              <w:left w:val="single" w:color="000000" w:sz="4" w:space="0"/>
              <w:bottom w:val="single" w:color="000000" w:sz="4" w:space="0"/>
              <w:right w:val="single" w:color="000000" w:sz="4" w:space="0"/>
            </w:tcBorders>
            <w:vAlign w:val="center"/>
          </w:tcPr>
          <w:p w14:paraId="5B0FC85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展板</w:t>
            </w:r>
          </w:p>
        </w:tc>
        <w:tc>
          <w:tcPr>
            <w:tcW w:w="3693" w:type="dxa"/>
            <w:tcBorders>
              <w:top w:val="single" w:color="000000" w:sz="4" w:space="0"/>
              <w:left w:val="single" w:color="000000" w:sz="4" w:space="0"/>
              <w:bottom w:val="single" w:color="000000" w:sz="4" w:space="0"/>
              <w:right w:val="single" w:color="000000" w:sz="4" w:space="0"/>
            </w:tcBorders>
            <w:vAlign w:val="center"/>
          </w:tcPr>
          <w:p w14:paraId="56193D1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要求展板上各类证件齐全，如占道、开挖、施工、延迟作业等证</w:t>
            </w:r>
          </w:p>
        </w:tc>
        <w:tc>
          <w:tcPr>
            <w:tcW w:w="1444" w:type="dxa"/>
            <w:tcBorders>
              <w:top w:val="single" w:color="000000" w:sz="4" w:space="0"/>
              <w:left w:val="single" w:color="000000" w:sz="4" w:space="0"/>
              <w:bottom w:val="single" w:color="000000" w:sz="4" w:space="0"/>
              <w:right w:val="single" w:color="000000" w:sz="4" w:space="0"/>
            </w:tcBorders>
            <w:vAlign w:val="center"/>
          </w:tcPr>
          <w:p w14:paraId="07C5399E">
            <w:pPr>
              <w:jc w:val="center"/>
              <w:rPr>
                <w:rFonts w:ascii="等线" w:hAnsi="等线" w:eastAsia="等线" w:cs="等线"/>
                <w:color w:val="auto"/>
                <w:sz w:val="20"/>
                <w:szCs w:val="20"/>
                <w:highlight w:val="none"/>
              </w:rPr>
            </w:pPr>
          </w:p>
        </w:tc>
      </w:tr>
      <w:tr w14:paraId="2483ECE7">
        <w:tblPrEx>
          <w:tblCellMar>
            <w:top w:w="0" w:type="dxa"/>
            <w:left w:w="108" w:type="dxa"/>
            <w:bottom w:w="0" w:type="dxa"/>
            <w:right w:w="108" w:type="dxa"/>
          </w:tblCellMar>
        </w:tblPrEx>
        <w:trPr>
          <w:trHeight w:val="10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425142FC">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5707287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五牌一图</w:t>
            </w:r>
          </w:p>
        </w:tc>
        <w:tc>
          <w:tcPr>
            <w:tcW w:w="3693" w:type="dxa"/>
            <w:tcBorders>
              <w:top w:val="single" w:color="000000" w:sz="4" w:space="0"/>
              <w:left w:val="single" w:color="000000" w:sz="4" w:space="0"/>
              <w:bottom w:val="single" w:color="000000" w:sz="4" w:space="0"/>
              <w:right w:val="single" w:color="000000" w:sz="4" w:space="0"/>
            </w:tcBorders>
            <w:vAlign w:val="center"/>
          </w:tcPr>
          <w:p w14:paraId="5EFBB5AB">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工程概况牌、管理人员名单及监督电话牌、消防保卫牌、安全生产牌、文明施工牌和施工现场总平面图</w:t>
            </w:r>
          </w:p>
        </w:tc>
        <w:tc>
          <w:tcPr>
            <w:tcW w:w="1444" w:type="dxa"/>
            <w:tcBorders>
              <w:top w:val="single" w:color="000000" w:sz="4" w:space="0"/>
              <w:left w:val="single" w:color="000000" w:sz="4" w:space="0"/>
              <w:bottom w:val="single" w:color="000000" w:sz="4" w:space="0"/>
              <w:right w:val="single" w:color="000000" w:sz="4" w:space="0"/>
            </w:tcBorders>
            <w:vAlign w:val="center"/>
          </w:tcPr>
          <w:p w14:paraId="38225B83">
            <w:pPr>
              <w:jc w:val="center"/>
              <w:rPr>
                <w:rFonts w:ascii="等线" w:hAnsi="等线" w:eastAsia="等线" w:cs="等线"/>
                <w:color w:val="auto"/>
                <w:sz w:val="20"/>
                <w:szCs w:val="20"/>
                <w:highlight w:val="none"/>
              </w:rPr>
            </w:pPr>
          </w:p>
        </w:tc>
      </w:tr>
      <w:tr w14:paraId="696E2C13">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8AD2E28">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0EE0D4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危险源公示牌</w:t>
            </w:r>
          </w:p>
        </w:tc>
        <w:tc>
          <w:tcPr>
            <w:tcW w:w="3693" w:type="dxa"/>
            <w:tcBorders>
              <w:top w:val="single" w:color="000000" w:sz="4" w:space="0"/>
              <w:left w:val="single" w:color="000000" w:sz="4" w:space="0"/>
              <w:bottom w:val="single" w:color="000000" w:sz="4" w:space="0"/>
              <w:right w:val="single" w:color="000000" w:sz="4" w:space="0"/>
            </w:tcBorders>
            <w:vAlign w:val="center"/>
          </w:tcPr>
          <w:p w14:paraId="1428260E">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前方施工、基坑开挖等公示</w:t>
            </w:r>
          </w:p>
        </w:tc>
        <w:tc>
          <w:tcPr>
            <w:tcW w:w="1444" w:type="dxa"/>
            <w:tcBorders>
              <w:top w:val="single" w:color="000000" w:sz="4" w:space="0"/>
              <w:left w:val="single" w:color="000000" w:sz="4" w:space="0"/>
              <w:bottom w:val="single" w:color="000000" w:sz="4" w:space="0"/>
              <w:right w:val="single" w:color="000000" w:sz="4" w:space="0"/>
            </w:tcBorders>
            <w:vAlign w:val="center"/>
          </w:tcPr>
          <w:p w14:paraId="1B5DDB9A">
            <w:pPr>
              <w:jc w:val="center"/>
              <w:rPr>
                <w:rFonts w:ascii="等线" w:hAnsi="等线" w:eastAsia="等线" w:cs="等线"/>
                <w:color w:val="auto"/>
                <w:sz w:val="20"/>
                <w:szCs w:val="20"/>
                <w:highlight w:val="none"/>
              </w:rPr>
            </w:pPr>
          </w:p>
        </w:tc>
      </w:tr>
      <w:tr w14:paraId="1FB138F6">
        <w:tblPrEx>
          <w:tblCellMar>
            <w:top w:w="0" w:type="dxa"/>
            <w:left w:w="108" w:type="dxa"/>
            <w:bottom w:w="0" w:type="dxa"/>
            <w:right w:w="108" w:type="dxa"/>
          </w:tblCellMar>
        </w:tblPrEx>
        <w:trPr>
          <w:trHeight w:val="7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EE68D9F">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5CF2853E">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安全警示标识</w:t>
            </w:r>
          </w:p>
        </w:tc>
        <w:tc>
          <w:tcPr>
            <w:tcW w:w="3693" w:type="dxa"/>
            <w:tcBorders>
              <w:top w:val="single" w:color="000000" w:sz="4" w:space="0"/>
              <w:left w:val="single" w:color="000000" w:sz="4" w:space="0"/>
              <w:bottom w:val="single" w:color="000000" w:sz="4" w:space="0"/>
              <w:right w:val="single" w:color="000000" w:sz="4" w:space="0"/>
            </w:tcBorders>
            <w:vAlign w:val="center"/>
          </w:tcPr>
          <w:p w14:paraId="041DE594">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当心坑洞、当心坠落、当心用电等警示标识</w:t>
            </w:r>
          </w:p>
        </w:tc>
        <w:tc>
          <w:tcPr>
            <w:tcW w:w="1444" w:type="dxa"/>
            <w:tcBorders>
              <w:top w:val="single" w:color="000000" w:sz="4" w:space="0"/>
              <w:left w:val="single" w:color="000000" w:sz="4" w:space="0"/>
              <w:bottom w:val="single" w:color="000000" w:sz="4" w:space="0"/>
              <w:right w:val="single" w:color="000000" w:sz="4" w:space="0"/>
            </w:tcBorders>
            <w:vAlign w:val="center"/>
          </w:tcPr>
          <w:p w14:paraId="7CBA4701">
            <w:pPr>
              <w:jc w:val="center"/>
              <w:rPr>
                <w:rFonts w:ascii="等线" w:hAnsi="等线" w:eastAsia="等线" w:cs="等线"/>
                <w:color w:val="auto"/>
                <w:sz w:val="20"/>
                <w:szCs w:val="20"/>
                <w:highlight w:val="none"/>
              </w:rPr>
            </w:pPr>
          </w:p>
        </w:tc>
      </w:tr>
      <w:tr w14:paraId="6A754FB3">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F449E9D">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8103D7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施工单位安全员到位（实名制）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14:paraId="7FFB5FBB">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需佩戴红袖章</w:t>
            </w:r>
          </w:p>
        </w:tc>
        <w:tc>
          <w:tcPr>
            <w:tcW w:w="1444" w:type="dxa"/>
            <w:tcBorders>
              <w:top w:val="single" w:color="000000" w:sz="4" w:space="0"/>
              <w:left w:val="single" w:color="000000" w:sz="4" w:space="0"/>
              <w:bottom w:val="single" w:color="000000" w:sz="4" w:space="0"/>
              <w:right w:val="single" w:color="000000" w:sz="4" w:space="0"/>
            </w:tcBorders>
            <w:vAlign w:val="center"/>
          </w:tcPr>
          <w:p w14:paraId="1D27C600">
            <w:pPr>
              <w:jc w:val="center"/>
              <w:rPr>
                <w:rFonts w:ascii="等线" w:hAnsi="等线" w:eastAsia="等线" w:cs="等线"/>
                <w:color w:val="auto"/>
                <w:sz w:val="20"/>
                <w:szCs w:val="20"/>
                <w:highlight w:val="none"/>
              </w:rPr>
            </w:pPr>
          </w:p>
        </w:tc>
      </w:tr>
      <w:tr w14:paraId="29592877">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118AE36B">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041D921">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项目经理、现场负责人到位（实名制）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14:paraId="26692D7E">
            <w:pPr>
              <w:jc w:val="left"/>
              <w:rPr>
                <w:rFonts w:ascii="等线" w:hAnsi="等线" w:eastAsia="等线" w:cs="等线"/>
                <w:color w:val="auto"/>
                <w:sz w:val="20"/>
                <w:szCs w:val="20"/>
                <w:highlight w:val="none"/>
              </w:rPr>
            </w:pPr>
          </w:p>
        </w:tc>
        <w:tc>
          <w:tcPr>
            <w:tcW w:w="1444" w:type="dxa"/>
            <w:tcBorders>
              <w:top w:val="single" w:color="000000" w:sz="4" w:space="0"/>
              <w:left w:val="single" w:color="000000" w:sz="4" w:space="0"/>
              <w:bottom w:val="single" w:color="000000" w:sz="4" w:space="0"/>
              <w:right w:val="single" w:color="000000" w:sz="4" w:space="0"/>
            </w:tcBorders>
            <w:vAlign w:val="center"/>
          </w:tcPr>
          <w:p w14:paraId="049F224C">
            <w:pPr>
              <w:jc w:val="center"/>
              <w:rPr>
                <w:rFonts w:ascii="等线" w:hAnsi="等线" w:eastAsia="等线" w:cs="等线"/>
                <w:color w:val="auto"/>
                <w:sz w:val="20"/>
                <w:szCs w:val="20"/>
                <w:highlight w:val="none"/>
              </w:rPr>
            </w:pPr>
          </w:p>
        </w:tc>
      </w:tr>
      <w:tr w14:paraId="642E06A3">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5F3F04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7473E6B9">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旁站监理到位（实名制）</w:t>
            </w:r>
          </w:p>
        </w:tc>
        <w:tc>
          <w:tcPr>
            <w:tcW w:w="3693" w:type="dxa"/>
            <w:tcBorders>
              <w:top w:val="single" w:color="000000" w:sz="4" w:space="0"/>
              <w:left w:val="single" w:color="000000" w:sz="4" w:space="0"/>
              <w:bottom w:val="single" w:color="000000" w:sz="4" w:space="0"/>
              <w:right w:val="single" w:color="000000" w:sz="4" w:space="0"/>
            </w:tcBorders>
            <w:vAlign w:val="center"/>
          </w:tcPr>
          <w:p w14:paraId="65FC104B">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每个施工点一名旁站监理</w:t>
            </w:r>
          </w:p>
        </w:tc>
        <w:tc>
          <w:tcPr>
            <w:tcW w:w="1444" w:type="dxa"/>
            <w:tcBorders>
              <w:top w:val="single" w:color="000000" w:sz="4" w:space="0"/>
              <w:left w:val="single" w:color="000000" w:sz="4" w:space="0"/>
              <w:bottom w:val="single" w:color="000000" w:sz="4" w:space="0"/>
              <w:right w:val="single" w:color="000000" w:sz="4" w:space="0"/>
            </w:tcBorders>
            <w:vAlign w:val="center"/>
          </w:tcPr>
          <w:p w14:paraId="6BB54E1A">
            <w:pPr>
              <w:jc w:val="center"/>
              <w:rPr>
                <w:rFonts w:ascii="等线" w:hAnsi="等线" w:eastAsia="等线" w:cs="等线"/>
                <w:color w:val="auto"/>
                <w:sz w:val="20"/>
                <w:szCs w:val="20"/>
                <w:highlight w:val="none"/>
              </w:rPr>
            </w:pPr>
          </w:p>
        </w:tc>
      </w:tr>
      <w:tr w14:paraId="1DDD37C8">
        <w:tblPrEx>
          <w:tblCellMar>
            <w:top w:w="0" w:type="dxa"/>
            <w:left w:w="108" w:type="dxa"/>
            <w:bottom w:w="0" w:type="dxa"/>
            <w:right w:w="108" w:type="dxa"/>
          </w:tblCellMar>
        </w:tblPrEx>
        <w:trPr>
          <w:trHeight w:val="11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315F38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F949AEB">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班前教育</w:t>
            </w:r>
          </w:p>
        </w:tc>
        <w:tc>
          <w:tcPr>
            <w:tcW w:w="3693" w:type="dxa"/>
            <w:tcBorders>
              <w:top w:val="single" w:color="000000" w:sz="4" w:space="0"/>
              <w:left w:val="single" w:color="000000" w:sz="4" w:space="0"/>
              <w:bottom w:val="single" w:color="000000" w:sz="4" w:space="0"/>
              <w:right w:val="single" w:color="000000" w:sz="4" w:space="0"/>
            </w:tcBorders>
            <w:vAlign w:val="center"/>
          </w:tcPr>
          <w:p w14:paraId="515573C4">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每日根据现场不同状况按实教育，对当天难点、危险点进行交底，如穿越地下管线、架空线、电车线、绿化带等</w:t>
            </w:r>
          </w:p>
        </w:tc>
        <w:tc>
          <w:tcPr>
            <w:tcW w:w="1444" w:type="dxa"/>
            <w:tcBorders>
              <w:top w:val="single" w:color="000000" w:sz="4" w:space="0"/>
              <w:left w:val="single" w:color="000000" w:sz="4" w:space="0"/>
              <w:bottom w:val="single" w:color="000000" w:sz="4" w:space="0"/>
              <w:right w:val="single" w:color="000000" w:sz="4" w:space="0"/>
            </w:tcBorders>
            <w:vAlign w:val="center"/>
          </w:tcPr>
          <w:p w14:paraId="60349217">
            <w:pPr>
              <w:jc w:val="center"/>
              <w:rPr>
                <w:rFonts w:ascii="等线" w:hAnsi="等线" w:eastAsia="等线" w:cs="等线"/>
                <w:color w:val="auto"/>
                <w:sz w:val="20"/>
                <w:szCs w:val="20"/>
                <w:highlight w:val="none"/>
              </w:rPr>
            </w:pPr>
          </w:p>
        </w:tc>
      </w:tr>
      <w:tr w14:paraId="12170B89">
        <w:tblPrEx>
          <w:tblCellMar>
            <w:top w:w="0" w:type="dxa"/>
            <w:left w:w="108" w:type="dxa"/>
            <w:bottom w:w="0" w:type="dxa"/>
            <w:right w:w="108" w:type="dxa"/>
          </w:tblCellMar>
        </w:tblPrEx>
        <w:trPr>
          <w:trHeight w:val="68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226DF70">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7786248">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施工、监理日志</w:t>
            </w:r>
          </w:p>
        </w:tc>
        <w:tc>
          <w:tcPr>
            <w:tcW w:w="3693" w:type="dxa"/>
            <w:tcBorders>
              <w:top w:val="single" w:color="000000" w:sz="4" w:space="0"/>
              <w:left w:val="single" w:color="000000" w:sz="4" w:space="0"/>
              <w:bottom w:val="single" w:color="000000" w:sz="4" w:space="0"/>
              <w:right w:val="single" w:color="000000" w:sz="4" w:space="0"/>
            </w:tcBorders>
            <w:vAlign w:val="center"/>
          </w:tcPr>
          <w:p w14:paraId="752CB4B2">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检查前一天的记录，应有人员、施工工序、工程计量等记录</w:t>
            </w:r>
          </w:p>
        </w:tc>
        <w:tc>
          <w:tcPr>
            <w:tcW w:w="1444" w:type="dxa"/>
            <w:tcBorders>
              <w:top w:val="single" w:color="000000" w:sz="4" w:space="0"/>
              <w:left w:val="single" w:color="000000" w:sz="4" w:space="0"/>
              <w:bottom w:val="single" w:color="000000" w:sz="4" w:space="0"/>
              <w:right w:val="single" w:color="000000" w:sz="4" w:space="0"/>
            </w:tcBorders>
            <w:vAlign w:val="center"/>
          </w:tcPr>
          <w:p w14:paraId="25A9CAE1">
            <w:pPr>
              <w:jc w:val="center"/>
              <w:rPr>
                <w:rFonts w:ascii="等线" w:hAnsi="等线" w:eastAsia="等线" w:cs="等线"/>
                <w:color w:val="auto"/>
                <w:sz w:val="20"/>
                <w:szCs w:val="20"/>
                <w:highlight w:val="none"/>
              </w:rPr>
            </w:pPr>
          </w:p>
        </w:tc>
      </w:tr>
      <w:tr w14:paraId="50096801">
        <w:tblPrEx>
          <w:tblCellMar>
            <w:top w:w="0" w:type="dxa"/>
            <w:left w:w="108" w:type="dxa"/>
            <w:bottom w:w="0" w:type="dxa"/>
            <w:right w:w="108" w:type="dxa"/>
          </w:tblCellMar>
        </w:tblPrEx>
        <w:trPr>
          <w:trHeight w:val="60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534C5659">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22E23A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整改通知单</w:t>
            </w:r>
          </w:p>
        </w:tc>
        <w:tc>
          <w:tcPr>
            <w:tcW w:w="3693" w:type="dxa"/>
            <w:tcBorders>
              <w:top w:val="single" w:color="000000" w:sz="4" w:space="0"/>
              <w:left w:val="single" w:color="000000" w:sz="4" w:space="0"/>
              <w:bottom w:val="single" w:color="000000" w:sz="4" w:space="0"/>
              <w:right w:val="single" w:color="000000" w:sz="4" w:space="0"/>
            </w:tcBorders>
            <w:vAlign w:val="center"/>
          </w:tcPr>
          <w:p w14:paraId="07BAF76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检查之前的整改单有无落实整改闭环</w:t>
            </w:r>
          </w:p>
        </w:tc>
        <w:tc>
          <w:tcPr>
            <w:tcW w:w="1444" w:type="dxa"/>
            <w:tcBorders>
              <w:top w:val="single" w:color="000000" w:sz="4" w:space="0"/>
              <w:left w:val="single" w:color="000000" w:sz="4" w:space="0"/>
              <w:bottom w:val="single" w:color="000000" w:sz="4" w:space="0"/>
              <w:right w:val="single" w:color="000000" w:sz="4" w:space="0"/>
            </w:tcBorders>
            <w:vAlign w:val="center"/>
          </w:tcPr>
          <w:p w14:paraId="41459A6F">
            <w:pPr>
              <w:jc w:val="center"/>
              <w:rPr>
                <w:rFonts w:ascii="等线" w:hAnsi="等线" w:eastAsia="等线" w:cs="等线"/>
                <w:color w:val="auto"/>
                <w:sz w:val="20"/>
                <w:szCs w:val="20"/>
                <w:highlight w:val="none"/>
              </w:rPr>
            </w:pPr>
          </w:p>
        </w:tc>
      </w:tr>
      <w:tr w14:paraId="43F50AF3">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61914CC">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3D7C2E8">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特种作业人员证件核查（实名制）</w:t>
            </w:r>
          </w:p>
        </w:tc>
        <w:tc>
          <w:tcPr>
            <w:tcW w:w="3693" w:type="dxa"/>
            <w:tcBorders>
              <w:top w:val="single" w:color="000000" w:sz="4" w:space="0"/>
              <w:left w:val="single" w:color="000000" w:sz="4" w:space="0"/>
              <w:bottom w:val="single" w:color="000000" w:sz="4" w:space="0"/>
              <w:right w:val="single" w:color="000000" w:sz="4" w:space="0"/>
            </w:tcBorders>
            <w:vAlign w:val="center"/>
          </w:tcPr>
          <w:p w14:paraId="3B42FE7A">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焊工、电工、吊装工等</w:t>
            </w:r>
          </w:p>
        </w:tc>
        <w:tc>
          <w:tcPr>
            <w:tcW w:w="1444" w:type="dxa"/>
            <w:tcBorders>
              <w:top w:val="single" w:color="000000" w:sz="4" w:space="0"/>
              <w:left w:val="single" w:color="000000" w:sz="4" w:space="0"/>
              <w:bottom w:val="single" w:color="000000" w:sz="4" w:space="0"/>
              <w:right w:val="single" w:color="000000" w:sz="4" w:space="0"/>
            </w:tcBorders>
            <w:vAlign w:val="center"/>
          </w:tcPr>
          <w:p w14:paraId="725B16E2">
            <w:pPr>
              <w:jc w:val="center"/>
              <w:rPr>
                <w:rFonts w:ascii="等线" w:hAnsi="等线" w:eastAsia="等线" w:cs="等线"/>
                <w:color w:val="auto"/>
                <w:sz w:val="20"/>
                <w:szCs w:val="20"/>
                <w:highlight w:val="none"/>
              </w:rPr>
            </w:pPr>
          </w:p>
        </w:tc>
      </w:tr>
      <w:tr w14:paraId="4209C283">
        <w:tblPrEx>
          <w:tblCellMar>
            <w:top w:w="0" w:type="dxa"/>
            <w:left w:w="108" w:type="dxa"/>
            <w:bottom w:w="0" w:type="dxa"/>
            <w:right w:w="108" w:type="dxa"/>
          </w:tblCellMar>
        </w:tblPrEx>
        <w:trPr>
          <w:trHeight w:val="181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C7E4B61">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7C284D7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资料箱</w:t>
            </w:r>
          </w:p>
        </w:tc>
        <w:tc>
          <w:tcPr>
            <w:tcW w:w="3693" w:type="dxa"/>
            <w:tcBorders>
              <w:top w:val="single" w:color="000000" w:sz="4" w:space="0"/>
              <w:left w:val="single" w:color="000000" w:sz="4" w:space="0"/>
              <w:bottom w:val="single" w:color="000000" w:sz="4" w:space="0"/>
              <w:right w:val="single" w:color="000000" w:sz="4" w:space="0"/>
            </w:tcBorders>
            <w:vAlign w:val="center"/>
          </w:tcPr>
          <w:p w14:paraId="2C341DA4">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当日参与施工所有人员的花名册、防疫一人一册；</w:t>
            </w:r>
          </w:p>
          <w:p w14:paraId="3AE3F6B9">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当日涉及的施工工序的审批文件如动火作业、有限空间作业等;</w:t>
            </w:r>
          </w:p>
          <w:p w14:paraId="36073E7E">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所有特殊工种作业人员的特殊工种作业证</w:t>
            </w:r>
          </w:p>
        </w:tc>
        <w:tc>
          <w:tcPr>
            <w:tcW w:w="1444" w:type="dxa"/>
            <w:tcBorders>
              <w:top w:val="single" w:color="000000" w:sz="4" w:space="0"/>
              <w:left w:val="single" w:color="000000" w:sz="4" w:space="0"/>
              <w:bottom w:val="single" w:color="000000" w:sz="4" w:space="0"/>
              <w:right w:val="single" w:color="000000" w:sz="4" w:space="0"/>
            </w:tcBorders>
            <w:vAlign w:val="center"/>
          </w:tcPr>
          <w:p w14:paraId="1939CD4E">
            <w:pPr>
              <w:jc w:val="center"/>
              <w:rPr>
                <w:rFonts w:ascii="等线" w:hAnsi="等线" w:eastAsia="等线" w:cs="等线"/>
                <w:color w:val="auto"/>
                <w:sz w:val="20"/>
                <w:szCs w:val="20"/>
                <w:highlight w:val="none"/>
              </w:rPr>
            </w:pPr>
          </w:p>
        </w:tc>
      </w:tr>
      <w:tr w14:paraId="442041F0">
        <w:tblPrEx>
          <w:tblCellMar>
            <w:top w:w="0" w:type="dxa"/>
            <w:left w:w="108" w:type="dxa"/>
            <w:bottom w:w="0" w:type="dxa"/>
            <w:right w:w="108" w:type="dxa"/>
          </w:tblCellMar>
        </w:tblPrEx>
        <w:trPr>
          <w:trHeight w:val="815"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76E80AA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监控</w:t>
            </w:r>
          </w:p>
        </w:tc>
        <w:tc>
          <w:tcPr>
            <w:tcW w:w="3919" w:type="dxa"/>
            <w:tcBorders>
              <w:top w:val="single" w:color="000000" w:sz="4" w:space="0"/>
              <w:left w:val="single" w:color="000000" w:sz="4" w:space="0"/>
              <w:bottom w:val="single" w:color="000000" w:sz="4" w:space="0"/>
              <w:right w:val="single" w:color="000000" w:sz="4" w:space="0"/>
            </w:tcBorders>
            <w:vAlign w:val="center"/>
          </w:tcPr>
          <w:p w14:paraId="08CE92A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1个工作面1个监控，可连接手机观看</w:t>
            </w:r>
          </w:p>
        </w:tc>
        <w:tc>
          <w:tcPr>
            <w:tcW w:w="3693" w:type="dxa"/>
            <w:tcBorders>
              <w:top w:val="single" w:color="000000" w:sz="4" w:space="0"/>
              <w:left w:val="single" w:color="000000" w:sz="4" w:space="0"/>
              <w:bottom w:val="single" w:color="000000" w:sz="4" w:space="0"/>
              <w:right w:val="single" w:color="000000" w:sz="4" w:space="0"/>
            </w:tcBorders>
            <w:vAlign w:val="center"/>
          </w:tcPr>
          <w:p w14:paraId="7713F279">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现场打开监控APP检查，不满足条件不允许开工</w:t>
            </w:r>
          </w:p>
        </w:tc>
        <w:tc>
          <w:tcPr>
            <w:tcW w:w="1444" w:type="dxa"/>
            <w:tcBorders>
              <w:top w:val="single" w:color="000000" w:sz="4" w:space="0"/>
              <w:left w:val="single" w:color="000000" w:sz="4" w:space="0"/>
              <w:bottom w:val="single" w:color="000000" w:sz="4" w:space="0"/>
              <w:right w:val="single" w:color="000000" w:sz="4" w:space="0"/>
            </w:tcBorders>
            <w:vAlign w:val="center"/>
          </w:tcPr>
          <w:p w14:paraId="5B413C0B">
            <w:pPr>
              <w:jc w:val="center"/>
              <w:rPr>
                <w:rFonts w:ascii="等线" w:hAnsi="等线" w:eastAsia="等线" w:cs="等线"/>
                <w:color w:val="auto"/>
                <w:sz w:val="20"/>
                <w:szCs w:val="20"/>
                <w:highlight w:val="none"/>
              </w:rPr>
            </w:pPr>
          </w:p>
        </w:tc>
      </w:tr>
      <w:tr w14:paraId="759897E6">
        <w:tblPrEx>
          <w:tblCellMar>
            <w:top w:w="0" w:type="dxa"/>
            <w:left w:w="108" w:type="dxa"/>
            <w:bottom w:w="0" w:type="dxa"/>
            <w:right w:w="108" w:type="dxa"/>
          </w:tblCellMar>
        </w:tblPrEx>
        <w:trPr>
          <w:trHeight w:val="51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3B27515">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798B9D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监控是否能清晰看到施工面</w:t>
            </w:r>
          </w:p>
        </w:tc>
        <w:tc>
          <w:tcPr>
            <w:tcW w:w="3693" w:type="dxa"/>
            <w:tcBorders>
              <w:top w:val="single" w:color="000000" w:sz="4" w:space="0"/>
              <w:left w:val="single" w:color="000000" w:sz="4" w:space="0"/>
              <w:bottom w:val="single" w:color="000000" w:sz="4" w:space="0"/>
              <w:right w:val="single" w:color="000000" w:sz="4" w:space="0"/>
            </w:tcBorders>
            <w:vAlign w:val="center"/>
          </w:tcPr>
          <w:p w14:paraId="1E7CDD5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不满足条件及时调整位置</w:t>
            </w:r>
          </w:p>
        </w:tc>
        <w:tc>
          <w:tcPr>
            <w:tcW w:w="1444" w:type="dxa"/>
            <w:tcBorders>
              <w:top w:val="single" w:color="000000" w:sz="4" w:space="0"/>
              <w:left w:val="single" w:color="000000" w:sz="4" w:space="0"/>
              <w:bottom w:val="single" w:color="000000" w:sz="4" w:space="0"/>
              <w:right w:val="single" w:color="000000" w:sz="4" w:space="0"/>
            </w:tcBorders>
            <w:vAlign w:val="center"/>
          </w:tcPr>
          <w:p w14:paraId="12AE8DC4">
            <w:pPr>
              <w:jc w:val="center"/>
              <w:rPr>
                <w:rFonts w:ascii="等线" w:hAnsi="等线" w:eastAsia="等线" w:cs="等线"/>
                <w:color w:val="auto"/>
                <w:sz w:val="20"/>
                <w:szCs w:val="20"/>
                <w:highlight w:val="none"/>
              </w:rPr>
            </w:pPr>
          </w:p>
        </w:tc>
      </w:tr>
      <w:tr w14:paraId="74D4D224">
        <w:tblPrEx>
          <w:tblCellMar>
            <w:top w:w="0" w:type="dxa"/>
            <w:left w:w="108" w:type="dxa"/>
            <w:bottom w:w="0" w:type="dxa"/>
            <w:right w:w="108" w:type="dxa"/>
          </w:tblCellMar>
        </w:tblPrEx>
        <w:trPr>
          <w:trHeight w:val="646"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714F583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人身安全</w:t>
            </w:r>
          </w:p>
        </w:tc>
        <w:tc>
          <w:tcPr>
            <w:tcW w:w="3919" w:type="dxa"/>
            <w:tcBorders>
              <w:top w:val="single" w:color="000000" w:sz="4" w:space="0"/>
              <w:left w:val="single" w:color="000000" w:sz="4" w:space="0"/>
              <w:bottom w:val="single" w:color="000000" w:sz="4" w:space="0"/>
              <w:right w:val="single" w:color="000000" w:sz="4" w:space="0"/>
            </w:tcBorders>
            <w:vAlign w:val="center"/>
          </w:tcPr>
          <w:p w14:paraId="565C0FA8">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安全帽是否过期</w:t>
            </w:r>
          </w:p>
        </w:tc>
        <w:tc>
          <w:tcPr>
            <w:tcW w:w="3693" w:type="dxa"/>
            <w:tcBorders>
              <w:top w:val="single" w:color="000000" w:sz="4" w:space="0"/>
              <w:left w:val="single" w:color="000000" w:sz="4" w:space="0"/>
              <w:bottom w:val="single" w:color="000000" w:sz="4" w:space="0"/>
              <w:right w:val="single" w:color="000000" w:sz="4" w:space="0"/>
            </w:tcBorders>
            <w:vAlign w:val="center"/>
          </w:tcPr>
          <w:p w14:paraId="2ABD2AD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检查有效日期，过期及时更换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14:paraId="575721E7">
            <w:pPr>
              <w:jc w:val="center"/>
              <w:rPr>
                <w:rFonts w:ascii="等线" w:hAnsi="等线" w:eastAsia="等线" w:cs="等线"/>
                <w:color w:val="auto"/>
                <w:sz w:val="20"/>
                <w:szCs w:val="20"/>
                <w:highlight w:val="none"/>
              </w:rPr>
            </w:pPr>
          </w:p>
        </w:tc>
      </w:tr>
      <w:tr w14:paraId="4245D157">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5E2A5FE1">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E0BBC99">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有无穿戴反光衣</w:t>
            </w:r>
          </w:p>
        </w:tc>
        <w:tc>
          <w:tcPr>
            <w:tcW w:w="3693" w:type="dxa"/>
            <w:tcBorders>
              <w:top w:val="single" w:color="000000" w:sz="4" w:space="0"/>
              <w:left w:val="single" w:color="000000" w:sz="4" w:space="0"/>
              <w:bottom w:val="single" w:color="000000" w:sz="4" w:space="0"/>
              <w:right w:val="single" w:color="000000" w:sz="4" w:space="0"/>
            </w:tcBorders>
            <w:vAlign w:val="center"/>
          </w:tcPr>
          <w:p w14:paraId="2049CCE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提醒穿戴</w:t>
            </w:r>
          </w:p>
        </w:tc>
        <w:tc>
          <w:tcPr>
            <w:tcW w:w="1444" w:type="dxa"/>
            <w:tcBorders>
              <w:top w:val="single" w:color="000000" w:sz="4" w:space="0"/>
              <w:left w:val="single" w:color="000000" w:sz="4" w:space="0"/>
              <w:bottom w:val="single" w:color="000000" w:sz="4" w:space="0"/>
              <w:right w:val="single" w:color="000000" w:sz="4" w:space="0"/>
            </w:tcBorders>
            <w:vAlign w:val="center"/>
          </w:tcPr>
          <w:p w14:paraId="19F8471C">
            <w:pPr>
              <w:jc w:val="center"/>
              <w:rPr>
                <w:rFonts w:ascii="等线" w:hAnsi="等线" w:eastAsia="等线" w:cs="等线"/>
                <w:color w:val="auto"/>
                <w:sz w:val="20"/>
                <w:szCs w:val="20"/>
                <w:highlight w:val="none"/>
              </w:rPr>
            </w:pPr>
          </w:p>
        </w:tc>
      </w:tr>
      <w:tr w14:paraId="0DDC80D4">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11A5D22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A1C61C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有无急救箱</w:t>
            </w:r>
          </w:p>
        </w:tc>
        <w:tc>
          <w:tcPr>
            <w:tcW w:w="3693" w:type="dxa"/>
            <w:tcBorders>
              <w:top w:val="single" w:color="000000" w:sz="4" w:space="0"/>
              <w:left w:val="single" w:color="000000" w:sz="4" w:space="0"/>
              <w:bottom w:val="single" w:color="000000" w:sz="4" w:space="0"/>
              <w:right w:val="single" w:color="000000" w:sz="4" w:space="0"/>
            </w:tcBorders>
            <w:vAlign w:val="center"/>
          </w:tcPr>
          <w:p w14:paraId="2903C654">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应有止血贴、纱布等</w:t>
            </w:r>
          </w:p>
        </w:tc>
        <w:tc>
          <w:tcPr>
            <w:tcW w:w="1444" w:type="dxa"/>
            <w:tcBorders>
              <w:top w:val="single" w:color="000000" w:sz="4" w:space="0"/>
              <w:left w:val="single" w:color="000000" w:sz="4" w:space="0"/>
              <w:bottom w:val="single" w:color="000000" w:sz="4" w:space="0"/>
              <w:right w:val="single" w:color="000000" w:sz="4" w:space="0"/>
            </w:tcBorders>
            <w:vAlign w:val="center"/>
          </w:tcPr>
          <w:p w14:paraId="3186662E">
            <w:pPr>
              <w:jc w:val="center"/>
              <w:rPr>
                <w:rFonts w:ascii="等线" w:hAnsi="等线" w:eastAsia="等线" w:cs="等线"/>
                <w:color w:val="auto"/>
                <w:sz w:val="20"/>
                <w:szCs w:val="20"/>
                <w:highlight w:val="none"/>
              </w:rPr>
            </w:pPr>
          </w:p>
        </w:tc>
      </w:tr>
      <w:tr w14:paraId="15D419F0">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76ACD3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B64D68C">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作业人员有无佩戴防护手套</w:t>
            </w:r>
          </w:p>
        </w:tc>
        <w:tc>
          <w:tcPr>
            <w:tcW w:w="3693" w:type="dxa"/>
            <w:tcBorders>
              <w:top w:val="single" w:color="000000" w:sz="4" w:space="0"/>
              <w:left w:val="single" w:color="000000" w:sz="4" w:space="0"/>
              <w:bottom w:val="single" w:color="000000" w:sz="4" w:space="0"/>
              <w:right w:val="single" w:color="000000" w:sz="4" w:space="0"/>
            </w:tcBorders>
            <w:vAlign w:val="center"/>
          </w:tcPr>
          <w:p w14:paraId="666EE1A3">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提醒穿戴</w:t>
            </w:r>
          </w:p>
        </w:tc>
        <w:tc>
          <w:tcPr>
            <w:tcW w:w="1444" w:type="dxa"/>
            <w:tcBorders>
              <w:top w:val="single" w:color="000000" w:sz="4" w:space="0"/>
              <w:left w:val="single" w:color="000000" w:sz="4" w:space="0"/>
              <w:bottom w:val="single" w:color="000000" w:sz="4" w:space="0"/>
              <w:right w:val="single" w:color="000000" w:sz="4" w:space="0"/>
            </w:tcBorders>
            <w:vAlign w:val="center"/>
          </w:tcPr>
          <w:p w14:paraId="5FBE4B05">
            <w:pPr>
              <w:jc w:val="center"/>
              <w:rPr>
                <w:rFonts w:ascii="等线" w:hAnsi="等线" w:eastAsia="等线" w:cs="等线"/>
                <w:color w:val="auto"/>
                <w:sz w:val="20"/>
                <w:szCs w:val="20"/>
                <w:highlight w:val="none"/>
              </w:rPr>
            </w:pPr>
          </w:p>
        </w:tc>
      </w:tr>
      <w:tr w14:paraId="12AE07AB">
        <w:tblPrEx>
          <w:tblCellMar>
            <w:top w:w="0" w:type="dxa"/>
            <w:left w:w="108" w:type="dxa"/>
            <w:bottom w:w="0" w:type="dxa"/>
            <w:right w:w="108" w:type="dxa"/>
          </w:tblCellMar>
        </w:tblPrEx>
        <w:trPr>
          <w:trHeight w:val="48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00F9BC20">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交疏围蔽</w:t>
            </w:r>
          </w:p>
        </w:tc>
        <w:tc>
          <w:tcPr>
            <w:tcW w:w="3919" w:type="dxa"/>
            <w:tcBorders>
              <w:top w:val="single" w:color="000000" w:sz="4" w:space="0"/>
              <w:left w:val="single" w:color="000000" w:sz="4" w:space="0"/>
              <w:bottom w:val="single" w:color="000000" w:sz="4" w:space="0"/>
              <w:right w:val="single" w:color="000000" w:sz="4" w:space="0"/>
            </w:tcBorders>
            <w:vAlign w:val="center"/>
          </w:tcPr>
          <w:p w14:paraId="2DB8F486">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是否按交疏方案进行围蔽</w:t>
            </w:r>
          </w:p>
        </w:tc>
        <w:tc>
          <w:tcPr>
            <w:tcW w:w="3693" w:type="dxa"/>
            <w:tcBorders>
              <w:top w:val="single" w:color="000000" w:sz="4" w:space="0"/>
              <w:left w:val="single" w:color="000000" w:sz="4" w:space="0"/>
              <w:bottom w:val="single" w:color="000000" w:sz="4" w:space="0"/>
              <w:right w:val="single" w:color="000000" w:sz="4" w:space="0"/>
            </w:tcBorders>
            <w:vAlign w:val="center"/>
          </w:tcPr>
          <w:p w14:paraId="1A78C3C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现场查看交警批准的交疏方案</w:t>
            </w:r>
          </w:p>
        </w:tc>
        <w:tc>
          <w:tcPr>
            <w:tcW w:w="1444" w:type="dxa"/>
            <w:tcBorders>
              <w:top w:val="single" w:color="000000" w:sz="4" w:space="0"/>
              <w:left w:val="single" w:color="000000" w:sz="4" w:space="0"/>
              <w:bottom w:val="single" w:color="000000" w:sz="4" w:space="0"/>
              <w:right w:val="single" w:color="000000" w:sz="4" w:space="0"/>
            </w:tcBorders>
            <w:vAlign w:val="center"/>
          </w:tcPr>
          <w:p w14:paraId="56746375">
            <w:pPr>
              <w:jc w:val="center"/>
              <w:rPr>
                <w:rFonts w:ascii="等线" w:hAnsi="等线" w:eastAsia="等线" w:cs="等线"/>
                <w:color w:val="auto"/>
                <w:sz w:val="20"/>
                <w:szCs w:val="20"/>
                <w:highlight w:val="none"/>
              </w:rPr>
            </w:pPr>
          </w:p>
        </w:tc>
      </w:tr>
      <w:tr w14:paraId="40052489">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4FA49206">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FF05BF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施工面前后围蔽长度是否足够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14:paraId="25A99DC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按规范留有足够缓冲带</w:t>
            </w:r>
          </w:p>
        </w:tc>
        <w:tc>
          <w:tcPr>
            <w:tcW w:w="1444" w:type="dxa"/>
            <w:tcBorders>
              <w:top w:val="single" w:color="000000" w:sz="4" w:space="0"/>
              <w:left w:val="single" w:color="000000" w:sz="4" w:space="0"/>
              <w:bottom w:val="single" w:color="000000" w:sz="4" w:space="0"/>
              <w:right w:val="single" w:color="000000" w:sz="4" w:space="0"/>
            </w:tcBorders>
            <w:vAlign w:val="center"/>
          </w:tcPr>
          <w:p w14:paraId="764C0DD3">
            <w:pPr>
              <w:jc w:val="center"/>
              <w:rPr>
                <w:rFonts w:ascii="等线" w:hAnsi="等线" w:eastAsia="等线" w:cs="等线"/>
                <w:color w:val="auto"/>
                <w:sz w:val="20"/>
                <w:szCs w:val="20"/>
                <w:highlight w:val="none"/>
              </w:rPr>
            </w:pPr>
          </w:p>
        </w:tc>
      </w:tr>
      <w:tr w14:paraId="76F58279">
        <w:tblPrEx>
          <w:tblCellMar>
            <w:top w:w="0" w:type="dxa"/>
            <w:left w:w="108" w:type="dxa"/>
            <w:bottom w:w="0" w:type="dxa"/>
            <w:right w:w="108" w:type="dxa"/>
          </w:tblCellMar>
        </w:tblPrEx>
        <w:trPr>
          <w:trHeight w:val="756"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1DB4ACD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8E02D9C">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在围蔽来车方向放置一部车辆作为防撞缓冲</w:t>
            </w:r>
          </w:p>
        </w:tc>
        <w:tc>
          <w:tcPr>
            <w:tcW w:w="3693" w:type="dxa"/>
            <w:tcBorders>
              <w:top w:val="single" w:color="000000" w:sz="4" w:space="0"/>
              <w:left w:val="single" w:color="000000" w:sz="4" w:space="0"/>
              <w:bottom w:val="single" w:color="000000" w:sz="4" w:space="0"/>
              <w:right w:val="single" w:color="000000" w:sz="4" w:space="0"/>
            </w:tcBorders>
            <w:vAlign w:val="center"/>
          </w:tcPr>
          <w:p w14:paraId="4F56EC42">
            <w:pPr>
              <w:jc w:val="left"/>
              <w:rPr>
                <w:rFonts w:ascii="等线" w:hAnsi="等线" w:eastAsia="等线" w:cs="等线"/>
                <w:color w:val="auto"/>
                <w:sz w:val="20"/>
                <w:szCs w:val="20"/>
                <w:highlight w:val="none"/>
              </w:rPr>
            </w:pPr>
          </w:p>
        </w:tc>
        <w:tc>
          <w:tcPr>
            <w:tcW w:w="1444" w:type="dxa"/>
            <w:tcBorders>
              <w:top w:val="single" w:color="000000" w:sz="4" w:space="0"/>
              <w:left w:val="single" w:color="000000" w:sz="4" w:space="0"/>
              <w:bottom w:val="single" w:color="000000" w:sz="4" w:space="0"/>
              <w:right w:val="single" w:color="000000" w:sz="4" w:space="0"/>
            </w:tcBorders>
            <w:vAlign w:val="center"/>
          </w:tcPr>
          <w:p w14:paraId="399EA6D7">
            <w:pPr>
              <w:jc w:val="center"/>
              <w:rPr>
                <w:rFonts w:ascii="等线" w:hAnsi="等线" w:eastAsia="等线" w:cs="等线"/>
                <w:color w:val="auto"/>
                <w:sz w:val="20"/>
                <w:szCs w:val="20"/>
                <w:highlight w:val="none"/>
              </w:rPr>
            </w:pPr>
          </w:p>
        </w:tc>
      </w:tr>
      <w:tr w14:paraId="63A3CE03">
        <w:tblPrEx>
          <w:tblCellMar>
            <w:top w:w="0" w:type="dxa"/>
            <w:left w:w="108" w:type="dxa"/>
            <w:bottom w:w="0" w:type="dxa"/>
            <w:right w:w="108" w:type="dxa"/>
          </w:tblCellMar>
        </w:tblPrEx>
        <w:trPr>
          <w:trHeight w:val="3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1D29002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647705E">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爆闪灯、警示灯、信号灯等是否足够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14:paraId="797BEA39">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14:paraId="203C742F">
            <w:pPr>
              <w:jc w:val="center"/>
              <w:rPr>
                <w:rFonts w:ascii="等线" w:hAnsi="等线" w:eastAsia="等线" w:cs="等线"/>
                <w:color w:val="auto"/>
                <w:sz w:val="20"/>
                <w:szCs w:val="20"/>
                <w:highlight w:val="none"/>
              </w:rPr>
            </w:pPr>
          </w:p>
        </w:tc>
      </w:tr>
      <w:tr w14:paraId="562F02B6">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A17C8D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826D90A">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箭头指示灯、车流、行人导向标识</w:t>
            </w:r>
          </w:p>
        </w:tc>
        <w:tc>
          <w:tcPr>
            <w:tcW w:w="3693" w:type="dxa"/>
            <w:tcBorders>
              <w:top w:val="single" w:color="000000" w:sz="4" w:space="0"/>
              <w:left w:val="single" w:color="000000" w:sz="4" w:space="0"/>
              <w:bottom w:val="single" w:color="000000" w:sz="4" w:space="0"/>
              <w:right w:val="single" w:color="000000" w:sz="4" w:space="0"/>
            </w:tcBorders>
            <w:vAlign w:val="center"/>
          </w:tcPr>
          <w:p w14:paraId="55A53A3C">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设置在来车方向</w:t>
            </w:r>
          </w:p>
        </w:tc>
        <w:tc>
          <w:tcPr>
            <w:tcW w:w="1444" w:type="dxa"/>
            <w:tcBorders>
              <w:top w:val="single" w:color="000000" w:sz="4" w:space="0"/>
              <w:left w:val="single" w:color="000000" w:sz="4" w:space="0"/>
              <w:bottom w:val="single" w:color="000000" w:sz="4" w:space="0"/>
              <w:right w:val="single" w:color="000000" w:sz="4" w:space="0"/>
            </w:tcBorders>
            <w:vAlign w:val="center"/>
          </w:tcPr>
          <w:p w14:paraId="15B33693">
            <w:pPr>
              <w:jc w:val="center"/>
              <w:rPr>
                <w:rFonts w:ascii="等线" w:hAnsi="等线" w:eastAsia="等线" w:cs="等线"/>
                <w:color w:val="auto"/>
                <w:sz w:val="20"/>
                <w:szCs w:val="20"/>
                <w:highlight w:val="none"/>
              </w:rPr>
            </w:pPr>
          </w:p>
        </w:tc>
      </w:tr>
      <w:tr w14:paraId="1862CBE1">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7821E8E">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5477A895">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雪糕桶、水马、隔栏是否足够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14:paraId="12EBFB5C">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有损坏及时更换，数量不足及时补充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14:paraId="242D5A55">
            <w:pPr>
              <w:jc w:val="center"/>
              <w:rPr>
                <w:rFonts w:ascii="等线" w:hAnsi="等线" w:eastAsia="等线" w:cs="等线"/>
                <w:color w:val="auto"/>
                <w:sz w:val="20"/>
                <w:szCs w:val="20"/>
                <w:highlight w:val="none"/>
              </w:rPr>
            </w:pPr>
          </w:p>
        </w:tc>
      </w:tr>
      <w:tr w14:paraId="573392DC">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560EC6F">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126135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疏导员是否足够</w:t>
            </w:r>
          </w:p>
        </w:tc>
        <w:tc>
          <w:tcPr>
            <w:tcW w:w="3693" w:type="dxa"/>
            <w:tcBorders>
              <w:top w:val="single" w:color="000000" w:sz="4" w:space="0"/>
              <w:left w:val="single" w:color="000000" w:sz="4" w:space="0"/>
              <w:bottom w:val="single" w:color="000000" w:sz="4" w:space="0"/>
              <w:right w:val="single" w:color="000000" w:sz="4" w:space="0"/>
            </w:tcBorders>
            <w:vAlign w:val="center"/>
          </w:tcPr>
          <w:p w14:paraId="306CF098">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记录人数</w:t>
            </w:r>
          </w:p>
        </w:tc>
        <w:tc>
          <w:tcPr>
            <w:tcW w:w="1444" w:type="dxa"/>
            <w:tcBorders>
              <w:top w:val="single" w:color="000000" w:sz="4" w:space="0"/>
              <w:left w:val="single" w:color="000000" w:sz="4" w:space="0"/>
              <w:bottom w:val="single" w:color="000000" w:sz="4" w:space="0"/>
              <w:right w:val="single" w:color="000000" w:sz="4" w:space="0"/>
            </w:tcBorders>
            <w:vAlign w:val="center"/>
          </w:tcPr>
          <w:p w14:paraId="0B7ED291">
            <w:pPr>
              <w:jc w:val="center"/>
              <w:rPr>
                <w:rFonts w:ascii="等线" w:hAnsi="等线" w:eastAsia="等线" w:cs="等线"/>
                <w:color w:val="auto"/>
                <w:sz w:val="20"/>
                <w:szCs w:val="20"/>
                <w:highlight w:val="none"/>
              </w:rPr>
            </w:pPr>
          </w:p>
        </w:tc>
      </w:tr>
      <w:tr w14:paraId="17A64EF7">
        <w:tblPrEx>
          <w:tblCellMar>
            <w:top w:w="0" w:type="dxa"/>
            <w:left w:w="108" w:type="dxa"/>
            <w:bottom w:w="0" w:type="dxa"/>
            <w:right w:w="108" w:type="dxa"/>
          </w:tblCellMar>
        </w:tblPrEx>
        <w:trPr>
          <w:trHeight w:val="40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D9918C5">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0D59483F">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施工人员是否随意横穿马路</w:t>
            </w:r>
          </w:p>
        </w:tc>
        <w:tc>
          <w:tcPr>
            <w:tcW w:w="3693" w:type="dxa"/>
            <w:tcBorders>
              <w:top w:val="single" w:color="000000" w:sz="4" w:space="0"/>
              <w:left w:val="single" w:color="000000" w:sz="4" w:space="0"/>
              <w:bottom w:val="single" w:color="000000" w:sz="4" w:space="0"/>
              <w:right w:val="single" w:color="000000" w:sz="4" w:space="0"/>
            </w:tcBorders>
            <w:vAlign w:val="center"/>
          </w:tcPr>
          <w:p w14:paraId="25B5890A">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5DFB80D1">
            <w:pPr>
              <w:jc w:val="center"/>
              <w:rPr>
                <w:rFonts w:ascii="等线" w:hAnsi="等线" w:eastAsia="等线" w:cs="等线"/>
                <w:color w:val="auto"/>
                <w:sz w:val="20"/>
                <w:szCs w:val="20"/>
                <w:highlight w:val="none"/>
              </w:rPr>
            </w:pPr>
          </w:p>
        </w:tc>
      </w:tr>
      <w:tr w14:paraId="0D013545">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CA13E85">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E51C08A">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作业期间是否提前撤走设备</w:t>
            </w:r>
          </w:p>
        </w:tc>
        <w:tc>
          <w:tcPr>
            <w:tcW w:w="3693" w:type="dxa"/>
            <w:tcBorders>
              <w:top w:val="single" w:color="000000" w:sz="4" w:space="0"/>
              <w:left w:val="single" w:color="000000" w:sz="4" w:space="0"/>
              <w:bottom w:val="single" w:color="000000" w:sz="4" w:space="0"/>
              <w:right w:val="single" w:color="000000" w:sz="4" w:space="0"/>
            </w:tcBorders>
            <w:vAlign w:val="center"/>
          </w:tcPr>
          <w:p w14:paraId="48009E0D">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5EE1F69E">
            <w:pPr>
              <w:jc w:val="center"/>
              <w:rPr>
                <w:rFonts w:ascii="等线" w:hAnsi="等线" w:eastAsia="等线" w:cs="等线"/>
                <w:color w:val="auto"/>
                <w:sz w:val="20"/>
                <w:szCs w:val="20"/>
                <w:highlight w:val="none"/>
              </w:rPr>
            </w:pPr>
          </w:p>
        </w:tc>
      </w:tr>
      <w:tr w14:paraId="2B05C378">
        <w:tblPrEx>
          <w:tblCellMar>
            <w:top w:w="0" w:type="dxa"/>
            <w:left w:w="108" w:type="dxa"/>
            <w:bottom w:w="0" w:type="dxa"/>
            <w:right w:w="108" w:type="dxa"/>
          </w:tblCellMar>
        </w:tblPrEx>
        <w:trPr>
          <w:trHeight w:val="39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9AA33B7">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A83C78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有无测分贝仪及打路面时分贝</w:t>
            </w:r>
          </w:p>
        </w:tc>
        <w:tc>
          <w:tcPr>
            <w:tcW w:w="3693" w:type="dxa"/>
            <w:tcBorders>
              <w:top w:val="single" w:color="000000" w:sz="4" w:space="0"/>
              <w:left w:val="single" w:color="000000" w:sz="4" w:space="0"/>
              <w:bottom w:val="single" w:color="000000" w:sz="4" w:space="0"/>
              <w:right w:val="single" w:color="000000" w:sz="4" w:space="0"/>
            </w:tcBorders>
            <w:vAlign w:val="center"/>
          </w:tcPr>
          <w:p w14:paraId="0109656B">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记录分贝</w:t>
            </w:r>
          </w:p>
        </w:tc>
        <w:tc>
          <w:tcPr>
            <w:tcW w:w="1444" w:type="dxa"/>
            <w:tcBorders>
              <w:top w:val="single" w:color="000000" w:sz="4" w:space="0"/>
              <w:left w:val="single" w:color="000000" w:sz="4" w:space="0"/>
              <w:bottom w:val="single" w:color="000000" w:sz="4" w:space="0"/>
              <w:right w:val="single" w:color="000000" w:sz="4" w:space="0"/>
            </w:tcBorders>
            <w:vAlign w:val="center"/>
          </w:tcPr>
          <w:p w14:paraId="6665F160">
            <w:pPr>
              <w:jc w:val="center"/>
              <w:rPr>
                <w:rFonts w:ascii="等线" w:hAnsi="等线" w:eastAsia="等线" w:cs="等线"/>
                <w:color w:val="auto"/>
                <w:sz w:val="20"/>
                <w:szCs w:val="20"/>
                <w:highlight w:val="none"/>
              </w:rPr>
            </w:pPr>
          </w:p>
        </w:tc>
      </w:tr>
      <w:tr w14:paraId="23887483">
        <w:tblPrEx>
          <w:tblCellMar>
            <w:top w:w="0" w:type="dxa"/>
            <w:left w:w="108" w:type="dxa"/>
            <w:bottom w:w="0" w:type="dxa"/>
            <w:right w:w="108" w:type="dxa"/>
          </w:tblCellMar>
        </w:tblPrEx>
        <w:trPr>
          <w:trHeight w:val="47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6E67165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用火安全</w:t>
            </w:r>
          </w:p>
        </w:tc>
        <w:tc>
          <w:tcPr>
            <w:tcW w:w="3919" w:type="dxa"/>
            <w:tcBorders>
              <w:top w:val="single" w:color="000000" w:sz="4" w:space="0"/>
              <w:left w:val="single" w:color="000000" w:sz="4" w:space="0"/>
              <w:bottom w:val="single" w:color="000000" w:sz="4" w:space="0"/>
              <w:right w:val="single" w:color="000000" w:sz="4" w:space="0"/>
            </w:tcBorders>
            <w:vAlign w:val="center"/>
          </w:tcPr>
          <w:p w14:paraId="7C5A6F79">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瓶身是否完好，有否防倾倒装置</w:t>
            </w:r>
          </w:p>
        </w:tc>
        <w:tc>
          <w:tcPr>
            <w:tcW w:w="3693" w:type="dxa"/>
            <w:tcBorders>
              <w:top w:val="single" w:color="000000" w:sz="4" w:space="0"/>
              <w:left w:val="single" w:color="000000" w:sz="4" w:space="0"/>
              <w:bottom w:val="single" w:color="000000" w:sz="4" w:space="0"/>
              <w:right w:val="single" w:color="000000" w:sz="4" w:space="0"/>
            </w:tcBorders>
            <w:vAlign w:val="center"/>
          </w:tcPr>
          <w:p w14:paraId="01C87F34">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14:paraId="0E122FDE">
            <w:pPr>
              <w:jc w:val="center"/>
              <w:rPr>
                <w:rFonts w:ascii="等线" w:hAnsi="等线" w:eastAsia="等线" w:cs="等线"/>
                <w:color w:val="auto"/>
                <w:sz w:val="20"/>
                <w:szCs w:val="20"/>
                <w:highlight w:val="none"/>
              </w:rPr>
            </w:pPr>
          </w:p>
        </w:tc>
      </w:tr>
      <w:tr w14:paraId="37A58D82">
        <w:tblPrEx>
          <w:tblCellMar>
            <w:top w:w="0" w:type="dxa"/>
            <w:left w:w="108" w:type="dxa"/>
            <w:bottom w:w="0" w:type="dxa"/>
            <w:right w:w="108" w:type="dxa"/>
          </w:tblCellMar>
        </w:tblPrEx>
        <w:trPr>
          <w:trHeight w:val="496"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5A6C85F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5B230CC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动火作业审批</w:t>
            </w:r>
          </w:p>
        </w:tc>
        <w:tc>
          <w:tcPr>
            <w:tcW w:w="3693" w:type="dxa"/>
            <w:tcBorders>
              <w:top w:val="single" w:color="000000" w:sz="4" w:space="0"/>
              <w:left w:val="single" w:color="000000" w:sz="4" w:space="0"/>
              <w:bottom w:val="single" w:color="000000" w:sz="4" w:space="0"/>
              <w:right w:val="single" w:color="000000" w:sz="4" w:space="0"/>
            </w:tcBorders>
            <w:vAlign w:val="center"/>
          </w:tcPr>
          <w:p w14:paraId="45F17D6D">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vAlign w:val="center"/>
          </w:tcPr>
          <w:p w14:paraId="23936B62">
            <w:pPr>
              <w:jc w:val="center"/>
              <w:rPr>
                <w:rFonts w:ascii="等线" w:hAnsi="等线" w:eastAsia="等线" w:cs="等线"/>
                <w:color w:val="auto"/>
                <w:sz w:val="20"/>
                <w:szCs w:val="20"/>
                <w:highlight w:val="none"/>
              </w:rPr>
            </w:pPr>
          </w:p>
        </w:tc>
      </w:tr>
      <w:tr w14:paraId="37532756">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BCDFB52">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42C155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压力表是否完好</w:t>
            </w:r>
          </w:p>
        </w:tc>
        <w:tc>
          <w:tcPr>
            <w:tcW w:w="3693" w:type="dxa"/>
            <w:tcBorders>
              <w:top w:val="single" w:color="000000" w:sz="4" w:space="0"/>
              <w:left w:val="single" w:color="000000" w:sz="4" w:space="0"/>
              <w:bottom w:val="single" w:color="000000" w:sz="4" w:space="0"/>
              <w:right w:val="single" w:color="000000" w:sz="4" w:space="0"/>
            </w:tcBorders>
            <w:vAlign w:val="center"/>
          </w:tcPr>
          <w:p w14:paraId="3533A674">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14:paraId="28706A26">
            <w:pPr>
              <w:jc w:val="center"/>
              <w:rPr>
                <w:rFonts w:ascii="等线" w:hAnsi="等线" w:eastAsia="等线" w:cs="等线"/>
                <w:color w:val="auto"/>
                <w:sz w:val="20"/>
                <w:szCs w:val="20"/>
                <w:highlight w:val="none"/>
              </w:rPr>
            </w:pPr>
          </w:p>
        </w:tc>
      </w:tr>
      <w:tr w14:paraId="5D8EA7E3">
        <w:tblPrEx>
          <w:tblCellMar>
            <w:top w:w="0" w:type="dxa"/>
            <w:left w:w="108" w:type="dxa"/>
            <w:bottom w:w="0" w:type="dxa"/>
            <w:right w:w="108" w:type="dxa"/>
          </w:tblCellMar>
        </w:tblPrEx>
        <w:trPr>
          <w:trHeight w:val="3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44A59255">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DCBA8A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有无防回火装置</w:t>
            </w:r>
          </w:p>
        </w:tc>
        <w:tc>
          <w:tcPr>
            <w:tcW w:w="3693" w:type="dxa"/>
            <w:tcBorders>
              <w:top w:val="single" w:color="000000" w:sz="4" w:space="0"/>
              <w:left w:val="single" w:color="000000" w:sz="4" w:space="0"/>
              <w:bottom w:val="single" w:color="000000" w:sz="4" w:space="0"/>
              <w:right w:val="single" w:color="000000" w:sz="4" w:space="0"/>
            </w:tcBorders>
            <w:vAlign w:val="center"/>
          </w:tcPr>
          <w:p w14:paraId="50F5D961">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14:paraId="0F9D73FB">
            <w:pPr>
              <w:jc w:val="center"/>
              <w:rPr>
                <w:rFonts w:ascii="等线" w:hAnsi="等线" w:eastAsia="等线" w:cs="等线"/>
                <w:color w:val="auto"/>
                <w:sz w:val="20"/>
                <w:szCs w:val="20"/>
                <w:highlight w:val="none"/>
              </w:rPr>
            </w:pPr>
          </w:p>
        </w:tc>
      </w:tr>
      <w:tr w14:paraId="228AA717">
        <w:tblPrEx>
          <w:tblCellMar>
            <w:top w:w="0" w:type="dxa"/>
            <w:left w:w="108" w:type="dxa"/>
            <w:bottom w:w="0" w:type="dxa"/>
            <w:right w:w="108" w:type="dxa"/>
          </w:tblCellMar>
        </w:tblPrEx>
        <w:trPr>
          <w:trHeight w:val="49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7D4B1E6">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231CF9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乙炔瓶与氧气瓶间隔最少5米摆放</w:t>
            </w:r>
          </w:p>
        </w:tc>
        <w:tc>
          <w:tcPr>
            <w:tcW w:w="3693" w:type="dxa"/>
            <w:tcBorders>
              <w:top w:val="single" w:color="000000" w:sz="4" w:space="0"/>
              <w:left w:val="single" w:color="000000" w:sz="4" w:space="0"/>
              <w:bottom w:val="single" w:color="000000" w:sz="4" w:space="0"/>
              <w:right w:val="single" w:color="000000" w:sz="4" w:space="0"/>
            </w:tcBorders>
            <w:vAlign w:val="center"/>
          </w:tcPr>
          <w:p w14:paraId="3049B466">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743FB260">
            <w:pPr>
              <w:jc w:val="center"/>
              <w:rPr>
                <w:rFonts w:ascii="等线" w:hAnsi="等线" w:eastAsia="等线" w:cs="等线"/>
                <w:color w:val="auto"/>
                <w:sz w:val="20"/>
                <w:szCs w:val="20"/>
                <w:highlight w:val="none"/>
              </w:rPr>
            </w:pPr>
          </w:p>
        </w:tc>
      </w:tr>
      <w:tr w14:paraId="521EEE74">
        <w:tblPrEx>
          <w:tblCellMar>
            <w:top w:w="0" w:type="dxa"/>
            <w:left w:w="108" w:type="dxa"/>
            <w:bottom w:w="0" w:type="dxa"/>
            <w:right w:w="108" w:type="dxa"/>
          </w:tblCellMar>
        </w:tblPrEx>
        <w:trPr>
          <w:trHeight w:val="4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F8409BD">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0C3D3461">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瓶子是否远离火源及施工现场</w:t>
            </w:r>
          </w:p>
        </w:tc>
        <w:tc>
          <w:tcPr>
            <w:tcW w:w="3693" w:type="dxa"/>
            <w:tcBorders>
              <w:top w:val="single" w:color="000000" w:sz="4" w:space="0"/>
              <w:left w:val="single" w:color="000000" w:sz="4" w:space="0"/>
              <w:bottom w:val="single" w:color="000000" w:sz="4" w:space="0"/>
              <w:right w:val="single" w:color="000000" w:sz="4" w:space="0"/>
            </w:tcBorders>
            <w:vAlign w:val="center"/>
          </w:tcPr>
          <w:p w14:paraId="3E71B9BE">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0DD735F8">
            <w:pPr>
              <w:jc w:val="center"/>
              <w:rPr>
                <w:rFonts w:ascii="等线" w:hAnsi="等线" w:eastAsia="等线" w:cs="等线"/>
                <w:color w:val="auto"/>
                <w:sz w:val="20"/>
                <w:szCs w:val="20"/>
                <w:highlight w:val="none"/>
              </w:rPr>
            </w:pPr>
          </w:p>
        </w:tc>
      </w:tr>
      <w:tr w14:paraId="159EAA83">
        <w:tblPrEx>
          <w:tblCellMar>
            <w:top w:w="0" w:type="dxa"/>
            <w:left w:w="108" w:type="dxa"/>
            <w:bottom w:w="0" w:type="dxa"/>
            <w:right w:w="108" w:type="dxa"/>
          </w:tblCellMar>
        </w:tblPrEx>
        <w:trPr>
          <w:trHeight w:val="40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16D22ED">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9287F7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现场是否配备灭火装置</w:t>
            </w:r>
          </w:p>
        </w:tc>
        <w:tc>
          <w:tcPr>
            <w:tcW w:w="3693" w:type="dxa"/>
            <w:tcBorders>
              <w:top w:val="single" w:color="000000" w:sz="4" w:space="0"/>
              <w:left w:val="single" w:color="000000" w:sz="4" w:space="0"/>
              <w:bottom w:val="single" w:color="000000" w:sz="4" w:space="0"/>
              <w:right w:val="single" w:color="000000" w:sz="4" w:space="0"/>
            </w:tcBorders>
            <w:vAlign w:val="center"/>
          </w:tcPr>
          <w:p w14:paraId="54775D8C">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检查有效日期，记录数量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14:paraId="0C3D8EB2">
            <w:pPr>
              <w:jc w:val="center"/>
              <w:rPr>
                <w:rFonts w:ascii="等线" w:hAnsi="等线" w:eastAsia="等线" w:cs="等线"/>
                <w:color w:val="auto"/>
                <w:sz w:val="20"/>
                <w:szCs w:val="20"/>
                <w:highlight w:val="none"/>
              </w:rPr>
            </w:pPr>
          </w:p>
        </w:tc>
      </w:tr>
      <w:tr w14:paraId="03894D1C">
        <w:tblPrEx>
          <w:tblCellMar>
            <w:top w:w="0" w:type="dxa"/>
            <w:left w:w="108" w:type="dxa"/>
            <w:bottom w:w="0" w:type="dxa"/>
            <w:right w:w="108" w:type="dxa"/>
          </w:tblCellMar>
        </w:tblPrEx>
        <w:trPr>
          <w:trHeight w:val="42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9F328C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74FFFF2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焊工有无特殊作业证</w:t>
            </w:r>
          </w:p>
        </w:tc>
        <w:tc>
          <w:tcPr>
            <w:tcW w:w="3693" w:type="dxa"/>
            <w:tcBorders>
              <w:top w:val="single" w:color="000000" w:sz="4" w:space="0"/>
              <w:left w:val="single" w:color="000000" w:sz="4" w:space="0"/>
              <w:bottom w:val="single" w:color="000000" w:sz="4" w:space="0"/>
              <w:right w:val="single" w:color="000000" w:sz="4" w:space="0"/>
            </w:tcBorders>
            <w:vAlign w:val="center"/>
          </w:tcPr>
          <w:p w14:paraId="3AD4397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实名制</w:t>
            </w:r>
          </w:p>
        </w:tc>
        <w:tc>
          <w:tcPr>
            <w:tcW w:w="1444" w:type="dxa"/>
            <w:tcBorders>
              <w:top w:val="single" w:color="000000" w:sz="4" w:space="0"/>
              <w:left w:val="single" w:color="000000" w:sz="4" w:space="0"/>
              <w:bottom w:val="single" w:color="000000" w:sz="4" w:space="0"/>
              <w:right w:val="single" w:color="000000" w:sz="4" w:space="0"/>
            </w:tcBorders>
            <w:vAlign w:val="center"/>
          </w:tcPr>
          <w:p w14:paraId="5A6ABE69">
            <w:pPr>
              <w:jc w:val="center"/>
              <w:rPr>
                <w:rFonts w:ascii="等线" w:hAnsi="等线" w:eastAsia="等线" w:cs="等线"/>
                <w:color w:val="auto"/>
                <w:sz w:val="20"/>
                <w:szCs w:val="20"/>
                <w:highlight w:val="none"/>
              </w:rPr>
            </w:pPr>
          </w:p>
        </w:tc>
      </w:tr>
      <w:tr w14:paraId="006A76CE">
        <w:tblPrEx>
          <w:tblCellMar>
            <w:top w:w="0" w:type="dxa"/>
            <w:left w:w="108" w:type="dxa"/>
            <w:bottom w:w="0" w:type="dxa"/>
            <w:right w:w="108" w:type="dxa"/>
          </w:tblCellMar>
        </w:tblPrEx>
        <w:trPr>
          <w:trHeight w:val="44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730082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67520B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施工现场有无人员抽烟</w:t>
            </w:r>
          </w:p>
        </w:tc>
        <w:tc>
          <w:tcPr>
            <w:tcW w:w="3693" w:type="dxa"/>
            <w:tcBorders>
              <w:top w:val="single" w:color="000000" w:sz="4" w:space="0"/>
              <w:left w:val="single" w:color="000000" w:sz="4" w:space="0"/>
              <w:bottom w:val="single" w:color="000000" w:sz="4" w:space="0"/>
              <w:right w:val="single" w:color="000000" w:sz="4" w:space="0"/>
            </w:tcBorders>
            <w:vAlign w:val="center"/>
          </w:tcPr>
          <w:p w14:paraId="71E1715A">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如有，记录数量进行扣罚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71B394DF">
            <w:pPr>
              <w:jc w:val="center"/>
              <w:rPr>
                <w:rFonts w:ascii="等线" w:hAnsi="等线" w:eastAsia="等线" w:cs="等线"/>
                <w:color w:val="auto"/>
                <w:sz w:val="20"/>
                <w:szCs w:val="20"/>
                <w:highlight w:val="none"/>
              </w:rPr>
            </w:pPr>
          </w:p>
        </w:tc>
      </w:tr>
      <w:tr w14:paraId="2ACE0D80">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7DE5DD50">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用电安全</w:t>
            </w:r>
          </w:p>
        </w:tc>
        <w:tc>
          <w:tcPr>
            <w:tcW w:w="3919" w:type="dxa"/>
            <w:tcBorders>
              <w:top w:val="single" w:color="000000" w:sz="4" w:space="0"/>
              <w:left w:val="single" w:color="000000" w:sz="4" w:space="0"/>
              <w:bottom w:val="single" w:color="000000" w:sz="4" w:space="0"/>
              <w:right w:val="single" w:color="000000" w:sz="4" w:space="0"/>
            </w:tcBorders>
            <w:vAlign w:val="center"/>
          </w:tcPr>
          <w:p w14:paraId="5269482B">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电缆有否有破损、是否架空</w:t>
            </w:r>
          </w:p>
        </w:tc>
        <w:tc>
          <w:tcPr>
            <w:tcW w:w="3693" w:type="dxa"/>
            <w:tcBorders>
              <w:top w:val="single" w:color="000000" w:sz="4" w:space="0"/>
              <w:left w:val="single" w:color="000000" w:sz="4" w:space="0"/>
              <w:bottom w:val="single" w:color="000000" w:sz="4" w:space="0"/>
              <w:right w:val="single" w:color="000000" w:sz="4" w:space="0"/>
            </w:tcBorders>
            <w:vAlign w:val="center"/>
          </w:tcPr>
          <w:p w14:paraId="69AB2E9E">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用黄色专用三脚架架空，严禁拖地或违规架设</w:t>
            </w:r>
          </w:p>
        </w:tc>
        <w:tc>
          <w:tcPr>
            <w:tcW w:w="1444" w:type="dxa"/>
            <w:tcBorders>
              <w:top w:val="single" w:color="000000" w:sz="4" w:space="0"/>
              <w:left w:val="single" w:color="000000" w:sz="4" w:space="0"/>
              <w:bottom w:val="single" w:color="000000" w:sz="4" w:space="0"/>
              <w:right w:val="single" w:color="000000" w:sz="4" w:space="0"/>
            </w:tcBorders>
            <w:vAlign w:val="center"/>
          </w:tcPr>
          <w:p w14:paraId="42854D1D">
            <w:pPr>
              <w:jc w:val="center"/>
              <w:rPr>
                <w:rFonts w:ascii="等线" w:hAnsi="等线" w:eastAsia="等线" w:cs="等线"/>
                <w:color w:val="auto"/>
                <w:sz w:val="20"/>
                <w:szCs w:val="20"/>
                <w:highlight w:val="none"/>
              </w:rPr>
            </w:pPr>
          </w:p>
        </w:tc>
      </w:tr>
      <w:tr w14:paraId="449B92CF">
        <w:tblPrEx>
          <w:tblCellMar>
            <w:top w:w="0" w:type="dxa"/>
            <w:left w:w="108" w:type="dxa"/>
            <w:bottom w:w="0" w:type="dxa"/>
            <w:right w:w="108" w:type="dxa"/>
          </w:tblCellMar>
        </w:tblPrEx>
        <w:trPr>
          <w:trHeight w:val="60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A17A56B">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059A504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电箱有无检查记录及检查时间</w:t>
            </w:r>
          </w:p>
        </w:tc>
        <w:tc>
          <w:tcPr>
            <w:tcW w:w="3693" w:type="dxa"/>
            <w:tcBorders>
              <w:top w:val="single" w:color="000000" w:sz="4" w:space="0"/>
              <w:left w:val="single" w:color="000000" w:sz="4" w:space="0"/>
              <w:bottom w:val="single" w:color="000000" w:sz="4" w:space="0"/>
              <w:right w:val="single" w:color="000000" w:sz="4" w:space="0"/>
            </w:tcBorders>
            <w:vAlign w:val="center"/>
          </w:tcPr>
          <w:p w14:paraId="7227AC5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检查及记录人员应为有特殊作业证的电工</w:t>
            </w:r>
          </w:p>
        </w:tc>
        <w:tc>
          <w:tcPr>
            <w:tcW w:w="1444" w:type="dxa"/>
            <w:tcBorders>
              <w:top w:val="single" w:color="000000" w:sz="4" w:space="0"/>
              <w:left w:val="single" w:color="000000" w:sz="4" w:space="0"/>
              <w:bottom w:val="single" w:color="000000" w:sz="4" w:space="0"/>
              <w:right w:val="single" w:color="000000" w:sz="4" w:space="0"/>
            </w:tcBorders>
            <w:vAlign w:val="center"/>
          </w:tcPr>
          <w:p w14:paraId="6A1DB859">
            <w:pPr>
              <w:jc w:val="center"/>
              <w:rPr>
                <w:rFonts w:ascii="等线" w:hAnsi="等线" w:eastAsia="等线" w:cs="等线"/>
                <w:color w:val="auto"/>
                <w:sz w:val="20"/>
                <w:szCs w:val="20"/>
                <w:highlight w:val="none"/>
              </w:rPr>
            </w:pPr>
          </w:p>
        </w:tc>
      </w:tr>
      <w:tr w14:paraId="1A569D6B">
        <w:tblPrEx>
          <w:tblCellMar>
            <w:top w:w="0" w:type="dxa"/>
            <w:left w:w="108" w:type="dxa"/>
            <w:bottom w:w="0" w:type="dxa"/>
            <w:right w:w="108" w:type="dxa"/>
          </w:tblCellMar>
        </w:tblPrEx>
        <w:trPr>
          <w:trHeight w:val="47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27F277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717F6B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发电机、配电箱有否接地</w:t>
            </w:r>
          </w:p>
        </w:tc>
        <w:tc>
          <w:tcPr>
            <w:tcW w:w="3693" w:type="dxa"/>
            <w:tcBorders>
              <w:top w:val="single" w:color="000000" w:sz="4" w:space="0"/>
              <w:left w:val="single" w:color="000000" w:sz="4" w:space="0"/>
              <w:bottom w:val="single" w:color="000000" w:sz="4" w:space="0"/>
              <w:right w:val="single" w:color="000000" w:sz="4" w:space="0"/>
            </w:tcBorders>
            <w:vAlign w:val="center"/>
          </w:tcPr>
          <w:p w14:paraId="1E769686">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附近要有危险警示标识</w:t>
            </w:r>
          </w:p>
        </w:tc>
        <w:tc>
          <w:tcPr>
            <w:tcW w:w="1444" w:type="dxa"/>
            <w:tcBorders>
              <w:top w:val="single" w:color="000000" w:sz="4" w:space="0"/>
              <w:left w:val="single" w:color="000000" w:sz="4" w:space="0"/>
              <w:bottom w:val="single" w:color="000000" w:sz="4" w:space="0"/>
              <w:right w:val="single" w:color="000000" w:sz="4" w:space="0"/>
            </w:tcBorders>
            <w:vAlign w:val="center"/>
          </w:tcPr>
          <w:p w14:paraId="78EA3B41">
            <w:pPr>
              <w:jc w:val="center"/>
              <w:rPr>
                <w:rFonts w:ascii="等线" w:hAnsi="等线" w:eastAsia="等线" w:cs="等线"/>
                <w:color w:val="auto"/>
                <w:sz w:val="20"/>
                <w:szCs w:val="20"/>
                <w:highlight w:val="none"/>
              </w:rPr>
            </w:pPr>
          </w:p>
        </w:tc>
      </w:tr>
      <w:tr w14:paraId="495C4797">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1E3B1B29">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79913B0">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漏电开关是否正常</w:t>
            </w:r>
          </w:p>
        </w:tc>
        <w:tc>
          <w:tcPr>
            <w:tcW w:w="3693" w:type="dxa"/>
            <w:tcBorders>
              <w:top w:val="single" w:color="000000" w:sz="4" w:space="0"/>
              <w:left w:val="single" w:color="000000" w:sz="4" w:space="0"/>
              <w:bottom w:val="single" w:color="000000" w:sz="4" w:space="0"/>
              <w:right w:val="single" w:color="000000" w:sz="4" w:space="0"/>
            </w:tcBorders>
            <w:vAlign w:val="center"/>
          </w:tcPr>
          <w:p w14:paraId="43C78E22">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w:t>
            </w:r>
          </w:p>
        </w:tc>
        <w:tc>
          <w:tcPr>
            <w:tcW w:w="1444" w:type="dxa"/>
            <w:tcBorders>
              <w:top w:val="single" w:color="000000" w:sz="4" w:space="0"/>
              <w:left w:val="single" w:color="000000" w:sz="4" w:space="0"/>
              <w:bottom w:val="single" w:color="000000" w:sz="4" w:space="0"/>
              <w:right w:val="single" w:color="000000" w:sz="4" w:space="0"/>
            </w:tcBorders>
            <w:vAlign w:val="center"/>
          </w:tcPr>
          <w:p w14:paraId="3E6EF13F">
            <w:pPr>
              <w:jc w:val="center"/>
              <w:rPr>
                <w:rFonts w:ascii="等线" w:hAnsi="等线" w:eastAsia="等线" w:cs="等线"/>
                <w:color w:val="auto"/>
                <w:sz w:val="20"/>
                <w:szCs w:val="20"/>
                <w:highlight w:val="none"/>
              </w:rPr>
            </w:pPr>
          </w:p>
        </w:tc>
      </w:tr>
      <w:tr w14:paraId="74B11641">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78B5F2D">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07827BD6">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电工有无特殊作业证</w:t>
            </w:r>
          </w:p>
        </w:tc>
        <w:tc>
          <w:tcPr>
            <w:tcW w:w="3693" w:type="dxa"/>
            <w:tcBorders>
              <w:top w:val="single" w:color="000000" w:sz="4" w:space="0"/>
              <w:left w:val="single" w:color="000000" w:sz="4" w:space="0"/>
              <w:bottom w:val="single" w:color="000000" w:sz="4" w:space="0"/>
              <w:right w:val="single" w:color="000000" w:sz="4" w:space="0"/>
            </w:tcBorders>
            <w:vAlign w:val="center"/>
          </w:tcPr>
          <w:p w14:paraId="79BCB311">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实名制</w:t>
            </w:r>
          </w:p>
        </w:tc>
        <w:tc>
          <w:tcPr>
            <w:tcW w:w="1444" w:type="dxa"/>
            <w:tcBorders>
              <w:top w:val="single" w:color="000000" w:sz="4" w:space="0"/>
              <w:left w:val="single" w:color="000000" w:sz="4" w:space="0"/>
              <w:bottom w:val="single" w:color="000000" w:sz="4" w:space="0"/>
              <w:right w:val="single" w:color="000000" w:sz="4" w:space="0"/>
            </w:tcBorders>
            <w:vAlign w:val="center"/>
          </w:tcPr>
          <w:p w14:paraId="6CE21ADC">
            <w:pPr>
              <w:jc w:val="center"/>
              <w:rPr>
                <w:rFonts w:ascii="等线" w:hAnsi="等线" w:eastAsia="等线" w:cs="等线"/>
                <w:color w:val="auto"/>
                <w:sz w:val="20"/>
                <w:szCs w:val="20"/>
                <w:highlight w:val="none"/>
              </w:rPr>
            </w:pPr>
          </w:p>
        </w:tc>
      </w:tr>
      <w:tr w14:paraId="44C3C533">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99582CF">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0019816">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有无防止触电等安全警示牌及标识</w:t>
            </w:r>
          </w:p>
        </w:tc>
        <w:tc>
          <w:tcPr>
            <w:tcW w:w="3693" w:type="dxa"/>
            <w:tcBorders>
              <w:top w:val="single" w:color="000000" w:sz="4" w:space="0"/>
              <w:left w:val="single" w:color="000000" w:sz="4" w:space="0"/>
              <w:bottom w:val="single" w:color="000000" w:sz="4" w:space="0"/>
              <w:right w:val="single" w:color="000000" w:sz="4" w:space="0"/>
            </w:tcBorders>
            <w:vAlign w:val="center"/>
          </w:tcPr>
          <w:p w14:paraId="7FC4DD9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14:paraId="49197603">
            <w:pPr>
              <w:jc w:val="center"/>
              <w:rPr>
                <w:rFonts w:ascii="等线" w:hAnsi="等线" w:eastAsia="等线" w:cs="等线"/>
                <w:color w:val="auto"/>
                <w:sz w:val="20"/>
                <w:szCs w:val="20"/>
                <w:highlight w:val="none"/>
              </w:rPr>
            </w:pPr>
          </w:p>
        </w:tc>
      </w:tr>
      <w:tr w14:paraId="3C82CEEE">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003874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A09B44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LED灯接线柱是否有绝缘防护</w:t>
            </w:r>
          </w:p>
        </w:tc>
        <w:tc>
          <w:tcPr>
            <w:tcW w:w="3693" w:type="dxa"/>
            <w:tcBorders>
              <w:top w:val="single" w:color="000000" w:sz="4" w:space="0"/>
              <w:left w:val="single" w:color="000000" w:sz="4" w:space="0"/>
              <w:bottom w:val="single" w:color="000000" w:sz="4" w:space="0"/>
              <w:right w:val="single" w:color="000000" w:sz="4" w:space="0"/>
            </w:tcBorders>
            <w:vAlign w:val="center"/>
          </w:tcPr>
          <w:p w14:paraId="1B97838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14:paraId="1EF28704">
            <w:pPr>
              <w:jc w:val="center"/>
              <w:rPr>
                <w:rFonts w:ascii="等线" w:hAnsi="等线" w:eastAsia="等线" w:cs="等线"/>
                <w:color w:val="auto"/>
                <w:sz w:val="20"/>
                <w:szCs w:val="20"/>
                <w:highlight w:val="none"/>
              </w:rPr>
            </w:pPr>
          </w:p>
        </w:tc>
      </w:tr>
      <w:tr w14:paraId="4D6E4AA3">
        <w:tblPrEx>
          <w:tblCellMar>
            <w:top w:w="0" w:type="dxa"/>
            <w:left w:w="108" w:type="dxa"/>
            <w:bottom w:w="0" w:type="dxa"/>
            <w:right w:w="108" w:type="dxa"/>
          </w:tblCellMar>
        </w:tblPrEx>
        <w:trPr>
          <w:trHeight w:val="47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0870F49">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8296A45">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电箱开关上是否有对应设备标识</w:t>
            </w:r>
          </w:p>
        </w:tc>
        <w:tc>
          <w:tcPr>
            <w:tcW w:w="3693" w:type="dxa"/>
            <w:tcBorders>
              <w:top w:val="single" w:color="000000" w:sz="4" w:space="0"/>
              <w:left w:val="single" w:color="000000" w:sz="4" w:space="0"/>
              <w:bottom w:val="single" w:color="000000" w:sz="4" w:space="0"/>
              <w:right w:val="single" w:color="000000" w:sz="4" w:space="0"/>
            </w:tcBorders>
            <w:vAlign w:val="center"/>
          </w:tcPr>
          <w:p w14:paraId="4EFF727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如无，及时补充</w:t>
            </w:r>
          </w:p>
        </w:tc>
        <w:tc>
          <w:tcPr>
            <w:tcW w:w="1444" w:type="dxa"/>
            <w:tcBorders>
              <w:top w:val="single" w:color="000000" w:sz="4" w:space="0"/>
              <w:left w:val="single" w:color="000000" w:sz="4" w:space="0"/>
              <w:bottom w:val="single" w:color="000000" w:sz="4" w:space="0"/>
              <w:right w:val="single" w:color="000000" w:sz="4" w:space="0"/>
            </w:tcBorders>
            <w:vAlign w:val="center"/>
          </w:tcPr>
          <w:p w14:paraId="5B76B86D">
            <w:pPr>
              <w:jc w:val="center"/>
              <w:rPr>
                <w:rFonts w:ascii="等线" w:hAnsi="等线" w:eastAsia="等线" w:cs="等线"/>
                <w:color w:val="auto"/>
                <w:sz w:val="20"/>
                <w:szCs w:val="20"/>
                <w:highlight w:val="none"/>
              </w:rPr>
            </w:pPr>
          </w:p>
        </w:tc>
      </w:tr>
      <w:tr w14:paraId="7ABE1566">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4508AEA8">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8B38F49">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发电机是否远离施工现场</w:t>
            </w:r>
          </w:p>
        </w:tc>
        <w:tc>
          <w:tcPr>
            <w:tcW w:w="3693" w:type="dxa"/>
            <w:tcBorders>
              <w:top w:val="single" w:color="000000" w:sz="4" w:space="0"/>
              <w:left w:val="single" w:color="000000" w:sz="4" w:space="0"/>
              <w:bottom w:val="single" w:color="000000" w:sz="4" w:space="0"/>
              <w:right w:val="single" w:color="000000" w:sz="4" w:space="0"/>
            </w:tcBorders>
            <w:vAlign w:val="center"/>
          </w:tcPr>
          <w:p w14:paraId="42E52DB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6F3FF03D">
            <w:pPr>
              <w:jc w:val="center"/>
              <w:rPr>
                <w:rFonts w:ascii="等线" w:hAnsi="等线" w:eastAsia="等线" w:cs="等线"/>
                <w:color w:val="auto"/>
                <w:sz w:val="20"/>
                <w:szCs w:val="20"/>
                <w:highlight w:val="none"/>
              </w:rPr>
            </w:pPr>
          </w:p>
        </w:tc>
      </w:tr>
      <w:tr w14:paraId="3B155BA4">
        <w:tblPrEx>
          <w:tblCellMar>
            <w:top w:w="0" w:type="dxa"/>
            <w:left w:w="108" w:type="dxa"/>
            <w:bottom w:w="0" w:type="dxa"/>
            <w:right w:w="108" w:type="dxa"/>
          </w:tblCellMar>
        </w:tblPrEx>
        <w:trPr>
          <w:trHeight w:val="478"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159A68AB">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有限空间作业安全</w:t>
            </w:r>
          </w:p>
        </w:tc>
        <w:tc>
          <w:tcPr>
            <w:tcW w:w="3919" w:type="dxa"/>
            <w:tcBorders>
              <w:top w:val="single" w:color="000000" w:sz="4" w:space="0"/>
              <w:left w:val="single" w:color="000000" w:sz="4" w:space="0"/>
              <w:bottom w:val="single" w:color="000000" w:sz="4" w:space="0"/>
              <w:right w:val="single" w:color="000000" w:sz="4" w:space="0"/>
            </w:tcBorders>
            <w:vAlign w:val="center"/>
          </w:tcPr>
          <w:p w14:paraId="731BFF2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有无通风设备</w:t>
            </w:r>
          </w:p>
        </w:tc>
        <w:tc>
          <w:tcPr>
            <w:tcW w:w="3693" w:type="dxa"/>
            <w:tcBorders>
              <w:top w:val="single" w:color="000000" w:sz="4" w:space="0"/>
              <w:left w:val="single" w:color="000000" w:sz="4" w:space="0"/>
              <w:bottom w:val="single" w:color="000000" w:sz="4" w:space="0"/>
              <w:right w:val="single" w:color="000000" w:sz="4" w:space="0"/>
            </w:tcBorders>
            <w:vAlign w:val="center"/>
          </w:tcPr>
          <w:p w14:paraId="5F61B6A6">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鼓风机、送风带</w:t>
            </w:r>
          </w:p>
        </w:tc>
        <w:tc>
          <w:tcPr>
            <w:tcW w:w="1444" w:type="dxa"/>
            <w:tcBorders>
              <w:top w:val="single" w:color="000000" w:sz="4" w:space="0"/>
              <w:left w:val="single" w:color="000000" w:sz="4" w:space="0"/>
              <w:bottom w:val="single" w:color="000000" w:sz="4" w:space="0"/>
              <w:right w:val="single" w:color="000000" w:sz="4" w:space="0"/>
            </w:tcBorders>
            <w:vAlign w:val="center"/>
          </w:tcPr>
          <w:p w14:paraId="5AC5475C">
            <w:pPr>
              <w:jc w:val="center"/>
              <w:rPr>
                <w:rFonts w:ascii="等线" w:hAnsi="等线" w:eastAsia="等线" w:cs="等线"/>
                <w:color w:val="auto"/>
                <w:sz w:val="20"/>
                <w:szCs w:val="20"/>
                <w:highlight w:val="none"/>
              </w:rPr>
            </w:pPr>
          </w:p>
        </w:tc>
      </w:tr>
      <w:tr w14:paraId="430BC46F">
        <w:tblPrEx>
          <w:tblCellMar>
            <w:top w:w="0" w:type="dxa"/>
            <w:left w:w="108" w:type="dxa"/>
            <w:bottom w:w="0" w:type="dxa"/>
            <w:right w:w="108" w:type="dxa"/>
          </w:tblCellMar>
        </w:tblPrEx>
        <w:trPr>
          <w:trHeight w:val="665"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3B34B9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754A548">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有限空间作业审批</w:t>
            </w:r>
          </w:p>
        </w:tc>
        <w:tc>
          <w:tcPr>
            <w:tcW w:w="3693" w:type="dxa"/>
            <w:tcBorders>
              <w:top w:val="single" w:color="000000" w:sz="4" w:space="0"/>
              <w:left w:val="single" w:color="000000" w:sz="4" w:space="0"/>
              <w:bottom w:val="single" w:color="000000" w:sz="4" w:space="0"/>
              <w:right w:val="single" w:color="000000" w:sz="4" w:space="0"/>
            </w:tcBorders>
            <w:vAlign w:val="center"/>
          </w:tcPr>
          <w:p w14:paraId="37540AFF">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查看申请时间、审批人员，严禁造假</w:t>
            </w:r>
          </w:p>
        </w:tc>
        <w:tc>
          <w:tcPr>
            <w:tcW w:w="1444" w:type="dxa"/>
            <w:tcBorders>
              <w:top w:val="single" w:color="000000" w:sz="4" w:space="0"/>
              <w:left w:val="single" w:color="000000" w:sz="4" w:space="0"/>
              <w:bottom w:val="single" w:color="000000" w:sz="4" w:space="0"/>
              <w:right w:val="single" w:color="000000" w:sz="4" w:space="0"/>
            </w:tcBorders>
            <w:vAlign w:val="center"/>
          </w:tcPr>
          <w:p w14:paraId="158893A5">
            <w:pPr>
              <w:jc w:val="center"/>
              <w:rPr>
                <w:rFonts w:ascii="等线" w:hAnsi="等线" w:eastAsia="等线" w:cs="等线"/>
                <w:color w:val="auto"/>
                <w:sz w:val="20"/>
                <w:szCs w:val="20"/>
                <w:highlight w:val="none"/>
              </w:rPr>
            </w:pPr>
          </w:p>
        </w:tc>
      </w:tr>
      <w:tr w14:paraId="44B09129">
        <w:tblPrEx>
          <w:tblCellMar>
            <w:top w:w="0" w:type="dxa"/>
            <w:left w:w="108" w:type="dxa"/>
            <w:bottom w:w="0" w:type="dxa"/>
            <w:right w:w="108" w:type="dxa"/>
          </w:tblCellMar>
        </w:tblPrEx>
        <w:trPr>
          <w:trHeight w:val="30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BC239FE">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DB57EE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有无毒气检测设备</w:t>
            </w:r>
          </w:p>
        </w:tc>
        <w:tc>
          <w:tcPr>
            <w:tcW w:w="3693" w:type="dxa"/>
            <w:tcBorders>
              <w:top w:val="single" w:color="000000" w:sz="4" w:space="0"/>
              <w:left w:val="single" w:color="000000" w:sz="4" w:space="0"/>
              <w:bottom w:val="single" w:color="000000" w:sz="4" w:space="0"/>
              <w:right w:val="single" w:color="000000" w:sz="4" w:space="0"/>
            </w:tcBorders>
            <w:vAlign w:val="center"/>
          </w:tcPr>
          <w:p w14:paraId="62E367E1">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进入有限空间前记录数值</w:t>
            </w:r>
          </w:p>
        </w:tc>
        <w:tc>
          <w:tcPr>
            <w:tcW w:w="1444" w:type="dxa"/>
            <w:tcBorders>
              <w:top w:val="single" w:color="000000" w:sz="4" w:space="0"/>
              <w:left w:val="single" w:color="000000" w:sz="4" w:space="0"/>
              <w:bottom w:val="single" w:color="000000" w:sz="4" w:space="0"/>
              <w:right w:val="single" w:color="000000" w:sz="4" w:space="0"/>
            </w:tcBorders>
            <w:vAlign w:val="center"/>
          </w:tcPr>
          <w:p w14:paraId="0F6E2787">
            <w:pPr>
              <w:jc w:val="center"/>
              <w:rPr>
                <w:rFonts w:ascii="等线" w:hAnsi="等线" w:eastAsia="等线" w:cs="等线"/>
                <w:color w:val="auto"/>
                <w:sz w:val="20"/>
                <w:szCs w:val="20"/>
                <w:highlight w:val="none"/>
              </w:rPr>
            </w:pPr>
          </w:p>
        </w:tc>
      </w:tr>
      <w:tr w14:paraId="053E08E6">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1E4F40FC">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4D426C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进入管道内施工人员是否佩戴安全绳</w:t>
            </w:r>
          </w:p>
        </w:tc>
        <w:tc>
          <w:tcPr>
            <w:tcW w:w="3693" w:type="dxa"/>
            <w:tcBorders>
              <w:top w:val="single" w:color="000000" w:sz="4" w:space="0"/>
              <w:left w:val="single" w:color="000000" w:sz="4" w:space="0"/>
              <w:bottom w:val="single" w:color="000000" w:sz="4" w:space="0"/>
              <w:right w:val="single" w:color="000000" w:sz="4" w:space="0"/>
            </w:tcBorders>
            <w:vAlign w:val="center"/>
          </w:tcPr>
          <w:p w14:paraId="3EECC8D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佩戴才能进入基坑</w:t>
            </w:r>
          </w:p>
        </w:tc>
        <w:tc>
          <w:tcPr>
            <w:tcW w:w="1444" w:type="dxa"/>
            <w:tcBorders>
              <w:top w:val="single" w:color="000000" w:sz="4" w:space="0"/>
              <w:left w:val="single" w:color="000000" w:sz="4" w:space="0"/>
              <w:bottom w:val="single" w:color="000000" w:sz="4" w:space="0"/>
              <w:right w:val="single" w:color="000000" w:sz="4" w:space="0"/>
            </w:tcBorders>
            <w:vAlign w:val="center"/>
          </w:tcPr>
          <w:p w14:paraId="21703EBC">
            <w:pPr>
              <w:jc w:val="center"/>
              <w:rPr>
                <w:rFonts w:ascii="等线" w:hAnsi="等线" w:eastAsia="等线" w:cs="等线"/>
                <w:color w:val="auto"/>
                <w:sz w:val="20"/>
                <w:szCs w:val="20"/>
                <w:highlight w:val="none"/>
              </w:rPr>
            </w:pPr>
          </w:p>
        </w:tc>
      </w:tr>
      <w:tr w14:paraId="7F250909">
        <w:tblPrEx>
          <w:tblCellMar>
            <w:top w:w="0" w:type="dxa"/>
            <w:left w:w="108" w:type="dxa"/>
            <w:bottom w:w="0" w:type="dxa"/>
            <w:right w:w="108" w:type="dxa"/>
          </w:tblCellMar>
        </w:tblPrEx>
        <w:trPr>
          <w:trHeight w:val="719"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041C500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基坑作业</w:t>
            </w:r>
          </w:p>
        </w:tc>
        <w:tc>
          <w:tcPr>
            <w:tcW w:w="3919" w:type="dxa"/>
            <w:tcBorders>
              <w:top w:val="single" w:color="000000" w:sz="4" w:space="0"/>
              <w:left w:val="single" w:color="000000" w:sz="4" w:space="0"/>
              <w:bottom w:val="single" w:color="000000" w:sz="4" w:space="0"/>
              <w:right w:val="single" w:color="000000" w:sz="4" w:space="0"/>
            </w:tcBorders>
            <w:vAlign w:val="center"/>
          </w:tcPr>
          <w:p w14:paraId="16B012DE">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施工作业机具转动半径是否超出围蔽范围</w:t>
            </w:r>
          </w:p>
        </w:tc>
        <w:tc>
          <w:tcPr>
            <w:tcW w:w="3693" w:type="dxa"/>
            <w:tcBorders>
              <w:top w:val="single" w:color="000000" w:sz="4" w:space="0"/>
              <w:left w:val="single" w:color="000000" w:sz="4" w:space="0"/>
              <w:bottom w:val="single" w:color="000000" w:sz="4" w:space="0"/>
              <w:right w:val="single" w:color="000000" w:sz="4" w:space="0"/>
            </w:tcBorders>
            <w:vAlign w:val="center"/>
          </w:tcPr>
          <w:p w14:paraId="52AECF5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专人指挥作业</w:t>
            </w:r>
          </w:p>
        </w:tc>
        <w:tc>
          <w:tcPr>
            <w:tcW w:w="1444" w:type="dxa"/>
            <w:tcBorders>
              <w:top w:val="single" w:color="000000" w:sz="4" w:space="0"/>
              <w:left w:val="single" w:color="000000" w:sz="4" w:space="0"/>
              <w:bottom w:val="single" w:color="000000" w:sz="4" w:space="0"/>
              <w:right w:val="single" w:color="000000" w:sz="4" w:space="0"/>
            </w:tcBorders>
            <w:vAlign w:val="center"/>
          </w:tcPr>
          <w:p w14:paraId="57576507">
            <w:pPr>
              <w:jc w:val="center"/>
              <w:rPr>
                <w:rFonts w:ascii="等线" w:hAnsi="等线" w:eastAsia="等线" w:cs="等线"/>
                <w:color w:val="auto"/>
                <w:sz w:val="20"/>
                <w:szCs w:val="20"/>
                <w:highlight w:val="none"/>
              </w:rPr>
            </w:pPr>
          </w:p>
        </w:tc>
      </w:tr>
      <w:tr w14:paraId="58681EC1">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ED5ED0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5692115">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淤泥外运车辆有否相关检测、运输证</w:t>
            </w:r>
          </w:p>
        </w:tc>
        <w:tc>
          <w:tcPr>
            <w:tcW w:w="3693" w:type="dxa"/>
            <w:tcBorders>
              <w:top w:val="single" w:color="000000" w:sz="4" w:space="0"/>
              <w:left w:val="single" w:color="000000" w:sz="4" w:space="0"/>
              <w:bottom w:val="single" w:color="000000" w:sz="4" w:space="0"/>
              <w:right w:val="single" w:color="000000" w:sz="4" w:space="0"/>
            </w:tcBorders>
            <w:vAlign w:val="center"/>
          </w:tcPr>
          <w:p w14:paraId="4C31D26A">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进场前进行检查</w:t>
            </w:r>
          </w:p>
        </w:tc>
        <w:tc>
          <w:tcPr>
            <w:tcW w:w="1444" w:type="dxa"/>
            <w:tcBorders>
              <w:top w:val="single" w:color="000000" w:sz="4" w:space="0"/>
              <w:left w:val="single" w:color="000000" w:sz="4" w:space="0"/>
              <w:bottom w:val="single" w:color="000000" w:sz="4" w:space="0"/>
              <w:right w:val="single" w:color="000000" w:sz="4" w:space="0"/>
            </w:tcBorders>
            <w:vAlign w:val="center"/>
          </w:tcPr>
          <w:p w14:paraId="0E9415C8">
            <w:pPr>
              <w:jc w:val="center"/>
              <w:rPr>
                <w:rFonts w:ascii="等线" w:hAnsi="等线" w:eastAsia="等线" w:cs="等线"/>
                <w:color w:val="auto"/>
                <w:sz w:val="20"/>
                <w:szCs w:val="20"/>
                <w:highlight w:val="none"/>
              </w:rPr>
            </w:pPr>
          </w:p>
        </w:tc>
      </w:tr>
      <w:tr w14:paraId="029627EA">
        <w:tblPrEx>
          <w:tblCellMar>
            <w:top w:w="0" w:type="dxa"/>
            <w:left w:w="108" w:type="dxa"/>
            <w:bottom w:w="0" w:type="dxa"/>
            <w:right w:w="108" w:type="dxa"/>
          </w:tblCellMar>
        </w:tblPrEx>
        <w:trPr>
          <w:trHeight w:val="590"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C74FA33">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1A1C2BA">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重型机械有否骑压管坑</w:t>
            </w:r>
          </w:p>
        </w:tc>
        <w:tc>
          <w:tcPr>
            <w:tcW w:w="3693" w:type="dxa"/>
            <w:tcBorders>
              <w:top w:val="single" w:color="000000" w:sz="4" w:space="0"/>
              <w:left w:val="single" w:color="000000" w:sz="4" w:space="0"/>
              <w:bottom w:val="single" w:color="000000" w:sz="4" w:space="0"/>
              <w:right w:val="single" w:color="000000" w:sz="4" w:space="0"/>
            </w:tcBorders>
            <w:vAlign w:val="center"/>
          </w:tcPr>
          <w:p w14:paraId="7314D81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7B8D1219">
            <w:pPr>
              <w:jc w:val="center"/>
              <w:rPr>
                <w:rFonts w:ascii="等线" w:hAnsi="等线" w:eastAsia="等线" w:cs="等线"/>
                <w:color w:val="auto"/>
                <w:sz w:val="20"/>
                <w:szCs w:val="20"/>
                <w:highlight w:val="none"/>
              </w:rPr>
            </w:pPr>
          </w:p>
        </w:tc>
      </w:tr>
      <w:tr w14:paraId="5628480D">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4EF33A5F">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0DB8AF8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破路面时有无喷水</w:t>
            </w:r>
          </w:p>
        </w:tc>
        <w:tc>
          <w:tcPr>
            <w:tcW w:w="3693" w:type="dxa"/>
            <w:tcBorders>
              <w:top w:val="single" w:color="000000" w:sz="4" w:space="0"/>
              <w:left w:val="single" w:color="000000" w:sz="4" w:space="0"/>
              <w:bottom w:val="single" w:color="000000" w:sz="4" w:space="0"/>
              <w:right w:val="single" w:color="000000" w:sz="4" w:space="0"/>
            </w:tcBorders>
            <w:vAlign w:val="center"/>
          </w:tcPr>
          <w:p w14:paraId="6B2934B6">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防尘专项方案</w:t>
            </w:r>
          </w:p>
        </w:tc>
        <w:tc>
          <w:tcPr>
            <w:tcW w:w="1444" w:type="dxa"/>
            <w:tcBorders>
              <w:top w:val="single" w:color="000000" w:sz="4" w:space="0"/>
              <w:left w:val="single" w:color="000000" w:sz="4" w:space="0"/>
              <w:bottom w:val="single" w:color="000000" w:sz="4" w:space="0"/>
              <w:right w:val="single" w:color="000000" w:sz="4" w:space="0"/>
            </w:tcBorders>
            <w:vAlign w:val="center"/>
          </w:tcPr>
          <w:p w14:paraId="7B466291">
            <w:pPr>
              <w:jc w:val="center"/>
              <w:rPr>
                <w:rFonts w:ascii="等线" w:hAnsi="等线" w:eastAsia="等线" w:cs="等线"/>
                <w:color w:val="auto"/>
                <w:sz w:val="20"/>
                <w:szCs w:val="20"/>
                <w:highlight w:val="none"/>
              </w:rPr>
            </w:pPr>
          </w:p>
        </w:tc>
      </w:tr>
      <w:tr w14:paraId="3A6016E9">
        <w:tblPrEx>
          <w:tblCellMar>
            <w:top w:w="0" w:type="dxa"/>
            <w:left w:w="108" w:type="dxa"/>
            <w:bottom w:w="0" w:type="dxa"/>
            <w:right w:w="108" w:type="dxa"/>
          </w:tblCellMar>
        </w:tblPrEx>
        <w:trPr>
          <w:trHeight w:val="75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51F70D20">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69EF3F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淤泥外运车辆是否堆放过高，车身、车轮是否冲洗干净</w:t>
            </w:r>
          </w:p>
        </w:tc>
        <w:tc>
          <w:tcPr>
            <w:tcW w:w="3693" w:type="dxa"/>
            <w:tcBorders>
              <w:top w:val="single" w:color="000000" w:sz="4" w:space="0"/>
              <w:left w:val="single" w:color="000000" w:sz="4" w:space="0"/>
              <w:bottom w:val="single" w:color="000000" w:sz="4" w:space="0"/>
              <w:right w:val="single" w:color="000000" w:sz="4" w:space="0"/>
            </w:tcBorders>
            <w:vAlign w:val="center"/>
          </w:tcPr>
          <w:p w14:paraId="36C7EC3D">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0FCDFFD7">
            <w:pPr>
              <w:jc w:val="center"/>
              <w:rPr>
                <w:rFonts w:ascii="等线" w:hAnsi="等线" w:eastAsia="等线" w:cs="等线"/>
                <w:color w:val="auto"/>
                <w:sz w:val="20"/>
                <w:szCs w:val="20"/>
                <w:highlight w:val="none"/>
              </w:rPr>
            </w:pPr>
          </w:p>
        </w:tc>
      </w:tr>
      <w:tr w14:paraId="49E66FA3">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F2BA7AC">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6F13A00">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有无钢梯，钢梯是否满足要求</w:t>
            </w:r>
          </w:p>
        </w:tc>
        <w:tc>
          <w:tcPr>
            <w:tcW w:w="3693" w:type="dxa"/>
            <w:tcBorders>
              <w:top w:val="single" w:color="000000" w:sz="4" w:space="0"/>
              <w:left w:val="single" w:color="000000" w:sz="4" w:space="0"/>
              <w:bottom w:val="single" w:color="000000" w:sz="4" w:space="0"/>
              <w:right w:val="single" w:color="000000" w:sz="4" w:space="0"/>
            </w:tcBorders>
            <w:vAlign w:val="center"/>
          </w:tcPr>
          <w:p w14:paraId="56B060C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有损坏及时更换，缺少装置及时整改</w:t>
            </w:r>
          </w:p>
        </w:tc>
        <w:tc>
          <w:tcPr>
            <w:tcW w:w="1444" w:type="dxa"/>
            <w:tcBorders>
              <w:top w:val="single" w:color="000000" w:sz="4" w:space="0"/>
              <w:left w:val="single" w:color="000000" w:sz="4" w:space="0"/>
              <w:bottom w:val="single" w:color="000000" w:sz="4" w:space="0"/>
              <w:right w:val="single" w:color="000000" w:sz="4" w:space="0"/>
            </w:tcBorders>
            <w:vAlign w:val="center"/>
          </w:tcPr>
          <w:p w14:paraId="1B7B5566">
            <w:pPr>
              <w:jc w:val="center"/>
              <w:rPr>
                <w:rFonts w:ascii="等线" w:hAnsi="等线" w:eastAsia="等线" w:cs="等线"/>
                <w:color w:val="auto"/>
                <w:sz w:val="20"/>
                <w:szCs w:val="20"/>
                <w:highlight w:val="none"/>
              </w:rPr>
            </w:pPr>
          </w:p>
        </w:tc>
      </w:tr>
      <w:tr w14:paraId="77D041AA">
        <w:tblPrEx>
          <w:tblCellMar>
            <w:top w:w="0" w:type="dxa"/>
            <w:left w:w="108" w:type="dxa"/>
            <w:bottom w:w="0" w:type="dxa"/>
            <w:right w:w="108" w:type="dxa"/>
          </w:tblCellMar>
        </w:tblPrEx>
        <w:trPr>
          <w:trHeight w:val="53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11A3E47">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512BB65F">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基坑是否有积水</w:t>
            </w:r>
          </w:p>
        </w:tc>
        <w:tc>
          <w:tcPr>
            <w:tcW w:w="3693" w:type="dxa"/>
            <w:tcBorders>
              <w:top w:val="single" w:color="000000" w:sz="4" w:space="0"/>
              <w:left w:val="single" w:color="000000" w:sz="4" w:space="0"/>
              <w:bottom w:val="single" w:color="000000" w:sz="4" w:space="0"/>
              <w:right w:val="single" w:color="000000" w:sz="4" w:space="0"/>
            </w:tcBorders>
            <w:vAlign w:val="center"/>
          </w:tcPr>
          <w:p w14:paraId="047E0E7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严禁积水乱排放</w:t>
            </w:r>
          </w:p>
        </w:tc>
        <w:tc>
          <w:tcPr>
            <w:tcW w:w="1444" w:type="dxa"/>
            <w:tcBorders>
              <w:top w:val="single" w:color="000000" w:sz="4" w:space="0"/>
              <w:left w:val="single" w:color="000000" w:sz="4" w:space="0"/>
              <w:bottom w:val="single" w:color="000000" w:sz="4" w:space="0"/>
              <w:right w:val="single" w:color="000000" w:sz="4" w:space="0"/>
            </w:tcBorders>
            <w:vAlign w:val="center"/>
          </w:tcPr>
          <w:p w14:paraId="39B7178C">
            <w:pPr>
              <w:jc w:val="center"/>
              <w:rPr>
                <w:rFonts w:ascii="等线" w:hAnsi="等线" w:eastAsia="等线" w:cs="等线"/>
                <w:color w:val="auto"/>
                <w:sz w:val="20"/>
                <w:szCs w:val="20"/>
                <w:highlight w:val="none"/>
              </w:rPr>
            </w:pPr>
          </w:p>
        </w:tc>
      </w:tr>
      <w:tr w14:paraId="394258AB">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B6EB926">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E890A0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有无配备抽水泵</w:t>
            </w:r>
          </w:p>
        </w:tc>
        <w:tc>
          <w:tcPr>
            <w:tcW w:w="3693" w:type="dxa"/>
            <w:tcBorders>
              <w:top w:val="single" w:color="000000" w:sz="4" w:space="0"/>
              <w:left w:val="single" w:color="000000" w:sz="4" w:space="0"/>
              <w:bottom w:val="single" w:color="000000" w:sz="4" w:space="0"/>
              <w:right w:val="single" w:color="000000" w:sz="4" w:space="0"/>
            </w:tcBorders>
            <w:vAlign w:val="center"/>
          </w:tcPr>
          <w:p w14:paraId="18072314">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台数、大小</w:t>
            </w:r>
          </w:p>
        </w:tc>
        <w:tc>
          <w:tcPr>
            <w:tcW w:w="1444" w:type="dxa"/>
            <w:tcBorders>
              <w:top w:val="single" w:color="000000" w:sz="4" w:space="0"/>
              <w:left w:val="single" w:color="000000" w:sz="4" w:space="0"/>
              <w:bottom w:val="single" w:color="000000" w:sz="4" w:space="0"/>
              <w:right w:val="single" w:color="000000" w:sz="4" w:space="0"/>
            </w:tcBorders>
            <w:vAlign w:val="center"/>
          </w:tcPr>
          <w:p w14:paraId="02C22636">
            <w:pPr>
              <w:jc w:val="center"/>
              <w:rPr>
                <w:rFonts w:ascii="等线" w:hAnsi="等线" w:eastAsia="等线" w:cs="等线"/>
                <w:color w:val="auto"/>
                <w:sz w:val="20"/>
                <w:szCs w:val="20"/>
                <w:highlight w:val="none"/>
              </w:rPr>
            </w:pPr>
          </w:p>
        </w:tc>
      </w:tr>
      <w:tr w14:paraId="210D41C5">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54A437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ED2FDAF">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是否存在基坑裸露而不施工的情况</w:t>
            </w:r>
          </w:p>
        </w:tc>
        <w:tc>
          <w:tcPr>
            <w:tcW w:w="3693" w:type="dxa"/>
            <w:tcBorders>
              <w:top w:val="single" w:color="000000" w:sz="4" w:space="0"/>
              <w:left w:val="single" w:color="000000" w:sz="4" w:space="0"/>
              <w:bottom w:val="single" w:color="000000" w:sz="4" w:space="0"/>
              <w:right w:val="single" w:color="000000" w:sz="4" w:space="0"/>
            </w:tcBorders>
            <w:vAlign w:val="center"/>
          </w:tcPr>
          <w:p w14:paraId="7D667FFA">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如有特殊原因致使基坑裸露，应设置临边防护及铺设防坠网以及警示标识；</w:t>
            </w:r>
          </w:p>
          <w:p w14:paraId="28104301">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如无原因，应及时提醒回填，累犯扣罚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125FA764">
            <w:pPr>
              <w:jc w:val="center"/>
              <w:rPr>
                <w:rFonts w:ascii="等线" w:hAnsi="等线" w:eastAsia="等线" w:cs="等线"/>
                <w:color w:val="auto"/>
                <w:sz w:val="20"/>
                <w:szCs w:val="20"/>
                <w:highlight w:val="none"/>
              </w:rPr>
            </w:pPr>
          </w:p>
        </w:tc>
      </w:tr>
      <w:tr w14:paraId="0454525B">
        <w:tblPrEx>
          <w:tblCellMar>
            <w:top w:w="0" w:type="dxa"/>
            <w:left w:w="108" w:type="dxa"/>
            <w:bottom w:w="0" w:type="dxa"/>
            <w:right w:w="108" w:type="dxa"/>
          </w:tblCellMar>
        </w:tblPrEx>
        <w:trPr>
          <w:trHeight w:val="1228"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49278EC2">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7ADD8BB">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是否有淤泥不及时外运的情况</w:t>
            </w:r>
          </w:p>
        </w:tc>
        <w:tc>
          <w:tcPr>
            <w:tcW w:w="3693" w:type="dxa"/>
            <w:tcBorders>
              <w:top w:val="single" w:color="000000" w:sz="4" w:space="0"/>
              <w:left w:val="single" w:color="000000" w:sz="4" w:space="0"/>
              <w:bottom w:val="single" w:color="000000" w:sz="4" w:space="0"/>
              <w:right w:val="single" w:color="000000" w:sz="4" w:space="0"/>
            </w:tcBorders>
            <w:vAlign w:val="center"/>
          </w:tcPr>
          <w:p w14:paraId="50CADC5A">
            <w:pPr>
              <w:widowControl/>
              <w:jc w:val="left"/>
              <w:textAlignment w:val="center"/>
              <w:rPr>
                <w:rFonts w:ascii="等线" w:hAnsi="等线" w:eastAsia="等线" w:cs="等线"/>
                <w:color w:val="auto"/>
                <w:kern w:val="0"/>
                <w:sz w:val="20"/>
                <w:szCs w:val="20"/>
                <w:highlight w:val="none"/>
                <w:lang w:bidi="ar"/>
              </w:rPr>
            </w:pPr>
            <w:r>
              <w:rPr>
                <w:rFonts w:hint="eastAsia" w:ascii="等线" w:hAnsi="等线" w:eastAsia="等线" w:cs="等线"/>
                <w:color w:val="auto"/>
                <w:kern w:val="0"/>
                <w:sz w:val="20"/>
                <w:szCs w:val="20"/>
                <w:highlight w:val="none"/>
                <w:lang w:bidi="ar"/>
              </w:rPr>
              <w:t>如有特殊原因致使淤泥无法及时装车运走，覆盖绿网；</w:t>
            </w:r>
          </w:p>
          <w:p w14:paraId="0132EBAD">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如无原因，应及时提醒运走，累犯扣罚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5D0B56FB">
            <w:pPr>
              <w:jc w:val="center"/>
              <w:rPr>
                <w:rFonts w:ascii="等线" w:hAnsi="等线" w:eastAsia="等线" w:cs="等线"/>
                <w:color w:val="auto"/>
                <w:sz w:val="20"/>
                <w:szCs w:val="20"/>
                <w:highlight w:val="none"/>
              </w:rPr>
            </w:pPr>
          </w:p>
        </w:tc>
      </w:tr>
      <w:tr w14:paraId="21B2DB90">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FDB852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07DB2B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是否回填前就拆除支护</w:t>
            </w:r>
          </w:p>
        </w:tc>
        <w:tc>
          <w:tcPr>
            <w:tcW w:w="3693" w:type="dxa"/>
            <w:tcBorders>
              <w:top w:val="single" w:color="000000" w:sz="4" w:space="0"/>
              <w:left w:val="single" w:color="000000" w:sz="4" w:space="0"/>
              <w:bottom w:val="single" w:color="000000" w:sz="4" w:space="0"/>
              <w:right w:val="single" w:color="000000" w:sz="4" w:space="0"/>
            </w:tcBorders>
            <w:vAlign w:val="center"/>
          </w:tcPr>
          <w:p w14:paraId="0584B51A">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及时提醒，累犯扣罚</w:t>
            </w:r>
          </w:p>
        </w:tc>
        <w:tc>
          <w:tcPr>
            <w:tcW w:w="1444" w:type="dxa"/>
            <w:tcBorders>
              <w:top w:val="single" w:color="000000" w:sz="4" w:space="0"/>
              <w:left w:val="single" w:color="000000" w:sz="4" w:space="0"/>
              <w:bottom w:val="single" w:color="000000" w:sz="4" w:space="0"/>
              <w:right w:val="single" w:color="000000" w:sz="4" w:space="0"/>
            </w:tcBorders>
            <w:vAlign w:val="center"/>
          </w:tcPr>
          <w:p w14:paraId="36212374">
            <w:pPr>
              <w:jc w:val="center"/>
              <w:rPr>
                <w:rFonts w:ascii="等线" w:hAnsi="等线" w:eastAsia="等线" w:cs="等线"/>
                <w:color w:val="auto"/>
                <w:sz w:val="20"/>
                <w:szCs w:val="20"/>
                <w:highlight w:val="none"/>
              </w:rPr>
            </w:pPr>
          </w:p>
        </w:tc>
      </w:tr>
      <w:tr w14:paraId="66ADE874">
        <w:tblPrEx>
          <w:tblCellMar>
            <w:top w:w="0" w:type="dxa"/>
            <w:left w:w="108" w:type="dxa"/>
            <w:bottom w:w="0" w:type="dxa"/>
            <w:right w:w="108" w:type="dxa"/>
          </w:tblCellMar>
        </w:tblPrEx>
        <w:trPr>
          <w:trHeight w:val="57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6829D1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513F793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基坑作业完成后有否清点人数</w:t>
            </w:r>
          </w:p>
        </w:tc>
        <w:tc>
          <w:tcPr>
            <w:tcW w:w="3693" w:type="dxa"/>
            <w:tcBorders>
              <w:top w:val="single" w:color="000000" w:sz="4" w:space="0"/>
              <w:left w:val="single" w:color="000000" w:sz="4" w:space="0"/>
              <w:bottom w:val="single" w:color="000000" w:sz="4" w:space="0"/>
              <w:right w:val="single" w:color="000000" w:sz="4" w:space="0"/>
            </w:tcBorders>
            <w:vAlign w:val="center"/>
          </w:tcPr>
          <w:p w14:paraId="5145224F">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记录人数</w:t>
            </w:r>
          </w:p>
        </w:tc>
        <w:tc>
          <w:tcPr>
            <w:tcW w:w="1444" w:type="dxa"/>
            <w:tcBorders>
              <w:top w:val="single" w:color="000000" w:sz="4" w:space="0"/>
              <w:left w:val="single" w:color="000000" w:sz="4" w:space="0"/>
              <w:bottom w:val="single" w:color="000000" w:sz="4" w:space="0"/>
              <w:right w:val="single" w:color="000000" w:sz="4" w:space="0"/>
            </w:tcBorders>
            <w:vAlign w:val="center"/>
          </w:tcPr>
          <w:p w14:paraId="79AC28EA">
            <w:pPr>
              <w:jc w:val="center"/>
              <w:rPr>
                <w:rFonts w:ascii="等线" w:hAnsi="等线" w:eastAsia="等线" w:cs="等线"/>
                <w:color w:val="auto"/>
                <w:sz w:val="20"/>
                <w:szCs w:val="20"/>
                <w:highlight w:val="none"/>
              </w:rPr>
            </w:pPr>
          </w:p>
        </w:tc>
      </w:tr>
      <w:tr w14:paraId="43B58E57">
        <w:tblPrEx>
          <w:tblCellMar>
            <w:top w:w="0" w:type="dxa"/>
            <w:left w:w="108" w:type="dxa"/>
            <w:bottom w:w="0" w:type="dxa"/>
            <w:right w:w="108" w:type="dxa"/>
          </w:tblCellMar>
        </w:tblPrEx>
        <w:trPr>
          <w:trHeight w:val="627"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08FB9B32">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地下管线</w:t>
            </w:r>
          </w:p>
        </w:tc>
        <w:tc>
          <w:tcPr>
            <w:tcW w:w="3919" w:type="dxa"/>
            <w:tcBorders>
              <w:top w:val="single" w:color="000000" w:sz="4" w:space="0"/>
              <w:left w:val="single" w:color="000000" w:sz="4" w:space="0"/>
              <w:bottom w:val="single" w:color="000000" w:sz="4" w:space="0"/>
              <w:right w:val="single" w:color="000000" w:sz="4" w:space="0"/>
            </w:tcBorders>
            <w:vAlign w:val="center"/>
          </w:tcPr>
          <w:p w14:paraId="66F9200E">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有无探到地下管线及做好标识</w:t>
            </w:r>
          </w:p>
        </w:tc>
        <w:tc>
          <w:tcPr>
            <w:tcW w:w="3693" w:type="dxa"/>
            <w:tcBorders>
              <w:top w:val="single" w:color="000000" w:sz="4" w:space="0"/>
              <w:left w:val="single" w:color="000000" w:sz="4" w:space="0"/>
              <w:bottom w:val="single" w:color="000000" w:sz="4" w:space="0"/>
              <w:right w:val="single" w:color="000000" w:sz="4" w:space="0"/>
            </w:tcBorders>
            <w:vAlign w:val="center"/>
          </w:tcPr>
          <w:p w14:paraId="1B2EB8AE">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记录地下管线种类</w:t>
            </w:r>
          </w:p>
        </w:tc>
        <w:tc>
          <w:tcPr>
            <w:tcW w:w="1444" w:type="dxa"/>
            <w:tcBorders>
              <w:top w:val="single" w:color="000000" w:sz="4" w:space="0"/>
              <w:left w:val="single" w:color="000000" w:sz="4" w:space="0"/>
              <w:bottom w:val="single" w:color="000000" w:sz="4" w:space="0"/>
              <w:right w:val="single" w:color="000000" w:sz="4" w:space="0"/>
            </w:tcBorders>
            <w:vAlign w:val="center"/>
          </w:tcPr>
          <w:p w14:paraId="2300F5A4">
            <w:pPr>
              <w:jc w:val="center"/>
              <w:rPr>
                <w:rFonts w:ascii="等线" w:hAnsi="等线" w:eastAsia="等线" w:cs="等线"/>
                <w:color w:val="auto"/>
                <w:sz w:val="20"/>
                <w:szCs w:val="20"/>
                <w:highlight w:val="none"/>
              </w:rPr>
            </w:pPr>
          </w:p>
        </w:tc>
      </w:tr>
      <w:tr w14:paraId="249ADDC7">
        <w:tblPrEx>
          <w:tblCellMar>
            <w:top w:w="0" w:type="dxa"/>
            <w:left w:w="108" w:type="dxa"/>
            <w:bottom w:w="0" w:type="dxa"/>
            <w:right w:w="108" w:type="dxa"/>
          </w:tblCellMar>
        </w:tblPrEx>
        <w:trPr>
          <w:trHeight w:val="552"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30C686D">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6D1D195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有否通知产权单位相关人员到场旁站施工</w:t>
            </w:r>
          </w:p>
        </w:tc>
        <w:tc>
          <w:tcPr>
            <w:tcW w:w="3693" w:type="dxa"/>
            <w:tcBorders>
              <w:top w:val="single" w:color="000000" w:sz="4" w:space="0"/>
              <w:left w:val="single" w:color="000000" w:sz="4" w:space="0"/>
              <w:bottom w:val="single" w:color="000000" w:sz="4" w:space="0"/>
              <w:right w:val="single" w:color="000000" w:sz="4" w:space="0"/>
            </w:tcBorders>
            <w:vAlign w:val="center"/>
          </w:tcPr>
          <w:p w14:paraId="407501F2">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记录到场产权单位及人员数量、名字</w:t>
            </w:r>
          </w:p>
        </w:tc>
        <w:tc>
          <w:tcPr>
            <w:tcW w:w="1444" w:type="dxa"/>
            <w:tcBorders>
              <w:top w:val="single" w:color="000000" w:sz="4" w:space="0"/>
              <w:left w:val="single" w:color="000000" w:sz="4" w:space="0"/>
              <w:bottom w:val="single" w:color="000000" w:sz="4" w:space="0"/>
              <w:right w:val="single" w:color="000000" w:sz="4" w:space="0"/>
            </w:tcBorders>
            <w:vAlign w:val="center"/>
          </w:tcPr>
          <w:p w14:paraId="3647A5A7">
            <w:pPr>
              <w:jc w:val="center"/>
              <w:rPr>
                <w:rFonts w:ascii="等线" w:hAnsi="等线" w:eastAsia="等线" w:cs="等线"/>
                <w:color w:val="auto"/>
                <w:sz w:val="20"/>
                <w:szCs w:val="20"/>
                <w:highlight w:val="none"/>
              </w:rPr>
            </w:pPr>
          </w:p>
        </w:tc>
      </w:tr>
      <w:tr w14:paraId="34F5230E">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58F60667">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26F1267">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图上是否有该管，迁改还是保护</w:t>
            </w:r>
          </w:p>
        </w:tc>
        <w:tc>
          <w:tcPr>
            <w:tcW w:w="3693" w:type="dxa"/>
            <w:tcBorders>
              <w:top w:val="single" w:color="000000" w:sz="4" w:space="0"/>
              <w:left w:val="single" w:color="000000" w:sz="4" w:space="0"/>
              <w:bottom w:val="single" w:color="000000" w:sz="4" w:space="0"/>
              <w:right w:val="single" w:color="000000" w:sz="4" w:space="0"/>
            </w:tcBorders>
            <w:vAlign w:val="center"/>
          </w:tcPr>
          <w:p w14:paraId="30FFCC36">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记录作为变更依据</w:t>
            </w:r>
          </w:p>
        </w:tc>
        <w:tc>
          <w:tcPr>
            <w:tcW w:w="1444" w:type="dxa"/>
            <w:tcBorders>
              <w:top w:val="single" w:color="000000" w:sz="4" w:space="0"/>
              <w:left w:val="single" w:color="000000" w:sz="4" w:space="0"/>
              <w:bottom w:val="single" w:color="000000" w:sz="4" w:space="0"/>
              <w:right w:val="single" w:color="000000" w:sz="4" w:space="0"/>
            </w:tcBorders>
            <w:vAlign w:val="center"/>
          </w:tcPr>
          <w:p w14:paraId="5AF3FD64">
            <w:pPr>
              <w:jc w:val="center"/>
              <w:rPr>
                <w:rFonts w:ascii="等线" w:hAnsi="等线" w:eastAsia="等线" w:cs="等线"/>
                <w:color w:val="auto"/>
                <w:sz w:val="20"/>
                <w:szCs w:val="20"/>
                <w:highlight w:val="none"/>
              </w:rPr>
            </w:pPr>
          </w:p>
        </w:tc>
      </w:tr>
      <w:tr w14:paraId="4DAB7741">
        <w:tblPrEx>
          <w:tblCellMar>
            <w:top w:w="0" w:type="dxa"/>
            <w:left w:w="108" w:type="dxa"/>
            <w:bottom w:w="0" w:type="dxa"/>
            <w:right w:w="108" w:type="dxa"/>
          </w:tblCellMar>
        </w:tblPrEx>
        <w:trPr>
          <w:trHeight w:val="632"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619E4C7C">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管道安装</w:t>
            </w:r>
          </w:p>
        </w:tc>
        <w:tc>
          <w:tcPr>
            <w:tcW w:w="3919" w:type="dxa"/>
            <w:tcBorders>
              <w:top w:val="single" w:color="000000" w:sz="4" w:space="0"/>
              <w:left w:val="single" w:color="000000" w:sz="4" w:space="0"/>
              <w:bottom w:val="single" w:color="000000" w:sz="4" w:space="0"/>
              <w:right w:val="single" w:color="000000" w:sz="4" w:space="0"/>
            </w:tcBorders>
            <w:vAlign w:val="center"/>
          </w:tcPr>
          <w:p w14:paraId="6AE847D0">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管道吊装</w:t>
            </w:r>
          </w:p>
        </w:tc>
        <w:tc>
          <w:tcPr>
            <w:tcW w:w="3693" w:type="dxa"/>
            <w:tcBorders>
              <w:top w:val="single" w:color="000000" w:sz="4" w:space="0"/>
              <w:left w:val="single" w:color="000000" w:sz="4" w:space="0"/>
              <w:bottom w:val="single" w:color="000000" w:sz="4" w:space="0"/>
              <w:right w:val="single" w:color="000000" w:sz="4" w:space="0"/>
            </w:tcBorders>
            <w:vAlign w:val="center"/>
          </w:tcPr>
          <w:p w14:paraId="54480A1B">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检查吊装司机证件、吊装丝索和防脱钩装置是否完好</w:t>
            </w:r>
          </w:p>
        </w:tc>
        <w:tc>
          <w:tcPr>
            <w:tcW w:w="1444" w:type="dxa"/>
            <w:tcBorders>
              <w:top w:val="single" w:color="000000" w:sz="4" w:space="0"/>
              <w:left w:val="single" w:color="000000" w:sz="4" w:space="0"/>
              <w:bottom w:val="single" w:color="000000" w:sz="4" w:space="0"/>
              <w:right w:val="single" w:color="000000" w:sz="4" w:space="0"/>
            </w:tcBorders>
            <w:vAlign w:val="center"/>
          </w:tcPr>
          <w:p w14:paraId="2A8989F9">
            <w:pPr>
              <w:jc w:val="center"/>
              <w:rPr>
                <w:rFonts w:ascii="等线" w:hAnsi="等线" w:eastAsia="等线" w:cs="等线"/>
                <w:color w:val="auto"/>
                <w:sz w:val="20"/>
                <w:szCs w:val="20"/>
                <w:highlight w:val="none"/>
              </w:rPr>
            </w:pPr>
          </w:p>
        </w:tc>
      </w:tr>
      <w:tr w14:paraId="50FABD74">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38B05DD9">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885857E">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管道卸载</w:t>
            </w:r>
          </w:p>
        </w:tc>
        <w:tc>
          <w:tcPr>
            <w:tcW w:w="3693" w:type="dxa"/>
            <w:tcBorders>
              <w:top w:val="single" w:color="000000" w:sz="4" w:space="0"/>
              <w:left w:val="single" w:color="000000" w:sz="4" w:space="0"/>
              <w:bottom w:val="single" w:color="000000" w:sz="4" w:space="0"/>
              <w:right w:val="single" w:color="000000" w:sz="4" w:space="0"/>
            </w:tcBorders>
            <w:vAlign w:val="center"/>
          </w:tcPr>
          <w:p w14:paraId="3CCC372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下地前铺垫木方进行固定</w:t>
            </w:r>
          </w:p>
        </w:tc>
        <w:tc>
          <w:tcPr>
            <w:tcW w:w="1444" w:type="dxa"/>
            <w:tcBorders>
              <w:top w:val="single" w:color="000000" w:sz="4" w:space="0"/>
              <w:left w:val="single" w:color="000000" w:sz="4" w:space="0"/>
              <w:bottom w:val="single" w:color="000000" w:sz="4" w:space="0"/>
              <w:right w:val="single" w:color="000000" w:sz="4" w:space="0"/>
            </w:tcBorders>
            <w:vAlign w:val="center"/>
          </w:tcPr>
          <w:p w14:paraId="3BCF4854">
            <w:pPr>
              <w:jc w:val="center"/>
              <w:rPr>
                <w:rFonts w:ascii="等线" w:hAnsi="等线" w:eastAsia="等线" w:cs="等线"/>
                <w:color w:val="auto"/>
                <w:sz w:val="20"/>
                <w:szCs w:val="20"/>
                <w:highlight w:val="none"/>
              </w:rPr>
            </w:pPr>
          </w:p>
        </w:tc>
      </w:tr>
      <w:tr w14:paraId="42E0803A">
        <w:tblPrEx>
          <w:tblCellMar>
            <w:top w:w="0" w:type="dxa"/>
            <w:left w:w="108" w:type="dxa"/>
            <w:bottom w:w="0" w:type="dxa"/>
            <w:right w:w="108" w:type="dxa"/>
          </w:tblCellMar>
        </w:tblPrEx>
        <w:trPr>
          <w:trHeight w:val="60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13921F3">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9A52465">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是否按图做好支护</w:t>
            </w:r>
          </w:p>
        </w:tc>
        <w:tc>
          <w:tcPr>
            <w:tcW w:w="3693" w:type="dxa"/>
            <w:tcBorders>
              <w:top w:val="single" w:color="000000" w:sz="4" w:space="0"/>
              <w:left w:val="single" w:color="000000" w:sz="4" w:space="0"/>
              <w:bottom w:val="single" w:color="000000" w:sz="4" w:space="0"/>
              <w:right w:val="single" w:color="000000" w:sz="4" w:space="0"/>
            </w:tcBorders>
            <w:vAlign w:val="center"/>
          </w:tcPr>
          <w:p w14:paraId="7F6BFF4F">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记录支护方式及数量</w:t>
            </w:r>
          </w:p>
        </w:tc>
        <w:tc>
          <w:tcPr>
            <w:tcW w:w="1444" w:type="dxa"/>
            <w:tcBorders>
              <w:top w:val="single" w:color="000000" w:sz="4" w:space="0"/>
              <w:left w:val="single" w:color="000000" w:sz="4" w:space="0"/>
              <w:bottom w:val="single" w:color="000000" w:sz="4" w:space="0"/>
              <w:right w:val="single" w:color="000000" w:sz="4" w:space="0"/>
            </w:tcBorders>
            <w:vAlign w:val="center"/>
          </w:tcPr>
          <w:p w14:paraId="2C82E29F">
            <w:pPr>
              <w:jc w:val="center"/>
              <w:rPr>
                <w:rFonts w:ascii="等线" w:hAnsi="等线" w:eastAsia="等线" w:cs="等线"/>
                <w:color w:val="auto"/>
                <w:sz w:val="20"/>
                <w:szCs w:val="20"/>
                <w:highlight w:val="none"/>
              </w:rPr>
            </w:pPr>
          </w:p>
        </w:tc>
      </w:tr>
      <w:tr w14:paraId="0295293A">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3ECF4DC">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5D8EA9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有无横撑、腰梁</w:t>
            </w:r>
          </w:p>
        </w:tc>
        <w:tc>
          <w:tcPr>
            <w:tcW w:w="3693" w:type="dxa"/>
            <w:tcBorders>
              <w:top w:val="single" w:color="000000" w:sz="4" w:space="0"/>
              <w:left w:val="single" w:color="000000" w:sz="4" w:space="0"/>
              <w:bottom w:val="single" w:color="000000" w:sz="4" w:space="0"/>
              <w:right w:val="single" w:color="000000" w:sz="4" w:space="0"/>
            </w:tcBorders>
            <w:vAlign w:val="center"/>
          </w:tcPr>
          <w:p w14:paraId="5DC6A23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是否按图施工</w:t>
            </w:r>
          </w:p>
        </w:tc>
        <w:tc>
          <w:tcPr>
            <w:tcW w:w="1444" w:type="dxa"/>
            <w:tcBorders>
              <w:top w:val="single" w:color="000000" w:sz="4" w:space="0"/>
              <w:left w:val="single" w:color="000000" w:sz="4" w:space="0"/>
              <w:bottom w:val="single" w:color="000000" w:sz="4" w:space="0"/>
              <w:right w:val="single" w:color="000000" w:sz="4" w:space="0"/>
            </w:tcBorders>
            <w:vAlign w:val="center"/>
          </w:tcPr>
          <w:p w14:paraId="0A50C240">
            <w:pPr>
              <w:jc w:val="center"/>
              <w:rPr>
                <w:rFonts w:ascii="等线" w:hAnsi="等线" w:eastAsia="等线" w:cs="等线"/>
                <w:color w:val="auto"/>
                <w:sz w:val="20"/>
                <w:szCs w:val="20"/>
                <w:highlight w:val="none"/>
              </w:rPr>
            </w:pPr>
          </w:p>
        </w:tc>
      </w:tr>
      <w:tr w14:paraId="6693DC74">
        <w:tblPrEx>
          <w:tblCellMar>
            <w:top w:w="0" w:type="dxa"/>
            <w:left w:w="108" w:type="dxa"/>
            <w:bottom w:w="0" w:type="dxa"/>
            <w:right w:w="108" w:type="dxa"/>
          </w:tblCellMar>
        </w:tblPrEx>
        <w:trPr>
          <w:trHeight w:val="534"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E0CC74B">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1A151DD3">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有无配备虾壳弯</w:t>
            </w:r>
          </w:p>
        </w:tc>
        <w:tc>
          <w:tcPr>
            <w:tcW w:w="3693" w:type="dxa"/>
            <w:tcBorders>
              <w:top w:val="single" w:color="000000" w:sz="4" w:space="0"/>
              <w:left w:val="single" w:color="000000" w:sz="4" w:space="0"/>
              <w:bottom w:val="single" w:color="000000" w:sz="4" w:space="0"/>
              <w:right w:val="single" w:color="000000" w:sz="4" w:space="0"/>
            </w:tcBorders>
            <w:vAlign w:val="center"/>
          </w:tcPr>
          <w:p w14:paraId="6EDDA9DC">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14:paraId="001B1C4D">
            <w:pPr>
              <w:jc w:val="center"/>
              <w:rPr>
                <w:rFonts w:ascii="等线" w:hAnsi="等线" w:eastAsia="等线" w:cs="等线"/>
                <w:color w:val="auto"/>
                <w:sz w:val="20"/>
                <w:szCs w:val="20"/>
                <w:highlight w:val="none"/>
              </w:rPr>
            </w:pPr>
          </w:p>
        </w:tc>
      </w:tr>
      <w:tr w14:paraId="48872FE0">
        <w:tblPrEx>
          <w:tblCellMar>
            <w:top w:w="0" w:type="dxa"/>
            <w:left w:w="108" w:type="dxa"/>
            <w:bottom w:w="0" w:type="dxa"/>
            <w:right w:w="108" w:type="dxa"/>
          </w:tblCellMar>
        </w:tblPrEx>
        <w:trPr>
          <w:trHeight w:val="553"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67F855AA">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DA1CE70">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球管胶圈</w:t>
            </w:r>
          </w:p>
        </w:tc>
        <w:tc>
          <w:tcPr>
            <w:tcW w:w="3693" w:type="dxa"/>
            <w:tcBorders>
              <w:top w:val="single" w:color="000000" w:sz="4" w:space="0"/>
              <w:left w:val="single" w:color="000000" w:sz="4" w:space="0"/>
              <w:bottom w:val="single" w:color="000000" w:sz="4" w:space="0"/>
              <w:right w:val="single" w:color="000000" w:sz="4" w:space="0"/>
            </w:tcBorders>
            <w:vAlign w:val="center"/>
          </w:tcPr>
          <w:p w14:paraId="53F9D4FD">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是否完好无损</w:t>
            </w:r>
          </w:p>
        </w:tc>
        <w:tc>
          <w:tcPr>
            <w:tcW w:w="1444" w:type="dxa"/>
            <w:tcBorders>
              <w:top w:val="single" w:color="000000" w:sz="4" w:space="0"/>
              <w:left w:val="single" w:color="000000" w:sz="4" w:space="0"/>
              <w:bottom w:val="single" w:color="000000" w:sz="4" w:space="0"/>
              <w:right w:val="single" w:color="000000" w:sz="4" w:space="0"/>
            </w:tcBorders>
            <w:vAlign w:val="center"/>
          </w:tcPr>
          <w:p w14:paraId="1DA8950E">
            <w:pPr>
              <w:jc w:val="center"/>
              <w:rPr>
                <w:rFonts w:ascii="等线" w:hAnsi="等线" w:eastAsia="等线" w:cs="等线"/>
                <w:color w:val="auto"/>
                <w:sz w:val="20"/>
                <w:szCs w:val="20"/>
                <w:highlight w:val="none"/>
              </w:rPr>
            </w:pPr>
          </w:p>
        </w:tc>
      </w:tr>
      <w:tr w14:paraId="7E34559E">
        <w:tblPrEx>
          <w:tblCellMar>
            <w:top w:w="0" w:type="dxa"/>
            <w:left w:w="108" w:type="dxa"/>
            <w:bottom w:w="0" w:type="dxa"/>
            <w:right w:w="108" w:type="dxa"/>
          </w:tblCellMar>
        </w:tblPrEx>
        <w:trPr>
          <w:trHeight w:val="44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6B96DA5">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775991DE">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管道焊接</w:t>
            </w:r>
          </w:p>
        </w:tc>
        <w:tc>
          <w:tcPr>
            <w:tcW w:w="3693" w:type="dxa"/>
            <w:tcBorders>
              <w:top w:val="single" w:color="000000" w:sz="4" w:space="0"/>
              <w:left w:val="single" w:color="000000" w:sz="4" w:space="0"/>
              <w:bottom w:val="single" w:color="000000" w:sz="4" w:space="0"/>
              <w:right w:val="single" w:color="000000" w:sz="4" w:space="0"/>
            </w:tcBorders>
            <w:vAlign w:val="center"/>
          </w:tcPr>
          <w:p w14:paraId="57EC9085">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检测单位是否到场</w:t>
            </w:r>
          </w:p>
        </w:tc>
        <w:tc>
          <w:tcPr>
            <w:tcW w:w="1444" w:type="dxa"/>
            <w:tcBorders>
              <w:top w:val="single" w:color="000000" w:sz="4" w:space="0"/>
              <w:left w:val="single" w:color="000000" w:sz="4" w:space="0"/>
              <w:bottom w:val="single" w:color="000000" w:sz="4" w:space="0"/>
              <w:right w:val="single" w:color="000000" w:sz="4" w:space="0"/>
            </w:tcBorders>
            <w:vAlign w:val="center"/>
          </w:tcPr>
          <w:p w14:paraId="0553749E">
            <w:pPr>
              <w:jc w:val="center"/>
              <w:rPr>
                <w:rFonts w:ascii="等线" w:hAnsi="等线" w:eastAsia="等线" w:cs="等线"/>
                <w:color w:val="auto"/>
                <w:sz w:val="20"/>
                <w:szCs w:val="20"/>
                <w:highlight w:val="none"/>
              </w:rPr>
            </w:pPr>
          </w:p>
        </w:tc>
      </w:tr>
      <w:tr w14:paraId="2369FB2C">
        <w:tblPrEx>
          <w:tblCellMar>
            <w:top w:w="0" w:type="dxa"/>
            <w:left w:w="108" w:type="dxa"/>
            <w:bottom w:w="0" w:type="dxa"/>
            <w:right w:w="108" w:type="dxa"/>
          </w:tblCellMar>
        </w:tblPrEx>
        <w:trPr>
          <w:trHeight w:val="41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209C19A6">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273F084D">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管道防腐</w:t>
            </w:r>
          </w:p>
        </w:tc>
        <w:tc>
          <w:tcPr>
            <w:tcW w:w="3693" w:type="dxa"/>
            <w:tcBorders>
              <w:top w:val="single" w:color="000000" w:sz="4" w:space="0"/>
              <w:left w:val="single" w:color="000000" w:sz="4" w:space="0"/>
              <w:bottom w:val="single" w:color="000000" w:sz="4" w:space="0"/>
              <w:right w:val="single" w:color="000000" w:sz="4" w:space="0"/>
            </w:tcBorders>
            <w:vAlign w:val="center"/>
          </w:tcPr>
          <w:p w14:paraId="66CDE063">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焊接后冷却一定时间才能按图进行防腐</w:t>
            </w:r>
          </w:p>
        </w:tc>
        <w:tc>
          <w:tcPr>
            <w:tcW w:w="1444" w:type="dxa"/>
            <w:tcBorders>
              <w:top w:val="single" w:color="000000" w:sz="4" w:space="0"/>
              <w:left w:val="single" w:color="000000" w:sz="4" w:space="0"/>
              <w:bottom w:val="single" w:color="000000" w:sz="4" w:space="0"/>
              <w:right w:val="single" w:color="000000" w:sz="4" w:space="0"/>
            </w:tcBorders>
            <w:vAlign w:val="center"/>
          </w:tcPr>
          <w:p w14:paraId="7999ADB8">
            <w:pPr>
              <w:jc w:val="center"/>
              <w:rPr>
                <w:rFonts w:ascii="等线" w:hAnsi="等线" w:eastAsia="等线" w:cs="等线"/>
                <w:color w:val="auto"/>
                <w:sz w:val="20"/>
                <w:szCs w:val="20"/>
                <w:highlight w:val="none"/>
              </w:rPr>
            </w:pPr>
          </w:p>
        </w:tc>
      </w:tr>
      <w:tr w14:paraId="7259B343">
        <w:tblPrEx>
          <w:tblCellMar>
            <w:top w:w="0" w:type="dxa"/>
            <w:left w:w="108" w:type="dxa"/>
            <w:bottom w:w="0" w:type="dxa"/>
            <w:right w:w="108" w:type="dxa"/>
          </w:tblCellMar>
        </w:tblPrEx>
        <w:trPr>
          <w:trHeight w:val="496" w:hRule="atLeast"/>
        </w:trPr>
        <w:tc>
          <w:tcPr>
            <w:tcW w:w="694" w:type="dxa"/>
            <w:vMerge w:val="restart"/>
            <w:tcBorders>
              <w:top w:val="single" w:color="000000" w:sz="4" w:space="0"/>
              <w:left w:val="single" w:color="000000" w:sz="4" w:space="0"/>
              <w:bottom w:val="single" w:color="000000" w:sz="4" w:space="0"/>
              <w:right w:val="single" w:color="000000" w:sz="4" w:space="0"/>
            </w:tcBorders>
            <w:vAlign w:val="center"/>
          </w:tcPr>
          <w:p w14:paraId="097B33C4">
            <w:pPr>
              <w:widowControl/>
              <w:jc w:val="center"/>
              <w:textAlignment w:val="center"/>
              <w:rPr>
                <w:rFonts w:ascii="等线" w:hAnsi="等线" w:eastAsia="等线" w:cs="等线"/>
                <w:color w:val="auto"/>
                <w:sz w:val="20"/>
                <w:szCs w:val="20"/>
                <w:highlight w:val="none"/>
              </w:rPr>
            </w:pPr>
            <w:r>
              <w:rPr>
                <w:rFonts w:hint="eastAsia" w:ascii="等线" w:hAnsi="等线" w:eastAsia="等线" w:cs="等线"/>
                <w:b/>
                <w:bCs/>
                <w:color w:val="auto"/>
                <w:kern w:val="0"/>
                <w:sz w:val="20"/>
                <w:szCs w:val="20"/>
                <w:highlight w:val="none"/>
                <w:lang w:bidi="ar"/>
              </w:rPr>
              <w:t>路面修复</w:t>
            </w:r>
          </w:p>
        </w:tc>
        <w:tc>
          <w:tcPr>
            <w:tcW w:w="3919" w:type="dxa"/>
            <w:tcBorders>
              <w:top w:val="single" w:color="000000" w:sz="4" w:space="0"/>
              <w:left w:val="single" w:color="000000" w:sz="4" w:space="0"/>
              <w:bottom w:val="single" w:color="000000" w:sz="4" w:space="0"/>
              <w:right w:val="single" w:color="000000" w:sz="4" w:space="0"/>
            </w:tcBorders>
            <w:vAlign w:val="center"/>
          </w:tcPr>
          <w:p w14:paraId="37582EA9">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钢板</w:t>
            </w:r>
          </w:p>
        </w:tc>
        <w:tc>
          <w:tcPr>
            <w:tcW w:w="3693" w:type="dxa"/>
            <w:tcBorders>
              <w:top w:val="single" w:color="000000" w:sz="4" w:space="0"/>
              <w:left w:val="single" w:color="000000" w:sz="4" w:space="0"/>
              <w:bottom w:val="single" w:color="000000" w:sz="4" w:space="0"/>
              <w:right w:val="single" w:color="000000" w:sz="4" w:space="0"/>
            </w:tcBorders>
            <w:vAlign w:val="center"/>
          </w:tcPr>
          <w:p w14:paraId="2CF6D15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记录数量及尺寸</w:t>
            </w:r>
          </w:p>
        </w:tc>
        <w:tc>
          <w:tcPr>
            <w:tcW w:w="1444" w:type="dxa"/>
            <w:tcBorders>
              <w:top w:val="single" w:color="000000" w:sz="4" w:space="0"/>
              <w:left w:val="single" w:color="000000" w:sz="4" w:space="0"/>
              <w:bottom w:val="single" w:color="000000" w:sz="4" w:space="0"/>
              <w:right w:val="single" w:color="000000" w:sz="4" w:space="0"/>
            </w:tcBorders>
            <w:vAlign w:val="center"/>
          </w:tcPr>
          <w:p w14:paraId="16604162">
            <w:pPr>
              <w:jc w:val="center"/>
              <w:rPr>
                <w:rFonts w:ascii="等线" w:hAnsi="等线" w:eastAsia="等线" w:cs="等线"/>
                <w:color w:val="auto"/>
                <w:sz w:val="20"/>
                <w:szCs w:val="20"/>
                <w:highlight w:val="none"/>
              </w:rPr>
            </w:pPr>
          </w:p>
        </w:tc>
      </w:tr>
      <w:tr w14:paraId="4CA37FF1">
        <w:tblPrEx>
          <w:tblCellMar>
            <w:top w:w="0" w:type="dxa"/>
            <w:left w:w="108" w:type="dxa"/>
            <w:bottom w:w="0" w:type="dxa"/>
            <w:right w:w="108" w:type="dxa"/>
          </w:tblCellMar>
        </w:tblPrEx>
        <w:trPr>
          <w:trHeight w:val="571"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055B57C0">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47EA7918">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沥青冷料</w:t>
            </w:r>
          </w:p>
        </w:tc>
        <w:tc>
          <w:tcPr>
            <w:tcW w:w="3693" w:type="dxa"/>
            <w:tcBorders>
              <w:top w:val="single" w:color="000000" w:sz="4" w:space="0"/>
              <w:left w:val="single" w:color="000000" w:sz="4" w:space="0"/>
              <w:bottom w:val="single" w:color="000000" w:sz="4" w:space="0"/>
              <w:right w:val="single" w:color="000000" w:sz="4" w:space="0"/>
            </w:tcBorders>
            <w:vAlign w:val="center"/>
          </w:tcPr>
          <w:p w14:paraId="292F5641">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记录数量</w:t>
            </w:r>
          </w:p>
        </w:tc>
        <w:tc>
          <w:tcPr>
            <w:tcW w:w="1444" w:type="dxa"/>
            <w:tcBorders>
              <w:top w:val="single" w:color="000000" w:sz="4" w:space="0"/>
              <w:left w:val="single" w:color="000000" w:sz="4" w:space="0"/>
              <w:bottom w:val="single" w:color="000000" w:sz="4" w:space="0"/>
              <w:right w:val="single" w:color="000000" w:sz="4" w:space="0"/>
            </w:tcBorders>
            <w:vAlign w:val="center"/>
          </w:tcPr>
          <w:p w14:paraId="5F338409">
            <w:pPr>
              <w:jc w:val="center"/>
              <w:rPr>
                <w:rFonts w:ascii="等线" w:hAnsi="等线" w:eastAsia="等线" w:cs="等线"/>
                <w:color w:val="auto"/>
                <w:sz w:val="20"/>
                <w:szCs w:val="20"/>
                <w:highlight w:val="none"/>
              </w:rPr>
            </w:pPr>
          </w:p>
        </w:tc>
      </w:tr>
      <w:tr w14:paraId="5AA0DF3B">
        <w:tblPrEx>
          <w:tblCellMar>
            <w:top w:w="0" w:type="dxa"/>
            <w:left w:w="108" w:type="dxa"/>
            <w:bottom w:w="0" w:type="dxa"/>
            <w:right w:w="108" w:type="dxa"/>
          </w:tblCellMar>
        </w:tblPrEx>
        <w:trPr>
          <w:trHeight w:val="457"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2920F34">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31976926">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回填时有无分层压实</w:t>
            </w:r>
          </w:p>
        </w:tc>
        <w:tc>
          <w:tcPr>
            <w:tcW w:w="3693" w:type="dxa"/>
            <w:tcBorders>
              <w:top w:val="single" w:color="000000" w:sz="4" w:space="0"/>
              <w:left w:val="single" w:color="000000" w:sz="4" w:space="0"/>
              <w:bottom w:val="single" w:color="000000" w:sz="4" w:space="0"/>
              <w:right w:val="single" w:color="000000" w:sz="4" w:space="0"/>
            </w:tcBorders>
            <w:vAlign w:val="center"/>
          </w:tcPr>
          <w:p w14:paraId="0F93B567">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按要求达到密实度</w:t>
            </w:r>
          </w:p>
        </w:tc>
        <w:tc>
          <w:tcPr>
            <w:tcW w:w="1444" w:type="dxa"/>
            <w:tcBorders>
              <w:top w:val="single" w:color="000000" w:sz="4" w:space="0"/>
              <w:left w:val="single" w:color="000000" w:sz="4" w:space="0"/>
              <w:bottom w:val="single" w:color="000000" w:sz="4" w:space="0"/>
              <w:right w:val="single" w:color="000000" w:sz="4" w:space="0"/>
            </w:tcBorders>
            <w:vAlign w:val="center"/>
          </w:tcPr>
          <w:p w14:paraId="53007AD7">
            <w:pPr>
              <w:jc w:val="center"/>
              <w:rPr>
                <w:rFonts w:ascii="等线" w:hAnsi="等线" w:eastAsia="等线" w:cs="等线"/>
                <w:color w:val="auto"/>
                <w:sz w:val="20"/>
                <w:szCs w:val="20"/>
                <w:highlight w:val="none"/>
              </w:rPr>
            </w:pPr>
          </w:p>
        </w:tc>
      </w:tr>
      <w:tr w14:paraId="4AB646D7">
        <w:tblPrEx>
          <w:tblCellMar>
            <w:top w:w="0" w:type="dxa"/>
            <w:left w:w="108" w:type="dxa"/>
            <w:bottom w:w="0" w:type="dxa"/>
            <w:right w:w="108" w:type="dxa"/>
          </w:tblCellMar>
        </w:tblPrEx>
        <w:trPr>
          <w:trHeight w:val="749" w:hRule="atLeast"/>
        </w:trPr>
        <w:tc>
          <w:tcPr>
            <w:tcW w:w="694" w:type="dxa"/>
            <w:vMerge w:val="continue"/>
            <w:tcBorders>
              <w:top w:val="single" w:color="000000" w:sz="4" w:space="0"/>
              <w:left w:val="single" w:color="000000" w:sz="4" w:space="0"/>
              <w:bottom w:val="single" w:color="000000" w:sz="4" w:space="0"/>
              <w:right w:val="single" w:color="000000" w:sz="4" w:space="0"/>
            </w:tcBorders>
            <w:vAlign w:val="center"/>
          </w:tcPr>
          <w:p w14:paraId="7A2C594D">
            <w:pPr>
              <w:jc w:val="center"/>
              <w:rPr>
                <w:rFonts w:ascii="等线" w:hAnsi="等线" w:eastAsia="等线" w:cs="等线"/>
                <w:color w:val="auto"/>
                <w:sz w:val="20"/>
                <w:szCs w:val="20"/>
                <w:highlight w:val="none"/>
              </w:rPr>
            </w:pPr>
          </w:p>
        </w:tc>
        <w:tc>
          <w:tcPr>
            <w:tcW w:w="3919" w:type="dxa"/>
            <w:tcBorders>
              <w:top w:val="single" w:color="000000" w:sz="4" w:space="0"/>
              <w:left w:val="single" w:color="000000" w:sz="4" w:space="0"/>
              <w:bottom w:val="single" w:color="000000" w:sz="4" w:space="0"/>
              <w:right w:val="single" w:color="000000" w:sz="4" w:space="0"/>
            </w:tcBorders>
            <w:vAlign w:val="center"/>
          </w:tcPr>
          <w:p w14:paraId="072B1D18">
            <w:pPr>
              <w:widowControl/>
              <w:jc w:val="center"/>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恢复后有无坑洼不平</w:t>
            </w:r>
          </w:p>
        </w:tc>
        <w:tc>
          <w:tcPr>
            <w:tcW w:w="3693" w:type="dxa"/>
            <w:tcBorders>
              <w:top w:val="single" w:color="000000" w:sz="4" w:space="0"/>
              <w:left w:val="single" w:color="000000" w:sz="4" w:space="0"/>
              <w:bottom w:val="single" w:color="000000" w:sz="4" w:space="0"/>
              <w:right w:val="single" w:color="000000" w:sz="4" w:space="0"/>
            </w:tcBorders>
            <w:vAlign w:val="center"/>
          </w:tcPr>
          <w:p w14:paraId="192DF2A0">
            <w:pPr>
              <w:widowControl/>
              <w:jc w:val="left"/>
              <w:textAlignment w:val="center"/>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每次2日对路面进行巡查，把照片发到工作群内</w:t>
            </w:r>
          </w:p>
        </w:tc>
        <w:tc>
          <w:tcPr>
            <w:tcW w:w="1444" w:type="dxa"/>
            <w:tcBorders>
              <w:top w:val="single" w:color="000000" w:sz="4" w:space="0"/>
              <w:left w:val="single" w:color="000000" w:sz="4" w:space="0"/>
              <w:bottom w:val="single" w:color="000000" w:sz="4" w:space="0"/>
              <w:right w:val="single" w:color="000000" w:sz="4" w:space="0"/>
            </w:tcBorders>
            <w:vAlign w:val="center"/>
          </w:tcPr>
          <w:p w14:paraId="196A168E">
            <w:pPr>
              <w:jc w:val="center"/>
              <w:rPr>
                <w:rFonts w:ascii="等线" w:hAnsi="等线" w:eastAsia="等线" w:cs="等线"/>
                <w:color w:val="auto"/>
                <w:sz w:val="20"/>
                <w:szCs w:val="20"/>
                <w:highlight w:val="none"/>
              </w:rPr>
            </w:pPr>
          </w:p>
        </w:tc>
      </w:tr>
      <w:tr w14:paraId="096A704B">
        <w:tblPrEx>
          <w:tblCellMar>
            <w:top w:w="0" w:type="dxa"/>
            <w:left w:w="108" w:type="dxa"/>
            <w:bottom w:w="0" w:type="dxa"/>
            <w:right w:w="108" w:type="dxa"/>
          </w:tblCellMar>
        </w:tblPrEx>
        <w:trPr>
          <w:trHeight w:val="624" w:hRule="atLeast"/>
        </w:trPr>
        <w:tc>
          <w:tcPr>
            <w:tcW w:w="9750" w:type="dxa"/>
            <w:gridSpan w:val="4"/>
            <w:vMerge w:val="restart"/>
            <w:tcBorders>
              <w:top w:val="single" w:color="000000" w:sz="4" w:space="0"/>
              <w:left w:val="single" w:color="000000" w:sz="4" w:space="0"/>
              <w:bottom w:val="single" w:color="000000" w:sz="4" w:space="0"/>
              <w:right w:val="single" w:color="000000" w:sz="4" w:space="0"/>
            </w:tcBorders>
          </w:tcPr>
          <w:p w14:paraId="61AAAAE3">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其他需落实工作：</w:t>
            </w:r>
          </w:p>
        </w:tc>
      </w:tr>
      <w:tr w14:paraId="72756F3E">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14:paraId="5E84606B">
            <w:pPr>
              <w:jc w:val="left"/>
              <w:rPr>
                <w:rFonts w:ascii="等线" w:hAnsi="等线" w:eastAsia="等线" w:cs="等线"/>
                <w:color w:val="auto"/>
                <w:sz w:val="20"/>
                <w:szCs w:val="20"/>
                <w:highlight w:val="none"/>
              </w:rPr>
            </w:pPr>
          </w:p>
        </w:tc>
      </w:tr>
      <w:tr w14:paraId="2ED3988D">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14:paraId="0EB8AEEC">
            <w:pPr>
              <w:jc w:val="left"/>
              <w:rPr>
                <w:rFonts w:ascii="等线" w:hAnsi="等线" w:eastAsia="等线" w:cs="等线"/>
                <w:color w:val="auto"/>
                <w:sz w:val="20"/>
                <w:szCs w:val="20"/>
                <w:highlight w:val="none"/>
              </w:rPr>
            </w:pPr>
          </w:p>
        </w:tc>
      </w:tr>
      <w:tr w14:paraId="6093924C">
        <w:tblPrEx>
          <w:tblCellMar>
            <w:top w:w="0" w:type="dxa"/>
            <w:left w:w="108" w:type="dxa"/>
            <w:bottom w:w="0" w:type="dxa"/>
            <w:right w:w="108" w:type="dxa"/>
          </w:tblCellMar>
        </w:tblPrEx>
        <w:trPr>
          <w:trHeight w:val="624"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14:paraId="7CF459B2">
            <w:pPr>
              <w:jc w:val="left"/>
              <w:rPr>
                <w:rFonts w:ascii="等线" w:hAnsi="等线" w:eastAsia="等线" w:cs="等线"/>
                <w:color w:val="auto"/>
                <w:sz w:val="20"/>
                <w:szCs w:val="20"/>
                <w:highlight w:val="none"/>
              </w:rPr>
            </w:pPr>
          </w:p>
        </w:tc>
      </w:tr>
      <w:tr w14:paraId="4D20A6A3">
        <w:tblPrEx>
          <w:tblCellMar>
            <w:top w:w="0" w:type="dxa"/>
            <w:left w:w="108" w:type="dxa"/>
            <w:bottom w:w="0" w:type="dxa"/>
            <w:right w:w="108" w:type="dxa"/>
          </w:tblCellMar>
        </w:tblPrEx>
        <w:trPr>
          <w:trHeight w:val="312" w:hRule="atLeast"/>
        </w:trPr>
        <w:tc>
          <w:tcPr>
            <w:tcW w:w="9750" w:type="dxa"/>
            <w:gridSpan w:val="4"/>
            <w:vMerge w:val="continue"/>
            <w:tcBorders>
              <w:top w:val="single" w:color="000000" w:sz="4" w:space="0"/>
              <w:left w:val="single" w:color="000000" w:sz="4" w:space="0"/>
              <w:bottom w:val="single" w:color="000000" w:sz="4" w:space="0"/>
              <w:right w:val="single" w:color="000000" w:sz="4" w:space="0"/>
            </w:tcBorders>
          </w:tcPr>
          <w:p w14:paraId="222AAF80">
            <w:pPr>
              <w:jc w:val="left"/>
              <w:rPr>
                <w:rFonts w:ascii="等线" w:hAnsi="等线" w:eastAsia="等线" w:cs="等线"/>
                <w:color w:val="auto"/>
                <w:sz w:val="20"/>
                <w:szCs w:val="20"/>
                <w:highlight w:val="none"/>
              </w:rPr>
            </w:pPr>
          </w:p>
        </w:tc>
      </w:tr>
      <w:tr w14:paraId="548163B8">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tcPr>
          <w:p w14:paraId="1B27CEFE">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施工路段：</w:t>
            </w:r>
          </w:p>
        </w:tc>
        <w:tc>
          <w:tcPr>
            <w:tcW w:w="5137" w:type="dxa"/>
            <w:gridSpan w:val="2"/>
            <w:vMerge w:val="restart"/>
            <w:tcBorders>
              <w:top w:val="single" w:color="000000" w:sz="4" w:space="0"/>
              <w:left w:val="single" w:color="000000" w:sz="4" w:space="0"/>
              <w:bottom w:val="single" w:color="000000" w:sz="4" w:space="0"/>
              <w:right w:val="single" w:color="000000" w:sz="4" w:space="0"/>
            </w:tcBorders>
          </w:tcPr>
          <w:p w14:paraId="45363794">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值班业主代表：</w:t>
            </w:r>
          </w:p>
        </w:tc>
      </w:tr>
      <w:tr w14:paraId="3FD56284">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tcPr>
          <w:p w14:paraId="3F8BF36F">
            <w:pPr>
              <w:jc w:val="left"/>
              <w:rPr>
                <w:rFonts w:ascii="等线" w:hAnsi="等线" w:eastAsia="等线" w:cs="等线"/>
                <w:color w:val="auto"/>
                <w:sz w:val="20"/>
                <w:szCs w:val="20"/>
                <w:highlight w:val="none"/>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tcPr>
          <w:p w14:paraId="7CBF2046">
            <w:pPr>
              <w:jc w:val="left"/>
              <w:rPr>
                <w:rFonts w:ascii="等线" w:hAnsi="等线" w:eastAsia="等线" w:cs="等线"/>
                <w:color w:val="auto"/>
                <w:sz w:val="20"/>
                <w:szCs w:val="20"/>
                <w:highlight w:val="none"/>
              </w:rPr>
            </w:pPr>
          </w:p>
        </w:tc>
      </w:tr>
      <w:tr w14:paraId="0363E4DD">
        <w:tblPrEx>
          <w:tblCellMar>
            <w:top w:w="0" w:type="dxa"/>
            <w:left w:w="108" w:type="dxa"/>
            <w:bottom w:w="0" w:type="dxa"/>
            <w:right w:w="108" w:type="dxa"/>
          </w:tblCellMar>
        </w:tblPrEx>
        <w:trPr>
          <w:trHeight w:val="624" w:hRule="atLeast"/>
        </w:trPr>
        <w:tc>
          <w:tcPr>
            <w:tcW w:w="4613" w:type="dxa"/>
            <w:gridSpan w:val="2"/>
            <w:vMerge w:val="restart"/>
            <w:tcBorders>
              <w:top w:val="single" w:color="000000" w:sz="4" w:space="0"/>
              <w:left w:val="single" w:color="000000" w:sz="4" w:space="0"/>
              <w:bottom w:val="single" w:color="000000" w:sz="4" w:space="0"/>
              <w:right w:val="single" w:color="000000" w:sz="4" w:space="0"/>
            </w:tcBorders>
          </w:tcPr>
          <w:p w14:paraId="3FE2060F">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旁站监理：</w:t>
            </w:r>
          </w:p>
        </w:tc>
        <w:tc>
          <w:tcPr>
            <w:tcW w:w="5137" w:type="dxa"/>
            <w:gridSpan w:val="2"/>
            <w:vMerge w:val="restart"/>
            <w:tcBorders>
              <w:top w:val="single" w:color="000000" w:sz="4" w:space="0"/>
              <w:left w:val="single" w:color="000000" w:sz="4" w:space="0"/>
              <w:bottom w:val="single" w:color="000000" w:sz="4" w:space="0"/>
              <w:right w:val="single" w:color="000000" w:sz="4" w:space="0"/>
            </w:tcBorders>
          </w:tcPr>
          <w:p w14:paraId="2D5BCE6F">
            <w:pPr>
              <w:widowControl/>
              <w:jc w:val="left"/>
              <w:textAlignment w:val="top"/>
              <w:rPr>
                <w:rFonts w:ascii="等线" w:hAnsi="等线" w:eastAsia="等线" w:cs="等线"/>
                <w:color w:val="auto"/>
                <w:sz w:val="20"/>
                <w:szCs w:val="20"/>
                <w:highlight w:val="none"/>
              </w:rPr>
            </w:pPr>
            <w:r>
              <w:rPr>
                <w:rFonts w:hint="eastAsia" w:ascii="等线" w:hAnsi="等线" w:eastAsia="等线" w:cs="等线"/>
                <w:color w:val="auto"/>
                <w:kern w:val="0"/>
                <w:sz w:val="20"/>
                <w:szCs w:val="20"/>
                <w:highlight w:val="none"/>
                <w:lang w:bidi="ar"/>
              </w:rPr>
              <w:t>施工负责人：</w:t>
            </w:r>
          </w:p>
        </w:tc>
      </w:tr>
      <w:tr w14:paraId="3CB2EA96">
        <w:tblPrEx>
          <w:tblCellMar>
            <w:top w:w="0" w:type="dxa"/>
            <w:left w:w="108" w:type="dxa"/>
            <w:bottom w:w="0" w:type="dxa"/>
            <w:right w:w="108" w:type="dxa"/>
          </w:tblCellMar>
        </w:tblPrEx>
        <w:trPr>
          <w:trHeight w:val="312" w:hRule="atLeast"/>
        </w:trPr>
        <w:tc>
          <w:tcPr>
            <w:tcW w:w="4613" w:type="dxa"/>
            <w:gridSpan w:val="2"/>
            <w:vMerge w:val="continue"/>
            <w:tcBorders>
              <w:top w:val="single" w:color="000000" w:sz="4" w:space="0"/>
              <w:left w:val="single" w:color="000000" w:sz="4" w:space="0"/>
              <w:bottom w:val="single" w:color="000000" w:sz="4" w:space="0"/>
              <w:right w:val="single" w:color="000000" w:sz="4" w:space="0"/>
            </w:tcBorders>
          </w:tcPr>
          <w:p w14:paraId="7AD6CB4F">
            <w:pPr>
              <w:jc w:val="left"/>
              <w:rPr>
                <w:rFonts w:ascii="等线" w:hAnsi="等线" w:eastAsia="等线" w:cs="等线"/>
                <w:color w:val="auto"/>
                <w:sz w:val="20"/>
                <w:szCs w:val="20"/>
                <w:highlight w:val="none"/>
              </w:rPr>
            </w:pPr>
          </w:p>
        </w:tc>
        <w:tc>
          <w:tcPr>
            <w:tcW w:w="5137" w:type="dxa"/>
            <w:gridSpan w:val="2"/>
            <w:vMerge w:val="continue"/>
            <w:tcBorders>
              <w:top w:val="single" w:color="000000" w:sz="4" w:space="0"/>
              <w:left w:val="single" w:color="000000" w:sz="4" w:space="0"/>
              <w:bottom w:val="single" w:color="000000" w:sz="4" w:space="0"/>
              <w:right w:val="single" w:color="000000" w:sz="4" w:space="0"/>
            </w:tcBorders>
          </w:tcPr>
          <w:p w14:paraId="48E31283">
            <w:pPr>
              <w:jc w:val="left"/>
              <w:rPr>
                <w:rFonts w:ascii="等线" w:hAnsi="等线" w:eastAsia="等线" w:cs="等线"/>
                <w:color w:val="auto"/>
                <w:sz w:val="20"/>
                <w:szCs w:val="20"/>
                <w:highlight w:val="none"/>
              </w:rPr>
            </w:pPr>
          </w:p>
        </w:tc>
      </w:tr>
    </w:tbl>
    <w:p w14:paraId="046CA558">
      <w:pPr>
        <w:rPr>
          <w:rFonts w:ascii="黑体" w:hAnsi="黑体" w:eastAsia="黑体" w:cs="黑体"/>
          <w:color w:val="auto"/>
          <w:highlight w:val="none"/>
        </w:rPr>
        <w:sect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tbl>
      <w:tblPr>
        <w:tblStyle w:val="18"/>
        <w:tblW w:w="9506" w:type="dxa"/>
        <w:tblInd w:w="-333" w:type="dxa"/>
        <w:tblLayout w:type="fixed"/>
        <w:tblCellMar>
          <w:top w:w="0" w:type="dxa"/>
          <w:left w:w="108" w:type="dxa"/>
          <w:bottom w:w="0" w:type="dxa"/>
          <w:right w:w="108" w:type="dxa"/>
        </w:tblCellMar>
      </w:tblPr>
      <w:tblGrid>
        <w:gridCol w:w="1106"/>
        <w:gridCol w:w="909"/>
        <w:gridCol w:w="776"/>
        <w:gridCol w:w="2984"/>
        <w:gridCol w:w="1014"/>
        <w:gridCol w:w="2717"/>
      </w:tblGrid>
      <w:tr w14:paraId="73E2DE03">
        <w:tblPrEx>
          <w:tblCellMar>
            <w:top w:w="0" w:type="dxa"/>
            <w:left w:w="108" w:type="dxa"/>
            <w:bottom w:w="0" w:type="dxa"/>
            <w:right w:w="108" w:type="dxa"/>
          </w:tblCellMar>
        </w:tblPrEx>
        <w:trPr>
          <w:trHeight w:val="1079" w:hRule="atLeast"/>
        </w:trPr>
        <w:tc>
          <w:tcPr>
            <w:tcW w:w="9506" w:type="dxa"/>
            <w:gridSpan w:val="6"/>
            <w:tcBorders>
              <w:top w:val="nil"/>
              <w:left w:val="nil"/>
              <w:bottom w:val="nil"/>
              <w:right w:val="nil"/>
            </w:tcBorders>
            <w:noWrap/>
            <w:vAlign w:val="center"/>
          </w:tcPr>
          <w:p w14:paraId="1D01F122">
            <w:pPr>
              <w:ind w:right="87" w:firstLine="480" w:firstLineChars="200"/>
              <w:rPr>
                <w:rFonts w:hint="default" w:ascii="黑体" w:hAnsi="黑体" w:eastAsia="黑体" w:cs="黑体"/>
                <w:b w:val="0"/>
                <w:bCs w:val="0"/>
                <w:color w:val="auto"/>
                <w:sz w:val="24"/>
                <w:szCs w:val="24"/>
                <w:highlight w:val="none"/>
                <w:lang w:val="en-US" w:eastAsia="zh-CN"/>
              </w:rPr>
            </w:pPr>
            <w:permStart w:id="465"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12</w:t>
            </w:r>
          </w:p>
          <w:permEnd w:id="465"/>
          <w:p w14:paraId="30D42DFB">
            <w:pPr>
              <w:widowControl/>
              <w:jc w:val="center"/>
              <w:textAlignment w:val="center"/>
              <w:rPr>
                <w:rFonts w:ascii="方正小标宋简体" w:hAnsi="方正小标宋简体" w:eastAsia="方正小标宋简体" w:cs="方正小标宋简体"/>
                <w:color w:val="auto"/>
                <w:sz w:val="56"/>
                <w:szCs w:val="56"/>
                <w:highlight w:val="none"/>
              </w:rPr>
            </w:pPr>
            <w:r>
              <w:rPr>
                <w:rFonts w:hint="eastAsia" w:ascii="方正小标宋简体" w:hAnsi="方正小标宋简体" w:eastAsia="方正小标宋简体" w:cs="方正小标宋简体"/>
                <w:b w:val="0"/>
                <w:bCs w:val="0"/>
                <w:color w:val="auto"/>
                <w:sz w:val="32"/>
                <w:szCs w:val="32"/>
                <w:highlight w:val="none"/>
              </w:rPr>
              <w:t>夜间施工标准化清单</w:t>
            </w:r>
          </w:p>
        </w:tc>
      </w:tr>
      <w:tr w14:paraId="51A2F3FF">
        <w:tblPrEx>
          <w:tblCellMar>
            <w:top w:w="0" w:type="dxa"/>
            <w:left w:w="108" w:type="dxa"/>
            <w:bottom w:w="0" w:type="dxa"/>
            <w:right w:w="108" w:type="dxa"/>
          </w:tblCellMar>
        </w:tblPrEx>
        <w:trPr>
          <w:trHeight w:val="748" w:hRule="atLeast"/>
        </w:trPr>
        <w:tc>
          <w:tcPr>
            <w:tcW w:w="2015" w:type="dxa"/>
            <w:gridSpan w:val="2"/>
            <w:tcBorders>
              <w:top w:val="nil"/>
              <w:left w:val="nil"/>
              <w:bottom w:val="single" w:color="000000" w:sz="8" w:space="0"/>
              <w:right w:val="nil"/>
            </w:tcBorders>
            <w:noWrap/>
            <w:vAlign w:val="center"/>
          </w:tcPr>
          <w:p w14:paraId="2946EC40">
            <w:pPr>
              <w:widowControl/>
              <w:jc w:val="left"/>
              <w:textAlignment w:val="center"/>
              <w:rPr>
                <w:rFonts w:ascii="等线" w:hAnsi="等线" w:eastAsia="等线" w:cs="等线"/>
                <w:color w:val="auto"/>
                <w:sz w:val="36"/>
                <w:szCs w:val="36"/>
                <w:highlight w:val="none"/>
              </w:rPr>
            </w:pPr>
            <w:r>
              <w:rPr>
                <w:rFonts w:hint="eastAsia" w:ascii="等线" w:hAnsi="等线" w:eastAsia="等线" w:cs="等线"/>
                <w:color w:val="auto"/>
                <w:kern w:val="0"/>
                <w:sz w:val="18"/>
                <w:szCs w:val="18"/>
                <w:highlight w:val="none"/>
                <w:lang w:bidi="ar"/>
              </w:rPr>
              <w:t>工程名称：</w:t>
            </w:r>
            <w:r>
              <w:rPr>
                <w:rFonts w:hint="eastAsia" w:ascii="等线" w:hAnsi="等线" w:eastAsia="等线" w:cs="等线"/>
                <w:color w:val="auto"/>
                <w:kern w:val="0"/>
                <w:sz w:val="36"/>
                <w:szCs w:val="36"/>
                <w:highlight w:val="none"/>
                <w:lang w:bidi="ar"/>
              </w:rPr>
              <w:t>　　　　　　　　　　　　　　　　　　　　　　　　　</w:t>
            </w:r>
          </w:p>
        </w:tc>
        <w:tc>
          <w:tcPr>
            <w:tcW w:w="776" w:type="dxa"/>
            <w:tcBorders>
              <w:top w:val="nil"/>
              <w:left w:val="nil"/>
              <w:bottom w:val="single" w:color="000000" w:sz="8" w:space="0"/>
              <w:right w:val="nil"/>
            </w:tcBorders>
            <w:noWrap/>
            <w:vAlign w:val="bottom"/>
          </w:tcPr>
          <w:p w14:paraId="337A10B3">
            <w:pPr>
              <w:rPr>
                <w:rFonts w:ascii="等线" w:hAnsi="等线" w:eastAsia="等线" w:cs="等线"/>
                <w:color w:val="auto"/>
                <w:sz w:val="36"/>
                <w:szCs w:val="36"/>
                <w:highlight w:val="none"/>
              </w:rPr>
            </w:pPr>
          </w:p>
        </w:tc>
        <w:tc>
          <w:tcPr>
            <w:tcW w:w="3998" w:type="dxa"/>
            <w:gridSpan w:val="2"/>
            <w:tcBorders>
              <w:top w:val="nil"/>
              <w:left w:val="nil"/>
              <w:bottom w:val="single" w:color="000000" w:sz="8" w:space="0"/>
              <w:right w:val="nil"/>
            </w:tcBorders>
            <w:noWrap/>
            <w:vAlign w:val="bottom"/>
          </w:tcPr>
          <w:p w14:paraId="28109FCD">
            <w:pPr>
              <w:rPr>
                <w:rFonts w:ascii="等线" w:hAnsi="等线" w:eastAsia="等线" w:cs="等线"/>
                <w:color w:val="auto"/>
                <w:sz w:val="36"/>
                <w:szCs w:val="36"/>
                <w:highlight w:val="none"/>
              </w:rPr>
            </w:pPr>
          </w:p>
        </w:tc>
        <w:tc>
          <w:tcPr>
            <w:tcW w:w="2717" w:type="dxa"/>
            <w:tcBorders>
              <w:top w:val="nil"/>
              <w:left w:val="nil"/>
              <w:bottom w:val="single" w:color="000000" w:sz="8" w:space="0"/>
              <w:right w:val="nil"/>
            </w:tcBorders>
            <w:noWrap/>
            <w:vAlign w:val="bottom"/>
          </w:tcPr>
          <w:p w14:paraId="1433F9AA">
            <w:pPr>
              <w:rPr>
                <w:rFonts w:ascii="等线" w:hAnsi="等线" w:eastAsia="等线" w:cs="等线"/>
                <w:color w:val="auto"/>
                <w:sz w:val="36"/>
                <w:szCs w:val="36"/>
                <w:highlight w:val="none"/>
              </w:rPr>
            </w:pPr>
          </w:p>
        </w:tc>
      </w:tr>
      <w:tr w14:paraId="2544B133">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14:paraId="168B12F0">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14:paraId="76D49A4B">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14:paraId="35D1CE56">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T1（21：30-22：15）</w:t>
            </w:r>
          </w:p>
        </w:tc>
        <w:tc>
          <w:tcPr>
            <w:tcW w:w="3731" w:type="dxa"/>
            <w:gridSpan w:val="2"/>
            <w:tcBorders>
              <w:top w:val="nil"/>
              <w:left w:val="single" w:color="000000" w:sz="4" w:space="0"/>
              <w:bottom w:val="single" w:color="000000" w:sz="4" w:space="0"/>
              <w:right w:val="single" w:color="000000" w:sz="4" w:space="0"/>
            </w:tcBorders>
            <w:noWrap/>
            <w:vAlign w:val="center"/>
          </w:tcPr>
          <w:p w14:paraId="7DBE8C33">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T2（22：15-00：30）</w:t>
            </w:r>
          </w:p>
        </w:tc>
      </w:tr>
      <w:tr w14:paraId="0560F8E7">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14:paraId="70D9B143">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14:paraId="5B61CF24">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施工前准备工作、交疏围蔽</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7B6F6532">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路面打凿、管坑支护、管坑开挖、测量标高</w:t>
            </w:r>
          </w:p>
        </w:tc>
      </w:tr>
      <w:tr w14:paraId="67326059">
        <w:tblPrEx>
          <w:tblCellMar>
            <w:top w:w="0" w:type="dxa"/>
            <w:left w:w="108" w:type="dxa"/>
            <w:bottom w:w="0" w:type="dxa"/>
            <w:right w:w="108" w:type="dxa"/>
          </w:tblCellMar>
        </w:tblPrEx>
        <w:trPr>
          <w:trHeight w:val="6518" w:hRule="atLeast"/>
        </w:trPr>
        <w:tc>
          <w:tcPr>
            <w:tcW w:w="1106" w:type="dxa"/>
            <w:tcBorders>
              <w:top w:val="single" w:color="000000" w:sz="4" w:space="0"/>
              <w:left w:val="single" w:color="000000" w:sz="4" w:space="0"/>
              <w:bottom w:val="nil"/>
              <w:right w:val="single" w:color="000000" w:sz="4" w:space="0"/>
            </w:tcBorders>
            <w:noWrap/>
            <w:vAlign w:val="center"/>
          </w:tcPr>
          <w:p w14:paraId="79AA2438">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nil"/>
              <w:right w:val="single" w:color="000000" w:sz="4" w:space="0"/>
            </w:tcBorders>
            <w:vAlign w:val="center"/>
          </w:tcPr>
          <w:p w14:paraId="26457920">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施工班组人员及交疏、物探班组人员到场进行班前教育：</w:t>
            </w:r>
          </w:p>
          <w:p w14:paraId="62AB693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1.对当晚施工内容、安全点进行交底（安全教育留痕）</w:t>
            </w:r>
          </w:p>
          <w:p w14:paraId="7647777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2.对技术难点进行交底</w:t>
            </w:r>
          </w:p>
          <w:p w14:paraId="50A3CA7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3.对交疏班组当晚的交疏布置及关键点进行交底</w:t>
            </w:r>
          </w:p>
          <w:p w14:paraId="699E56A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4.交疏指挥人员进场围蔽</w:t>
            </w:r>
          </w:p>
          <w:p w14:paraId="694EC942">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5.对所有进场人员的核酸、行程码、口罩佩戴等防疫检查</w:t>
            </w:r>
          </w:p>
          <w:p w14:paraId="7653E2C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6.对作业人员状态、防护用品佩戴、特种作业人员证件核查</w:t>
            </w:r>
          </w:p>
          <w:p w14:paraId="0C5A1BE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风险点：交通安全风险、超龄、酒后上岗、疲劳作业</w:t>
            </w:r>
          </w:p>
          <w:p w14:paraId="402A8F1F">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355902EE">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□人员必须在安全地点进行集中，不得在道路边聚集；交疏人员辅助过马路。</w:t>
            </w:r>
          </w:p>
          <w:p w14:paraId="202BB3DF">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按照交疏方案进行交通疏导围蔽，配备反光锥、爆闪灯、警示灯等警示设施，特别是围蔽开始阶段，未完成交疏布置前施工人员及其他施工车辆不得进入道路；在路口及交通疏导缓冲区，安排交疏人员进行交通指挥。</w:t>
            </w:r>
          </w:p>
          <w:p w14:paraId="178F797C">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□不符合一周两检要求的严禁进入施工围蔽现场，并由防疫专班负责人抽检复核。</w:t>
            </w:r>
          </w:p>
          <w:p w14:paraId="0695B80A">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□涉地下管线产权单位旁站人员到位。</w:t>
            </w:r>
          </w:p>
          <w:p w14:paraId="1F54B6ED">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□禁止作业人员超龄、酒后上岗、疲劳作业。</w:t>
            </w:r>
          </w:p>
        </w:tc>
        <w:tc>
          <w:tcPr>
            <w:tcW w:w="3731" w:type="dxa"/>
            <w:gridSpan w:val="2"/>
            <w:tcBorders>
              <w:top w:val="single" w:color="000000" w:sz="4" w:space="0"/>
              <w:left w:val="single" w:color="000000" w:sz="4" w:space="0"/>
              <w:bottom w:val="nil"/>
              <w:right w:val="single" w:color="000000" w:sz="4" w:space="0"/>
            </w:tcBorders>
            <w:vAlign w:val="center"/>
          </w:tcPr>
          <w:p w14:paraId="7364867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14:paraId="3491E7C3">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1.挖机路面破除、钢板桩打插、管坑开挖、渣土清运</w:t>
            </w:r>
          </w:p>
          <w:p w14:paraId="1ADE81A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2.标高控制、测量</w:t>
            </w:r>
          </w:p>
          <w:p w14:paraId="4BC1E42F">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3.管材到场</w:t>
            </w:r>
          </w:p>
          <w:p w14:paraId="6C4F6A43">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14:paraId="4948006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14:paraId="34986DA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2.基坑稳定风险</w:t>
            </w:r>
          </w:p>
          <w:p w14:paraId="5E85342A">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3.地下管线破坏风险</w:t>
            </w:r>
          </w:p>
          <w:p w14:paraId="7B6D7BB2">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4.土方挖掘过程中的人员风险</w:t>
            </w:r>
          </w:p>
          <w:p w14:paraId="1B9531CB">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52006B5A">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□交疏人员合理配置、设施摆放合理、警示标志足够且有效；管材到场须安排人员指挥交通，保障运输车辆安全进入施工区域。</w:t>
            </w:r>
          </w:p>
          <w:p w14:paraId="310C01C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□按要求做好管坑支护，未进行支护前禁止安排人员下管坑作业。</w:t>
            </w:r>
          </w:p>
          <w:p w14:paraId="0B7979B4">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□开挖前进行物探并进行现场标识，牵涉到地下管线的联系好产权单位进行现场交底，地下管线复杂的位置必须采用人工探挖，直至完全暴露；按要求做好保护措施。</w:t>
            </w:r>
          </w:p>
          <w:p w14:paraId="5A624A37">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□管控人员在未完成支护前不得离管坑边缘过近，机械专人指挥，挖机转盘半径内不得站人。</w:t>
            </w:r>
          </w:p>
          <w:p w14:paraId="6C45C976">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□仅限晚上10点至11点可破路。</w:t>
            </w:r>
          </w:p>
        </w:tc>
      </w:tr>
      <w:tr w14:paraId="7875A212">
        <w:tblPrEx>
          <w:tblCellMar>
            <w:top w:w="0" w:type="dxa"/>
            <w:left w:w="108" w:type="dxa"/>
            <w:bottom w:w="0" w:type="dxa"/>
            <w:right w:w="108" w:type="dxa"/>
          </w:tblCellMar>
        </w:tblPrEx>
        <w:trPr>
          <w:trHeight w:val="149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152A3800">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15D23AE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人员运输车辆、交疏车辆、打压设备等。</w:t>
            </w:r>
          </w:p>
          <w:p w14:paraId="2B378C9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风险点：交通安全风险。</w:t>
            </w:r>
          </w:p>
          <w:p w14:paraId="4377D328">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2ED498DA">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□车辆按照交通管控要求，停放至交警要求停放的区域，并做好警示；所有车辆在完成交疏围蔽后进入围蔽区内。</w:t>
            </w:r>
          </w:p>
          <w:p w14:paraId="34A78A97">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□在围蔽来车方向放置一部车辆。</w:t>
            </w:r>
          </w:p>
          <w:p w14:paraId="03D83317">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□渣土运输车合理安排进场时间，避免扎堆到场。</w:t>
            </w:r>
          </w:p>
          <w:p w14:paraId="73455C07">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□做好打压设备管口密封胶连接，连接口严格扳手拧紧，管道笔直，不得任意弯沉。</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5D9C726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挖掘机、随车吊、渣土运输车。</w:t>
            </w:r>
          </w:p>
          <w:p w14:paraId="0499AF9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风险点：打凿路面时的碎石飞溅、交通安全风险，设备故障风险，土方开挖时挖掘机操作不当倾倒风险。</w:t>
            </w:r>
          </w:p>
          <w:p w14:paraId="70C0D9A1">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775C60E7">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□打凿路面时用高水马进行围蔽并用水雾炮机进行降尘。</w:t>
            </w:r>
          </w:p>
          <w:p w14:paraId="193A65D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□车辆按照交通管控要求，在完成交疏围蔽后进入围蔽区内。</w:t>
            </w:r>
          </w:p>
          <w:p w14:paraId="14A687AD">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□渣土运输车在靠近围蔽边缘进行作业时，安排人员进行指挥，渣土车进入围蔽区过程中安排交疏人员进行交通指挥。</w:t>
            </w:r>
          </w:p>
          <w:p w14:paraId="7F348AA5">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□车辆必须符合车辆检测要求，有相关检测证明及运输证，在进场前进行检查并报审，并在现场进行检查，不符合的不得进入现场施工区域。</w:t>
            </w:r>
          </w:p>
        </w:tc>
      </w:tr>
      <w:tr w14:paraId="0F8E7D3A">
        <w:tblPrEx>
          <w:tblCellMar>
            <w:top w:w="0" w:type="dxa"/>
            <w:left w:w="108" w:type="dxa"/>
            <w:bottom w:w="0" w:type="dxa"/>
            <w:right w:w="108" w:type="dxa"/>
          </w:tblCellMar>
        </w:tblPrEx>
        <w:trPr>
          <w:trHeight w:val="330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4C16DE07">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4D120B93">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交通疏解围蔽材料；围蔽、警示灯、信号灯、水马、箭头指示灯、行人指引牌；防疫物资、医药箱；应急物资核查</w:t>
            </w:r>
          </w:p>
          <w:p w14:paraId="0B8088E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风险点：设施损坏、老化、故障等；物资不足。</w:t>
            </w:r>
          </w:p>
          <w:p w14:paraId="200C7D57">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2521478B">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□在出车前须对交疏设施进行检查，故障不能使用的必须进行更换，电池无效的进行更换。</w:t>
            </w:r>
          </w:p>
          <w:p w14:paraId="615DED8D">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□标牌、警示灯具不足进行补充。</w:t>
            </w:r>
          </w:p>
          <w:p w14:paraId="6A465DA6">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□专人核查后及时补充物资。</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233909B9">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钢管、渣土</w:t>
            </w:r>
          </w:p>
          <w:p w14:paraId="25CC7E1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风险点：钢管运输到场时，固定不牢导致钢管滚落；渣土堆放过高或未进行封闭运输导致物料抛洒；渣土含水量过高导致运输过程，泥水撒漏污染路面。</w:t>
            </w:r>
          </w:p>
          <w:p w14:paraId="7C4D5523">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7A403E99">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□钢管出厂装车一定要进行固定并检查。</w:t>
            </w:r>
          </w:p>
          <w:p w14:paraId="6F4B75A2">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□渣土堆放不能高过盖板，对进场渣土车进行检查，不正规的渣土车不能进场运输；及时清扫散落渣土，存在裸土及时覆盖。</w:t>
            </w:r>
          </w:p>
          <w:p w14:paraId="4AC6F8CA">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□对含水量高的渣土在挖运入车前，先利用水泵排水，不得将水和泥土一并挖运入车。</w:t>
            </w:r>
          </w:p>
        </w:tc>
      </w:tr>
      <w:tr w14:paraId="2D4B6C9F">
        <w:tblPrEx>
          <w:tblCellMar>
            <w:top w:w="0" w:type="dxa"/>
            <w:left w:w="108" w:type="dxa"/>
            <w:bottom w:w="0" w:type="dxa"/>
            <w:right w:w="108" w:type="dxa"/>
          </w:tblCellMar>
        </w:tblPrEx>
        <w:trPr>
          <w:trHeight w:val="2743"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0B120FC8">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77C2F77D">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开工前：</w:t>
            </w:r>
          </w:p>
          <w:p w14:paraId="27ABC8ED">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□通过专业的交疏单位编制交通流量评估报告及交通疏解方案，现场按照交警意见及交疏方案，合理安排交疏设置及人员；对于涉及路口、公交车站施工，提前规划，疏导标牌设置。</w:t>
            </w:r>
          </w:p>
          <w:p w14:paraId="48DF1FB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□地下管线现场复核。</w:t>
            </w:r>
          </w:p>
          <w:p w14:paraId="2E113569">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□危险源公示牌、许可证件设置。</w:t>
            </w:r>
          </w:p>
          <w:p w14:paraId="0C8A5ED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□视频监控正常运行，对准作业点。</w:t>
            </w:r>
          </w:p>
          <w:p w14:paraId="499A0F7B">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1F9EFF0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土方开挖风险点：土方超挖、渗水积水。</w:t>
            </w:r>
          </w:p>
          <w:p w14:paraId="41B076D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按照要求，严格落实每晚23点后严禁路面破除工作，编制夜间降噪、扬尘防治专项方案，按方案落实相关降尘降噪措施，减少投诉；配备噪音检测设备，做好监测台账；编制基坑开挖专项方案，并进行专家评审，严格按照方案进行开挖及支护，现场未做好支护不得下管坑作业。</w:t>
            </w:r>
          </w:p>
          <w:p w14:paraId="2F69D1B3">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□定期基坑监测，做好日常监测，拟定应急预案、开展应急演练。</w:t>
            </w:r>
          </w:p>
          <w:p w14:paraId="1BE01698">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14:paraId="343A8AC8">
        <w:tblPrEx>
          <w:tblCellMar>
            <w:top w:w="0" w:type="dxa"/>
            <w:left w:w="108" w:type="dxa"/>
            <w:bottom w:w="0" w:type="dxa"/>
            <w:right w:w="108" w:type="dxa"/>
          </w:tblCellMar>
        </w:tblPrEx>
        <w:trPr>
          <w:trHeight w:val="2099"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14:paraId="5354A395">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nil"/>
              <w:bottom w:val="single" w:color="000000" w:sz="8" w:space="0"/>
              <w:right w:val="single" w:color="000000" w:sz="4" w:space="0"/>
            </w:tcBorders>
            <w:vAlign w:val="center"/>
          </w:tcPr>
          <w:p w14:paraId="333F6E8A">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□交通标识线。</w:t>
            </w:r>
          </w:p>
          <w:p w14:paraId="16F3CE59">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□特殊天气（雷雨、酷暑、寒冬），预判是否作业；若作业，施工告知注意事项。</w:t>
            </w:r>
          </w:p>
          <w:p w14:paraId="062FDB5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□施工照明灯光源扰民。</w:t>
            </w:r>
          </w:p>
          <w:p w14:paraId="104C8816">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tc>
        <w:tc>
          <w:tcPr>
            <w:tcW w:w="3731" w:type="dxa"/>
            <w:gridSpan w:val="2"/>
            <w:tcBorders>
              <w:top w:val="single" w:color="000000" w:sz="4" w:space="0"/>
              <w:left w:val="single" w:color="000000" w:sz="4" w:space="0"/>
              <w:bottom w:val="single" w:color="000000" w:sz="8" w:space="0"/>
              <w:right w:val="single" w:color="000000" w:sz="4" w:space="0"/>
            </w:tcBorders>
            <w:vAlign w:val="center"/>
          </w:tcPr>
          <w:p w14:paraId="0CB8122D">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□噪声扰民管理。</w:t>
            </w:r>
          </w:p>
          <w:p w14:paraId="322F0BE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□路面清扫，泥水处理。</w:t>
            </w:r>
          </w:p>
          <w:p w14:paraId="290773A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w:t>
            </w:r>
          </w:p>
          <w:p w14:paraId="5FD4DD30">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14:paraId="786A7778">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14:paraId="19EBDC3B">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14:paraId="29C82905">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14:paraId="4DBFEDE9">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14:paraId="31E4D314">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T4（01：30-03：30）</w:t>
            </w:r>
          </w:p>
        </w:tc>
        <w:tc>
          <w:tcPr>
            <w:tcW w:w="3731" w:type="dxa"/>
            <w:gridSpan w:val="2"/>
            <w:tcBorders>
              <w:top w:val="nil"/>
              <w:left w:val="single" w:color="000000" w:sz="4" w:space="0"/>
              <w:bottom w:val="single" w:color="000000" w:sz="4" w:space="0"/>
              <w:right w:val="single" w:color="000000" w:sz="4" w:space="0"/>
            </w:tcBorders>
            <w:noWrap/>
            <w:vAlign w:val="center"/>
          </w:tcPr>
          <w:p w14:paraId="501FD2ED">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T3（00：30-01：30）</w:t>
            </w:r>
          </w:p>
        </w:tc>
      </w:tr>
      <w:tr w14:paraId="717806AF">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auto" w:sz="4" w:space="0"/>
              <w:right w:val="single" w:color="000000" w:sz="4" w:space="0"/>
              <w:tl2br w:val="single" w:color="000000" w:sz="4" w:space="0"/>
            </w:tcBorders>
          </w:tcPr>
          <w:p w14:paraId="7B357DED">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auto" w:sz="4" w:space="0"/>
              <w:right w:val="single" w:color="000000" w:sz="4" w:space="0"/>
            </w:tcBorders>
            <w:noWrap/>
            <w:vAlign w:val="center"/>
          </w:tcPr>
          <w:p w14:paraId="53E62D48">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管道焊接、铺设、防腐处理</w:t>
            </w:r>
          </w:p>
        </w:tc>
        <w:tc>
          <w:tcPr>
            <w:tcW w:w="3731" w:type="dxa"/>
            <w:gridSpan w:val="2"/>
            <w:tcBorders>
              <w:top w:val="single" w:color="000000" w:sz="4" w:space="0"/>
              <w:left w:val="single" w:color="000000" w:sz="4" w:space="0"/>
              <w:bottom w:val="single" w:color="auto" w:sz="4" w:space="0"/>
              <w:right w:val="single" w:color="000000" w:sz="4" w:space="0"/>
            </w:tcBorders>
            <w:noWrap/>
            <w:vAlign w:val="center"/>
          </w:tcPr>
          <w:p w14:paraId="3ECA0488">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基础处理、管道吊装</w:t>
            </w:r>
          </w:p>
        </w:tc>
      </w:tr>
      <w:tr w14:paraId="054680E5">
        <w:tblPrEx>
          <w:tblCellMar>
            <w:top w:w="0" w:type="dxa"/>
            <w:left w:w="108" w:type="dxa"/>
            <w:bottom w:w="0" w:type="dxa"/>
            <w:right w:w="108" w:type="dxa"/>
          </w:tblCellMar>
        </w:tblPrEx>
        <w:trPr>
          <w:trHeight w:val="2335" w:hRule="atLeast"/>
        </w:trPr>
        <w:tc>
          <w:tcPr>
            <w:tcW w:w="1106" w:type="dxa"/>
            <w:tcBorders>
              <w:top w:val="single" w:color="auto" w:sz="4" w:space="0"/>
              <w:left w:val="single" w:color="auto" w:sz="4" w:space="0"/>
              <w:bottom w:val="single" w:color="auto" w:sz="4" w:space="0"/>
              <w:right w:val="single" w:color="auto" w:sz="4" w:space="0"/>
            </w:tcBorders>
            <w:noWrap/>
            <w:vAlign w:val="center"/>
          </w:tcPr>
          <w:p w14:paraId="3E5A33E1">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auto" w:sz="4" w:space="0"/>
              <w:left w:val="single" w:color="auto" w:sz="4" w:space="0"/>
              <w:bottom w:val="single" w:color="auto" w:sz="4" w:space="0"/>
              <w:right w:val="single" w:color="auto" w:sz="4" w:space="0"/>
            </w:tcBorders>
            <w:vAlign w:val="center"/>
          </w:tcPr>
          <w:p w14:paraId="36C4D8D0">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14:paraId="11B3D13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管道焊接，防腐及下管对接</w:t>
            </w:r>
          </w:p>
          <w:p w14:paraId="6DECB534">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14:paraId="747BE66F">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14:paraId="18F7D1A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2.有限空间作业风险</w:t>
            </w:r>
          </w:p>
          <w:p w14:paraId="12E936F7">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3.吊装风险</w:t>
            </w:r>
          </w:p>
          <w:p w14:paraId="7AA983F4">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4.用电及消防风险</w:t>
            </w:r>
          </w:p>
          <w:p w14:paraId="26D4F62D">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1B02FCE3">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14:paraId="320449A9">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□焊工、电工、司索工等特种作业人员必须持证上岗且进行了班前交底教育。</w:t>
            </w:r>
          </w:p>
          <w:p w14:paraId="55C1973D">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□吊装指挥人员持证上岗，现场管控严格执行“十不吊”，特别注意管道吊装过程与围蔽边缘的位置，吊物在需跨过通行车道前须安排人员指挥暂停交通。</w:t>
            </w:r>
          </w:p>
          <w:p w14:paraId="0E2EA65C">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□现场电箱配置严格按照施工临时用电规范要求，检查电箱接地是否牢固，电箱是否有日常检查记录，各级电箱接线是否规范，电线是否破损，电线是否拖地；用电设备在使用前检查是否有故障。</w:t>
            </w:r>
          </w:p>
          <w:p w14:paraId="1C17886E">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□现场使用的气瓶是否有检定在有效期内，是否配置安全阀，各种气体是否存在混放，乙炔气瓶是否按要求离明火及氧气瓶的距离足够。是否用专用架子存放，标识是否清晰，灭火器材是否配备足够。</w:t>
            </w:r>
          </w:p>
          <w:p w14:paraId="57DFE83F">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□焊接位置必须保证无易燃易爆物品，现场不能存放发电机、水泵等使用的柴油。</w:t>
            </w:r>
          </w:p>
          <w:p w14:paraId="7680F2E5">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□有限空间作业必须严格按照规范要求，提前打开通风井通风，未经作业审批、通风、检测合格，未配备防护设施及监护人员，不得进入管道内作业。</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75AAAADF">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14:paraId="25903AD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1.基础换填</w:t>
            </w:r>
          </w:p>
          <w:p w14:paraId="2040F44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2.管道卸车、吊装</w:t>
            </w:r>
          </w:p>
          <w:p w14:paraId="222246D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3.管道基础垫层</w:t>
            </w:r>
          </w:p>
          <w:p w14:paraId="23423C30">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14:paraId="7EBA80C3">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14:paraId="788DBFE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2.吊装风险</w:t>
            </w:r>
          </w:p>
          <w:p w14:paraId="44D9AB8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3.基坑风险</w:t>
            </w:r>
          </w:p>
          <w:p w14:paraId="5C30D2DD">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63312B6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14:paraId="6FB5414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□吊装指挥司索工持证上岗，现场管控严格执行“十不吊”，特别注意管道吊装过程与围蔽边缘的位置，吊物在需跨过通行车道前须安排人员指挥暂停交通。</w:t>
            </w:r>
          </w:p>
          <w:p w14:paraId="512893C4">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□按要求做好管坑支护，未进行支护前禁止安排人员下管坑作业。</w:t>
            </w:r>
          </w:p>
        </w:tc>
      </w:tr>
      <w:tr w14:paraId="5422C255">
        <w:tblPrEx>
          <w:tblCellMar>
            <w:top w:w="0" w:type="dxa"/>
            <w:left w:w="108" w:type="dxa"/>
            <w:bottom w:w="0" w:type="dxa"/>
            <w:right w:w="108" w:type="dxa"/>
          </w:tblCellMar>
        </w:tblPrEx>
        <w:trPr>
          <w:trHeight w:val="2657" w:hRule="atLeast"/>
        </w:trPr>
        <w:tc>
          <w:tcPr>
            <w:tcW w:w="1106" w:type="dxa"/>
            <w:tcBorders>
              <w:top w:val="single" w:color="auto" w:sz="4" w:space="0"/>
              <w:left w:val="single" w:color="000000" w:sz="4" w:space="0"/>
              <w:bottom w:val="single" w:color="000000" w:sz="4" w:space="0"/>
              <w:right w:val="single" w:color="000000" w:sz="4" w:space="0"/>
            </w:tcBorders>
            <w:noWrap/>
            <w:vAlign w:val="center"/>
          </w:tcPr>
          <w:p w14:paraId="214B70E5">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auto" w:sz="4" w:space="0"/>
              <w:left w:val="single" w:color="000000" w:sz="4" w:space="0"/>
              <w:bottom w:val="single" w:color="000000" w:sz="4" w:space="0"/>
              <w:right w:val="single" w:color="000000" w:sz="4" w:space="0"/>
            </w:tcBorders>
            <w:vAlign w:val="center"/>
          </w:tcPr>
          <w:p w14:paraId="62F9226D">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汽车吊、焊机、抽风机</w:t>
            </w:r>
          </w:p>
          <w:p w14:paraId="7230EDD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风险点：吊具老化故障风险，汽车吊吊运前支脚未固定导致倾倒风险，焊机故障风险，风机故障风险。</w:t>
            </w:r>
          </w:p>
          <w:p w14:paraId="41D2E5AD">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7F727AD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□定时检查吊具，出现老化破损的吊索必须进行更换。</w:t>
            </w:r>
          </w:p>
          <w:p w14:paraId="16F6A2B3">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□吊运前检查必须固定支脚后方可作业。</w:t>
            </w:r>
          </w:p>
          <w:p w14:paraId="00614F7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□定时检查焊机，保障设备安全。</w:t>
            </w:r>
          </w:p>
          <w:p w14:paraId="1D28E4E8">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□消防设施齐全。</w:t>
            </w:r>
          </w:p>
        </w:tc>
        <w:tc>
          <w:tcPr>
            <w:tcW w:w="3731" w:type="dxa"/>
            <w:gridSpan w:val="2"/>
            <w:tcBorders>
              <w:top w:val="single" w:color="auto" w:sz="4" w:space="0"/>
              <w:left w:val="single" w:color="000000" w:sz="4" w:space="0"/>
              <w:bottom w:val="single" w:color="000000" w:sz="4" w:space="0"/>
              <w:right w:val="single" w:color="000000" w:sz="4" w:space="0"/>
            </w:tcBorders>
            <w:vAlign w:val="center"/>
          </w:tcPr>
          <w:p w14:paraId="63553ADA">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汽车吊、挖掘机</w:t>
            </w:r>
          </w:p>
          <w:p w14:paraId="7489B3D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风险点：吊具老化故障风险，汽车吊吊运前支脚未固定导致倾倒风险，土方开挖时挖掘机操作不当倾倒风险。</w:t>
            </w:r>
          </w:p>
          <w:p w14:paraId="0890EF50">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0321743D">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□定时检查吊具，出现老化破损的吊索必须进行更换。</w:t>
            </w:r>
          </w:p>
          <w:p w14:paraId="1954A522">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□吊运前检查必须固定支脚后方可作业。</w:t>
            </w:r>
          </w:p>
          <w:p w14:paraId="42B14573">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□挖掘机司机须严格按照要求进行开挖，不得冒险作业，现场施工人员进行指挥，无指挥不得作业。</w:t>
            </w:r>
          </w:p>
        </w:tc>
      </w:tr>
      <w:tr w14:paraId="54F995C7">
        <w:tblPrEx>
          <w:tblCellMar>
            <w:top w:w="0" w:type="dxa"/>
            <w:left w:w="108" w:type="dxa"/>
            <w:bottom w:w="0" w:type="dxa"/>
            <w:right w:w="108" w:type="dxa"/>
          </w:tblCellMar>
        </w:tblPrEx>
        <w:trPr>
          <w:trHeight w:val="3402"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1F57181D">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035D3D9F">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钢管、防腐涂料、纤维布等</w:t>
            </w:r>
          </w:p>
          <w:p w14:paraId="4A0FB64F">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风险点：钢管吊运过程产生的碰撞风险；防腐涂敷时烫伤风险；焊口打磨时火花飞溅风险</w:t>
            </w:r>
          </w:p>
          <w:p w14:paraId="71CF0876">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6E53CC6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□安排人员负责在吊运时进行指挥，在围蔽边缘作业时注意交通安全。</w:t>
            </w:r>
          </w:p>
          <w:p w14:paraId="10B23278">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□吊管下管坑时必须保证管坑内无人员作业。</w:t>
            </w:r>
          </w:p>
          <w:p w14:paraId="5FDEA4BE">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□专人监护防腐作业，作业人员佩戴好防护手套，采用工具涂敷。</w:t>
            </w:r>
          </w:p>
          <w:p w14:paraId="0E669B73">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□专人监护，作业人员佩戴好护目镜，火花朝向安全区域，适时遮挡，周围无易燃易爆物品，灭火器材充足。</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561F5B6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钢管</w:t>
            </w:r>
          </w:p>
          <w:p w14:paraId="7974274E">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风险点：钢管卸车落地时未进行保护及固定导致钢管滚动、土方材料堆放不稳、坑边堆载。</w:t>
            </w:r>
          </w:p>
          <w:p w14:paraId="3C569D9C">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4CEC40FB">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□安排人员负责在卸管时进行指挥，并在钢管下地前铺垫木方及木楔进行保护及固定，防止钢管破话及滚动。</w:t>
            </w:r>
          </w:p>
          <w:p w14:paraId="11B2A07D">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土方材料</w:t>
            </w:r>
          </w:p>
          <w:p w14:paraId="5894090C">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□回填料质量把控，运送入基坑时均匀有序。</w:t>
            </w:r>
          </w:p>
          <w:p w14:paraId="2F8D1264">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□严禁超高堆载及坑边重力堆载。</w:t>
            </w:r>
          </w:p>
        </w:tc>
      </w:tr>
      <w:tr w14:paraId="2270D091">
        <w:tblPrEx>
          <w:tblCellMar>
            <w:top w:w="0" w:type="dxa"/>
            <w:left w:w="108" w:type="dxa"/>
            <w:bottom w:w="0" w:type="dxa"/>
            <w:right w:w="108" w:type="dxa"/>
          </w:tblCellMar>
        </w:tblPrEx>
        <w:trPr>
          <w:trHeight w:val="2220"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25EE4E3F">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04A92A6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□制定有限空间作业专项方案，现场落实有限空间作业审批制度；编制临时用电专项安全方案，现场进行检查落实，保障用电安全。</w:t>
            </w:r>
          </w:p>
          <w:p w14:paraId="57C683C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□动火方案、消防方案。</w:t>
            </w:r>
          </w:p>
          <w:p w14:paraId="7D32527E">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□配备气体检测仪器，做好气体检测。</w:t>
            </w:r>
          </w:p>
          <w:p w14:paraId="5D9DC90E">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□编制应急演练方案，定期演练。</w:t>
            </w:r>
          </w:p>
          <w:p w14:paraId="6FD6BD20">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1D6A8FC4">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□编制吊装安全专项方案，落实吊装作业安全措施。</w:t>
            </w:r>
          </w:p>
          <w:p w14:paraId="089D231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□管道施工技术方案。</w:t>
            </w:r>
          </w:p>
          <w:p w14:paraId="435A3392">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14:paraId="77F3E73E">
        <w:tblPrEx>
          <w:tblCellMar>
            <w:top w:w="0" w:type="dxa"/>
            <w:left w:w="108" w:type="dxa"/>
            <w:bottom w:w="0" w:type="dxa"/>
            <w:right w:w="108" w:type="dxa"/>
          </w:tblCellMar>
        </w:tblPrEx>
        <w:trPr>
          <w:trHeight w:val="138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14:paraId="544C19BE">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000000" w:sz="8" w:space="0"/>
              <w:right w:val="single" w:color="000000" w:sz="4" w:space="0"/>
            </w:tcBorders>
            <w:vAlign w:val="center"/>
          </w:tcPr>
          <w:p w14:paraId="13973A2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14:paraId="50B5AF9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□基坑影响范围巡视（含基坑监测）。</w:t>
            </w:r>
          </w:p>
          <w:p w14:paraId="725C15B0">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c>
          <w:tcPr>
            <w:tcW w:w="3731" w:type="dxa"/>
            <w:gridSpan w:val="2"/>
            <w:tcBorders>
              <w:top w:val="single" w:color="000000" w:sz="4" w:space="0"/>
              <w:left w:val="single" w:color="000000" w:sz="4" w:space="0"/>
              <w:bottom w:val="single" w:color="000000" w:sz="8" w:space="0"/>
              <w:right w:val="single" w:color="000000" w:sz="4" w:space="0"/>
            </w:tcBorders>
            <w:vAlign w:val="center"/>
          </w:tcPr>
          <w:p w14:paraId="71C91F0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14:paraId="3B462374">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□基坑影响范围巡视（含基坑监测）。</w:t>
            </w:r>
          </w:p>
          <w:p w14:paraId="3181D03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14:paraId="3EF3A66D">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14:paraId="47B8D42C">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14:paraId="40388D2D">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14:paraId="219A46A7">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000000" w:sz="4" w:space="0"/>
            </w:tcBorders>
            <w:noWrap/>
            <w:vAlign w:val="center"/>
          </w:tcPr>
          <w:p w14:paraId="4985396F">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T5（03：30-05：00）</w:t>
            </w:r>
          </w:p>
        </w:tc>
        <w:tc>
          <w:tcPr>
            <w:tcW w:w="3731" w:type="dxa"/>
            <w:gridSpan w:val="2"/>
            <w:tcBorders>
              <w:top w:val="nil"/>
              <w:left w:val="single" w:color="000000" w:sz="4" w:space="0"/>
              <w:bottom w:val="single" w:color="000000" w:sz="4" w:space="0"/>
              <w:right w:val="single" w:color="000000" w:sz="4" w:space="0"/>
            </w:tcBorders>
            <w:noWrap/>
            <w:vAlign w:val="center"/>
          </w:tcPr>
          <w:p w14:paraId="36C47CD0">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T6（05：00-06：00）</w:t>
            </w:r>
          </w:p>
        </w:tc>
      </w:tr>
      <w:tr w14:paraId="0D5F6809">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14:paraId="19EA647B">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000000" w:sz="4" w:space="0"/>
            </w:tcBorders>
            <w:noWrap/>
            <w:vAlign w:val="center"/>
          </w:tcPr>
          <w:p w14:paraId="538C30A3">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管坑回填、路面修复</w:t>
            </w:r>
          </w:p>
        </w:tc>
        <w:tc>
          <w:tcPr>
            <w:tcW w:w="3731" w:type="dxa"/>
            <w:gridSpan w:val="2"/>
            <w:tcBorders>
              <w:top w:val="single" w:color="000000" w:sz="4" w:space="0"/>
              <w:left w:val="single" w:color="000000" w:sz="4" w:space="0"/>
              <w:bottom w:val="single" w:color="000000" w:sz="4" w:space="0"/>
              <w:right w:val="single" w:color="000000" w:sz="4" w:space="0"/>
            </w:tcBorders>
            <w:noWrap/>
            <w:vAlign w:val="center"/>
          </w:tcPr>
          <w:p w14:paraId="5BD28703">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路面冲洗、恢复交通</w:t>
            </w:r>
          </w:p>
        </w:tc>
      </w:tr>
      <w:tr w14:paraId="388EF40C">
        <w:tblPrEx>
          <w:tblCellMar>
            <w:top w:w="0" w:type="dxa"/>
            <w:left w:w="108" w:type="dxa"/>
            <w:bottom w:w="0" w:type="dxa"/>
            <w:right w:w="108" w:type="dxa"/>
          </w:tblCellMar>
        </w:tblPrEx>
        <w:trPr>
          <w:trHeight w:val="4181" w:hRule="atLeast"/>
        </w:trPr>
        <w:tc>
          <w:tcPr>
            <w:tcW w:w="1106" w:type="dxa"/>
            <w:tcBorders>
              <w:top w:val="single" w:color="000000" w:sz="4" w:space="0"/>
              <w:left w:val="single" w:color="000000" w:sz="4" w:space="0"/>
              <w:bottom w:val="nil"/>
              <w:right w:val="single" w:color="000000" w:sz="4" w:space="0"/>
            </w:tcBorders>
            <w:noWrap/>
            <w:vAlign w:val="center"/>
          </w:tcPr>
          <w:p w14:paraId="26A786F6">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nil"/>
              <w:right w:val="single" w:color="000000" w:sz="4" w:space="0"/>
            </w:tcBorders>
            <w:vAlign w:val="center"/>
          </w:tcPr>
          <w:p w14:paraId="1B35FE3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14:paraId="32C38599">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1.沟槽回填、分层压实</w:t>
            </w:r>
          </w:p>
          <w:p w14:paraId="6FECD09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2.沥青铺摊压实</w:t>
            </w:r>
          </w:p>
          <w:p w14:paraId="20A1758A">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14:paraId="7791C52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14:paraId="43DA24F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2.机械设备风险</w:t>
            </w:r>
          </w:p>
          <w:p w14:paraId="3EB567F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3.临时修复路面质量风险</w:t>
            </w:r>
          </w:p>
          <w:p w14:paraId="6F05163C">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1A9D7375">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□交疏人员合理配置、设施摆放合理、警示标志足够且有效。</w:t>
            </w:r>
          </w:p>
          <w:p w14:paraId="751ACDF8">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□合理安排现场机械，并保证有专人指挥。</w:t>
            </w:r>
          </w:p>
          <w:p w14:paraId="0304F3DC">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□专人指挥压实作业，检查回填材料质量，保证压实度；沥青摊铺保证摊铺厚度及沥青料的质量；对于压路机无法压实的井口等位置，采用人工蛙夯等压实。</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68A0C54F">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施工班组及交疏人员：</w:t>
            </w:r>
          </w:p>
          <w:p w14:paraId="5E96CAA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沥青冷却后进行冲洗、冲洗完毕后对围蔽进行拆除、人员撤离</w:t>
            </w:r>
          </w:p>
          <w:p w14:paraId="541B0474">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w:t>
            </w:r>
          </w:p>
          <w:p w14:paraId="0777CA5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1.交通车辆风险</w:t>
            </w:r>
          </w:p>
          <w:p w14:paraId="74BFA7AF">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67295D44">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□交疏人员及设施按规范要求进行拆除撤离，场内施工人员及机械设备撤场后，交疏及设施方最后撤离。</w:t>
            </w:r>
          </w:p>
          <w:p w14:paraId="4A2CBC80">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□必须留足至少20分钟的沥青冷却时间，才能进行路面冲洗，防止沥青过快冷却强度降低引起路面问题。</w:t>
            </w:r>
          </w:p>
        </w:tc>
      </w:tr>
      <w:tr w14:paraId="723401F3">
        <w:tblPrEx>
          <w:tblCellMar>
            <w:top w:w="0" w:type="dxa"/>
            <w:left w:w="108" w:type="dxa"/>
            <w:bottom w:w="0" w:type="dxa"/>
            <w:right w:w="108" w:type="dxa"/>
          </w:tblCellMar>
        </w:tblPrEx>
        <w:trPr>
          <w:trHeight w:val="1588"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7CB98512">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664EC18A">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压路机</w:t>
            </w:r>
          </w:p>
          <w:p w14:paraId="5783B98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风险点：操作不当引发的交通风险及倾倒风险。</w:t>
            </w:r>
          </w:p>
          <w:p w14:paraId="4881547A">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126556E4">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□教育压路机驾驶员按操作规范作业，施工员进行指挥。</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0B289DFC">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洒水车、交疏车辆</w:t>
            </w:r>
          </w:p>
          <w:p w14:paraId="5A9EA00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风险点：操作不当、故障引发的交通风险。</w:t>
            </w:r>
          </w:p>
          <w:p w14:paraId="207798E5">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7156C421">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□教育驾驶员按操作规范作业；定期维修保养，保证设备正常运作。</w:t>
            </w:r>
          </w:p>
        </w:tc>
      </w:tr>
      <w:tr w14:paraId="370A76F6">
        <w:tblPrEx>
          <w:tblCellMar>
            <w:top w:w="0" w:type="dxa"/>
            <w:left w:w="108" w:type="dxa"/>
            <w:bottom w:w="0" w:type="dxa"/>
            <w:right w:w="108" w:type="dxa"/>
          </w:tblCellMar>
        </w:tblPrEx>
        <w:trPr>
          <w:trHeight w:val="1954"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7794CBBE">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4AE76671">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石屑、水泥、碎石、沥青</w:t>
            </w:r>
          </w:p>
          <w:p w14:paraId="743F9E3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风险点：材料质量不达标引起的临时路面质量风险</w:t>
            </w:r>
          </w:p>
          <w:p w14:paraId="2B3C5B51">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4EC86F1E">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□材料入场前进行报审检查合格证，对进场材料进行抽检，现场材料不符合标准的及时更换；管道两侧均匀对称回填。</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7D8C8A70">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□通车前，全面排查路面是否散落石子、块料、钢板等，及时清场。</w:t>
            </w:r>
          </w:p>
        </w:tc>
      </w:tr>
      <w:tr w14:paraId="27A007CC">
        <w:tblPrEx>
          <w:tblCellMar>
            <w:top w:w="0" w:type="dxa"/>
            <w:left w:w="108" w:type="dxa"/>
            <w:bottom w:w="0" w:type="dxa"/>
            <w:right w:w="108" w:type="dxa"/>
          </w:tblCellMar>
        </w:tblPrEx>
        <w:trPr>
          <w:trHeight w:val="1936" w:hRule="atLeast"/>
        </w:trPr>
        <w:tc>
          <w:tcPr>
            <w:tcW w:w="1106" w:type="dxa"/>
            <w:tcBorders>
              <w:top w:val="single" w:color="000000" w:sz="4" w:space="0"/>
              <w:left w:val="single" w:color="000000" w:sz="4" w:space="0"/>
              <w:bottom w:val="single" w:color="000000" w:sz="4" w:space="0"/>
              <w:right w:val="single" w:color="000000" w:sz="4" w:space="0"/>
            </w:tcBorders>
            <w:noWrap/>
            <w:vAlign w:val="center"/>
          </w:tcPr>
          <w:p w14:paraId="4D11B98A">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000000" w:sz="4" w:space="0"/>
            </w:tcBorders>
            <w:vAlign w:val="center"/>
          </w:tcPr>
          <w:p w14:paraId="478C2CE5">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地面沉降风险：变形、结构破坏、沉降、路面开裂、空洞。</w:t>
            </w:r>
          </w:p>
          <w:p w14:paraId="0AAC8AB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□进行压实度的检测。</w:t>
            </w:r>
          </w:p>
          <w:p w14:paraId="4CD0F496">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□做好日常路面巡查措施，做好日常维护，把控基坑回填及沥青路面摊铺质量。</w:t>
            </w:r>
          </w:p>
          <w:p w14:paraId="394F90D4">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4AA91F13">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□先人工清扫，后冲洗，注意冲洗压力、时间、接缝位置。</w:t>
            </w:r>
          </w:p>
          <w:p w14:paraId="3D0ED42F">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r>
      <w:tr w14:paraId="5F2CD608">
        <w:tblPrEx>
          <w:tblCellMar>
            <w:top w:w="0" w:type="dxa"/>
            <w:left w:w="108" w:type="dxa"/>
            <w:bottom w:w="0" w:type="dxa"/>
            <w:right w:w="108" w:type="dxa"/>
          </w:tblCellMar>
        </w:tblPrEx>
        <w:trPr>
          <w:trHeight w:val="1462" w:hRule="atLeast"/>
        </w:trPr>
        <w:tc>
          <w:tcPr>
            <w:tcW w:w="1106" w:type="dxa"/>
            <w:tcBorders>
              <w:top w:val="single" w:color="000000" w:sz="4" w:space="0"/>
              <w:left w:val="single" w:color="000000" w:sz="4" w:space="0"/>
              <w:bottom w:val="single" w:color="000000" w:sz="8" w:space="0"/>
              <w:right w:val="single" w:color="000000" w:sz="4" w:space="0"/>
            </w:tcBorders>
            <w:noWrap/>
            <w:vAlign w:val="center"/>
          </w:tcPr>
          <w:p w14:paraId="4E41E36D">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000000" w:sz="8" w:space="0"/>
              <w:right w:val="single" w:color="000000" w:sz="4" w:space="0"/>
            </w:tcBorders>
            <w:vAlign w:val="center"/>
          </w:tcPr>
          <w:p w14:paraId="2C98475D">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14:paraId="6E24C5A8">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□架空线、电车线、桥墩、人行天桥、绿化带等安全距离。</w:t>
            </w:r>
          </w:p>
          <w:p w14:paraId="337B557B">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c>
          <w:tcPr>
            <w:tcW w:w="3731" w:type="dxa"/>
            <w:gridSpan w:val="2"/>
            <w:tcBorders>
              <w:top w:val="single" w:color="000000" w:sz="4" w:space="0"/>
              <w:left w:val="single" w:color="000000" w:sz="4" w:space="0"/>
              <w:bottom w:val="single" w:color="auto" w:sz="4" w:space="0"/>
              <w:right w:val="single" w:color="000000" w:sz="4" w:space="0"/>
            </w:tcBorders>
            <w:vAlign w:val="center"/>
          </w:tcPr>
          <w:p w14:paraId="29D1DA39">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□施工照明充足。</w:t>
            </w:r>
          </w:p>
          <w:p w14:paraId="7A96B75C">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□施工照明灯光源扰民。</w:t>
            </w:r>
          </w:p>
        </w:tc>
      </w:tr>
      <w:tr w14:paraId="0C403090">
        <w:tblPrEx>
          <w:tblCellMar>
            <w:top w:w="0" w:type="dxa"/>
            <w:left w:w="108" w:type="dxa"/>
            <w:bottom w:w="0" w:type="dxa"/>
            <w:right w:w="108" w:type="dxa"/>
          </w:tblCellMar>
        </w:tblPrEx>
        <w:trPr>
          <w:trHeight w:val="436" w:hRule="atLeast"/>
        </w:trPr>
        <w:tc>
          <w:tcPr>
            <w:tcW w:w="1106" w:type="dxa"/>
            <w:vMerge w:val="restart"/>
            <w:tcBorders>
              <w:top w:val="nil"/>
              <w:left w:val="single" w:color="000000" w:sz="4" w:space="0"/>
              <w:bottom w:val="single" w:color="000000" w:sz="4" w:space="0"/>
              <w:right w:val="single" w:color="000000" w:sz="4" w:space="0"/>
              <w:tl2br w:val="single" w:color="000000" w:sz="4" w:space="0"/>
            </w:tcBorders>
          </w:tcPr>
          <w:p w14:paraId="729F2D23">
            <w:pPr>
              <w:widowControl/>
              <w:jc w:val="left"/>
              <w:textAlignment w:val="top"/>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 xml:space="preserve">  工序时间</w:t>
            </w:r>
          </w:p>
          <w:p w14:paraId="6AD206C9">
            <w:pPr>
              <w:widowControl/>
              <w:jc w:val="left"/>
              <w:textAlignment w:val="top"/>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 xml:space="preserve">             要素                </w:t>
            </w:r>
          </w:p>
        </w:tc>
        <w:tc>
          <w:tcPr>
            <w:tcW w:w="4669" w:type="dxa"/>
            <w:gridSpan w:val="3"/>
            <w:tcBorders>
              <w:top w:val="nil"/>
              <w:left w:val="single" w:color="000000" w:sz="4" w:space="0"/>
              <w:bottom w:val="single" w:color="000000" w:sz="4" w:space="0"/>
              <w:right w:val="single" w:color="auto" w:sz="4" w:space="0"/>
            </w:tcBorders>
            <w:noWrap/>
            <w:vAlign w:val="center"/>
          </w:tcPr>
          <w:p w14:paraId="148ADCC6">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T7（06：00-08：00）</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50721F50">
            <w:pPr>
              <w:rPr>
                <w:rFonts w:ascii="微软雅黑" w:hAnsi="微软雅黑" w:eastAsia="微软雅黑" w:cs="微软雅黑"/>
                <w:color w:val="auto"/>
                <w:sz w:val="16"/>
                <w:szCs w:val="16"/>
                <w:highlight w:val="none"/>
              </w:rPr>
            </w:pPr>
          </w:p>
        </w:tc>
      </w:tr>
      <w:tr w14:paraId="2982396D">
        <w:tblPrEx>
          <w:tblCellMar>
            <w:top w:w="0" w:type="dxa"/>
            <w:left w:w="108" w:type="dxa"/>
            <w:bottom w:w="0" w:type="dxa"/>
            <w:right w:w="108" w:type="dxa"/>
          </w:tblCellMar>
        </w:tblPrEx>
        <w:trPr>
          <w:trHeight w:val="439" w:hRule="atLeast"/>
        </w:trPr>
        <w:tc>
          <w:tcPr>
            <w:tcW w:w="1106" w:type="dxa"/>
            <w:vMerge w:val="continue"/>
            <w:tcBorders>
              <w:top w:val="nil"/>
              <w:left w:val="single" w:color="000000" w:sz="4" w:space="0"/>
              <w:bottom w:val="single" w:color="000000" w:sz="4" w:space="0"/>
              <w:right w:val="single" w:color="000000" w:sz="4" w:space="0"/>
              <w:tl2br w:val="single" w:color="000000" w:sz="4" w:space="0"/>
            </w:tcBorders>
          </w:tcPr>
          <w:p w14:paraId="19562C8B">
            <w:pPr>
              <w:jc w:val="left"/>
              <w:rPr>
                <w:rFonts w:ascii="微软雅黑" w:hAnsi="微软雅黑" w:eastAsia="微软雅黑" w:cs="微软雅黑"/>
                <w:color w:val="auto"/>
                <w:sz w:val="16"/>
                <w:szCs w:val="16"/>
                <w:highlight w:val="none"/>
              </w:rPr>
            </w:pPr>
          </w:p>
        </w:tc>
        <w:tc>
          <w:tcPr>
            <w:tcW w:w="4669" w:type="dxa"/>
            <w:gridSpan w:val="3"/>
            <w:tcBorders>
              <w:top w:val="single" w:color="000000" w:sz="4" w:space="0"/>
              <w:left w:val="single" w:color="000000" w:sz="4" w:space="0"/>
              <w:bottom w:val="single" w:color="000000" w:sz="4" w:space="0"/>
              <w:right w:val="single" w:color="auto" w:sz="4" w:space="0"/>
            </w:tcBorders>
            <w:noWrap/>
            <w:vAlign w:val="center"/>
          </w:tcPr>
          <w:p w14:paraId="2FBB4F05">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路面巡查及应急抢险</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5057B248">
            <w:pPr>
              <w:rPr>
                <w:rFonts w:ascii="微软雅黑" w:hAnsi="微软雅黑" w:eastAsia="微软雅黑" w:cs="微软雅黑"/>
                <w:color w:val="auto"/>
                <w:sz w:val="16"/>
                <w:szCs w:val="16"/>
                <w:highlight w:val="none"/>
              </w:rPr>
            </w:pPr>
          </w:p>
        </w:tc>
      </w:tr>
      <w:tr w14:paraId="32F63358">
        <w:tblPrEx>
          <w:tblCellMar>
            <w:top w:w="0" w:type="dxa"/>
            <w:left w:w="108" w:type="dxa"/>
            <w:bottom w:w="0" w:type="dxa"/>
            <w:right w:w="108" w:type="dxa"/>
          </w:tblCellMar>
        </w:tblPrEx>
        <w:trPr>
          <w:trHeight w:val="3009" w:hRule="atLeast"/>
        </w:trPr>
        <w:tc>
          <w:tcPr>
            <w:tcW w:w="1106" w:type="dxa"/>
            <w:tcBorders>
              <w:top w:val="single" w:color="000000" w:sz="4" w:space="0"/>
              <w:left w:val="single" w:color="000000" w:sz="4" w:space="0"/>
              <w:bottom w:val="single" w:color="auto" w:sz="4" w:space="0"/>
              <w:right w:val="single" w:color="000000" w:sz="4" w:space="0"/>
            </w:tcBorders>
            <w:noWrap/>
            <w:vAlign w:val="center"/>
          </w:tcPr>
          <w:p w14:paraId="3B4C8A1B">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人</w:t>
            </w:r>
          </w:p>
        </w:tc>
        <w:tc>
          <w:tcPr>
            <w:tcW w:w="4669" w:type="dxa"/>
            <w:gridSpan w:val="3"/>
            <w:tcBorders>
              <w:top w:val="single" w:color="000000" w:sz="4" w:space="0"/>
              <w:left w:val="single" w:color="000000" w:sz="4" w:space="0"/>
              <w:bottom w:val="single" w:color="auto" w:sz="4" w:space="0"/>
              <w:right w:val="single" w:color="auto" w:sz="4" w:space="0"/>
            </w:tcBorders>
            <w:vAlign w:val="center"/>
          </w:tcPr>
          <w:p w14:paraId="55C6ECEB">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路面巡查人员及应急抢险人员：对新修复的临时路面进行巡查，出现路面问题时进行路面问题抢修</w:t>
            </w:r>
          </w:p>
          <w:p w14:paraId="2CB034E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1.交通安全风险</w:t>
            </w:r>
          </w:p>
          <w:p w14:paraId="381B40A6">
            <w:pPr>
              <w:widowControl/>
              <w:jc w:val="left"/>
              <w:textAlignment w:val="center"/>
              <w:rPr>
                <w:rFonts w:ascii="微软雅黑" w:hAnsi="微软雅黑" w:eastAsia="微软雅黑" w:cs="微软雅黑"/>
                <w:b/>
                <w:bCs/>
                <w:color w:val="auto"/>
                <w:kern w:val="0"/>
                <w:sz w:val="16"/>
                <w:szCs w:val="16"/>
                <w:highlight w:val="none"/>
                <w:lang w:bidi="ar"/>
              </w:rPr>
            </w:pPr>
            <w:r>
              <w:rPr>
                <w:rFonts w:hint="eastAsia" w:ascii="微软雅黑" w:hAnsi="微软雅黑" w:eastAsia="微软雅黑" w:cs="微软雅黑"/>
                <w:b/>
                <w:bCs/>
                <w:color w:val="auto"/>
                <w:kern w:val="0"/>
                <w:sz w:val="16"/>
                <w:szCs w:val="16"/>
                <w:highlight w:val="none"/>
                <w:lang w:bidi="ar"/>
              </w:rPr>
              <w:t>管控要点：</w:t>
            </w:r>
          </w:p>
          <w:p w14:paraId="0E15E531">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□第一时间汇报并与交警部门报备。</w:t>
            </w:r>
          </w:p>
          <w:p w14:paraId="01C385EF">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□围蔽设施摆放合理、警示标志足够且有效。</w:t>
            </w:r>
          </w:p>
          <w:p w14:paraId="735324E7">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□及时与交警部门沟通，进行有效交通疏导。</w:t>
            </w:r>
          </w:p>
          <w:p w14:paraId="06E91E20">
            <w:pPr>
              <w:widowControl/>
              <w:jc w:val="left"/>
              <w:textAlignment w:val="center"/>
              <w:rPr>
                <w:rFonts w:hint="default" w:ascii="Calibri" w:hAnsi="Calibri" w:cs="Times New Roman"/>
                <w:color w:val="auto"/>
                <w:szCs w:val="21"/>
                <w:highlight w:val="none"/>
                <w:lang w:bidi="ar"/>
              </w:rPr>
            </w:pPr>
            <w:r>
              <w:rPr>
                <w:rFonts w:hint="default" w:ascii="微软雅黑" w:hAnsi="微软雅黑" w:eastAsia="微软雅黑" w:cs="微软雅黑"/>
                <w:color w:val="auto"/>
                <w:sz w:val="16"/>
                <w:szCs w:val="16"/>
                <w:highlight w:val="none"/>
                <w:u w:val="none"/>
                <w:lang w:bidi="ar"/>
              </w:rPr>
              <w:t>□抢修人员及物资配备充足，物资存放点合理，较短时间内能快速反应及有效修复。</w:t>
            </w:r>
          </w:p>
          <w:p w14:paraId="3A64E1A4">
            <w:pPr>
              <w:widowControl/>
              <w:jc w:val="left"/>
              <w:textAlignment w:val="center"/>
              <w:rPr>
                <w:rFonts w:ascii="微软雅黑" w:hAnsi="微软雅黑" w:eastAsia="微软雅黑" w:cs="微软雅黑"/>
                <w:color w:val="auto"/>
                <w:sz w:val="16"/>
                <w:szCs w:val="16"/>
                <w:highlight w:val="none"/>
              </w:rPr>
            </w:pPr>
            <w:r>
              <w:rPr>
                <w:rFonts w:hint="default" w:ascii="微软雅黑" w:hAnsi="微软雅黑" w:eastAsia="微软雅黑" w:cs="微软雅黑"/>
                <w:color w:val="auto"/>
                <w:sz w:val="16"/>
                <w:szCs w:val="16"/>
                <w:highlight w:val="none"/>
                <w:u w:val="none"/>
                <w:lang w:bidi="ar"/>
              </w:rPr>
              <w:t>□专人巡查，抢修位置专人监视。</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6B70864E">
            <w:pPr>
              <w:rPr>
                <w:rFonts w:ascii="微软雅黑" w:hAnsi="微软雅黑" w:eastAsia="微软雅黑" w:cs="微软雅黑"/>
                <w:color w:val="auto"/>
                <w:sz w:val="16"/>
                <w:szCs w:val="16"/>
                <w:highlight w:val="none"/>
              </w:rPr>
            </w:pPr>
          </w:p>
        </w:tc>
      </w:tr>
      <w:tr w14:paraId="2F3D4BB8">
        <w:tblPrEx>
          <w:tblCellMar>
            <w:top w:w="0" w:type="dxa"/>
            <w:left w:w="108" w:type="dxa"/>
            <w:bottom w:w="0" w:type="dxa"/>
            <w:right w:w="108" w:type="dxa"/>
          </w:tblCellMar>
        </w:tblPrEx>
        <w:trPr>
          <w:trHeight w:val="672" w:hRule="atLeast"/>
        </w:trPr>
        <w:tc>
          <w:tcPr>
            <w:tcW w:w="1106" w:type="dxa"/>
            <w:tcBorders>
              <w:top w:val="single" w:color="auto" w:sz="4" w:space="0"/>
              <w:left w:val="single" w:color="auto" w:sz="4" w:space="0"/>
              <w:bottom w:val="single" w:color="000000" w:sz="4" w:space="0"/>
              <w:right w:val="single" w:color="000000" w:sz="4" w:space="0"/>
            </w:tcBorders>
            <w:noWrap/>
            <w:vAlign w:val="center"/>
          </w:tcPr>
          <w:p w14:paraId="1FF7EEDE">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机</w:t>
            </w:r>
          </w:p>
        </w:tc>
        <w:tc>
          <w:tcPr>
            <w:tcW w:w="4669" w:type="dxa"/>
            <w:gridSpan w:val="3"/>
            <w:tcBorders>
              <w:top w:val="single" w:color="auto" w:sz="4" w:space="0"/>
              <w:left w:val="single" w:color="000000" w:sz="4" w:space="0"/>
              <w:bottom w:val="single" w:color="000000" w:sz="4" w:space="0"/>
              <w:right w:val="single" w:color="auto" w:sz="4" w:space="0"/>
            </w:tcBorders>
            <w:vAlign w:val="center"/>
          </w:tcPr>
          <w:p w14:paraId="5F3EBAD6">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配备巡查车辆及应急抢险设备。</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3B753D75">
            <w:pPr>
              <w:rPr>
                <w:rFonts w:ascii="微软雅黑" w:hAnsi="微软雅黑" w:eastAsia="微软雅黑" w:cs="微软雅黑"/>
                <w:color w:val="auto"/>
                <w:sz w:val="16"/>
                <w:szCs w:val="16"/>
                <w:highlight w:val="none"/>
              </w:rPr>
            </w:pPr>
          </w:p>
        </w:tc>
      </w:tr>
      <w:tr w14:paraId="0A5F4E0B">
        <w:tblPrEx>
          <w:tblCellMar>
            <w:top w:w="0" w:type="dxa"/>
            <w:left w:w="108" w:type="dxa"/>
            <w:bottom w:w="0" w:type="dxa"/>
            <w:right w:w="108" w:type="dxa"/>
          </w:tblCellMar>
        </w:tblPrEx>
        <w:trPr>
          <w:trHeight w:val="1005"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14:paraId="6B604E84">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料</w:t>
            </w:r>
          </w:p>
        </w:tc>
        <w:tc>
          <w:tcPr>
            <w:tcW w:w="4669" w:type="dxa"/>
            <w:gridSpan w:val="3"/>
            <w:tcBorders>
              <w:top w:val="single" w:color="000000" w:sz="4" w:space="0"/>
              <w:left w:val="single" w:color="000000" w:sz="4" w:space="0"/>
              <w:bottom w:val="single" w:color="000000" w:sz="4" w:space="0"/>
              <w:right w:val="single" w:color="auto" w:sz="4" w:space="0"/>
            </w:tcBorders>
            <w:vAlign w:val="center"/>
          </w:tcPr>
          <w:p w14:paraId="118332D7">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□在各应急物资存放点，按应急预案要求储备足够的应急物资：沥青冷料、钢板等。</w:t>
            </w:r>
          </w:p>
          <w:p w14:paraId="041A248A">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□使用后及时核查数量与补充。</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38540FC7">
            <w:pPr>
              <w:rPr>
                <w:rFonts w:ascii="微软雅黑" w:hAnsi="微软雅黑" w:eastAsia="微软雅黑" w:cs="微软雅黑"/>
                <w:color w:val="auto"/>
                <w:sz w:val="16"/>
                <w:szCs w:val="16"/>
                <w:highlight w:val="none"/>
              </w:rPr>
            </w:pPr>
          </w:p>
        </w:tc>
      </w:tr>
      <w:tr w14:paraId="1B671614">
        <w:tblPrEx>
          <w:tblCellMar>
            <w:top w:w="0" w:type="dxa"/>
            <w:left w:w="108" w:type="dxa"/>
            <w:bottom w:w="0" w:type="dxa"/>
            <w:right w:w="108" w:type="dxa"/>
          </w:tblCellMar>
        </w:tblPrEx>
        <w:trPr>
          <w:trHeight w:val="921" w:hRule="atLeast"/>
        </w:trPr>
        <w:tc>
          <w:tcPr>
            <w:tcW w:w="1106" w:type="dxa"/>
            <w:tcBorders>
              <w:top w:val="single" w:color="000000" w:sz="4" w:space="0"/>
              <w:left w:val="single" w:color="auto" w:sz="4" w:space="0"/>
              <w:bottom w:val="single" w:color="000000" w:sz="4" w:space="0"/>
              <w:right w:val="single" w:color="000000" w:sz="4" w:space="0"/>
            </w:tcBorders>
            <w:noWrap/>
            <w:vAlign w:val="center"/>
          </w:tcPr>
          <w:p w14:paraId="1A7E9E8B">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法</w:t>
            </w:r>
          </w:p>
        </w:tc>
        <w:tc>
          <w:tcPr>
            <w:tcW w:w="4669" w:type="dxa"/>
            <w:gridSpan w:val="3"/>
            <w:tcBorders>
              <w:top w:val="single" w:color="000000" w:sz="4" w:space="0"/>
              <w:left w:val="single" w:color="000000" w:sz="4" w:space="0"/>
              <w:bottom w:val="single" w:color="000000" w:sz="4" w:space="0"/>
              <w:right w:val="single" w:color="auto" w:sz="4" w:space="0"/>
            </w:tcBorders>
            <w:vAlign w:val="center"/>
          </w:tcPr>
          <w:p w14:paraId="6E39ED25">
            <w:pPr>
              <w:widowControl/>
              <w:jc w:val="left"/>
              <w:textAlignment w:val="center"/>
              <w:rPr>
                <w:rFonts w:ascii="微软雅黑" w:hAnsi="微软雅黑" w:eastAsia="微软雅黑" w:cs="微软雅黑"/>
                <w:color w:val="auto"/>
                <w:kern w:val="0"/>
                <w:sz w:val="16"/>
                <w:szCs w:val="16"/>
                <w:highlight w:val="none"/>
                <w:lang w:bidi="ar"/>
              </w:rPr>
            </w:pPr>
          </w:p>
          <w:p w14:paraId="6B745644">
            <w:pPr>
              <w:widowControl/>
              <w:jc w:val="left"/>
              <w:textAlignment w:val="center"/>
              <w:rPr>
                <w:rFonts w:ascii="微软雅黑" w:hAnsi="微软雅黑" w:eastAsia="微软雅黑" w:cs="微软雅黑"/>
                <w:color w:val="auto"/>
                <w:kern w:val="0"/>
                <w:sz w:val="16"/>
                <w:szCs w:val="16"/>
                <w:highlight w:val="none"/>
                <w:lang w:bidi="ar"/>
              </w:rPr>
            </w:pPr>
            <w:r>
              <w:rPr>
                <w:rFonts w:hint="eastAsia" w:ascii="微软雅黑" w:hAnsi="微软雅黑" w:eastAsia="微软雅黑" w:cs="微软雅黑"/>
                <w:color w:val="auto"/>
                <w:kern w:val="0"/>
                <w:sz w:val="16"/>
                <w:szCs w:val="16"/>
                <w:highlight w:val="none"/>
                <w:lang w:bidi="ar"/>
              </w:rPr>
              <w:t>□编制路面应急预案，交底与演练。</w:t>
            </w:r>
          </w:p>
          <w:p w14:paraId="7E5838C8">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□安全检查、隐患治理。</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22166826">
            <w:pPr>
              <w:rPr>
                <w:rFonts w:ascii="微软雅黑" w:hAnsi="微软雅黑" w:eastAsia="微软雅黑" w:cs="微软雅黑"/>
                <w:color w:val="auto"/>
                <w:sz w:val="16"/>
                <w:szCs w:val="16"/>
                <w:highlight w:val="none"/>
              </w:rPr>
            </w:pPr>
          </w:p>
        </w:tc>
      </w:tr>
      <w:tr w14:paraId="20B05FDB">
        <w:tblPrEx>
          <w:tblCellMar>
            <w:top w:w="0" w:type="dxa"/>
            <w:left w:w="108" w:type="dxa"/>
            <w:bottom w:w="0" w:type="dxa"/>
            <w:right w:w="108" w:type="dxa"/>
          </w:tblCellMar>
        </w:tblPrEx>
        <w:trPr>
          <w:trHeight w:val="763" w:hRule="atLeast"/>
        </w:trPr>
        <w:tc>
          <w:tcPr>
            <w:tcW w:w="1106" w:type="dxa"/>
            <w:tcBorders>
              <w:top w:val="single" w:color="000000" w:sz="4" w:space="0"/>
              <w:left w:val="single" w:color="auto" w:sz="4" w:space="0"/>
              <w:bottom w:val="single" w:color="auto" w:sz="4" w:space="0"/>
              <w:right w:val="single" w:color="000000" w:sz="4" w:space="0"/>
            </w:tcBorders>
            <w:noWrap/>
            <w:vAlign w:val="center"/>
          </w:tcPr>
          <w:p w14:paraId="77B44073">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环</w:t>
            </w:r>
          </w:p>
        </w:tc>
        <w:tc>
          <w:tcPr>
            <w:tcW w:w="4669" w:type="dxa"/>
            <w:gridSpan w:val="3"/>
            <w:tcBorders>
              <w:top w:val="single" w:color="000000" w:sz="4" w:space="0"/>
              <w:left w:val="single" w:color="000000" w:sz="4" w:space="0"/>
              <w:bottom w:val="single" w:color="auto" w:sz="4" w:space="0"/>
              <w:right w:val="single" w:color="auto" w:sz="4" w:space="0"/>
            </w:tcBorders>
            <w:vAlign w:val="center"/>
          </w:tcPr>
          <w:p w14:paraId="1C69C7B4">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kern w:val="0"/>
                <w:sz w:val="16"/>
                <w:szCs w:val="16"/>
                <w:highlight w:val="none"/>
                <w:lang w:bidi="ar"/>
              </w:rPr>
              <w:t>□特殊天气加强巡查频率，抢修位置完成后专人监视。</w:t>
            </w:r>
          </w:p>
        </w:tc>
        <w:tc>
          <w:tcPr>
            <w:tcW w:w="3731" w:type="dxa"/>
            <w:gridSpan w:val="2"/>
            <w:tcBorders>
              <w:top w:val="single" w:color="auto" w:sz="4" w:space="0"/>
              <w:left w:val="single" w:color="auto" w:sz="4" w:space="0"/>
              <w:bottom w:val="single" w:color="auto" w:sz="4" w:space="0"/>
              <w:right w:val="single" w:color="auto" w:sz="4" w:space="0"/>
            </w:tcBorders>
            <w:vAlign w:val="center"/>
          </w:tcPr>
          <w:p w14:paraId="7FC2341A">
            <w:pPr>
              <w:rPr>
                <w:rFonts w:ascii="微软雅黑" w:hAnsi="微软雅黑" w:eastAsia="微软雅黑" w:cs="微软雅黑"/>
                <w:color w:val="auto"/>
                <w:sz w:val="16"/>
                <w:szCs w:val="16"/>
                <w:highlight w:val="none"/>
              </w:rPr>
            </w:pPr>
          </w:p>
        </w:tc>
      </w:tr>
      <w:tr w14:paraId="5367D834">
        <w:tblPrEx>
          <w:tblCellMar>
            <w:top w:w="0" w:type="dxa"/>
            <w:left w:w="108" w:type="dxa"/>
            <w:bottom w:w="0" w:type="dxa"/>
            <w:right w:w="108" w:type="dxa"/>
          </w:tblCellMar>
        </w:tblPrEx>
        <w:trPr>
          <w:trHeight w:val="2016" w:hRule="atLeast"/>
        </w:trPr>
        <w:tc>
          <w:tcPr>
            <w:tcW w:w="9506" w:type="dxa"/>
            <w:gridSpan w:val="6"/>
            <w:tcBorders>
              <w:top w:val="single" w:color="000000" w:sz="8" w:space="0"/>
              <w:left w:val="nil"/>
              <w:bottom w:val="nil"/>
              <w:right w:val="nil"/>
            </w:tcBorders>
            <w:noWrap/>
            <w:vAlign w:val="center"/>
          </w:tcPr>
          <w:p w14:paraId="68D194B5">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检查单位：　　　　　　　　　　监理单位：                       施工单位：                        检查日期：</w:t>
            </w:r>
          </w:p>
        </w:tc>
      </w:tr>
    </w:tbl>
    <w:p w14:paraId="20FBD7F3">
      <w:pPr>
        <w:rPr>
          <w:rFonts w:ascii="Calibri" w:hAnsi="Calibri" w:cs="Calibri"/>
          <w:color w:val="auto"/>
          <w:szCs w:val="21"/>
          <w:highlight w:val="none"/>
        </w:rPr>
      </w:pPr>
    </w:p>
    <w:p w14:paraId="5D20BD9A">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p w14:paraId="76F731F2">
      <w:pPr>
        <w:widowControl w:val="0"/>
        <w:adjustRightInd w:val="0"/>
        <w:spacing w:line="360" w:lineRule="auto"/>
        <w:ind w:left="0" w:leftChars="0" w:firstLine="0" w:firstLineChars="0"/>
        <w:jc w:val="left"/>
        <w:textAlignment w:val="baseline"/>
        <w:outlineLvl w:val="0"/>
        <w:rPr>
          <w:rFonts w:hint="eastAsia" w:ascii="宋体" w:hAnsi="宋体" w:eastAsia="宋体" w:cs="宋体"/>
          <w:b/>
          <w:bCs/>
          <w:color w:val="auto"/>
          <w:kern w:val="2"/>
          <w:sz w:val="22"/>
          <w:szCs w:val="22"/>
          <w:highlight w:val="none"/>
          <w:lang w:val="en-US" w:eastAsia="zh-CN" w:bidi="ar"/>
        </w:rPr>
      </w:pPr>
      <w:permStart w:id="466" w:edGrp="everyone"/>
      <w:r>
        <w:rPr>
          <w:rFonts w:hint="eastAsia" w:ascii="黑体" w:hAnsi="黑体" w:eastAsia="黑体" w:cs="黑体"/>
          <w:b w:val="0"/>
          <w:bCs w:val="0"/>
          <w:color w:val="auto"/>
          <w:kern w:val="2"/>
          <w:sz w:val="24"/>
          <w:szCs w:val="24"/>
          <w:highlight w:val="none"/>
          <w:lang w:val="en-US" w:eastAsia="zh-CN" w:bidi="ar"/>
        </w:rPr>
        <w:t xml:space="preserve">附件13     </w:t>
      </w:r>
      <w:r>
        <w:rPr>
          <w:rFonts w:hint="eastAsia" w:ascii="宋体" w:hAnsi="宋体" w:eastAsia="宋体" w:cs="宋体"/>
          <w:b/>
          <w:bCs/>
          <w:color w:val="auto"/>
          <w:kern w:val="2"/>
          <w:sz w:val="24"/>
          <w:szCs w:val="24"/>
          <w:highlight w:val="none"/>
          <w:lang w:val="en-US" w:eastAsia="zh-CN" w:bidi="ar"/>
        </w:rPr>
        <w:t xml:space="preserve">  </w:t>
      </w:r>
      <w:r>
        <w:rPr>
          <w:rFonts w:hint="eastAsia" w:ascii="宋体" w:hAnsi="宋体" w:eastAsia="宋体" w:cs="宋体"/>
          <w:b/>
          <w:bCs/>
          <w:color w:val="auto"/>
          <w:kern w:val="2"/>
          <w:sz w:val="22"/>
          <w:szCs w:val="22"/>
          <w:highlight w:val="none"/>
          <w:lang w:val="en-US" w:eastAsia="zh-CN" w:bidi="ar"/>
        </w:rPr>
        <w:t xml:space="preserve">           </w:t>
      </w:r>
    </w:p>
    <w:p w14:paraId="4683C0ED">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color w:val="auto"/>
          <w:kern w:val="2"/>
          <w:sz w:val="32"/>
          <w:szCs w:val="32"/>
          <w:highlight w:val="none"/>
          <w:lang w:val="en-US" w:eastAsia="zh-CN" w:bidi="ar"/>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
        </w:rPr>
        <w:t>拟投入的机械设备承诺函</w:t>
      </w:r>
    </w:p>
    <w:p w14:paraId="34610A0F">
      <w:pPr>
        <w:adjustRightInd w:val="0"/>
        <w:snapToGrid w:val="0"/>
        <w:spacing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w:t>
      </w:r>
    </w:p>
    <w:permEnd w:id="466"/>
    <w:p w14:paraId="0733A074">
      <w:pPr>
        <w:rPr>
          <w:rFonts w:hint="eastAsia" w:ascii="黑体" w:hAnsi="黑体" w:eastAsia="黑体" w:cs="黑体"/>
          <w:b w:val="0"/>
          <w:bCs w:val="0"/>
          <w:color w:val="auto"/>
          <w:kern w:val="2"/>
          <w:sz w:val="24"/>
          <w:szCs w:val="24"/>
          <w:highlight w:val="none"/>
          <w:lang w:val="en-US" w:eastAsia="zh-CN" w:bidi="ar"/>
        </w:rPr>
      </w:pPr>
      <w:r>
        <w:rPr>
          <w:rFonts w:hint="eastAsia" w:ascii="宋体" w:hAnsi="宋体" w:cs="宋体"/>
          <w:b/>
          <w:bCs/>
          <w:color w:val="auto"/>
          <w:kern w:val="0"/>
          <w:sz w:val="22"/>
          <w:szCs w:val="22"/>
          <w:highlight w:val="none"/>
        </w:rPr>
        <w:br w:type="page"/>
      </w:r>
      <w:bookmarkEnd w:id="727"/>
      <w:bookmarkEnd w:id="728"/>
      <w:bookmarkEnd w:id="729"/>
      <w:bookmarkStart w:id="735" w:name="_Toc266892928"/>
      <w:bookmarkStart w:id="736" w:name="_Toc469384144"/>
      <w:bookmarkStart w:id="737" w:name="_Toc10624988"/>
    </w:p>
    <w:p w14:paraId="15C6F9C2">
      <w:pPr>
        <w:widowControl w:val="0"/>
        <w:adjustRightInd w:val="0"/>
        <w:spacing w:line="360" w:lineRule="auto"/>
        <w:ind w:left="0" w:leftChars="0" w:firstLine="0" w:firstLineChars="0"/>
        <w:jc w:val="left"/>
        <w:textAlignment w:val="baseline"/>
        <w:outlineLvl w:val="0"/>
        <w:rPr>
          <w:rFonts w:hint="eastAsia" w:ascii="黑体" w:hAnsi="黑体" w:eastAsia="黑体" w:cs="黑体"/>
          <w:b w:val="0"/>
          <w:bCs w:val="0"/>
          <w:strike w:val="0"/>
          <w:color w:val="auto"/>
          <w:kern w:val="2"/>
          <w:sz w:val="24"/>
          <w:szCs w:val="24"/>
          <w:highlight w:val="none"/>
          <w:lang w:val="en-US" w:eastAsia="zh-CN" w:bidi="ar"/>
        </w:rPr>
      </w:pPr>
      <w:permStart w:id="467" w:edGrp="everyone"/>
      <w:r>
        <w:rPr>
          <w:rFonts w:hint="eastAsia" w:ascii="黑体" w:hAnsi="黑体" w:eastAsia="黑体" w:cs="黑体"/>
          <w:b w:val="0"/>
          <w:bCs w:val="0"/>
          <w:strike w:val="0"/>
          <w:color w:val="auto"/>
          <w:kern w:val="2"/>
          <w:sz w:val="24"/>
          <w:szCs w:val="24"/>
          <w:highlight w:val="none"/>
          <w:lang w:val="en-US" w:eastAsia="zh-CN" w:bidi="ar"/>
        </w:rPr>
        <w:t>附件14</w:t>
      </w:r>
    </w:p>
    <w:p w14:paraId="72E74B93">
      <w:pPr>
        <w:widowControl w:val="0"/>
        <w:adjustRightInd w:val="0"/>
        <w:spacing w:line="360" w:lineRule="auto"/>
        <w:ind w:left="0" w:leftChars="0" w:firstLine="0" w:firstLineChars="0"/>
        <w:jc w:val="center"/>
        <w:textAlignment w:val="baseline"/>
        <w:outlineLvl w:val="0"/>
        <w:rPr>
          <w:rFonts w:hint="eastAsia" w:ascii="方正小标宋简体" w:hAnsi="方正小标宋简体" w:eastAsia="方正小标宋简体" w:cs="方正小标宋简体"/>
          <w:b w:val="0"/>
          <w:bCs w:val="0"/>
          <w:strike w:val="0"/>
          <w:color w:val="auto"/>
          <w:kern w:val="2"/>
          <w:sz w:val="32"/>
          <w:szCs w:val="32"/>
          <w:highlight w:val="none"/>
          <w:lang w:val="en-US" w:eastAsia="zh-CN" w:bidi="ar"/>
        </w:rPr>
      </w:pPr>
      <w:r>
        <w:rPr>
          <w:rFonts w:hint="eastAsia" w:ascii="方正小标宋简体" w:hAnsi="方正小标宋简体" w:eastAsia="方正小标宋简体" w:cs="方正小标宋简体"/>
          <w:b w:val="0"/>
          <w:bCs w:val="0"/>
          <w:strike w:val="0"/>
          <w:color w:val="auto"/>
          <w:kern w:val="2"/>
          <w:sz w:val="32"/>
          <w:szCs w:val="32"/>
          <w:highlight w:val="none"/>
          <w:lang w:val="en-US" w:eastAsia="zh-CN" w:bidi="ar"/>
        </w:rPr>
        <w:t>工程竣工档案承诺书</w:t>
      </w:r>
    </w:p>
    <w:p w14:paraId="67352B5B">
      <w:pPr>
        <w:adjustRightInd w:val="0"/>
        <w:snapToGrid w:val="0"/>
        <w:spacing w:line="360" w:lineRule="auto"/>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u w:val="single"/>
        </w:rPr>
        <w:t xml:space="preserve">                        </w:t>
      </w:r>
      <w:r>
        <w:rPr>
          <w:rFonts w:hint="eastAsia" w:ascii="仿宋_GB2312" w:hAnsi="仿宋_GB2312" w:eastAsia="仿宋_GB2312" w:cs="仿宋_GB2312"/>
          <w:strike w:val="0"/>
          <w:color w:val="auto"/>
          <w:sz w:val="24"/>
          <w:szCs w:val="24"/>
          <w:highlight w:val="none"/>
        </w:rPr>
        <w:t>（自建类）</w:t>
      </w:r>
    </w:p>
    <w:p w14:paraId="07A17B39">
      <w:pPr>
        <w:adjustRightInd w:val="0"/>
        <w:snapToGrid w:val="0"/>
        <w:spacing w:line="360" w:lineRule="auto"/>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致：</w:t>
      </w:r>
      <w:r>
        <w:rPr>
          <w:rFonts w:hint="eastAsia" w:ascii="仿宋_GB2312" w:hAnsi="仿宋_GB2312" w:eastAsia="仿宋_GB2312" w:cs="仿宋_GB2312"/>
          <w:strike w:val="0"/>
          <w:color w:val="auto"/>
          <w:sz w:val="24"/>
          <w:szCs w:val="24"/>
          <w:highlight w:val="none"/>
          <w:u w:val="single"/>
        </w:rPr>
        <w:t xml:space="preserve">              </w:t>
      </w:r>
    </w:p>
    <w:p w14:paraId="05612B54">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我公司根据与贵方签订的《施工合同要求》将对</w:t>
      </w:r>
      <w:r>
        <w:rPr>
          <w:rFonts w:hint="eastAsia" w:ascii="仿宋_GB2312" w:hAnsi="仿宋_GB2312" w:eastAsia="仿宋_GB2312" w:cs="仿宋_GB2312"/>
          <w:strike w:val="0"/>
          <w:color w:val="auto"/>
          <w:sz w:val="24"/>
          <w:szCs w:val="24"/>
          <w:highlight w:val="none"/>
          <w:u w:val="single"/>
        </w:rPr>
        <w:t xml:space="preserve">    （项目名称、穗规建证号）</w:t>
      </w:r>
      <w:r>
        <w:rPr>
          <w:rFonts w:hint="eastAsia" w:ascii="仿宋_GB2312" w:hAnsi="仿宋_GB2312" w:eastAsia="仿宋_GB2312" w:cs="仿宋_GB2312"/>
          <w:strike w:val="0"/>
          <w:color w:val="auto"/>
          <w:sz w:val="24"/>
          <w:szCs w:val="24"/>
          <w:highlight w:val="none"/>
        </w:rPr>
        <w:t>进行施工，对此，我公司承诺在供水管道工程完工后3个月内，按要求完成相关竣工档案移交工作。具体承诺如下：</w:t>
      </w:r>
    </w:p>
    <w:p w14:paraId="562A31F4">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1.</w:t>
      </w:r>
      <w:r>
        <w:rPr>
          <w:rFonts w:hint="eastAsia" w:ascii="仿宋_GB2312" w:hAnsi="仿宋_GB2312" w:eastAsia="仿宋_GB2312" w:cs="仿宋_GB2312"/>
          <w:color w:val="auto"/>
          <w:sz w:val="24"/>
          <w:szCs w:val="24"/>
          <w:highlight w:val="none"/>
        </w:rPr>
        <w:t>在</w:t>
      </w:r>
      <w:r>
        <w:rPr>
          <w:rFonts w:hint="eastAsia" w:ascii="仿宋_GB2312" w:hAnsi="仿宋_GB2312" w:eastAsia="仿宋_GB2312" w:cs="仿宋_GB2312"/>
          <w:color w:val="auto"/>
          <w:sz w:val="24"/>
          <w:szCs w:val="24"/>
          <w:highlight w:val="none"/>
          <w:lang w:eastAsia="zh-CN"/>
        </w:rPr>
        <w:t>本</w:t>
      </w:r>
      <w:r>
        <w:rPr>
          <w:rFonts w:hint="eastAsia" w:ascii="仿宋_GB2312" w:hAnsi="仿宋_GB2312" w:eastAsia="仿宋_GB2312" w:cs="仿宋_GB2312"/>
          <w:color w:val="auto"/>
          <w:sz w:val="24"/>
          <w:szCs w:val="24"/>
          <w:highlight w:val="none"/>
        </w:rPr>
        <w:t>工程完成</w:t>
      </w:r>
      <w:r>
        <w:rPr>
          <w:rFonts w:hint="eastAsia" w:ascii="仿宋_GB2312" w:hAnsi="仿宋_GB2312" w:eastAsia="仿宋_GB2312" w:cs="仿宋_GB2312"/>
          <w:color w:val="auto"/>
          <w:sz w:val="24"/>
          <w:szCs w:val="24"/>
          <w:highlight w:val="none"/>
          <w:lang w:eastAsia="zh-CN"/>
        </w:rPr>
        <w:t>竣工验收</w:t>
      </w:r>
      <w:r>
        <w:rPr>
          <w:rFonts w:hint="eastAsia" w:ascii="仿宋_GB2312" w:hAnsi="仿宋_GB2312" w:eastAsia="仿宋_GB2312" w:cs="仿宋_GB2312"/>
          <w:color w:val="auto"/>
          <w:sz w:val="24"/>
          <w:szCs w:val="24"/>
          <w:highlight w:val="none"/>
        </w:rPr>
        <w:t>之日1个月内</w:t>
      </w:r>
      <w:r>
        <w:rPr>
          <w:rFonts w:hint="eastAsia" w:ascii="仿宋_GB2312" w:hAnsi="仿宋_GB2312" w:eastAsia="仿宋_GB2312" w:cs="仿宋_GB2312"/>
          <w:strike w:val="0"/>
          <w:color w:val="auto"/>
          <w:sz w:val="24"/>
          <w:szCs w:val="24"/>
          <w:highlight w:val="none"/>
        </w:rPr>
        <w:t>，我公司向广州市城市规划勘测设计研究院办理工程竣工测量并向广州市自来水公司提交《广州市建设工程规划条件核实测量记录册》。</w:t>
      </w:r>
    </w:p>
    <w:p w14:paraId="7ED5C54D">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2.对于向广州市规划和自然资源局备案的工程，</w:t>
      </w:r>
      <w:r>
        <w:rPr>
          <w:rFonts w:hint="eastAsia" w:ascii="仿宋_GB2312" w:hAnsi="仿宋_GB2312" w:eastAsia="仿宋_GB2312" w:cs="仿宋_GB2312"/>
          <w:color w:val="auto"/>
          <w:sz w:val="24"/>
          <w:szCs w:val="24"/>
          <w:highlight w:val="none"/>
        </w:rPr>
        <w:t>在</w:t>
      </w:r>
      <w:r>
        <w:rPr>
          <w:rFonts w:hint="eastAsia" w:ascii="仿宋_GB2312" w:hAnsi="仿宋_GB2312" w:eastAsia="仿宋_GB2312" w:cs="仿宋_GB2312"/>
          <w:color w:val="auto"/>
          <w:sz w:val="24"/>
          <w:szCs w:val="24"/>
          <w:highlight w:val="none"/>
          <w:lang w:eastAsia="zh-CN"/>
        </w:rPr>
        <w:t>本</w:t>
      </w:r>
      <w:r>
        <w:rPr>
          <w:rFonts w:hint="eastAsia" w:ascii="仿宋_GB2312" w:hAnsi="仿宋_GB2312" w:eastAsia="仿宋_GB2312" w:cs="仿宋_GB2312"/>
          <w:color w:val="auto"/>
          <w:sz w:val="24"/>
          <w:szCs w:val="24"/>
          <w:highlight w:val="none"/>
        </w:rPr>
        <w:t>工程完工之日3个月内</w:t>
      </w:r>
      <w:r>
        <w:rPr>
          <w:rFonts w:hint="eastAsia" w:ascii="仿宋_GB2312" w:hAnsi="仿宋_GB2312" w:eastAsia="仿宋_GB2312" w:cs="仿宋_GB2312"/>
          <w:strike w:val="0"/>
          <w:color w:val="auto"/>
          <w:sz w:val="24"/>
          <w:szCs w:val="24"/>
          <w:highlight w:val="none"/>
        </w:rPr>
        <w:t>，向贵司提交《建设工程规划条件核实意见书》所需资料，配合贵司向广州市规划和自然资源局办理建设工程规划验收工作。</w:t>
      </w:r>
    </w:p>
    <w:p w14:paraId="21C90D51">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3.对于向广州市规划和自然资源局备案的工程，在供水管道工程完工之日3个月内，我公司提交3套工程竣工档案资料，其中报送广州市城建档案管理机构1套，按</w:t>
      </w:r>
      <w:r>
        <w:rPr>
          <w:rFonts w:hint="eastAsia" w:ascii="仿宋_GB2312" w:hAnsi="仿宋_GB2312" w:eastAsia="仿宋_GB2312" w:cs="仿宋_GB2312"/>
          <w:strike w:val="0"/>
          <w:color w:val="auto"/>
          <w:kern w:val="0"/>
          <w:sz w:val="24"/>
          <w:szCs w:val="24"/>
          <w:highlight w:val="none"/>
        </w:rPr>
        <w:t>《建设工程文件归档规范》（GB/T 50328-2019）、《建设工程档案编制规范》（DB 4401/T 55-2020）</w:t>
      </w:r>
      <w:r>
        <w:rPr>
          <w:rFonts w:hint="eastAsia" w:ascii="仿宋_GB2312" w:hAnsi="仿宋_GB2312" w:eastAsia="仿宋_GB2312" w:cs="仿宋_GB2312"/>
          <w:strike w:val="0"/>
          <w:color w:val="auto"/>
          <w:sz w:val="24"/>
          <w:szCs w:val="24"/>
          <w:highlight w:val="none"/>
        </w:rPr>
        <w:t>和《广州市建设工程档案归档范围》（试行，2015年12月）要求范围进行收集编制竣工资料；报送广州市自来水公司2套，按广州市自来水公司工程项目档案归档管理的最新要求编制。</w:t>
      </w:r>
    </w:p>
    <w:p w14:paraId="0854E775">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4.对于无需向广州市规划和自然资源局备案的工程，</w:t>
      </w:r>
      <w:r>
        <w:rPr>
          <w:rFonts w:hint="eastAsia" w:ascii="仿宋_GB2312" w:hAnsi="仿宋_GB2312" w:eastAsia="仿宋_GB2312" w:cs="仿宋_GB2312"/>
          <w:color w:val="auto"/>
          <w:sz w:val="24"/>
          <w:szCs w:val="24"/>
          <w:highlight w:val="none"/>
          <w:lang w:eastAsia="zh-CN"/>
        </w:rPr>
        <w:t>本</w:t>
      </w:r>
      <w:r>
        <w:rPr>
          <w:rFonts w:hint="eastAsia" w:ascii="仿宋_GB2312" w:hAnsi="仿宋_GB2312" w:eastAsia="仿宋_GB2312" w:cs="仿宋_GB2312"/>
          <w:color w:val="auto"/>
          <w:sz w:val="24"/>
          <w:szCs w:val="24"/>
          <w:highlight w:val="none"/>
        </w:rPr>
        <w:t>工程完工之日2个月内</w:t>
      </w:r>
      <w:r>
        <w:rPr>
          <w:rFonts w:hint="eastAsia" w:ascii="仿宋_GB2312" w:hAnsi="仿宋_GB2312" w:eastAsia="仿宋_GB2312" w:cs="仿宋_GB2312"/>
          <w:strike w:val="0"/>
          <w:color w:val="auto"/>
          <w:sz w:val="24"/>
          <w:szCs w:val="24"/>
          <w:highlight w:val="none"/>
        </w:rPr>
        <w:t>，我公司按广州市自来水公司要求编制并提交2套工程竣工档案资料。</w:t>
      </w:r>
    </w:p>
    <w:p w14:paraId="4C9E7050">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5.如因我公司未按时报送竣工档案资料和规划验收资料导致贵公司供水管道由于规划或路由不正确被骑压、损坏而给贵公司造成损失的，我公司愿承担广州市自来水公司遭受的各项损失及承担相应的法律和经济责任，且并不免除我公司继续向广州市自来水公司承担报送全部的合格、有效的竣工档案资料和规划验收资料的义务。</w:t>
      </w:r>
    </w:p>
    <w:p w14:paraId="59C3D958">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6.本承诺书自我公司签署之日起生效。</w:t>
      </w:r>
    </w:p>
    <w:p w14:paraId="4C3E956A">
      <w:pPr>
        <w:adjustRightInd w:val="0"/>
        <w:snapToGrid w:val="0"/>
        <w:spacing w:line="360" w:lineRule="auto"/>
        <w:ind w:firstLine="480" w:firstLineChars="2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特此承诺</w:t>
      </w:r>
    </w:p>
    <w:p w14:paraId="5B07F9B1">
      <w:pPr>
        <w:adjustRightInd w:val="0"/>
        <w:snapToGrid w:val="0"/>
        <w:spacing w:line="360" w:lineRule="auto"/>
        <w:rPr>
          <w:rFonts w:hint="eastAsia" w:ascii="仿宋_GB2312" w:hAnsi="仿宋_GB2312" w:eastAsia="仿宋_GB2312" w:cs="仿宋_GB2312"/>
          <w:strike w:val="0"/>
          <w:color w:val="auto"/>
          <w:sz w:val="24"/>
          <w:szCs w:val="24"/>
          <w:highlight w:val="none"/>
        </w:rPr>
      </w:pPr>
    </w:p>
    <w:p w14:paraId="4C3EF3D8">
      <w:pPr>
        <w:adjustRightInd w:val="0"/>
        <w:snapToGrid w:val="0"/>
        <w:spacing w:line="360" w:lineRule="auto"/>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施工单位：承诺人（单位公章）：</w:t>
      </w:r>
    </w:p>
    <w:p w14:paraId="49B502DE">
      <w:pPr>
        <w:adjustRightInd w:val="0"/>
        <w:snapToGrid w:val="0"/>
        <w:spacing w:line="360" w:lineRule="auto"/>
        <w:ind w:firstLine="1200" w:firstLineChars="500"/>
        <w:rPr>
          <w:rFonts w:hint="eastAsia" w:ascii="仿宋_GB2312" w:hAnsi="仿宋_GB2312" w:eastAsia="仿宋_GB2312" w:cs="仿宋_GB2312"/>
          <w:strike w:val="0"/>
          <w:color w:val="auto"/>
          <w:sz w:val="24"/>
          <w:szCs w:val="24"/>
          <w:highlight w:val="none"/>
        </w:rPr>
      </w:pPr>
      <w:r>
        <w:rPr>
          <w:rFonts w:hint="eastAsia" w:ascii="仿宋_GB2312" w:hAnsi="仿宋_GB2312" w:eastAsia="仿宋_GB2312" w:cs="仿宋_GB2312"/>
          <w:strike w:val="0"/>
          <w:color w:val="auto"/>
          <w:sz w:val="24"/>
          <w:szCs w:val="24"/>
          <w:highlight w:val="none"/>
        </w:rPr>
        <w:t>法定代表人或其授权代理人（签名）：</w:t>
      </w:r>
    </w:p>
    <w:p w14:paraId="22CEB151">
      <w:pPr>
        <w:adjustRightInd w:val="0"/>
        <w:snapToGrid w:val="0"/>
        <w:spacing w:line="360" w:lineRule="auto"/>
        <w:rPr>
          <w:rFonts w:hint="eastAsia" w:ascii="仿宋_GB2312" w:hAnsi="仿宋_GB2312" w:eastAsia="仿宋_GB2312" w:cs="仿宋_GB2312"/>
          <w:strike w:val="0"/>
          <w:color w:val="auto"/>
          <w:sz w:val="24"/>
          <w:szCs w:val="24"/>
          <w:highlight w:val="none"/>
        </w:rPr>
      </w:pPr>
    </w:p>
    <w:p w14:paraId="6A818D21">
      <w:pPr>
        <w:adjustRightInd w:val="0"/>
        <w:snapToGrid w:val="0"/>
        <w:spacing w:line="360" w:lineRule="auto"/>
        <w:ind w:firstLine="480" w:firstLineChars="200"/>
        <w:rPr>
          <w:rFonts w:ascii="宋体" w:hAnsi="宋体" w:cs="宋体"/>
          <w:strike w:val="0"/>
          <w:color w:val="auto"/>
          <w:kern w:val="0"/>
          <w:sz w:val="22"/>
          <w:szCs w:val="22"/>
          <w:highlight w:val="none"/>
        </w:rPr>
      </w:pPr>
      <w:r>
        <w:rPr>
          <w:rFonts w:hint="eastAsia" w:ascii="仿宋_GB2312" w:hAnsi="仿宋_GB2312" w:eastAsia="仿宋_GB2312" w:cs="仿宋_GB2312"/>
          <w:strike w:val="0"/>
          <w:color w:val="auto"/>
          <w:sz w:val="24"/>
          <w:szCs w:val="24"/>
          <w:highlight w:val="none"/>
        </w:rPr>
        <w:t xml:space="preserve">                            年     月  </w:t>
      </w:r>
      <w:r>
        <w:rPr>
          <w:rFonts w:hint="eastAsia" w:ascii="宋体" w:hAnsi="宋体" w:cs="宋体"/>
          <w:strike w:val="0"/>
          <w:color w:val="auto"/>
          <w:sz w:val="22"/>
          <w:szCs w:val="22"/>
          <w:highlight w:val="none"/>
        </w:rPr>
        <w:t xml:space="preserve">   </w:t>
      </w:r>
    </w:p>
    <w:permEnd w:id="467"/>
    <w:p w14:paraId="5214E8C0">
      <w:pPr>
        <w:rPr>
          <w:rFonts w:hint="eastAsia" w:ascii="黑体" w:hAnsi="黑体" w:eastAsia="黑体" w:cs="黑体"/>
          <w:b w:val="0"/>
          <w:bCs w:val="0"/>
          <w:color w:val="auto"/>
          <w:sz w:val="22"/>
          <w:szCs w:val="22"/>
          <w:highlight w:val="none"/>
          <w:lang w:val="en-US" w:eastAsia="zh-CN"/>
        </w:rPr>
      </w:pPr>
      <w:r>
        <w:rPr>
          <w:rFonts w:hint="eastAsia" w:ascii="宋体" w:hAnsi="宋体" w:cs="宋体"/>
          <w:b/>
          <w:bCs/>
          <w:color w:val="auto"/>
          <w:kern w:val="0"/>
          <w:sz w:val="22"/>
          <w:szCs w:val="22"/>
          <w:highlight w:val="none"/>
        </w:rPr>
        <w:br w:type="page"/>
      </w:r>
      <w:permStart w:id="468" w:edGrp="everyone"/>
      <w:r>
        <w:rPr>
          <w:rFonts w:hint="eastAsia" w:ascii="黑体" w:hAnsi="黑体" w:eastAsia="黑体" w:cs="黑体"/>
          <w:b w:val="0"/>
          <w:bCs w:val="0"/>
          <w:color w:val="auto"/>
          <w:sz w:val="24"/>
          <w:szCs w:val="24"/>
          <w:highlight w:val="none"/>
        </w:rPr>
        <w:t>附件</w:t>
      </w:r>
      <w:r>
        <w:rPr>
          <w:rFonts w:hint="eastAsia" w:ascii="黑体" w:hAnsi="黑体" w:eastAsia="黑体" w:cs="黑体"/>
          <w:b w:val="0"/>
          <w:bCs w:val="0"/>
          <w:color w:val="auto"/>
          <w:sz w:val="24"/>
          <w:szCs w:val="24"/>
          <w:highlight w:val="none"/>
          <w:lang w:val="en-US" w:eastAsia="zh-CN"/>
        </w:rPr>
        <w:t>15</w:t>
      </w:r>
    </w:p>
    <w:p w14:paraId="74BADFA2">
      <w:pPr>
        <w:widowControl w:val="0"/>
        <w:adjustRightInd w:val="0"/>
        <w:spacing w:line="560" w:lineRule="exact"/>
        <w:ind w:firstLine="442" w:firstLineChars="200"/>
        <w:jc w:val="center"/>
        <w:textAlignment w:val="baseline"/>
        <w:rPr>
          <w:rFonts w:ascii="宋体" w:hAnsi="宋体" w:eastAsia="宋体" w:cs="宋体"/>
          <w:b/>
          <w:bCs/>
          <w:strike/>
          <w:color w:val="auto"/>
          <w:kern w:val="2"/>
          <w:sz w:val="22"/>
          <w:szCs w:val="22"/>
          <w:highlight w:val="none"/>
          <w:lang w:val="en-US" w:eastAsia="zh-CN" w:bidi="ar-SA"/>
        </w:rPr>
      </w:pPr>
    </w:p>
    <w:p w14:paraId="6A23D324">
      <w:pPr>
        <w:snapToGrid w:val="0"/>
        <w:spacing w:line="360" w:lineRule="auto"/>
        <w:jc w:val="center"/>
        <w:rPr>
          <w:rFonts w:hint="eastAsia" w:ascii="方正小标宋简体" w:hAnsi="方正小标宋简体" w:eastAsia="方正小标宋简体" w:cs="方正小标宋简体"/>
          <w:b w:val="0"/>
          <w:bCs w:val="0"/>
          <w:strike/>
          <w:color w:val="auto"/>
          <w:sz w:val="32"/>
          <w:szCs w:val="32"/>
          <w:highlight w:val="none"/>
        </w:rPr>
      </w:pPr>
      <w:r>
        <w:rPr>
          <w:rFonts w:hint="eastAsia" w:ascii="方正小标宋简体" w:hAnsi="方正小标宋简体" w:eastAsia="方正小标宋简体" w:cs="方正小标宋简体"/>
          <w:b w:val="0"/>
          <w:bCs w:val="0"/>
          <w:strike/>
          <w:color w:val="auto"/>
          <w:sz w:val="32"/>
          <w:szCs w:val="32"/>
          <w:highlight w:val="none"/>
        </w:rPr>
        <w:t>承包人供应材料一览表（装修、修缮类工程）</w:t>
      </w:r>
    </w:p>
    <w:p w14:paraId="385CCEE4">
      <w:pPr>
        <w:pStyle w:val="8"/>
        <w:rPr>
          <w:rFonts w:hint="default" w:ascii="仿宋_GB2312" w:hAnsi="仿宋_GB2312" w:eastAsia="仿宋_GB2312" w:cs="仿宋_GB2312"/>
          <w:color w:val="auto"/>
          <w:sz w:val="24"/>
          <w:szCs w:val="32"/>
          <w:highlight w:val="none"/>
          <w:lang w:val="en-US" w:eastAsia="zh-CN"/>
        </w:rPr>
      </w:pPr>
      <w:r>
        <w:rPr>
          <w:rFonts w:hint="eastAsia" w:ascii="仿宋_GB2312" w:hAnsi="仿宋_GB2312" w:eastAsia="仿宋_GB2312" w:cs="仿宋_GB2312"/>
          <w:color w:val="auto"/>
          <w:sz w:val="24"/>
          <w:szCs w:val="32"/>
          <w:highlight w:val="none"/>
          <w:lang w:val="en-US" w:eastAsia="zh-CN"/>
        </w:rPr>
        <w:t xml:space="preserve">                                                </w:t>
      </w:r>
    </w:p>
    <w:permEnd w:id="468"/>
    <w:p w14:paraId="0332BB1B">
      <w:pPr>
        <w:widowControl w:val="0"/>
        <w:adjustRightInd w:val="0"/>
        <w:spacing w:line="240" w:lineRule="auto"/>
        <w:ind w:firstLine="0"/>
        <w:jc w:val="both"/>
        <w:textAlignment w:val="baseline"/>
        <w:rPr>
          <w:rFonts w:hint="eastAsia" w:ascii="黑体" w:hAnsi="黑体" w:eastAsia="黑体" w:cs="黑体"/>
          <w:b w:val="0"/>
          <w:bCs w:val="0"/>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br w:type="column"/>
      </w:r>
      <w:permStart w:id="469" w:edGrp="everyone"/>
      <w:r>
        <w:rPr>
          <w:rFonts w:hint="eastAsia" w:ascii="黑体" w:hAnsi="黑体" w:eastAsia="黑体" w:cs="黑体"/>
          <w:b w:val="0"/>
          <w:bCs w:val="0"/>
          <w:color w:val="auto"/>
          <w:kern w:val="2"/>
          <w:sz w:val="24"/>
          <w:szCs w:val="24"/>
          <w:highlight w:val="none"/>
          <w:lang w:val="en-US" w:eastAsia="zh-CN" w:bidi="ar-SA"/>
        </w:rPr>
        <w:t>附件16</w:t>
      </w:r>
      <w:permEnd w:id="469"/>
    </w:p>
    <w:p w14:paraId="075DD240">
      <w:pPr>
        <w:widowControl w:val="0"/>
        <w:adjustRightInd w:val="0"/>
        <w:spacing w:line="560" w:lineRule="exact"/>
        <w:ind w:firstLine="0"/>
        <w:jc w:val="center"/>
        <w:textAlignment w:val="baseline"/>
        <w:rPr>
          <w:rFonts w:hint="eastAsia" w:ascii="方正小标宋简体" w:hAnsi="方正小标宋简体" w:eastAsia="方正小标宋简体" w:cs="方正小标宋简体"/>
          <w:b w:val="0"/>
          <w:bCs w:val="0"/>
          <w:color w:val="auto"/>
          <w:kern w:val="2"/>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2"/>
          <w:sz w:val="32"/>
          <w:szCs w:val="32"/>
          <w:highlight w:val="none"/>
          <w:lang w:val="en-US" w:eastAsia="zh-CN" w:bidi="ar-SA"/>
        </w:rPr>
        <w:t>其他附件</w:t>
      </w:r>
    </w:p>
    <w:p w14:paraId="6D625277">
      <w:pPr>
        <w:widowControl w:val="0"/>
        <w:adjustRightInd w:val="0"/>
        <w:spacing w:line="560" w:lineRule="exact"/>
        <w:ind w:firstLine="640" w:firstLineChars="200"/>
        <w:jc w:val="center"/>
        <w:textAlignment w:val="baseline"/>
        <w:rPr>
          <w:rFonts w:hint="eastAsia" w:ascii="仿宋_GB2312" w:hAnsi="仿宋_GB2312" w:eastAsia="仿宋_GB2312" w:cs="仿宋_GB2312"/>
          <w:color w:val="auto"/>
          <w:kern w:val="2"/>
          <w:sz w:val="24"/>
          <w:szCs w:val="24"/>
          <w:highlight w:val="none"/>
          <w:lang w:val="en-US" w:eastAsia="zh-CN" w:bidi="ar-SA"/>
        </w:rPr>
      </w:pPr>
      <w:permStart w:id="470" w:edGrp="everyone"/>
      <w:r>
        <w:rPr>
          <w:rFonts w:hint="eastAsia" w:ascii="仿宋_GB2312" w:hAnsi="仿宋_GB2312" w:eastAsia="仿宋_GB2312" w:cs="仿宋_GB2312"/>
          <w:color w:val="auto"/>
          <w:kern w:val="0"/>
          <w:sz w:val="32"/>
          <w:szCs w:val="32"/>
          <w:highlight w:val="none"/>
          <w:lang w:eastAsia="zh-CN"/>
        </w:rPr>
        <w:t>乙供主要设备清单表</w:t>
      </w:r>
    </w:p>
    <w:tbl>
      <w:tblPr>
        <w:tblStyle w:val="18"/>
        <w:tblW w:w="10632" w:type="dxa"/>
        <w:tblInd w:w="-5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70"/>
        <w:gridCol w:w="993"/>
        <w:gridCol w:w="1477"/>
        <w:gridCol w:w="4755"/>
        <w:gridCol w:w="705"/>
        <w:gridCol w:w="630"/>
        <w:gridCol w:w="1602"/>
      </w:tblGrid>
      <w:tr w14:paraId="3C068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92FF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序号</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7449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设备类别</w:t>
            </w:r>
          </w:p>
        </w:tc>
        <w:tc>
          <w:tcPr>
            <w:tcW w:w="147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18A7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设备/材料名称</w:t>
            </w:r>
          </w:p>
        </w:tc>
        <w:tc>
          <w:tcPr>
            <w:tcW w:w="47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2638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规格参数</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6BD2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数量</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EEAA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单位</w:t>
            </w:r>
          </w:p>
        </w:tc>
        <w:tc>
          <w:tcPr>
            <w:tcW w:w="16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6133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参考或相当于</w:t>
            </w:r>
          </w:p>
        </w:tc>
      </w:tr>
      <w:tr w14:paraId="52C8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17D4C">
            <w:pPr>
              <w:jc w:val="center"/>
              <w:rPr>
                <w:rFonts w:hint="eastAsia" w:ascii="宋体" w:hAnsi="宋体" w:eastAsia="宋体" w:cs="宋体"/>
                <w:i w:val="0"/>
                <w:color w:val="auto"/>
                <w:sz w:val="22"/>
                <w:szCs w:val="22"/>
                <w:highlight w:val="none"/>
                <w:u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2FE97">
            <w:pPr>
              <w:jc w:val="center"/>
              <w:rPr>
                <w:rFonts w:hint="eastAsia" w:ascii="宋体" w:hAnsi="宋体" w:eastAsia="宋体" w:cs="宋体"/>
                <w:i w:val="0"/>
                <w:color w:val="auto"/>
                <w:sz w:val="22"/>
                <w:szCs w:val="22"/>
                <w:highlight w:val="none"/>
                <w:u w:val="none"/>
              </w:rPr>
            </w:pPr>
          </w:p>
        </w:tc>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F10E2">
            <w:pPr>
              <w:jc w:val="center"/>
              <w:rPr>
                <w:rFonts w:hint="eastAsia" w:ascii="宋体" w:hAnsi="宋体" w:eastAsia="宋体" w:cs="宋体"/>
                <w:i w:val="0"/>
                <w:color w:val="auto"/>
                <w:sz w:val="22"/>
                <w:szCs w:val="22"/>
                <w:highlight w:val="none"/>
                <w:u w:val="none"/>
              </w:rPr>
            </w:pPr>
          </w:p>
        </w:tc>
        <w:tc>
          <w:tcPr>
            <w:tcW w:w="47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BBF64">
            <w:pPr>
              <w:jc w:val="center"/>
              <w:rPr>
                <w:rFonts w:hint="eastAsia" w:ascii="宋体" w:hAnsi="宋体" w:eastAsia="宋体" w:cs="宋体"/>
                <w:i w:val="0"/>
                <w:color w:val="auto"/>
                <w:sz w:val="22"/>
                <w:szCs w:val="22"/>
                <w:highlight w:val="none"/>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308F6">
            <w:pPr>
              <w:jc w:val="center"/>
              <w:rPr>
                <w:rFonts w:hint="eastAsia" w:ascii="宋体" w:hAnsi="宋体" w:eastAsia="宋体" w:cs="宋体"/>
                <w:i w:val="0"/>
                <w:color w:val="auto"/>
                <w:sz w:val="22"/>
                <w:szCs w:val="22"/>
                <w:highlight w:val="none"/>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DFDEC">
            <w:pPr>
              <w:jc w:val="center"/>
              <w:rPr>
                <w:rFonts w:hint="eastAsia" w:ascii="宋体" w:hAnsi="宋体" w:eastAsia="宋体" w:cs="宋体"/>
                <w:i w:val="0"/>
                <w:color w:val="auto"/>
                <w:sz w:val="22"/>
                <w:szCs w:val="22"/>
                <w:highlight w:val="none"/>
                <w:u w:val="none"/>
              </w:rPr>
            </w:pPr>
          </w:p>
        </w:tc>
        <w:tc>
          <w:tcPr>
            <w:tcW w:w="16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EAD02">
            <w:pPr>
              <w:jc w:val="center"/>
              <w:rPr>
                <w:rFonts w:hint="eastAsia" w:ascii="宋体" w:hAnsi="宋体" w:eastAsia="宋体" w:cs="宋体"/>
                <w:i w:val="0"/>
                <w:color w:val="auto"/>
                <w:sz w:val="22"/>
                <w:szCs w:val="22"/>
                <w:highlight w:val="none"/>
                <w:u w:val="none"/>
              </w:rPr>
            </w:pPr>
          </w:p>
        </w:tc>
      </w:tr>
      <w:tr w14:paraId="4EB99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14F37">
            <w:pPr>
              <w:jc w:val="center"/>
              <w:rPr>
                <w:rFonts w:hint="eastAsia" w:ascii="宋体" w:hAnsi="宋体" w:eastAsia="宋体" w:cs="宋体"/>
                <w:i w:val="0"/>
                <w:color w:val="auto"/>
                <w:sz w:val="22"/>
                <w:szCs w:val="22"/>
                <w:highlight w:val="none"/>
                <w:u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3553E">
            <w:pPr>
              <w:jc w:val="center"/>
              <w:rPr>
                <w:rFonts w:hint="eastAsia" w:ascii="宋体" w:hAnsi="宋体" w:eastAsia="宋体" w:cs="宋体"/>
                <w:i w:val="0"/>
                <w:color w:val="auto"/>
                <w:sz w:val="22"/>
                <w:szCs w:val="22"/>
                <w:highlight w:val="none"/>
                <w:u w:val="none"/>
              </w:rPr>
            </w:pPr>
          </w:p>
        </w:tc>
        <w:tc>
          <w:tcPr>
            <w:tcW w:w="147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4DE05">
            <w:pPr>
              <w:jc w:val="center"/>
              <w:rPr>
                <w:rFonts w:hint="eastAsia" w:ascii="宋体" w:hAnsi="宋体" w:eastAsia="宋体" w:cs="宋体"/>
                <w:i w:val="0"/>
                <w:color w:val="auto"/>
                <w:sz w:val="22"/>
                <w:szCs w:val="22"/>
                <w:highlight w:val="none"/>
                <w:u w:val="none"/>
              </w:rPr>
            </w:pPr>
          </w:p>
        </w:tc>
        <w:tc>
          <w:tcPr>
            <w:tcW w:w="47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4D7DD8">
            <w:pPr>
              <w:jc w:val="center"/>
              <w:rPr>
                <w:rFonts w:hint="eastAsia" w:ascii="宋体" w:hAnsi="宋体" w:eastAsia="宋体" w:cs="宋体"/>
                <w:i w:val="0"/>
                <w:color w:val="auto"/>
                <w:sz w:val="22"/>
                <w:szCs w:val="22"/>
                <w:highlight w:val="none"/>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9CBF9">
            <w:pPr>
              <w:jc w:val="center"/>
              <w:rPr>
                <w:rFonts w:hint="eastAsia" w:ascii="宋体" w:hAnsi="宋体" w:eastAsia="宋体" w:cs="宋体"/>
                <w:i w:val="0"/>
                <w:color w:val="auto"/>
                <w:sz w:val="22"/>
                <w:szCs w:val="22"/>
                <w:highlight w:val="none"/>
                <w:u w:val="none"/>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F36B9">
            <w:pPr>
              <w:jc w:val="center"/>
              <w:rPr>
                <w:rFonts w:hint="eastAsia" w:ascii="宋体" w:hAnsi="宋体" w:eastAsia="宋体" w:cs="宋体"/>
                <w:i w:val="0"/>
                <w:color w:val="auto"/>
                <w:sz w:val="22"/>
                <w:szCs w:val="22"/>
                <w:highlight w:val="none"/>
                <w:u w:val="none"/>
              </w:rPr>
            </w:pPr>
          </w:p>
        </w:tc>
        <w:tc>
          <w:tcPr>
            <w:tcW w:w="16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221D7">
            <w:pPr>
              <w:jc w:val="center"/>
              <w:rPr>
                <w:rFonts w:hint="eastAsia" w:ascii="宋体" w:hAnsi="宋体" w:eastAsia="宋体" w:cs="宋体"/>
                <w:i w:val="0"/>
                <w:color w:val="auto"/>
                <w:sz w:val="22"/>
                <w:szCs w:val="22"/>
                <w:highlight w:val="none"/>
                <w:u w:val="none"/>
              </w:rPr>
            </w:pPr>
          </w:p>
        </w:tc>
      </w:tr>
      <w:tr w14:paraId="382AF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20A0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DA0D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动力及照明系统</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986D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低压配电柜</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C14F6">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抽屉柜，额定电压：400V，额定绝缘电压：1000V，</w:t>
            </w:r>
          </w:p>
          <w:p w14:paraId="5058127A">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额定工频耐受电压：2.5kV，50Hz，1min</w:t>
            </w:r>
          </w:p>
          <w:p w14:paraId="79CB172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额定冲击耐受电压：8kV，额定频率：50Hz</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34DC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096C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面</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D03E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白云电器、新会</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电气、顺特，核</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心元件：ABB、</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施耐德、西门子</w:t>
            </w:r>
          </w:p>
        </w:tc>
      </w:tr>
      <w:tr w14:paraId="2E51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2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3597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4498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动力及照明系统</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49E4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低压无功补偿柜</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E6CB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额定容量：150Kvar，额定电压：400V，额定绝缘电压：1000V</w:t>
            </w:r>
          </w:p>
          <w:p w14:paraId="316A08A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额定工频耐受电压：2.5kV，50Hz，1min</w:t>
            </w:r>
          </w:p>
          <w:p w14:paraId="5B30B06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额定冲击耐受电压：8kV，额定频率：50Hz</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42F0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E684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面</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515D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深圳三和、白云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电器、顺特，核</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心元件 IGBT、</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放大器：三菱、</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富士通、英飞</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菱、ABB</w:t>
            </w:r>
          </w:p>
        </w:tc>
      </w:tr>
      <w:tr w14:paraId="17266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5491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C5D6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B2A8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服务器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CCB6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内存：16GB DDR4-2133MHz；网卡：标配4端口千兆以太网卡；硬盘：硬盘容量2T SAS硬盘，操作系统：正版Win Server 2008R2专业版/企业版 Server 2008 中文标准版 5用户</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EF28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D519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BB3F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惠普、戴尔、华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为</w:t>
            </w:r>
          </w:p>
        </w:tc>
      </w:tr>
      <w:tr w14:paraId="5E78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7"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72D4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A0D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EB24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标准弱电机柜</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F962D">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42U高、600宽、600深</w:t>
            </w:r>
          </w:p>
          <w:p w14:paraId="2E75FB6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42U高、600宽、1000深</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04F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3</w:t>
            </w:r>
          </w:p>
          <w:p w14:paraId="1FE5F359">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027D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C88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4C906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EBF4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12D0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740B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防火墙</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D2F7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固定端口≥8个千兆光口+16个千兆电口；整机最大可扩展接口数量8SPF+24GE；扩展槽位≥2个，支持OSPF协议，授权三年或以上，附带配置服务</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D65C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9C692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F45A7">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华三、华</w:t>
            </w:r>
          </w:p>
          <w:p w14:paraId="2CDD6B6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为、威努特、亚信、启明星辰</w:t>
            </w:r>
          </w:p>
        </w:tc>
      </w:tr>
      <w:tr w14:paraId="4507A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6B5B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1D44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6C04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以太网交换机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A2F17">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千兆，网管型，二层，卡轨式，AC220V供电不少于4个千兆单模光口、12 个千兆电口、12个百兆电口，支持冗余环、QoS 等；</w:t>
            </w:r>
          </w:p>
          <w:p w14:paraId="1D91E92F">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千兆，网管型，二层，卡轨式，AC220V供电不少于4个千兆单模光口、8个千兆电口，支持 台冗余环、QoS 等；</w:t>
            </w:r>
          </w:p>
          <w:p w14:paraId="5E681454">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千兆，网管型，二层，卡轨式，AC220V供电不少于4个千兆单模光口、8个POE电口,支持冗余环、QoS 等；</w:t>
            </w:r>
          </w:p>
          <w:p w14:paraId="52DBEFA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千兆，网管型，二层，卡轨式，AC220V供电不少于4个千兆单模光口、24个POE电口，支持冗余环、QoS 等；</w:t>
            </w:r>
          </w:p>
          <w:p w14:paraId="0326970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交换容量&gt;20Tbps,包转发性能&gt;2800Mpps;24个千兆光口，24个千兆电口2个万兆光口:支持扩展插槽&gt;2个:电源2个。</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728A7">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p w14:paraId="569EAFD0">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8488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2F27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浪思、华三、华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为</w:t>
            </w:r>
          </w:p>
        </w:tc>
      </w:tr>
      <w:tr w14:paraId="5BA79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EA22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BB1C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5D55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不间断电源</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568A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1）在线式三进三出,15KVA/12KW, 240min 备电, RS485 通讯， 以太网</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2）电池柜 2200Hx800Wx800D(mm),IP54,下进线 2mm 厚冷轧板,含柜内辅材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BFF3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26DA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2CDF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山特、台达、</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APC</w:t>
            </w:r>
          </w:p>
        </w:tc>
      </w:tr>
      <w:tr w14:paraId="39F13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24F3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0C9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8AD6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110配线架</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6A16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1x100对；</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1x50对；</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AC009">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D238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A7D7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1FCD5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E00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9DC7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EC9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LC端口配线架</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5A05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1x12芯单模；</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1x24芯单模；</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B7AE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B64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64FD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31CF3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AC7A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A16A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EEB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RJ45配线架</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0AFF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1x24口</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7114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7772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A60A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094E8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4DC7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27C5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0D0D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视频存储磁盘阵列 </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4224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双电源，3个千兆网口，硬盘：10块8T企业级SATA硬盘（实际可用空间：不小于75TB)；</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双电源，3个千兆网口，硬盘：4块8T企业级SATA硬盘（实际可用空间：不小于30TB)；</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1500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16E9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FF9F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戴尔、华三、华</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为、海康威视</w:t>
            </w:r>
          </w:p>
        </w:tc>
      </w:tr>
      <w:tr w14:paraId="098E3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5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4EA9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CB04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19CD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视频工作站</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E436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不低于12代 i7 4.4GHz,16G 内存,512G SSD 1TB 7K2rpm 机械硬盘,双口千兆网卡, 24"液晶显示器（分辨率 2K 或以上),DVD-R/W，键盘及鼠标，加配双个HDMI接口, 预装 Windows 11 专业版(64 位)著名品牌计算机（含正版专业版/企业版操作系统软件）</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9F92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1D5B9">
            <w:pPr>
              <w:keepNext w:val="0"/>
              <w:keepLines w:val="0"/>
              <w:widowControl/>
              <w:suppressLineNumbers w:val="0"/>
              <w:jc w:val="center"/>
              <w:textAlignment w:val="center"/>
              <w:rPr>
                <w:rFonts w:ascii="仿宋_GB2312" w:hAnsi="宋体" w:eastAsia="仿宋_GB2312" w:cs="仿宋_GB2312"/>
                <w:i w:val="0"/>
                <w:color w:val="auto"/>
                <w:sz w:val="21"/>
                <w:szCs w:val="21"/>
                <w:highlight w:val="none"/>
                <w:u w:val="none"/>
              </w:rPr>
            </w:pPr>
            <w:r>
              <w:rPr>
                <w:rFonts w:hint="eastAsia" w:ascii="仿宋_GB2312" w:hAnsi="宋体" w:eastAsia="仿宋_GB2312" w:cs="仿宋_GB2312"/>
                <w:i w:val="0"/>
                <w:color w:val="auto"/>
                <w:kern w:val="0"/>
                <w:sz w:val="21"/>
                <w:szCs w:val="21"/>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6A33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华为、华三、</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海康威视、大</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华</w:t>
            </w:r>
          </w:p>
        </w:tc>
      </w:tr>
      <w:tr w14:paraId="0EB31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CDE5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8129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D1FE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46寸LCD显示屏</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2854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LCD液晶显示单元；尺寸：46英寸；分辨率：1920x1080；输入接口：VGA×1，HDMI×1，BNC×1，YPbPr×1,USB×1；功耗：≤139W；寿命：≥60000 小时；外形尺寸：1023.7mm×578.3mm×113.5mm(长×宽×高)；</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13FB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CA1F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288B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15C52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146D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DE84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6A8A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解码拼接一体机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E75A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单路端口支持4路1080P解码性能；窗口支持1、2、3、4、5、6、7、8画面分割显示。</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C2ED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797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E716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01729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F9E6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53B0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C954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高空AR鹰眼</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57AF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2400 万像素，270°视角，三代蓝宝石 AR 球型鹰眼：*自带镜头，另配 6个图像采集模块，可输出 1 路主视频图像和 6 路辅视频图像，可将辅视频图像进行无缝拼接，H.264/H.265 压缩，配套专用电源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4E91E">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1C346">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386A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30CBA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1E79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9CED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nil"/>
              <w:left w:val="nil"/>
              <w:bottom w:val="nil"/>
              <w:right w:val="nil"/>
            </w:tcBorders>
            <w:shd w:val="clear" w:color="auto" w:fill="auto"/>
            <w:noWrap/>
            <w:tcMar>
              <w:top w:w="15" w:type="dxa"/>
              <w:left w:w="15" w:type="dxa"/>
              <w:right w:w="15" w:type="dxa"/>
            </w:tcMar>
            <w:vAlign w:val="bottom"/>
          </w:tcPr>
          <w:p w14:paraId="7D54BB93">
            <w:pPr>
              <w:keepNext w:val="0"/>
              <w:keepLines w:val="0"/>
              <w:widowControl/>
              <w:suppressLineNumbers w:val="0"/>
              <w:ind w:firstLineChars="200"/>
              <w:jc w:val="both"/>
              <w:textAlignment w:val="bottom"/>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红外筒型网络高清摄像机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A862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1/3"COMS，2.7~12mm 自动调焦镜头，红外照射 30 米，最大分辨率</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2560x1440 25fps，H.264/265 压缩，支持三码流，百兆网口，220V 电源 经现场变压器后由 DC12V 供电，IP67，壁装支架。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39A22">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lang w:val="en-US" w:eastAsia="zh-CN"/>
              </w:rPr>
            </w:pPr>
            <w:r>
              <w:rPr>
                <w:rFonts w:hint="eastAsia" w:ascii="宋体" w:hAnsi="宋体" w:eastAsia="宋体" w:cs="宋体"/>
                <w:i w:val="0"/>
                <w:color w:val="auto"/>
                <w:sz w:val="18"/>
                <w:szCs w:val="18"/>
                <w:highlight w:val="none"/>
                <w:u w:val="none"/>
                <w:lang w:val="en-US" w:eastAsia="zh-CN"/>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696A3">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96E9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34C49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104B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D213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BC04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彩色半球摄像机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3A8A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400万像素星光级彩色高清半球摄像枪；通讯接口:1 个RJ45以太网口；防护等级≥IP66；吸顶安装。</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ADCD8">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r>
              <w:rPr>
                <w:rFonts w:hint="eastAsia" w:ascii="宋体" w:hAnsi="宋体" w:eastAsia="宋体" w:cs="宋体"/>
                <w:i w:val="0"/>
                <w:color w:val="auto"/>
                <w:kern w:val="0"/>
                <w:sz w:val="18"/>
                <w:szCs w:val="18"/>
                <w:highlight w:val="none"/>
                <w:u w:val="none"/>
                <w:lang w:val="en-US" w:eastAsia="zh-CN" w:bidi="ar"/>
              </w:rPr>
              <w:t>16</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6D278">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0F08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79757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4077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0829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0651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室外一体化彩色球形摄像机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5BBC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 万像素星光级 8 寸红外网络高清高速智能球机:人脸抓拍、 混合目标检测、道路监控、Smart 事件 :人脸抓拍 :支持同时抓拍 30 张人 脸；防护等级≥IP66；壁式或立杆安装。</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3ED3F">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6D680">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BCDB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7FAE3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E9A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E5C3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E72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半球摄像机 </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368A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400万像素、星光级电梯高清半球摄像枪；防护等级≥IP66；含5.8G电梯网桥：802.11ac制式、成对包装、距离500米、3网口设计、支持路由功能、定向；吸顶安装。</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228EC">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2D67F">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7058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1D65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0B26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366F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28C7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发卡机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3180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支持发卡类型：ID卡、Mifare卡、身份证物料卡号（序列号）、普通CPU卡、国密CPU卡；USB2.0接口；2个Sim卡尺寸的PSAM卡座。</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C1BB2">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B83F8">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0470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462A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7919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CDE0C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9A8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门禁管理主机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95C9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CPU：I7-12700；内存：16G；硬盘：256G+1T；显示器：23.8寸；标配DVD光驱。（含正版专业版/企业版操作系统软件）</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28BE5">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276E9">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DBAC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72D85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BE1D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6C3B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1C11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人脸识别一体机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B288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人脸+指纹生物识别技术,集成刷卡、密码键盘一体机，DC12V 供电；功能: 人脸识别门禁机最佳面部识别距离:0.3m-1.5m，支持照片及视频防假 ;人 脸识别门禁机比对成功开门， 比对不成功告警；支持人脸、刷卡、指纹、 密码（指工号+密码）及其组合的认证方式；人脸识别门禁后台支持黑、 白名单及陌生人名单定义与联动告警。</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参数:200 万 USB 电视摄像机 :传感器类型 :2.0 Mega Progressive Scan CMOS ； 总像 素 :1920 × 1080 ； 最低 照度 :0.1Lux @(F1.2,AGC ON) ;镜 头 :6mm(2.1mm 可选) ;出线长度:2m(2.1mm 焦距设备出线为 4m) ; 日夜转换 模式 :单彩；调整角度 :水平 :0° ;垂直 :-10°~30° ;旋转 :0°﹔视频帧 率 :1080p@25fps ; 1080p@30fps ;信噪比 :大于 62dB;视频输出:USB2.0； 音频输入 :内置 MIC;音频输出:USB2.0； 自动白平衡； 带蜂鸣功能；工作 温度和湿度 :-10℃~45℃ ,湿度小于 90%(无凝结) ;电源供应:DC5V±15% (USB 接口)﹔功耗:2W MAX；可支持 windows 和安卓系统。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BA5D7">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lang w:val="en-US" w:eastAsia="zh-CN"/>
              </w:rPr>
            </w:pPr>
            <w:r>
              <w:rPr>
                <w:rFonts w:hint="eastAsia" w:ascii="宋体" w:hAnsi="宋体" w:eastAsia="宋体" w:cs="宋体"/>
                <w:i w:val="0"/>
                <w:color w:val="auto"/>
                <w:sz w:val="18"/>
                <w:szCs w:val="18"/>
                <w:highlight w:val="none"/>
                <w:u w:val="none"/>
                <w:lang w:val="en-US" w:eastAsia="zh-CN"/>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9E9F2">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C94D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3879A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0650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ECB0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DA8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开门按钮 </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D58A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面板尺寸：86×86mm，背后按钮凸出20MM;常开NO输出，接线柱方式</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C440D">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lang w:val="en-US" w:eastAsia="zh-CN"/>
              </w:rPr>
            </w:pPr>
            <w:r>
              <w:rPr>
                <w:rFonts w:hint="eastAsia" w:ascii="宋体" w:hAnsi="宋体" w:eastAsia="宋体" w:cs="宋体"/>
                <w:i w:val="0"/>
                <w:color w:val="auto"/>
                <w:sz w:val="18"/>
                <w:szCs w:val="18"/>
                <w:highlight w:val="none"/>
                <w:u w:val="none"/>
                <w:lang w:val="en-US" w:eastAsia="zh-CN"/>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7B180">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883F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35E8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BAB7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CFED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E263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门磁 </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BB08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输出干接点信号，常开/常闭。动作距离：≥16mm</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48B06">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99F3C">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AFAB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272F8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8C95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ACA0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17E0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网络门禁控制器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F045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采用 32 位高处理器，支持 TCP/IP 通讯方式；支持国际标准 W26W34，可无缝兼容第三方产品；FLASH 存储容量为 16M，最大支持 100,000 个持卡者,150,000 条刷卡记录。</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9E552">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391D1">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1BB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1383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67ED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8E35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CBA3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双鉴探测器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75D1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壁装式，探测半径12米，视角90度</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D7A88">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B0FB1">
            <w:pPr>
              <w:keepNext w:val="0"/>
              <w:keepLines w:val="0"/>
              <w:widowControl/>
              <w:suppressLineNumbers w:val="0"/>
              <w:jc w:val="center"/>
              <w:textAlignment w:val="center"/>
              <w:rPr>
                <w:rFonts w:hint="eastAsia" w:ascii="仿宋_GB2312" w:hAnsi="宋体" w:eastAsia="仿宋_GB2312" w:cs="仿宋_GB2312"/>
                <w:i w:val="0"/>
                <w:color w:val="auto"/>
                <w:sz w:val="21"/>
                <w:szCs w:val="21"/>
                <w:highlight w:val="none"/>
                <w:u w:val="none"/>
              </w:rPr>
            </w:pPr>
            <w:r>
              <w:rPr>
                <w:rFonts w:hint="eastAsia" w:ascii="仿宋_GB2312" w:hAnsi="宋体" w:eastAsia="仿宋_GB2312" w:cs="仿宋_GB2312"/>
                <w:i w:val="0"/>
                <w:color w:val="auto"/>
                <w:kern w:val="0"/>
                <w:sz w:val="21"/>
                <w:szCs w:val="21"/>
                <w:highlight w:val="none"/>
                <w:u w:val="none"/>
                <w:lang w:val="en-US" w:eastAsia="zh-CN" w:bidi="ar"/>
              </w:rPr>
              <w:t>个</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CA59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海康威视、大华、华为</w:t>
            </w:r>
          </w:p>
        </w:tc>
      </w:tr>
      <w:tr w14:paraId="2B8B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C8F9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27</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5B85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B587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 xml:space="preserve">声光报警器 </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B03C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工作电压24VDC，闪光次数&gt;60/min，防护等级IP66以上，内部电路防护处理，</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7FC55">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473F2">
            <w:pPr>
              <w:keepNext w:val="0"/>
              <w:keepLines w:val="0"/>
              <w:widowControl/>
              <w:suppressLineNumbers w:val="0"/>
              <w:jc w:val="center"/>
              <w:textAlignment w:val="center"/>
              <w:rPr>
                <w:rFonts w:hint="eastAsia" w:ascii="仿宋_GB2312" w:hAnsi="宋体" w:eastAsia="仿宋_GB2312" w:cs="仿宋_GB2312"/>
                <w:i w:val="0"/>
                <w:color w:val="auto"/>
                <w:sz w:val="21"/>
                <w:szCs w:val="21"/>
                <w:highlight w:val="none"/>
                <w:u w:val="none"/>
              </w:rPr>
            </w:pPr>
            <w:r>
              <w:rPr>
                <w:rFonts w:hint="eastAsia" w:ascii="仿宋_GB2312" w:hAnsi="宋体" w:eastAsia="仿宋_GB2312" w:cs="仿宋_GB2312"/>
                <w:i w:val="0"/>
                <w:color w:val="auto"/>
                <w:kern w:val="0"/>
                <w:sz w:val="21"/>
                <w:szCs w:val="21"/>
                <w:highlight w:val="none"/>
                <w:u w:val="none"/>
                <w:lang w:val="en-US" w:eastAsia="zh-CN" w:bidi="ar"/>
              </w:rPr>
              <w:t>个</w:t>
            </w:r>
          </w:p>
        </w:tc>
        <w:tc>
          <w:tcPr>
            <w:tcW w:w="160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3F444A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64F9B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E2DF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32DB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79F5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四防区编址模块</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6492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支持四个回路，电流消耗1mA</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F2E43">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598A8">
            <w:pPr>
              <w:keepNext w:val="0"/>
              <w:keepLines w:val="0"/>
              <w:widowControl/>
              <w:suppressLineNumbers w:val="0"/>
              <w:jc w:val="center"/>
              <w:textAlignment w:val="center"/>
              <w:rPr>
                <w:rFonts w:hint="eastAsia" w:ascii="仿宋_GB2312" w:hAnsi="宋体" w:eastAsia="仿宋_GB2312" w:cs="仿宋_GB2312"/>
                <w:i w:val="0"/>
                <w:color w:val="auto"/>
                <w:sz w:val="21"/>
                <w:szCs w:val="21"/>
                <w:highlight w:val="none"/>
                <w:u w:val="none"/>
              </w:rPr>
            </w:pPr>
            <w:r>
              <w:rPr>
                <w:rFonts w:hint="eastAsia" w:ascii="仿宋_GB2312" w:hAnsi="宋体" w:eastAsia="仿宋_GB2312" w:cs="仿宋_GB2312"/>
                <w:i w:val="0"/>
                <w:color w:val="auto"/>
                <w:kern w:val="0"/>
                <w:sz w:val="21"/>
                <w:szCs w:val="21"/>
                <w:highlight w:val="none"/>
                <w:u w:val="none"/>
                <w:lang w:val="en-US" w:eastAsia="zh-CN" w:bidi="ar"/>
              </w:rPr>
              <w:t>个</w:t>
            </w:r>
          </w:p>
        </w:tc>
        <w:tc>
          <w:tcPr>
            <w:tcW w:w="1602" w:type="dxa"/>
            <w:tcBorders>
              <w:top w:val="nil"/>
              <w:left w:val="nil"/>
              <w:bottom w:val="single" w:color="000000" w:sz="8" w:space="0"/>
              <w:right w:val="nil"/>
            </w:tcBorders>
            <w:shd w:val="clear" w:color="auto" w:fill="auto"/>
            <w:tcMar>
              <w:top w:w="15" w:type="dxa"/>
              <w:left w:w="15" w:type="dxa"/>
              <w:right w:w="15" w:type="dxa"/>
            </w:tcMar>
            <w:vAlign w:val="center"/>
          </w:tcPr>
          <w:p w14:paraId="2BBD5C40">
            <w:pPr>
              <w:jc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68260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3D94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8FCB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DFA43">
            <w:pPr>
              <w:keepNext w:val="0"/>
              <w:keepLines w:val="0"/>
              <w:widowControl/>
              <w:suppressLineNumbers w:val="0"/>
              <w:jc w:val="center"/>
              <w:textAlignment w:val="center"/>
              <w:rPr>
                <w:rFonts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工业级温湿度变送器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66BF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1)温度:-20°C~120°C，精度不小于±0.5°C；</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2)湿度:0%RH~100%RH,精度不小于±4%；</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3)工业级产品；4)RS485通讯;5)供电：DC24V电源。</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8D340">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BCEDC">
            <w:pPr>
              <w:keepNext w:val="0"/>
              <w:keepLines w:val="0"/>
              <w:widowControl/>
              <w:suppressLineNumbers w:val="0"/>
              <w:jc w:val="center"/>
              <w:textAlignment w:val="center"/>
              <w:rPr>
                <w:rFonts w:hint="eastAsia" w:ascii="仿宋_GB2312" w:hAnsi="宋体" w:eastAsia="仿宋_GB2312" w:cs="仿宋_GB2312"/>
                <w:i w:val="0"/>
                <w:color w:val="auto"/>
                <w:sz w:val="21"/>
                <w:szCs w:val="21"/>
                <w:highlight w:val="none"/>
                <w:u w:val="none"/>
              </w:rPr>
            </w:pPr>
            <w:r>
              <w:rPr>
                <w:rFonts w:hint="eastAsia" w:ascii="仿宋_GB2312" w:hAnsi="宋体" w:eastAsia="仿宋_GB2312" w:cs="仿宋_GB2312"/>
                <w:i w:val="0"/>
                <w:color w:val="auto"/>
                <w:kern w:val="0"/>
                <w:sz w:val="21"/>
                <w:szCs w:val="21"/>
                <w:highlight w:val="none"/>
                <w:u w:val="none"/>
                <w:lang w:val="en-US" w:eastAsia="zh-CN" w:bidi="ar"/>
              </w:rPr>
              <w:t>个</w:t>
            </w:r>
          </w:p>
        </w:tc>
        <w:tc>
          <w:tcPr>
            <w:tcW w:w="160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CFDCFC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241D0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16EC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A234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弱电安防</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D47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水浸传感器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A063A">
            <w:pPr>
              <w:keepNext w:val="0"/>
              <w:keepLines w:val="0"/>
              <w:widowControl/>
              <w:suppressLineNumbers w:val="0"/>
              <w:jc w:val="center"/>
              <w:textAlignment w:val="center"/>
              <w:rPr>
                <w:rFonts w:hint="eastAsia" w:ascii="等线" w:hAnsi="等线" w:eastAsia="等线" w:cs="等线"/>
                <w:i w:val="0"/>
                <w:color w:val="auto"/>
                <w:sz w:val="22"/>
                <w:szCs w:val="22"/>
                <w:highlight w:val="none"/>
                <w:u w:val="none"/>
              </w:rPr>
            </w:pPr>
            <w:r>
              <w:rPr>
                <w:rFonts w:hint="eastAsia" w:ascii="等线" w:hAnsi="等线" w:eastAsia="等线" w:cs="等线"/>
                <w:i w:val="0"/>
                <w:color w:val="auto"/>
                <w:kern w:val="0"/>
                <w:sz w:val="22"/>
                <w:szCs w:val="22"/>
                <w:highlight w:val="none"/>
                <w:u w:val="none"/>
                <w:lang w:val="en-US" w:eastAsia="zh-CN" w:bidi="ar"/>
              </w:rPr>
              <w:t>量程：</w:t>
            </w:r>
            <w:r>
              <w:rPr>
                <w:rFonts w:hint="eastAsia" w:ascii="宋体" w:hAnsi="宋体" w:eastAsia="宋体" w:cs="宋体"/>
                <w:i w:val="0"/>
                <w:color w:val="auto"/>
                <w:kern w:val="0"/>
                <w:sz w:val="21"/>
                <w:szCs w:val="21"/>
                <w:highlight w:val="none"/>
                <w:u w:val="none"/>
                <w:lang w:val="en-US" w:eastAsia="zh-CN" w:bidi="ar"/>
              </w:rPr>
              <w:t>0.3-6m</w:t>
            </w:r>
            <w:r>
              <w:rPr>
                <w:rStyle w:val="30"/>
                <w:color w:val="auto"/>
                <w:highlight w:val="none"/>
                <w:lang w:val="en-US" w:eastAsia="zh-CN" w:bidi="ar"/>
              </w:rPr>
              <w:t>，</w:t>
            </w:r>
            <w:r>
              <w:rPr>
                <w:rFonts w:hint="eastAsia" w:ascii="宋体" w:hAnsi="宋体" w:eastAsia="宋体" w:cs="宋体"/>
                <w:i w:val="0"/>
                <w:color w:val="auto"/>
                <w:kern w:val="0"/>
                <w:sz w:val="21"/>
                <w:szCs w:val="21"/>
                <w:highlight w:val="none"/>
                <w:u w:val="none"/>
                <w:lang w:val="en-US" w:eastAsia="zh-CN" w:bidi="ar"/>
              </w:rPr>
              <w:t>IP68</w:t>
            </w:r>
            <w:r>
              <w:rPr>
                <w:rStyle w:val="30"/>
                <w:color w:val="auto"/>
                <w:highlight w:val="none"/>
                <w:lang w:val="en-US" w:eastAsia="zh-CN" w:bidi="ar"/>
              </w:rPr>
              <w:t xml:space="preserve">，波束角不大于 </w:t>
            </w:r>
            <w:r>
              <w:rPr>
                <w:rFonts w:hint="eastAsia" w:ascii="宋体" w:hAnsi="宋体" w:eastAsia="宋体" w:cs="宋体"/>
                <w:i w:val="0"/>
                <w:color w:val="auto"/>
                <w:kern w:val="0"/>
                <w:sz w:val="21"/>
                <w:szCs w:val="21"/>
                <w:highlight w:val="none"/>
                <w:u w:val="none"/>
                <w:lang w:val="en-US" w:eastAsia="zh-CN" w:bidi="ar"/>
              </w:rPr>
              <w:t>8</w:t>
            </w:r>
            <w:r>
              <w:rPr>
                <w:rStyle w:val="30"/>
                <w:color w:val="auto"/>
                <w:highlight w:val="none"/>
                <w:lang w:val="en-US" w:eastAsia="zh-CN" w:bidi="ar"/>
              </w:rPr>
              <w:t>°，精度</w:t>
            </w:r>
            <w:r>
              <w:rPr>
                <w:rFonts w:hint="eastAsia" w:ascii="宋体" w:hAnsi="宋体" w:eastAsia="宋体" w:cs="宋体"/>
                <w:i w:val="0"/>
                <w:color w:val="auto"/>
                <w:kern w:val="0"/>
                <w:sz w:val="21"/>
                <w:szCs w:val="21"/>
                <w:highlight w:val="none"/>
                <w:u w:val="none"/>
                <w:lang w:val="en-US" w:eastAsia="zh-CN" w:bidi="ar"/>
              </w:rPr>
              <w:t xml:space="preserve">: </w:t>
            </w:r>
            <w:r>
              <w:rPr>
                <w:rStyle w:val="30"/>
                <w:color w:val="auto"/>
                <w:highlight w:val="none"/>
                <w:lang w:val="en-US" w:eastAsia="zh-CN" w:bidi="ar"/>
              </w:rPr>
              <w:t>±</w:t>
            </w:r>
            <w:r>
              <w:rPr>
                <w:rFonts w:hint="eastAsia" w:ascii="宋体" w:hAnsi="宋体" w:eastAsia="宋体" w:cs="宋体"/>
                <w:i w:val="0"/>
                <w:color w:val="auto"/>
                <w:kern w:val="0"/>
                <w:sz w:val="21"/>
                <w:szCs w:val="21"/>
                <w:highlight w:val="none"/>
                <w:u w:val="none"/>
                <w:lang w:val="en-US" w:eastAsia="zh-CN" w:bidi="ar"/>
              </w:rPr>
              <w:t>0.25%F.S.</w:t>
            </w:r>
            <w:r>
              <w:rPr>
                <w:rStyle w:val="30"/>
                <w:color w:val="auto"/>
                <w:highlight w:val="none"/>
                <w:lang w:val="en-US" w:eastAsia="zh-CN" w:bidi="ar"/>
              </w:rPr>
              <w:t>，</w:t>
            </w:r>
            <w:r>
              <w:rPr>
                <w:rFonts w:hint="eastAsia" w:ascii="宋体" w:hAnsi="宋体" w:eastAsia="宋体" w:cs="宋体"/>
                <w:i w:val="0"/>
                <w:color w:val="auto"/>
                <w:kern w:val="0"/>
                <w:sz w:val="21"/>
                <w:szCs w:val="21"/>
                <w:highlight w:val="none"/>
                <w:u w:val="none"/>
                <w:lang w:val="en-US" w:eastAsia="zh-CN" w:bidi="ar"/>
              </w:rPr>
              <w:t>DC24V</w:t>
            </w:r>
            <w:r>
              <w:rPr>
                <w:rStyle w:val="30"/>
                <w:color w:val="auto"/>
                <w:highlight w:val="none"/>
                <w:lang w:val="en-US" w:eastAsia="zh-CN" w:bidi="ar"/>
              </w:rPr>
              <w:t>供电，背光 LCD 显示，4-20mA 输出液位；螺纹接头或法兰连接</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79E97">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CC678">
            <w:pPr>
              <w:keepNext w:val="0"/>
              <w:keepLines w:val="0"/>
              <w:widowControl/>
              <w:suppressLineNumbers w:val="0"/>
              <w:jc w:val="center"/>
              <w:textAlignment w:val="center"/>
              <w:rPr>
                <w:rFonts w:hint="eastAsia" w:ascii="仿宋_GB2312" w:hAnsi="宋体" w:eastAsia="仿宋_GB2312" w:cs="仿宋_GB2312"/>
                <w:i w:val="0"/>
                <w:color w:val="auto"/>
                <w:sz w:val="21"/>
                <w:szCs w:val="21"/>
                <w:highlight w:val="none"/>
                <w:u w:val="none"/>
              </w:rPr>
            </w:pPr>
            <w:r>
              <w:rPr>
                <w:rFonts w:hint="eastAsia" w:ascii="仿宋_GB2312" w:hAnsi="宋体" w:eastAsia="仿宋_GB2312" w:cs="仿宋_GB2312"/>
                <w:i w:val="0"/>
                <w:color w:val="auto"/>
                <w:kern w:val="0"/>
                <w:sz w:val="21"/>
                <w:szCs w:val="21"/>
                <w:highlight w:val="none"/>
                <w:u w:val="none"/>
                <w:lang w:val="en-US" w:eastAsia="zh-CN" w:bidi="ar"/>
              </w:rPr>
              <w:t>个</w:t>
            </w:r>
          </w:p>
        </w:tc>
        <w:tc>
          <w:tcPr>
            <w:tcW w:w="160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1F93D0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无特殊要求</w:t>
            </w:r>
          </w:p>
        </w:tc>
      </w:tr>
      <w:tr w14:paraId="48086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E6FE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7349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给排水</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BB43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离心泵</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193E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Q=45L/s H=52m N=37kW；</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Q=30L/s H=40m N=22kW；</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Q=1.0L/s H=45m N=1.5kW；</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3A4A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9D80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094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凯泉、南方泵业、上海东方，或同档次及以上</w:t>
            </w:r>
          </w:p>
        </w:tc>
      </w:tr>
      <w:tr w14:paraId="48ED0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0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D5F0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32</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98BE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给排水</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68D7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潜污泵</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0F0DD">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Q=40m3/h,H=15m,N=4.0kW</w:t>
            </w:r>
          </w:p>
          <w:p w14:paraId="23533D6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Q=50m3/h,H=15m,N=5.5kW</w:t>
            </w:r>
          </w:p>
          <w:p w14:paraId="29550C7F">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Q=10m3/h,H=10m,N=0.75kW</w:t>
            </w:r>
          </w:p>
          <w:p w14:paraId="4958D06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Q=10.8m3/h,H=38m,N=4.0kW</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C0216">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w:t>
            </w:r>
          </w:p>
          <w:p w14:paraId="01FD17F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w:t>
            </w:r>
          </w:p>
          <w:p w14:paraId="2BF5202D">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w:t>
            </w:r>
          </w:p>
          <w:p w14:paraId="092B6F2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4484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E495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蓝深、凯泉、南方泵业、上海东方，或同档次及以上</w:t>
            </w:r>
          </w:p>
        </w:tc>
      </w:tr>
      <w:tr w14:paraId="7DE0C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5B659">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33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5307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8A9D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直流变频多联机空调室外机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D7559">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制冷量：53.2kW;功率:17.8kW/380V;APF值≥4.00; IPLV(C)值≥4.55</w:t>
            </w:r>
          </w:p>
          <w:p w14:paraId="6552E850">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制冷量：48.5kW;功率:16.2kW/380V;APF值≥4.20; IPLV(C)值≥4.55</w:t>
            </w:r>
          </w:p>
          <w:p w14:paraId="46F724B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制冷量：85.1kW;功率:28.4kW/380V;APF值≥3.80; IPLV(C)值≥4.32</w:t>
            </w:r>
          </w:p>
          <w:p w14:paraId="6A591EDA">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制冷量：42.3kW;功率:14.1kW/380V;APF值≥4.20; IPLV(C)值≥4.55</w:t>
            </w:r>
          </w:p>
          <w:p w14:paraId="07C556E5">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制冷量：64kW;功率:21.4kW/380V;APF值≥4.00; IPLV(C)值≥4.55</w:t>
            </w:r>
          </w:p>
          <w:p w14:paraId="2AFA9C57">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制冷量：17.6kW;功率:5.9kW/380V;APF值≥4.30; IPLV(C)值≥4.65</w:t>
            </w:r>
          </w:p>
          <w:p w14:paraId="06C6802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制冷量：44.0kW;功率:14.7kW/380V;APF值≥4.20; IPLV(C)值≥4.55</w:t>
            </w:r>
          </w:p>
          <w:p w14:paraId="1DE4A8BA">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制冷量：100.4kW;功率:33.5kW/380V;APF值≥3.80; IPLV(C)值≥4.32</w:t>
            </w:r>
          </w:p>
          <w:p w14:paraId="1B59761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制冷量：22.5kW;功率:7.5kW/380V;APF值≥4.30; IPLV(C)值≥4.65</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4286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76938E0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2AFAFAD0">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5BE6C09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34F3CBE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7A7146F5">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0EDD219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104AF212">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4DD6700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45C2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B68A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大金、格力、美的，或同档次及以上</w:t>
            </w:r>
          </w:p>
        </w:tc>
      </w:tr>
      <w:tr w14:paraId="654D4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1F47">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34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A804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AA59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嵌入式多联机空调室内机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D881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制冷量:2.2kW,功率:0.2kW/220V,四面出风型,配线控器,冷水提升泵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制冷量:2.8kW,功率:0.2kW/220V,四面出风型,配线控器,冷水提升泵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制冷量:3.6kW,功率:0.2kW/220V,四面出风型,配线控器,冷水提升泵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制冷量:4.5kW,功率:0.2kW/220V,四面出风型,配线控器,冷水提升泵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制冷量:5kW,功率:0.2kW/220V,四面出风型,配线控器,冷水提升泵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制冷量:5.6kW,功率:0.2kW/220V,四面出风型,配线控器,冷水提升泵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制冷量:6.3kW,功率:0.2kW/220V,四面出风型,配线控器,冷水提升泵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制冷量:7.1kW,功率:0.2kW/220V,四面出风型,配线控器,冷水提升泵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制冷量:8kW,功率:0.2kW/220V,四面出风型,配线控器,冷水提升泵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制冷量:9kW,功率:0.2kW/220V,四面出风型,配线控器,冷水提升泵</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制冷量:10kW,功率:0.2kW/220V,四面出风型,配线控器,冷水提升泵</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461F4">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w:t>
            </w:r>
          </w:p>
          <w:p w14:paraId="29550A17">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w:t>
            </w:r>
          </w:p>
          <w:p w14:paraId="4A83C8EF">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7</w:t>
            </w:r>
          </w:p>
          <w:p w14:paraId="5391CB7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w:t>
            </w:r>
          </w:p>
          <w:p w14:paraId="749EE39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w:t>
            </w:r>
          </w:p>
          <w:p w14:paraId="7BA8A63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w:t>
            </w:r>
          </w:p>
          <w:p w14:paraId="535706F0">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w:t>
            </w:r>
          </w:p>
          <w:p w14:paraId="715C0B9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w:t>
            </w:r>
          </w:p>
          <w:p w14:paraId="7CFE35EA">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8</w:t>
            </w:r>
          </w:p>
          <w:p w14:paraId="464433B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w:t>
            </w:r>
          </w:p>
          <w:p w14:paraId="598F9FE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280E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67CC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大金、格力、美的，或同档次及以上</w:t>
            </w:r>
          </w:p>
        </w:tc>
      </w:tr>
      <w:tr w14:paraId="126B8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2C4E8">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35</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379D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D937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多联机空调新风处理器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6EF4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制冷量：8.6kW;风量：960m3/h;机外静压:200Pa;功率：0.6kW/220V</w:t>
            </w:r>
          </w:p>
          <w:p w14:paraId="38ADF5B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制冷量：14.8kW;风量：1100m3/h;机外静压:200Pa;功率：0.6kW/220V</w:t>
            </w:r>
          </w:p>
          <w:p w14:paraId="7C73D3F6">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制冷量：21.5kW;风量：2260m3/h;机外静压:230Pa;功率：0.6kW/220V</w:t>
            </w:r>
          </w:p>
          <w:p w14:paraId="447E7B9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制冷量：17.7kW;风量：2860m3/h;机外静压:240Pa;功率：0.6kW/220V</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116B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B2B4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C86E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大金、格力、美的，或同档次及以上</w:t>
            </w:r>
          </w:p>
        </w:tc>
      </w:tr>
      <w:tr w14:paraId="455C3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5DC26">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36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5F75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FB75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全热交换器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C317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风量:1260m3/h;机外余压:120Pa;功率:1.5kW/220V,带过滤器,全热效率不小于60%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6970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632E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1311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大金、格力、美的，或同档次及以上</w:t>
            </w:r>
          </w:p>
        </w:tc>
      </w:tr>
      <w:tr w14:paraId="4A0CE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2527E">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37</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F525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4190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多联机智能监控系统</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8554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含软件、密码钥匙、集中控制转换器、变压器、使用说明书等，具备标准的通信接口和开放的通信协议，以便与BAS进行通信连接</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BE4B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4B02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93DE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大金、格力、美的，或同档次及以上</w:t>
            </w:r>
          </w:p>
        </w:tc>
      </w:tr>
      <w:tr w14:paraId="6F13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2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8A0ED">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38</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E1F7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F76C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冷暖型分体空调</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6548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制冷量:2.9kW;功率:1.0kW/220V;SEER≥5.00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制冷量:2.1kW;功率:0.7kW/220V;SEER≥5.00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制冷量:3.9kW;功率:1.3kW/220V;SEER≥5.00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制冷量:5.8kW;功率:1.9kW/220V;SEER≥4.40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制冷量:5.2kW;功率:1.7kW/220V;SEER≥4.40</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制冷量:7.5kW;功率:2.5kW/220V;SEER≥4.40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5188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B2D5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C3F6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大金、格力、美的，或同档次及以上</w:t>
            </w:r>
          </w:p>
        </w:tc>
      </w:tr>
      <w:tr w14:paraId="1F875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91EF6">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39</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34DD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6781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柜式离心风机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F286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风量:11450m3/h;全压:485Pa;功率:4kW/380V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风量:2120m3/h;全压:250Pa;功率:0.55kW/380V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风量:7190m3/h;全压:520Pa;功率:3kW/380V，不锈钢材质</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DA5FF">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B5AE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0C93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亿利达、上风高科、南风，或同档次及以上</w:t>
            </w:r>
          </w:p>
        </w:tc>
      </w:tr>
      <w:tr w14:paraId="555C1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2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31C1F">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F28DE">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497F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壁挂式轴流风机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97DE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风量：880m3/h;全压:50Pa;功率：0.12kW/220V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风量：320m3/h;全压:50Pa;功率：0.12kW/220V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风量：4800m3/h;全压:200Pa;功率：0.75kW/380V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风量：1430m3/h;全压:150Pa;功率：0.25kW/380V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风量：4460m3/h;全压:200Pa;功率：0.55kW/380V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风量：600m3/h;全压:50Pa;功率：0.12kW/220V</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DC6E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2</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930F5">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EDA6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亿利达、上风高科、南风，或同档次及以上</w:t>
            </w:r>
          </w:p>
        </w:tc>
      </w:tr>
      <w:tr w14:paraId="23A3D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32C56">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5387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750B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轴流风机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FCAD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风量：6340m3/h;全压:220Pa;功率：1.1kW/380V</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风量：2080m3/h;全压:160Pa;功率：0.37kW/380V</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8BA2B">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ACC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8B39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亿利达、上风高科、南风，或同档次及以上</w:t>
            </w:r>
          </w:p>
        </w:tc>
      </w:tr>
      <w:tr w14:paraId="58186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BE175">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42</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1C75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7FF7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壁挂式排气扇</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5571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风量：100m3/h;全压:50Pa;功率：0.1kW/220V</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19C2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CCD9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10C7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金羚、正野、松下，或同档次及以上</w:t>
            </w:r>
          </w:p>
        </w:tc>
      </w:tr>
      <w:tr w14:paraId="64EF9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EF2ED">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43</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1E12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63A2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吸顶式排气扇</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511CD">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风风量：100m3/h;全压:50Pa;功率：0.1kW/220V,带止回装置</w:t>
            </w:r>
          </w:p>
          <w:p w14:paraId="6A3B1CC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风量：500m3/h;全压:50Pa;功率：0.1kW/220V,带止回装置</w:t>
            </w:r>
          </w:p>
          <w:p w14:paraId="20F3C946">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风量：220m3/h;全压:50Pa;功率：0.1kW/220V,带止回装置</w:t>
            </w:r>
          </w:p>
          <w:p w14:paraId="35761CD6">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风量：300m3/h;全压:50Pa;功率：0.1kW/220V,带止回装置</w:t>
            </w:r>
          </w:p>
          <w:p w14:paraId="10367BBE">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风量：340m3/h;全压:50Pa;功率：0.1kW/220V</w:t>
            </w:r>
          </w:p>
          <w:p w14:paraId="64532211">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风量：160m3/h;全压:50Pa;功率：0.1kW/220V</w:t>
            </w:r>
          </w:p>
          <w:p w14:paraId="434CE9F3">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风量：340m3/h;全压:50Pa;功率：0.1kW/220V,带止回装置</w:t>
            </w:r>
          </w:p>
          <w:p w14:paraId="3F0A8E2A">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风量：420m3/h;全压:50Pa;功率：0.1kW/220V,带止回装置</w:t>
            </w:r>
          </w:p>
          <w:p w14:paraId="3FA2240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风量：100m3/h;全压:50Pa;功率：0.1kW/220V</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F07CE">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w:t>
            </w:r>
          </w:p>
          <w:p w14:paraId="25903FDB">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w:t>
            </w:r>
          </w:p>
          <w:p w14:paraId="67B9F09C">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07C904F9">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15</w:t>
            </w:r>
          </w:p>
          <w:p w14:paraId="47B1092D">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w:t>
            </w:r>
          </w:p>
          <w:p w14:paraId="3D7D605E">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p w14:paraId="17E5D3D9">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12</w:t>
            </w:r>
          </w:p>
          <w:p w14:paraId="238E81D0">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w:t>
            </w:r>
          </w:p>
          <w:p w14:paraId="786487A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87B4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48AA0">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金羚、正野、松下，或同档次及以上</w:t>
            </w:r>
          </w:p>
        </w:tc>
      </w:tr>
      <w:tr w14:paraId="00E5A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D7AC2">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44</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7BEE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通风空调</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4788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静电油烟净化器</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76DF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风量:7190m3/h;压损:&lt;100Pa;功率:1kW/220V;出口油烟浓度≤2.0mg/m3,净化效率≥85%</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7C398">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64806">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台</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52C81">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美埃、垂恩、科蓝环保、深圳速蓝、保丽洁，或同档次及以上</w:t>
            </w:r>
          </w:p>
        </w:tc>
      </w:tr>
      <w:tr w14:paraId="6CA53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4BFDF">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45</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23ABA">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工艺设备</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94242">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电梯</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D6FD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无机房载人电梯，载重1050kg，速度1.0m/s</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6E11D">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BC7E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4E374">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日立、三菱、通力，或同档次及以上</w:t>
            </w:r>
          </w:p>
        </w:tc>
      </w:tr>
      <w:tr w14:paraId="3886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7FB36">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46</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48093">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工艺设备</w:t>
            </w:r>
          </w:p>
        </w:tc>
        <w:tc>
          <w:tcPr>
            <w:tcW w:w="14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C58E7">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LX型电动单梁悬挂桥式起重机</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8B29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起重高度6m，Q=2t S=5m P＝0.8kW</w:t>
            </w:r>
            <w:r>
              <w:rPr>
                <w:rFonts w:hint="eastAsia" w:ascii="宋体" w:hAnsi="宋体" w:eastAsia="宋体" w:cs="宋体"/>
                <w:i w:val="0"/>
                <w:color w:val="auto"/>
                <w:kern w:val="0"/>
                <w:sz w:val="22"/>
                <w:szCs w:val="22"/>
                <w:highlight w:val="none"/>
                <w:u w:val="none"/>
                <w:lang w:val="en-US" w:eastAsia="zh-CN" w:bidi="ar"/>
              </w:rPr>
              <w:br w:type="textWrapping"/>
            </w:r>
            <w:r>
              <w:rPr>
                <w:rFonts w:hint="eastAsia" w:ascii="宋体" w:hAnsi="宋体" w:eastAsia="宋体" w:cs="宋体"/>
                <w:i w:val="0"/>
                <w:color w:val="auto"/>
                <w:kern w:val="0"/>
                <w:sz w:val="22"/>
                <w:szCs w:val="22"/>
                <w:highlight w:val="none"/>
                <w:u w:val="none"/>
                <w:lang w:val="en-US" w:eastAsia="zh-CN" w:bidi="ar"/>
              </w:rPr>
              <w:t>电动葫芦Q=2t,N=3kW,H=6m</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D284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E8379">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套</w:t>
            </w:r>
          </w:p>
        </w:tc>
        <w:tc>
          <w:tcPr>
            <w:tcW w:w="1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C3ADC">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广州通力、顺发、永通、永豪，或同档次及以上</w:t>
            </w:r>
          </w:p>
        </w:tc>
      </w:tr>
    </w:tbl>
    <w:p w14:paraId="0CA7FD12">
      <w:pPr>
        <w:widowControl w:val="0"/>
        <w:adjustRightInd w:val="0"/>
        <w:spacing w:line="560" w:lineRule="exact"/>
        <w:ind w:firstLine="480" w:firstLineChars="200"/>
        <w:jc w:val="both"/>
        <w:textAlignment w:val="baseline"/>
        <w:rPr>
          <w:rFonts w:hint="eastAsia" w:ascii="仿宋_GB2312" w:hAnsi="仿宋_GB2312" w:eastAsia="仿宋_GB2312" w:cs="仿宋_GB2312"/>
          <w:color w:val="auto"/>
          <w:kern w:val="2"/>
          <w:sz w:val="24"/>
          <w:szCs w:val="24"/>
          <w:highlight w:val="none"/>
          <w:lang w:val="en-US" w:eastAsia="zh-CN" w:bidi="ar-SA"/>
        </w:rPr>
      </w:pPr>
    </w:p>
    <w:permEnd w:id="470"/>
    <w:p w14:paraId="0F8EF8B9">
      <w:pP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br w:type="page"/>
      </w:r>
    </w:p>
    <w:p w14:paraId="5A31BC44">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格式1</w:t>
      </w:r>
    </w:p>
    <w:p w14:paraId="6F9003B5">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履约担保</w:t>
      </w:r>
    </w:p>
    <w:p w14:paraId="06EE0116">
      <w:pPr>
        <w:spacing w:line="420" w:lineRule="exact"/>
        <w:rPr>
          <w:rFonts w:ascii="宋体" w:hAnsi="宋体" w:cs="宋体"/>
          <w:color w:val="auto"/>
          <w:sz w:val="22"/>
          <w:szCs w:val="22"/>
          <w:highlight w:val="none"/>
        </w:rPr>
      </w:pPr>
    </w:p>
    <w:p w14:paraId="3FC63EAF">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14:paraId="13129A74">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14:paraId="5628666A">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2D93D756">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14:paraId="1850462D">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24577AB3">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14:paraId="5950A2B0">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4AA0B891">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4ED02E1F">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p w14:paraId="565C4293">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317CE8E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2D8018B6">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25F85C16">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三、本保函有效期自开立之日起至基础合同约定的缺陷责任期后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 </w:t>
      </w:r>
    </w:p>
    <w:p w14:paraId="1002B506">
      <w:pPr>
        <w:spacing w:line="360" w:lineRule="auto"/>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14:paraId="04B9F09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14:paraId="2FFB04B6">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14:paraId="2F1F2A44">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14:paraId="591ACEA4">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14:paraId="3E3AAF50">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5D3D57CC">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14:paraId="21B0C916">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五、本保函项下的权利不得转让，不得设定担保。贵方未经我方书面同意转 让本保函或其项下任何权利，对我方不发生法律效力。 </w:t>
      </w:r>
    </w:p>
    <w:p w14:paraId="119F0DC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14:paraId="4B27C10A">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2ACD42C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681137D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九、本保函自我方法定代表人或授权代表签字并加盖公章之日起生效。 </w:t>
      </w:r>
    </w:p>
    <w:p w14:paraId="07E7ED3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14:paraId="25D57300">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14:paraId="7F9328AF">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14:paraId="06E79B47">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14:paraId="56AE1160">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14:paraId="2AD31A2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14:paraId="0ACC5216">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开立时间：      年      月    </w:t>
      </w:r>
    </w:p>
    <w:p w14:paraId="64005422">
      <w:pPr>
        <w:spacing w:line="420" w:lineRule="exact"/>
        <w:rPr>
          <w:rFonts w:ascii="宋体" w:hAnsi="宋体" w:cs="Calibri"/>
          <w:color w:val="auto"/>
          <w:sz w:val="24"/>
          <w:szCs w:val="24"/>
          <w:highlight w:val="none"/>
        </w:rPr>
      </w:pPr>
    </w:p>
    <w:p w14:paraId="79534CE8">
      <w:pPr>
        <w:spacing w:line="420" w:lineRule="exact"/>
        <w:rPr>
          <w:rFonts w:ascii="宋体" w:hAnsi="宋体" w:cs="Calibri"/>
          <w:color w:val="auto"/>
          <w:sz w:val="24"/>
          <w:szCs w:val="24"/>
          <w:highlight w:val="none"/>
        </w:rPr>
      </w:pPr>
    </w:p>
    <w:p w14:paraId="6A4E6BB4">
      <w:pPr>
        <w:spacing w:line="420" w:lineRule="exact"/>
        <w:rPr>
          <w:rFonts w:ascii="宋体" w:hAnsi="宋体" w:cs="Calibri"/>
          <w:color w:val="auto"/>
          <w:sz w:val="24"/>
          <w:szCs w:val="24"/>
          <w:highlight w:val="none"/>
        </w:rPr>
      </w:pPr>
    </w:p>
    <w:p w14:paraId="6EDDD923">
      <w:pPr>
        <w:spacing w:line="420" w:lineRule="exact"/>
        <w:rPr>
          <w:rFonts w:ascii="宋体" w:hAnsi="宋体" w:cs="Calibri"/>
          <w:color w:val="auto"/>
          <w:sz w:val="24"/>
          <w:szCs w:val="24"/>
          <w:highlight w:val="none"/>
        </w:rPr>
      </w:pPr>
    </w:p>
    <w:p w14:paraId="5BC86C94">
      <w:pPr>
        <w:spacing w:line="420" w:lineRule="exact"/>
        <w:rPr>
          <w:rFonts w:ascii="宋体" w:hAnsi="宋体" w:cs="Calibri"/>
          <w:color w:val="auto"/>
          <w:sz w:val="24"/>
          <w:szCs w:val="24"/>
          <w:highlight w:val="none"/>
        </w:rPr>
      </w:pPr>
    </w:p>
    <w:p w14:paraId="5C5D0B45">
      <w:pPr>
        <w:spacing w:line="420" w:lineRule="exact"/>
        <w:rPr>
          <w:rFonts w:ascii="宋体" w:hAnsi="宋体" w:cs="Calibri"/>
          <w:color w:val="auto"/>
          <w:sz w:val="24"/>
          <w:szCs w:val="24"/>
          <w:highlight w:val="none"/>
        </w:rPr>
      </w:pPr>
    </w:p>
    <w:p w14:paraId="6DAFD26A">
      <w:pPr>
        <w:pStyle w:val="3"/>
        <w:rPr>
          <w:color w:val="auto"/>
          <w:highlight w:val="none"/>
        </w:rPr>
      </w:pPr>
    </w:p>
    <w:p w14:paraId="2D80D673">
      <w:pPr>
        <w:spacing w:line="420" w:lineRule="exact"/>
        <w:rPr>
          <w:rFonts w:ascii="宋体" w:hAnsi="宋体" w:cs="Calibri"/>
          <w:color w:val="auto"/>
          <w:sz w:val="24"/>
          <w:szCs w:val="24"/>
          <w:highlight w:val="none"/>
        </w:rPr>
      </w:pPr>
    </w:p>
    <w:p w14:paraId="4535B3C5">
      <w:pPr>
        <w:spacing w:line="420" w:lineRule="exact"/>
        <w:rPr>
          <w:rFonts w:ascii="宋体" w:hAnsi="宋体" w:cs="Calibri"/>
          <w:color w:val="auto"/>
          <w:sz w:val="24"/>
          <w:szCs w:val="24"/>
          <w:highlight w:val="none"/>
        </w:rPr>
      </w:pPr>
    </w:p>
    <w:p w14:paraId="1AEF1A86">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格式2</w:t>
      </w:r>
      <w:bookmarkEnd w:id="735"/>
      <w:bookmarkEnd w:id="736"/>
      <w:bookmarkEnd w:id="737"/>
    </w:p>
    <w:p w14:paraId="5147902F">
      <w:pPr>
        <w:spacing w:line="420" w:lineRule="exact"/>
        <w:jc w:val="center"/>
        <w:rPr>
          <w:rFonts w:ascii="宋体" w:hAnsi="宋体" w:cs="宋体"/>
          <w:b/>
          <w:bCs/>
          <w:color w:val="auto"/>
          <w:spacing w:val="40"/>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支付担保</w:t>
      </w:r>
    </w:p>
    <w:p w14:paraId="17D85F41">
      <w:pPr>
        <w:spacing w:line="420" w:lineRule="exact"/>
        <w:rPr>
          <w:rFonts w:ascii="宋体" w:hAnsi="宋体" w:cs="宋体"/>
          <w:color w:val="auto"/>
          <w:sz w:val="22"/>
          <w:szCs w:val="22"/>
          <w:highlight w:val="none"/>
        </w:rPr>
      </w:pPr>
    </w:p>
    <w:p w14:paraId="0A2CCDD9">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14:paraId="4C5434EA">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14:paraId="01E398D3">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4F6B3EBF">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14:paraId="02F69DA1">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1342AC71">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14:paraId="5DC75A78">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0563E479">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FFA1384">
      <w:pPr>
        <w:spacing w:line="360" w:lineRule="auto"/>
        <w:rPr>
          <w:rFonts w:hint="eastAsia" w:ascii="仿宋_GB2312" w:hAnsi="仿宋_GB2312" w:eastAsia="仿宋_GB2312" w:cs="仿宋_GB2312"/>
          <w:color w:val="auto"/>
          <w:sz w:val="24"/>
          <w:szCs w:val="24"/>
          <w:highlight w:val="none"/>
        </w:rPr>
      </w:pPr>
      <w:bookmarkStart w:id="738" w:name="_Hlk40355074"/>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bookmarkEnd w:id="738"/>
    <w:p w14:paraId="3E053525">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59347C8A">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4100E06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7CB7731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三、本保函有效期自开立之日起至基础合同约定的除工程质量保修金以外的全部工程结算款项支付之日后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 </w:t>
      </w:r>
    </w:p>
    <w:p w14:paraId="576FF87B">
      <w:pPr>
        <w:spacing w:line="360" w:lineRule="auto"/>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14:paraId="19FFBCA7">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14:paraId="065D5C6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14:paraId="637B1CF0">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14:paraId="5FA91CEE">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14:paraId="16AA166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6138BC33">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14:paraId="7B9BD00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五、本保函项下的权利不得转让，不得设定担保。贵方未经我方书面同意转 让本保函或其项下任何权利，对我方不发生法律效力。</w:t>
      </w:r>
    </w:p>
    <w:p w14:paraId="3BEC9C9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14:paraId="18826AFE">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6B7F11F">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0130AE0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九、本保函自我方法定代表人</w:t>
      </w:r>
      <w:bookmarkStart w:id="739" w:name="_Hlk58487855"/>
      <w:r>
        <w:rPr>
          <w:rFonts w:hint="eastAsia" w:ascii="仿宋_GB2312" w:hAnsi="仿宋_GB2312" w:eastAsia="仿宋_GB2312" w:cs="仿宋_GB2312"/>
          <w:color w:val="auto"/>
          <w:sz w:val="24"/>
          <w:szCs w:val="24"/>
          <w:highlight w:val="none"/>
        </w:rPr>
        <w:t>或授权代表</w:t>
      </w:r>
      <w:bookmarkEnd w:id="739"/>
      <w:r>
        <w:rPr>
          <w:rFonts w:hint="eastAsia" w:ascii="仿宋_GB2312" w:hAnsi="仿宋_GB2312" w:eastAsia="仿宋_GB2312" w:cs="仿宋_GB2312"/>
          <w:color w:val="auto"/>
          <w:sz w:val="24"/>
          <w:szCs w:val="24"/>
          <w:highlight w:val="none"/>
        </w:rPr>
        <w:t xml:space="preserve">签字并加盖公章之日起生效。 </w:t>
      </w:r>
    </w:p>
    <w:p w14:paraId="6F6D1485">
      <w:pPr>
        <w:spacing w:line="360" w:lineRule="auto"/>
        <w:ind w:firstLine="480" w:firstLineChars="200"/>
        <w:rPr>
          <w:rFonts w:hint="eastAsia" w:ascii="仿宋_GB2312" w:hAnsi="仿宋_GB2312" w:eastAsia="仿宋_GB2312" w:cs="仿宋_GB2312"/>
          <w:color w:val="auto"/>
          <w:sz w:val="24"/>
          <w:szCs w:val="24"/>
          <w:highlight w:val="none"/>
        </w:rPr>
      </w:pPr>
    </w:p>
    <w:p w14:paraId="5E3E12AF">
      <w:pPr>
        <w:spacing w:line="360" w:lineRule="auto"/>
        <w:ind w:firstLine="480" w:firstLineChars="200"/>
        <w:rPr>
          <w:rFonts w:hint="eastAsia" w:ascii="仿宋_GB2312" w:hAnsi="仿宋_GB2312" w:eastAsia="仿宋_GB2312" w:cs="仿宋_GB2312"/>
          <w:color w:val="auto"/>
          <w:sz w:val="24"/>
          <w:szCs w:val="24"/>
          <w:highlight w:val="none"/>
        </w:rPr>
      </w:pPr>
    </w:p>
    <w:p w14:paraId="7DC00A5B">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14:paraId="14E86354">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14:paraId="144F93CE">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14:paraId="71531847">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14:paraId="2B5C2DEF">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14:paraId="3169C742">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14:paraId="59F7AA91">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开立时间：      年      月        日</w:t>
      </w:r>
    </w:p>
    <w:p w14:paraId="6E48FABD">
      <w:pPr>
        <w:spacing w:line="420" w:lineRule="exact"/>
        <w:rPr>
          <w:rFonts w:ascii="宋体" w:hAnsi="宋体" w:cs="宋体"/>
          <w:color w:val="auto"/>
          <w:sz w:val="22"/>
          <w:szCs w:val="22"/>
          <w:highlight w:val="none"/>
        </w:rPr>
      </w:pPr>
    </w:p>
    <w:p w14:paraId="4AC959F9">
      <w:pPr>
        <w:spacing w:line="420" w:lineRule="exact"/>
        <w:rPr>
          <w:rFonts w:ascii="宋体" w:hAnsi="宋体" w:cs="宋体"/>
          <w:color w:val="auto"/>
          <w:sz w:val="22"/>
          <w:szCs w:val="22"/>
          <w:highlight w:val="none"/>
        </w:rPr>
      </w:pPr>
    </w:p>
    <w:p w14:paraId="028E41D8">
      <w:pPr>
        <w:spacing w:line="420" w:lineRule="exact"/>
        <w:rPr>
          <w:rFonts w:ascii="宋体" w:hAnsi="宋体" w:cs="宋体"/>
          <w:color w:val="auto"/>
          <w:sz w:val="22"/>
          <w:szCs w:val="22"/>
          <w:highlight w:val="none"/>
        </w:rPr>
      </w:pPr>
    </w:p>
    <w:p w14:paraId="1C7AF3A4">
      <w:pPr>
        <w:spacing w:line="420" w:lineRule="exact"/>
        <w:rPr>
          <w:rFonts w:ascii="宋体" w:hAnsi="宋体" w:cs="宋体"/>
          <w:color w:val="auto"/>
          <w:sz w:val="22"/>
          <w:szCs w:val="22"/>
          <w:highlight w:val="none"/>
        </w:rPr>
      </w:pPr>
    </w:p>
    <w:p w14:paraId="1BE2502A">
      <w:pPr>
        <w:spacing w:line="420" w:lineRule="exact"/>
        <w:rPr>
          <w:rFonts w:ascii="宋体" w:hAnsi="宋体" w:cs="宋体"/>
          <w:color w:val="auto"/>
          <w:sz w:val="22"/>
          <w:szCs w:val="22"/>
          <w:highlight w:val="none"/>
        </w:rPr>
      </w:pPr>
    </w:p>
    <w:p w14:paraId="0708EF3F">
      <w:pPr>
        <w:spacing w:line="420" w:lineRule="exact"/>
        <w:rPr>
          <w:rFonts w:ascii="宋体" w:hAnsi="宋体" w:cs="宋体"/>
          <w:color w:val="auto"/>
          <w:sz w:val="22"/>
          <w:szCs w:val="22"/>
          <w:highlight w:val="none"/>
        </w:rPr>
      </w:pPr>
    </w:p>
    <w:p w14:paraId="6A90160A">
      <w:pPr>
        <w:pStyle w:val="3"/>
        <w:rPr>
          <w:color w:val="auto"/>
          <w:highlight w:val="none"/>
        </w:rPr>
      </w:pPr>
    </w:p>
    <w:p w14:paraId="07296DA5">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40" w:name="_Toc266892929"/>
      <w:bookmarkStart w:id="741" w:name="_Toc10624989"/>
      <w:bookmarkStart w:id="742" w:name="_Toc469384145"/>
      <w:r>
        <w:rPr>
          <w:rFonts w:hint="eastAsia" w:ascii="黑体" w:hAnsi="黑体" w:eastAsia="黑体" w:cs="黑体"/>
          <w:b w:val="0"/>
          <w:bCs w:val="0"/>
          <w:color w:val="auto"/>
          <w:kern w:val="0"/>
          <w:sz w:val="24"/>
          <w:szCs w:val="24"/>
          <w:highlight w:val="none"/>
        </w:rPr>
        <w:t>格式3</w:t>
      </w:r>
      <w:bookmarkEnd w:id="740"/>
      <w:bookmarkEnd w:id="741"/>
      <w:bookmarkEnd w:id="742"/>
    </w:p>
    <w:p w14:paraId="1256CC7E">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预付款担保</w:t>
      </w:r>
    </w:p>
    <w:p w14:paraId="4EBD3AC5">
      <w:pPr>
        <w:spacing w:line="420" w:lineRule="exact"/>
        <w:rPr>
          <w:rFonts w:ascii="宋体" w:hAnsi="宋体" w:cs="宋体"/>
          <w:color w:val="auto"/>
          <w:sz w:val="22"/>
          <w:szCs w:val="22"/>
          <w:highlight w:val="none"/>
        </w:rPr>
      </w:pPr>
    </w:p>
    <w:p w14:paraId="2742F50F">
      <w:pPr>
        <w:wordWrap w:val="0"/>
        <w:spacing w:line="360" w:lineRule="auto"/>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编号：           </w:t>
      </w:r>
    </w:p>
    <w:p w14:paraId="2C3A60FB">
      <w:pPr>
        <w:spacing w:line="360" w:lineRule="auto"/>
        <w:rPr>
          <w:rFonts w:hint="eastAsia" w:ascii="仿宋_GB2312" w:hAnsi="仿宋_GB2312" w:eastAsia="仿宋_GB2312" w:cs="仿宋_GB2312"/>
          <w:color w:val="auto"/>
          <w:sz w:val="24"/>
          <w:szCs w:val="24"/>
          <w:highlight w:val="none"/>
        </w:rPr>
      </w:pPr>
    </w:p>
    <w:p w14:paraId="353F03F3">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申请人：</w:t>
      </w:r>
    </w:p>
    <w:p w14:paraId="269E814E">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735E2B02">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w:t>
      </w:r>
    </w:p>
    <w:p w14:paraId="08DAEC62">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41804F3B">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开立人：</w:t>
      </w:r>
    </w:p>
    <w:p w14:paraId="514EB0EA">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地址：</w:t>
      </w:r>
    </w:p>
    <w:p w14:paraId="6461542B">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15B45B65">
      <w:pPr>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（受益人名称）： </w:t>
      </w:r>
    </w:p>
    <w:p w14:paraId="08C937D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（以下简称“受益人”）与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（以下简称“申请人”）于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日就</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工程（以下简称“本工程”）施工和有关事项协商一致共同签订</w:t>
      </w:r>
      <w:r>
        <w:rPr>
          <w:rFonts w:hint="eastAsia" w:ascii="仿宋_GB2312" w:hAnsi="仿宋_GB2312" w:eastAsia="仿宋_GB2312" w:cs="仿宋_GB2312"/>
          <w:color w:val="auto"/>
          <w:sz w:val="24"/>
          <w:szCs w:val="24"/>
          <w:highlight w:val="none"/>
          <w:u w:val="single"/>
        </w:rPr>
        <w:t>《        》</w:t>
      </w:r>
      <w:r>
        <w:rPr>
          <w:rFonts w:hint="eastAsia" w:ascii="仿宋_GB2312" w:hAnsi="仿宋_GB2312" w:eastAsia="仿宋_GB2312" w:cs="仿宋_GB2312"/>
          <w:color w:val="auto"/>
          <w:sz w:val="24"/>
          <w:szCs w:val="24"/>
          <w:highlight w:val="none"/>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14:paraId="652F21DF">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2A81DD0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二、本保函担保金额最高不超过人民币（大写）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47982BD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三、本保函有效期自开立之日起至发包人全额扣回预付款后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日止，最迟不超过</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14:paraId="2D34A09E">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四、我方承诺，在收到受益人发来的书面付款通知后的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日内无条件支付，前述书面付款通知即为付款要求之单据，且应满足以下要求：</w:t>
      </w:r>
    </w:p>
    <w:p w14:paraId="70FC0C3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（1）付款通知到达的日期在本保函的有效期内；</w:t>
      </w:r>
    </w:p>
    <w:p w14:paraId="5825A9DB">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（2）载明要求支付的金额；</w:t>
      </w:r>
    </w:p>
    <w:p w14:paraId="7AC71B30">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（3）载明申请人违反合同义务的条款和内容；</w:t>
      </w:r>
    </w:p>
    <w:p w14:paraId="21E66EA8">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（4）声明不存在合同文件约定或我国法律规定免除申请人或开立人支付责任的情形；</w:t>
      </w:r>
    </w:p>
    <w:p w14:paraId="62CC7E34">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（5）付款通知应在本保函有效期内到达的地址是：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7BD88D92">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受益人发出的书面付款通知应由其为鉴明受益人法定代表人（负责人）或授权代理人签字并加盖公章。</w:t>
      </w:r>
    </w:p>
    <w:p w14:paraId="7545CD2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五、本保函项下的权利不得转让，不得设定担保。贵方未经我方书面同意转 让本保函或其项下任何权利，对我方不发生法律效力。 </w:t>
      </w:r>
    </w:p>
    <w:p w14:paraId="30B0E92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六、与本保函有关的基础合同不成立、不生效、无效、被撤销、被解除，不影响本保函的独立有效。 </w:t>
      </w:r>
    </w:p>
    <w:p w14:paraId="2912A161">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DF0167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八、本保函适用的法律为中华人民共和国法律，争议裁判管辖地为中华人民共和国</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5F01DF43">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九、本保函自我方法定代表人或授权代表签字并加盖公章之日起生效。 </w:t>
      </w:r>
    </w:p>
    <w:p w14:paraId="46FE9846">
      <w:pPr>
        <w:spacing w:line="360" w:lineRule="auto"/>
        <w:ind w:firstLine="480" w:firstLineChars="200"/>
        <w:rPr>
          <w:rFonts w:hint="eastAsia" w:ascii="仿宋_GB2312" w:hAnsi="仿宋_GB2312" w:eastAsia="仿宋_GB2312" w:cs="仿宋_GB2312"/>
          <w:color w:val="auto"/>
          <w:sz w:val="24"/>
          <w:szCs w:val="24"/>
          <w:highlight w:val="none"/>
        </w:rPr>
      </w:pPr>
    </w:p>
    <w:p w14:paraId="57247097">
      <w:pPr>
        <w:spacing w:line="360" w:lineRule="auto"/>
        <w:ind w:firstLine="480" w:firstLineChars="200"/>
        <w:rPr>
          <w:rFonts w:hint="eastAsia" w:ascii="仿宋_GB2312" w:hAnsi="仿宋_GB2312" w:eastAsia="仿宋_GB2312" w:cs="仿宋_GB2312"/>
          <w:color w:val="auto"/>
          <w:sz w:val="24"/>
          <w:szCs w:val="24"/>
          <w:highlight w:val="none"/>
        </w:rPr>
      </w:pPr>
    </w:p>
    <w:p w14:paraId="79ED0CD9">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开 立 人：                              （公章） </w:t>
      </w:r>
    </w:p>
    <w:p w14:paraId="65CA2D63">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法定代表人（或授权代表）：               （签字） </w:t>
      </w:r>
    </w:p>
    <w:p w14:paraId="4CE641F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地    址：                                       </w:t>
      </w:r>
    </w:p>
    <w:p w14:paraId="35478423">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邮政编码：                 </w:t>
      </w:r>
    </w:p>
    <w:p w14:paraId="64ED485D">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电    话：                 </w:t>
      </w:r>
    </w:p>
    <w:p w14:paraId="2883717B">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传    真：                 </w:t>
      </w:r>
    </w:p>
    <w:p w14:paraId="7B00AFA5">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开立时间：      年      月        日</w:t>
      </w:r>
    </w:p>
    <w:p w14:paraId="6D80D31E">
      <w:pPr>
        <w:spacing w:line="360" w:lineRule="auto"/>
        <w:jc w:val="center"/>
        <w:rPr>
          <w:rFonts w:ascii="宋体" w:hAnsi="宋体" w:cs="Calibri"/>
          <w:b/>
          <w:bCs/>
          <w:color w:val="auto"/>
          <w:sz w:val="32"/>
          <w:szCs w:val="32"/>
          <w:highlight w:val="none"/>
        </w:rPr>
      </w:pPr>
    </w:p>
    <w:p w14:paraId="1604036D">
      <w:pPr>
        <w:spacing w:before="240" w:beforeLines="100" w:after="240" w:afterLines="100" w:line="420" w:lineRule="exact"/>
        <w:outlineLvl w:val="1"/>
        <w:rPr>
          <w:rFonts w:hint="eastAsia" w:ascii="宋体" w:hAnsi="宋体" w:cs="宋体"/>
          <w:b/>
          <w:bCs/>
          <w:color w:val="auto"/>
          <w:kern w:val="0"/>
          <w:sz w:val="22"/>
          <w:szCs w:val="22"/>
          <w:highlight w:val="none"/>
        </w:rPr>
      </w:pPr>
      <w:bookmarkStart w:id="743" w:name="_Toc10624990"/>
      <w:bookmarkStart w:id="744" w:name="_Toc266892930"/>
      <w:bookmarkStart w:id="745" w:name="_Toc469384146"/>
    </w:p>
    <w:p w14:paraId="504C4B4B">
      <w:pPr>
        <w:spacing w:before="240" w:beforeLines="100" w:after="240" w:afterLines="100" w:line="420" w:lineRule="exact"/>
        <w:outlineLvl w:val="1"/>
        <w:rPr>
          <w:rFonts w:hint="eastAsia" w:ascii="宋体" w:hAnsi="宋体" w:cs="宋体"/>
          <w:b/>
          <w:bCs/>
          <w:color w:val="auto"/>
          <w:kern w:val="0"/>
          <w:sz w:val="22"/>
          <w:szCs w:val="22"/>
          <w:highlight w:val="none"/>
        </w:rPr>
      </w:pPr>
    </w:p>
    <w:p w14:paraId="73A12227">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格式4</w:t>
      </w:r>
      <w:bookmarkEnd w:id="743"/>
      <w:bookmarkEnd w:id="744"/>
      <w:bookmarkEnd w:id="745"/>
    </w:p>
    <w:p w14:paraId="33BD8F48">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工程项目一览表</w:t>
      </w:r>
    </w:p>
    <w:tbl>
      <w:tblPr>
        <w:tblStyle w:val="18"/>
        <w:tblW w:w="10155" w:type="dxa"/>
        <w:jc w:val="center"/>
        <w:tblLayout w:type="fixed"/>
        <w:tblCellMar>
          <w:top w:w="0" w:type="dxa"/>
          <w:left w:w="108" w:type="dxa"/>
          <w:bottom w:w="0" w:type="dxa"/>
          <w:right w:w="108" w:type="dxa"/>
        </w:tblCellMar>
      </w:tblPr>
      <w:tblGrid>
        <w:gridCol w:w="1960"/>
        <w:gridCol w:w="2993"/>
        <w:gridCol w:w="5202"/>
      </w:tblGrid>
      <w:tr w14:paraId="12115D20">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7A837B7">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554E45C">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项 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B7DA54B">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内      容</w:t>
            </w:r>
          </w:p>
        </w:tc>
      </w:tr>
      <w:tr w14:paraId="2EE8974F">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708A6AD">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5824E69C">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8BF9778">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070D14F2">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8FAAE01">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4A5CD1B5">
            <w:pPr>
              <w:spacing w:line="420" w:lineRule="exact"/>
              <w:jc w:val="center"/>
              <w:rPr>
                <w:rFonts w:ascii="宋体" w:hAnsi="宋体" w:cs="宋体"/>
                <w:color w:val="auto"/>
                <w:w w:val="90"/>
                <w:sz w:val="18"/>
                <w:szCs w:val="18"/>
                <w:highlight w:val="none"/>
              </w:rPr>
            </w:pPr>
            <w:r>
              <w:rPr>
                <w:rFonts w:hint="eastAsia" w:ascii="宋体" w:hAnsi="宋体" w:cs="宋体"/>
                <w:color w:val="auto"/>
                <w:sz w:val="18"/>
                <w:szCs w:val="1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4304D64">
            <w:pPr>
              <w:spacing w:line="420" w:lineRule="exact"/>
              <w:ind w:left="-6" w:firstLine="6"/>
              <w:jc w:val="center"/>
              <w:rPr>
                <w:rFonts w:ascii="宋体" w:hAnsi="宋体" w:cs="宋体"/>
                <w:color w:val="auto"/>
                <w:sz w:val="18"/>
                <w:szCs w:val="18"/>
                <w:highlight w:val="none"/>
              </w:rPr>
            </w:pPr>
          </w:p>
          <w:p w14:paraId="671AA00E">
            <w:pPr>
              <w:spacing w:line="420" w:lineRule="exact"/>
              <w:ind w:left="-6" w:firstLine="6"/>
              <w:jc w:val="center"/>
              <w:rPr>
                <w:rFonts w:ascii="宋体" w:hAnsi="宋体" w:cs="宋体"/>
                <w:color w:val="auto"/>
                <w:sz w:val="18"/>
                <w:szCs w:val="18"/>
                <w:highlight w:val="none"/>
              </w:rPr>
            </w:pPr>
          </w:p>
        </w:tc>
      </w:tr>
      <w:tr w14:paraId="218C4C52">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5CF9830">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445B544E">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DF35830">
            <w:pPr>
              <w:spacing w:line="420" w:lineRule="exact"/>
              <w:ind w:left="-6" w:firstLine="6"/>
              <w:jc w:val="center"/>
              <w:rPr>
                <w:rFonts w:ascii="宋体" w:hAnsi="宋体" w:cs="宋体"/>
                <w:color w:val="auto"/>
                <w:sz w:val="18"/>
                <w:szCs w:val="18"/>
                <w:highlight w:val="none"/>
              </w:rPr>
            </w:pPr>
          </w:p>
        </w:tc>
      </w:tr>
      <w:tr w14:paraId="2278FC71">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5BFE7DF">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11EA495">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0EA7BD6C">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0855A85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09DEDFD">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EDD1620">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410BAF4">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1614CEA9">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03651FF">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3AD36CE">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4F54A1E">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5B2A459D">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B70F6EA">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A3F1990">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947632F">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68467501">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988A687">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9E11937">
            <w:pPr>
              <w:spacing w:line="420" w:lineRule="exact"/>
              <w:jc w:val="center"/>
              <w:rPr>
                <w:rFonts w:ascii="宋体" w:hAnsi="宋体" w:cs="宋体"/>
                <w:color w:val="auto"/>
                <w:w w:val="90"/>
                <w:sz w:val="18"/>
                <w:szCs w:val="18"/>
                <w:highlight w:val="none"/>
              </w:rPr>
            </w:pPr>
            <w:r>
              <w:rPr>
                <w:rFonts w:hint="eastAsia" w:ascii="宋体" w:hAnsi="宋体" w:cs="宋体"/>
                <w:color w:val="auto"/>
                <w:sz w:val="18"/>
                <w:szCs w:val="1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BFB984D">
            <w:pPr>
              <w:widowControl w:val="0"/>
              <w:spacing w:line="420" w:lineRule="exact"/>
              <w:ind w:left="-3" w:firstLine="3"/>
              <w:jc w:val="center"/>
              <w:rPr>
                <w:rFonts w:ascii="宋体" w:hAnsi="宋体" w:eastAsia="宋体" w:cs="宋体"/>
                <w:color w:val="auto"/>
                <w:kern w:val="2"/>
                <w:sz w:val="18"/>
                <w:szCs w:val="18"/>
                <w:highlight w:val="none"/>
                <w:lang w:val="en-US" w:eastAsia="zh-CN" w:bidi="ar-SA"/>
              </w:rPr>
            </w:pPr>
          </w:p>
        </w:tc>
      </w:tr>
      <w:tr w14:paraId="32C34D1C">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46E4647">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1B341C5D">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933E270">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3F9B993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ECE5B8B">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4C0BDA88">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38FF312B">
            <w:pPr>
              <w:widowControl w:val="0"/>
              <w:spacing w:line="420" w:lineRule="exact"/>
              <w:jc w:val="center"/>
              <w:rPr>
                <w:rFonts w:ascii="宋体" w:hAnsi="宋体" w:eastAsia="宋体" w:cs="宋体"/>
                <w:color w:val="auto"/>
                <w:kern w:val="2"/>
                <w:sz w:val="18"/>
                <w:szCs w:val="18"/>
                <w:highlight w:val="none"/>
                <w:lang w:val="en-US" w:eastAsia="zh-CN" w:bidi="ar-SA"/>
              </w:rPr>
            </w:pPr>
          </w:p>
        </w:tc>
      </w:tr>
      <w:tr w14:paraId="303CD8CB">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923F693">
            <w:pPr>
              <w:widowControl w:val="0"/>
              <w:spacing w:line="420" w:lineRule="exact"/>
              <w:jc w:val="center"/>
              <w:rPr>
                <w:rFonts w:ascii="宋体" w:hAnsi="宋体" w:eastAsia="宋体" w:cs="宋体"/>
                <w:b/>
                <w:bCs/>
                <w:color w:val="auto"/>
                <w:kern w:val="2"/>
                <w:sz w:val="18"/>
                <w:szCs w:val="18"/>
                <w:highlight w:val="none"/>
                <w:lang w:val="en-US" w:eastAsia="zh-CN" w:bidi="ar-SA"/>
              </w:rPr>
            </w:pPr>
            <w:r>
              <w:rPr>
                <w:rFonts w:hint="eastAsia" w:ascii="宋体" w:hAnsi="宋体" w:eastAsia="宋体" w:cs="宋体"/>
                <w:b/>
                <w:bCs/>
                <w:color w:val="auto"/>
                <w:kern w:val="2"/>
                <w:sz w:val="18"/>
                <w:szCs w:val="18"/>
                <w:highlight w:val="none"/>
                <w:lang w:val="en-US" w:eastAsia="zh-CN" w:bidi="ar-SA"/>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5F9EDB4">
            <w:pPr>
              <w:spacing w:line="42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D039F2C">
            <w:pPr>
              <w:widowControl w:val="0"/>
              <w:spacing w:line="420" w:lineRule="exact"/>
              <w:jc w:val="center"/>
              <w:rPr>
                <w:rFonts w:ascii="宋体" w:hAnsi="宋体" w:eastAsia="宋体" w:cs="宋体"/>
                <w:color w:val="auto"/>
                <w:kern w:val="2"/>
                <w:sz w:val="18"/>
                <w:szCs w:val="18"/>
                <w:highlight w:val="none"/>
                <w:lang w:val="en-US" w:eastAsia="zh-CN" w:bidi="ar-SA"/>
              </w:rPr>
            </w:pPr>
          </w:p>
        </w:tc>
      </w:tr>
    </w:tbl>
    <w:p w14:paraId="4D242F86">
      <w:pPr>
        <w:widowControl/>
        <w:spacing w:line="420" w:lineRule="exact"/>
        <w:jc w:val="left"/>
        <w:rPr>
          <w:rFonts w:ascii="宋体" w:hAnsi="宋体" w:cs="宋体"/>
          <w:color w:val="auto"/>
          <w:kern w:val="0"/>
          <w:sz w:val="22"/>
          <w:szCs w:val="22"/>
          <w:highlight w:val="none"/>
        </w:rPr>
        <w:sectPr>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4C7AC864">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46" w:name="_Toc266892932"/>
      <w:bookmarkStart w:id="747" w:name="_Toc10624992"/>
      <w:bookmarkStart w:id="748" w:name="_Toc469384148"/>
      <w:r>
        <w:rPr>
          <w:rFonts w:hint="eastAsia" w:ascii="黑体" w:hAnsi="黑体" w:eastAsia="黑体" w:cs="黑体"/>
          <w:b w:val="0"/>
          <w:bCs w:val="0"/>
          <w:color w:val="auto"/>
          <w:kern w:val="0"/>
          <w:sz w:val="24"/>
          <w:szCs w:val="24"/>
          <w:highlight w:val="none"/>
        </w:rPr>
        <w:t>格式</w:t>
      </w:r>
      <w:bookmarkEnd w:id="746"/>
      <w:bookmarkEnd w:id="747"/>
      <w:bookmarkEnd w:id="748"/>
      <w:r>
        <w:rPr>
          <w:rFonts w:hint="eastAsia" w:ascii="黑体" w:hAnsi="黑体" w:eastAsia="黑体" w:cs="黑体"/>
          <w:b w:val="0"/>
          <w:bCs w:val="0"/>
          <w:color w:val="auto"/>
          <w:kern w:val="0"/>
          <w:sz w:val="24"/>
          <w:szCs w:val="24"/>
          <w:highlight w:val="none"/>
        </w:rPr>
        <w:t>5</w:t>
      </w:r>
    </w:p>
    <w:p w14:paraId="1EDBAC74">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分包单位资格报审表</w:t>
      </w:r>
    </w:p>
    <w:p w14:paraId="7BAC90A7">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0344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3F297050">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14:paraId="5034ADF6">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经考察，我方拟选择的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（分包人）具备承担下列工程施工资质和施工能力，可以保证本工程按合同约定进行施工。我方承诺：分包后，我方承担总包人的全部责任。请予以审批。</w:t>
            </w:r>
          </w:p>
          <w:p w14:paraId="265984C0">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附:1．分包人资质材料；</w:t>
            </w:r>
          </w:p>
          <w:p w14:paraId="3513344E">
            <w:pPr>
              <w:spacing w:line="420" w:lineRule="exact"/>
              <w:ind w:left="-28" w:firstLine="907"/>
              <w:rPr>
                <w:rFonts w:ascii="宋体" w:hAnsi="宋体" w:cs="宋体"/>
                <w:color w:val="auto"/>
                <w:sz w:val="18"/>
                <w:szCs w:val="18"/>
                <w:highlight w:val="none"/>
                <w:u w:val="single"/>
              </w:rPr>
            </w:pPr>
            <w:r>
              <w:rPr>
                <w:rFonts w:hint="eastAsia" w:ascii="仿宋_GB2312" w:hAnsi="仿宋_GB2312" w:eastAsia="仿宋_GB2312" w:cs="仿宋_GB2312"/>
                <w:color w:val="auto"/>
                <w:sz w:val="24"/>
                <w:szCs w:val="24"/>
                <w:highlight w:val="none"/>
              </w:rPr>
              <w:t>2．分包人业绩材料。</w:t>
            </w:r>
          </w:p>
        </w:tc>
      </w:tr>
      <w:tr w14:paraId="2440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59B5CFCC">
            <w:pPr>
              <w:spacing w:line="420" w:lineRule="exact"/>
              <w:ind w:left="0" w:leftChars="0" w:firstLine="219" w:firstLineChars="122"/>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1E13FE49">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14:paraId="77AA002F">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2AACBF04">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分包工程占全部工程</w:t>
            </w:r>
          </w:p>
        </w:tc>
      </w:tr>
      <w:tr w14:paraId="43F7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38713044">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14:paraId="0B146D98">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14:paraId="66EE27BE">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14:paraId="7B9A2745">
            <w:pPr>
              <w:spacing w:line="420" w:lineRule="exact"/>
              <w:ind w:firstLine="6087"/>
              <w:rPr>
                <w:rFonts w:ascii="宋体" w:hAnsi="宋体" w:cs="宋体"/>
                <w:color w:val="auto"/>
                <w:sz w:val="18"/>
                <w:szCs w:val="18"/>
                <w:highlight w:val="none"/>
              </w:rPr>
            </w:pPr>
          </w:p>
        </w:tc>
      </w:tr>
      <w:tr w14:paraId="6389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6A644C93">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14:paraId="58ACACB9">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14:paraId="3E16E40B">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14:paraId="1910C488">
            <w:pPr>
              <w:spacing w:line="420" w:lineRule="exact"/>
              <w:ind w:firstLine="6087"/>
              <w:rPr>
                <w:rFonts w:ascii="宋体" w:hAnsi="宋体" w:cs="宋体"/>
                <w:color w:val="auto"/>
                <w:sz w:val="18"/>
                <w:szCs w:val="18"/>
                <w:highlight w:val="none"/>
              </w:rPr>
            </w:pPr>
          </w:p>
        </w:tc>
      </w:tr>
      <w:tr w14:paraId="1C92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1F7A473D">
            <w:pPr>
              <w:spacing w:line="420" w:lineRule="exact"/>
              <w:ind w:firstLine="6087"/>
              <w:rPr>
                <w:rFonts w:ascii="宋体" w:hAnsi="宋体" w:cs="宋体"/>
                <w:color w:val="auto"/>
                <w:sz w:val="18"/>
                <w:szCs w:val="18"/>
                <w:highlight w:val="none"/>
              </w:rPr>
            </w:pPr>
          </w:p>
        </w:tc>
        <w:tc>
          <w:tcPr>
            <w:tcW w:w="1532" w:type="dxa"/>
            <w:tcBorders>
              <w:top w:val="single" w:color="auto" w:sz="6" w:space="0"/>
              <w:left w:val="single" w:color="auto" w:sz="6" w:space="0"/>
              <w:bottom w:val="single" w:color="auto" w:sz="6" w:space="0"/>
              <w:right w:val="single" w:color="auto" w:sz="6" w:space="0"/>
            </w:tcBorders>
          </w:tcPr>
          <w:p w14:paraId="7FE134E4">
            <w:pPr>
              <w:spacing w:line="420" w:lineRule="exact"/>
              <w:ind w:firstLine="6087"/>
              <w:rPr>
                <w:rFonts w:ascii="宋体" w:hAnsi="宋体" w:cs="宋体"/>
                <w:color w:val="auto"/>
                <w:sz w:val="18"/>
                <w:szCs w:val="18"/>
                <w:highlight w:val="none"/>
              </w:rPr>
            </w:pPr>
          </w:p>
        </w:tc>
        <w:tc>
          <w:tcPr>
            <w:tcW w:w="2506" w:type="dxa"/>
            <w:tcBorders>
              <w:top w:val="single" w:color="auto" w:sz="6" w:space="0"/>
              <w:left w:val="single" w:color="auto" w:sz="6" w:space="0"/>
              <w:bottom w:val="single" w:color="auto" w:sz="6" w:space="0"/>
              <w:right w:val="single" w:color="auto" w:sz="6" w:space="0"/>
            </w:tcBorders>
          </w:tcPr>
          <w:p w14:paraId="03BC6742">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14:paraId="77E3262F">
            <w:pPr>
              <w:spacing w:line="420" w:lineRule="exact"/>
              <w:ind w:firstLine="6087"/>
              <w:rPr>
                <w:rFonts w:ascii="宋体" w:hAnsi="宋体" w:cs="宋体"/>
                <w:color w:val="auto"/>
                <w:sz w:val="18"/>
                <w:szCs w:val="18"/>
                <w:highlight w:val="none"/>
              </w:rPr>
            </w:pPr>
          </w:p>
        </w:tc>
      </w:tr>
      <w:tr w14:paraId="1B42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2BE47D03">
            <w:pPr>
              <w:spacing w:line="420" w:lineRule="exact"/>
              <w:jc w:val="center"/>
              <w:rPr>
                <w:rFonts w:ascii="宋体" w:hAnsi="宋体" w:cs="宋体"/>
                <w:color w:val="auto"/>
                <w:position w:val="6"/>
                <w:sz w:val="18"/>
                <w:szCs w:val="18"/>
                <w:highlight w:val="none"/>
              </w:rPr>
            </w:pPr>
            <w:r>
              <w:rPr>
                <w:rFonts w:hint="eastAsia" w:ascii="宋体" w:hAnsi="宋体" w:cs="宋体"/>
                <w:color w:val="auto"/>
                <w:position w:val="6"/>
                <w:sz w:val="18"/>
                <w:szCs w:val="18"/>
                <w:highlight w:val="none"/>
              </w:rPr>
              <w:t>合       计</w:t>
            </w:r>
          </w:p>
        </w:tc>
        <w:tc>
          <w:tcPr>
            <w:tcW w:w="2506" w:type="dxa"/>
            <w:tcBorders>
              <w:top w:val="single" w:color="auto" w:sz="6" w:space="0"/>
              <w:left w:val="single" w:color="auto" w:sz="6" w:space="0"/>
              <w:bottom w:val="single" w:color="auto" w:sz="6" w:space="0"/>
              <w:right w:val="single" w:color="auto" w:sz="6" w:space="0"/>
            </w:tcBorders>
          </w:tcPr>
          <w:p w14:paraId="2CBAB7ED">
            <w:pPr>
              <w:spacing w:line="420" w:lineRule="exact"/>
              <w:ind w:firstLine="6087"/>
              <w:rPr>
                <w:rFonts w:ascii="宋体" w:hAnsi="宋体" w:cs="宋体"/>
                <w:color w:val="auto"/>
                <w:sz w:val="18"/>
                <w:szCs w:val="18"/>
                <w:highlight w:val="none"/>
              </w:rPr>
            </w:pPr>
          </w:p>
        </w:tc>
        <w:tc>
          <w:tcPr>
            <w:tcW w:w="3056" w:type="dxa"/>
            <w:tcBorders>
              <w:top w:val="single" w:color="auto" w:sz="6" w:space="0"/>
              <w:left w:val="single" w:color="auto" w:sz="6" w:space="0"/>
              <w:bottom w:val="single" w:color="auto" w:sz="6" w:space="0"/>
              <w:right w:val="single" w:color="auto" w:sz="6" w:space="0"/>
            </w:tcBorders>
          </w:tcPr>
          <w:p w14:paraId="5ADF62B0">
            <w:pPr>
              <w:spacing w:line="420" w:lineRule="exact"/>
              <w:ind w:firstLine="6087"/>
              <w:rPr>
                <w:rFonts w:ascii="宋体" w:hAnsi="宋体" w:cs="宋体"/>
                <w:color w:val="auto"/>
                <w:sz w:val="18"/>
                <w:szCs w:val="18"/>
                <w:highlight w:val="none"/>
              </w:rPr>
            </w:pPr>
          </w:p>
        </w:tc>
      </w:tr>
      <w:tr w14:paraId="4F70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3C544D7D">
            <w:pPr>
              <w:spacing w:line="420" w:lineRule="exact"/>
              <w:rPr>
                <w:rFonts w:ascii="宋体" w:hAnsi="宋体" w:cs="宋体"/>
                <w:color w:val="auto"/>
                <w:sz w:val="18"/>
                <w:szCs w:val="18"/>
                <w:highlight w:val="none"/>
              </w:rPr>
            </w:pPr>
            <w:r>
              <w:rPr>
                <w:rFonts w:hint="eastAsia" w:ascii="宋体" w:hAnsi="宋体" w:cs="宋体"/>
                <w:color w:val="auto"/>
                <w:sz w:val="18"/>
                <w:szCs w:val="18"/>
                <w:highlight w:val="none"/>
              </w:rPr>
              <w:t xml:space="preserve"> </w:t>
            </w:r>
          </w:p>
          <w:p w14:paraId="7EF8620A">
            <w:pPr>
              <w:spacing w:line="420" w:lineRule="exact"/>
              <w:rPr>
                <w:rFonts w:ascii="宋体" w:hAnsi="宋体" w:cs="宋体"/>
                <w:color w:val="auto"/>
                <w:sz w:val="18"/>
                <w:szCs w:val="18"/>
                <w:highlight w:val="none"/>
                <w:u w:val="single"/>
              </w:rPr>
            </w:pPr>
            <w:r>
              <w:rPr>
                <w:rFonts w:hint="eastAsia" w:ascii="宋体" w:hAnsi="宋体" w:cs="宋体"/>
                <w:color w:val="auto"/>
                <w:sz w:val="18"/>
                <w:szCs w:val="18"/>
                <w:highlight w:val="none"/>
              </w:rPr>
              <w:t xml:space="preserve">                                                   承包人（章）                 </w:t>
            </w:r>
          </w:p>
          <w:p w14:paraId="6B63E4AF">
            <w:pPr>
              <w:tabs>
                <w:tab w:val="left" w:pos="8982"/>
                <w:tab w:val="left" w:pos="9147"/>
              </w:tabs>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承包人代表</w:t>
            </w:r>
            <w:r>
              <w:rPr>
                <w:rFonts w:hint="eastAsia" w:ascii="宋体" w:hAnsi="宋体" w:cs="宋体"/>
                <w:color w:val="auto"/>
                <w:sz w:val="18"/>
                <w:szCs w:val="18"/>
                <w:highlight w:val="none"/>
                <w:u w:val="single"/>
              </w:rPr>
              <w:t xml:space="preserve">               </w:t>
            </w:r>
          </w:p>
          <w:p w14:paraId="146C2E73">
            <w:pPr>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r w14:paraId="3D8A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14:paraId="5613A1E6">
            <w:pPr>
              <w:snapToGrid w:val="0"/>
              <w:spacing w:line="420" w:lineRule="exact"/>
              <w:jc w:val="left"/>
              <w:rPr>
                <w:rFonts w:ascii="宋体" w:hAnsi="宋体" w:cs="宋体"/>
                <w:color w:val="auto"/>
                <w:sz w:val="18"/>
                <w:szCs w:val="18"/>
                <w:highlight w:val="none"/>
              </w:rPr>
            </w:pPr>
            <w:r>
              <w:rPr>
                <w:rFonts w:hint="eastAsia" w:ascii="宋体" w:hAnsi="宋体" w:cs="宋体"/>
                <w:color w:val="auto"/>
                <w:sz w:val="18"/>
                <w:szCs w:val="18"/>
                <w:highlight w:val="none"/>
              </w:rPr>
              <w:t>审查意见：</w:t>
            </w:r>
          </w:p>
          <w:p w14:paraId="7A3EE275">
            <w:pPr>
              <w:tabs>
                <w:tab w:val="left" w:pos="6222"/>
              </w:tabs>
              <w:snapToGrid w:val="0"/>
              <w:spacing w:line="420" w:lineRule="exact"/>
              <w:jc w:val="left"/>
              <w:rPr>
                <w:rFonts w:ascii="宋体" w:hAnsi="宋体" w:cs="宋体"/>
                <w:color w:val="auto"/>
                <w:sz w:val="18"/>
                <w:szCs w:val="18"/>
                <w:highlight w:val="none"/>
              </w:rPr>
            </w:pPr>
            <w:r>
              <w:rPr>
                <w:rFonts w:hint="eastAsia" w:ascii="宋体" w:hAnsi="宋体" w:cs="宋体"/>
                <w:color w:val="auto"/>
                <w:sz w:val="18"/>
                <w:szCs w:val="18"/>
                <w:highlight w:val="none"/>
              </w:rPr>
              <w:t xml:space="preserve">                                                   监理人（章）            </w:t>
            </w:r>
          </w:p>
          <w:p w14:paraId="0EEC37B4">
            <w:pPr>
              <w:tabs>
                <w:tab w:val="left" w:pos="6282"/>
              </w:tabs>
              <w:snapToGrid w:val="0"/>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监理工程师</w:t>
            </w:r>
            <w:r>
              <w:rPr>
                <w:rFonts w:hint="eastAsia" w:ascii="宋体" w:hAnsi="宋体" w:cs="宋体"/>
                <w:color w:val="auto"/>
                <w:sz w:val="18"/>
                <w:szCs w:val="18"/>
                <w:highlight w:val="none"/>
                <w:u w:val="single"/>
              </w:rPr>
              <w:t xml:space="preserve">               </w:t>
            </w:r>
          </w:p>
          <w:p w14:paraId="2AE2ADA9">
            <w:pPr>
              <w:tabs>
                <w:tab w:val="left" w:pos="9132"/>
              </w:tabs>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r w14:paraId="25E6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14:paraId="694AA801">
            <w:pPr>
              <w:snapToGrid w:val="0"/>
              <w:spacing w:line="420" w:lineRule="exact"/>
              <w:rPr>
                <w:rFonts w:ascii="宋体" w:hAnsi="宋体" w:cs="宋体"/>
                <w:color w:val="auto"/>
                <w:sz w:val="18"/>
                <w:szCs w:val="18"/>
                <w:highlight w:val="none"/>
              </w:rPr>
            </w:pPr>
            <w:r>
              <w:rPr>
                <w:rFonts w:hint="eastAsia" w:ascii="宋体" w:hAnsi="宋体" w:cs="宋体"/>
                <w:color w:val="auto"/>
                <w:sz w:val="18"/>
                <w:szCs w:val="18"/>
                <w:highlight w:val="none"/>
              </w:rPr>
              <w:t>审批意见:</w:t>
            </w:r>
          </w:p>
          <w:p w14:paraId="25F9DE5A">
            <w:pPr>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 xml:space="preserve">发包人（章）           </w:t>
            </w:r>
          </w:p>
          <w:p w14:paraId="18E5D949">
            <w:pPr>
              <w:tabs>
                <w:tab w:val="left" w:pos="2135"/>
                <w:tab w:val="left" w:pos="8862"/>
              </w:tabs>
              <w:snapToGrid w:val="0"/>
              <w:spacing w:line="420" w:lineRule="exact"/>
              <w:ind w:firstLine="4590" w:firstLineChars="2550"/>
              <w:rPr>
                <w:rFonts w:ascii="宋体" w:hAnsi="宋体" w:cs="宋体"/>
                <w:color w:val="auto"/>
                <w:sz w:val="18"/>
                <w:szCs w:val="18"/>
                <w:highlight w:val="none"/>
                <w:u w:val="single"/>
              </w:rPr>
            </w:pPr>
            <w:r>
              <w:rPr>
                <w:rFonts w:hint="eastAsia" w:ascii="宋体" w:hAnsi="宋体" w:cs="宋体"/>
                <w:color w:val="auto"/>
                <w:sz w:val="18"/>
                <w:szCs w:val="18"/>
                <w:highlight w:val="none"/>
              </w:rPr>
              <w:t>发包人代表</w:t>
            </w:r>
            <w:r>
              <w:rPr>
                <w:rFonts w:hint="eastAsia" w:ascii="宋体" w:hAnsi="宋体" w:cs="宋体"/>
                <w:color w:val="auto"/>
                <w:sz w:val="18"/>
                <w:szCs w:val="18"/>
                <w:highlight w:val="none"/>
                <w:u w:val="single"/>
              </w:rPr>
              <w:t xml:space="preserve">               </w:t>
            </w:r>
          </w:p>
          <w:p w14:paraId="6860E737">
            <w:pPr>
              <w:tabs>
                <w:tab w:val="left" w:pos="2135"/>
              </w:tabs>
              <w:snapToGrid w:val="0"/>
              <w:spacing w:line="420" w:lineRule="exact"/>
              <w:ind w:firstLine="4590" w:firstLineChars="2550"/>
              <w:rPr>
                <w:rFonts w:ascii="宋体" w:hAnsi="宋体" w:cs="宋体"/>
                <w:color w:val="auto"/>
                <w:sz w:val="18"/>
                <w:szCs w:val="18"/>
                <w:highlight w:val="none"/>
              </w:rPr>
            </w:pPr>
            <w:r>
              <w:rPr>
                <w:rFonts w:hint="eastAsia" w:ascii="宋体" w:hAnsi="宋体" w:cs="宋体"/>
                <w:color w:val="auto"/>
                <w:sz w:val="18"/>
                <w:szCs w:val="18"/>
                <w:highlight w:val="none"/>
              </w:rPr>
              <w:t>日      期</w:t>
            </w:r>
            <w:r>
              <w:rPr>
                <w:rFonts w:hint="eastAsia" w:ascii="宋体" w:hAnsi="宋体" w:cs="宋体"/>
                <w:color w:val="auto"/>
                <w:sz w:val="18"/>
                <w:szCs w:val="18"/>
                <w:highlight w:val="none"/>
                <w:u w:val="single"/>
              </w:rPr>
              <w:t xml:space="preserve">               </w:t>
            </w:r>
          </w:p>
        </w:tc>
      </w:tr>
    </w:tbl>
    <w:p w14:paraId="445BACE9">
      <w:pPr>
        <w:spacing w:before="120" w:beforeLines="50" w:after="0" w:afterLines="-2147483648" w:line="420" w:lineRule="exact"/>
        <w:outlineLvl w:val="9"/>
        <w:rPr>
          <w:rFonts w:hint="eastAsia" w:ascii="黑体" w:hAnsi="黑体" w:eastAsia="黑体" w:cs="黑体"/>
          <w:b w:val="0"/>
          <w:bCs w:val="0"/>
          <w:color w:val="auto"/>
          <w:kern w:val="0"/>
          <w:sz w:val="24"/>
          <w:szCs w:val="24"/>
          <w:highlight w:val="none"/>
        </w:rPr>
      </w:pPr>
      <w:r>
        <w:rPr>
          <w:rFonts w:hint="eastAsia" w:ascii="仿宋_GB2312" w:hAnsi="仿宋_GB2312" w:eastAsia="仿宋_GB2312" w:cs="仿宋_GB2312"/>
          <w:color w:val="auto"/>
          <w:sz w:val="24"/>
          <w:szCs w:val="24"/>
          <w:highlight w:val="none"/>
        </w:rPr>
        <w:t>说明：本表一式</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份，由承包人、监理单位、发包人按合同规定程序填制，并连同分包人各存一份。</w:t>
      </w:r>
      <w:r>
        <w:rPr>
          <w:rFonts w:hint="eastAsia" w:ascii="宋体" w:hAnsi="宋体" w:cs="宋体"/>
          <w:color w:val="auto"/>
          <w:kern w:val="0"/>
          <w:sz w:val="22"/>
          <w:szCs w:val="22"/>
          <w:highlight w:val="none"/>
        </w:rPr>
        <w:br w:type="page"/>
      </w:r>
      <w:bookmarkStart w:id="749" w:name="_Toc469384149"/>
      <w:bookmarkStart w:id="750" w:name="_Toc10624993"/>
      <w:bookmarkStart w:id="751" w:name="_Toc266892933"/>
      <w:r>
        <w:rPr>
          <w:rFonts w:hint="eastAsia" w:ascii="黑体" w:hAnsi="黑体" w:eastAsia="黑体" w:cs="黑体"/>
          <w:b w:val="0"/>
          <w:bCs w:val="0"/>
          <w:color w:val="auto"/>
          <w:kern w:val="0"/>
          <w:sz w:val="24"/>
          <w:szCs w:val="24"/>
          <w:highlight w:val="none"/>
        </w:rPr>
        <w:t>格式</w:t>
      </w:r>
      <w:bookmarkEnd w:id="749"/>
      <w:bookmarkEnd w:id="750"/>
      <w:bookmarkEnd w:id="751"/>
      <w:r>
        <w:rPr>
          <w:rFonts w:hint="eastAsia" w:ascii="黑体" w:hAnsi="黑体" w:eastAsia="黑体" w:cs="黑体"/>
          <w:b w:val="0"/>
          <w:bCs w:val="0"/>
          <w:color w:val="auto"/>
          <w:kern w:val="0"/>
          <w:sz w:val="24"/>
          <w:szCs w:val="24"/>
          <w:highlight w:val="none"/>
        </w:rPr>
        <w:t>6</w:t>
      </w:r>
    </w:p>
    <w:p w14:paraId="4356EEB4">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施工组织设计（方案）报审表</w:t>
      </w:r>
    </w:p>
    <w:p w14:paraId="536682A1">
      <w:pPr>
        <w:spacing w:line="420" w:lineRule="exact"/>
        <w:ind w:firstLine="120" w:firstLineChars="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101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0F8F4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14:paraId="2D8C9480">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14:paraId="53CAB94B">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我方已根据施工合同的有关规定完成了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工程施工组织设计（方案）的编制,请予以审批。</w:t>
            </w:r>
          </w:p>
          <w:p w14:paraId="713AC473">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 施工组织设计（方案）</w:t>
            </w:r>
          </w:p>
          <w:p w14:paraId="7E176B4D">
            <w:pPr>
              <w:spacing w:line="420" w:lineRule="exact"/>
              <w:ind w:left="-28" w:firstLine="540"/>
              <w:rPr>
                <w:rFonts w:hint="eastAsia" w:ascii="仿宋_GB2312" w:hAnsi="仿宋_GB2312" w:eastAsia="仿宋_GB2312" w:cs="仿宋_GB2312"/>
                <w:color w:val="auto"/>
                <w:sz w:val="24"/>
                <w:szCs w:val="24"/>
                <w:highlight w:val="none"/>
              </w:rPr>
            </w:pPr>
          </w:p>
          <w:p w14:paraId="60F52BF2">
            <w:pPr>
              <w:spacing w:line="420" w:lineRule="exact"/>
              <w:ind w:left="-28" w:firstLine="540"/>
              <w:rPr>
                <w:rFonts w:hint="eastAsia" w:ascii="仿宋_GB2312" w:hAnsi="仿宋_GB2312" w:eastAsia="仿宋_GB2312" w:cs="仿宋_GB2312"/>
                <w:color w:val="auto"/>
                <w:sz w:val="24"/>
                <w:szCs w:val="24"/>
                <w:highlight w:val="none"/>
              </w:rPr>
            </w:pPr>
          </w:p>
          <w:p w14:paraId="7E04E60C">
            <w:pPr>
              <w:spacing w:line="420" w:lineRule="exact"/>
              <w:ind w:right="120"/>
              <w:jc w:val="center"/>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w:t>
            </w:r>
          </w:p>
          <w:p w14:paraId="65322F13">
            <w:pPr>
              <w:spacing w:line="420" w:lineRule="exact"/>
              <w:ind w:firstLine="608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46F2CD4E">
            <w:pPr>
              <w:snapToGrid w:val="0"/>
              <w:spacing w:line="420" w:lineRule="exact"/>
              <w:ind w:firstLine="6087"/>
              <w:rPr>
                <w:rFonts w:ascii="宋体" w:hAnsi="宋体" w:cs="宋体"/>
                <w:color w:val="auto"/>
                <w:sz w:val="18"/>
                <w:szCs w:val="18"/>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26194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14:paraId="19844472">
            <w:pPr>
              <w:spacing w:line="420" w:lineRule="exact"/>
              <w:ind w:right="7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确认或修改意见：</w:t>
            </w:r>
          </w:p>
          <w:p w14:paraId="3A8098C7">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□组织机构健全,人员落实           □施工技术措施可行</w:t>
            </w:r>
          </w:p>
          <w:p w14:paraId="26B449FF">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□安全责任落实，安全措施可行      □安全工器具满足施工要求</w:t>
            </w:r>
          </w:p>
          <w:p w14:paraId="6B7FDD24">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□施工进度计划满足工期要求        □特殊工种人员持证上岗</w:t>
            </w:r>
          </w:p>
          <w:p w14:paraId="18E914C0">
            <w:pPr>
              <w:spacing w:line="420" w:lineRule="exact"/>
              <w:ind w:left="72" w:right="71" w:firstLine="2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□施工工器具安全可靠              □施工计量、检测器具有效</w:t>
            </w:r>
          </w:p>
          <w:p w14:paraId="67634423">
            <w:pPr>
              <w:spacing w:line="420" w:lineRule="exact"/>
              <w:ind w:left="72" w:right="71" w:firstLine="240"/>
              <w:rPr>
                <w:rFonts w:hint="eastAsia" w:ascii="仿宋_GB2312" w:hAnsi="仿宋_GB2312" w:eastAsia="仿宋_GB2312" w:cs="仿宋_GB2312"/>
                <w:color w:val="auto"/>
                <w:sz w:val="24"/>
                <w:szCs w:val="24"/>
                <w:highlight w:val="none"/>
              </w:rPr>
            </w:pPr>
          </w:p>
          <w:p w14:paraId="1911C94B">
            <w:pPr>
              <w:spacing w:line="420" w:lineRule="exact"/>
              <w:ind w:firstLine="6086" w:firstLineChars="253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监理单位(章)</w:t>
            </w:r>
          </w:p>
          <w:p w14:paraId="461A499D">
            <w:pPr>
              <w:snapToGrid w:val="0"/>
              <w:spacing w:line="420" w:lineRule="exact"/>
              <w:ind w:firstLine="608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7173E700">
            <w:pPr>
              <w:snapToGrid w:val="0"/>
              <w:spacing w:line="420" w:lineRule="exact"/>
              <w:ind w:firstLine="6087"/>
              <w:rPr>
                <w:rFonts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214A5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14:paraId="382FC4EC">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14:paraId="464230EC">
            <w:pPr>
              <w:snapToGrid w:val="0"/>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0980130">
            <w:pPr>
              <w:spacing w:line="420" w:lineRule="exact"/>
              <w:ind w:firstLine="6086" w:firstLineChars="253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发包人（章）</w:t>
            </w:r>
          </w:p>
          <w:p w14:paraId="5B4CF939">
            <w:pPr>
              <w:snapToGrid w:val="0"/>
              <w:spacing w:line="420" w:lineRule="exact"/>
              <w:ind w:left="-28" w:firstLine="6112" w:firstLineChars="2547"/>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14:paraId="7F66C86A">
            <w:pPr>
              <w:snapToGrid w:val="0"/>
              <w:spacing w:line="420" w:lineRule="exact"/>
              <w:ind w:left="-28" w:firstLine="6112" w:firstLineChars="2547"/>
              <w:rPr>
                <w:rFonts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34D0272B">
      <w:pPr>
        <w:spacing w:line="420" w:lineRule="exact"/>
        <w:ind w:firstLine="240" w:firstLineChars="1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6ACDE405">
      <w:pPr>
        <w:spacing w:before="0" w:beforeLines="-2147483648" w:after="0" w:afterLines="-2147483648" w:line="420" w:lineRule="exact"/>
        <w:ind w:firstLine="960" w:firstLineChars="400"/>
        <w:outlineLvl w:val="9"/>
        <w:rPr>
          <w:rFonts w:hint="eastAsia" w:ascii="黑体" w:hAnsi="黑体" w:eastAsia="黑体" w:cs="黑体"/>
          <w:b w:val="0"/>
          <w:bCs w:val="0"/>
          <w:color w:val="auto"/>
          <w:kern w:val="0"/>
          <w:sz w:val="24"/>
          <w:szCs w:val="24"/>
          <w:highlight w:val="none"/>
        </w:rPr>
      </w:pPr>
      <w:r>
        <w:rPr>
          <w:rFonts w:hint="eastAsia" w:ascii="仿宋_GB2312" w:hAnsi="仿宋_GB2312" w:eastAsia="仿宋_GB2312" w:cs="仿宋_GB2312"/>
          <w:color w:val="auto"/>
          <w:sz w:val="24"/>
          <w:szCs w:val="24"/>
          <w:highlight w:val="none"/>
        </w:rPr>
        <w:t>2．本表一式三份，由承包人、监理单位、发包人按合同规定程序填制，并各存一份。</w:t>
      </w:r>
      <w:r>
        <w:rPr>
          <w:rFonts w:hint="eastAsia" w:ascii="宋体" w:hAnsi="宋体" w:cs="宋体"/>
          <w:color w:val="auto"/>
          <w:kern w:val="0"/>
          <w:sz w:val="22"/>
          <w:szCs w:val="22"/>
          <w:highlight w:val="none"/>
        </w:rPr>
        <w:br w:type="page"/>
      </w:r>
      <w:bookmarkStart w:id="752" w:name="_Toc10624994"/>
      <w:bookmarkStart w:id="753" w:name="_Toc266892934"/>
      <w:bookmarkStart w:id="754" w:name="_Toc469384150"/>
      <w:r>
        <w:rPr>
          <w:rFonts w:hint="eastAsia" w:ascii="黑体" w:hAnsi="黑体" w:eastAsia="黑体" w:cs="黑体"/>
          <w:b w:val="0"/>
          <w:bCs w:val="0"/>
          <w:color w:val="auto"/>
          <w:kern w:val="0"/>
          <w:sz w:val="24"/>
          <w:szCs w:val="24"/>
          <w:highlight w:val="none"/>
        </w:rPr>
        <w:t>格式</w:t>
      </w:r>
      <w:bookmarkEnd w:id="752"/>
      <w:bookmarkEnd w:id="753"/>
      <w:bookmarkEnd w:id="754"/>
      <w:r>
        <w:rPr>
          <w:rFonts w:hint="eastAsia" w:ascii="黑体" w:hAnsi="黑体" w:eastAsia="黑体" w:cs="黑体"/>
          <w:b w:val="0"/>
          <w:bCs w:val="0"/>
          <w:color w:val="auto"/>
          <w:kern w:val="0"/>
          <w:sz w:val="24"/>
          <w:szCs w:val="24"/>
          <w:highlight w:val="none"/>
        </w:rPr>
        <w:t>7</w:t>
      </w:r>
    </w:p>
    <w:p w14:paraId="7CF81D72">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工程开工/复工报审表</w:t>
      </w:r>
    </w:p>
    <w:p w14:paraId="25A1361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99"/>
        <w:gridCol w:w="4345"/>
      </w:tblGrid>
      <w:tr w14:paraId="56DDA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9544" w:type="dxa"/>
            <w:gridSpan w:val="2"/>
          </w:tcPr>
          <w:p w14:paraId="56523291">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（监理单位全称）</w:t>
            </w:r>
          </w:p>
          <w:p w14:paraId="600D0814">
            <w:pPr>
              <w:spacing w:line="420" w:lineRule="exact"/>
              <w:ind w:left="-28"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我方承担的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工程,已完成了以下各项工作,具备了（□开工/□复工）条件,现申请施工,请审查并签发（□开工/□复工）指令。</w:t>
            </w:r>
          </w:p>
          <w:p w14:paraId="52A46E81">
            <w:pPr>
              <w:spacing w:line="420" w:lineRule="exact"/>
              <w:ind w:left="-28" w:firstLine="540"/>
              <w:rPr>
                <w:rFonts w:hint="eastAsia" w:ascii="仿宋_GB2312" w:hAnsi="仿宋_GB2312" w:eastAsia="仿宋_GB2312" w:cs="仿宋_GB2312"/>
                <w:color w:val="auto"/>
                <w:sz w:val="24"/>
                <w:szCs w:val="24"/>
                <w:highlight w:val="none"/>
              </w:rPr>
            </w:pPr>
          </w:p>
          <w:p w14:paraId="6CD2E38F">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附：开工报告</w:t>
            </w:r>
          </w:p>
          <w:p w14:paraId="2AB8D6D7">
            <w:pPr>
              <w:spacing w:line="420" w:lineRule="exact"/>
              <w:ind w:left="-28"/>
              <w:rPr>
                <w:rFonts w:hint="eastAsia" w:ascii="仿宋_GB2312" w:hAnsi="仿宋_GB2312" w:eastAsia="仿宋_GB2312" w:cs="仿宋_GB2312"/>
                <w:color w:val="auto"/>
                <w:sz w:val="24"/>
                <w:szCs w:val="24"/>
                <w:highlight w:val="none"/>
              </w:rPr>
            </w:pPr>
          </w:p>
          <w:p w14:paraId="2512053D">
            <w:pPr>
              <w:spacing w:line="420" w:lineRule="exact"/>
              <w:ind w:left="-2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承包方式： </w:t>
            </w:r>
          </w:p>
          <w:p w14:paraId="4979DFBE">
            <w:pPr>
              <w:spacing w:line="420" w:lineRule="exact"/>
              <w:ind w:left="-27"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□无分包；□有分包，并已审核。</w:t>
            </w:r>
          </w:p>
          <w:p w14:paraId="31C5DBE5">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开工准备情况：</w:t>
            </w:r>
          </w:p>
          <w:p w14:paraId="7F52B549">
            <w:pPr>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□施工组织设计（方案）已审批          □资金已落实</w:t>
            </w:r>
          </w:p>
          <w:p w14:paraId="7B2DA81B">
            <w:pPr>
              <w:tabs>
                <w:tab w:val="left" w:pos="4212"/>
              </w:tabs>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□施工图纸已会审并交底                □劳动力安排就绪并已进场</w:t>
            </w:r>
          </w:p>
          <w:p w14:paraId="43449BBC">
            <w:pPr>
              <w:spacing w:line="420" w:lineRule="exact"/>
              <w:ind w:firstLine="3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□开工所需的材料、机具已进场          □其他开工条件已具备</w:t>
            </w:r>
          </w:p>
          <w:p w14:paraId="30CA88BD">
            <w:pPr>
              <w:spacing w:line="420" w:lineRule="exact"/>
              <w:rPr>
                <w:rFonts w:hint="eastAsia" w:ascii="仿宋_GB2312" w:hAnsi="仿宋_GB2312" w:eastAsia="仿宋_GB2312" w:cs="仿宋_GB2312"/>
                <w:color w:val="auto"/>
                <w:sz w:val="24"/>
                <w:szCs w:val="24"/>
                <w:highlight w:val="none"/>
              </w:rPr>
            </w:pPr>
          </w:p>
          <w:p w14:paraId="41742DDA">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14:paraId="19236D6D">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7B56DF00">
            <w:pPr>
              <w:snapToGrid w:val="0"/>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480E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5199" w:type="dxa"/>
          </w:tcPr>
          <w:p w14:paraId="6B15F904">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复核意见： </w:t>
            </w:r>
          </w:p>
          <w:p w14:paraId="734DDA37">
            <w:pPr>
              <w:snapToGrid w:val="0"/>
              <w:spacing w:line="420" w:lineRule="exact"/>
              <w:jc w:val="left"/>
              <w:rPr>
                <w:rFonts w:hint="eastAsia" w:ascii="仿宋_GB2312" w:hAnsi="仿宋_GB2312" w:eastAsia="仿宋_GB2312" w:cs="仿宋_GB2312"/>
                <w:color w:val="auto"/>
                <w:sz w:val="24"/>
                <w:szCs w:val="24"/>
                <w:highlight w:val="none"/>
              </w:rPr>
            </w:pPr>
          </w:p>
          <w:p w14:paraId="498BB289">
            <w:pPr>
              <w:snapToGrid w:val="0"/>
              <w:spacing w:line="420" w:lineRule="exact"/>
              <w:jc w:val="left"/>
              <w:rPr>
                <w:rFonts w:hint="eastAsia" w:ascii="仿宋_GB2312" w:hAnsi="仿宋_GB2312" w:eastAsia="仿宋_GB2312" w:cs="仿宋_GB2312"/>
                <w:color w:val="auto"/>
                <w:sz w:val="24"/>
                <w:szCs w:val="24"/>
                <w:highlight w:val="none"/>
              </w:rPr>
            </w:pPr>
          </w:p>
          <w:p w14:paraId="59762D5D">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监理单位（章）              </w:t>
            </w:r>
          </w:p>
          <w:p w14:paraId="202B7501">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监理工程师 </w:t>
            </w:r>
            <w:r>
              <w:rPr>
                <w:rFonts w:hint="eastAsia" w:ascii="仿宋_GB2312" w:hAnsi="仿宋_GB2312" w:eastAsia="仿宋_GB2312" w:cs="仿宋_GB2312"/>
                <w:color w:val="auto"/>
                <w:sz w:val="24"/>
                <w:szCs w:val="24"/>
                <w:highlight w:val="none"/>
                <w:u w:val="single"/>
              </w:rPr>
              <w:t xml:space="preserve">           </w:t>
            </w:r>
          </w:p>
          <w:p w14:paraId="664AACB0">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c>
          <w:tcPr>
            <w:tcW w:w="4345" w:type="dxa"/>
          </w:tcPr>
          <w:p w14:paraId="0B923910">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审批意见：   </w:t>
            </w:r>
          </w:p>
          <w:p w14:paraId="51CA4EB8">
            <w:pPr>
              <w:snapToGrid w:val="0"/>
              <w:spacing w:line="420" w:lineRule="exact"/>
              <w:jc w:val="left"/>
              <w:rPr>
                <w:rFonts w:hint="eastAsia" w:ascii="仿宋_GB2312" w:hAnsi="仿宋_GB2312" w:eastAsia="仿宋_GB2312" w:cs="仿宋_GB2312"/>
                <w:color w:val="auto"/>
                <w:sz w:val="24"/>
                <w:szCs w:val="24"/>
                <w:highlight w:val="none"/>
              </w:rPr>
            </w:pPr>
          </w:p>
          <w:p w14:paraId="23A0C075">
            <w:pPr>
              <w:snapToGrid w:val="0"/>
              <w:spacing w:line="420" w:lineRule="exact"/>
              <w:jc w:val="left"/>
              <w:rPr>
                <w:rFonts w:hint="eastAsia" w:ascii="仿宋_GB2312" w:hAnsi="仿宋_GB2312" w:eastAsia="仿宋_GB2312" w:cs="仿宋_GB2312"/>
                <w:color w:val="auto"/>
                <w:sz w:val="24"/>
                <w:szCs w:val="24"/>
                <w:highlight w:val="none"/>
              </w:rPr>
            </w:pPr>
          </w:p>
          <w:p w14:paraId="6DA3BB6C">
            <w:pPr>
              <w:snapToGrid w:val="0"/>
              <w:spacing w:line="420" w:lineRule="exact"/>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发包人（章）      </w:t>
            </w:r>
          </w:p>
          <w:p w14:paraId="43F27429">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 </w:t>
            </w:r>
            <w:r>
              <w:rPr>
                <w:rFonts w:hint="eastAsia" w:ascii="仿宋_GB2312" w:hAnsi="仿宋_GB2312" w:eastAsia="仿宋_GB2312" w:cs="仿宋_GB2312"/>
                <w:color w:val="auto"/>
                <w:sz w:val="24"/>
                <w:szCs w:val="24"/>
                <w:highlight w:val="none"/>
                <w:u w:val="single"/>
              </w:rPr>
              <w:t xml:space="preserve">         </w:t>
            </w:r>
          </w:p>
          <w:p w14:paraId="770778C9">
            <w:pPr>
              <w:snapToGrid w:val="0"/>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r>
    </w:tbl>
    <w:p w14:paraId="2ECBBCCB">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398DFBCA">
      <w:pPr>
        <w:spacing w:line="420" w:lineRule="exact"/>
        <w:ind w:left="718" w:leftChars="34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2．本表一式三份，由承包人、监理人、发包人按合同规定程序填制，并各存一份。</w:t>
      </w:r>
    </w:p>
    <w:p w14:paraId="327C28FB">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5" w:name="_Toc469384151"/>
      <w:bookmarkStart w:id="756" w:name="_Toc266892935"/>
      <w:bookmarkStart w:id="757" w:name="_Toc10624995"/>
    </w:p>
    <w:p w14:paraId="5A8D0F88">
      <w:pPr>
        <w:rPr>
          <w:rFonts w:hint="eastAsia"/>
          <w:color w:val="auto"/>
          <w:highlight w:val="none"/>
        </w:rPr>
      </w:pPr>
    </w:p>
    <w:p w14:paraId="33332FCB">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55"/>
      <w:bookmarkEnd w:id="756"/>
      <w:bookmarkEnd w:id="757"/>
      <w:r>
        <w:rPr>
          <w:rFonts w:hint="eastAsia" w:ascii="黑体" w:hAnsi="黑体" w:eastAsia="黑体" w:cs="黑体"/>
          <w:b w:val="0"/>
          <w:bCs w:val="0"/>
          <w:color w:val="auto"/>
          <w:kern w:val="0"/>
          <w:sz w:val="24"/>
          <w:szCs w:val="24"/>
          <w:highlight w:val="none"/>
        </w:rPr>
        <w:t>8</w:t>
      </w:r>
    </w:p>
    <w:p w14:paraId="7F241515">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暂停施工令</w:t>
      </w:r>
    </w:p>
    <w:p w14:paraId="5A591EF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656" w:type="dxa"/>
        <w:tblInd w:w="-3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56"/>
      </w:tblGrid>
      <w:tr w14:paraId="716A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9656" w:type="dxa"/>
          </w:tcPr>
          <w:p w14:paraId="55255ADD">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（承包人全称）</w:t>
            </w:r>
          </w:p>
          <w:p w14:paraId="4B579526">
            <w:pPr>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p>
          <w:p w14:paraId="74DA28E9">
            <w:pPr>
              <w:spacing w:line="420" w:lineRule="exact"/>
              <w:ind w:left="-28"/>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14:paraId="2B6E32B8">
            <w:pPr>
              <w:spacing w:line="420" w:lineRule="exact"/>
              <w:ind w:left="-27" w:leftChars="-1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14:paraId="189BF2A1">
            <w:pPr>
              <w:spacing w:line="420" w:lineRule="exact"/>
              <w:ind w:left="-27" w:leftChars="-1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14:paraId="6E8A0430">
            <w:pPr>
              <w:spacing w:line="420" w:lineRule="exact"/>
              <w:ind w:left="360"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的原因，现通知你方必须于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14:paraId="0412B5B4">
            <w:pPr>
              <w:spacing w:line="420" w:lineRule="exact"/>
              <w:ind w:left="360"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时起，对本工程的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部位（工序）实施暂停施工，并按下述要求做好各项工作：</w:t>
            </w:r>
          </w:p>
          <w:p w14:paraId="61150DCB">
            <w:pPr>
              <w:spacing w:line="420" w:lineRule="exact"/>
              <w:ind w:left="-28"/>
              <w:rPr>
                <w:rFonts w:hint="eastAsia" w:ascii="仿宋_GB2312" w:hAnsi="仿宋_GB2312" w:eastAsia="仿宋_GB2312" w:cs="仿宋_GB2312"/>
                <w:color w:val="auto"/>
                <w:sz w:val="24"/>
                <w:szCs w:val="24"/>
                <w:highlight w:val="none"/>
              </w:rPr>
            </w:pPr>
          </w:p>
          <w:p w14:paraId="6E92AACD">
            <w:pPr>
              <w:spacing w:line="420" w:lineRule="exact"/>
              <w:ind w:left="-28"/>
              <w:rPr>
                <w:rFonts w:hint="eastAsia" w:ascii="仿宋_GB2312" w:hAnsi="仿宋_GB2312" w:eastAsia="仿宋_GB2312" w:cs="仿宋_GB2312"/>
                <w:color w:val="auto"/>
                <w:sz w:val="24"/>
                <w:szCs w:val="24"/>
                <w:highlight w:val="none"/>
              </w:rPr>
            </w:pPr>
          </w:p>
          <w:p w14:paraId="38A2DCF7">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w:t>
            </w:r>
          </w:p>
          <w:p w14:paraId="28409571">
            <w:pPr>
              <w:spacing w:line="420" w:lineRule="exact"/>
              <w:rPr>
                <w:rFonts w:hint="eastAsia" w:ascii="仿宋_GB2312" w:hAnsi="仿宋_GB2312" w:eastAsia="仿宋_GB2312" w:cs="仿宋_GB2312"/>
                <w:color w:val="auto"/>
                <w:sz w:val="24"/>
                <w:szCs w:val="24"/>
                <w:highlight w:val="none"/>
              </w:rPr>
            </w:pPr>
          </w:p>
          <w:p w14:paraId="6902437F">
            <w:pPr>
              <w:spacing w:line="420" w:lineRule="exact"/>
              <w:rPr>
                <w:rFonts w:hint="eastAsia" w:ascii="仿宋_GB2312" w:hAnsi="仿宋_GB2312" w:eastAsia="仿宋_GB2312" w:cs="仿宋_GB2312"/>
                <w:color w:val="auto"/>
                <w:sz w:val="24"/>
                <w:szCs w:val="24"/>
                <w:highlight w:val="none"/>
              </w:rPr>
            </w:pPr>
          </w:p>
          <w:p w14:paraId="11751635">
            <w:pPr>
              <w:spacing w:line="420" w:lineRule="exact"/>
              <w:ind w:firstLine="6732" w:firstLineChars="2805"/>
              <w:rPr>
                <w:rFonts w:hint="eastAsia" w:ascii="仿宋_GB2312" w:hAnsi="仿宋_GB2312" w:eastAsia="仿宋_GB2312" w:cs="仿宋_GB2312"/>
                <w:color w:val="auto"/>
                <w:sz w:val="24"/>
                <w:szCs w:val="24"/>
                <w:highlight w:val="none"/>
              </w:rPr>
            </w:pPr>
          </w:p>
          <w:p w14:paraId="347AFA8F">
            <w:pPr>
              <w:spacing w:line="420" w:lineRule="exact"/>
              <w:ind w:firstLine="6732" w:firstLineChars="2805"/>
              <w:rPr>
                <w:rFonts w:hint="eastAsia" w:ascii="仿宋_GB2312" w:hAnsi="仿宋_GB2312" w:eastAsia="仿宋_GB2312" w:cs="仿宋_GB2312"/>
                <w:color w:val="auto"/>
                <w:sz w:val="24"/>
                <w:szCs w:val="24"/>
                <w:highlight w:val="none"/>
              </w:rPr>
            </w:pPr>
          </w:p>
          <w:p w14:paraId="5437DF7A">
            <w:pPr>
              <w:spacing w:line="420" w:lineRule="exact"/>
              <w:ind w:firstLine="6732" w:firstLineChars="2805"/>
              <w:rPr>
                <w:rFonts w:hint="eastAsia" w:ascii="仿宋_GB2312" w:hAnsi="仿宋_GB2312" w:eastAsia="仿宋_GB2312" w:cs="仿宋_GB2312"/>
                <w:color w:val="auto"/>
                <w:sz w:val="24"/>
                <w:szCs w:val="24"/>
                <w:highlight w:val="none"/>
              </w:rPr>
            </w:pPr>
          </w:p>
          <w:p w14:paraId="7AB0D281">
            <w:pPr>
              <w:spacing w:line="420" w:lineRule="exact"/>
              <w:ind w:firstLine="6732" w:firstLineChars="2805"/>
              <w:rPr>
                <w:rFonts w:hint="eastAsia" w:ascii="仿宋_GB2312" w:hAnsi="仿宋_GB2312" w:eastAsia="仿宋_GB2312" w:cs="仿宋_GB2312"/>
                <w:color w:val="auto"/>
                <w:sz w:val="24"/>
                <w:szCs w:val="24"/>
                <w:highlight w:val="none"/>
              </w:rPr>
            </w:pPr>
          </w:p>
          <w:p w14:paraId="4D978037">
            <w:pPr>
              <w:spacing w:line="420" w:lineRule="exact"/>
              <w:ind w:firstLine="6732" w:firstLineChars="2805"/>
              <w:rPr>
                <w:rFonts w:hint="eastAsia" w:ascii="仿宋_GB2312" w:hAnsi="仿宋_GB2312" w:eastAsia="仿宋_GB2312" w:cs="仿宋_GB2312"/>
                <w:color w:val="auto"/>
                <w:sz w:val="24"/>
                <w:szCs w:val="24"/>
                <w:highlight w:val="none"/>
              </w:rPr>
            </w:pPr>
          </w:p>
          <w:p w14:paraId="505D6342">
            <w:pPr>
              <w:spacing w:line="420" w:lineRule="exact"/>
              <w:ind w:firstLine="6732" w:firstLineChars="2805"/>
              <w:rPr>
                <w:rFonts w:hint="eastAsia" w:ascii="仿宋_GB2312" w:hAnsi="仿宋_GB2312" w:eastAsia="仿宋_GB2312" w:cs="仿宋_GB2312"/>
                <w:color w:val="auto"/>
                <w:sz w:val="24"/>
                <w:szCs w:val="24"/>
                <w:highlight w:val="none"/>
              </w:rPr>
            </w:pPr>
          </w:p>
          <w:p w14:paraId="32157CB0">
            <w:pPr>
              <w:spacing w:line="420" w:lineRule="exact"/>
              <w:ind w:firstLine="6732" w:firstLineChars="2805"/>
              <w:rPr>
                <w:rFonts w:hint="eastAsia" w:ascii="仿宋_GB2312" w:hAnsi="仿宋_GB2312" w:eastAsia="仿宋_GB2312" w:cs="仿宋_GB2312"/>
                <w:color w:val="auto"/>
                <w:sz w:val="24"/>
                <w:szCs w:val="24"/>
                <w:highlight w:val="none"/>
              </w:rPr>
            </w:pPr>
          </w:p>
          <w:p w14:paraId="15016A64">
            <w:pPr>
              <w:spacing w:line="420" w:lineRule="exact"/>
              <w:ind w:firstLine="6732" w:firstLineChars="2805"/>
              <w:rPr>
                <w:rFonts w:hint="eastAsia" w:ascii="仿宋_GB2312" w:hAnsi="仿宋_GB2312" w:eastAsia="仿宋_GB2312" w:cs="仿宋_GB2312"/>
                <w:color w:val="auto"/>
                <w:sz w:val="24"/>
                <w:szCs w:val="24"/>
                <w:highlight w:val="none"/>
              </w:rPr>
            </w:pPr>
          </w:p>
          <w:p w14:paraId="26CA0E16">
            <w:pPr>
              <w:spacing w:line="420" w:lineRule="exact"/>
              <w:ind w:firstLine="6732" w:firstLineChars="2805"/>
              <w:rPr>
                <w:rFonts w:hint="eastAsia" w:ascii="仿宋_GB2312" w:hAnsi="仿宋_GB2312" w:eastAsia="仿宋_GB2312" w:cs="仿宋_GB2312"/>
                <w:color w:val="auto"/>
                <w:sz w:val="24"/>
                <w:szCs w:val="24"/>
                <w:highlight w:val="none"/>
              </w:rPr>
            </w:pPr>
          </w:p>
          <w:p w14:paraId="5E534502">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监理单位（章）           </w:t>
            </w:r>
          </w:p>
          <w:p w14:paraId="6D6FCD06">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5025C549">
            <w:pPr>
              <w:spacing w:line="420" w:lineRule="exact"/>
              <w:ind w:firstLine="6732" w:firstLineChars="28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1A8B2EC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 本表一式三份，由监理工程师填制，并连同发包人、承包人各存一份。</w:t>
      </w:r>
    </w:p>
    <w:p w14:paraId="1B38944B">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58" w:name="_Toc469384152"/>
      <w:bookmarkStart w:id="759" w:name="_Toc266892936"/>
      <w:bookmarkStart w:id="760" w:name="_Toc10624996"/>
    </w:p>
    <w:p w14:paraId="1C4D55C7">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58"/>
      <w:bookmarkEnd w:id="759"/>
      <w:bookmarkEnd w:id="760"/>
      <w:r>
        <w:rPr>
          <w:rFonts w:hint="eastAsia" w:ascii="黑体" w:hAnsi="黑体" w:eastAsia="黑体" w:cs="黑体"/>
          <w:b w:val="0"/>
          <w:bCs w:val="0"/>
          <w:color w:val="auto"/>
          <w:kern w:val="0"/>
          <w:sz w:val="24"/>
          <w:szCs w:val="24"/>
          <w:highlight w:val="none"/>
        </w:rPr>
        <w:t>9</w:t>
      </w:r>
    </w:p>
    <w:p w14:paraId="0B855DC1">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工期索赔申请表</w:t>
      </w:r>
    </w:p>
    <w:p w14:paraId="0289677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525" w:type="dxa"/>
        <w:tblInd w:w="-2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14:paraId="05EF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9525" w:type="dxa"/>
            <w:tcBorders>
              <w:bottom w:val="single" w:color="auto" w:sz="4" w:space="0"/>
            </w:tcBorders>
          </w:tcPr>
          <w:p w14:paraId="57FAC73B">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（监理人全称） </w:t>
            </w:r>
          </w:p>
          <w:p w14:paraId="25662EB5">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条规定，由于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原因,我方要求索赔并顺延工期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日历天，请予以批准。</w:t>
            </w:r>
          </w:p>
          <w:p w14:paraId="1979F79E">
            <w:pPr>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１．工期索赔的依据：</w:t>
            </w:r>
          </w:p>
          <w:p w14:paraId="027B11CA">
            <w:pPr>
              <w:spacing w:line="420" w:lineRule="exact"/>
              <w:rPr>
                <w:rFonts w:hint="eastAsia" w:ascii="仿宋_GB2312" w:hAnsi="仿宋_GB2312" w:eastAsia="仿宋_GB2312" w:cs="仿宋_GB2312"/>
                <w:color w:val="auto"/>
                <w:sz w:val="24"/>
                <w:szCs w:val="24"/>
                <w:highlight w:val="none"/>
              </w:rPr>
            </w:pPr>
          </w:p>
          <w:p w14:paraId="3EAB6233">
            <w:pPr>
              <w:spacing w:line="420" w:lineRule="exact"/>
              <w:rPr>
                <w:rFonts w:hint="eastAsia" w:ascii="仿宋_GB2312" w:hAnsi="仿宋_GB2312" w:eastAsia="仿宋_GB2312" w:cs="仿宋_GB2312"/>
                <w:color w:val="auto"/>
                <w:sz w:val="24"/>
                <w:szCs w:val="24"/>
                <w:highlight w:val="none"/>
              </w:rPr>
            </w:pPr>
          </w:p>
          <w:p w14:paraId="6F77148A">
            <w:pPr>
              <w:spacing w:line="420" w:lineRule="exact"/>
              <w:rPr>
                <w:rFonts w:hint="eastAsia" w:ascii="仿宋_GB2312" w:hAnsi="仿宋_GB2312" w:eastAsia="仿宋_GB2312" w:cs="仿宋_GB2312"/>
                <w:color w:val="auto"/>
                <w:sz w:val="24"/>
                <w:szCs w:val="24"/>
                <w:highlight w:val="none"/>
              </w:rPr>
            </w:pPr>
          </w:p>
          <w:p w14:paraId="18A16466">
            <w:pPr>
              <w:spacing w:line="420" w:lineRule="exact"/>
              <w:rPr>
                <w:rFonts w:hint="eastAsia" w:ascii="仿宋_GB2312" w:hAnsi="仿宋_GB2312" w:eastAsia="仿宋_GB2312" w:cs="仿宋_GB2312"/>
                <w:color w:val="auto"/>
                <w:sz w:val="24"/>
                <w:szCs w:val="24"/>
                <w:highlight w:val="none"/>
              </w:rPr>
            </w:pPr>
          </w:p>
          <w:p w14:paraId="651D3073">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2．索赔工期的计算：</w:t>
            </w:r>
          </w:p>
          <w:p w14:paraId="40780B70">
            <w:pPr>
              <w:spacing w:line="420" w:lineRule="exact"/>
              <w:ind w:left="-28" w:firstLine="458"/>
              <w:rPr>
                <w:rFonts w:hint="eastAsia" w:ascii="仿宋_GB2312" w:hAnsi="仿宋_GB2312" w:eastAsia="仿宋_GB2312" w:cs="仿宋_GB2312"/>
                <w:color w:val="auto"/>
                <w:sz w:val="24"/>
                <w:szCs w:val="24"/>
                <w:highlight w:val="none"/>
              </w:rPr>
            </w:pPr>
          </w:p>
          <w:p w14:paraId="24E8049D">
            <w:pPr>
              <w:spacing w:line="420" w:lineRule="exact"/>
              <w:ind w:left="-28" w:firstLine="458"/>
              <w:rPr>
                <w:rFonts w:hint="eastAsia" w:ascii="仿宋_GB2312" w:hAnsi="仿宋_GB2312" w:eastAsia="仿宋_GB2312" w:cs="仿宋_GB2312"/>
                <w:color w:val="auto"/>
                <w:sz w:val="24"/>
                <w:szCs w:val="24"/>
                <w:highlight w:val="none"/>
              </w:rPr>
            </w:pPr>
          </w:p>
          <w:p w14:paraId="360EB31B">
            <w:pPr>
              <w:spacing w:line="420" w:lineRule="exact"/>
              <w:ind w:left="-28" w:firstLine="458"/>
              <w:rPr>
                <w:rFonts w:hint="eastAsia" w:ascii="仿宋_GB2312" w:hAnsi="仿宋_GB2312" w:eastAsia="仿宋_GB2312" w:cs="仿宋_GB2312"/>
                <w:color w:val="auto"/>
                <w:sz w:val="24"/>
                <w:szCs w:val="24"/>
                <w:highlight w:val="none"/>
              </w:rPr>
            </w:pPr>
          </w:p>
          <w:p w14:paraId="4AF47F88">
            <w:pPr>
              <w:spacing w:line="420" w:lineRule="exact"/>
              <w:ind w:left="-28" w:firstLine="458"/>
              <w:rPr>
                <w:rFonts w:hint="eastAsia" w:ascii="仿宋_GB2312" w:hAnsi="仿宋_GB2312" w:eastAsia="仿宋_GB2312" w:cs="仿宋_GB2312"/>
                <w:color w:val="auto"/>
                <w:sz w:val="24"/>
                <w:szCs w:val="24"/>
                <w:highlight w:val="none"/>
              </w:rPr>
            </w:pPr>
          </w:p>
          <w:p w14:paraId="62FA704F">
            <w:pPr>
              <w:spacing w:line="420" w:lineRule="exact"/>
              <w:ind w:left="-28" w:firstLine="458"/>
              <w:rPr>
                <w:rFonts w:hint="eastAsia" w:ascii="仿宋_GB2312" w:hAnsi="仿宋_GB2312" w:eastAsia="仿宋_GB2312" w:cs="仿宋_GB2312"/>
                <w:color w:val="auto"/>
                <w:sz w:val="24"/>
                <w:szCs w:val="24"/>
                <w:highlight w:val="none"/>
              </w:rPr>
            </w:pPr>
          </w:p>
          <w:p w14:paraId="5816C25F">
            <w:pPr>
              <w:spacing w:line="420" w:lineRule="exact"/>
              <w:ind w:left="-28" w:firstLine="458"/>
              <w:rPr>
                <w:rFonts w:hint="eastAsia" w:ascii="仿宋_GB2312" w:hAnsi="仿宋_GB2312" w:eastAsia="仿宋_GB2312" w:cs="仿宋_GB2312"/>
                <w:color w:val="auto"/>
                <w:sz w:val="24"/>
                <w:szCs w:val="24"/>
                <w:highlight w:val="none"/>
              </w:rPr>
            </w:pPr>
          </w:p>
          <w:p w14:paraId="49AB5660">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本次要求延长工期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日历天；最终延长总工期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w:t>
            </w:r>
          </w:p>
          <w:p w14:paraId="11C43BDF">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合同竣工日期从原来</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日延迟到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14:paraId="4EA34A45">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3．证明材料：</w:t>
            </w:r>
          </w:p>
          <w:p w14:paraId="1C8FF8EE">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73474A17">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56089503">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5B86985B">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70D8024C">
            <w:pPr>
              <w:tabs>
                <w:tab w:val="left" w:pos="691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14:paraId="31AE47C5">
            <w:pPr>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64E823D8">
            <w:pPr>
              <w:tabs>
                <w:tab w:val="left" w:pos="727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1EEFF724">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说明：本表一式三份，由承包人填报,发包人、监理人、承包人各存一份。</w:t>
      </w:r>
    </w:p>
    <w:p w14:paraId="483B5DFF">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761" w:name="_Toc10624997"/>
      <w:bookmarkStart w:id="762" w:name="_Toc469384153"/>
      <w:bookmarkStart w:id="763" w:name="_Toc266892937"/>
    </w:p>
    <w:p w14:paraId="1B531210">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p>
    <w:p w14:paraId="6186177D">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格式1</w:t>
      </w:r>
      <w:bookmarkEnd w:id="761"/>
      <w:bookmarkEnd w:id="762"/>
      <w:bookmarkEnd w:id="763"/>
      <w:r>
        <w:rPr>
          <w:rFonts w:hint="eastAsia" w:ascii="黑体" w:hAnsi="黑体" w:eastAsia="黑体" w:cs="黑体"/>
          <w:b w:val="0"/>
          <w:bCs w:val="0"/>
          <w:color w:val="auto"/>
          <w:kern w:val="0"/>
          <w:sz w:val="24"/>
          <w:szCs w:val="24"/>
          <w:highlight w:val="none"/>
        </w:rPr>
        <w:t>0</w:t>
      </w:r>
    </w:p>
    <w:p w14:paraId="6C5B5167">
      <w:pPr>
        <w:spacing w:before="50" w:after="50" w:line="420" w:lineRule="exact"/>
        <w:jc w:val="center"/>
        <w:rPr>
          <w:rFonts w:ascii="宋体" w:hAnsi="宋体" w:cs="宋体"/>
          <w:b/>
          <w:bCs/>
          <w:color w:val="auto"/>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工期索赔审批表</w:t>
      </w:r>
    </w:p>
    <w:p w14:paraId="548E03C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094" w:type="dxa"/>
        <w:tblInd w:w="-1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94"/>
      </w:tblGrid>
      <w:tr w14:paraId="1A0FD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874" w:hRule="atLeast"/>
        </w:trPr>
        <w:tc>
          <w:tcPr>
            <w:tcW w:w="9094" w:type="dxa"/>
            <w:tcBorders>
              <w:bottom w:val="single" w:color="auto" w:sz="4" w:space="0"/>
            </w:tcBorders>
          </w:tcPr>
          <w:p w14:paraId="391A3A4A">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14:paraId="1E69A6F5">
            <w:pPr>
              <w:spacing w:line="420" w:lineRule="exact"/>
              <w:ind w:left="-28" w:firstLine="482"/>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的规定，你方提出的工期索赔申请第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号,索赔工期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日历天，经我方审核：</w:t>
            </w:r>
          </w:p>
          <w:p w14:paraId="1B08644C">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□不同意此项索赔，按约定竣工日期组织施工。</w:t>
            </w:r>
          </w:p>
          <w:p w14:paraId="6113C3B0">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□同意此项索赔，工期延长</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日历天，合同竣工日期从原来的</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日延迟到</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14:paraId="7851B0A1">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说明理由：</w:t>
            </w:r>
          </w:p>
          <w:p w14:paraId="64D909C5">
            <w:pPr>
              <w:spacing w:line="420" w:lineRule="exact"/>
              <w:rPr>
                <w:rFonts w:hint="eastAsia" w:ascii="仿宋_GB2312" w:hAnsi="仿宋_GB2312" w:eastAsia="仿宋_GB2312" w:cs="仿宋_GB2312"/>
                <w:color w:val="auto"/>
                <w:sz w:val="24"/>
                <w:szCs w:val="24"/>
                <w:highlight w:val="none"/>
              </w:rPr>
            </w:pPr>
          </w:p>
          <w:p w14:paraId="6108950D">
            <w:pPr>
              <w:spacing w:line="420" w:lineRule="exact"/>
              <w:ind w:firstLine="480" w:firstLineChars="200"/>
              <w:rPr>
                <w:rFonts w:hint="eastAsia" w:ascii="仿宋_GB2312" w:hAnsi="仿宋_GB2312" w:eastAsia="仿宋_GB2312" w:cs="仿宋_GB2312"/>
                <w:color w:val="auto"/>
                <w:sz w:val="24"/>
                <w:szCs w:val="24"/>
                <w:highlight w:val="none"/>
              </w:rPr>
            </w:pPr>
          </w:p>
          <w:p w14:paraId="632FBB6B">
            <w:pPr>
              <w:spacing w:line="420" w:lineRule="exact"/>
              <w:ind w:firstLine="480" w:firstLineChars="200"/>
              <w:rPr>
                <w:rFonts w:hint="eastAsia" w:ascii="仿宋_GB2312" w:hAnsi="仿宋_GB2312" w:eastAsia="仿宋_GB2312" w:cs="仿宋_GB2312"/>
                <w:color w:val="auto"/>
                <w:sz w:val="24"/>
                <w:szCs w:val="24"/>
                <w:highlight w:val="none"/>
              </w:rPr>
            </w:pPr>
          </w:p>
          <w:p w14:paraId="535F34B6">
            <w:pPr>
              <w:spacing w:line="420" w:lineRule="exact"/>
              <w:ind w:left="-108" w:firstLine="590"/>
              <w:rPr>
                <w:rFonts w:hint="eastAsia" w:ascii="仿宋_GB2312" w:hAnsi="仿宋_GB2312" w:eastAsia="仿宋_GB2312" w:cs="仿宋_GB2312"/>
                <w:color w:val="auto"/>
                <w:sz w:val="24"/>
                <w:szCs w:val="24"/>
                <w:highlight w:val="none"/>
              </w:rPr>
            </w:pPr>
          </w:p>
          <w:p w14:paraId="633F39FF">
            <w:pPr>
              <w:spacing w:line="420" w:lineRule="exact"/>
              <w:rPr>
                <w:rFonts w:hint="eastAsia" w:ascii="仿宋_GB2312" w:hAnsi="仿宋_GB2312" w:eastAsia="仿宋_GB2312" w:cs="仿宋_GB2312"/>
                <w:color w:val="auto"/>
                <w:sz w:val="24"/>
                <w:szCs w:val="24"/>
                <w:highlight w:val="none"/>
              </w:rPr>
            </w:pPr>
          </w:p>
          <w:p w14:paraId="7265E4EB">
            <w:pPr>
              <w:spacing w:line="420" w:lineRule="exact"/>
              <w:ind w:left="-108" w:firstLine="590"/>
              <w:rPr>
                <w:rFonts w:hint="eastAsia" w:ascii="仿宋_GB2312" w:hAnsi="仿宋_GB2312" w:eastAsia="仿宋_GB2312" w:cs="仿宋_GB2312"/>
                <w:color w:val="auto"/>
                <w:sz w:val="24"/>
                <w:szCs w:val="24"/>
                <w:highlight w:val="none"/>
              </w:rPr>
            </w:pPr>
          </w:p>
          <w:p w14:paraId="43B453D0">
            <w:pPr>
              <w:spacing w:line="420" w:lineRule="exact"/>
              <w:rPr>
                <w:rFonts w:hint="eastAsia" w:ascii="仿宋_GB2312" w:hAnsi="仿宋_GB2312" w:eastAsia="仿宋_GB2312" w:cs="仿宋_GB2312"/>
                <w:color w:val="auto"/>
                <w:sz w:val="24"/>
                <w:szCs w:val="24"/>
                <w:highlight w:val="none"/>
              </w:rPr>
            </w:pPr>
          </w:p>
          <w:p w14:paraId="743B28C5">
            <w:pPr>
              <w:spacing w:line="420" w:lineRule="exact"/>
              <w:rPr>
                <w:rFonts w:hint="eastAsia" w:ascii="仿宋_GB2312" w:hAnsi="仿宋_GB2312" w:eastAsia="仿宋_GB2312" w:cs="仿宋_GB2312"/>
                <w:color w:val="auto"/>
                <w:sz w:val="24"/>
                <w:szCs w:val="24"/>
                <w:highlight w:val="none"/>
              </w:rPr>
            </w:pPr>
          </w:p>
          <w:p w14:paraId="63FC00D2">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14:paraId="5FD0CBEF">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14:paraId="456FA89F">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5651397B">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6E81932F">
      <w:pPr>
        <w:spacing w:before="120" w:beforeLines="50" w:after="120" w:afterLines="50" w:line="420" w:lineRule="exact"/>
        <w:ind w:firstLine="720" w:firstLineChars="300"/>
        <w:rPr>
          <w:rFonts w:hint="eastAsia" w:ascii="黑体" w:hAnsi="黑体" w:eastAsia="黑体" w:cs="黑体"/>
          <w:b w:val="0"/>
          <w:bCs w:val="0"/>
          <w:color w:val="auto"/>
          <w:kern w:val="0"/>
          <w:sz w:val="24"/>
          <w:szCs w:val="24"/>
          <w:highlight w:val="none"/>
        </w:rPr>
      </w:pPr>
      <w:r>
        <w:rPr>
          <w:rFonts w:hint="eastAsia" w:ascii="仿宋_GB2312" w:hAnsi="仿宋_GB2312" w:eastAsia="仿宋_GB2312" w:cs="仿宋_GB2312"/>
          <w:color w:val="auto"/>
          <w:sz w:val="24"/>
          <w:szCs w:val="24"/>
          <w:highlight w:val="none"/>
        </w:rPr>
        <w:t>2．本表一式三份，由简历工程师填制,发包人、监理人、承包人各存一份。</w:t>
      </w:r>
      <w:r>
        <w:rPr>
          <w:rFonts w:hint="eastAsia" w:ascii="仿宋_GB2312" w:hAnsi="仿宋_GB2312" w:eastAsia="仿宋_GB2312" w:cs="仿宋_GB2312"/>
          <w:color w:val="auto"/>
          <w:sz w:val="24"/>
          <w:szCs w:val="24"/>
          <w:highlight w:val="none"/>
        </w:rPr>
        <w:br w:type="page"/>
      </w:r>
      <w:bookmarkStart w:id="764" w:name="_Toc266892938"/>
      <w:r>
        <w:rPr>
          <w:rFonts w:hint="eastAsia" w:ascii="黑体" w:hAnsi="黑体" w:eastAsia="黑体" w:cs="黑体"/>
          <w:b w:val="0"/>
          <w:bCs w:val="0"/>
          <w:color w:val="auto"/>
          <w:kern w:val="0"/>
          <w:sz w:val="24"/>
          <w:szCs w:val="24"/>
          <w:highlight w:val="none"/>
        </w:rPr>
        <w:t>格式1</w:t>
      </w:r>
      <w:bookmarkEnd w:id="764"/>
      <w:r>
        <w:rPr>
          <w:rFonts w:hint="eastAsia" w:ascii="黑体" w:hAnsi="黑体" w:eastAsia="黑体" w:cs="黑体"/>
          <w:b w:val="0"/>
          <w:bCs w:val="0"/>
          <w:color w:val="auto"/>
          <w:kern w:val="0"/>
          <w:sz w:val="24"/>
          <w:szCs w:val="24"/>
          <w:highlight w:val="none"/>
        </w:rPr>
        <w:t>1</w:t>
      </w:r>
    </w:p>
    <w:p w14:paraId="39A028F2">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工程材料/设备报审表</w:t>
      </w:r>
    </w:p>
    <w:p w14:paraId="15D297E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394" w:type="dxa"/>
        <w:tblInd w:w="-46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4"/>
      </w:tblGrid>
      <w:tr w14:paraId="0736B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9394" w:type="dxa"/>
          </w:tcPr>
          <w:p w14:paraId="6D0C3063">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14:paraId="0508E81B">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日进场的工程□材料□构配件□设备数量如下（见附件）。现提供质量证明文件及自检结果，拟用于下述部位：</w:t>
            </w:r>
          </w:p>
          <w:p w14:paraId="29212B97">
            <w:pPr>
              <w:spacing w:line="420" w:lineRule="exact"/>
              <w:ind w:left="-28" w:firstLine="4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14:paraId="1D72B7A0">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72209B74">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请予以检验和批准。</w:t>
            </w:r>
          </w:p>
          <w:p w14:paraId="533A4793">
            <w:pPr>
              <w:spacing w:line="420" w:lineRule="exact"/>
              <w:ind w:left="-10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附件:1．数量清单</w:t>
            </w:r>
          </w:p>
          <w:p w14:paraId="7E74DD8D">
            <w:pPr>
              <w:spacing w:line="420" w:lineRule="exact"/>
              <w:ind w:left="-108" w:firstLine="107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2．质量证明文件</w:t>
            </w:r>
          </w:p>
          <w:p w14:paraId="38A9CC1B">
            <w:pPr>
              <w:spacing w:line="420" w:lineRule="exact"/>
              <w:ind w:left="-108" w:firstLine="107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3．自检结果</w:t>
            </w:r>
          </w:p>
          <w:p w14:paraId="541FFCEA">
            <w:pPr>
              <w:spacing w:line="420" w:lineRule="exact"/>
              <w:ind w:left="-28"/>
              <w:rPr>
                <w:rFonts w:hint="eastAsia" w:ascii="仿宋_GB2312" w:hAnsi="仿宋_GB2312" w:eastAsia="仿宋_GB2312" w:cs="仿宋_GB2312"/>
                <w:color w:val="auto"/>
                <w:sz w:val="24"/>
                <w:szCs w:val="24"/>
                <w:highlight w:val="none"/>
              </w:rPr>
            </w:pPr>
          </w:p>
          <w:p w14:paraId="3206B4BF">
            <w:pPr>
              <w:spacing w:line="420" w:lineRule="exact"/>
              <w:ind w:left="-28"/>
              <w:rPr>
                <w:rFonts w:hint="eastAsia" w:ascii="仿宋_GB2312" w:hAnsi="仿宋_GB2312" w:eastAsia="仿宋_GB2312" w:cs="仿宋_GB2312"/>
                <w:color w:val="auto"/>
                <w:sz w:val="24"/>
                <w:szCs w:val="24"/>
                <w:highlight w:val="none"/>
              </w:rPr>
            </w:pPr>
          </w:p>
          <w:p w14:paraId="77801392">
            <w:pPr>
              <w:spacing w:line="420" w:lineRule="exact"/>
              <w:ind w:left="-28"/>
              <w:rPr>
                <w:rFonts w:hint="eastAsia" w:ascii="仿宋_GB2312" w:hAnsi="仿宋_GB2312" w:eastAsia="仿宋_GB2312" w:cs="仿宋_GB2312"/>
                <w:color w:val="auto"/>
                <w:sz w:val="24"/>
                <w:szCs w:val="24"/>
                <w:highlight w:val="none"/>
              </w:rPr>
            </w:pPr>
          </w:p>
          <w:p w14:paraId="3176AC6A">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14:paraId="7EACDD13">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720BBE34">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4D634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9394" w:type="dxa"/>
            <w:tcBorders>
              <w:bottom w:val="single" w:color="auto" w:sz="4" w:space="0"/>
            </w:tcBorders>
          </w:tcPr>
          <w:p w14:paraId="5683DF6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14:paraId="1C9BA8F2">
            <w:pPr>
              <w:spacing w:line="420" w:lineRule="exact"/>
              <w:ind w:left="-28" w:firstLine="45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经检查上述工程□材料□构配件□工程设备，（□符合/□不符合）标准与规范、设计要求，（□准许/□不准许）进场，（□同意/□不同意）使用于拟定部位。</w:t>
            </w:r>
          </w:p>
          <w:p w14:paraId="7BB57CEC">
            <w:pPr>
              <w:spacing w:line="420" w:lineRule="exact"/>
              <w:ind w:firstLine="6000" w:firstLineChars="2500"/>
              <w:rPr>
                <w:rFonts w:hint="eastAsia" w:ascii="仿宋_GB2312" w:hAnsi="仿宋_GB2312" w:eastAsia="仿宋_GB2312" w:cs="仿宋_GB2312"/>
                <w:color w:val="auto"/>
                <w:sz w:val="24"/>
                <w:szCs w:val="24"/>
                <w:highlight w:val="none"/>
              </w:rPr>
            </w:pPr>
          </w:p>
          <w:p w14:paraId="00CBA472">
            <w:pPr>
              <w:spacing w:line="420" w:lineRule="exact"/>
              <w:ind w:firstLine="6000" w:firstLineChars="2500"/>
              <w:rPr>
                <w:rFonts w:hint="eastAsia" w:ascii="仿宋_GB2312" w:hAnsi="仿宋_GB2312" w:eastAsia="仿宋_GB2312" w:cs="仿宋_GB2312"/>
                <w:color w:val="auto"/>
                <w:sz w:val="24"/>
                <w:szCs w:val="24"/>
                <w:highlight w:val="none"/>
              </w:rPr>
            </w:pPr>
          </w:p>
          <w:p w14:paraId="0375B4CC">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14:paraId="69EC474F">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4C2EAB60">
            <w:pPr>
              <w:spacing w:line="420" w:lineRule="exact"/>
              <w:ind w:firstLine="6000" w:firstLineChars="2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tc>
      </w:tr>
    </w:tbl>
    <w:p w14:paraId="713396A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7A1983FF">
      <w:pPr>
        <w:spacing w:line="420" w:lineRule="exact"/>
        <w:ind w:left="7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2.本表一式三份，由承包人、监理人按合同规定程序填制，并连同发包人各存一份。</w:t>
      </w:r>
    </w:p>
    <w:p w14:paraId="7A3C328C">
      <w:pPr>
        <w:spacing w:before="120" w:beforeLines="50" w:after="120" w:afterLines="5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65" w:name="_Toc10624998"/>
      <w:bookmarkStart w:id="766" w:name="_Toc266892939"/>
      <w:bookmarkStart w:id="767" w:name="_Toc469384154"/>
      <w:r>
        <w:rPr>
          <w:rFonts w:hint="eastAsia" w:ascii="黑体" w:hAnsi="黑体" w:eastAsia="黑体" w:cs="黑体"/>
          <w:b w:val="0"/>
          <w:bCs w:val="0"/>
          <w:color w:val="auto"/>
          <w:kern w:val="0"/>
          <w:sz w:val="24"/>
          <w:szCs w:val="24"/>
          <w:highlight w:val="none"/>
        </w:rPr>
        <w:t>格式1</w:t>
      </w:r>
      <w:bookmarkEnd w:id="765"/>
      <w:bookmarkEnd w:id="766"/>
      <w:bookmarkEnd w:id="767"/>
      <w:r>
        <w:rPr>
          <w:rFonts w:hint="eastAsia" w:ascii="黑体" w:hAnsi="黑体" w:eastAsia="黑体" w:cs="黑体"/>
          <w:b w:val="0"/>
          <w:bCs w:val="0"/>
          <w:color w:val="auto"/>
          <w:kern w:val="0"/>
          <w:sz w:val="24"/>
          <w:szCs w:val="24"/>
          <w:highlight w:val="none"/>
        </w:rPr>
        <w:t>2</w:t>
      </w:r>
    </w:p>
    <w:p w14:paraId="4E700F26">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隐蔽工程/中间验收报告</w:t>
      </w:r>
    </w:p>
    <w:p w14:paraId="14BC03E1">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544"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44"/>
      </w:tblGrid>
      <w:tr w14:paraId="4FA74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6" w:hRule="atLeast"/>
        </w:trPr>
        <w:tc>
          <w:tcPr>
            <w:tcW w:w="9544" w:type="dxa"/>
          </w:tcPr>
          <w:p w14:paraId="176D7629">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14:paraId="1388C84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工作,经自检合格，现提出</w:t>
            </w:r>
          </w:p>
          <w:p w14:paraId="2498B1AC">
            <w:pPr>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□隐蔽工程/□中间验收（内容见附件）申请，请予审验收。</w:t>
            </w:r>
          </w:p>
          <w:p w14:paraId="6AC71734">
            <w:pPr>
              <w:spacing w:line="420" w:lineRule="exact"/>
              <w:ind w:firstLine="41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w:t>
            </w:r>
          </w:p>
          <w:p w14:paraId="6F69AB77">
            <w:pPr>
              <w:spacing w:line="420" w:lineRule="exact"/>
              <w:rPr>
                <w:rFonts w:hint="eastAsia" w:ascii="仿宋_GB2312" w:hAnsi="仿宋_GB2312" w:eastAsia="仿宋_GB2312" w:cs="仿宋_GB2312"/>
                <w:color w:val="auto"/>
                <w:sz w:val="24"/>
                <w:szCs w:val="24"/>
                <w:highlight w:val="none"/>
              </w:rPr>
            </w:pPr>
          </w:p>
          <w:p w14:paraId="6487F98A">
            <w:pPr>
              <w:spacing w:line="420" w:lineRule="exact"/>
              <w:rPr>
                <w:rFonts w:hint="eastAsia" w:ascii="仿宋_GB2312" w:hAnsi="仿宋_GB2312" w:eastAsia="仿宋_GB2312" w:cs="仿宋_GB2312"/>
                <w:color w:val="auto"/>
                <w:sz w:val="24"/>
                <w:szCs w:val="24"/>
                <w:highlight w:val="none"/>
              </w:rPr>
            </w:pPr>
          </w:p>
          <w:p w14:paraId="2DEC2133">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14:paraId="281F3EBD">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220E2E34">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59E3D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1" w:hRule="atLeast"/>
        </w:trPr>
        <w:tc>
          <w:tcPr>
            <w:tcW w:w="9544" w:type="dxa"/>
          </w:tcPr>
          <w:p w14:paraId="47CC1563">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14:paraId="24F63284">
            <w:pPr>
              <w:spacing w:before="120" w:line="420" w:lineRule="exact"/>
              <w:rPr>
                <w:rFonts w:hint="eastAsia" w:ascii="仿宋_GB2312" w:hAnsi="仿宋_GB2312" w:eastAsia="仿宋_GB2312" w:cs="仿宋_GB2312"/>
                <w:color w:val="auto"/>
                <w:sz w:val="24"/>
                <w:szCs w:val="24"/>
                <w:highlight w:val="none"/>
              </w:rPr>
            </w:pPr>
          </w:p>
          <w:p w14:paraId="50AA7237">
            <w:pPr>
              <w:spacing w:before="120" w:line="420" w:lineRule="exact"/>
              <w:rPr>
                <w:rFonts w:hint="eastAsia" w:ascii="仿宋_GB2312" w:hAnsi="仿宋_GB2312" w:eastAsia="仿宋_GB2312" w:cs="仿宋_GB2312"/>
                <w:color w:val="auto"/>
                <w:sz w:val="24"/>
                <w:szCs w:val="24"/>
                <w:highlight w:val="none"/>
              </w:rPr>
            </w:pPr>
          </w:p>
          <w:p w14:paraId="32BB9BEE">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设计人（章） </w:t>
            </w:r>
          </w:p>
          <w:p w14:paraId="48ADC936">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p>
          <w:p w14:paraId="6C0EC900">
            <w:pPr>
              <w:spacing w:line="420" w:lineRule="exact"/>
              <w:ind w:firstLine="6240" w:firstLineChars="2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24015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9544" w:type="dxa"/>
            <w:tcBorders>
              <w:top w:val="single" w:color="auto" w:sz="4" w:space="0"/>
            </w:tcBorders>
          </w:tcPr>
          <w:p w14:paraId="43A523E8">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14:paraId="5D67116B">
            <w:pPr>
              <w:spacing w:line="420" w:lineRule="exact"/>
              <w:ind w:firstLine="720" w:firstLineChars="3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经验收，上述工程（□符合/□不符合）标准与规范、设计要求，验收（□合格/□不合格）（□可以/□不可以）隐蔽或继续施工。</w:t>
            </w:r>
          </w:p>
          <w:p w14:paraId="43321A4B">
            <w:pPr>
              <w:spacing w:line="420" w:lineRule="exact"/>
              <w:jc w:val="left"/>
              <w:rPr>
                <w:rFonts w:hint="eastAsia" w:ascii="仿宋_GB2312" w:hAnsi="仿宋_GB2312" w:eastAsia="仿宋_GB2312" w:cs="仿宋_GB2312"/>
                <w:color w:val="auto"/>
                <w:sz w:val="24"/>
                <w:szCs w:val="24"/>
                <w:highlight w:val="none"/>
              </w:rPr>
            </w:pPr>
          </w:p>
          <w:p w14:paraId="091452CC">
            <w:pPr>
              <w:spacing w:line="420" w:lineRule="exact"/>
              <w:jc w:val="left"/>
              <w:rPr>
                <w:rFonts w:hint="eastAsia" w:ascii="仿宋_GB2312" w:hAnsi="仿宋_GB2312" w:eastAsia="仿宋_GB2312" w:cs="仿宋_GB2312"/>
                <w:color w:val="auto"/>
                <w:sz w:val="24"/>
                <w:szCs w:val="24"/>
                <w:highlight w:val="none"/>
              </w:rPr>
            </w:pPr>
          </w:p>
          <w:p w14:paraId="22BB62F7">
            <w:pPr>
              <w:spacing w:line="420" w:lineRule="exact"/>
              <w:ind w:firstLine="6240" w:firstLineChars="26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监理人（章）</w:t>
            </w:r>
          </w:p>
          <w:p w14:paraId="4E0A9889">
            <w:pPr>
              <w:spacing w:line="420" w:lineRule="exact"/>
              <w:ind w:firstLine="6295" w:firstLineChars="2623"/>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511AFF65">
            <w:pPr>
              <w:tabs>
                <w:tab w:val="left" w:pos="6297"/>
              </w:tabs>
              <w:spacing w:line="420" w:lineRule="exact"/>
              <w:ind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tc>
      </w:tr>
    </w:tbl>
    <w:p w14:paraId="302AAD8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71D9D42D">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2．本表用于包括隐蔽工程、分部分项工程、单位工程等的质量验收。</w:t>
      </w:r>
    </w:p>
    <w:p w14:paraId="13383FF8">
      <w:pPr>
        <w:spacing w:line="420" w:lineRule="exact"/>
        <w:ind w:left="1198" w:leftChars="342" w:hanging="480" w:hanging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3．本表一式四份，由承包人、设计人、监理人按合同规定程序填制，并连同发包人各存一份。</w:t>
      </w:r>
    </w:p>
    <w:p w14:paraId="095F0DF4">
      <w:pPr>
        <w:spacing w:line="420" w:lineRule="exact"/>
        <w:ind w:left="1"/>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68" w:name="_Toc10624999"/>
      <w:bookmarkStart w:id="769" w:name="_Toc266892940"/>
      <w:bookmarkStart w:id="770" w:name="_Toc469384155"/>
      <w:r>
        <w:rPr>
          <w:rFonts w:hint="eastAsia" w:ascii="黑体" w:hAnsi="黑体" w:eastAsia="黑体" w:cs="黑体"/>
          <w:b w:val="0"/>
          <w:bCs w:val="0"/>
          <w:color w:val="auto"/>
          <w:kern w:val="0"/>
          <w:sz w:val="24"/>
          <w:szCs w:val="24"/>
          <w:highlight w:val="none"/>
        </w:rPr>
        <w:t>格式1</w:t>
      </w:r>
      <w:bookmarkEnd w:id="768"/>
      <w:bookmarkEnd w:id="769"/>
      <w:bookmarkEnd w:id="770"/>
      <w:r>
        <w:rPr>
          <w:rFonts w:hint="eastAsia" w:ascii="黑体" w:hAnsi="黑体" w:eastAsia="黑体" w:cs="黑体"/>
          <w:b w:val="0"/>
          <w:bCs w:val="0"/>
          <w:color w:val="auto"/>
          <w:kern w:val="0"/>
          <w:sz w:val="24"/>
          <w:szCs w:val="24"/>
          <w:highlight w:val="none"/>
        </w:rPr>
        <w:t>3</w:t>
      </w:r>
    </w:p>
    <w:p w14:paraId="6856B066">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工程变更报审表</w:t>
      </w:r>
    </w:p>
    <w:p w14:paraId="64A51EFB">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 </w:t>
      </w:r>
    </w:p>
    <w:tbl>
      <w:tblPr>
        <w:tblStyle w:val="18"/>
        <w:tblW w:w="9393" w:type="dxa"/>
        <w:tblInd w:w="-29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68"/>
        <w:gridCol w:w="3447"/>
        <w:gridCol w:w="2278"/>
      </w:tblGrid>
      <w:tr w14:paraId="197A7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9393" w:type="dxa"/>
            <w:gridSpan w:val="3"/>
            <w:tcBorders>
              <w:bottom w:val="single" w:color="000000" w:sz="6" w:space="0"/>
            </w:tcBorders>
          </w:tcPr>
          <w:p w14:paraId="700E385A">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14:paraId="2EE4D0EA">
            <w:pPr>
              <w:tabs>
                <w:tab w:val="left" w:pos="6192"/>
              </w:tabs>
              <w:spacing w:line="42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原因，现提出</w:t>
            </w:r>
          </w:p>
          <w:p w14:paraId="7C4C69B5">
            <w:pPr>
              <w:tabs>
                <w:tab w:val="left" w:pos="6192"/>
              </w:tabs>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p>
          <w:p w14:paraId="4EB7A602">
            <w:pPr>
              <w:tabs>
                <w:tab w:val="left" w:pos="6192"/>
              </w:tabs>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工程变更（内容见附件），请予以审批。</w:t>
            </w:r>
          </w:p>
          <w:p w14:paraId="0F7FCD41">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附件：1．提出变更原因（必要时附图）；</w:t>
            </w:r>
          </w:p>
          <w:p w14:paraId="402EB7A7">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2．工程量增减计算书；</w:t>
            </w:r>
          </w:p>
          <w:p w14:paraId="3DEA1E51">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3．工程变更价款报价单。</w:t>
            </w:r>
          </w:p>
          <w:p w14:paraId="1806DF26">
            <w:pPr>
              <w:spacing w:line="420" w:lineRule="exact"/>
              <w:rPr>
                <w:rFonts w:hint="eastAsia" w:ascii="仿宋_GB2312" w:hAnsi="仿宋_GB2312" w:eastAsia="仿宋_GB2312" w:cs="仿宋_GB2312"/>
                <w:color w:val="auto"/>
                <w:sz w:val="24"/>
                <w:szCs w:val="24"/>
                <w:highlight w:val="none"/>
              </w:rPr>
            </w:pPr>
          </w:p>
          <w:p w14:paraId="0BE24545">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451CBEF5">
            <w:pPr>
              <w:spacing w:line="420" w:lineRule="exact"/>
              <w:ind w:firstLine="5760" w:firstLineChars="24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承包人（章）                 </w:t>
            </w:r>
          </w:p>
          <w:p w14:paraId="52E60B49">
            <w:pPr>
              <w:spacing w:line="420" w:lineRule="exact"/>
              <w:ind w:firstLine="598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pacing w:val="28"/>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724CAD28">
            <w:pPr>
              <w:spacing w:line="420" w:lineRule="exact"/>
              <w:ind w:firstLine="5982"/>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 xml:space="preserve">日        期 </w:t>
            </w:r>
            <w:r>
              <w:rPr>
                <w:rFonts w:hint="eastAsia" w:ascii="仿宋_GB2312" w:hAnsi="仿宋_GB2312" w:eastAsia="仿宋_GB2312" w:cs="仿宋_GB2312"/>
                <w:color w:val="auto"/>
                <w:sz w:val="24"/>
                <w:szCs w:val="24"/>
                <w:highlight w:val="none"/>
                <w:u w:val="single"/>
              </w:rPr>
              <w:t xml:space="preserve">              </w:t>
            </w:r>
          </w:p>
        </w:tc>
      </w:tr>
      <w:tr w14:paraId="68D50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668" w:type="dxa"/>
            <w:tcBorders>
              <w:top w:val="single" w:color="000000" w:sz="6" w:space="0"/>
              <w:bottom w:val="single" w:color="auto" w:sz="4" w:space="0"/>
              <w:right w:val="single" w:color="auto" w:sz="4" w:space="0"/>
            </w:tcBorders>
          </w:tcPr>
          <w:p w14:paraId="67C2CA79">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14:paraId="7918F669">
            <w:pPr>
              <w:snapToGrid w:val="0"/>
              <w:spacing w:line="420" w:lineRule="exact"/>
              <w:ind w:hanging="6"/>
              <w:rPr>
                <w:rFonts w:hint="eastAsia" w:ascii="仿宋_GB2312" w:hAnsi="仿宋_GB2312" w:eastAsia="仿宋_GB2312" w:cs="仿宋_GB2312"/>
                <w:color w:val="auto"/>
                <w:sz w:val="24"/>
                <w:szCs w:val="24"/>
                <w:highlight w:val="none"/>
              </w:rPr>
            </w:pPr>
          </w:p>
          <w:p w14:paraId="09303053">
            <w:pPr>
              <w:snapToGrid w:val="0"/>
              <w:spacing w:line="420" w:lineRule="exact"/>
              <w:ind w:hanging="6"/>
              <w:rPr>
                <w:rFonts w:hint="eastAsia" w:ascii="仿宋_GB2312" w:hAnsi="仿宋_GB2312" w:eastAsia="仿宋_GB2312" w:cs="仿宋_GB2312"/>
                <w:color w:val="auto"/>
                <w:sz w:val="24"/>
                <w:szCs w:val="24"/>
                <w:highlight w:val="none"/>
              </w:rPr>
            </w:pPr>
          </w:p>
          <w:p w14:paraId="1515861F">
            <w:pPr>
              <w:snapToGrid w:val="0"/>
              <w:spacing w:line="420" w:lineRule="exact"/>
              <w:ind w:hanging="6"/>
              <w:rPr>
                <w:rFonts w:hint="eastAsia" w:ascii="仿宋_GB2312" w:hAnsi="仿宋_GB2312" w:eastAsia="仿宋_GB2312" w:cs="仿宋_GB2312"/>
                <w:color w:val="auto"/>
                <w:sz w:val="24"/>
                <w:szCs w:val="24"/>
                <w:highlight w:val="none"/>
              </w:rPr>
            </w:pPr>
          </w:p>
          <w:p w14:paraId="7F9ECA64">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设计人（章）</w:t>
            </w:r>
          </w:p>
          <w:p w14:paraId="4475FF50">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p>
          <w:p w14:paraId="116031CA">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14:paraId="39333B59">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14:paraId="46389FE6">
            <w:pPr>
              <w:widowControl/>
              <w:spacing w:line="420" w:lineRule="exact"/>
              <w:jc w:val="left"/>
              <w:rPr>
                <w:rFonts w:hint="eastAsia" w:ascii="仿宋_GB2312" w:hAnsi="仿宋_GB2312" w:eastAsia="仿宋_GB2312" w:cs="仿宋_GB2312"/>
                <w:color w:val="auto"/>
                <w:sz w:val="24"/>
                <w:szCs w:val="24"/>
                <w:highlight w:val="none"/>
              </w:rPr>
            </w:pPr>
          </w:p>
          <w:p w14:paraId="1DEF945F">
            <w:pPr>
              <w:widowControl/>
              <w:spacing w:line="420" w:lineRule="exact"/>
              <w:jc w:val="left"/>
              <w:rPr>
                <w:rFonts w:hint="eastAsia" w:ascii="仿宋_GB2312" w:hAnsi="仿宋_GB2312" w:eastAsia="仿宋_GB2312" w:cs="仿宋_GB2312"/>
                <w:color w:val="auto"/>
                <w:sz w:val="24"/>
                <w:szCs w:val="24"/>
                <w:highlight w:val="none"/>
              </w:rPr>
            </w:pPr>
          </w:p>
          <w:p w14:paraId="15F0CCA5">
            <w:pPr>
              <w:snapToGrid w:val="0"/>
              <w:spacing w:line="420" w:lineRule="exact"/>
              <w:rPr>
                <w:rFonts w:hint="eastAsia" w:ascii="仿宋_GB2312" w:hAnsi="仿宋_GB2312" w:eastAsia="仿宋_GB2312" w:cs="仿宋_GB2312"/>
                <w:color w:val="auto"/>
                <w:sz w:val="24"/>
                <w:szCs w:val="24"/>
                <w:highlight w:val="none"/>
              </w:rPr>
            </w:pPr>
          </w:p>
          <w:p w14:paraId="23146BF6">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监理人（章）</w:t>
            </w:r>
          </w:p>
          <w:p w14:paraId="03110EB8">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3C980DAD">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2278" w:type="dxa"/>
            <w:tcBorders>
              <w:top w:val="single" w:color="000000" w:sz="6" w:space="0"/>
              <w:left w:val="single" w:color="auto" w:sz="4" w:space="0"/>
              <w:bottom w:val="single" w:color="auto" w:sz="4" w:space="0"/>
            </w:tcBorders>
          </w:tcPr>
          <w:p w14:paraId="72625ADB">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14:paraId="1B978D6C">
            <w:pPr>
              <w:widowControl/>
              <w:spacing w:line="420" w:lineRule="exact"/>
              <w:jc w:val="left"/>
              <w:rPr>
                <w:rFonts w:hint="eastAsia" w:ascii="仿宋_GB2312" w:hAnsi="仿宋_GB2312" w:eastAsia="仿宋_GB2312" w:cs="仿宋_GB2312"/>
                <w:color w:val="auto"/>
                <w:sz w:val="24"/>
                <w:szCs w:val="24"/>
                <w:highlight w:val="none"/>
              </w:rPr>
            </w:pPr>
          </w:p>
          <w:p w14:paraId="18E5325E">
            <w:pPr>
              <w:widowControl/>
              <w:spacing w:line="420" w:lineRule="exact"/>
              <w:jc w:val="left"/>
              <w:rPr>
                <w:rFonts w:hint="eastAsia" w:ascii="仿宋_GB2312" w:hAnsi="仿宋_GB2312" w:eastAsia="仿宋_GB2312" w:cs="仿宋_GB2312"/>
                <w:color w:val="auto"/>
                <w:sz w:val="24"/>
                <w:szCs w:val="24"/>
                <w:highlight w:val="none"/>
              </w:rPr>
            </w:pPr>
          </w:p>
          <w:p w14:paraId="245B4849">
            <w:pPr>
              <w:snapToGrid w:val="0"/>
              <w:spacing w:line="420" w:lineRule="exact"/>
              <w:rPr>
                <w:rFonts w:hint="eastAsia" w:ascii="仿宋_GB2312" w:hAnsi="仿宋_GB2312" w:eastAsia="仿宋_GB2312" w:cs="仿宋_GB2312"/>
                <w:color w:val="auto"/>
                <w:sz w:val="24"/>
                <w:szCs w:val="24"/>
                <w:highlight w:val="none"/>
              </w:rPr>
            </w:pPr>
          </w:p>
          <w:p w14:paraId="41D9EF9A">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造价咨询人（章）</w:t>
            </w:r>
          </w:p>
          <w:p w14:paraId="32D47FB9">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14:paraId="4E9201FC">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4F3AC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9393" w:type="dxa"/>
            <w:gridSpan w:val="3"/>
            <w:tcBorders>
              <w:top w:val="single" w:color="auto" w:sz="4" w:space="0"/>
              <w:bottom w:val="single" w:color="000000" w:sz="6" w:space="0"/>
            </w:tcBorders>
          </w:tcPr>
          <w:p w14:paraId="502B3548">
            <w:pPr>
              <w:snapToGrid w:val="0"/>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14:paraId="249A8F63">
            <w:pPr>
              <w:snapToGrid w:val="0"/>
              <w:spacing w:line="420" w:lineRule="exact"/>
              <w:ind w:hanging="6"/>
              <w:rPr>
                <w:rFonts w:hint="eastAsia" w:ascii="仿宋_GB2312" w:hAnsi="仿宋_GB2312" w:eastAsia="仿宋_GB2312" w:cs="仿宋_GB2312"/>
                <w:color w:val="auto"/>
                <w:sz w:val="24"/>
                <w:szCs w:val="24"/>
                <w:highlight w:val="none"/>
              </w:rPr>
            </w:pPr>
          </w:p>
          <w:p w14:paraId="36B8D66A">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发包人（章）</w:t>
            </w:r>
          </w:p>
          <w:p w14:paraId="2E6ACEA8">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b/>
                <w:bCs/>
                <w:color w:val="auto"/>
                <w:sz w:val="24"/>
                <w:szCs w:val="24"/>
                <w:highlight w:val="none"/>
                <w:u w:val="single"/>
              </w:rPr>
              <w:t xml:space="preserve">           </w:t>
            </w:r>
          </w:p>
          <w:p w14:paraId="7A20D168">
            <w:pPr>
              <w:snapToGrid w:val="0"/>
              <w:spacing w:line="420" w:lineRule="exact"/>
              <w:ind w:hanging="6"/>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bl>
    <w:p w14:paraId="4C0FAA00">
      <w:pPr>
        <w:spacing w:line="420" w:lineRule="exact"/>
        <w:ind w:left="660"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说明：本表一式五份，由承包人、设计人、监理人、工程造价咨询人（如有）、发包人按合同规定程序填制，并各存一份。</w:t>
      </w:r>
    </w:p>
    <w:p w14:paraId="23310101">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1" w:name="_Toc469384156"/>
      <w:bookmarkStart w:id="772" w:name="_Toc266892941"/>
      <w:bookmarkStart w:id="773" w:name="_Toc10625000"/>
      <w:r>
        <w:rPr>
          <w:rFonts w:hint="eastAsia" w:ascii="黑体" w:hAnsi="黑体" w:eastAsia="黑体" w:cs="黑体"/>
          <w:b w:val="0"/>
          <w:bCs w:val="0"/>
          <w:color w:val="auto"/>
          <w:kern w:val="0"/>
          <w:sz w:val="24"/>
          <w:szCs w:val="24"/>
          <w:highlight w:val="none"/>
        </w:rPr>
        <w:t>格式1</w:t>
      </w:r>
      <w:bookmarkEnd w:id="771"/>
      <w:bookmarkEnd w:id="772"/>
      <w:bookmarkEnd w:id="773"/>
      <w:r>
        <w:rPr>
          <w:rFonts w:hint="eastAsia" w:ascii="黑体" w:hAnsi="黑体" w:eastAsia="黑体" w:cs="黑体"/>
          <w:b w:val="0"/>
          <w:bCs w:val="0"/>
          <w:color w:val="auto"/>
          <w:kern w:val="0"/>
          <w:sz w:val="24"/>
          <w:szCs w:val="24"/>
          <w:highlight w:val="none"/>
        </w:rPr>
        <w:t>4</w:t>
      </w:r>
    </w:p>
    <w:p w14:paraId="212A4213">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工程变更令</w:t>
      </w:r>
    </w:p>
    <w:p w14:paraId="44E3CD7D">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 </w:t>
      </w:r>
    </w:p>
    <w:tbl>
      <w:tblPr>
        <w:tblStyle w:val="18"/>
        <w:tblW w:w="900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9"/>
      </w:tblGrid>
      <w:tr w14:paraId="419E9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9009" w:type="dxa"/>
            <w:tcBorders>
              <w:bottom w:val="single" w:color="000000" w:sz="6" w:space="0"/>
            </w:tcBorders>
          </w:tcPr>
          <w:p w14:paraId="07610838">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14:paraId="3818353A">
            <w:pPr>
              <w:tabs>
                <w:tab w:val="left" w:pos="6192"/>
              </w:tabs>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原因，现发出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工程变更令（内容见附件），请按照本变更令和合同约定组织施工；若合同与本变更令不一致的，以本变更令为准。如有疑问，请及时与监理工程师联系。</w:t>
            </w:r>
          </w:p>
          <w:p w14:paraId="2929FCFA">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变更内容见附件：</w:t>
            </w:r>
          </w:p>
          <w:p w14:paraId="372CC2F5">
            <w:pPr>
              <w:spacing w:line="420" w:lineRule="exact"/>
              <w:ind w:left="-28"/>
              <w:rPr>
                <w:rFonts w:hint="eastAsia" w:ascii="仿宋_GB2312" w:hAnsi="仿宋_GB2312" w:eastAsia="仿宋_GB2312" w:cs="仿宋_GB2312"/>
                <w:color w:val="auto"/>
                <w:sz w:val="24"/>
                <w:szCs w:val="24"/>
                <w:highlight w:val="none"/>
              </w:rPr>
            </w:pPr>
          </w:p>
          <w:p w14:paraId="402B9AAB">
            <w:pPr>
              <w:spacing w:line="420" w:lineRule="exact"/>
              <w:rPr>
                <w:rFonts w:hint="eastAsia" w:ascii="仿宋_GB2312" w:hAnsi="仿宋_GB2312" w:eastAsia="仿宋_GB2312" w:cs="仿宋_GB2312"/>
                <w:color w:val="auto"/>
                <w:sz w:val="24"/>
                <w:szCs w:val="24"/>
                <w:highlight w:val="none"/>
              </w:rPr>
            </w:pPr>
          </w:p>
          <w:p w14:paraId="7ABE94AF">
            <w:pPr>
              <w:spacing w:line="420" w:lineRule="exact"/>
              <w:ind w:left="-28"/>
              <w:rPr>
                <w:rFonts w:hint="eastAsia" w:ascii="仿宋_GB2312" w:hAnsi="仿宋_GB2312" w:eastAsia="仿宋_GB2312" w:cs="仿宋_GB2312"/>
                <w:color w:val="auto"/>
                <w:sz w:val="24"/>
                <w:szCs w:val="24"/>
                <w:highlight w:val="none"/>
              </w:rPr>
            </w:pPr>
          </w:p>
          <w:p w14:paraId="038AB2CA">
            <w:pPr>
              <w:spacing w:line="420" w:lineRule="exact"/>
              <w:ind w:left="-28"/>
              <w:rPr>
                <w:rFonts w:hint="eastAsia" w:ascii="仿宋_GB2312" w:hAnsi="仿宋_GB2312" w:eastAsia="仿宋_GB2312" w:cs="仿宋_GB2312"/>
                <w:color w:val="auto"/>
                <w:sz w:val="24"/>
                <w:szCs w:val="24"/>
                <w:highlight w:val="none"/>
              </w:rPr>
            </w:pPr>
          </w:p>
          <w:p w14:paraId="1D40436C">
            <w:pPr>
              <w:spacing w:line="420" w:lineRule="exact"/>
              <w:ind w:left="-28"/>
              <w:rPr>
                <w:rFonts w:hint="eastAsia" w:ascii="仿宋_GB2312" w:hAnsi="仿宋_GB2312" w:eastAsia="仿宋_GB2312" w:cs="仿宋_GB2312"/>
                <w:color w:val="auto"/>
                <w:sz w:val="24"/>
                <w:szCs w:val="24"/>
                <w:highlight w:val="none"/>
              </w:rPr>
            </w:pPr>
          </w:p>
          <w:p w14:paraId="72D6550E">
            <w:pPr>
              <w:spacing w:line="420" w:lineRule="exact"/>
              <w:ind w:left="-28"/>
              <w:rPr>
                <w:rFonts w:hint="eastAsia" w:ascii="仿宋_GB2312" w:hAnsi="仿宋_GB2312" w:eastAsia="仿宋_GB2312" w:cs="仿宋_GB2312"/>
                <w:color w:val="auto"/>
                <w:sz w:val="24"/>
                <w:szCs w:val="24"/>
                <w:highlight w:val="none"/>
              </w:rPr>
            </w:pPr>
          </w:p>
          <w:p w14:paraId="3986E4E0">
            <w:pPr>
              <w:spacing w:line="420" w:lineRule="exact"/>
              <w:ind w:left="-28"/>
              <w:rPr>
                <w:rFonts w:hint="eastAsia" w:ascii="仿宋_GB2312" w:hAnsi="仿宋_GB2312" w:eastAsia="仿宋_GB2312" w:cs="仿宋_GB2312"/>
                <w:color w:val="auto"/>
                <w:sz w:val="24"/>
                <w:szCs w:val="24"/>
                <w:highlight w:val="none"/>
              </w:rPr>
            </w:pPr>
          </w:p>
          <w:p w14:paraId="114B0EEF">
            <w:pPr>
              <w:spacing w:line="420" w:lineRule="exact"/>
              <w:ind w:left="-28"/>
              <w:rPr>
                <w:rFonts w:hint="eastAsia" w:ascii="仿宋_GB2312" w:hAnsi="仿宋_GB2312" w:eastAsia="仿宋_GB2312" w:cs="仿宋_GB2312"/>
                <w:color w:val="auto"/>
                <w:sz w:val="24"/>
                <w:szCs w:val="24"/>
                <w:highlight w:val="none"/>
              </w:rPr>
            </w:pPr>
          </w:p>
          <w:p w14:paraId="5293F5ED">
            <w:pPr>
              <w:spacing w:line="420" w:lineRule="exact"/>
              <w:ind w:firstLine="5880" w:firstLineChars="24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监理人（章）</w:t>
            </w:r>
          </w:p>
          <w:p w14:paraId="3B3F8991">
            <w:pPr>
              <w:spacing w:line="420" w:lineRule="exact"/>
              <w:ind w:firstLine="5920" w:firstLineChars="2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pacing w:val="28"/>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55249207">
            <w:pPr>
              <w:spacing w:line="420" w:lineRule="exact"/>
              <w:ind w:firstLine="5880" w:firstLineChars="2450"/>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 xml:space="preserve">日        期 </w:t>
            </w:r>
            <w:r>
              <w:rPr>
                <w:rFonts w:hint="eastAsia" w:ascii="仿宋_GB2312" w:hAnsi="仿宋_GB2312" w:eastAsia="仿宋_GB2312" w:cs="仿宋_GB2312"/>
                <w:color w:val="auto"/>
                <w:sz w:val="24"/>
                <w:szCs w:val="24"/>
                <w:highlight w:val="none"/>
                <w:u w:val="single"/>
              </w:rPr>
              <w:t xml:space="preserve">             </w:t>
            </w:r>
          </w:p>
        </w:tc>
      </w:tr>
      <w:tr w14:paraId="3A6AD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9009" w:type="dxa"/>
            <w:tcBorders>
              <w:top w:val="single" w:color="auto" w:sz="4" w:space="0"/>
              <w:bottom w:val="single" w:color="000000" w:sz="6" w:space="0"/>
            </w:tcBorders>
          </w:tcPr>
          <w:p w14:paraId="12E025F6">
            <w:pPr>
              <w:snapToGrid w:val="0"/>
              <w:spacing w:line="420" w:lineRule="exact"/>
              <w:ind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审批意见：</w:t>
            </w:r>
          </w:p>
          <w:p w14:paraId="47152F5D">
            <w:pPr>
              <w:snapToGrid w:val="0"/>
              <w:spacing w:line="420" w:lineRule="exact"/>
              <w:ind w:hanging="6"/>
              <w:rPr>
                <w:rFonts w:hint="eastAsia" w:ascii="仿宋_GB2312" w:hAnsi="仿宋_GB2312" w:eastAsia="仿宋_GB2312" w:cs="仿宋_GB2312"/>
                <w:color w:val="auto"/>
                <w:sz w:val="24"/>
                <w:szCs w:val="24"/>
                <w:highlight w:val="none"/>
              </w:rPr>
            </w:pPr>
          </w:p>
          <w:p w14:paraId="2B9325A4">
            <w:pPr>
              <w:snapToGrid w:val="0"/>
              <w:spacing w:line="420" w:lineRule="exact"/>
              <w:rPr>
                <w:rFonts w:hint="eastAsia" w:ascii="仿宋_GB2312" w:hAnsi="仿宋_GB2312" w:eastAsia="仿宋_GB2312" w:cs="仿宋_GB2312"/>
                <w:color w:val="auto"/>
                <w:sz w:val="24"/>
                <w:szCs w:val="24"/>
                <w:highlight w:val="none"/>
              </w:rPr>
            </w:pPr>
          </w:p>
          <w:p w14:paraId="33DEFF90">
            <w:pPr>
              <w:snapToGrid w:val="0"/>
              <w:spacing w:line="420" w:lineRule="exact"/>
              <w:rPr>
                <w:rFonts w:hint="eastAsia" w:ascii="仿宋_GB2312" w:hAnsi="仿宋_GB2312" w:eastAsia="仿宋_GB2312" w:cs="仿宋_GB2312"/>
                <w:color w:val="auto"/>
                <w:sz w:val="24"/>
                <w:szCs w:val="24"/>
                <w:highlight w:val="none"/>
              </w:rPr>
            </w:pPr>
          </w:p>
          <w:p w14:paraId="60EF6491">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69502288">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发包人（章）</w:t>
            </w:r>
          </w:p>
          <w:p w14:paraId="558537F6">
            <w:pPr>
              <w:snapToGrid w:val="0"/>
              <w:spacing w:line="420" w:lineRule="exact"/>
              <w:ind w:hanging="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b/>
                <w:bCs/>
                <w:color w:val="auto"/>
                <w:sz w:val="24"/>
                <w:szCs w:val="24"/>
                <w:highlight w:val="none"/>
                <w:u w:val="single"/>
              </w:rPr>
              <w:t xml:space="preserve">             </w:t>
            </w:r>
          </w:p>
          <w:p w14:paraId="02B60FF4">
            <w:pPr>
              <w:snapToGrid w:val="0"/>
              <w:spacing w:line="420" w:lineRule="exact"/>
              <w:ind w:hanging="6"/>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bl>
    <w:p w14:paraId="7370FC30">
      <w:pPr>
        <w:spacing w:line="420" w:lineRule="exact"/>
        <w:ind w:left="1" w:firstLine="360" w:firstLine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说明：本表一式四份，由监理人、发包人按合同规定程序填制，并连同工程造价咨询人（如有）、承包人各存一份。</w:t>
      </w:r>
    </w:p>
    <w:p w14:paraId="195CEF01">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4" w:name="_Toc10625001"/>
      <w:bookmarkStart w:id="775" w:name="_Toc266892942"/>
      <w:bookmarkStart w:id="776" w:name="_Toc469384157"/>
      <w:r>
        <w:rPr>
          <w:rFonts w:hint="eastAsia" w:ascii="黑体" w:hAnsi="黑体" w:eastAsia="黑体" w:cs="黑体"/>
          <w:b w:val="0"/>
          <w:bCs w:val="0"/>
          <w:color w:val="auto"/>
          <w:kern w:val="0"/>
          <w:sz w:val="24"/>
          <w:szCs w:val="24"/>
          <w:highlight w:val="none"/>
        </w:rPr>
        <w:t>格式1</w:t>
      </w:r>
      <w:bookmarkEnd w:id="774"/>
      <w:bookmarkEnd w:id="775"/>
      <w:bookmarkEnd w:id="776"/>
      <w:r>
        <w:rPr>
          <w:rFonts w:hint="eastAsia" w:ascii="黑体" w:hAnsi="黑体" w:eastAsia="黑体" w:cs="黑体"/>
          <w:b w:val="0"/>
          <w:bCs w:val="0"/>
          <w:color w:val="auto"/>
          <w:kern w:val="0"/>
          <w:sz w:val="24"/>
          <w:szCs w:val="24"/>
          <w:highlight w:val="none"/>
        </w:rPr>
        <w:t>5</w:t>
      </w:r>
    </w:p>
    <w:p w14:paraId="17DD1A80">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工程竣工验收申请报告</w:t>
      </w:r>
    </w:p>
    <w:p w14:paraId="79F433FC">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884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40"/>
      </w:tblGrid>
      <w:tr w14:paraId="7F3F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8840" w:type="dxa"/>
          </w:tcPr>
          <w:p w14:paraId="052E9CF7">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14:paraId="63E826D5">
            <w:pPr>
              <w:spacing w:line="420" w:lineRule="exact"/>
              <w:ind w:left="-3"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我方已按合同要求完成了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工程,经自检合格，现提出工程竣工验收（内容详见附件），请予以验收。</w:t>
            </w:r>
          </w:p>
          <w:p w14:paraId="71E68C5A">
            <w:pPr>
              <w:spacing w:line="420" w:lineRule="exact"/>
              <w:ind w:left="-3"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你方应该清楚，工程具备验收条件的，应按照合同约定期限完成竣工验收，否则将承担相应责任。</w:t>
            </w:r>
          </w:p>
          <w:p w14:paraId="49E261DC">
            <w:pPr>
              <w:spacing w:line="420" w:lineRule="exact"/>
              <w:ind w:left="-10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附件: </w:t>
            </w:r>
          </w:p>
          <w:p w14:paraId="6DFF2A3A">
            <w:pPr>
              <w:spacing w:line="420" w:lineRule="exact"/>
              <w:rPr>
                <w:rFonts w:hint="eastAsia" w:ascii="仿宋_GB2312" w:hAnsi="仿宋_GB2312" w:eastAsia="仿宋_GB2312" w:cs="仿宋_GB2312"/>
                <w:color w:val="auto"/>
                <w:sz w:val="24"/>
                <w:szCs w:val="24"/>
                <w:highlight w:val="none"/>
              </w:rPr>
            </w:pPr>
          </w:p>
          <w:p w14:paraId="4270A882">
            <w:pPr>
              <w:spacing w:line="420" w:lineRule="exact"/>
              <w:ind w:firstLine="6288" w:firstLineChars="262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14:paraId="6A297435">
            <w:pPr>
              <w:tabs>
                <w:tab w:val="left" w:pos="7092"/>
              </w:tabs>
              <w:spacing w:line="420" w:lineRule="exact"/>
              <w:ind w:firstLine="6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2215645E">
            <w:pPr>
              <w:spacing w:line="420" w:lineRule="exact"/>
              <w:ind w:firstLine="63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1FC74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8840" w:type="dxa"/>
            <w:tcBorders>
              <w:bottom w:val="nil"/>
            </w:tcBorders>
          </w:tcPr>
          <w:p w14:paraId="6A8C90E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审查意见：</w:t>
            </w:r>
          </w:p>
          <w:p w14:paraId="18EAA519">
            <w:pPr>
              <w:spacing w:line="420" w:lineRule="exact"/>
              <w:ind w:left="-28" w:firstLine="5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经初步验收，该工程</w:t>
            </w:r>
          </w:p>
          <w:p w14:paraId="597DDB7E">
            <w:pPr>
              <w:spacing w:line="420" w:lineRule="exact"/>
              <w:ind w:firstLine="5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1.（□符合/□不符合）施工设计图纸要求；</w:t>
            </w:r>
          </w:p>
          <w:p w14:paraId="6E98A785">
            <w:pPr>
              <w:spacing w:line="420" w:lineRule="exact"/>
              <w:ind w:firstLine="52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2.（□符合/□不符合）施工合同要求；</w:t>
            </w:r>
          </w:p>
          <w:p w14:paraId="45EF5772">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3.（□符合/□不符合）竣工资料要求；</w:t>
            </w:r>
          </w:p>
          <w:p w14:paraId="5A1C5990">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4.（□符合/□不符合）缺陷责任期返工工作清单和计划；</w:t>
            </w:r>
          </w:p>
          <w:p w14:paraId="15328390">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5.（□符合/□不符合）竣工验收资料清单。</w:t>
            </w:r>
          </w:p>
          <w:p w14:paraId="09F49904">
            <w:pPr>
              <w:spacing w:line="420" w:lineRule="exact"/>
              <w:ind w:right="-56" w:hanging="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综上所述，该工程初步验收 （□合格/□不合格），（□可以/□不可以）组织正式验收。</w:t>
            </w:r>
          </w:p>
          <w:p w14:paraId="69B6DAC5">
            <w:pPr>
              <w:spacing w:line="420" w:lineRule="exact"/>
              <w:ind w:right="-56"/>
              <w:rPr>
                <w:rFonts w:hint="eastAsia" w:ascii="仿宋_GB2312" w:hAnsi="仿宋_GB2312" w:eastAsia="仿宋_GB2312" w:cs="仿宋_GB2312"/>
                <w:color w:val="auto"/>
                <w:sz w:val="24"/>
                <w:szCs w:val="24"/>
                <w:highlight w:val="none"/>
              </w:rPr>
            </w:pPr>
          </w:p>
          <w:p w14:paraId="38C81435">
            <w:pPr>
              <w:spacing w:line="420" w:lineRule="exact"/>
              <w:ind w:right="-56"/>
              <w:rPr>
                <w:rFonts w:hint="eastAsia" w:ascii="仿宋_GB2312" w:hAnsi="仿宋_GB2312" w:eastAsia="仿宋_GB2312" w:cs="仿宋_GB2312"/>
                <w:color w:val="auto"/>
                <w:sz w:val="24"/>
                <w:szCs w:val="24"/>
                <w:highlight w:val="none"/>
              </w:rPr>
            </w:pPr>
          </w:p>
        </w:tc>
      </w:tr>
      <w:tr w14:paraId="30E2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8840" w:type="dxa"/>
            <w:tcBorders>
              <w:top w:val="nil"/>
            </w:tcBorders>
          </w:tcPr>
          <w:p w14:paraId="01A31DD7">
            <w:pPr>
              <w:spacing w:line="420" w:lineRule="exact"/>
              <w:ind w:right="-56"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监理人（章）       </w:t>
            </w:r>
          </w:p>
          <w:p w14:paraId="4974EACE">
            <w:pPr>
              <w:spacing w:line="420" w:lineRule="exact"/>
              <w:ind w:right="-56"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61D7F39A">
            <w:pPr>
              <w:spacing w:line="420" w:lineRule="exact"/>
              <w:ind w:firstLine="6295" w:firstLineChars="26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277003A9">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7A6D056F">
      <w:pPr>
        <w:spacing w:line="420" w:lineRule="exact"/>
        <w:ind w:left="1078" w:leftChars="342" w:hanging="360" w:hangingChars="1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2．本表一式三份，由承包人、监理工程师按合同规定程序填制，并连同发包人各存一份。</w:t>
      </w:r>
    </w:p>
    <w:p w14:paraId="0A96DDB1">
      <w:pPr>
        <w:spacing w:line="420" w:lineRule="exact"/>
        <w:ind w:left="660" w:hanging="660" w:hangingChars="300"/>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77" w:name="_Toc10625002"/>
      <w:bookmarkStart w:id="778" w:name="_Toc266892943"/>
      <w:bookmarkStart w:id="779" w:name="_Toc469384158"/>
      <w:r>
        <w:rPr>
          <w:rFonts w:hint="eastAsia" w:ascii="黑体" w:hAnsi="黑体" w:eastAsia="黑体" w:cs="黑体"/>
          <w:b w:val="0"/>
          <w:bCs w:val="0"/>
          <w:color w:val="auto"/>
          <w:kern w:val="0"/>
          <w:sz w:val="24"/>
          <w:szCs w:val="24"/>
          <w:highlight w:val="none"/>
        </w:rPr>
        <w:t>格式1</w:t>
      </w:r>
      <w:bookmarkEnd w:id="777"/>
      <w:bookmarkEnd w:id="778"/>
      <w:bookmarkEnd w:id="779"/>
      <w:r>
        <w:rPr>
          <w:rFonts w:hint="eastAsia" w:ascii="黑体" w:hAnsi="黑体" w:eastAsia="黑体" w:cs="黑体"/>
          <w:b w:val="0"/>
          <w:bCs w:val="0"/>
          <w:color w:val="auto"/>
          <w:kern w:val="0"/>
          <w:sz w:val="24"/>
          <w:szCs w:val="24"/>
          <w:highlight w:val="none"/>
        </w:rPr>
        <w:t>6</w:t>
      </w:r>
    </w:p>
    <w:p w14:paraId="473FF8D6">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工程竣工验收记录</w:t>
      </w:r>
    </w:p>
    <w:p w14:paraId="7CBB1121">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966" w:type="dxa"/>
        <w:tblInd w:w="-52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66"/>
      </w:tblGrid>
      <w:tr w14:paraId="655AB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702" w:hRule="atLeast"/>
        </w:trPr>
        <w:tc>
          <w:tcPr>
            <w:tcW w:w="9966" w:type="dxa"/>
            <w:tcBorders>
              <w:bottom w:val="single" w:color="auto" w:sz="4" w:space="0"/>
            </w:tcBorders>
          </w:tcPr>
          <w:p w14:paraId="48280835">
            <w:pPr>
              <w:spacing w:before="120" w:line="420" w:lineRule="exact"/>
              <w:ind w:left="-27" w:leftChars="-13" w:firstLine="540" w:firstLineChars="22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14:paraId="2CA3BDA2">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我方按合同要求参加了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工程竣工验收,经参加验收各方共同验收，记录如下：</w:t>
            </w:r>
          </w:p>
          <w:tbl>
            <w:tblPr>
              <w:tblStyle w:val="18"/>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183"/>
              <w:gridCol w:w="6667"/>
            </w:tblGrid>
            <w:tr w14:paraId="6A76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14:paraId="26A7B6D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183" w:type="dxa"/>
                  <w:tcBorders>
                    <w:top w:val="single" w:color="auto" w:sz="4" w:space="0"/>
                    <w:left w:val="single" w:color="auto" w:sz="4" w:space="0"/>
                    <w:bottom w:val="single" w:color="auto" w:sz="4" w:space="0"/>
                    <w:right w:val="single" w:color="auto" w:sz="4" w:space="0"/>
                  </w:tcBorders>
                </w:tcPr>
                <w:p w14:paraId="741EA4D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  目</w:t>
                  </w:r>
                </w:p>
              </w:tc>
              <w:tc>
                <w:tcPr>
                  <w:tcW w:w="6667" w:type="dxa"/>
                  <w:tcBorders>
                    <w:top w:val="single" w:color="auto" w:sz="4" w:space="0"/>
                    <w:left w:val="single" w:color="auto" w:sz="4" w:space="0"/>
                    <w:bottom w:val="single" w:color="auto" w:sz="4" w:space="0"/>
                    <w:right w:val="single" w:color="auto" w:sz="4" w:space="0"/>
                  </w:tcBorders>
                </w:tcPr>
                <w:p w14:paraId="45199B7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 收 记 录</w:t>
                  </w:r>
                </w:p>
              </w:tc>
            </w:tr>
            <w:tr w14:paraId="5056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14:paraId="642D7A7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183" w:type="dxa"/>
                  <w:tcBorders>
                    <w:top w:val="single" w:color="auto" w:sz="4" w:space="0"/>
                    <w:left w:val="single" w:color="auto" w:sz="4" w:space="0"/>
                    <w:bottom w:val="single" w:color="auto" w:sz="4" w:space="0"/>
                    <w:right w:val="single" w:color="auto" w:sz="4" w:space="0"/>
                  </w:tcBorders>
                </w:tcPr>
                <w:p w14:paraId="689AFD47">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分部分项</w:t>
                  </w:r>
                </w:p>
              </w:tc>
              <w:tc>
                <w:tcPr>
                  <w:tcW w:w="6667" w:type="dxa"/>
                  <w:tcBorders>
                    <w:top w:val="single" w:color="auto" w:sz="4" w:space="0"/>
                    <w:left w:val="single" w:color="auto" w:sz="4" w:space="0"/>
                    <w:bottom w:val="single" w:color="auto" w:sz="4" w:space="0"/>
                    <w:right w:val="single" w:color="auto" w:sz="4" w:space="0"/>
                  </w:tcBorders>
                </w:tcPr>
                <w:p w14:paraId="3DA5CAF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    分部，经查  分部，符合标准与规范、设计要求  分部</w:t>
                  </w:r>
                </w:p>
              </w:tc>
            </w:tr>
            <w:tr w14:paraId="44B2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14:paraId="51E8FE6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183" w:type="dxa"/>
                  <w:tcBorders>
                    <w:top w:val="single" w:color="auto" w:sz="4" w:space="0"/>
                    <w:left w:val="single" w:color="auto" w:sz="4" w:space="0"/>
                    <w:bottom w:val="single" w:color="auto" w:sz="4" w:space="0"/>
                    <w:right w:val="single" w:color="auto" w:sz="4" w:space="0"/>
                  </w:tcBorders>
                </w:tcPr>
                <w:p w14:paraId="09B0727D">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质量控制资料核查</w:t>
                  </w:r>
                </w:p>
              </w:tc>
              <w:tc>
                <w:tcPr>
                  <w:tcW w:w="6667" w:type="dxa"/>
                  <w:tcBorders>
                    <w:top w:val="single" w:color="auto" w:sz="4" w:space="0"/>
                    <w:left w:val="single" w:color="auto" w:sz="4" w:space="0"/>
                    <w:bottom w:val="single" w:color="auto" w:sz="4" w:space="0"/>
                    <w:right w:val="single" w:color="auto" w:sz="4" w:space="0"/>
                  </w:tcBorders>
                </w:tcPr>
                <w:p w14:paraId="6C426A5C">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   项，经核查符合要求  项，其中符合标准与规范要求  项</w:t>
                  </w:r>
                </w:p>
              </w:tc>
            </w:tr>
            <w:tr w14:paraId="1A18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14:paraId="6FA62E4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183" w:type="dxa"/>
                  <w:tcBorders>
                    <w:top w:val="single" w:color="auto" w:sz="4" w:space="0"/>
                    <w:left w:val="single" w:color="auto" w:sz="4" w:space="0"/>
                    <w:bottom w:val="single" w:color="auto" w:sz="4" w:space="0"/>
                    <w:right w:val="single" w:color="auto" w:sz="4" w:space="0"/>
                  </w:tcBorders>
                </w:tcPr>
                <w:p w14:paraId="400B4C78">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安全和主要使用功能核查及抽查结果</w:t>
                  </w:r>
                </w:p>
              </w:tc>
              <w:tc>
                <w:tcPr>
                  <w:tcW w:w="6667" w:type="dxa"/>
                  <w:tcBorders>
                    <w:top w:val="single" w:color="auto" w:sz="4" w:space="0"/>
                    <w:left w:val="single" w:color="auto" w:sz="4" w:space="0"/>
                    <w:bottom w:val="single" w:color="auto" w:sz="4" w:space="0"/>
                    <w:right w:val="single" w:color="auto" w:sz="4" w:space="0"/>
                  </w:tcBorders>
                </w:tcPr>
                <w:p w14:paraId="103433C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共核查    项，符合要求  项；共抽查  项，符合要求  项；经返工处理符合要求  项</w:t>
                  </w:r>
                </w:p>
              </w:tc>
            </w:tr>
            <w:tr w14:paraId="21F4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tcPr>
                <w:p w14:paraId="3102503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183" w:type="dxa"/>
                  <w:tcBorders>
                    <w:top w:val="single" w:color="auto" w:sz="4" w:space="0"/>
                    <w:left w:val="single" w:color="auto" w:sz="4" w:space="0"/>
                    <w:bottom w:val="single" w:color="auto" w:sz="4" w:space="0"/>
                    <w:right w:val="single" w:color="auto" w:sz="4" w:space="0"/>
                  </w:tcBorders>
                </w:tcPr>
                <w:p w14:paraId="64955FE5">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观感质量验收</w:t>
                  </w:r>
                </w:p>
              </w:tc>
              <w:tc>
                <w:tcPr>
                  <w:tcW w:w="6667" w:type="dxa"/>
                  <w:tcBorders>
                    <w:top w:val="single" w:color="auto" w:sz="4" w:space="0"/>
                    <w:left w:val="single" w:color="auto" w:sz="4" w:space="0"/>
                    <w:bottom w:val="single" w:color="auto" w:sz="4" w:space="0"/>
                    <w:right w:val="single" w:color="auto" w:sz="4" w:space="0"/>
                  </w:tcBorders>
                </w:tcPr>
                <w:p w14:paraId="5BE16A2E">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共抽查    项，符合要求  项，不符合要求  项</w:t>
                  </w:r>
                </w:p>
              </w:tc>
            </w:tr>
          </w:tbl>
          <w:p w14:paraId="6EEF82CB">
            <w:pPr>
              <w:spacing w:line="420" w:lineRule="exact"/>
              <w:ind w:firstLine="6240" w:firstLineChars="2600"/>
              <w:rPr>
                <w:rFonts w:hint="eastAsia" w:ascii="仿宋_GB2312" w:hAnsi="仿宋_GB2312" w:eastAsia="仿宋_GB2312" w:cs="仿宋_GB2312"/>
                <w:color w:val="auto"/>
                <w:sz w:val="24"/>
                <w:szCs w:val="24"/>
                <w:highlight w:val="none"/>
              </w:rPr>
            </w:pPr>
          </w:p>
          <w:p w14:paraId="4F8992D3">
            <w:pPr>
              <w:spacing w:line="420" w:lineRule="exact"/>
              <w:ind w:firstLine="6552" w:firstLineChars="273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发包人（章）               </w:t>
            </w:r>
          </w:p>
          <w:p w14:paraId="6E0994CB">
            <w:pPr>
              <w:tabs>
                <w:tab w:val="left" w:pos="7092"/>
              </w:tabs>
              <w:spacing w:line="420" w:lineRule="exact"/>
              <w:ind w:firstLine="6552" w:firstLineChars="273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14:paraId="554EDCD5">
            <w:pPr>
              <w:spacing w:line="420" w:lineRule="exact"/>
              <w:ind w:firstLine="6552" w:firstLineChars="273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52613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9966" w:type="dxa"/>
            <w:tcBorders>
              <w:top w:val="single" w:color="auto" w:sz="4" w:space="0"/>
            </w:tcBorders>
          </w:tcPr>
          <w:p w14:paraId="0E9D01D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验收结论：</w:t>
            </w:r>
          </w:p>
          <w:p w14:paraId="11DA3332">
            <w:pPr>
              <w:spacing w:line="420" w:lineRule="exact"/>
              <w:rPr>
                <w:rFonts w:hint="eastAsia" w:ascii="仿宋_GB2312" w:hAnsi="仿宋_GB2312" w:eastAsia="仿宋_GB2312" w:cs="仿宋_GB2312"/>
                <w:color w:val="auto"/>
                <w:sz w:val="24"/>
                <w:szCs w:val="24"/>
                <w:highlight w:val="none"/>
              </w:rPr>
            </w:pPr>
          </w:p>
          <w:p w14:paraId="09C8577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设计人（章）               监理人（章）              造价咨询人（如有）（章）</w:t>
            </w:r>
          </w:p>
          <w:p w14:paraId="49F2AF75">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建筑师/结构师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监理工程师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造价工程师</w:t>
            </w:r>
            <w:r>
              <w:rPr>
                <w:rFonts w:hint="eastAsia" w:ascii="仿宋_GB2312" w:hAnsi="仿宋_GB2312" w:eastAsia="仿宋_GB2312" w:cs="仿宋_GB2312"/>
                <w:color w:val="auto"/>
                <w:sz w:val="24"/>
                <w:szCs w:val="24"/>
                <w:highlight w:val="none"/>
                <w:u w:val="single"/>
              </w:rPr>
              <w:t xml:space="preserve">          </w:t>
            </w:r>
          </w:p>
          <w:p w14:paraId="6BBA994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tc>
      </w:tr>
      <w:tr w14:paraId="5F60B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9966" w:type="dxa"/>
            <w:tcBorders>
              <w:top w:val="nil"/>
            </w:tcBorders>
          </w:tcPr>
          <w:p w14:paraId="72289628">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综合验收结论：</w:t>
            </w:r>
          </w:p>
          <w:p w14:paraId="7C805D2A">
            <w:pPr>
              <w:spacing w:line="420" w:lineRule="exact"/>
              <w:ind w:firstLine="6240" w:firstLineChars="2600"/>
              <w:rPr>
                <w:rFonts w:hint="eastAsia" w:ascii="仿宋_GB2312" w:hAnsi="仿宋_GB2312" w:eastAsia="仿宋_GB2312" w:cs="仿宋_GB2312"/>
                <w:color w:val="auto"/>
                <w:sz w:val="24"/>
                <w:szCs w:val="24"/>
                <w:highlight w:val="none"/>
              </w:rPr>
            </w:pPr>
          </w:p>
          <w:p w14:paraId="57EF6604">
            <w:pPr>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发包人（章）               </w:t>
            </w:r>
          </w:p>
          <w:p w14:paraId="1AE30468">
            <w:pPr>
              <w:tabs>
                <w:tab w:val="left" w:pos="7092"/>
              </w:tabs>
              <w:spacing w:line="420" w:lineRule="exact"/>
              <w:ind w:firstLine="6240" w:firstLineChars="26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发包人代表</w:t>
            </w:r>
            <w:r>
              <w:rPr>
                <w:rFonts w:hint="eastAsia" w:ascii="仿宋_GB2312" w:hAnsi="仿宋_GB2312" w:eastAsia="仿宋_GB2312" w:cs="仿宋_GB2312"/>
                <w:color w:val="auto"/>
                <w:sz w:val="24"/>
                <w:szCs w:val="24"/>
                <w:highlight w:val="none"/>
                <w:u w:val="single"/>
              </w:rPr>
              <w:t xml:space="preserve">           </w:t>
            </w:r>
          </w:p>
          <w:p w14:paraId="6DA987CC">
            <w:pPr>
              <w:spacing w:line="420" w:lineRule="exact"/>
              <w:ind w:firstLine="6240" w:firstLineChars="26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4F93535E">
      <w:pPr>
        <w:spacing w:line="420" w:lineRule="exact"/>
        <w:ind w:left="1081" w:leftChars="172"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说明：1．表中验收记录由承包人填写，验收结论由监理人（发包人）填写。综合验收结论由参加验收各方共同商定，发包人填写，应对工程质量是否符合标准与规范、设计要求及总体质量作出评价。</w:t>
      </w:r>
    </w:p>
    <w:p w14:paraId="2E9E1978">
      <w:pPr>
        <w:spacing w:line="420" w:lineRule="exact"/>
        <w:ind w:left="480" w:firstLine="600"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2.本表一式五份，由发包人、设计人、监理人、工程造价咨询人（如有）按和承包人各存一份。</w:t>
      </w:r>
    </w:p>
    <w:p w14:paraId="28F9E7F6">
      <w:pPr>
        <w:spacing w:before="120" w:beforeLines="50" w:after="120" w:afterLines="50"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0" w:name="_Toc469384159"/>
      <w:bookmarkStart w:id="781" w:name="_Toc10625003"/>
      <w:bookmarkStart w:id="782" w:name="_Toc266892944"/>
      <w:r>
        <w:rPr>
          <w:rFonts w:hint="eastAsia" w:ascii="黑体" w:hAnsi="黑体" w:eastAsia="黑体" w:cs="黑体"/>
          <w:b w:val="0"/>
          <w:bCs w:val="0"/>
          <w:color w:val="auto"/>
          <w:kern w:val="0"/>
          <w:sz w:val="24"/>
          <w:szCs w:val="24"/>
          <w:highlight w:val="none"/>
        </w:rPr>
        <w:t>格式1</w:t>
      </w:r>
      <w:bookmarkEnd w:id="780"/>
      <w:bookmarkEnd w:id="781"/>
      <w:bookmarkEnd w:id="782"/>
      <w:r>
        <w:rPr>
          <w:rFonts w:hint="eastAsia" w:ascii="黑体" w:hAnsi="黑体" w:eastAsia="黑体" w:cs="黑体"/>
          <w:b w:val="0"/>
          <w:bCs w:val="0"/>
          <w:color w:val="auto"/>
          <w:kern w:val="0"/>
          <w:sz w:val="24"/>
          <w:szCs w:val="24"/>
          <w:highlight w:val="none"/>
        </w:rPr>
        <w:t>7</w:t>
      </w:r>
    </w:p>
    <w:p w14:paraId="1FC29A49">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工程接收证书</w:t>
      </w:r>
    </w:p>
    <w:p w14:paraId="60B506E9">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8953"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53"/>
      </w:tblGrid>
      <w:tr w14:paraId="150D9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8953" w:type="dxa"/>
          </w:tcPr>
          <w:p w14:paraId="09BD4384">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（监理人全称）</w:t>
            </w:r>
          </w:p>
          <w:p w14:paraId="15B182E9">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你方按照合同要求于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日提出鞠躬验收，净我方组织你方、设计人、监理人、工程造价咨询人（如有）共同验收，该工程验收合格，现予颁发工程接收证书，</w:t>
            </w:r>
          </w:p>
          <w:p w14:paraId="097489F9">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按照合同约定，该工程实际竣工日期是</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w:t>
            </w:r>
          </w:p>
          <w:p w14:paraId="2DA0D573">
            <w:pPr>
              <w:spacing w:line="420" w:lineRule="exact"/>
              <w:ind w:left="-28" w:firstLine="482"/>
              <w:rPr>
                <w:rFonts w:hint="eastAsia" w:ascii="仿宋_GB2312" w:hAnsi="仿宋_GB2312" w:eastAsia="仿宋_GB2312" w:cs="仿宋_GB2312"/>
                <w:color w:val="auto"/>
                <w:sz w:val="24"/>
                <w:szCs w:val="24"/>
                <w:highlight w:val="none"/>
              </w:rPr>
            </w:pPr>
          </w:p>
          <w:p w14:paraId="28DCDC6B">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我方颁发工程接收 证书，则标明自颁发之日起，由我方负责照管工程，但并不代表你方已完成施工合同赋予的一切义务和责任，你方仍应承担工程的质量缺陷和质量保修责任。</w:t>
            </w:r>
          </w:p>
          <w:p w14:paraId="29B7CF25">
            <w:pPr>
              <w:spacing w:line="420" w:lineRule="exact"/>
              <w:ind w:left="-28"/>
              <w:rPr>
                <w:rFonts w:hint="eastAsia" w:ascii="仿宋_GB2312" w:hAnsi="仿宋_GB2312" w:eastAsia="仿宋_GB2312" w:cs="仿宋_GB2312"/>
                <w:color w:val="auto"/>
                <w:sz w:val="24"/>
                <w:szCs w:val="24"/>
                <w:highlight w:val="none"/>
              </w:rPr>
            </w:pPr>
          </w:p>
          <w:p w14:paraId="12306EDE">
            <w:pPr>
              <w:spacing w:line="420" w:lineRule="exact"/>
              <w:ind w:left="-28"/>
              <w:rPr>
                <w:rFonts w:hint="eastAsia" w:ascii="仿宋_GB2312" w:hAnsi="仿宋_GB2312" w:eastAsia="仿宋_GB2312" w:cs="仿宋_GB2312"/>
                <w:color w:val="auto"/>
                <w:sz w:val="24"/>
                <w:szCs w:val="24"/>
                <w:highlight w:val="none"/>
              </w:rPr>
            </w:pPr>
          </w:p>
          <w:p w14:paraId="1339CD73">
            <w:pPr>
              <w:spacing w:line="420" w:lineRule="exact"/>
              <w:ind w:left="-28"/>
              <w:rPr>
                <w:rFonts w:hint="eastAsia" w:ascii="仿宋_GB2312" w:hAnsi="仿宋_GB2312" w:eastAsia="仿宋_GB2312" w:cs="仿宋_GB2312"/>
                <w:color w:val="auto"/>
                <w:sz w:val="24"/>
                <w:szCs w:val="24"/>
                <w:highlight w:val="none"/>
              </w:rPr>
            </w:pPr>
          </w:p>
          <w:p w14:paraId="1C942B5F">
            <w:pPr>
              <w:spacing w:line="420" w:lineRule="exact"/>
              <w:ind w:left="-28"/>
              <w:rPr>
                <w:rFonts w:hint="eastAsia" w:ascii="仿宋_GB2312" w:hAnsi="仿宋_GB2312" w:eastAsia="仿宋_GB2312" w:cs="仿宋_GB2312"/>
                <w:color w:val="auto"/>
                <w:sz w:val="24"/>
                <w:szCs w:val="24"/>
                <w:highlight w:val="none"/>
              </w:rPr>
            </w:pPr>
          </w:p>
          <w:p w14:paraId="51B95A6F">
            <w:pPr>
              <w:spacing w:line="420" w:lineRule="exact"/>
              <w:ind w:left="-28"/>
              <w:rPr>
                <w:rFonts w:hint="eastAsia" w:ascii="仿宋_GB2312" w:hAnsi="仿宋_GB2312" w:eastAsia="仿宋_GB2312" w:cs="仿宋_GB2312"/>
                <w:color w:val="auto"/>
                <w:sz w:val="24"/>
                <w:szCs w:val="24"/>
                <w:highlight w:val="none"/>
              </w:rPr>
            </w:pPr>
          </w:p>
          <w:p w14:paraId="5162FB8E">
            <w:pPr>
              <w:spacing w:line="420" w:lineRule="exact"/>
              <w:ind w:left="-28"/>
              <w:rPr>
                <w:rFonts w:hint="eastAsia" w:ascii="仿宋_GB2312" w:hAnsi="仿宋_GB2312" w:eastAsia="仿宋_GB2312" w:cs="仿宋_GB2312"/>
                <w:color w:val="auto"/>
                <w:sz w:val="24"/>
                <w:szCs w:val="24"/>
                <w:highlight w:val="none"/>
              </w:rPr>
            </w:pPr>
          </w:p>
          <w:p w14:paraId="2FEC2F9D">
            <w:pPr>
              <w:spacing w:line="420" w:lineRule="exact"/>
              <w:ind w:left="-28"/>
              <w:rPr>
                <w:rFonts w:hint="eastAsia" w:ascii="仿宋_GB2312" w:hAnsi="仿宋_GB2312" w:eastAsia="仿宋_GB2312" w:cs="仿宋_GB2312"/>
                <w:color w:val="auto"/>
                <w:sz w:val="24"/>
                <w:szCs w:val="24"/>
                <w:highlight w:val="none"/>
              </w:rPr>
            </w:pPr>
          </w:p>
          <w:p w14:paraId="204CFA50">
            <w:pPr>
              <w:spacing w:line="420" w:lineRule="exact"/>
              <w:ind w:left="-28"/>
              <w:rPr>
                <w:rFonts w:hint="eastAsia" w:ascii="仿宋_GB2312" w:hAnsi="仿宋_GB2312" w:eastAsia="仿宋_GB2312" w:cs="仿宋_GB2312"/>
                <w:color w:val="auto"/>
                <w:sz w:val="24"/>
                <w:szCs w:val="24"/>
                <w:highlight w:val="none"/>
              </w:rPr>
            </w:pPr>
          </w:p>
          <w:p w14:paraId="7575EE51">
            <w:pPr>
              <w:spacing w:line="420" w:lineRule="exact"/>
              <w:ind w:left="-28"/>
              <w:rPr>
                <w:rFonts w:hint="eastAsia" w:ascii="仿宋_GB2312" w:hAnsi="仿宋_GB2312" w:eastAsia="仿宋_GB2312" w:cs="仿宋_GB2312"/>
                <w:color w:val="auto"/>
                <w:sz w:val="24"/>
                <w:szCs w:val="24"/>
                <w:highlight w:val="none"/>
              </w:rPr>
            </w:pPr>
          </w:p>
          <w:p w14:paraId="795E02A9">
            <w:pPr>
              <w:spacing w:line="420" w:lineRule="exact"/>
              <w:ind w:left="-28"/>
              <w:rPr>
                <w:rFonts w:hint="eastAsia" w:ascii="仿宋_GB2312" w:hAnsi="仿宋_GB2312" w:eastAsia="仿宋_GB2312" w:cs="仿宋_GB2312"/>
                <w:color w:val="auto"/>
                <w:sz w:val="24"/>
                <w:szCs w:val="24"/>
                <w:highlight w:val="none"/>
              </w:rPr>
            </w:pPr>
          </w:p>
          <w:p w14:paraId="19E4AA6C">
            <w:pPr>
              <w:spacing w:line="420" w:lineRule="exact"/>
              <w:ind w:left="-28"/>
              <w:rPr>
                <w:rFonts w:hint="eastAsia" w:ascii="仿宋_GB2312" w:hAnsi="仿宋_GB2312" w:eastAsia="仿宋_GB2312" w:cs="仿宋_GB2312"/>
                <w:color w:val="auto"/>
                <w:sz w:val="24"/>
                <w:szCs w:val="24"/>
                <w:highlight w:val="none"/>
              </w:rPr>
            </w:pPr>
          </w:p>
          <w:p w14:paraId="059F5DD2">
            <w:pPr>
              <w:spacing w:line="420" w:lineRule="exact"/>
              <w:ind w:left="-28"/>
              <w:rPr>
                <w:rFonts w:hint="eastAsia" w:ascii="仿宋_GB2312" w:hAnsi="仿宋_GB2312" w:eastAsia="仿宋_GB2312" w:cs="仿宋_GB2312"/>
                <w:color w:val="auto"/>
                <w:sz w:val="24"/>
                <w:szCs w:val="24"/>
                <w:highlight w:val="none"/>
              </w:rPr>
            </w:pPr>
          </w:p>
          <w:p w14:paraId="4A5007F5">
            <w:pPr>
              <w:spacing w:line="420" w:lineRule="exact"/>
              <w:ind w:left="-28"/>
              <w:rPr>
                <w:rFonts w:hint="eastAsia" w:ascii="仿宋_GB2312" w:hAnsi="仿宋_GB2312" w:eastAsia="仿宋_GB2312" w:cs="仿宋_GB2312"/>
                <w:color w:val="auto"/>
                <w:sz w:val="24"/>
                <w:szCs w:val="24"/>
                <w:highlight w:val="none"/>
              </w:rPr>
            </w:pPr>
          </w:p>
          <w:p w14:paraId="22C02C38">
            <w:pPr>
              <w:spacing w:line="420" w:lineRule="exact"/>
              <w:ind w:left="-28"/>
              <w:rPr>
                <w:rFonts w:hint="eastAsia" w:ascii="仿宋_GB2312" w:hAnsi="仿宋_GB2312" w:eastAsia="仿宋_GB2312" w:cs="仿宋_GB2312"/>
                <w:color w:val="auto"/>
                <w:sz w:val="24"/>
                <w:szCs w:val="24"/>
                <w:highlight w:val="none"/>
              </w:rPr>
            </w:pPr>
          </w:p>
          <w:p w14:paraId="537405D7">
            <w:pPr>
              <w:spacing w:line="420" w:lineRule="exact"/>
              <w:ind w:left="-28"/>
              <w:rPr>
                <w:rFonts w:hint="eastAsia" w:ascii="仿宋_GB2312" w:hAnsi="仿宋_GB2312" w:eastAsia="仿宋_GB2312" w:cs="仿宋_GB2312"/>
                <w:color w:val="auto"/>
                <w:sz w:val="24"/>
                <w:szCs w:val="24"/>
                <w:highlight w:val="none"/>
              </w:rPr>
            </w:pPr>
          </w:p>
          <w:p w14:paraId="4DF4AF01">
            <w:pPr>
              <w:spacing w:line="420" w:lineRule="exac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发 包 人（章）                 </w:t>
            </w:r>
          </w:p>
          <w:p w14:paraId="35A0BC9C">
            <w:pPr>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5D3042BA">
            <w:pPr>
              <w:spacing w:line="420" w:lineRule="exact"/>
              <w:ind w:firstLine="601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       年     月    日</w:t>
            </w:r>
          </w:p>
        </w:tc>
      </w:tr>
    </w:tbl>
    <w:p w14:paraId="0A05917C">
      <w:pPr>
        <w:spacing w:line="420" w:lineRule="exact"/>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说明：本表由发包人填制，承包人、发包人各存一份。</w:t>
      </w:r>
    </w:p>
    <w:p w14:paraId="331B01E5">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3" w:name="_Toc10625004"/>
      <w:bookmarkStart w:id="784" w:name="_Toc469384160"/>
      <w:bookmarkStart w:id="785" w:name="_Toc266892945"/>
      <w:r>
        <w:rPr>
          <w:rFonts w:hint="eastAsia" w:ascii="黑体" w:hAnsi="黑体" w:eastAsia="黑体" w:cs="黑体"/>
          <w:b w:val="0"/>
          <w:bCs w:val="0"/>
          <w:color w:val="auto"/>
          <w:kern w:val="0"/>
          <w:sz w:val="24"/>
          <w:szCs w:val="24"/>
          <w:highlight w:val="none"/>
        </w:rPr>
        <w:t>格式1</w:t>
      </w:r>
      <w:bookmarkEnd w:id="783"/>
      <w:bookmarkEnd w:id="784"/>
      <w:bookmarkEnd w:id="785"/>
      <w:r>
        <w:rPr>
          <w:rFonts w:hint="eastAsia" w:ascii="黑体" w:hAnsi="黑体" w:eastAsia="黑体" w:cs="黑体"/>
          <w:b w:val="0"/>
          <w:bCs w:val="0"/>
          <w:color w:val="auto"/>
          <w:kern w:val="0"/>
          <w:sz w:val="24"/>
          <w:szCs w:val="24"/>
          <w:highlight w:val="none"/>
        </w:rPr>
        <w:t>8</w:t>
      </w:r>
    </w:p>
    <w:p w14:paraId="5C79B91B">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暂列金额确认表</w:t>
      </w:r>
    </w:p>
    <w:p w14:paraId="4F593784">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432" w:type="dxa"/>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831"/>
        <w:gridCol w:w="1462"/>
        <w:gridCol w:w="1163"/>
        <w:gridCol w:w="1950"/>
        <w:gridCol w:w="1144"/>
      </w:tblGrid>
      <w:tr w14:paraId="24C5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6" w:hRule="atLeast"/>
        </w:trPr>
        <w:tc>
          <w:tcPr>
            <w:tcW w:w="882" w:type="dxa"/>
            <w:vAlign w:val="center"/>
          </w:tcPr>
          <w:p w14:paraId="44B4721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831" w:type="dxa"/>
            <w:vAlign w:val="center"/>
          </w:tcPr>
          <w:p w14:paraId="331D255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462" w:type="dxa"/>
            <w:vAlign w:val="center"/>
          </w:tcPr>
          <w:p w14:paraId="07599AB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计量</w:t>
            </w:r>
          </w:p>
          <w:p w14:paraId="3FEB054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1163" w:type="dxa"/>
            <w:vAlign w:val="center"/>
          </w:tcPr>
          <w:p w14:paraId="170B239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暂列金额</w:t>
            </w:r>
          </w:p>
          <w:p w14:paraId="05EC2F7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950" w:type="dxa"/>
            <w:vAlign w:val="center"/>
          </w:tcPr>
          <w:p w14:paraId="7952E2A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实际金额</w:t>
            </w:r>
          </w:p>
          <w:p w14:paraId="4191E4F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144" w:type="dxa"/>
            <w:vAlign w:val="center"/>
          </w:tcPr>
          <w:p w14:paraId="6AD78372">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14:paraId="17E3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0A36C8E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831" w:type="dxa"/>
            <w:vAlign w:val="center"/>
          </w:tcPr>
          <w:p w14:paraId="4B4ADBE8">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623A9561">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701E5B4A">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1AC94048">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36772753">
            <w:pPr>
              <w:spacing w:line="420" w:lineRule="exact"/>
              <w:jc w:val="center"/>
              <w:rPr>
                <w:rFonts w:hint="eastAsia" w:ascii="仿宋_GB2312" w:hAnsi="仿宋_GB2312" w:eastAsia="仿宋_GB2312" w:cs="仿宋_GB2312"/>
                <w:color w:val="auto"/>
                <w:sz w:val="24"/>
                <w:szCs w:val="24"/>
                <w:highlight w:val="none"/>
              </w:rPr>
            </w:pPr>
          </w:p>
        </w:tc>
      </w:tr>
      <w:tr w14:paraId="61CC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68008AA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831" w:type="dxa"/>
            <w:vAlign w:val="center"/>
          </w:tcPr>
          <w:p w14:paraId="4AE9056C">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793F55A0">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2D24BC55">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5A25066E">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6DEA4D36">
            <w:pPr>
              <w:spacing w:line="420" w:lineRule="exact"/>
              <w:jc w:val="center"/>
              <w:rPr>
                <w:rFonts w:hint="eastAsia" w:ascii="仿宋_GB2312" w:hAnsi="仿宋_GB2312" w:eastAsia="仿宋_GB2312" w:cs="仿宋_GB2312"/>
                <w:color w:val="auto"/>
                <w:sz w:val="24"/>
                <w:szCs w:val="24"/>
                <w:highlight w:val="none"/>
              </w:rPr>
            </w:pPr>
          </w:p>
        </w:tc>
      </w:tr>
      <w:tr w14:paraId="4DF5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6" w:hRule="atLeast"/>
        </w:trPr>
        <w:tc>
          <w:tcPr>
            <w:tcW w:w="882" w:type="dxa"/>
            <w:vAlign w:val="center"/>
          </w:tcPr>
          <w:p w14:paraId="39D4258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831" w:type="dxa"/>
            <w:vAlign w:val="center"/>
          </w:tcPr>
          <w:p w14:paraId="5DBC4824">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3CFE48C0">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31DF016B">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1D292989">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6F8754D2">
            <w:pPr>
              <w:spacing w:line="420" w:lineRule="exact"/>
              <w:jc w:val="center"/>
              <w:rPr>
                <w:rFonts w:hint="eastAsia" w:ascii="仿宋_GB2312" w:hAnsi="仿宋_GB2312" w:eastAsia="仿宋_GB2312" w:cs="仿宋_GB2312"/>
                <w:color w:val="auto"/>
                <w:sz w:val="24"/>
                <w:szCs w:val="24"/>
                <w:highlight w:val="none"/>
              </w:rPr>
            </w:pPr>
          </w:p>
        </w:tc>
      </w:tr>
      <w:tr w14:paraId="3A98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288977E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831" w:type="dxa"/>
            <w:vAlign w:val="center"/>
          </w:tcPr>
          <w:p w14:paraId="5C5264CE">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60461041">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0B0321E2">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53011984">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7569939B">
            <w:pPr>
              <w:spacing w:line="420" w:lineRule="exact"/>
              <w:jc w:val="center"/>
              <w:rPr>
                <w:rFonts w:hint="eastAsia" w:ascii="仿宋_GB2312" w:hAnsi="仿宋_GB2312" w:eastAsia="仿宋_GB2312" w:cs="仿宋_GB2312"/>
                <w:color w:val="auto"/>
                <w:sz w:val="24"/>
                <w:szCs w:val="24"/>
                <w:highlight w:val="none"/>
              </w:rPr>
            </w:pPr>
          </w:p>
        </w:tc>
      </w:tr>
      <w:tr w14:paraId="638E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82" w:type="dxa"/>
            <w:vAlign w:val="center"/>
          </w:tcPr>
          <w:p w14:paraId="309663A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831" w:type="dxa"/>
            <w:vAlign w:val="center"/>
          </w:tcPr>
          <w:p w14:paraId="1161B2D6">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1462BC2D">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69AA96A2">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747050BF">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5D394A0C">
            <w:pPr>
              <w:spacing w:line="420" w:lineRule="exact"/>
              <w:jc w:val="center"/>
              <w:rPr>
                <w:rFonts w:hint="eastAsia" w:ascii="仿宋_GB2312" w:hAnsi="仿宋_GB2312" w:eastAsia="仿宋_GB2312" w:cs="仿宋_GB2312"/>
                <w:color w:val="auto"/>
                <w:sz w:val="24"/>
                <w:szCs w:val="24"/>
                <w:highlight w:val="none"/>
              </w:rPr>
            </w:pPr>
          </w:p>
        </w:tc>
      </w:tr>
      <w:tr w14:paraId="505D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5415E72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831" w:type="dxa"/>
            <w:vAlign w:val="center"/>
          </w:tcPr>
          <w:p w14:paraId="7DF3B3AF">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359BA2FF">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171D1A3B">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342E9A85">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495EA19C">
            <w:pPr>
              <w:spacing w:line="420" w:lineRule="exact"/>
              <w:jc w:val="center"/>
              <w:rPr>
                <w:rFonts w:hint="eastAsia" w:ascii="仿宋_GB2312" w:hAnsi="仿宋_GB2312" w:eastAsia="仿宋_GB2312" w:cs="仿宋_GB2312"/>
                <w:color w:val="auto"/>
                <w:sz w:val="24"/>
                <w:szCs w:val="24"/>
                <w:highlight w:val="none"/>
              </w:rPr>
            </w:pPr>
          </w:p>
        </w:tc>
      </w:tr>
      <w:tr w14:paraId="686B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5093D1B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2831" w:type="dxa"/>
            <w:vAlign w:val="center"/>
          </w:tcPr>
          <w:p w14:paraId="63FBAB4A">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079CCFFD">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6BDAD80F">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5C449DA7">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7B1E9AE9">
            <w:pPr>
              <w:spacing w:line="420" w:lineRule="exact"/>
              <w:jc w:val="center"/>
              <w:rPr>
                <w:rFonts w:hint="eastAsia" w:ascii="仿宋_GB2312" w:hAnsi="仿宋_GB2312" w:eastAsia="仿宋_GB2312" w:cs="仿宋_GB2312"/>
                <w:color w:val="auto"/>
                <w:sz w:val="24"/>
                <w:szCs w:val="24"/>
                <w:highlight w:val="none"/>
              </w:rPr>
            </w:pPr>
          </w:p>
        </w:tc>
      </w:tr>
      <w:tr w14:paraId="7105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2D78EB5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2831" w:type="dxa"/>
            <w:vAlign w:val="center"/>
          </w:tcPr>
          <w:p w14:paraId="47456FFB">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0B586850">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641182A8">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2A5A683D">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60836930">
            <w:pPr>
              <w:spacing w:line="420" w:lineRule="exact"/>
              <w:jc w:val="center"/>
              <w:rPr>
                <w:rFonts w:hint="eastAsia" w:ascii="仿宋_GB2312" w:hAnsi="仿宋_GB2312" w:eastAsia="仿宋_GB2312" w:cs="仿宋_GB2312"/>
                <w:color w:val="auto"/>
                <w:sz w:val="24"/>
                <w:szCs w:val="24"/>
                <w:highlight w:val="none"/>
              </w:rPr>
            </w:pPr>
          </w:p>
        </w:tc>
      </w:tr>
      <w:tr w14:paraId="4586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82" w:type="dxa"/>
            <w:vAlign w:val="center"/>
          </w:tcPr>
          <w:p w14:paraId="47A42958">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2831" w:type="dxa"/>
            <w:vAlign w:val="center"/>
          </w:tcPr>
          <w:p w14:paraId="156FAAC1">
            <w:pPr>
              <w:spacing w:line="420" w:lineRule="exact"/>
              <w:jc w:val="center"/>
              <w:rPr>
                <w:rFonts w:hint="eastAsia" w:ascii="仿宋_GB2312" w:hAnsi="仿宋_GB2312" w:eastAsia="仿宋_GB2312" w:cs="仿宋_GB2312"/>
                <w:color w:val="auto"/>
                <w:sz w:val="24"/>
                <w:szCs w:val="24"/>
                <w:highlight w:val="none"/>
              </w:rPr>
            </w:pPr>
          </w:p>
        </w:tc>
        <w:tc>
          <w:tcPr>
            <w:tcW w:w="1462" w:type="dxa"/>
            <w:vAlign w:val="center"/>
          </w:tcPr>
          <w:p w14:paraId="04EFCE13">
            <w:pPr>
              <w:spacing w:line="420" w:lineRule="exact"/>
              <w:jc w:val="center"/>
              <w:rPr>
                <w:rFonts w:hint="eastAsia" w:ascii="仿宋_GB2312" w:hAnsi="仿宋_GB2312" w:eastAsia="仿宋_GB2312" w:cs="仿宋_GB2312"/>
                <w:color w:val="auto"/>
                <w:sz w:val="24"/>
                <w:szCs w:val="24"/>
                <w:highlight w:val="none"/>
              </w:rPr>
            </w:pPr>
          </w:p>
        </w:tc>
        <w:tc>
          <w:tcPr>
            <w:tcW w:w="1163" w:type="dxa"/>
            <w:vAlign w:val="center"/>
          </w:tcPr>
          <w:p w14:paraId="0D788589">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031BF90B">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2CFC80C8">
            <w:pPr>
              <w:spacing w:line="420" w:lineRule="exact"/>
              <w:jc w:val="center"/>
              <w:rPr>
                <w:rFonts w:hint="eastAsia" w:ascii="仿宋_GB2312" w:hAnsi="仿宋_GB2312" w:eastAsia="仿宋_GB2312" w:cs="仿宋_GB2312"/>
                <w:color w:val="auto"/>
                <w:sz w:val="24"/>
                <w:szCs w:val="24"/>
                <w:highlight w:val="none"/>
              </w:rPr>
            </w:pPr>
          </w:p>
        </w:tc>
      </w:tr>
      <w:tr w14:paraId="5A16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175" w:type="dxa"/>
            <w:gridSpan w:val="3"/>
            <w:vAlign w:val="center"/>
          </w:tcPr>
          <w:p w14:paraId="79AC4B0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  计</w:t>
            </w:r>
          </w:p>
        </w:tc>
        <w:tc>
          <w:tcPr>
            <w:tcW w:w="1163" w:type="dxa"/>
            <w:vAlign w:val="center"/>
          </w:tcPr>
          <w:p w14:paraId="02ADC97B">
            <w:pPr>
              <w:spacing w:line="420" w:lineRule="exact"/>
              <w:jc w:val="center"/>
              <w:rPr>
                <w:rFonts w:hint="eastAsia" w:ascii="仿宋_GB2312" w:hAnsi="仿宋_GB2312" w:eastAsia="仿宋_GB2312" w:cs="仿宋_GB2312"/>
                <w:color w:val="auto"/>
                <w:sz w:val="24"/>
                <w:szCs w:val="24"/>
                <w:highlight w:val="none"/>
              </w:rPr>
            </w:pPr>
          </w:p>
        </w:tc>
        <w:tc>
          <w:tcPr>
            <w:tcW w:w="1950" w:type="dxa"/>
            <w:vAlign w:val="center"/>
          </w:tcPr>
          <w:p w14:paraId="042F47D7">
            <w:pPr>
              <w:spacing w:line="420" w:lineRule="exact"/>
              <w:jc w:val="center"/>
              <w:rPr>
                <w:rFonts w:hint="eastAsia" w:ascii="仿宋_GB2312" w:hAnsi="仿宋_GB2312" w:eastAsia="仿宋_GB2312" w:cs="仿宋_GB2312"/>
                <w:color w:val="auto"/>
                <w:sz w:val="24"/>
                <w:szCs w:val="24"/>
                <w:highlight w:val="none"/>
              </w:rPr>
            </w:pPr>
          </w:p>
        </w:tc>
        <w:tc>
          <w:tcPr>
            <w:tcW w:w="1144" w:type="dxa"/>
            <w:vAlign w:val="center"/>
          </w:tcPr>
          <w:p w14:paraId="6EEAE5B8">
            <w:pPr>
              <w:spacing w:line="420" w:lineRule="exact"/>
              <w:jc w:val="center"/>
              <w:rPr>
                <w:rFonts w:hint="eastAsia" w:ascii="仿宋_GB2312" w:hAnsi="仿宋_GB2312" w:eastAsia="仿宋_GB2312" w:cs="仿宋_GB2312"/>
                <w:color w:val="auto"/>
                <w:sz w:val="24"/>
                <w:szCs w:val="24"/>
                <w:highlight w:val="none"/>
              </w:rPr>
            </w:pPr>
          </w:p>
        </w:tc>
      </w:tr>
    </w:tbl>
    <w:p w14:paraId="2B44FC39">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说明：1.本表由承包人填制，承包人应按照合同约定填报项目名称、实际金额，提交造价工程核实并由其报发包人确认后，列入合同价款内。</w:t>
      </w:r>
    </w:p>
    <w:p w14:paraId="3C27B19B">
      <w:pPr>
        <w:numPr>
          <w:ilvl w:val="0"/>
          <w:numId w:val="0"/>
        </w:numPr>
        <w:spacing w:line="420" w:lineRule="exact"/>
        <w:ind w:left="899" w:leftChars="314"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本表一式四份，发包人、监理人、工程造价咨询人（如有）、承包人各存一份。</w:t>
      </w:r>
      <w:r>
        <w:rPr>
          <w:rFonts w:hint="eastAsia" w:ascii="仿宋_GB2312" w:hAnsi="仿宋_GB2312" w:eastAsia="仿宋_GB2312" w:cs="仿宋_GB2312"/>
          <w:color w:val="auto"/>
          <w:sz w:val="24"/>
          <w:szCs w:val="24"/>
          <w:highlight w:val="none"/>
        </w:rPr>
        <w:br w:type="page"/>
      </w:r>
      <w:bookmarkStart w:id="786" w:name="_Toc266892946"/>
    </w:p>
    <w:p w14:paraId="225468E1">
      <w:pPr>
        <w:numPr>
          <w:ilvl w:val="0"/>
          <w:numId w:val="0"/>
        </w:numPr>
        <w:spacing w:line="420" w:lineRule="exact"/>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格式</w:t>
      </w:r>
      <w:bookmarkEnd w:id="786"/>
      <w:r>
        <w:rPr>
          <w:rFonts w:hint="eastAsia" w:ascii="黑体" w:hAnsi="黑体" w:eastAsia="黑体" w:cs="黑体"/>
          <w:b w:val="0"/>
          <w:bCs w:val="0"/>
          <w:color w:val="auto"/>
          <w:kern w:val="0"/>
          <w:sz w:val="24"/>
          <w:szCs w:val="24"/>
          <w:highlight w:val="none"/>
        </w:rPr>
        <w:t>19</w:t>
      </w:r>
    </w:p>
    <w:p w14:paraId="71445253">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计日工记录</w:t>
      </w:r>
    </w:p>
    <w:p w14:paraId="216235B8">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487"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550"/>
        <w:gridCol w:w="1050"/>
        <w:gridCol w:w="2050"/>
        <w:gridCol w:w="1284"/>
        <w:gridCol w:w="1252"/>
        <w:gridCol w:w="1218"/>
      </w:tblGrid>
      <w:tr w14:paraId="5731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4494851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编号</w:t>
            </w:r>
          </w:p>
        </w:tc>
        <w:tc>
          <w:tcPr>
            <w:tcW w:w="1550" w:type="dxa"/>
            <w:vAlign w:val="center"/>
          </w:tcPr>
          <w:p w14:paraId="460BB02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050" w:type="dxa"/>
            <w:vAlign w:val="center"/>
          </w:tcPr>
          <w:p w14:paraId="030D7D7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2050" w:type="dxa"/>
            <w:vAlign w:val="center"/>
          </w:tcPr>
          <w:p w14:paraId="033FB09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暂定数量</w:t>
            </w:r>
          </w:p>
        </w:tc>
        <w:tc>
          <w:tcPr>
            <w:tcW w:w="1284" w:type="dxa"/>
            <w:vAlign w:val="center"/>
          </w:tcPr>
          <w:p w14:paraId="6F86670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实际数量</w:t>
            </w:r>
          </w:p>
        </w:tc>
        <w:tc>
          <w:tcPr>
            <w:tcW w:w="1252" w:type="dxa"/>
            <w:vAlign w:val="center"/>
          </w:tcPr>
          <w:p w14:paraId="5F1AD07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综合单价</w:t>
            </w:r>
          </w:p>
        </w:tc>
        <w:tc>
          <w:tcPr>
            <w:tcW w:w="1218" w:type="dxa"/>
            <w:vAlign w:val="center"/>
          </w:tcPr>
          <w:p w14:paraId="60B1F62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tc>
      </w:tr>
      <w:tr w14:paraId="51EC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5EACF91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w:t>
            </w:r>
          </w:p>
        </w:tc>
        <w:tc>
          <w:tcPr>
            <w:tcW w:w="1550" w:type="dxa"/>
            <w:vAlign w:val="center"/>
          </w:tcPr>
          <w:p w14:paraId="59A3B14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人工</w:t>
            </w:r>
          </w:p>
        </w:tc>
        <w:tc>
          <w:tcPr>
            <w:tcW w:w="1050" w:type="dxa"/>
            <w:vAlign w:val="center"/>
          </w:tcPr>
          <w:p w14:paraId="41E8EC21">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523AAF80">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1A8D081F">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30652958">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45F35BBC">
            <w:pPr>
              <w:spacing w:line="420" w:lineRule="exact"/>
              <w:jc w:val="center"/>
              <w:rPr>
                <w:rFonts w:hint="eastAsia" w:ascii="仿宋_GB2312" w:hAnsi="仿宋_GB2312" w:eastAsia="仿宋_GB2312" w:cs="仿宋_GB2312"/>
                <w:color w:val="auto"/>
                <w:sz w:val="24"/>
                <w:szCs w:val="24"/>
                <w:highlight w:val="none"/>
              </w:rPr>
            </w:pPr>
          </w:p>
        </w:tc>
      </w:tr>
      <w:tr w14:paraId="62E1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1083" w:type="dxa"/>
            <w:vAlign w:val="center"/>
          </w:tcPr>
          <w:p w14:paraId="4E4B952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14:paraId="32C5EB55">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39B6D81C">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32CE15BA">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14A27DEF">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149F3E4E">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6CCC68F7">
            <w:pPr>
              <w:spacing w:line="420" w:lineRule="exact"/>
              <w:jc w:val="center"/>
              <w:rPr>
                <w:rFonts w:hint="eastAsia" w:ascii="仿宋_GB2312" w:hAnsi="仿宋_GB2312" w:eastAsia="仿宋_GB2312" w:cs="仿宋_GB2312"/>
                <w:color w:val="auto"/>
                <w:sz w:val="24"/>
                <w:szCs w:val="24"/>
                <w:highlight w:val="none"/>
              </w:rPr>
            </w:pPr>
          </w:p>
        </w:tc>
      </w:tr>
      <w:tr w14:paraId="22D1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08FFCA6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14:paraId="5DDB8BC5">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03A07F29">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6569DCAD">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447F384D">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548857F7">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2A5B50E0">
            <w:pPr>
              <w:spacing w:line="420" w:lineRule="exact"/>
              <w:jc w:val="center"/>
              <w:rPr>
                <w:rFonts w:hint="eastAsia" w:ascii="仿宋_GB2312" w:hAnsi="仿宋_GB2312" w:eastAsia="仿宋_GB2312" w:cs="仿宋_GB2312"/>
                <w:color w:val="auto"/>
                <w:sz w:val="24"/>
                <w:szCs w:val="24"/>
                <w:highlight w:val="none"/>
              </w:rPr>
            </w:pPr>
          </w:p>
        </w:tc>
      </w:tr>
      <w:tr w14:paraId="7433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83" w:type="dxa"/>
            <w:vAlign w:val="center"/>
          </w:tcPr>
          <w:p w14:paraId="2164202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14:paraId="56D14FCC">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00617726">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3C6BC5F1">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4CF70E7A">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59796B93">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7596CA92">
            <w:pPr>
              <w:spacing w:line="420" w:lineRule="exact"/>
              <w:jc w:val="center"/>
              <w:rPr>
                <w:rFonts w:hint="eastAsia" w:ascii="仿宋_GB2312" w:hAnsi="仿宋_GB2312" w:eastAsia="仿宋_GB2312" w:cs="仿宋_GB2312"/>
                <w:color w:val="auto"/>
                <w:sz w:val="24"/>
                <w:szCs w:val="24"/>
                <w:highlight w:val="none"/>
              </w:rPr>
            </w:pPr>
          </w:p>
        </w:tc>
      </w:tr>
      <w:tr w14:paraId="7E2B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vAlign w:val="center"/>
          </w:tcPr>
          <w:p w14:paraId="6CB6A7F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14:paraId="17967E0C">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1D504742">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408FFC26">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6F5272F1">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22BE64A4">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41B2D230">
            <w:pPr>
              <w:spacing w:line="420" w:lineRule="exact"/>
              <w:jc w:val="center"/>
              <w:rPr>
                <w:rFonts w:hint="eastAsia" w:ascii="仿宋_GB2312" w:hAnsi="仿宋_GB2312" w:eastAsia="仿宋_GB2312" w:cs="仿宋_GB2312"/>
                <w:color w:val="auto"/>
                <w:sz w:val="24"/>
                <w:szCs w:val="24"/>
                <w:highlight w:val="none"/>
              </w:rPr>
            </w:pPr>
          </w:p>
        </w:tc>
      </w:tr>
      <w:tr w14:paraId="505A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017" w:type="dxa"/>
            <w:gridSpan w:val="5"/>
            <w:vAlign w:val="center"/>
          </w:tcPr>
          <w:p w14:paraId="53A65C6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人工小计</w:t>
            </w:r>
          </w:p>
        </w:tc>
        <w:tc>
          <w:tcPr>
            <w:tcW w:w="1252" w:type="dxa"/>
            <w:vAlign w:val="center"/>
          </w:tcPr>
          <w:p w14:paraId="7E0A963F">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2397C2AD">
            <w:pPr>
              <w:spacing w:line="420" w:lineRule="exact"/>
              <w:jc w:val="center"/>
              <w:rPr>
                <w:rFonts w:hint="eastAsia" w:ascii="仿宋_GB2312" w:hAnsi="仿宋_GB2312" w:eastAsia="仿宋_GB2312" w:cs="仿宋_GB2312"/>
                <w:color w:val="auto"/>
                <w:sz w:val="24"/>
                <w:szCs w:val="24"/>
                <w:highlight w:val="none"/>
              </w:rPr>
            </w:pPr>
          </w:p>
        </w:tc>
      </w:tr>
      <w:tr w14:paraId="2D0C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2B72F22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w:t>
            </w:r>
          </w:p>
        </w:tc>
        <w:tc>
          <w:tcPr>
            <w:tcW w:w="1550" w:type="dxa"/>
            <w:vAlign w:val="center"/>
          </w:tcPr>
          <w:p w14:paraId="4403F1E1">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w:t>
            </w:r>
          </w:p>
        </w:tc>
        <w:tc>
          <w:tcPr>
            <w:tcW w:w="1050" w:type="dxa"/>
            <w:vAlign w:val="center"/>
          </w:tcPr>
          <w:p w14:paraId="2729D2D5">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6474FF1E">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11D2A6DA">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0A756D95">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3BB270B2">
            <w:pPr>
              <w:spacing w:line="420" w:lineRule="exact"/>
              <w:jc w:val="center"/>
              <w:rPr>
                <w:rFonts w:hint="eastAsia" w:ascii="仿宋_GB2312" w:hAnsi="仿宋_GB2312" w:eastAsia="仿宋_GB2312" w:cs="仿宋_GB2312"/>
                <w:color w:val="auto"/>
                <w:sz w:val="24"/>
                <w:szCs w:val="24"/>
                <w:highlight w:val="none"/>
              </w:rPr>
            </w:pPr>
          </w:p>
        </w:tc>
      </w:tr>
      <w:tr w14:paraId="5CE0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1588F82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14:paraId="5A5FE61A">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2C145F83">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5834987F">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7A65117F">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2EF6AB08">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42833CB7">
            <w:pPr>
              <w:spacing w:line="420" w:lineRule="exact"/>
              <w:jc w:val="center"/>
              <w:rPr>
                <w:rFonts w:hint="eastAsia" w:ascii="仿宋_GB2312" w:hAnsi="仿宋_GB2312" w:eastAsia="仿宋_GB2312" w:cs="仿宋_GB2312"/>
                <w:color w:val="auto"/>
                <w:sz w:val="24"/>
                <w:szCs w:val="24"/>
                <w:highlight w:val="none"/>
              </w:rPr>
            </w:pPr>
          </w:p>
        </w:tc>
      </w:tr>
      <w:tr w14:paraId="4119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0AE7F70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14:paraId="109ACC04">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601BADD4">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042C4D95">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2110DA5B">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68E33BAC">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1CA9F17B">
            <w:pPr>
              <w:spacing w:line="420" w:lineRule="exact"/>
              <w:jc w:val="center"/>
              <w:rPr>
                <w:rFonts w:hint="eastAsia" w:ascii="仿宋_GB2312" w:hAnsi="仿宋_GB2312" w:eastAsia="仿宋_GB2312" w:cs="仿宋_GB2312"/>
                <w:color w:val="auto"/>
                <w:sz w:val="24"/>
                <w:szCs w:val="24"/>
                <w:highlight w:val="none"/>
              </w:rPr>
            </w:pPr>
          </w:p>
        </w:tc>
      </w:tr>
      <w:tr w14:paraId="247E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569BF75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14:paraId="7FC8F75F">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32231FF4">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1ABF8AC8">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392912AE">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20BD5068">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5FB5D2C7">
            <w:pPr>
              <w:spacing w:line="420" w:lineRule="exact"/>
              <w:jc w:val="center"/>
              <w:rPr>
                <w:rFonts w:hint="eastAsia" w:ascii="仿宋_GB2312" w:hAnsi="仿宋_GB2312" w:eastAsia="仿宋_GB2312" w:cs="仿宋_GB2312"/>
                <w:color w:val="auto"/>
                <w:sz w:val="24"/>
                <w:szCs w:val="24"/>
                <w:highlight w:val="none"/>
              </w:rPr>
            </w:pPr>
          </w:p>
        </w:tc>
      </w:tr>
      <w:tr w14:paraId="155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725C4DE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14:paraId="5E3DF7DB">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11B96615">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0B20C450">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5ADB491A">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2063E42B">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589CD943">
            <w:pPr>
              <w:spacing w:line="420" w:lineRule="exact"/>
              <w:jc w:val="center"/>
              <w:rPr>
                <w:rFonts w:hint="eastAsia" w:ascii="仿宋_GB2312" w:hAnsi="仿宋_GB2312" w:eastAsia="仿宋_GB2312" w:cs="仿宋_GB2312"/>
                <w:color w:val="auto"/>
                <w:sz w:val="24"/>
                <w:szCs w:val="24"/>
                <w:highlight w:val="none"/>
              </w:rPr>
            </w:pPr>
          </w:p>
        </w:tc>
      </w:tr>
      <w:tr w14:paraId="209B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0CB67E7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550" w:type="dxa"/>
            <w:vAlign w:val="center"/>
          </w:tcPr>
          <w:p w14:paraId="2C79A6FD">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10BED66A">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21C3BF5A">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3B9E41A5">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6E32769B">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5EC64E06">
            <w:pPr>
              <w:spacing w:line="420" w:lineRule="exact"/>
              <w:jc w:val="center"/>
              <w:rPr>
                <w:rFonts w:hint="eastAsia" w:ascii="仿宋_GB2312" w:hAnsi="仿宋_GB2312" w:eastAsia="仿宋_GB2312" w:cs="仿宋_GB2312"/>
                <w:color w:val="auto"/>
                <w:sz w:val="24"/>
                <w:szCs w:val="24"/>
                <w:highlight w:val="none"/>
              </w:rPr>
            </w:pPr>
          </w:p>
        </w:tc>
      </w:tr>
      <w:tr w14:paraId="032D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1EB9774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550" w:type="dxa"/>
            <w:vAlign w:val="center"/>
          </w:tcPr>
          <w:p w14:paraId="28426DDE">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4F7FF7FD">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1A905375">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0C248E3A">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682BF914">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3599412C">
            <w:pPr>
              <w:spacing w:line="420" w:lineRule="exact"/>
              <w:jc w:val="center"/>
              <w:rPr>
                <w:rFonts w:hint="eastAsia" w:ascii="仿宋_GB2312" w:hAnsi="仿宋_GB2312" w:eastAsia="仿宋_GB2312" w:cs="仿宋_GB2312"/>
                <w:color w:val="auto"/>
                <w:sz w:val="24"/>
                <w:szCs w:val="24"/>
                <w:highlight w:val="none"/>
              </w:rPr>
            </w:pPr>
          </w:p>
        </w:tc>
      </w:tr>
      <w:tr w14:paraId="0419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vAlign w:val="center"/>
          </w:tcPr>
          <w:p w14:paraId="3C7A4B6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材料小计</w:t>
            </w:r>
          </w:p>
        </w:tc>
        <w:tc>
          <w:tcPr>
            <w:tcW w:w="1252" w:type="dxa"/>
            <w:vAlign w:val="center"/>
          </w:tcPr>
          <w:p w14:paraId="759CCE23">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7413B4DA">
            <w:pPr>
              <w:spacing w:line="420" w:lineRule="exact"/>
              <w:jc w:val="center"/>
              <w:rPr>
                <w:rFonts w:hint="eastAsia" w:ascii="仿宋_GB2312" w:hAnsi="仿宋_GB2312" w:eastAsia="仿宋_GB2312" w:cs="仿宋_GB2312"/>
                <w:color w:val="auto"/>
                <w:sz w:val="24"/>
                <w:szCs w:val="24"/>
                <w:highlight w:val="none"/>
              </w:rPr>
            </w:pPr>
          </w:p>
        </w:tc>
      </w:tr>
      <w:tr w14:paraId="0BC6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257E6A7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w:t>
            </w:r>
          </w:p>
        </w:tc>
        <w:tc>
          <w:tcPr>
            <w:tcW w:w="1550" w:type="dxa"/>
            <w:vAlign w:val="center"/>
          </w:tcPr>
          <w:p w14:paraId="50680F45">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施工机械</w:t>
            </w:r>
          </w:p>
        </w:tc>
        <w:tc>
          <w:tcPr>
            <w:tcW w:w="1050" w:type="dxa"/>
            <w:vAlign w:val="center"/>
          </w:tcPr>
          <w:p w14:paraId="605BB0B6">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70DB772F">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213D2C68">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64F8D22A">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55E6EB77">
            <w:pPr>
              <w:spacing w:line="420" w:lineRule="exact"/>
              <w:jc w:val="center"/>
              <w:rPr>
                <w:rFonts w:hint="eastAsia" w:ascii="仿宋_GB2312" w:hAnsi="仿宋_GB2312" w:eastAsia="仿宋_GB2312" w:cs="仿宋_GB2312"/>
                <w:color w:val="auto"/>
                <w:sz w:val="24"/>
                <w:szCs w:val="24"/>
                <w:highlight w:val="none"/>
              </w:rPr>
            </w:pPr>
          </w:p>
        </w:tc>
      </w:tr>
      <w:tr w14:paraId="0B04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3D0C96A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550" w:type="dxa"/>
            <w:vAlign w:val="center"/>
          </w:tcPr>
          <w:p w14:paraId="5569ADAD">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006CFD26">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03890292">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4898E4F8">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5BA8017B">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6A57F940">
            <w:pPr>
              <w:spacing w:line="420" w:lineRule="exact"/>
              <w:jc w:val="center"/>
              <w:rPr>
                <w:rFonts w:hint="eastAsia" w:ascii="仿宋_GB2312" w:hAnsi="仿宋_GB2312" w:eastAsia="仿宋_GB2312" w:cs="仿宋_GB2312"/>
                <w:color w:val="auto"/>
                <w:sz w:val="24"/>
                <w:szCs w:val="24"/>
                <w:highlight w:val="none"/>
              </w:rPr>
            </w:pPr>
          </w:p>
        </w:tc>
      </w:tr>
      <w:tr w14:paraId="5668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83" w:type="dxa"/>
            <w:vAlign w:val="center"/>
          </w:tcPr>
          <w:p w14:paraId="5AA59EE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550" w:type="dxa"/>
            <w:vAlign w:val="center"/>
          </w:tcPr>
          <w:p w14:paraId="79F6A424">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5322E7B1">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33E2A2BD">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7423CBD9">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48A6686B">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72E6679B">
            <w:pPr>
              <w:spacing w:line="420" w:lineRule="exact"/>
              <w:jc w:val="center"/>
              <w:rPr>
                <w:rFonts w:hint="eastAsia" w:ascii="仿宋_GB2312" w:hAnsi="仿宋_GB2312" w:eastAsia="仿宋_GB2312" w:cs="仿宋_GB2312"/>
                <w:color w:val="auto"/>
                <w:sz w:val="24"/>
                <w:szCs w:val="24"/>
                <w:highlight w:val="none"/>
              </w:rPr>
            </w:pPr>
          </w:p>
        </w:tc>
      </w:tr>
      <w:tr w14:paraId="10EA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6FD65FC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550" w:type="dxa"/>
            <w:vAlign w:val="center"/>
          </w:tcPr>
          <w:p w14:paraId="329F65AC">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17B9D191">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511D1BFE">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32176BCD">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4B643A97">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57759D7C">
            <w:pPr>
              <w:spacing w:line="420" w:lineRule="exact"/>
              <w:jc w:val="center"/>
              <w:rPr>
                <w:rFonts w:hint="eastAsia" w:ascii="仿宋_GB2312" w:hAnsi="仿宋_GB2312" w:eastAsia="仿宋_GB2312" w:cs="仿宋_GB2312"/>
                <w:color w:val="auto"/>
                <w:sz w:val="24"/>
                <w:szCs w:val="24"/>
                <w:highlight w:val="none"/>
              </w:rPr>
            </w:pPr>
          </w:p>
        </w:tc>
      </w:tr>
      <w:tr w14:paraId="30D4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83" w:type="dxa"/>
            <w:vAlign w:val="center"/>
          </w:tcPr>
          <w:p w14:paraId="26F5D93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550" w:type="dxa"/>
            <w:vAlign w:val="center"/>
          </w:tcPr>
          <w:p w14:paraId="17F7CAAF">
            <w:pPr>
              <w:spacing w:line="420" w:lineRule="exact"/>
              <w:jc w:val="center"/>
              <w:rPr>
                <w:rFonts w:hint="eastAsia" w:ascii="仿宋_GB2312" w:hAnsi="仿宋_GB2312" w:eastAsia="仿宋_GB2312" w:cs="仿宋_GB2312"/>
                <w:color w:val="auto"/>
                <w:sz w:val="24"/>
                <w:szCs w:val="24"/>
                <w:highlight w:val="none"/>
              </w:rPr>
            </w:pPr>
          </w:p>
        </w:tc>
        <w:tc>
          <w:tcPr>
            <w:tcW w:w="1050" w:type="dxa"/>
            <w:vAlign w:val="center"/>
          </w:tcPr>
          <w:p w14:paraId="217BC968">
            <w:pPr>
              <w:spacing w:line="420" w:lineRule="exact"/>
              <w:jc w:val="center"/>
              <w:rPr>
                <w:rFonts w:hint="eastAsia" w:ascii="仿宋_GB2312" w:hAnsi="仿宋_GB2312" w:eastAsia="仿宋_GB2312" w:cs="仿宋_GB2312"/>
                <w:color w:val="auto"/>
                <w:sz w:val="24"/>
                <w:szCs w:val="24"/>
                <w:highlight w:val="none"/>
              </w:rPr>
            </w:pPr>
          </w:p>
        </w:tc>
        <w:tc>
          <w:tcPr>
            <w:tcW w:w="2050" w:type="dxa"/>
            <w:vAlign w:val="center"/>
          </w:tcPr>
          <w:p w14:paraId="77307E15">
            <w:pPr>
              <w:spacing w:line="420" w:lineRule="exact"/>
              <w:jc w:val="center"/>
              <w:rPr>
                <w:rFonts w:hint="eastAsia" w:ascii="仿宋_GB2312" w:hAnsi="仿宋_GB2312" w:eastAsia="仿宋_GB2312" w:cs="仿宋_GB2312"/>
                <w:color w:val="auto"/>
                <w:sz w:val="24"/>
                <w:szCs w:val="24"/>
                <w:highlight w:val="none"/>
              </w:rPr>
            </w:pPr>
          </w:p>
        </w:tc>
        <w:tc>
          <w:tcPr>
            <w:tcW w:w="1284" w:type="dxa"/>
            <w:vAlign w:val="center"/>
          </w:tcPr>
          <w:p w14:paraId="07CBC77D">
            <w:pPr>
              <w:spacing w:line="420" w:lineRule="exact"/>
              <w:jc w:val="center"/>
              <w:rPr>
                <w:rFonts w:hint="eastAsia" w:ascii="仿宋_GB2312" w:hAnsi="仿宋_GB2312" w:eastAsia="仿宋_GB2312" w:cs="仿宋_GB2312"/>
                <w:color w:val="auto"/>
                <w:sz w:val="24"/>
                <w:szCs w:val="24"/>
                <w:highlight w:val="none"/>
              </w:rPr>
            </w:pPr>
          </w:p>
        </w:tc>
        <w:tc>
          <w:tcPr>
            <w:tcW w:w="1252" w:type="dxa"/>
            <w:vAlign w:val="center"/>
          </w:tcPr>
          <w:p w14:paraId="271F5628">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2CAD5C34">
            <w:pPr>
              <w:spacing w:line="420" w:lineRule="exact"/>
              <w:jc w:val="center"/>
              <w:rPr>
                <w:rFonts w:hint="eastAsia" w:ascii="仿宋_GB2312" w:hAnsi="仿宋_GB2312" w:eastAsia="仿宋_GB2312" w:cs="仿宋_GB2312"/>
                <w:color w:val="auto"/>
                <w:sz w:val="24"/>
                <w:szCs w:val="24"/>
                <w:highlight w:val="none"/>
              </w:rPr>
            </w:pPr>
          </w:p>
        </w:tc>
      </w:tr>
      <w:tr w14:paraId="3511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17" w:type="dxa"/>
            <w:gridSpan w:val="5"/>
            <w:vAlign w:val="center"/>
          </w:tcPr>
          <w:p w14:paraId="6930A2D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施工机械小计</w:t>
            </w:r>
          </w:p>
        </w:tc>
        <w:tc>
          <w:tcPr>
            <w:tcW w:w="1252" w:type="dxa"/>
            <w:vAlign w:val="center"/>
          </w:tcPr>
          <w:p w14:paraId="621FE461">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6957C853">
            <w:pPr>
              <w:spacing w:line="420" w:lineRule="exact"/>
              <w:jc w:val="center"/>
              <w:rPr>
                <w:rFonts w:hint="eastAsia" w:ascii="仿宋_GB2312" w:hAnsi="仿宋_GB2312" w:eastAsia="仿宋_GB2312" w:cs="仿宋_GB2312"/>
                <w:color w:val="auto"/>
                <w:sz w:val="24"/>
                <w:szCs w:val="24"/>
                <w:highlight w:val="none"/>
              </w:rPr>
            </w:pPr>
          </w:p>
        </w:tc>
      </w:tr>
      <w:tr w14:paraId="3751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17" w:type="dxa"/>
            <w:gridSpan w:val="5"/>
            <w:vAlign w:val="center"/>
          </w:tcPr>
          <w:p w14:paraId="68CA000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  计</w:t>
            </w:r>
          </w:p>
        </w:tc>
        <w:tc>
          <w:tcPr>
            <w:tcW w:w="1252" w:type="dxa"/>
            <w:vAlign w:val="center"/>
          </w:tcPr>
          <w:p w14:paraId="14A11E2C">
            <w:pPr>
              <w:spacing w:line="420" w:lineRule="exact"/>
              <w:jc w:val="center"/>
              <w:rPr>
                <w:rFonts w:hint="eastAsia" w:ascii="仿宋_GB2312" w:hAnsi="仿宋_GB2312" w:eastAsia="仿宋_GB2312" w:cs="仿宋_GB2312"/>
                <w:color w:val="auto"/>
                <w:sz w:val="24"/>
                <w:szCs w:val="24"/>
                <w:highlight w:val="none"/>
              </w:rPr>
            </w:pPr>
          </w:p>
        </w:tc>
        <w:tc>
          <w:tcPr>
            <w:tcW w:w="1218" w:type="dxa"/>
            <w:vAlign w:val="center"/>
          </w:tcPr>
          <w:p w14:paraId="563B4593">
            <w:pPr>
              <w:spacing w:line="420" w:lineRule="exact"/>
              <w:jc w:val="center"/>
              <w:rPr>
                <w:rFonts w:hint="eastAsia" w:ascii="仿宋_GB2312" w:hAnsi="仿宋_GB2312" w:eastAsia="仿宋_GB2312" w:cs="仿宋_GB2312"/>
                <w:color w:val="auto"/>
                <w:sz w:val="24"/>
                <w:szCs w:val="24"/>
                <w:highlight w:val="none"/>
              </w:rPr>
            </w:pPr>
          </w:p>
        </w:tc>
      </w:tr>
    </w:tbl>
    <w:p w14:paraId="2077800C">
      <w:pPr>
        <w:spacing w:line="420" w:lineRule="exact"/>
        <w:ind w:left="1200" w:hanging="1200" w:hangingChars="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说明：1.本表由承包人填制，承包人应按照合同约定填报实际数量，提交造价工</w:t>
      </w:r>
    </w:p>
    <w:p w14:paraId="63628E2C">
      <w:pPr>
        <w:spacing w:line="420" w:lineRule="exact"/>
        <w:ind w:left="1198" w:leftChars="456"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程核实并由其报发包人确认后，列入合同价款内。</w:t>
      </w:r>
    </w:p>
    <w:p w14:paraId="604B2B99">
      <w:pPr>
        <w:spacing w:line="420" w:lineRule="exact"/>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14:paraId="2957FC4A">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87" w:name="_Toc10625005"/>
      <w:bookmarkStart w:id="788" w:name="_Toc266892947"/>
      <w:bookmarkStart w:id="789" w:name="_Toc469384161"/>
      <w:r>
        <w:rPr>
          <w:rFonts w:hint="eastAsia" w:ascii="黑体" w:hAnsi="黑体" w:eastAsia="黑体" w:cs="黑体"/>
          <w:b w:val="0"/>
          <w:bCs w:val="0"/>
          <w:color w:val="auto"/>
          <w:kern w:val="0"/>
          <w:sz w:val="24"/>
          <w:szCs w:val="24"/>
          <w:highlight w:val="none"/>
        </w:rPr>
        <w:t>格式2</w:t>
      </w:r>
      <w:bookmarkEnd w:id="787"/>
      <w:bookmarkEnd w:id="788"/>
      <w:bookmarkEnd w:id="789"/>
      <w:r>
        <w:rPr>
          <w:rFonts w:hint="eastAsia" w:ascii="黑体" w:hAnsi="黑体" w:eastAsia="黑体" w:cs="黑体"/>
          <w:b w:val="0"/>
          <w:bCs w:val="0"/>
          <w:color w:val="auto"/>
          <w:kern w:val="0"/>
          <w:sz w:val="24"/>
          <w:szCs w:val="24"/>
          <w:highlight w:val="none"/>
        </w:rPr>
        <w:t>0</w:t>
      </w:r>
    </w:p>
    <w:p w14:paraId="108D0CFA">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材料/工程设备暂估价调整表</w:t>
      </w:r>
    </w:p>
    <w:p w14:paraId="4E4338B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300"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038"/>
        <w:gridCol w:w="1331"/>
        <w:gridCol w:w="1538"/>
        <w:gridCol w:w="1668"/>
        <w:gridCol w:w="1125"/>
      </w:tblGrid>
      <w:tr w14:paraId="59D7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78823FE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038" w:type="dxa"/>
            <w:vAlign w:val="center"/>
          </w:tcPr>
          <w:p w14:paraId="593685C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材料设备名称、规格、型号</w:t>
            </w:r>
          </w:p>
        </w:tc>
        <w:tc>
          <w:tcPr>
            <w:tcW w:w="1331" w:type="dxa"/>
            <w:vAlign w:val="center"/>
          </w:tcPr>
          <w:p w14:paraId="74A1474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计量单位</w:t>
            </w:r>
          </w:p>
        </w:tc>
        <w:tc>
          <w:tcPr>
            <w:tcW w:w="1538" w:type="dxa"/>
            <w:vAlign w:val="center"/>
          </w:tcPr>
          <w:p w14:paraId="0A6783C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暂估单价</w:t>
            </w:r>
          </w:p>
          <w:p w14:paraId="0F22852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668" w:type="dxa"/>
            <w:vAlign w:val="center"/>
          </w:tcPr>
          <w:p w14:paraId="77AE114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实际单价</w:t>
            </w:r>
          </w:p>
          <w:p w14:paraId="699AAF6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125" w:type="dxa"/>
            <w:vAlign w:val="center"/>
          </w:tcPr>
          <w:p w14:paraId="25A0174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14:paraId="4E8F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2A2B392E">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760176C2">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7906DFA7">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3AC570AB">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11E6EDD1">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6C3277CD">
            <w:pPr>
              <w:spacing w:line="420" w:lineRule="exact"/>
              <w:jc w:val="center"/>
              <w:rPr>
                <w:rFonts w:hint="eastAsia" w:ascii="仿宋_GB2312" w:hAnsi="仿宋_GB2312" w:eastAsia="仿宋_GB2312" w:cs="仿宋_GB2312"/>
                <w:color w:val="auto"/>
                <w:sz w:val="24"/>
                <w:szCs w:val="24"/>
                <w:highlight w:val="none"/>
              </w:rPr>
            </w:pPr>
          </w:p>
        </w:tc>
      </w:tr>
      <w:tr w14:paraId="0C20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5A0BEB90">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568C89F6">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3B85A937">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0991F647">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38DA2D26">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09D8F190">
            <w:pPr>
              <w:spacing w:line="420" w:lineRule="exact"/>
              <w:jc w:val="center"/>
              <w:rPr>
                <w:rFonts w:hint="eastAsia" w:ascii="仿宋_GB2312" w:hAnsi="仿宋_GB2312" w:eastAsia="仿宋_GB2312" w:cs="仿宋_GB2312"/>
                <w:color w:val="auto"/>
                <w:sz w:val="24"/>
                <w:szCs w:val="24"/>
                <w:highlight w:val="none"/>
              </w:rPr>
            </w:pPr>
          </w:p>
        </w:tc>
      </w:tr>
      <w:tr w14:paraId="66CF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2132B7B9">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3B3EDEEA">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3E906A39">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2F38E414">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238C492F">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01C67ECF">
            <w:pPr>
              <w:spacing w:line="420" w:lineRule="exact"/>
              <w:jc w:val="center"/>
              <w:rPr>
                <w:rFonts w:hint="eastAsia" w:ascii="仿宋_GB2312" w:hAnsi="仿宋_GB2312" w:eastAsia="仿宋_GB2312" w:cs="仿宋_GB2312"/>
                <w:color w:val="auto"/>
                <w:sz w:val="24"/>
                <w:szCs w:val="24"/>
                <w:highlight w:val="none"/>
              </w:rPr>
            </w:pPr>
          </w:p>
        </w:tc>
      </w:tr>
      <w:tr w14:paraId="57D1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4B2904FF">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6B712674">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1AE16DF6">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350BD4DB">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130042D1">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17FEBB67">
            <w:pPr>
              <w:spacing w:line="420" w:lineRule="exact"/>
              <w:jc w:val="center"/>
              <w:rPr>
                <w:rFonts w:hint="eastAsia" w:ascii="仿宋_GB2312" w:hAnsi="仿宋_GB2312" w:eastAsia="仿宋_GB2312" w:cs="仿宋_GB2312"/>
                <w:color w:val="auto"/>
                <w:sz w:val="24"/>
                <w:szCs w:val="24"/>
                <w:highlight w:val="none"/>
              </w:rPr>
            </w:pPr>
          </w:p>
        </w:tc>
      </w:tr>
      <w:tr w14:paraId="431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600" w:type="dxa"/>
            <w:vAlign w:val="center"/>
          </w:tcPr>
          <w:p w14:paraId="5C19F724">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5A5E008B">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548884E5">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1350BB16">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50B7AF03">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590F0056">
            <w:pPr>
              <w:spacing w:line="420" w:lineRule="exact"/>
              <w:jc w:val="center"/>
              <w:rPr>
                <w:rFonts w:hint="eastAsia" w:ascii="仿宋_GB2312" w:hAnsi="仿宋_GB2312" w:eastAsia="仿宋_GB2312" w:cs="仿宋_GB2312"/>
                <w:color w:val="auto"/>
                <w:sz w:val="24"/>
                <w:szCs w:val="24"/>
                <w:highlight w:val="none"/>
              </w:rPr>
            </w:pPr>
          </w:p>
        </w:tc>
      </w:tr>
      <w:tr w14:paraId="11B6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30CF07B6">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6DE1EC1B">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6514B783">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0461DA84">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4548C1AF">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446D116D">
            <w:pPr>
              <w:spacing w:line="420" w:lineRule="exact"/>
              <w:jc w:val="center"/>
              <w:rPr>
                <w:rFonts w:hint="eastAsia" w:ascii="仿宋_GB2312" w:hAnsi="仿宋_GB2312" w:eastAsia="仿宋_GB2312" w:cs="仿宋_GB2312"/>
                <w:color w:val="auto"/>
                <w:sz w:val="24"/>
                <w:szCs w:val="24"/>
                <w:highlight w:val="none"/>
              </w:rPr>
            </w:pPr>
          </w:p>
        </w:tc>
      </w:tr>
      <w:tr w14:paraId="2457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2132D883">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6E9E09EB">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651AE4D8">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1825F959">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2028E1F7">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46B83E37">
            <w:pPr>
              <w:spacing w:line="420" w:lineRule="exact"/>
              <w:jc w:val="center"/>
              <w:rPr>
                <w:rFonts w:hint="eastAsia" w:ascii="仿宋_GB2312" w:hAnsi="仿宋_GB2312" w:eastAsia="仿宋_GB2312" w:cs="仿宋_GB2312"/>
                <w:color w:val="auto"/>
                <w:sz w:val="24"/>
                <w:szCs w:val="24"/>
                <w:highlight w:val="none"/>
              </w:rPr>
            </w:pPr>
          </w:p>
        </w:tc>
      </w:tr>
      <w:tr w14:paraId="46E4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781B2D2B">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47A055C2">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1AFF81EC">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2B43F6CD">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4053F9E4">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26B523D7">
            <w:pPr>
              <w:spacing w:line="420" w:lineRule="exact"/>
              <w:jc w:val="center"/>
              <w:rPr>
                <w:rFonts w:hint="eastAsia" w:ascii="仿宋_GB2312" w:hAnsi="仿宋_GB2312" w:eastAsia="仿宋_GB2312" w:cs="仿宋_GB2312"/>
                <w:color w:val="auto"/>
                <w:sz w:val="24"/>
                <w:szCs w:val="24"/>
                <w:highlight w:val="none"/>
              </w:rPr>
            </w:pPr>
          </w:p>
        </w:tc>
      </w:tr>
      <w:tr w14:paraId="4C6F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61775534">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3818B7F7">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7125176A">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6E31E51E">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3A5B704D">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1FB1FE50">
            <w:pPr>
              <w:spacing w:line="420" w:lineRule="exact"/>
              <w:jc w:val="center"/>
              <w:rPr>
                <w:rFonts w:hint="eastAsia" w:ascii="仿宋_GB2312" w:hAnsi="仿宋_GB2312" w:eastAsia="仿宋_GB2312" w:cs="仿宋_GB2312"/>
                <w:color w:val="auto"/>
                <w:sz w:val="24"/>
                <w:szCs w:val="24"/>
                <w:highlight w:val="none"/>
              </w:rPr>
            </w:pPr>
          </w:p>
        </w:tc>
      </w:tr>
      <w:tr w14:paraId="4996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46634441">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01001DDB">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0A81BACE">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3C00D1F9">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149DD012">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684B0861">
            <w:pPr>
              <w:spacing w:line="420" w:lineRule="exact"/>
              <w:jc w:val="center"/>
              <w:rPr>
                <w:rFonts w:hint="eastAsia" w:ascii="仿宋_GB2312" w:hAnsi="仿宋_GB2312" w:eastAsia="仿宋_GB2312" w:cs="仿宋_GB2312"/>
                <w:color w:val="auto"/>
                <w:sz w:val="24"/>
                <w:szCs w:val="24"/>
                <w:highlight w:val="none"/>
              </w:rPr>
            </w:pPr>
          </w:p>
        </w:tc>
      </w:tr>
      <w:tr w14:paraId="2E80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00" w:type="dxa"/>
            <w:vAlign w:val="center"/>
          </w:tcPr>
          <w:p w14:paraId="052C99BE">
            <w:pPr>
              <w:spacing w:line="420" w:lineRule="exact"/>
              <w:jc w:val="center"/>
              <w:rPr>
                <w:rFonts w:hint="eastAsia" w:ascii="仿宋_GB2312" w:hAnsi="仿宋_GB2312" w:eastAsia="仿宋_GB2312" w:cs="仿宋_GB2312"/>
                <w:color w:val="auto"/>
                <w:sz w:val="24"/>
                <w:szCs w:val="24"/>
                <w:highlight w:val="none"/>
              </w:rPr>
            </w:pPr>
          </w:p>
        </w:tc>
        <w:tc>
          <w:tcPr>
            <w:tcW w:w="3038" w:type="dxa"/>
            <w:vAlign w:val="center"/>
          </w:tcPr>
          <w:p w14:paraId="6A20EAB1">
            <w:pPr>
              <w:spacing w:line="420" w:lineRule="exact"/>
              <w:jc w:val="center"/>
              <w:rPr>
                <w:rFonts w:hint="eastAsia" w:ascii="仿宋_GB2312" w:hAnsi="仿宋_GB2312" w:eastAsia="仿宋_GB2312" w:cs="仿宋_GB2312"/>
                <w:color w:val="auto"/>
                <w:sz w:val="24"/>
                <w:szCs w:val="24"/>
                <w:highlight w:val="none"/>
              </w:rPr>
            </w:pPr>
          </w:p>
        </w:tc>
        <w:tc>
          <w:tcPr>
            <w:tcW w:w="1331" w:type="dxa"/>
            <w:vAlign w:val="center"/>
          </w:tcPr>
          <w:p w14:paraId="723C8FE5">
            <w:pPr>
              <w:spacing w:line="420" w:lineRule="exact"/>
              <w:jc w:val="center"/>
              <w:rPr>
                <w:rFonts w:hint="eastAsia" w:ascii="仿宋_GB2312" w:hAnsi="仿宋_GB2312" w:eastAsia="仿宋_GB2312" w:cs="仿宋_GB2312"/>
                <w:color w:val="auto"/>
                <w:sz w:val="24"/>
                <w:szCs w:val="24"/>
                <w:highlight w:val="none"/>
              </w:rPr>
            </w:pPr>
          </w:p>
        </w:tc>
        <w:tc>
          <w:tcPr>
            <w:tcW w:w="1538" w:type="dxa"/>
            <w:vAlign w:val="center"/>
          </w:tcPr>
          <w:p w14:paraId="59F62705">
            <w:pPr>
              <w:spacing w:line="420" w:lineRule="exact"/>
              <w:jc w:val="center"/>
              <w:rPr>
                <w:rFonts w:hint="eastAsia" w:ascii="仿宋_GB2312" w:hAnsi="仿宋_GB2312" w:eastAsia="仿宋_GB2312" w:cs="仿宋_GB2312"/>
                <w:color w:val="auto"/>
                <w:sz w:val="24"/>
                <w:szCs w:val="24"/>
                <w:highlight w:val="none"/>
              </w:rPr>
            </w:pPr>
          </w:p>
        </w:tc>
        <w:tc>
          <w:tcPr>
            <w:tcW w:w="1668" w:type="dxa"/>
            <w:vAlign w:val="center"/>
          </w:tcPr>
          <w:p w14:paraId="604AA203">
            <w:pPr>
              <w:spacing w:line="420" w:lineRule="exact"/>
              <w:jc w:val="center"/>
              <w:rPr>
                <w:rFonts w:hint="eastAsia" w:ascii="仿宋_GB2312" w:hAnsi="仿宋_GB2312" w:eastAsia="仿宋_GB2312" w:cs="仿宋_GB2312"/>
                <w:color w:val="auto"/>
                <w:sz w:val="24"/>
                <w:szCs w:val="24"/>
                <w:highlight w:val="none"/>
              </w:rPr>
            </w:pPr>
          </w:p>
        </w:tc>
        <w:tc>
          <w:tcPr>
            <w:tcW w:w="1125" w:type="dxa"/>
            <w:vAlign w:val="center"/>
          </w:tcPr>
          <w:p w14:paraId="19C7D459">
            <w:pPr>
              <w:spacing w:line="420" w:lineRule="exact"/>
              <w:jc w:val="center"/>
              <w:rPr>
                <w:rFonts w:hint="eastAsia" w:ascii="仿宋_GB2312" w:hAnsi="仿宋_GB2312" w:eastAsia="仿宋_GB2312" w:cs="仿宋_GB2312"/>
                <w:color w:val="auto"/>
                <w:sz w:val="24"/>
                <w:szCs w:val="24"/>
                <w:highlight w:val="none"/>
              </w:rPr>
            </w:pPr>
          </w:p>
        </w:tc>
      </w:tr>
    </w:tbl>
    <w:p w14:paraId="65AEFD68">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说明：1.本表由承包人填制，承包人应按照合同约定填报实际单价，提交造价工程核实并由其报发包人确认后，将该单价与暂估单价的差额以及相关费用列入合同价款内。</w:t>
      </w:r>
    </w:p>
    <w:p w14:paraId="0C0E044F">
      <w:pPr>
        <w:spacing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14:paraId="04FBFC5C">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0" w:name="_Toc10625006"/>
      <w:bookmarkStart w:id="791" w:name="_Toc266892948"/>
      <w:bookmarkStart w:id="792" w:name="_Toc469384162"/>
      <w:r>
        <w:rPr>
          <w:rFonts w:hint="eastAsia" w:ascii="黑体" w:hAnsi="黑体" w:eastAsia="黑体" w:cs="黑体"/>
          <w:b w:val="0"/>
          <w:bCs w:val="0"/>
          <w:color w:val="auto"/>
          <w:kern w:val="0"/>
          <w:sz w:val="24"/>
          <w:szCs w:val="24"/>
          <w:highlight w:val="none"/>
        </w:rPr>
        <w:t>格式2</w:t>
      </w:r>
      <w:bookmarkEnd w:id="790"/>
      <w:bookmarkEnd w:id="791"/>
      <w:bookmarkEnd w:id="792"/>
      <w:r>
        <w:rPr>
          <w:rFonts w:hint="eastAsia" w:ascii="黑体" w:hAnsi="黑体" w:eastAsia="黑体" w:cs="黑体"/>
          <w:b w:val="0"/>
          <w:bCs w:val="0"/>
          <w:color w:val="auto"/>
          <w:kern w:val="0"/>
          <w:sz w:val="24"/>
          <w:szCs w:val="24"/>
          <w:highlight w:val="none"/>
        </w:rPr>
        <w:t>1</w:t>
      </w:r>
    </w:p>
    <w:p w14:paraId="74BF226F">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专业工程暂估价调整表</w:t>
      </w:r>
    </w:p>
    <w:p w14:paraId="359A0B1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694"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63"/>
        <w:gridCol w:w="3168"/>
        <w:gridCol w:w="1857"/>
        <w:gridCol w:w="1556"/>
        <w:gridCol w:w="844"/>
      </w:tblGrid>
      <w:tr w14:paraId="084C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44CF0CF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463" w:type="dxa"/>
            <w:vAlign w:val="center"/>
          </w:tcPr>
          <w:p w14:paraId="4B3CC87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p>
        </w:tc>
        <w:tc>
          <w:tcPr>
            <w:tcW w:w="3168" w:type="dxa"/>
            <w:vAlign w:val="center"/>
          </w:tcPr>
          <w:p w14:paraId="0FC650F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工程内容</w:t>
            </w:r>
          </w:p>
        </w:tc>
        <w:tc>
          <w:tcPr>
            <w:tcW w:w="1857" w:type="dxa"/>
            <w:vAlign w:val="center"/>
          </w:tcPr>
          <w:p w14:paraId="1653A09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暂列金额</w:t>
            </w:r>
          </w:p>
          <w:p w14:paraId="0753D7F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1556" w:type="dxa"/>
            <w:vAlign w:val="center"/>
          </w:tcPr>
          <w:p w14:paraId="4FC7009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实际金额</w:t>
            </w:r>
          </w:p>
          <w:p w14:paraId="5887432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44" w:type="dxa"/>
            <w:vAlign w:val="center"/>
          </w:tcPr>
          <w:p w14:paraId="7DEC04B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14:paraId="1310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602C489F">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787F39EC">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50FC7325">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4A739065">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6A433172">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693C5E38">
            <w:pPr>
              <w:spacing w:line="420" w:lineRule="exact"/>
              <w:jc w:val="center"/>
              <w:rPr>
                <w:rFonts w:hint="eastAsia" w:ascii="仿宋_GB2312" w:hAnsi="仿宋_GB2312" w:eastAsia="仿宋_GB2312" w:cs="仿宋_GB2312"/>
                <w:color w:val="auto"/>
                <w:sz w:val="24"/>
                <w:szCs w:val="24"/>
                <w:highlight w:val="none"/>
              </w:rPr>
            </w:pPr>
          </w:p>
        </w:tc>
      </w:tr>
      <w:tr w14:paraId="52CD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17A24785">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72149D19">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5C6372F4">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23F56F55">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3A9AB9C2">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21A9C759">
            <w:pPr>
              <w:spacing w:line="420" w:lineRule="exact"/>
              <w:jc w:val="center"/>
              <w:rPr>
                <w:rFonts w:hint="eastAsia" w:ascii="仿宋_GB2312" w:hAnsi="仿宋_GB2312" w:eastAsia="仿宋_GB2312" w:cs="仿宋_GB2312"/>
                <w:color w:val="auto"/>
                <w:sz w:val="24"/>
                <w:szCs w:val="24"/>
                <w:highlight w:val="none"/>
              </w:rPr>
            </w:pPr>
          </w:p>
        </w:tc>
      </w:tr>
      <w:tr w14:paraId="56D0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0521EEED">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31639693">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1BBE8636">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10A3EA71">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3A0D190E">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72510897">
            <w:pPr>
              <w:spacing w:line="420" w:lineRule="exact"/>
              <w:jc w:val="center"/>
              <w:rPr>
                <w:rFonts w:hint="eastAsia" w:ascii="仿宋_GB2312" w:hAnsi="仿宋_GB2312" w:eastAsia="仿宋_GB2312" w:cs="仿宋_GB2312"/>
                <w:color w:val="auto"/>
                <w:sz w:val="24"/>
                <w:szCs w:val="24"/>
                <w:highlight w:val="none"/>
              </w:rPr>
            </w:pPr>
          </w:p>
        </w:tc>
      </w:tr>
      <w:tr w14:paraId="7E9C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5A715A8F">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1B12E0A2">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0A4948EE">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5D051349">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41FBE433">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7EFFFD79">
            <w:pPr>
              <w:spacing w:line="420" w:lineRule="exact"/>
              <w:jc w:val="center"/>
              <w:rPr>
                <w:rFonts w:hint="eastAsia" w:ascii="仿宋_GB2312" w:hAnsi="仿宋_GB2312" w:eastAsia="仿宋_GB2312" w:cs="仿宋_GB2312"/>
                <w:color w:val="auto"/>
                <w:sz w:val="24"/>
                <w:szCs w:val="24"/>
                <w:highlight w:val="none"/>
              </w:rPr>
            </w:pPr>
          </w:p>
        </w:tc>
      </w:tr>
      <w:tr w14:paraId="4063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806" w:type="dxa"/>
            <w:vAlign w:val="center"/>
          </w:tcPr>
          <w:p w14:paraId="3FF1D8B9">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66040FCC">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72F94655">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22EACC6C">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0F3A3D3A">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054EC774">
            <w:pPr>
              <w:spacing w:line="420" w:lineRule="exact"/>
              <w:jc w:val="center"/>
              <w:rPr>
                <w:rFonts w:hint="eastAsia" w:ascii="仿宋_GB2312" w:hAnsi="仿宋_GB2312" w:eastAsia="仿宋_GB2312" w:cs="仿宋_GB2312"/>
                <w:color w:val="auto"/>
                <w:sz w:val="24"/>
                <w:szCs w:val="24"/>
                <w:highlight w:val="none"/>
              </w:rPr>
            </w:pPr>
          </w:p>
        </w:tc>
      </w:tr>
      <w:tr w14:paraId="4CE3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56A1D8EE">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10EAF646">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333300B1">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38E5B163">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212812A2">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1FBEC7E7">
            <w:pPr>
              <w:spacing w:line="420" w:lineRule="exact"/>
              <w:jc w:val="center"/>
              <w:rPr>
                <w:rFonts w:hint="eastAsia" w:ascii="仿宋_GB2312" w:hAnsi="仿宋_GB2312" w:eastAsia="仿宋_GB2312" w:cs="仿宋_GB2312"/>
                <w:color w:val="auto"/>
                <w:sz w:val="24"/>
                <w:szCs w:val="24"/>
                <w:highlight w:val="none"/>
              </w:rPr>
            </w:pPr>
          </w:p>
        </w:tc>
      </w:tr>
      <w:tr w14:paraId="429A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4BC23603">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330DE5DF">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4F740532">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6BF094AF">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2D98A17E">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03072B8A">
            <w:pPr>
              <w:spacing w:line="420" w:lineRule="exact"/>
              <w:jc w:val="center"/>
              <w:rPr>
                <w:rFonts w:hint="eastAsia" w:ascii="仿宋_GB2312" w:hAnsi="仿宋_GB2312" w:eastAsia="仿宋_GB2312" w:cs="仿宋_GB2312"/>
                <w:color w:val="auto"/>
                <w:sz w:val="24"/>
                <w:szCs w:val="24"/>
                <w:highlight w:val="none"/>
              </w:rPr>
            </w:pPr>
          </w:p>
        </w:tc>
      </w:tr>
      <w:tr w14:paraId="7B05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36D78090">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23E498A9">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5D62588A">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14C34D38">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584E9B2A">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69B320D1">
            <w:pPr>
              <w:spacing w:line="420" w:lineRule="exact"/>
              <w:jc w:val="center"/>
              <w:rPr>
                <w:rFonts w:hint="eastAsia" w:ascii="仿宋_GB2312" w:hAnsi="仿宋_GB2312" w:eastAsia="仿宋_GB2312" w:cs="仿宋_GB2312"/>
                <w:color w:val="auto"/>
                <w:sz w:val="24"/>
                <w:szCs w:val="24"/>
                <w:highlight w:val="none"/>
              </w:rPr>
            </w:pPr>
          </w:p>
        </w:tc>
      </w:tr>
      <w:tr w14:paraId="0EC9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6CFE8F35">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3770A47F">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71602E90">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335C7F77">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60645AC3">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64A7F6FC">
            <w:pPr>
              <w:spacing w:line="420" w:lineRule="exact"/>
              <w:jc w:val="center"/>
              <w:rPr>
                <w:rFonts w:hint="eastAsia" w:ascii="仿宋_GB2312" w:hAnsi="仿宋_GB2312" w:eastAsia="仿宋_GB2312" w:cs="仿宋_GB2312"/>
                <w:color w:val="auto"/>
                <w:sz w:val="24"/>
                <w:szCs w:val="24"/>
                <w:highlight w:val="none"/>
              </w:rPr>
            </w:pPr>
          </w:p>
        </w:tc>
      </w:tr>
      <w:tr w14:paraId="4329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06" w:type="dxa"/>
            <w:vAlign w:val="center"/>
          </w:tcPr>
          <w:p w14:paraId="255C2FD9">
            <w:pPr>
              <w:spacing w:line="420" w:lineRule="exact"/>
              <w:jc w:val="center"/>
              <w:rPr>
                <w:rFonts w:hint="eastAsia" w:ascii="仿宋_GB2312" w:hAnsi="仿宋_GB2312" w:eastAsia="仿宋_GB2312" w:cs="仿宋_GB2312"/>
                <w:color w:val="auto"/>
                <w:sz w:val="24"/>
                <w:szCs w:val="24"/>
                <w:highlight w:val="none"/>
              </w:rPr>
            </w:pPr>
          </w:p>
        </w:tc>
        <w:tc>
          <w:tcPr>
            <w:tcW w:w="1463" w:type="dxa"/>
            <w:vAlign w:val="center"/>
          </w:tcPr>
          <w:p w14:paraId="2E69F8DB">
            <w:pPr>
              <w:spacing w:line="420" w:lineRule="exact"/>
              <w:jc w:val="center"/>
              <w:rPr>
                <w:rFonts w:hint="eastAsia" w:ascii="仿宋_GB2312" w:hAnsi="仿宋_GB2312" w:eastAsia="仿宋_GB2312" w:cs="仿宋_GB2312"/>
                <w:color w:val="auto"/>
                <w:sz w:val="24"/>
                <w:szCs w:val="24"/>
                <w:highlight w:val="none"/>
              </w:rPr>
            </w:pPr>
          </w:p>
        </w:tc>
        <w:tc>
          <w:tcPr>
            <w:tcW w:w="3168" w:type="dxa"/>
            <w:vAlign w:val="center"/>
          </w:tcPr>
          <w:p w14:paraId="3A5D4348">
            <w:pPr>
              <w:spacing w:line="420" w:lineRule="exact"/>
              <w:jc w:val="center"/>
              <w:rPr>
                <w:rFonts w:hint="eastAsia" w:ascii="仿宋_GB2312" w:hAnsi="仿宋_GB2312" w:eastAsia="仿宋_GB2312" w:cs="仿宋_GB2312"/>
                <w:color w:val="auto"/>
                <w:sz w:val="24"/>
                <w:szCs w:val="24"/>
                <w:highlight w:val="none"/>
              </w:rPr>
            </w:pPr>
          </w:p>
        </w:tc>
        <w:tc>
          <w:tcPr>
            <w:tcW w:w="1857" w:type="dxa"/>
            <w:vAlign w:val="center"/>
          </w:tcPr>
          <w:p w14:paraId="4490B327">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05CAFF8E">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3F977301">
            <w:pPr>
              <w:spacing w:line="420" w:lineRule="exact"/>
              <w:jc w:val="center"/>
              <w:rPr>
                <w:rFonts w:hint="eastAsia" w:ascii="仿宋_GB2312" w:hAnsi="仿宋_GB2312" w:eastAsia="仿宋_GB2312" w:cs="仿宋_GB2312"/>
                <w:color w:val="auto"/>
                <w:sz w:val="24"/>
                <w:szCs w:val="24"/>
                <w:highlight w:val="none"/>
              </w:rPr>
            </w:pPr>
          </w:p>
        </w:tc>
      </w:tr>
      <w:tr w14:paraId="12DF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37" w:type="dxa"/>
            <w:gridSpan w:val="3"/>
            <w:vAlign w:val="center"/>
          </w:tcPr>
          <w:p w14:paraId="613370A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  计</w:t>
            </w:r>
          </w:p>
        </w:tc>
        <w:tc>
          <w:tcPr>
            <w:tcW w:w="1857" w:type="dxa"/>
            <w:vAlign w:val="center"/>
          </w:tcPr>
          <w:p w14:paraId="4C545D39">
            <w:pPr>
              <w:spacing w:line="420" w:lineRule="exact"/>
              <w:jc w:val="center"/>
              <w:rPr>
                <w:rFonts w:hint="eastAsia" w:ascii="仿宋_GB2312" w:hAnsi="仿宋_GB2312" w:eastAsia="仿宋_GB2312" w:cs="仿宋_GB2312"/>
                <w:color w:val="auto"/>
                <w:sz w:val="24"/>
                <w:szCs w:val="24"/>
                <w:highlight w:val="none"/>
              </w:rPr>
            </w:pPr>
          </w:p>
        </w:tc>
        <w:tc>
          <w:tcPr>
            <w:tcW w:w="1556" w:type="dxa"/>
            <w:vAlign w:val="center"/>
          </w:tcPr>
          <w:p w14:paraId="27F27E49">
            <w:pPr>
              <w:spacing w:line="420" w:lineRule="exact"/>
              <w:jc w:val="center"/>
              <w:rPr>
                <w:rFonts w:hint="eastAsia" w:ascii="仿宋_GB2312" w:hAnsi="仿宋_GB2312" w:eastAsia="仿宋_GB2312" w:cs="仿宋_GB2312"/>
                <w:color w:val="auto"/>
                <w:sz w:val="24"/>
                <w:szCs w:val="24"/>
                <w:highlight w:val="none"/>
              </w:rPr>
            </w:pPr>
          </w:p>
        </w:tc>
        <w:tc>
          <w:tcPr>
            <w:tcW w:w="844" w:type="dxa"/>
            <w:vAlign w:val="center"/>
          </w:tcPr>
          <w:p w14:paraId="54E7684F">
            <w:pPr>
              <w:spacing w:line="420" w:lineRule="exact"/>
              <w:jc w:val="center"/>
              <w:rPr>
                <w:rFonts w:hint="eastAsia" w:ascii="仿宋_GB2312" w:hAnsi="仿宋_GB2312" w:eastAsia="仿宋_GB2312" w:cs="仿宋_GB2312"/>
                <w:color w:val="auto"/>
                <w:sz w:val="24"/>
                <w:szCs w:val="24"/>
                <w:highlight w:val="none"/>
              </w:rPr>
            </w:pPr>
          </w:p>
        </w:tc>
      </w:tr>
    </w:tbl>
    <w:p w14:paraId="5EE38BDB">
      <w:pPr>
        <w:spacing w:line="420" w:lineRule="exact"/>
        <w:ind w:left="960" w:hanging="960" w:hangingChars="4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说明：1.本表由承包人填制，承包人应按照合同约定填报实际数量，提交造价工程核实并由其报发包人确认后，将金额与暂估价金额以及相关费用列入合同价款内。</w:t>
      </w:r>
    </w:p>
    <w:p w14:paraId="4F8C0861">
      <w:pPr>
        <w:spacing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2.本表一式四份，发包人、监理人、工程造价咨询人（如有）、承包人各存一份。</w:t>
      </w:r>
    </w:p>
    <w:p w14:paraId="72036CBC">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3" w:name="_Toc469384163"/>
      <w:bookmarkStart w:id="794" w:name="_Toc266892949"/>
      <w:bookmarkStart w:id="795" w:name="_Toc10625007"/>
      <w:r>
        <w:rPr>
          <w:rFonts w:hint="eastAsia" w:ascii="黑体" w:hAnsi="黑体" w:eastAsia="黑体" w:cs="黑体"/>
          <w:b w:val="0"/>
          <w:bCs w:val="0"/>
          <w:color w:val="auto"/>
          <w:kern w:val="0"/>
          <w:sz w:val="24"/>
          <w:szCs w:val="24"/>
          <w:highlight w:val="none"/>
        </w:rPr>
        <w:t>格式2</w:t>
      </w:r>
      <w:bookmarkEnd w:id="793"/>
      <w:bookmarkEnd w:id="794"/>
      <w:bookmarkEnd w:id="795"/>
      <w:r>
        <w:rPr>
          <w:rFonts w:hint="eastAsia" w:ascii="黑体" w:hAnsi="黑体" w:eastAsia="黑体" w:cs="黑体"/>
          <w:b w:val="0"/>
          <w:bCs w:val="0"/>
          <w:color w:val="auto"/>
          <w:kern w:val="0"/>
          <w:sz w:val="24"/>
          <w:szCs w:val="24"/>
          <w:highlight w:val="none"/>
        </w:rPr>
        <w:t>2</w:t>
      </w:r>
    </w:p>
    <w:p w14:paraId="64CA8652">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费用索赔申请表</w:t>
      </w:r>
    </w:p>
    <w:p w14:paraId="1665071C">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487" w:type="dxa"/>
        <w:tblInd w:w="-31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87"/>
      </w:tblGrid>
      <w:tr w14:paraId="0347E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50" w:hRule="atLeast"/>
        </w:trPr>
        <w:tc>
          <w:tcPr>
            <w:tcW w:w="9487" w:type="dxa"/>
            <w:tcBorders>
              <w:bottom w:val="single" w:color="auto" w:sz="4" w:space="0"/>
            </w:tcBorders>
          </w:tcPr>
          <w:p w14:paraId="720F83C7">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（工程造价咨询人全称） </w:t>
            </w:r>
          </w:p>
          <w:p w14:paraId="06190FBF">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条规定，由于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原因,我方要求索赔金额(大写)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元)，请予以批准。</w:t>
            </w:r>
          </w:p>
          <w:p w14:paraId="31D08024">
            <w:pPr>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１．费用索赔的详细理由和依据：</w:t>
            </w:r>
          </w:p>
          <w:p w14:paraId="4CBC08AF">
            <w:pPr>
              <w:spacing w:line="420" w:lineRule="exact"/>
              <w:rPr>
                <w:rFonts w:hint="eastAsia" w:ascii="仿宋_GB2312" w:hAnsi="仿宋_GB2312" w:eastAsia="仿宋_GB2312" w:cs="仿宋_GB2312"/>
                <w:color w:val="auto"/>
                <w:sz w:val="24"/>
                <w:szCs w:val="24"/>
                <w:highlight w:val="none"/>
              </w:rPr>
            </w:pPr>
          </w:p>
          <w:p w14:paraId="3AECC2EE">
            <w:pPr>
              <w:spacing w:line="420" w:lineRule="exact"/>
              <w:rPr>
                <w:rFonts w:hint="eastAsia" w:ascii="仿宋_GB2312" w:hAnsi="仿宋_GB2312" w:eastAsia="仿宋_GB2312" w:cs="仿宋_GB2312"/>
                <w:color w:val="auto"/>
                <w:sz w:val="24"/>
                <w:szCs w:val="24"/>
                <w:highlight w:val="none"/>
              </w:rPr>
            </w:pPr>
          </w:p>
          <w:p w14:paraId="16D20BC0">
            <w:pPr>
              <w:spacing w:line="420" w:lineRule="exact"/>
              <w:rPr>
                <w:rFonts w:hint="eastAsia" w:ascii="仿宋_GB2312" w:hAnsi="仿宋_GB2312" w:eastAsia="仿宋_GB2312" w:cs="仿宋_GB2312"/>
                <w:color w:val="auto"/>
                <w:sz w:val="24"/>
                <w:szCs w:val="24"/>
                <w:highlight w:val="none"/>
              </w:rPr>
            </w:pPr>
          </w:p>
          <w:p w14:paraId="3FED5452">
            <w:pPr>
              <w:spacing w:line="420" w:lineRule="exact"/>
              <w:rPr>
                <w:rFonts w:hint="eastAsia" w:ascii="仿宋_GB2312" w:hAnsi="仿宋_GB2312" w:eastAsia="仿宋_GB2312" w:cs="仿宋_GB2312"/>
                <w:color w:val="auto"/>
                <w:sz w:val="24"/>
                <w:szCs w:val="24"/>
                <w:highlight w:val="none"/>
              </w:rPr>
            </w:pPr>
          </w:p>
          <w:p w14:paraId="709AEDF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2．索赔金额的计算：</w:t>
            </w:r>
          </w:p>
          <w:p w14:paraId="0518A8BB">
            <w:pPr>
              <w:spacing w:line="420" w:lineRule="exact"/>
              <w:ind w:left="-28" w:firstLine="458"/>
              <w:rPr>
                <w:rFonts w:hint="eastAsia" w:ascii="仿宋_GB2312" w:hAnsi="仿宋_GB2312" w:eastAsia="仿宋_GB2312" w:cs="仿宋_GB2312"/>
                <w:color w:val="auto"/>
                <w:sz w:val="24"/>
                <w:szCs w:val="24"/>
                <w:highlight w:val="none"/>
              </w:rPr>
            </w:pPr>
          </w:p>
          <w:p w14:paraId="5E688792">
            <w:pPr>
              <w:spacing w:line="420" w:lineRule="exact"/>
              <w:ind w:left="-28" w:firstLine="458"/>
              <w:rPr>
                <w:rFonts w:hint="eastAsia" w:ascii="仿宋_GB2312" w:hAnsi="仿宋_GB2312" w:eastAsia="仿宋_GB2312" w:cs="仿宋_GB2312"/>
                <w:color w:val="auto"/>
                <w:sz w:val="24"/>
                <w:szCs w:val="24"/>
                <w:highlight w:val="none"/>
              </w:rPr>
            </w:pPr>
          </w:p>
          <w:p w14:paraId="2A6B0D87">
            <w:pPr>
              <w:spacing w:line="420" w:lineRule="exact"/>
              <w:ind w:left="-28" w:firstLine="458"/>
              <w:rPr>
                <w:rFonts w:hint="eastAsia" w:ascii="仿宋_GB2312" w:hAnsi="仿宋_GB2312" w:eastAsia="仿宋_GB2312" w:cs="仿宋_GB2312"/>
                <w:color w:val="auto"/>
                <w:sz w:val="24"/>
                <w:szCs w:val="24"/>
                <w:highlight w:val="none"/>
              </w:rPr>
            </w:pPr>
          </w:p>
          <w:p w14:paraId="4CBADBDF">
            <w:pPr>
              <w:spacing w:line="420" w:lineRule="exact"/>
              <w:ind w:left="-28" w:firstLine="458"/>
              <w:rPr>
                <w:rFonts w:hint="eastAsia" w:ascii="仿宋_GB2312" w:hAnsi="仿宋_GB2312" w:eastAsia="仿宋_GB2312" w:cs="仿宋_GB2312"/>
                <w:color w:val="auto"/>
                <w:sz w:val="24"/>
                <w:szCs w:val="24"/>
                <w:highlight w:val="none"/>
              </w:rPr>
            </w:pPr>
          </w:p>
          <w:p w14:paraId="02925A93">
            <w:pPr>
              <w:spacing w:line="420" w:lineRule="exact"/>
              <w:ind w:left="-28" w:firstLine="458"/>
              <w:rPr>
                <w:rFonts w:hint="eastAsia" w:ascii="仿宋_GB2312" w:hAnsi="仿宋_GB2312" w:eastAsia="仿宋_GB2312" w:cs="仿宋_GB2312"/>
                <w:color w:val="auto"/>
                <w:sz w:val="24"/>
                <w:szCs w:val="24"/>
                <w:highlight w:val="none"/>
              </w:rPr>
            </w:pPr>
          </w:p>
          <w:p w14:paraId="5E751A9F">
            <w:pPr>
              <w:spacing w:line="420" w:lineRule="exact"/>
              <w:ind w:left="-28" w:firstLine="458"/>
              <w:rPr>
                <w:rFonts w:hint="eastAsia" w:ascii="仿宋_GB2312" w:hAnsi="仿宋_GB2312" w:eastAsia="仿宋_GB2312" w:cs="仿宋_GB2312"/>
                <w:color w:val="auto"/>
                <w:sz w:val="24"/>
                <w:szCs w:val="24"/>
                <w:highlight w:val="none"/>
              </w:rPr>
            </w:pPr>
          </w:p>
          <w:p w14:paraId="0979A15B">
            <w:pPr>
              <w:spacing w:line="420" w:lineRule="exact"/>
              <w:ind w:left="-28" w:firstLine="45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3．证明材料：</w:t>
            </w:r>
          </w:p>
          <w:p w14:paraId="70080752">
            <w:pPr>
              <w:spacing w:line="420" w:lineRule="exact"/>
              <w:ind w:firstLine="480" w:firstLineChars="200"/>
              <w:rPr>
                <w:rFonts w:hint="eastAsia" w:ascii="仿宋_GB2312" w:hAnsi="仿宋_GB2312" w:eastAsia="仿宋_GB2312" w:cs="仿宋_GB2312"/>
                <w:color w:val="auto"/>
                <w:sz w:val="24"/>
                <w:szCs w:val="24"/>
                <w:highlight w:val="none"/>
              </w:rPr>
            </w:pPr>
          </w:p>
          <w:p w14:paraId="1F7E5702">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7DE900B1">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13E5AC6E">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7FBE9933">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61450321">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rPr>
            </w:pPr>
          </w:p>
          <w:p w14:paraId="2D910873">
            <w:pPr>
              <w:tabs>
                <w:tab w:val="left" w:pos="691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14:paraId="78D3DF57">
            <w:pPr>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50C04227">
            <w:pPr>
              <w:tabs>
                <w:tab w:val="left" w:pos="7272"/>
              </w:tabs>
              <w:spacing w:line="420" w:lineRule="exact"/>
              <w:ind w:firstLine="6372" w:firstLineChars="265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7F327A37">
      <w:pPr>
        <w:spacing w:line="420" w:lineRule="exact"/>
        <w:ind w:left="720" w:hanging="720" w:hanging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说明：本表一式三份，由承包人填制,并连同发包人、工程造价咨询人（如有）各存一份。</w:t>
      </w:r>
    </w:p>
    <w:p w14:paraId="40B3E308">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6" w:name="_Toc266892950"/>
      <w:bookmarkStart w:id="797" w:name="_Toc10625008"/>
      <w:bookmarkStart w:id="798" w:name="_Toc469384164"/>
      <w:r>
        <w:rPr>
          <w:rFonts w:hint="eastAsia" w:ascii="黑体" w:hAnsi="黑体" w:eastAsia="黑体" w:cs="黑体"/>
          <w:b w:val="0"/>
          <w:bCs w:val="0"/>
          <w:color w:val="auto"/>
          <w:kern w:val="0"/>
          <w:sz w:val="24"/>
          <w:szCs w:val="24"/>
          <w:highlight w:val="none"/>
        </w:rPr>
        <w:t>格式2</w:t>
      </w:r>
      <w:bookmarkEnd w:id="796"/>
      <w:bookmarkEnd w:id="797"/>
      <w:bookmarkEnd w:id="798"/>
      <w:r>
        <w:rPr>
          <w:rFonts w:hint="eastAsia" w:ascii="黑体" w:hAnsi="黑体" w:eastAsia="黑体" w:cs="黑体"/>
          <w:b w:val="0"/>
          <w:bCs w:val="0"/>
          <w:color w:val="auto"/>
          <w:kern w:val="0"/>
          <w:sz w:val="24"/>
          <w:szCs w:val="24"/>
          <w:highlight w:val="none"/>
        </w:rPr>
        <w:t>3</w:t>
      </w:r>
    </w:p>
    <w:p w14:paraId="71A18DDC">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费用索赔审批表</w:t>
      </w:r>
    </w:p>
    <w:p w14:paraId="445A15FD">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525" w:type="dxa"/>
        <w:tblInd w:w="-2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25"/>
      </w:tblGrid>
      <w:tr w14:paraId="1AB2F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9525" w:type="dxa"/>
            <w:tcBorders>
              <w:bottom w:val="single" w:color="auto" w:sz="4" w:space="0"/>
            </w:tcBorders>
          </w:tcPr>
          <w:p w14:paraId="20BD34FF">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（承包人全称） </w:t>
            </w:r>
          </w:p>
          <w:p w14:paraId="27799104">
            <w:pPr>
              <w:spacing w:line="420" w:lineRule="exact"/>
              <w:ind w:left="-28" w:firstLine="482"/>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的规定，你方提出的工期索赔申请第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号,索赔费用：(大写)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元)，经我方审核：</w:t>
            </w:r>
          </w:p>
          <w:p w14:paraId="74E52F4A">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□不同意此项索赔。</w:t>
            </w:r>
          </w:p>
          <w:p w14:paraId="1DD66215">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□同意此项索赔，金额(大写)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(小写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w:t>
            </w:r>
          </w:p>
          <w:p w14:paraId="36814B99">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同意/不同意索赔说明理由：</w:t>
            </w:r>
          </w:p>
          <w:p w14:paraId="7C5B8A52">
            <w:pPr>
              <w:spacing w:line="420" w:lineRule="exact"/>
              <w:ind w:firstLine="480" w:firstLineChars="200"/>
              <w:rPr>
                <w:rFonts w:hint="eastAsia" w:ascii="仿宋_GB2312" w:hAnsi="仿宋_GB2312" w:eastAsia="仿宋_GB2312" w:cs="仿宋_GB2312"/>
                <w:color w:val="auto"/>
                <w:sz w:val="24"/>
                <w:szCs w:val="24"/>
                <w:highlight w:val="none"/>
              </w:rPr>
            </w:pPr>
          </w:p>
          <w:p w14:paraId="607811D5">
            <w:pPr>
              <w:spacing w:line="420" w:lineRule="exact"/>
              <w:ind w:firstLine="480" w:firstLineChars="200"/>
              <w:rPr>
                <w:rFonts w:hint="eastAsia" w:ascii="仿宋_GB2312" w:hAnsi="仿宋_GB2312" w:eastAsia="仿宋_GB2312" w:cs="仿宋_GB2312"/>
                <w:color w:val="auto"/>
                <w:sz w:val="24"/>
                <w:szCs w:val="24"/>
                <w:highlight w:val="none"/>
              </w:rPr>
            </w:pPr>
          </w:p>
          <w:p w14:paraId="1945E89B">
            <w:pPr>
              <w:spacing w:line="420" w:lineRule="exact"/>
              <w:ind w:firstLine="480" w:firstLineChars="200"/>
              <w:rPr>
                <w:rFonts w:hint="eastAsia" w:ascii="仿宋_GB2312" w:hAnsi="仿宋_GB2312" w:eastAsia="仿宋_GB2312" w:cs="仿宋_GB2312"/>
                <w:color w:val="auto"/>
                <w:sz w:val="24"/>
                <w:szCs w:val="24"/>
                <w:highlight w:val="none"/>
              </w:rPr>
            </w:pPr>
          </w:p>
          <w:p w14:paraId="4DE65570">
            <w:pPr>
              <w:spacing w:line="420" w:lineRule="exact"/>
              <w:ind w:firstLine="480" w:firstLineChars="200"/>
              <w:rPr>
                <w:rFonts w:hint="eastAsia" w:ascii="仿宋_GB2312" w:hAnsi="仿宋_GB2312" w:eastAsia="仿宋_GB2312" w:cs="仿宋_GB2312"/>
                <w:color w:val="auto"/>
                <w:sz w:val="24"/>
                <w:szCs w:val="24"/>
                <w:highlight w:val="none"/>
              </w:rPr>
            </w:pPr>
          </w:p>
          <w:p w14:paraId="0C812D91">
            <w:pPr>
              <w:spacing w:line="420" w:lineRule="exact"/>
              <w:ind w:firstLine="480" w:firstLineChars="200"/>
              <w:rPr>
                <w:rFonts w:hint="eastAsia" w:ascii="仿宋_GB2312" w:hAnsi="仿宋_GB2312" w:eastAsia="仿宋_GB2312" w:cs="仿宋_GB2312"/>
                <w:color w:val="auto"/>
                <w:sz w:val="24"/>
                <w:szCs w:val="24"/>
                <w:highlight w:val="none"/>
              </w:rPr>
            </w:pPr>
          </w:p>
          <w:p w14:paraId="6456C919">
            <w:pPr>
              <w:spacing w:line="420" w:lineRule="exact"/>
              <w:ind w:firstLine="480" w:firstLineChars="200"/>
              <w:rPr>
                <w:rFonts w:hint="eastAsia" w:ascii="仿宋_GB2312" w:hAnsi="仿宋_GB2312" w:eastAsia="仿宋_GB2312" w:cs="仿宋_GB2312"/>
                <w:color w:val="auto"/>
                <w:sz w:val="24"/>
                <w:szCs w:val="24"/>
                <w:highlight w:val="none"/>
              </w:rPr>
            </w:pPr>
          </w:p>
          <w:p w14:paraId="4837C643">
            <w:pPr>
              <w:spacing w:line="420" w:lineRule="exact"/>
              <w:ind w:left="-108" w:firstLine="590"/>
              <w:rPr>
                <w:rFonts w:hint="eastAsia" w:ascii="仿宋_GB2312" w:hAnsi="仿宋_GB2312" w:eastAsia="仿宋_GB2312" w:cs="仿宋_GB2312"/>
                <w:color w:val="auto"/>
                <w:sz w:val="24"/>
                <w:szCs w:val="24"/>
                <w:highlight w:val="none"/>
              </w:rPr>
            </w:pPr>
          </w:p>
          <w:p w14:paraId="0A3DD006">
            <w:pPr>
              <w:spacing w:line="420" w:lineRule="exact"/>
              <w:ind w:left="-108" w:firstLine="590"/>
              <w:rPr>
                <w:rFonts w:hint="eastAsia" w:ascii="仿宋_GB2312" w:hAnsi="仿宋_GB2312" w:eastAsia="仿宋_GB2312" w:cs="仿宋_GB2312"/>
                <w:color w:val="auto"/>
                <w:sz w:val="24"/>
                <w:szCs w:val="24"/>
                <w:highlight w:val="none"/>
              </w:rPr>
            </w:pPr>
          </w:p>
          <w:p w14:paraId="23B405DA">
            <w:pPr>
              <w:spacing w:line="420" w:lineRule="exact"/>
              <w:ind w:left="-108" w:firstLine="590"/>
              <w:rPr>
                <w:rFonts w:hint="eastAsia" w:ascii="仿宋_GB2312" w:hAnsi="仿宋_GB2312" w:eastAsia="仿宋_GB2312" w:cs="仿宋_GB2312"/>
                <w:color w:val="auto"/>
                <w:sz w:val="24"/>
                <w:szCs w:val="24"/>
                <w:highlight w:val="none"/>
              </w:rPr>
            </w:pPr>
          </w:p>
          <w:p w14:paraId="7041EBA2">
            <w:pPr>
              <w:spacing w:line="420" w:lineRule="exact"/>
              <w:ind w:left="-108" w:firstLine="590"/>
              <w:rPr>
                <w:rFonts w:hint="eastAsia" w:ascii="仿宋_GB2312" w:hAnsi="仿宋_GB2312" w:eastAsia="仿宋_GB2312" w:cs="仿宋_GB2312"/>
                <w:color w:val="auto"/>
                <w:sz w:val="24"/>
                <w:szCs w:val="24"/>
                <w:highlight w:val="none"/>
              </w:rPr>
            </w:pPr>
          </w:p>
          <w:p w14:paraId="57D64FA1">
            <w:pPr>
              <w:spacing w:line="420" w:lineRule="exact"/>
              <w:ind w:left="-108" w:firstLine="590"/>
              <w:rPr>
                <w:rFonts w:hint="eastAsia" w:ascii="仿宋_GB2312" w:hAnsi="仿宋_GB2312" w:eastAsia="仿宋_GB2312" w:cs="仿宋_GB2312"/>
                <w:color w:val="auto"/>
                <w:sz w:val="24"/>
                <w:szCs w:val="24"/>
                <w:highlight w:val="none"/>
              </w:rPr>
            </w:pPr>
          </w:p>
          <w:p w14:paraId="4681CFCA">
            <w:pPr>
              <w:spacing w:line="420" w:lineRule="exact"/>
              <w:ind w:left="-108" w:firstLine="590"/>
              <w:rPr>
                <w:rFonts w:hint="eastAsia" w:ascii="仿宋_GB2312" w:hAnsi="仿宋_GB2312" w:eastAsia="仿宋_GB2312" w:cs="仿宋_GB2312"/>
                <w:color w:val="auto"/>
                <w:sz w:val="24"/>
                <w:szCs w:val="24"/>
                <w:highlight w:val="none"/>
              </w:rPr>
            </w:pPr>
          </w:p>
          <w:p w14:paraId="619A2DD3">
            <w:pPr>
              <w:spacing w:line="420" w:lineRule="exact"/>
              <w:ind w:left="-108" w:firstLine="590"/>
              <w:rPr>
                <w:rFonts w:hint="eastAsia" w:ascii="仿宋_GB2312" w:hAnsi="仿宋_GB2312" w:eastAsia="仿宋_GB2312" w:cs="仿宋_GB2312"/>
                <w:color w:val="auto"/>
                <w:sz w:val="24"/>
                <w:szCs w:val="24"/>
                <w:highlight w:val="none"/>
              </w:rPr>
            </w:pPr>
          </w:p>
          <w:p w14:paraId="5AE2ED71">
            <w:pPr>
              <w:spacing w:line="420" w:lineRule="exact"/>
              <w:ind w:left="-108" w:firstLine="590"/>
              <w:rPr>
                <w:rFonts w:hint="eastAsia" w:ascii="仿宋_GB2312" w:hAnsi="仿宋_GB2312" w:eastAsia="仿宋_GB2312" w:cs="仿宋_GB2312"/>
                <w:color w:val="auto"/>
                <w:sz w:val="24"/>
                <w:szCs w:val="24"/>
                <w:highlight w:val="none"/>
              </w:rPr>
            </w:pPr>
          </w:p>
          <w:p w14:paraId="21318546">
            <w:pPr>
              <w:spacing w:line="420" w:lineRule="exact"/>
              <w:rPr>
                <w:rFonts w:hint="eastAsia" w:ascii="仿宋_GB2312" w:hAnsi="仿宋_GB2312" w:eastAsia="仿宋_GB2312" w:cs="仿宋_GB2312"/>
                <w:color w:val="auto"/>
                <w:sz w:val="24"/>
                <w:szCs w:val="24"/>
                <w:highlight w:val="none"/>
              </w:rPr>
            </w:pPr>
          </w:p>
          <w:p w14:paraId="64940BAC">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14:paraId="40AE8805">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14:paraId="095233F7">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64C8095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287C4C21">
      <w:pPr>
        <w:spacing w:before="120" w:beforeLines="50" w:after="120" w:afterLines="50" w:line="420" w:lineRule="exact"/>
        <w:ind w:left="958" w:leftChars="342" w:hanging="240" w:hanging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2．本表一式三份，由承包人填制,并连同发包人、工程造价咨询人（如有）各存一份。</w:t>
      </w:r>
    </w:p>
    <w:p w14:paraId="030FD2D2">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799" w:name="_Toc10625009"/>
      <w:bookmarkStart w:id="800" w:name="_Toc469384165"/>
      <w:bookmarkStart w:id="801" w:name="_Toc266892951"/>
      <w:r>
        <w:rPr>
          <w:rFonts w:hint="eastAsia" w:ascii="黑体" w:hAnsi="黑体" w:eastAsia="黑体" w:cs="黑体"/>
          <w:b w:val="0"/>
          <w:bCs w:val="0"/>
          <w:color w:val="auto"/>
          <w:kern w:val="0"/>
          <w:sz w:val="24"/>
          <w:szCs w:val="24"/>
          <w:highlight w:val="none"/>
        </w:rPr>
        <w:t>格式2</w:t>
      </w:r>
      <w:bookmarkEnd w:id="799"/>
      <w:bookmarkEnd w:id="800"/>
      <w:bookmarkEnd w:id="801"/>
      <w:r>
        <w:rPr>
          <w:rFonts w:hint="eastAsia" w:ascii="黑体" w:hAnsi="黑体" w:eastAsia="黑体" w:cs="黑体"/>
          <w:b w:val="0"/>
          <w:bCs w:val="0"/>
          <w:color w:val="auto"/>
          <w:kern w:val="0"/>
          <w:sz w:val="24"/>
          <w:szCs w:val="24"/>
          <w:highlight w:val="none"/>
        </w:rPr>
        <w:t>4</w:t>
      </w:r>
    </w:p>
    <w:p w14:paraId="04AF2FCD">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已完工程款额报告</w:t>
      </w:r>
    </w:p>
    <w:p w14:paraId="76A0273C">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934" w:type="dxa"/>
        <w:tblInd w:w="-5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17"/>
        <w:gridCol w:w="6217"/>
      </w:tblGrid>
      <w:tr w14:paraId="70B9F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28" w:hRule="atLeast"/>
        </w:trPr>
        <w:tc>
          <w:tcPr>
            <w:tcW w:w="9934" w:type="dxa"/>
            <w:gridSpan w:val="2"/>
            <w:tcBorders>
              <w:bottom w:val="single" w:color="auto" w:sz="4" w:space="0"/>
            </w:tcBorders>
          </w:tcPr>
          <w:p w14:paraId="76B14090">
            <w:pPr>
              <w:spacing w:before="120"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（工程造价咨询人（如有）全称）</w:t>
            </w:r>
          </w:p>
          <w:p w14:paraId="6CBDC2F2">
            <w:pPr>
              <w:spacing w:line="420" w:lineRule="exact"/>
              <w:ind w:left="-27" w:leftChars="-13"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期间,我方按照合同约定和监理工程师的指令，实际已完工程款额为（大写）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），累计已完工程款额（大写）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的规定，现提出已完工程款额报告，请予复核和确认。</w:t>
            </w:r>
          </w:p>
          <w:p w14:paraId="16F31F8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 已完工程款额明细表：</w:t>
            </w:r>
          </w:p>
          <w:p w14:paraId="06BA1A25">
            <w:pPr>
              <w:spacing w:line="420" w:lineRule="exact"/>
              <w:ind w:left="-108" w:firstLine="59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证明材料：</w:t>
            </w:r>
          </w:p>
          <w:p w14:paraId="42363282">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承包人（章）                </w:t>
            </w:r>
          </w:p>
          <w:p w14:paraId="4574C91F">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309087D7">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2D643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3717" w:type="dxa"/>
            <w:tcBorders>
              <w:top w:val="single" w:color="auto" w:sz="4" w:space="0"/>
              <w:bottom w:val="single" w:color="auto" w:sz="4" w:space="0"/>
              <w:right w:val="single" w:color="auto" w:sz="4" w:space="0"/>
            </w:tcBorders>
          </w:tcPr>
          <w:p w14:paraId="156AE71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14:paraId="56EA10AE">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□与实际施工情况不相符，修改意见见附件；</w:t>
            </w:r>
          </w:p>
          <w:p w14:paraId="1FEFAABD">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□与实际施工情况相符，具体金额由造价工程师复核。</w:t>
            </w:r>
          </w:p>
          <w:p w14:paraId="0DAEEAD9">
            <w:pPr>
              <w:spacing w:line="420" w:lineRule="exact"/>
              <w:ind w:firstLine="480" w:firstLineChars="200"/>
              <w:rPr>
                <w:rFonts w:hint="eastAsia" w:ascii="仿宋_GB2312" w:hAnsi="仿宋_GB2312" w:eastAsia="仿宋_GB2312" w:cs="仿宋_GB2312"/>
                <w:color w:val="auto"/>
                <w:sz w:val="24"/>
                <w:szCs w:val="24"/>
                <w:highlight w:val="none"/>
              </w:rPr>
            </w:pPr>
          </w:p>
          <w:p w14:paraId="3DA30090">
            <w:pPr>
              <w:spacing w:line="420" w:lineRule="exact"/>
              <w:ind w:firstLine="1680" w:firstLineChars="7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监理人（章）   </w:t>
            </w:r>
          </w:p>
          <w:p w14:paraId="4456C136">
            <w:pPr>
              <w:spacing w:line="420" w:lineRule="exact"/>
              <w:ind w:firstLine="1680" w:firstLineChars="7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监理工程师</w:t>
            </w:r>
            <w:r>
              <w:rPr>
                <w:rFonts w:hint="eastAsia" w:ascii="仿宋_GB2312" w:hAnsi="仿宋_GB2312" w:eastAsia="仿宋_GB2312" w:cs="仿宋_GB2312"/>
                <w:color w:val="auto"/>
                <w:sz w:val="24"/>
                <w:szCs w:val="24"/>
                <w:highlight w:val="none"/>
                <w:u w:val="single"/>
              </w:rPr>
              <w:t xml:space="preserve">          </w:t>
            </w:r>
          </w:p>
          <w:p w14:paraId="3B6C611E">
            <w:pPr>
              <w:spacing w:line="420" w:lineRule="exact"/>
              <w:ind w:firstLine="1680" w:firstLineChars="7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c>
          <w:tcPr>
            <w:tcW w:w="6217" w:type="dxa"/>
            <w:tcBorders>
              <w:top w:val="single" w:color="auto" w:sz="4" w:space="0"/>
              <w:left w:val="single" w:color="auto" w:sz="4" w:space="0"/>
              <w:bottom w:val="single" w:color="auto" w:sz="4" w:space="0"/>
            </w:tcBorders>
          </w:tcPr>
          <w:p w14:paraId="4758C5F5">
            <w:pPr>
              <w:widowControl/>
              <w:spacing w:line="42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复核意见：</w:t>
            </w:r>
          </w:p>
          <w:p w14:paraId="38739CE6">
            <w:pPr>
              <w:widowControl/>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的规定，经复核你方提出的已完工程款额报告（第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号），截止</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日，实际已完工程款为（大写）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），累计已完工程款额（大写）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w:t>
            </w:r>
          </w:p>
          <w:p w14:paraId="383C5E3C">
            <w:pPr>
              <w:widowControl/>
              <w:spacing w:line="42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附：已完工程款额明细复核表。</w:t>
            </w:r>
          </w:p>
          <w:p w14:paraId="635F310E">
            <w:pPr>
              <w:spacing w:line="420" w:lineRule="exact"/>
              <w:ind w:firstLine="2380" w:firstLineChars="992"/>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14:paraId="025738AD">
            <w:pPr>
              <w:spacing w:line="420" w:lineRule="exact"/>
              <w:ind w:left="2020" w:leftChars="962" w:firstLine="360" w:firstLineChars="15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14:paraId="4413D732">
            <w:pPr>
              <w:spacing w:line="420" w:lineRule="exact"/>
              <w:ind w:firstLine="2380" w:firstLineChars="99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r w14:paraId="0BA0C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9934" w:type="dxa"/>
            <w:gridSpan w:val="2"/>
            <w:tcBorders>
              <w:top w:val="single" w:color="auto" w:sz="4" w:space="0"/>
            </w:tcBorders>
          </w:tcPr>
          <w:p w14:paraId="28588BC6">
            <w:pPr>
              <w:spacing w:line="420" w:lineRule="exact"/>
              <w:ind w:hanging="3"/>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确认意见：</w:t>
            </w:r>
          </w:p>
          <w:p w14:paraId="13EEF898">
            <w:pPr>
              <w:spacing w:line="420" w:lineRule="exact"/>
              <w:ind w:left="-28" w:firstLine="5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□不同意/□同意。   </w:t>
            </w:r>
          </w:p>
          <w:p w14:paraId="59069006">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　包　人（章）</w:t>
            </w:r>
          </w:p>
          <w:p w14:paraId="7A4AAA75">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发包人代表</w:t>
            </w:r>
            <w:r>
              <w:rPr>
                <w:rFonts w:hint="eastAsia" w:ascii="仿宋_GB2312" w:hAnsi="仿宋_GB2312" w:eastAsia="仿宋_GB2312" w:cs="仿宋_GB2312"/>
                <w:color w:val="auto"/>
                <w:sz w:val="24"/>
                <w:szCs w:val="24"/>
                <w:highlight w:val="none"/>
                <w:u w:val="single"/>
              </w:rPr>
              <w:t xml:space="preserve">                     </w:t>
            </w:r>
          </w:p>
          <w:p w14:paraId="0C393054">
            <w:pPr>
              <w:spacing w:line="420" w:lineRule="exact"/>
              <w:ind w:firstLine="480" w:firstLineChars="2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日   　 期 </w:t>
            </w:r>
            <w:r>
              <w:rPr>
                <w:rFonts w:hint="eastAsia" w:ascii="仿宋_GB2312" w:hAnsi="仿宋_GB2312" w:eastAsia="仿宋_GB2312" w:cs="仿宋_GB2312"/>
                <w:color w:val="auto"/>
                <w:sz w:val="24"/>
                <w:szCs w:val="24"/>
                <w:highlight w:val="none"/>
                <w:u w:val="single"/>
              </w:rPr>
              <w:t xml:space="preserve">                     </w:t>
            </w:r>
          </w:p>
        </w:tc>
      </w:tr>
    </w:tbl>
    <w:p w14:paraId="0B1BBFC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说明：1、在需要选择的栏中的“□”内作标识“√”。</w:t>
      </w:r>
    </w:p>
    <w:p w14:paraId="28622342">
      <w:pPr>
        <w:spacing w:line="420" w:lineRule="exact"/>
        <w:ind w:left="1078" w:leftChars="342" w:hanging="360" w:hangingChars="150"/>
        <w:rPr>
          <w:rFonts w:ascii="宋体" w:hAnsi="宋体" w:cs="宋体"/>
          <w:color w:val="auto"/>
          <w:sz w:val="22"/>
          <w:szCs w:val="22"/>
          <w:highlight w:val="none"/>
        </w:rPr>
      </w:pPr>
      <w:r>
        <w:rPr>
          <w:rFonts w:hint="eastAsia" w:ascii="仿宋_GB2312" w:hAnsi="仿宋_GB2312" w:eastAsia="仿宋_GB2312" w:cs="仿宋_GB2312"/>
          <w:color w:val="auto"/>
          <w:sz w:val="24"/>
          <w:szCs w:val="24"/>
          <w:highlight w:val="none"/>
        </w:rPr>
        <w:t>2、本表一式五份，由承包人、监理人、工程造价咨询人（如有）、发包人按合同规定程序填制，发包人存二份，其他各存一份。</w:t>
      </w:r>
    </w:p>
    <w:p w14:paraId="6F75C778">
      <w:pPr>
        <w:widowControl/>
        <w:spacing w:line="420" w:lineRule="exact"/>
        <w:jc w:val="left"/>
        <w:rPr>
          <w:rFonts w:ascii="宋体" w:hAnsi="宋体" w:cs="宋体"/>
          <w:color w:val="auto"/>
          <w:kern w:val="0"/>
          <w:sz w:val="22"/>
          <w:szCs w:val="22"/>
          <w:highlight w:val="none"/>
        </w:rPr>
        <w:sectPr>
          <w:endnotePr>
            <w:numFmt w:val="decimal"/>
          </w:endnotePr>
          <w:pgSz w:w="11905" w:h="16838"/>
          <w:pgMar w:top="1247" w:right="1417" w:bottom="1134" w:left="1417"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p>
    <w:p w14:paraId="73655A7A">
      <w:pPr>
        <w:spacing w:before="240" w:beforeLines="100" w:after="240" w:afterLines="100" w:line="420" w:lineRule="exact"/>
        <w:outlineLvl w:val="1"/>
        <w:rPr>
          <w:rFonts w:hint="eastAsia" w:ascii="黑体" w:hAnsi="黑体" w:eastAsia="黑体" w:cs="黑体"/>
          <w:b w:val="0"/>
          <w:bCs w:val="0"/>
          <w:color w:val="auto"/>
          <w:kern w:val="0"/>
          <w:sz w:val="24"/>
          <w:szCs w:val="24"/>
          <w:highlight w:val="none"/>
        </w:rPr>
      </w:pPr>
      <w:bookmarkStart w:id="802" w:name="_Toc10625010"/>
      <w:bookmarkStart w:id="803" w:name="_Toc266892952"/>
      <w:bookmarkStart w:id="804" w:name="_Toc469384166"/>
      <w:r>
        <w:rPr>
          <w:rFonts w:hint="eastAsia" w:ascii="黑体" w:hAnsi="黑体" w:eastAsia="黑体" w:cs="黑体"/>
          <w:b w:val="0"/>
          <w:bCs w:val="0"/>
          <w:color w:val="auto"/>
          <w:kern w:val="0"/>
          <w:sz w:val="24"/>
          <w:szCs w:val="24"/>
          <w:highlight w:val="none"/>
        </w:rPr>
        <w:t>格式2</w:t>
      </w:r>
      <w:bookmarkEnd w:id="802"/>
      <w:bookmarkEnd w:id="803"/>
      <w:bookmarkEnd w:id="804"/>
      <w:r>
        <w:rPr>
          <w:rFonts w:hint="eastAsia" w:ascii="黑体" w:hAnsi="黑体" w:eastAsia="黑体" w:cs="黑体"/>
          <w:b w:val="0"/>
          <w:bCs w:val="0"/>
          <w:color w:val="auto"/>
          <w:kern w:val="0"/>
          <w:sz w:val="24"/>
          <w:szCs w:val="24"/>
          <w:highlight w:val="none"/>
        </w:rPr>
        <w:t>5</w:t>
      </w:r>
    </w:p>
    <w:p w14:paraId="6EC9FCA5">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已完工程款额明细表</w:t>
      </w:r>
    </w:p>
    <w:p w14:paraId="26517026">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                                              编号：                       截止日期：</w:t>
      </w:r>
    </w:p>
    <w:tbl>
      <w:tblPr>
        <w:tblStyle w:val="18"/>
        <w:tblW w:w="14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6BC0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14:paraId="30647DC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923" w:type="dxa"/>
            <w:vMerge w:val="restart"/>
            <w:vAlign w:val="center"/>
          </w:tcPr>
          <w:p w14:paraId="12D02D0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p w14:paraId="34C8354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编码</w:t>
            </w:r>
          </w:p>
        </w:tc>
        <w:tc>
          <w:tcPr>
            <w:tcW w:w="1639" w:type="dxa"/>
            <w:vMerge w:val="restart"/>
            <w:vAlign w:val="center"/>
          </w:tcPr>
          <w:p w14:paraId="64E535F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2550" w:type="dxa"/>
            <w:vMerge w:val="restart"/>
            <w:vAlign w:val="center"/>
          </w:tcPr>
          <w:p w14:paraId="16C63FE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单位</w:t>
            </w:r>
          </w:p>
        </w:tc>
        <w:tc>
          <w:tcPr>
            <w:tcW w:w="956" w:type="dxa"/>
            <w:vMerge w:val="restart"/>
            <w:vAlign w:val="center"/>
          </w:tcPr>
          <w:p w14:paraId="3FB2D3F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清单</w:t>
            </w:r>
          </w:p>
          <w:p w14:paraId="63B76A4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2669" w:type="dxa"/>
            <w:gridSpan w:val="3"/>
            <w:vAlign w:val="center"/>
          </w:tcPr>
          <w:p w14:paraId="611AF5F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项目单价（元）</w:t>
            </w:r>
          </w:p>
        </w:tc>
        <w:tc>
          <w:tcPr>
            <w:tcW w:w="1715" w:type="dxa"/>
            <w:gridSpan w:val="2"/>
            <w:vAlign w:val="center"/>
          </w:tcPr>
          <w:p w14:paraId="0FB52FB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上期末累计</w:t>
            </w:r>
          </w:p>
        </w:tc>
        <w:tc>
          <w:tcPr>
            <w:tcW w:w="1740" w:type="dxa"/>
            <w:gridSpan w:val="2"/>
            <w:vAlign w:val="center"/>
          </w:tcPr>
          <w:p w14:paraId="4D32830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w:t>
            </w:r>
          </w:p>
        </w:tc>
        <w:tc>
          <w:tcPr>
            <w:tcW w:w="1722" w:type="dxa"/>
            <w:gridSpan w:val="2"/>
            <w:vAlign w:val="center"/>
          </w:tcPr>
          <w:p w14:paraId="0020983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本期末累计</w:t>
            </w:r>
          </w:p>
        </w:tc>
      </w:tr>
      <w:tr w14:paraId="2E4D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14:paraId="63B76ECE">
            <w:pPr>
              <w:widowControl/>
              <w:spacing w:line="420" w:lineRule="exact"/>
              <w:jc w:val="left"/>
              <w:rPr>
                <w:rFonts w:hint="eastAsia" w:ascii="仿宋_GB2312" w:hAnsi="仿宋_GB2312" w:eastAsia="仿宋_GB2312" w:cs="仿宋_GB2312"/>
                <w:color w:val="auto"/>
                <w:sz w:val="24"/>
                <w:szCs w:val="24"/>
                <w:highlight w:val="none"/>
              </w:rPr>
            </w:pPr>
          </w:p>
        </w:tc>
        <w:tc>
          <w:tcPr>
            <w:tcW w:w="923" w:type="dxa"/>
            <w:vMerge w:val="continue"/>
            <w:vAlign w:val="center"/>
          </w:tcPr>
          <w:p w14:paraId="4DDF500B">
            <w:pPr>
              <w:widowControl/>
              <w:spacing w:line="420" w:lineRule="exact"/>
              <w:jc w:val="left"/>
              <w:rPr>
                <w:rFonts w:hint="eastAsia" w:ascii="仿宋_GB2312" w:hAnsi="仿宋_GB2312" w:eastAsia="仿宋_GB2312" w:cs="仿宋_GB2312"/>
                <w:color w:val="auto"/>
                <w:sz w:val="24"/>
                <w:szCs w:val="24"/>
                <w:highlight w:val="none"/>
              </w:rPr>
            </w:pPr>
          </w:p>
        </w:tc>
        <w:tc>
          <w:tcPr>
            <w:tcW w:w="1639" w:type="dxa"/>
            <w:vMerge w:val="continue"/>
            <w:vAlign w:val="center"/>
          </w:tcPr>
          <w:p w14:paraId="738D9799">
            <w:pPr>
              <w:widowControl/>
              <w:spacing w:line="420" w:lineRule="exact"/>
              <w:jc w:val="left"/>
              <w:rPr>
                <w:rFonts w:hint="eastAsia" w:ascii="仿宋_GB2312" w:hAnsi="仿宋_GB2312" w:eastAsia="仿宋_GB2312" w:cs="仿宋_GB2312"/>
                <w:color w:val="auto"/>
                <w:sz w:val="24"/>
                <w:szCs w:val="24"/>
                <w:highlight w:val="none"/>
              </w:rPr>
            </w:pPr>
          </w:p>
        </w:tc>
        <w:tc>
          <w:tcPr>
            <w:tcW w:w="2550" w:type="dxa"/>
            <w:vMerge w:val="continue"/>
            <w:vAlign w:val="center"/>
          </w:tcPr>
          <w:p w14:paraId="4859F33E">
            <w:pPr>
              <w:widowControl/>
              <w:spacing w:line="420" w:lineRule="exact"/>
              <w:jc w:val="left"/>
              <w:rPr>
                <w:rFonts w:hint="eastAsia" w:ascii="仿宋_GB2312" w:hAnsi="仿宋_GB2312" w:eastAsia="仿宋_GB2312" w:cs="仿宋_GB2312"/>
                <w:color w:val="auto"/>
                <w:sz w:val="24"/>
                <w:szCs w:val="24"/>
                <w:highlight w:val="none"/>
              </w:rPr>
            </w:pPr>
          </w:p>
        </w:tc>
        <w:tc>
          <w:tcPr>
            <w:tcW w:w="956" w:type="dxa"/>
            <w:vMerge w:val="continue"/>
            <w:vAlign w:val="center"/>
          </w:tcPr>
          <w:p w14:paraId="242DCA71">
            <w:pPr>
              <w:widowControl/>
              <w:spacing w:line="420" w:lineRule="exact"/>
              <w:jc w:val="left"/>
              <w:rPr>
                <w:rFonts w:hint="eastAsia" w:ascii="仿宋_GB2312" w:hAnsi="仿宋_GB2312" w:eastAsia="仿宋_GB2312" w:cs="仿宋_GB2312"/>
                <w:color w:val="auto"/>
                <w:sz w:val="24"/>
                <w:szCs w:val="24"/>
                <w:highlight w:val="none"/>
              </w:rPr>
            </w:pPr>
          </w:p>
        </w:tc>
        <w:tc>
          <w:tcPr>
            <w:tcW w:w="859" w:type="dxa"/>
            <w:vAlign w:val="center"/>
          </w:tcPr>
          <w:p w14:paraId="767C968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w:t>
            </w:r>
          </w:p>
          <w:p w14:paraId="437DF9B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单价</w:t>
            </w:r>
          </w:p>
          <w:p w14:paraId="1AC50B8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0" w:type="dxa"/>
            <w:vAlign w:val="center"/>
          </w:tcPr>
          <w:p w14:paraId="6F6AC2A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规费和</w:t>
            </w:r>
          </w:p>
          <w:p w14:paraId="5E6DD20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税金</w:t>
            </w:r>
          </w:p>
          <w:p w14:paraId="4E46C25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60" w:type="dxa"/>
            <w:vAlign w:val="center"/>
          </w:tcPr>
          <w:p w14:paraId="67CBE71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p w14:paraId="4030F4D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50" w:type="dxa"/>
            <w:vAlign w:val="center"/>
          </w:tcPr>
          <w:p w14:paraId="76EC805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已完</w:t>
            </w:r>
          </w:p>
          <w:p w14:paraId="464DBB3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65" w:type="dxa"/>
            <w:vAlign w:val="center"/>
          </w:tcPr>
          <w:p w14:paraId="1ACE240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p w14:paraId="6617205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48" w:type="dxa"/>
            <w:vAlign w:val="center"/>
          </w:tcPr>
          <w:p w14:paraId="2074679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完成</w:t>
            </w:r>
          </w:p>
          <w:p w14:paraId="30A1062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92" w:type="dxa"/>
            <w:vAlign w:val="center"/>
          </w:tcPr>
          <w:p w14:paraId="1BA7FA2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合价</w:t>
            </w:r>
          </w:p>
          <w:p w14:paraId="630A51C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862" w:type="dxa"/>
            <w:vAlign w:val="center"/>
          </w:tcPr>
          <w:p w14:paraId="294605F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已完</w:t>
            </w:r>
          </w:p>
          <w:p w14:paraId="3A31E53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工程量</w:t>
            </w:r>
          </w:p>
        </w:tc>
        <w:tc>
          <w:tcPr>
            <w:tcW w:w="860" w:type="dxa"/>
            <w:vAlign w:val="center"/>
          </w:tcPr>
          <w:p w14:paraId="3FBC161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合价</w:t>
            </w:r>
          </w:p>
          <w:p w14:paraId="397D5CCB">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r>
      <w:tr w14:paraId="05A1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04725B37">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408599D1">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22E9DB45">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23C45EDD">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4C49D9C6">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7B3E0745">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587C9227">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17C6D4F1">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42CD7F4E">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5C56B7C3">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42C9D3CC">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3D294785">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2A015765">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5EF5049D">
            <w:pPr>
              <w:spacing w:line="420" w:lineRule="exact"/>
              <w:jc w:val="center"/>
              <w:rPr>
                <w:rFonts w:hint="eastAsia" w:ascii="仿宋_GB2312" w:hAnsi="仿宋_GB2312" w:eastAsia="仿宋_GB2312" w:cs="仿宋_GB2312"/>
                <w:color w:val="auto"/>
                <w:sz w:val="24"/>
                <w:szCs w:val="24"/>
                <w:highlight w:val="none"/>
              </w:rPr>
            </w:pPr>
          </w:p>
        </w:tc>
      </w:tr>
      <w:tr w14:paraId="2661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A4FEE6A">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5FFCF630">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14D3BB8A">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53AFB5A6">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217E1D60">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453E8199">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14FA4D2F">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200761CD">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42455FA6">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1BC8C066">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47B8FA2D">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737D385D">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596B04CC">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61A5C481">
            <w:pPr>
              <w:spacing w:line="420" w:lineRule="exact"/>
              <w:jc w:val="center"/>
              <w:rPr>
                <w:rFonts w:hint="eastAsia" w:ascii="仿宋_GB2312" w:hAnsi="仿宋_GB2312" w:eastAsia="仿宋_GB2312" w:cs="仿宋_GB2312"/>
                <w:color w:val="auto"/>
                <w:sz w:val="24"/>
                <w:szCs w:val="24"/>
                <w:highlight w:val="none"/>
              </w:rPr>
            </w:pPr>
          </w:p>
        </w:tc>
      </w:tr>
      <w:tr w14:paraId="53BB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58FA07F">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1FF70555">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126E0BE0">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7256B591">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6538DCC9">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3EB2B3A0">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7D7CBE30">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5769AA09">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6D57341F">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1EFD262F">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21C29C29">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4E259EB6">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3BAA4AAA">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633F07DE">
            <w:pPr>
              <w:spacing w:line="420" w:lineRule="exact"/>
              <w:jc w:val="center"/>
              <w:rPr>
                <w:rFonts w:hint="eastAsia" w:ascii="仿宋_GB2312" w:hAnsi="仿宋_GB2312" w:eastAsia="仿宋_GB2312" w:cs="仿宋_GB2312"/>
                <w:color w:val="auto"/>
                <w:sz w:val="24"/>
                <w:szCs w:val="24"/>
                <w:highlight w:val="none"/>
              </w:rPr>
            </w:pPr>
          </w:p>
        </w:tc>
      </w:tr>
      <w:tr w14:paraId="3A93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4369B0C">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37A12FC0">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782D77C3">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31991DEC">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21323628">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18FDBBEA">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2C9778C0">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408BF2DC">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65DC12F8">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49124B87">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4C52DD52">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03999B3A">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5B5621EA">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4FD28633">
            <w:pPr>
              <w:spacing w:line="420" w:lineRule="exact"/>
              <w:jc w:val="center"/>
              <w:rPr>
                <w:rFonts w:hint="eastAsia" w:ascii="仿宋_GB2312" w:hAnsi="仿宋_GB2312" w:eastAsia="仿宋_GB2312" w:cs="仿宋_GB2312"/>
                <w:color w:val="auto"/>
                <w:sz w:val="24"/>
                <w:szCs w:val="24"/>
                <w:highlight w:val="none"/>
              </w:rPr>
            </w:pPr>
          </w:p>
        </w:tc>
      </w:tr>
      <w:tr w14:paraId="18B7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5BA2D9E">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59840D9C">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77269795">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72D8373D">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41921B50">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0E65A559">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0AE90F4D">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15F16AC3">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3B9490E0">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749D1822">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391F1E3D">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6B12B65F">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1EF615EE">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2D0EECDF">
            <w:pPr>
              <w:spacing w:line="420" w:lineRule="exact"/>
              <w:jc w:val="center"/>
              <w:rPr>
                <w:rFonts w:hint="eastAsia" w:ascii="仿宋_GB2312" w:hAnsi="仿宋_GB2312" w:eastAsia="仿宋_GB2312" w:cs="仿宋_GB2312"/>
                <w:color w:val="auto"/>
                <w:sz w:val="24"/>
                <w:szCs w:val="24"/>
                <w:highlight w:val="none"/>
              </w:rPr>
            </w:pPr>
          </w:p>
        </w:tc>
      </w:tr>
      <w:tr w14:paraId="2B80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2A6AC94">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7ADEED05">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22AC6750">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6482B978">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2AA00CA5">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06920206">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571DB311">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2D06C0EF">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7234118A">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43097A7E">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53BAE560">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174C1A91">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0E006617">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43DB042B">
            <w:pPr>
              <w:spacing w:line="420" w:lineRule="exact"/>
              <w:jc w:val="center"/>
              <w:rPr>
                <w:rFonts w:hint="eastAsia" w:ascii="仿宋_GB2312" w:hAnsi="仿宋_GB2312" w:eastAsia="仿宋_GB2312" w:cs="仿宋_GB2312"/>
                <w:color w:val="auto"/>
                <w:sz w:val="24"/>
                <w:szCs w:val="24"/>
                <w:highlight w:val="none"/>
              </w:rPr>
            </w:pPr>
          </w:p>
        </w:tc>
      </w:tr>
      <w:tr w14:paraId="7545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exact"/>
          <w:jc w:val="center"/>
        </w:trPr>
        <w:tc>
          <w:tcPr>
            <w:tcW w:w="741" w:type="dxa"/>
            <w:vAlign w:val="center"/>
          </w:tcPr>
          <w:p w14:paraId="61C1A628">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23E5C1D4">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2D410548">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18A38941">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3D039FA3">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5458D727">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5A06E1A8">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4CD6B8CF">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701033DB">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7C2A2D2C">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2C07BB90">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6505A40A">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6DF505FA">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590D3BF7">
            <w:pPr>
              <w:spacing w:line="420" w:lineRule="exact"/>
              <w:jc w:val="center"/>
              <w:rPr>
                <w:rFonts w:hint="eastAsia" w:ascii="仿宋_GB2312" w:hAnsi="仿宋_GB2312" w:eastAsia="仿宋_GB2312" w:cs="仿宋_GB2312"/>
                <w:color w:val="auto"/>
                <w:sz w:val="24"/>
                <w:szCs w:val="24"/>
                <w:highlight w:val="none"/>
              </w:rPr>
            </w:pPr>
          </w:p>
        </w:tc>
      </w:tr>
      <w:tr w14:paraId="76FD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1B287B2">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49AFC900">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4FF0D4A4">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2371872F">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3B8E9ECD">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41212493">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5116AC0B">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7018A520">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1C6AFF4D">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11AF2BC5">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19F042FD">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50B61B86">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7724BDE6">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3B3AF9A5">
            <w:pPr>
              <w:spacing w:line="420" w:lineRule="exact"/>
              <w:jc w:val="center"/>
              <w:rPr>
                <w:rFonts w:hint="eastAsia" w:ascii="仿宋_GB2312" w:hAnsi="仿宋_GB2312" w:eastAsia="仿宋_GB2312" w:cs="仿宋_GB2312"/>
                <w:color w:val="auto"/>
                <w:sz w:val="24"/>
                <w:szCs w:val="24"/>
                <w:highlight w:val="none"/>
              </w:rPr>
            </w:pPr>
          </w:p>
        </w:tc>
      </w:tr>
      <w:tr w14:paraId="67E3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exact"/>
          <w:jc w:val="center"/>
        </w:trPr>
        <w:tc>
          <w:tcPr>
            <w:tcW w:w="741" w:type="dxa"/>
            <w:vAlign w:val="center"/>
          </w:tcPr>
          <w:p w14:paraId="207AB7D2">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7FB83E55">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58DD7957">
            <w:pPr>
              <w:spacing w:line="420" w:lineRule="exact"/>
              <w:jc w:val="center"/>
              <w:rPr>
                <w:rFonts w:hint="eastAsia" w:ascii="仿宋_GB2312" w:hAnsi="仿宋_GB2312" w:eastAsia="仿宋_GB2312" w:cs="仿宋_GB2312"/>
                <w:color w:val="auto"/>
                <w:sz w:val="24"/>
                <w:szCs w:val="24"/>
                <w:highlight w:val="none"/>
              </w:rPr>
            </w:pPr>
          </w:p>
        </w:tc>
        <w:tc>
          <w:tcPr>
            <w:tcW w:w="2550" w:type="dxa"/>
            <w:vAlign w:val="center"/>
          </w:tcPr>
          <w:p w14:paraId="36944DC0">
            <w:pPr>
              <w:spacing w:line="420" w:lineRule="exact"/>
              <w:jc w:val="center"/>
              <w:rPr>
                <w:rFonts w:hint="eastAsia" w:ascii="仿宋_GB2312" w:hAnsi="仿宋_GB2312" w:eastAsia="仿宋_GB2312" w:cs="仿宋_GB2312"/>
                <w:color w:val="auto"/>
                <w:sz w:val="24"/>
                <w:szCs w:val="24"/>
                <w:highlight w:val="none"/>
              </w:rPr>
            </w:pPr>
          </w:p>
        </w:tc>
        <w:tc>
          <w:tcPr>
            <w:tcW w:w="956" w:type="dxa"/>
            <w:vAlign w:val="center"/>
          </w:tcPr>
          <w:p w14:paraId="711AC57A">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61964468">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080D01F0">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790B5B6B">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5B2F1ED7">
            <w:pPr>
              <w:spacing w:line="420" w:lineRule="exact"/>
              <w:jc w:val="center"/>
              <w:rPr>
                <w:rFonts w:hint="eastAsia" w:ascii="仿宋_GB2312" w:hAnsi="仿宋_GB2312" w:eastAsia="仿宋_GB2312" w:cs="仿宋_GB2312"/>
                <w:color w:val="auto"/>
                <w:sz w:val="24"/>
                <w:szCs w:val="24"/>
                <w:highlight w:val="none"/>
              </w:rPr>
            </w:pPr>
          </w:p>
        </w:tc>
        <w:tc>
          <w:tcPr>
            <w:tcW w:w="865" w:type="dxa"/>
            <w:vAlign w:val="center"/>
          </w:tcPr>
          <w:p w14:paraId="2BD6BF66">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31421E68">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6A865C9B">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594E30C2">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230DC539">
            <w:pPr>
              <w:spacing w:line="420" w:lineRule="exact"/>
              <w:jc w:val="center"/>
              <w:rPr>
                <w:rFonts w:hint="eastAsia" w:ascii="仿宋_GB2312" w:hAnsi="仿宋_GB2312" w:eastAsia="仿宋_GB2312" w:cs="仿宋_GB2312"/>
                <w:color w:val="auto"/>
                <w:sz w:val="24"/>
                <w:szCs w:val="24"/>
                <w:highlight w:val="none"/>
              </w:rPr>
            </w:pPr>
          </w:p>
        </w:tc>
      </w:tr>
      <w:tr w14:paraId="3BDB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37E73DC4">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0A1E4747">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248F576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本页小计</w:t>
            </w:r>
          </w:p>
        </w:tc>
        <w:tc>
          <w:tcPr>
            <w:tcW w:w="2550" w:type="dxa"/>
            <w:vAlign w:val="center"/>
          </w:tcPr>
          <w:p w14:paraId="1E6AF6D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6" w:type="dxa"/>
            <w:vAlign w:val="center"/>
          </w:tcPr>
          <w:p w14:paraId="6746AE7E">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394ED123">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69590B63">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18707ADD">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5FF6B5DE">
            <w:pPr>
              <w:spacing w:line="420" w:lineRule="exact"/>
              <w:jc w:val="center"/>
              <w:rPr>
                <w:rFonts w:hint="eastAsia" w:ascii="仿宋_GB2312" w:hAnsi="仿宋_GB2312" w:eastAsia="仿宋_GB2312" w:cs="仿宋_GB2312"/>
                <w:color w:val="auto"/>
                <w:sz w:val="24"/>
                <w:szCs w:val="24"/>
                <w:highlight w:val="none"/>
              </w:rPr>
            </w:pPr>
          </w:p>
        </w:tc>
        <w:tc>
          <w:tcPr>
            <w:tcW w:w="865" w:type="dxa"/>
          </w:tcPr>
          <w:p w14:paraId="0C31A765">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65377844">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6AD209E1">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5EC00FA4">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3C5E074A">
            <w:pPr>
              <w:spacing w:line="420" w:lineRule="exact"/>
              <w:jc w:val="center"/>
              <w:rPr>
                <w:rFonts w:hint="eastAsia" w:ascii="仿宋_GB2312" w:hAnsi="仿宋_GB2312" w:eastAsia="仿宋_GB2312" w:cs="仿宋_GB2312"/>
                <w:color w:val="auto"/>
                <w:sz w:val="24"/>
                <w:szCs w:val="24"/>
                <w:highlight w:val="none"/>
              </w:rPr>
            </w:pPr>
          </w:p>
        </w:tc>
      </w:tr>
      <w:tr w14:paraId="2E77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31D2F124">
            <w:pPr>
              <w:spacing w:line="420" w:lineRule="exact"/>
              <w:jc w:val="center"/>
              <w:rPr>
                <w:rFonts w:hint="eastAsia" w:ascii="仿宋_GB2312" w:hAnsi="仿宋_GB2312" w:eastAsia="仿宋_GB2312" w:cs="仿宋_GB2312"/>
                <w:color w:val="auto"/>
                <w:sz w:val="24"/>
                <w:szCs w:val="24"/>
                <w:highlight w:val="none"/>
              </w:rPr>
            </w:pPr>
          </w:p>
        </w:tc>
        <w:tc>
          <w:tcPr>
            <w:tcW w:w="923" w:type="dxa"/>
            <w:vAlign w:val="center"/>
          </w:tcPr>
          <w:p w14:paraId="6F82F0FF">
            <w:pPr>
              <w:spacing w:line="420" w:lineRule="exact"/>
              <w:jc w:val="center"/>
              <w:rPr>
                <w:rFonts w:hint="eastAsia" w:ascii="仿宋_GB2312" w:hAnsi="仿宋_GB2312" w:eastAsia="仿宋_GB2312" w:cs="仿宋_GB2312"/>
                <w:color w:val="auto"/>
                <w:sz w:val="24"/>
                <w:szCs w:val="24"/>
                <w:highlight w:val="none"/>
              </w:rPr>
            </w:pPr>
          </w:p>
        </w:tc>
        <w:tc>
          <w:tcPr>
            <w:tcW w:w="1639" w:type="dxa"/>
            <w:vAlign w:val="center"/>
          </w:tcPr>
          <w:p w14:paraId="476CCC8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2550" w:type="dxa"/>
            <w:vAlign w:val="center"/>
          </w:tcPr>
          <w:p w14:paraId="6C1A1A8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元</w:t>
            </w:r>
          </w:p>
        </w:tc>
        <w:tc>
          <w:tcPr>
            <w:tcW w:w="956" w:type="dxa"/>
            <w:vAlign w:val="center"/>
          </w:tcPr>
          <w:p w14:paraId="5106D348">
            <w:pPr>
              <w:spacing w:line="420" w:lineRule="exact"/>
              <w:jc w:val="center"/>
              <w:rPr>
                <w:rFonts w:hint="eastAsia" w:ascii="仿宋_GB2312" w:hAnsi="仿宋_GB2312" w:eastAsia="仿宋_GB2312" w:cs="仿宋_GB2312"/>
                <w:color w:val="auto"/>
                <w:sz w:val="24"/>
                <w:szCs w:val="24"/>
                <w:highlight w:val="none"/>
              </w:rPr>
            </w:pPr>
          </w:p>
        </w:tc>
        <w:tc>
          <w:tcPr>
            <w:tcW w:w="859" w:type="dxa"/>
            <w:vAlign w:val="center"/>
          </w:tcPr>
          <w:p w14:paraId="479F77FE">
            <w:pPr>
              <w:spacing w:line="420" w:lineRule="exact"/>
              <w:jc w:val="center"/>
              <w:rPr>
                <w:rFonts w:hint="eastAsia" w:ascii="仿宋_GB2312" w:hAnsi="仿宋_GB2312" w:eastAsia="仿宋_GB2312" w:cs="仿宋_GB2312"/>
                <w:color w:val="auto"/>
                <w:sz w:val="24"/>
                <w:szCs w:val="24"/>
                <w:highlight w:val="none"/>
              </w:rPr>
            </w:pPr>
          </w:p>
        </w:tc>
        <w:tc>
          <w:tcPr>
            <w:tcW w:w="950" w:type="dxa"/>
            <w:vAlign w:val="center"/>
          </w:tcPr>
          <w:p w14:paraId="74D1BE9B">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3D4852C4">
            <w:pPr>
              <w:spacing w:line="420" w:lineRule="exact"/>
              <w:jc w:val="center"/>
              <w:rPr>
                <w:rFonts w:hint="eastAsia" w:ascii="仿宋_GB2312" w:hAnsi="仿宋_GB2312" w:eastAsia="仿宋_GB2312" w:cs="仿宋_GB2312"/>
                <w:color w:val="auto"/>
                <w:sz w:val="24"/>
                <w:szCs w:val="24"/>
                <w:highlight w:val="none"/>
              </w:rPr>
            </w:pPr>
          </w:p>
        </w:tc>
        <w:tc>
          <w:tcPr>
            <w:tcW w:w="850" w:type="dxa"/>
            <w:vAlign w:val="center"/>
          </w:tcPr>
          <w:p w14:paraId="69A2ADF2">
            <w:pPr>
              <w:spacing w:line="420" w:lineRule="exact"/>
              <w:jc w:val="center"/>
              <w:rPr>
                <w:rFonts w:hint="eastAsia" w:ascii="仿宋_GB2312" w:hAnsi="仿宋_GB2312" w:eastAsia="仿宋_GB2312" w:cs="仿宋_GB2312"/>
                <w:color w:val="auto"/>
                <w:sz w:val="24"/>
                <w:szCs w:val="24"/>
                <w:highlight w:val="none"/>
              </w:rPr>
            </w:pPr>
          </w:p>
        </w:tc>
        <w:tc>
          <w:tcPr>
            <w:tcW w:w="865" w:type="dxa"/>
          </w:tcPr>
          <w:p w14:paraId="5205978E">
            <w:pPr>
              <w:spacing w:line="420" w:lineRule="exact"/>
              <w:jc w:val="center"/>
              <w:rPr>
                <w:rFonts w:hint="eastAsia" w:ascii="仿宋_GB2312" w:hAnsi="仿宋_GB2312" w:eastAsia="仿宋_GB2312" w:cs="仿宋_GB2312"/>
                <w:color w:val="auto"/>
                <w:sz w:val="24"/>
                <w:szCs w:val="24"/>
                <w:highlight w:val="none"/>
              </w:rPr>
            </w:pPr>
          </w:p>
        </w:tc>
        <w:tc>
          <w:tcPr>
            <w:tcW w:w="848" w:type="dxa"/>
            <w:vAlign w:val="center"/>
          </w:tcPr>
          <w:p w14:paraId="7F8CFD5F">
            <w:pPr>
              <w:spacing w:line="420" w:lineRule="exact"/>
              <w:jc w:val="center"/>
              <w:rPr>
                <w:rFonts w:hint="eastAsia" w:ascii="仿宋_GB2312" w:hAnsi="仿宋_GB2312" w:eastAsia="仿宋_GB2312" w:cs="仿宋_GB2312"/>
                <w:color w:val="auto"/>
                <w:sz w:val="24"/>
                <w:szCs w:val="24"/>
                <w:highlight w:val="none"/>
              </w:rPr>
            </w:pPr>
          </w:p>
        </w:tc>
        <w:tc>
          <w:tcPr>
            <w:tcW w:w="892" w:type="dxa"/>
            <w:vAlign w:val="center"/>
          </w:tcPr>
          <w:p w14:paraId="67AB6656">
            <w:pPr>
              <w:spacing w:line="420" w:lineRule="exact"/>
              <w:jc w:val="center"/>
              <w:rPr>
                <w:rFonts w:hint="eastAsia" w:ascii="仿宋_GB2312" w:hAnsi="仿宋_GB2312" w:eastAsia="仿宋_GB2312" w:cs="仿宋_GB2312"/>
                <w:color w:val="auto"/>
                <w:sz w:val="24"/>
                <w:szCs w:val="24"/>
                <w:highlight w:val="none"/>
              </w:rPr>
            </w:pPr>
          </w:p>
        </w:tc>
        <w:tc>
          <w:tcPr>
            <w:tcW w:w="862" w:type="dxa"/>
            <w:vAlign w:val="center"/>
          </w:tcPr>
          <w:p w14:paraId="3921F6EA">
            <w:pPr>
              <w:spacing w:line="420" w:lineRule="exact"/>
              <w:jc w:val="center"/>
              <w:rPr>
                <w:rFonts w:hint="eastAsia" w:ascii="仿宋_GB2312" w:hAnsi="仿宋_GB2312" w:eastAsia="仿宋_GB2312" w:cs="仿宋_GB2312"/>
                <w:color w:val="auto"/>
                <w:sz w:val="24"/>
                <w:szCs w:val="24"/>
                <w:highlight w:val="none"/>
              </w:rPr>
            </w:pPr>
          </w:p>
        </w:tc>
        <w:tc>
          <w:tcPr>
            <w:tcW w:w="860" w:type="dxa"/>
            <w:vAlign w:val="center"/>
          </w:tcPr>
          <w:p w14:paraId="616465D8">
            <w:pPr>
              <w:spacing w:line="420" w:lineRule="exact"/>
              <w:jc w:val="center"/>
              <w:rPr>
                <w:rFonts w:hint="eastAsia" w:ascii="仿宋_GB2312" w:hAnsi="仿宋_GB2312" w:eastAsia="仿宋_GB2312" w:cs="仿宋_GB2312"/>
                <w:color w:val="auto"/>
                <w:sz w:val="24"/>
                <w:szCs w:val="24"/>
                <w:highlight w:val="none"/>
              </w:rPr>
            </w:pPr>
          </w:p>
        </w:tc>
      </w:tr>
    </w:tbl>
    <w:p w14:paraId="343C329D">
      <w:pPr>
        <w:spacing w:line="420" w:lineRule="exact"/>
        <w:ind w:firstLine="240" w:firstLineChars="100"/>
        <w:rPr>
          <w:rFonts w:ascii="宋体" w:hAnsi="宋体" w:cs="宋体"/>
          <w:color w:val="auto"/>
          <w:kern w:val="0"/>
          <w:sz w:val="22"/>
          <w:szCs w:val="22"/>
          <w:highlight w:val="none"/>
        </w:rPr>
        <w:sectPr>
          <w:endnotePr>
            <w:numFmt w:val="decimal"/>
          </w:endnotePr>
          <w:pgSz w:w="16838" w:h="11905" w:orient="landscape"/>
          <w:pgMar w:top="1417" w:right="1247" w:bottom="1417" w:left="1134" w:header="850" w:footer="907" w:gutter="0"/>
          <w:pgBorders>
            <w:top w:val="none" w:sz="0" w:space="0"/>
            <w:left w:val="none" w:sz="0" w:space="0"/>
            <w:bottom w:val="none" w:sz="0" w:space="0"/>
            <w:right w:val="none" w:sz="0" w:space="0"/>
          </w:pgBorders>
          <w:pgNumType w:fmt="decimal"/>
          <w:cols w:space="0" w:num="1"/>
          <w:titlePg/>
          <w:rtlGutter w:val="0"/>
          <w:docGrid w:type="lines" w:linePitch="314" w:charSpace="0"/>
        </w:sectPr>
      </w:pPr>
      <w:r>
        <w:rPr>
          <w:rFonts w:hint="eastAsia" w:ascii="仿宋_GB2312" w:hAnsi="仿宋_GB2312" w:eastAsia="仿宋_GB2312" w:cs="仿宋_GB2312"/>
          <w:color w:val="auto"/>
          <w:sz w:val="24"/>
          <w:szCs w:val="24"/>
          <w:highlight w:val="none"/>
        </w:rPr>
        <w:t>编制：                     复核：                     承包人代表：                 日  期：     年   　月   日</w:t>
      </w:r>
    </w:p>
    <w:p w14:paraId="7AC30628">
      <w:pPr>
        <w:spacing w:line="240" w:lineRule="auto"/>
        <w:ind w:firstLine="0" w:firstLineChars="0"/>
        <w:outlineLvl w:val="1"/>
        <w:rPr>
          <w:rFonts w:hint="eastAsia" w:ascii="黑体" w:hAnsi="黑体" w:eastAsia="黑体" w:cs="黑体"/>
          <w:b w:val="0"/>
          <w:bCs w:val="0"/>
          <w:color w:val="auto"/>
          <w:kern w:val="0"/>
          <w:sz w:val="24"/>
          <w:szCs w:val="24"/>
          <w:highlight w:val="none"/>
        </w:rPr>
      </w:pPr>
      <w:bookmarkStart w:id="805" w:name="_Toc10625011"/>
      <w:bookmarkStart w:id="806" w:name="_Toc469384167"/>
      <w:bookmarkStart w:id="807" w:name="_Toc266892953"/>
      <w:r>
        <w:rPr>
          <w:rFonts w:hint="eastAsia" w:ascii="黑体" w:hAnsi="黑体" w:eastAsia="黑体" w:cs="黑体"/>
          <w:b w:val="0"/>
          <w:bCs w:val="0"/>
          <w:color w:val="auto"/>
          <w:kern w:val="0"/>
          <w:sz w:val="24"/>
          <w:szCs w:val="24"/>
          <w:highlight w:val="none"/>
        </w:rPr>
        <w:t>格式2</w:t>
      </w:r>
      <w:bookmarkEnd w:id="805"/>
      <w:bookmarkEnd w:id="806"/>
      <w:bookmarkEnd w:id="807"/>
      <w:r>
        <w:rPr>
          <w:rFonts w:hint="eastAsia" w:ascii="黑体" w:hAnsi="黑体" w:eastAsia="黑体" w:cs="黑体"/>
          <w:b w:val="0"/>
          <w:bCs w:val="0"/>
          <w:color w:val="auto"/>
          <w:kern w:val="0"/>
          <w:sz w:val="24"/>
          <w:szCs w:val="24"/>
          <w:highlight w:val="none"/>
        </w:rPr>
        <w:t>6</w:t>
      </w:r>
    </w:p>
    <w:p w14:paraId="2F91312E">
      <w:pPr>
        <w:spacing w:line="420" w:lineRule="exact"/>
        <w:jc w:val="center"/>
        <w:rPr>
          <w:rFonts w:ascii="宋体" w:hAnsi="宋体" w:cs="宋体"/>
          <w:b/>
          <w:bCs/>
          <w:color w:val="auto"/>
          <w:spacing w:val="30"/>
          <w:sz w:val="22"/>
          <w:szCs w:val="2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支付申请</w:t>
      </w:r>
    </w:p>
    <w:p w14:paraId="7584D7D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10216" w:type="dxa"/>
        <w:tblInd w:w="-6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16"/>
      </w:tblGrid>
      <w:tr w14:paraId="50371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29" w:hRule="atLeast"/>
        </w:trPr>
        <w:tc>
          <w:tcPr>
            <w:tcW w:w="10216" w:type="dxa"/>
            <w:tcBorders>
              <w:bottom w:val="single" w:color="auto" w:sz="4" w:space="0"/>
            </w:tcBorders>
          </w:tcPr>
          <w:p w14:paraId="4458C5FA">
            <w:pPr>
              <w:spacing w:before="120" w:line="42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（工程造价咨询人（如有）全称）</w:t>
            </w:r>
          </w:p>
          <w:p w14:paraId="3F9A2835">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期间已完成了</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工作，根据施工合同条款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的规定，现申请支付本期的工程款额为（大写）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），请予以复核和确认，并在支付证书签发后按合同规定时间内支付。</w:t>
            </w:r>
          </w:p>
          <w:p w14:paraId="3C33703B">
            <w:pPr>
              <w:spacing w:line="42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具体细目如下：</w:t>
            </w:r>
          </w:p>
          <w:tbl>
            <w:tblPr>
              <w:tblStyle w:val="18"/>
              <w:tblW w:w="10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662"/>
              <w:gridCol w:w="1533"/>
              <w:gridCol w:w="3121"/>
            </w:tblGrid>
            <w:tr w14:paraId="6969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14:paraId="39A845E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4662" w:type="dxa"/>
                  <w:tcBorders>
                    <w:top w:val="single" w:color="auto" w:sz="4" w:space="0"/>
                    <w:left w:val="single" w:color="auto" w:sz="4" w:space="0"/>
                    <w:bottom w:val="single" w:color="auto" w:sz="4" w:space="0"/>
                    <w:right w:val="single" w:color="auto" w:sz="4" w:space="0"/>
                  </w:tcBorders>
                  <w:vAlign w:val="center"/>
                </w:tcPr>
                <w:p w14:paraId="379CC2A8">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w:t>
                  </w:r>
                </w:p>
              </w:tc>
              <w:tc>
                <w:tcPr>
                  <w:tcW w:w="1533" w:type="dxa"/>
                  <w:tcBorders>
                    <w:top w:val="single" w:color="auto" w:sz="4" w:space="0"/>
                    <w:left w:val="single" w:color="auto" w:sz="4" w:space="0"/>
                    <w:bottom w:val="single" w:color="auto" w:sz="4" w:space="0"/>
                    <w:right w:val="single" w:color="auto" w:sz="4" w:space="0"/>
                  </w:tcBorders>
                  <w:vAlign w:val="center"/>
                </w:tcPr>
                <w:p w14:paraId="5053D65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 额（元）</w:t>
                  </w:r>
                </w:p>
              </w:tc>
              <w:tc>
                <w:tcPr>
                  <w:tcW w:w="3121" w:type="dxa"/>
                  <w:tcBorders>
                    <w:top w:val="single" w:color="auto" w:sz="4" w:space="0"/>
                    <w:left w:val="single" w:color="auto" w:sz="4" w:space="0"/>
                    <w:bottom w:val="single" w:color="auto" w:sz="4" w:space="0"/>
                    <w:right w:val="single" w:color="auto" w:sz="4" w:space="0"/>
                  </w:tcBorders>
                  <w:vAlign w:val="center"/>
                </w:tcPr>
                <w:p w14:paraId="1B5B16C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       注</w:t>
                  </w:r>
                </w:p>
              </w:tc>
            </w:tr>
            <w:tr w14:paraId="332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14:paraId="4A6B728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662" w:type="dxa"/>
                  <w:tcBorders>
                    <w:top w:val="single" w:color="auto" w:sz="4" w:space="0"/>
                    <w:left w:val="single" w:color="auto" w:sz="4" w:space="0"/>
                    <w:bottom w:val="single" w:color="auto" w:sz="4" w:space="0"/>
                    <w:right w:val="single" w:color="auto" w:sz="4" w:space="0"/>
                  </w:tcBorders>
                  <w:vAlign w:val="center"/>
                </w:tcPr>
                <w:p w14:paraId="0569B437">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累计已完工程价款</w:t>
                  </w:r>
                </w:p>
              </w:tc>
              <w:tc>
                <w:tcPr>
                  <w:tcW w:w="1533" w:type="dxa"/>
                  <w:tcBorders>
                    <w:top w:val="single" w:color="auto" w:sz="4" w:space="0"/>
                    <w:left w:val="single" w:color="auto" w:sz="4" w:space="0"/>
                    <w:bottom w:val="single" w:color="auto" w:sz="4" w:space="0"/>
                    <w:right w:val="single" w:color="auto" w:sz="4" w:space="0"/>
                  </w:tcBorders>
                  <w:vAlign w:val="center"/>
                </w:tcPr>
                <w:p w14:paraId="1298F51D">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5BBA5D64">
                  <w:pPr>
                    <w:spacing w:line="420" w:lineRule="exact"/>
                    <w:rPr>
                      <w:rFonts w:hint="eastAsia" w:ascii="仿宋_GB2312" w:hAnsi="仿宋_GB2312" w:eastAsia="仿宋_GB2312" w:cs="仿宋_GB2312"/>
                      <w:color w:val="auto"/>
                      <w:sz w:val="24"/>
                      <w:szCs w:val="24"/>
                      <w:highlight w:val="none"/>
                    </w:rPr>
                  </w:pPr>
                </w:p>
              </w:tc>
            </w:tr>
            <w:tr w14:paraId="0A13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1C671AB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4662" w:type="dxa"/>
                  <w:tcBorders>
                    <w:top w:val="single" w:color="auto" w:sz="4" w:space="0"/>
                    <w:left w:val="single" w:color="auto" w:sz="4" w:space="0"/>
                    <w:bottom w:val="single" w:color="auto" w:sz="4" w:space="0"/>
                    <w:right w:val="single" w:color="auto" w:sz="4" w:space="0"/>
                  </w:tcBorders>
                  <w:vAlign w:val="center"/>
                </w:tcPr>
                <w:p w14:paraId="5D8AA5DE">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累计已实际支付的工程价款</w:t>
                  </w:r>
                </w:p>
              </w:tc>
              <w:tc>
                <w:tcPr>
                  <w:tcW w:w="1533" w:type="dxa"/>
                  <w:tcBorders>
                    <w:top w:val="single" w:color="auto" w:sz="4" w:space="0"/>
                    <w:left w:val="single" w:color="auto" w:sz="4" w:space="0"/>
                    <w:bottom w:val="single" w:color="auto" w:sz="4" w:space="0"/>
                    <w:right w:val="single" w:color="auto" w:sz="4" w:space="0"/>
                  </w:tcBorders>
                  <w:vAlign w:val="center"/>
                </w:tcPr>
                <w:p w14:paraId="10DCDD61">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0B0CC07B">
                  <w:pPr>
                    <w:spacing w:line="420" w:lineRule="exact"/>
                    <w:rPr>
                      <w:rFonts w:hint="eastAsia" w:ascii="仿宋_GB2312" w:hAnsi="仿宋_GB2312" w:eastAsia="仿宋_GB2312" w:cs="仿宋_GB2312"/>
                      <w:color w:val="auto"/>
                      <w:sz w:val="24"/>
                      <w:szCs w:val="24"/>
                      <w:highlight w:val="none"/>
                    </w:rPr>
                  </w:pPr>
                </w:p>
              </w:tc>
            </w:tr>
            <w:tr w14:paraId="431C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14:paraId="1A59102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4662" w:type="dxa"/>
                  <w:tcBorders>
                    <w:top w:val="single" w:color="auto" w:sz="4" w:space="0"/>
                    <w:left w:val="single" w:color="auto" w:sz="4" w:space="0"/>
                    <w:bottom w:val="single" w:color="auto" w:sz="4" w:space="0"/>
                    <w:right w:val="single" w:color="auto" w:sz="4" w:space="0"/>
                  </w:tcBorders>
                  <w:vAlign w:val="center"/>
                </w:tcPr>
                <w:p w14:paraId="440876C7">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本期间已完工程价款</w:t>
                  </w:r>
                </w:p>
              </w:tc>
              <w:tc>
                <w:tcPr>
                  <w:tcW w:w="1533" w:type="dxa"/>
                  <w:tcBorders>
                    <w:top w:val="single" w:color="auto" w:sz="4" w:space="0"/>
                    <w:left w:val="single" w:color="auto" w:sz="4" w:space="0"/>
                    <w:bottom w:val="single" w:color="auto" w:sz="4" w:space="0"/>
                    <w:right w:val="single" w:color="auto" w:sz="4" w:space="0"/>
                  </w:tcBorders>
                  <w:vAlign w:val="center"/>
                </w:tcPr>
                <w:p w14:paraId="08A91D43">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40CD7A0C">
                  <w:pPr>
                    <w:spacing w:line="420" w:lineRule="exact"/>
                    <w:rPr>
                      <w:rFonts w:hint="eastAsia" w:ascii="仿宋_GB2312" w:hAnsi="仿宋_GB2312" w:eastAsia="仿宋_GB2312" w:cs="仿宋_GB2312"/>
                      <w:color w:val="auto"/>
                      <w:sz w:val="24"/>
                      <w:szCs w:val="24"/>
                      <w:highlight w:val="none"/>
                    </w:rPr>
                  </w:pPr>
                </w:p>
              </w:tc>
            </w:tr>
            <w:tr w14:paraId="73B7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14:paraId="214C70E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4662" w:type="dxa"/>
                  <w:tcBorders>
                    <w:top w:val="single" w:color="auto" w:sz="4" w:space="0"/>
                    <w:left w:val="single" w:color="auto" w:sz="4" w:space="0"/>
                    <w:bottom w:val="single" w:color="auto" w:sz="4" w:space="0"/>
                    <w:right w:val="single" w:color="auto" w:sz="4" w:space="0"/>
                  </w:tcBorders>
                  <w:vAlign w:val="center"/>
                </w:tcPr>
                <w:p w14:paraId="3EA21D39">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本期间完成的零星工作项目价款</w:t>
                  </w:r>
                </w:p>
              </w:tc>
              <w:tc>
                <w:tcPr>
                  <w:tcW w:w="1533" w:type="dxa"/>
                  <w:tcBorders>
                    <w:top w:val="single" w:color="auto" w:sz="4" w:space="0"/>
                    <w:left w:val="single" w:color="auto" w:sz="4" w:space="0"/>
                    <w:bottom w:val="single" w:color="auto" w:sz="4" w:space="0"/>
                    <w:right w:val="single" w:color="auto" w:sz="4" w:space="0"/>
                  </w:tcBorders>
                  <w:vAlign w:val="center"/>
                </w:tcPr>
                <w:p w14:paraId="67F71D18">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04AD0DFA">
                  <w:pPr>
                    <w:spacing w:line="420" w:lineRule="exact"/>
                    <w:rPr>
                      <w:rFonts w:hint="eastAsia" w:ascii="仿宋_GB2312" w:hAnsi="仿宋_GB2312" w:eastAsia="仿宋_GB2312" w:cs="仿宋_GB2312"/>
                      <w:color w:val="auto"/>
                      <w:sz w:val="24"/>
                      <w:szCs w:val="24"/>
                      <w:highlight w:val="none"/>
                    </w:rPr>
                  </w:pPr>
                </w:p>
              </w:tc>
            </w:tr>
            <w:tr w14:paraId="57CA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14:paraId="7CF00EED">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4662" w:type="dxa"/>
                  <w:tcBorders>
                    <w:top w:val="single" w:color="auto" w:sz="4" w:space="0"/>
                    <w:left w:val="single" w:color="auto" w:sz="4" w:space="0"/>
                    <w:bottom w:val="single" w:color="auto" w:sz="4" w:space="0"/>
                    <w:right w:val="single" w:color="auto" w:sz="4" w:space="0"/>
                  </w:tcBorders>
                  <w:vAlign w:val="center"/>
                </w:tcPr>
                <w:p w14:paraId="367879E9">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本期间应支付的预留金价款</w:t>
                  </w:r>
                </w:p>
              </w:tc>
              <w:tc>
                <w:tcPr>
                  <w:tcW w:w="1533" w:type="dxa"/>
                  <w:tcBorders>
                    <w:top w:val="single" w:color="auto" w:sz="4" w:space="0"/>
                    <w:left w:val="single" w:color="auto" w:sz="4" w:space="0"/>
                    <w:bottom w:val="single" w:color="auto" w:sz="4" w:space="0"/>
                    <w:right w:val="single" w:color="auto" w:sz="4" w:space="0"/>
                  </w:tcBorders>
                  <w:vAlign w:val="center"/>
                </w:tcPr>
                <w:p w14:paraId="36CE33D9">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379CABA9">
                  <w:pPr>
                    <w:spacing w:line="420" w:lineRule="exact"/>
                    <w:rPr>
                      <w:rFonts w:hint="eastAsia" w:ascii="仿宋_GB2312" w:hAnsi="仿宋_GB2312" w:eastAsia="仿宋_GB2312" w:cs="仿宋_GB2312"/>
                      <w:color w:val="auto"/>
                      <w:sz w:val="24"/>
                      <w:szCs w:val="24"/>
                      <w:highlight w:val="none"/>
                    </w:rPr>
                  </w:pPr>
                </w:p>
              </w:tc>
            </w:tr>
            <w:tr w14:paraId="298A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14:paraId="36FBB377">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4662" w:type="dxa"/>
                  <w:tcBorders>
                    <w:top w:val="single" w:color="auto" w:sz="4" w:space="0"/>
                    <w:left w:val="single" w:color="auto" w:sz="4" w:space="0"/>
                    <w:bottom w:val="single" w:color="auto" w:sz="4" w:space="0"/>
                    <w:right w:val="single" w:color="auto" w:sz="4" w:space="0"/>
                  </w:tcBorders>
                  <w:vAlign w:val="center"/>
                </w:tcPr>
                <w:p w14:paraId="1A9555E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本期间应支付的工程变更价款</w:t>
                  </w:r>
                </w:p>
              </w:tc>
              <w:tc>
                <w:tcPr>
                  <w:tcW w:w="1533" w:type="dxa"/>
                  <w:tcBorders>
                    <w:top w:val="single" w:color="auto" w:sz="4" w:space="0"/>
                    <w:left w:val="single" w:color="auto" w:sz="4" w:space="0"/>
                    <w:bottom w:val="single" w:color="auto" w:sz="4" w:space="0"/>
                    <w:right w:val="single" w:color="auto" w:sz="4" w:space="0"/>
                  </w:tcBorders>
                  <w:vAlign w:val="center"/>
                </w:tcPr>
                <w:p w14:paraId="542AC6DD">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5321A4E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根据第66条</w:t>
                  </w:r>
                </w:p>
              </w:tc>
            </w:tr>
            <w:tr w14:paraId="4856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377BD8E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4662" w:type="dxa"/>
                  <w:tcBorders>
                    <w:top w:val="single" w:color="auto" w:sz="4" w:space="0"/>
                    <w:left w:val="single" w:color="auto" w:sz="4" w:space="0"/>
                    <w:bottom w:val="single" w:color="auto" w:sz="4" w:space="0"/>
                    <w:right w:val="single" w:color="auto" w:sz="4" w:space="0"/>
                  </w:tcBorders>
                  <w:vAlign w:val="center"/>
                </w:tcPr>
                <w:p w14:paraId="04FFBC8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本期间应支付的安全防护、文明施工措施费</w:t>
                  </w:r>
                </w:p>
              </w:tc>
              <w:tc>
                <w:tcPr>
                  <w:tcW w:w="1533" w:type="dxa"/>
                  <w:tcBorders>
                    <w:top w:val="single" w:color="auto" w:sz="4" w:space="0"/>
                    <w:left w:val="single" w:color="auto" w:sz="4" w:space="0"/>
                    <w:bottom w:val="single" w:color="auto" w:sz="4" w:space="0"/>
                    <w:right w:val="single" w:color="auto" w:sz="4" w:space="0"/>
                  </w:tcBorders>
                  <w:vAlign w:val="center"/>
                </w:tcPr>
                <w:p w14:paraId="2C3E451A">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1875828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根据第68条至第 76 条</w:t>
                  </w:r>
                </w:p>
              </w:tc>
            </w:tr>
            <w:tr w14:paraId="7AA7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14:paraId="10BB945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4662" w:type="dxa"/>
                  <w:tcBorders>
                    <w:top w:val="single" w:color="auto" w:sz="4" w:space="0"/>
                    <w:left w:val="single" w:color="auto" w:sz="4" w:space="0"/>
                    <w:bottom w:val="single" w:color="auto" w:sz="4" w:space="0"/>
                    <w:right w:val="single" w:color="auto" w:sz="4" w:space="0"/>
                  </w:tcBorders>
                  <w:vAlign w:val="center"/>
                </w:tcPr>
                <w:p w14:paraId="3090563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物价和后继法律法规的调整价款</w:t>
                  </w:r>
                </w:p>
              </w:tc>
              <w:tc>
                <w:tcPr>
                  <w:tcW w:w="1533" w:type="dxa"/>
                  <w:tcBorders>
                    <w:top w:val="single" w:color="auto" w:sz="4" w:space="0"/>
                    <w:left w:val="single" w:color="auto" w:sz="4" w:space="0"/>
                    <w:bottom w:val="single" w:color="auto" w:sz="4" w:space="0"/>
                    <w:right w:val="single" w:color="auto" w:sz="4" w:space="0"/>
                  </w:tcBorders>
                  <w:vAlign w:val="center"/>
                </w:tcPr>
                <w:p w14:paraId="4D98990C">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73203C3E">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根据第79条</w:t>
                  </w:r>
                </w:p>
              </w:tc>
            </w:tr>
            <w:tr w14:paraId="38AC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14:paraId="444D86C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4662" w:type="dxa"/>
                  <w:tcBorders>
                    <w:top w:val="single" w:color="auto" w:sz="4" w:space="0"/>
                    <w:left w:val="single" w:color="auto" w:sz="4" w:space="0"/>
                    <w:bottom w:val="single" w:color="auto" w:sz="4" w:space="0"/>
                    <w:right w:val="single" w:color="auto" w:sz="4" w:space="0"/>
                  </w:tcBorders>
                  <w:vAlign w:val="center"/>
                </w:tcPr>
                <w:p w14:paraId="4731A6ED">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本期间应扣除的误期赔偿费</w:t>
                  </w:r>
                </w:p>
              </w:tc>
              <w:tc>
                <w:tcPr>
                  <w:tcW w:w="1533" w:type="dxa"/>
                  <w:tcBorders>
                    <w:top w:val="single" w:color="auto" w:sz="4" w:space="0"/>
                    <w:left w:val="single" w:color="auto" w:sz="4" w:space="0"/>
                    <w:bottom w:val="single" w:color="auto" w:sz="4" w:space="0"/>
                    <w:right w:val="single" w:color="auto" w:sz="4" w:space="0"/>
                  </w:tcBorders>
                  <w:vAlign w:val="center"/>
                </w:tcPr>
                <w:p w14:paraId="1F546B00">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47DF440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根据第80条</w:t>
                  </w:r>
                </w:p>
              </w:tc>
            </w:tr>
            <w:tr w14:paraId="604E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14:paraId="56E2394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4662" w:type="dxa"/>
                  <w:tcBorders>
                    <w:top w:val="single" w:color="auto" w:sz="4" w:space="0"/>
                    <w:left w:val="single" w:color="auto" w:sz="4" w:space="0"/>
                    <w:bottom w:val="single" w:color="auto" w:sz="4" w:space="0"/>
                    <w:right w:val="single" w:color="auto" w:sz="4" w:space="0"/>
                  </w:tcBorders>
                  <w:vAlign w:val="center"/>
                </w:tcPr>
                <w:p w14:paraId="24DCD95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本期间应扣回的预付款</w:t>
                  </w:r>
                </w:p>
              </w:tc>
              <w:tc>
                <w:tcPr>
                  <w:tcW w:w="1533" w:type="dxa"/>
                  <w:tcBorders>
                    <w:top w:val="single" w:color="auto" w:sz="4" w:space="0"/>
                    <w:left w:val="single" w:color="auto" w:sz="4" w:space="0"/>
                    <w:bottom w:val="single" w:color="auto" w:sz="4" w:space="0"/>
                    <w:right w:val="single" w:color="auto" w:sz="4" w:space="0"/>
                  </w:tcBorders>
                  <w:vAlign w:val="center"/>
                </w:tcPr>
                <w:p w14:paraId="167879D5">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2CA86CB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根据第84条</w:t>
                  </w:r>
                </w:p>
              </w:tc>
            </w:tr>
            <w:tr w14:paraId="5836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47C425D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4662" w:type="dxa"/>
                  <w:tcBorders>
                    <w:top w:val="single" w:color="auto" w:sz="4" w:space="0"/>
                    <w:left w:val="single" w:color="auto" w:sz="4" w:space="0"/>
                    <w:bottom w:val="single" w:color="auto" w:sz="4" w:space="0"/>
                    <w:right w:val="single" w:color="auto" w:sz="4" w:space="0"/>
                  </w:tcBorders>
                  <w:vAlign w:val="center"/>
                </w:tcPr>
                <w:p w14:paraId="02F0C5D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本期间应扣留的质量保证金</w:t>
                  </w:r>
                </w:p>
              </w:tc>
              <w:tc>
                <w:tcPr>
                  <w:tcW w:w="1533" w:type="dxa"/>
                  <w:tcBorders>
                    <w:top w:val="single" w:color="auto" w:sz="4" w:space="0"/>
                    <w:left w:val="single" w:color="auto" w:sz="4" w:space="0"/>
                    <w:bottom w:val="single" w:color="auto" w:sz="4" w:space="0"/>
                    <w:right w:val="single" w:color="auto" w:sz="4" w:space="0"/>
                  </w:tcBorders>
                  <w:vAlign w:val="center"/>
                </w:tcPr>
                <w:p w14:paraId="2A0B406F">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79577D72">
                  <w:pPr>
                    <w:spacing w:line="420" w:lineRule="exact"/>
                    <w:rPr>
                      <w:rFonts w:hint="eastAsia" w:ascii="仿宋_GB2312" w:hAnsi="仿宋_GB2312" w:eastAsia="仿宋_GB2312" w:cs="仿宋_GB2312"/>
                      <w:color w:val="auto"/>
                      <w:sz w:val="24"/>
                      <w:szCs w:val="24"/>
                      <w:highlight w:val="none"/>
                    </w:rPr>
                  </w:pPr>
                </w:p>
              </w:tc>
            </w:tr>
            <w:tr w14:paraId="1415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14:paraId="3B7203A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4662" w:type="dxa"/>
                  <w:tcBorders>
                    <w:top w:val="single" w:color="auto" w:sz="4" w:space="0"/>
                    <w:left w:val="single" w:color="auto" w:sz="4" w:space="0"/>
                    <w:bottom w:val="single" w:color="auto" w:sz="4" w:space="0"/>
                    <w:right w:val="single" w:color="auto" w:sz="4" w:space="0"/>
                  </w:tcBorders>
                  <w:vAlign w:val="center"/>
                </w:tcPr>
                <w:p w14:paraId="61F8D27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本期间应支付或扣回（留）的其他款项</w:t>
                  </w:r>
                </w:p>
              </w:tc>
              <w:tc>
                <w:tcPr>
                  <w:tcW w:w="1533" w:type="dxa"/>
                  <w:tcBorders>
                    <w:top w:val="single" w:color="auto" w:sz="4" w:space="0"/>
                    <w:left w:val="single" w:color="auto" w:sz="4" w:space="0"/>
                    <w:bottom w:val="single" w:color="auto" w:sz="4" w:space="0"/>
                    <w:right w:val="single" w:color="auto" w:sz="4" w:space="0"/>
                  </w:tcBorders>
                  <w:vAlign w:val="center"/>
                </w:tcPr>
                <w:p w14:paraId="5804CA96">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6950505E">
                  <w:pPr>
                    <w:spacing w:line="420" w:lineRule="exact"/>
                    <w:rPr>
                      <w:rFonts w:hint="eastAsia" w:ascii="仿宋_GB2312" w:hAnsi="仿宋_GB2312" w:eastAsia="仿宋_GB2312" w:cs="仿宋_GB2312"/>
                      <w:color w:val="auto"/>
                      <w:sz w:val="24"/>
                      <w:szCs w:val="24"/>
                      <w:highlight w:val="none"/>
                    </w:rPr>
                  </w:pPr>
                </w:p>
              </w:tc>
            </w:tr>
            <w:tr w14:paraId="6759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exact"/>
              </w:trPr>
              <w:tc>
                <w:tcPr>
                  <w:tcW w:w="858" w:type="dxa"/>
                  <w:tcBorders>
                    <w:top w:val="single" w:color="auto" w:sz="4" w:space="0"/>
                    <w:left w:val="single" w:color="auto" w:sz="4" w:space="0"/>
                    <w:bottom w:val="single" w:color="auto" w:sz="4" w:space="0"/>
                    <w:right w:val="single" w:color="auto" w:sz="4" w:space="0"/>
                  </w:tcBorders>
                  <w:vAlign w:val="center"/>
                </w:tcPr>
                <w:p w14:paraId="0AA87BC4">
                  <w:pPr>
                    <w:spacing w:line="420" w:lineRule="exact"/>
                    <w:jc w:val="center"/>
                    <w:rPr>
                      <w:rFonts w:hint="eastAsia" w:ascii="仿宋_GB2312" w:hAnsi="仿宋_GB2312" w:eastAsia="仿宋_GB2312" w:cs="仿宋_GB2312"/>
                      <w:color w:val="auto"/>
                      <w:sz w:val="24"/>
                      <w:szCs w:val="24"/>
                      <w:highlight w:val="none"/>
                    </w:rPr>
                  </w:pPr>
                </w:p>
              </w:tc>
              <w:tc>
                <w:tcPr>
                  <w:tcW w:w="4662" w:type="dxa"/>
                  <w:tcBorders>
                    <w:top w:val="single" w:color="auto" w:sz="4" w:space="0"/>
                    <w:left w:val="single" w:color="auto" w:sz="4" w:space="0"/>
                    <w:bottom w:val="single" w:color="auto" w:sz="4" w:space="0"/>
                    <w:right w:val="single" w:color="auto" w:sz="4" w:space="0"/>
                  </w:tcBorders>
                  <w:vAlign w:val="center"/>
                </w:tcPr>
                <w:p w14:paraId="314177A8">
                  <w:pPr>
                    <w:spacing w:line="420" w:lineRule="exact"/>
                    <w:rPr>
                      <w:rFonts w:hint="eastAsia" w:ascii="仿宋_GB2312" w:hAnsi="仿宋_GB2312" w:eastAsia="仿宋_GB2312" w:cs="仿宋_GB2312"/>
                      <w:color w:val="auto"/>
                      <w:sz w:val="24"/>
                      <w:szCs w:val="24"/>
                      <w:highlight w:val="none"/>
                    </w:rPr>
                  </w:pPr>
                </w:p>
              </w:tc>
              <w:tc>
                <w:tcPr>
                  <w:tcW w:w="1533" w:type="dxa"/>
                  <w:tcBorders>
                    <w:top w:val="single" w:color="auto" w:sz="4" w:space="0"/>
                    <w:left w:val="single" w:color="auto" w:sz="4" w:space="0"/>
                    <w:bottom w:val="single" w:color="auto" w:sz="4" w:space="0"/>
                    <w:right w:val="single" w:color="auto" w:sz="4" w:space="0"/>
                  </w:tcBorders>
                  <w:vAlign w:val="center"/>
                </w:tcPr>
                <w:p w14:paraId="1018E70B">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4069D1CB">
                  <w:pPr>
                    <w:spacing w:line="420" w:lineRule="exact"/>
                    <w:rPr>
                      <w:rFonts w:hint="eastAsia" w:ascii="仿宋_GB2312" w:hAnsi="仿宋_GB2312" w:eastAsia="仿宋_GB2312" w:cs="仿宋_GB2312"/>
                      <w:color w:val="auto"/>
                      <w:sz w:val="24"/>
                      <w:szCs w:val="24"/>
                      <w:highlight w:val="none"/>
                    </w:rPr>
                  </w:pPr>
                </w:p>
              </w:tc>
            </w:tr>
            <w:tr w14:paraId="0C7F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344A1215">
                  <w:pPr>
                    <w:spacing w:line="420" w:lineRule="exact"/>
                    <w:jc w:val="center"/>
                    <w:rPr>
                      <w:rFonts w:hint="eastAsia" w:ascii="仿宋_GB2312" w:hAnsi="仿宋_GB2312" w:eastAsia="仿宋_GB2312" w:cs="仿宋_GB2312"/>
                      <w:color w:val="auto"/>
                      <w:sz w:val="24"/>
                      <w:szCs w:val="24"/>
                      <w:highlight w:val="none"/>
                    </w:rPr>
                  </w:pPr>
                </w:p>
              </w:tc>
              <w:tc>
                <w:tcPr>
                  <w:tcW w:w="4662" w:type="dxa"/>
                  <w:tcBorders>
                    <w:top w:val="single" w:color="auto" w:sz="4" w:space="0"/>
                    <w:left w:val="single" w:color="auto" w:sz="4" w:space="0"/>
                    <w:bottom w:val="single" w:color="auto" w:sz="4" w:space="0"/>
                    <w:right w:val="single" w:color="auto" w:sz="4" w:space="0"/>
                  </w:tcBorders>
                  <w:vAlign w:val="center"/>
                </w:tcPr>
                <w:p w14:paraId="43808140">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本期间应支付的工程价款</w:t>
                  </w:r>
                </w:p>
              </w:tc>
              <w:tc>
                <w:tcPr>
                  <w:tcW w:w="1533" w:type="dxa"/>
                  <w:tcBorders>
                    <w:top w:val="single" w:color="auto" w:sz="4" w:space="0"/>
                    <w:left w:val="single" w:color="auto" w:sz="4" w:space="0"/>
                    <w:bottom w:val="single" w:color="auto" w:sz="4" w:space="0"/>
                    <w:right w:val="single" w:color="auto" w:sz="4" w:space="0"/>
                  </w:tcBorders>
                  <w:vAlign w:val="center"/>
                </w:tcPr>
                <w:p w14:paraId="1DF45896">
                  <w:pPr>
                    <w:spacing w:line="420" w:lineRule="exact"/>
                    <w:jc w:val="center"/>
                    <w:rPr>
                      <w:rFonts w:hint="eastAsia" w:ascii="仿宋_GB2312" w:hAnsi="仿宋_GB2312" w:eastAsia="仿宋_GB2312" w:cs="仿宋_GB2312"/>
                      <w:color w:val="auto"/>
                      <w:sz w:val="24"/>
                      <w:szCs w:val="24"/>
                      <w:highlight w:val="none"/>
                    </w:rPr>
                  </w:pPr>
                </w:p>
              </w:tc>
              <w:tc>
                <w:tcPr>
                  <w:tcW w:w="3121" w:type="dxa"/>
                  <w:tcBorders>
                    <w:top w:val="single" w:color="auto" w:sz="4" w:space="0"/>
                    <w:left w:val="single" w:color="auto" w:sz="4" w:space="0"/>
                    <w:bottom w:val="single" w:color="auto" w:sz="4" w:space="0"/>
                    <w:right w:val="single" w:color="auto" w:sz="4" w:space="0"/>
                  </w:tcBorders>
                  <w:vAlign w:val="center"/>
                </w:tcPr>
                <w:p w14:paraId="213606BF">
                  <w:pPr>
                    <w:spacing w:line="420" w:lineRule="exact"/>
                    <w:rPr>
                      <w:rFonts w:hint="eastAsia" w:ascii="仿宋_GB2312" w:hAnsi="仿宋_GB2312" w:eastAsia="仿宋_GB2312" w:cs="仿宋_GB2312"/>
                      <w:color w:val="auto"/>
                      <w:sz w:val="24"/>
                      <w:szCs w:val="24"/>
                      <w:highlight w:val="none"/>
                    </w:rPr>
                  </w:pPr>
                </w:p>
              </w:tc>
            </w:tr>
          </w:tbl>
          <w:p w14:paraId="5533610C">
            <w:pPr>
              <w:tabs>
                <w:tab w:val="left" w:pos="6912"/>
              </w:tabs>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w:t>
            </w:r>
          </w:p>
          <w:p w14:paraId="58421431">
            <w:pPr>
              <w:tabs>
                <w:tab w:val="left" w:pos="6912"/>
              </w:tabs>
              <w:spacing w:line="420" w:lineRule="exact"/>
              <w:ind w:left="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有关证明资料；</w:t>
            </w:r>
          </w:p>
          <w:p w14:paraId="3C480561">
            <w:pPr>
              <w:tabs>
                <w:tab w:val="left" w:pos="6912"/>
              </w:tabs>
              <w:spacing w:line="420" w:lineRule="exact"/>
              <w:ind w:left="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计算过程及说明。</w:t>
            </w:r>
          </w:p>
          <w:p w14:paraId="11674BD5">
            <w:pPr>
              <w:tabs>
                <w:tab w:val="left" w:pos="6912"/>
              </w:tabs>
              <w:spacing w:line="420" w:lineRule="exact"/>
              <w:ind w:firstLine="6720" w:firstLineChars="2800"/>
              <w:rPr>
                <w:rFonts w:hint="eastAsia" w:ascii="仿宋_GB2312" w:hAnsi="仿宋_GB2312" w:eastAsia="仿宋_GB2312" w:cs="仿宋_GB2312"/>
                <w:color w:val="auto"/>
                <w:sz w:val="24"/>
                <w:szCs w:val="24"/>
                <w:highlight w:val="none"/>
              </w:rPr>
            </w:pPr>
          </w:p>
          <w:p w14:paraId="7116430A">
            <w:pPr>
              <w:tabs>
                <w:tab w:val="left" w:pos="6912"/>
              </w:tabs>
              <w:spacing w:line="420" w:lineRule="exact"/>
              <w:ind w:firstLine="6720" w:firstLineChars="28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　包　人（章）</w:t>
            </w:r>
          </w:p>
          <w:p w14:paraId="5F2BCC5B">
            <w:pPr>
              <w:spacing w:line="420" w:lineRule="exact"/>
              <w:ind w:firstLine="6720" w:firstLineChars="28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承包人代表</w:t>
            </w:r>
            <w:r>
              <w:rPr>
                <w:rFonts w:hint="eastAsia" w:ascii="仿宋_GB2312" w:hAnsi="仿宋_GB2312" w:eastAsia="仿宋_GB2312" w:cs="仿宋_GB2312"/>
                <w:color w:val="auto"/>
                <w:sz w:val="24"/>
                <w:szCs w:val="24"/>
                <w:highlight w:val="none"/>
                <w:u w:val="single"/>
              </w:rPr>
              <w:t xml:space="preserve">               </w:t>
            </w:r>
          </w:p>
          <w:p w14:paraId="65912E02">
            <w:pPr>
              <w:tabs>
                <w:tab w:val="left" w:pos="7272"/>
              </w:tabs>
              <w:spacing w:line="420" w:lineRule="exact"/>
              <w:ind w:left="6730" w:leftChars="3205"/>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103FF231">
      <w:pPr>
        <w:widowControl w:val="0"/>
        <w:adjustRightInd w:val="0"/>
        <w:snapToGrid w:val="0"/>
        <w:spacing w:line="420" w:lineRule="exact"/>
        <w:ind w:left="660" w:hanging="720" w:hangingChars="3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说明：本表一式五份，由承包人填制，承包人、监理单位和造价咨询单位各存一份，发包人存二份。</w:t>
      </w:r>
    </w:p>
    <w:p w14:paraId="353D903E">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08" w:name="_Toc266892954"/>
      <w:bookmarkStart w:id="809" w:name="_Toc469384168"/>
      <w:bookmarkStart w:id="810" w:name="_Toc10625012"/>
      <w:r>
        <w:rPr>
          <w:rFonts w:hint="eastAsia" w:ascii="黑体" w:hAnsi="黑体" w:eastAsia="黑体" w:cs="黑体"/>
          <w:b w:val="0"/>
          <w:bCs w:val="0"/>
          <w:color w:val="auto"/>
          <w:kern w:val="0"/>
          <w:sz w:val="24"/>
          <w:szCs w:val="24"/>
          <w:highlight w:val="none"/>
        </w:rPr>
        <w:t>格式2</w:t>
      </w:r>
      <w:bookmarkEnd w:id="808"/>
      <w:bookmarkEnd w:id="809"/>
      <w:bookmarkEnd w:id="810"/>
      <w:r>
        <w:rPr>
          <w:rFonts w:hint="eastAsia" w:ascii="黑体" w:hAnsi="黑体" w:eastAsia="黑体" w:cs="黑体"/>
          <w:b w:val="0"/>
          <w:bCs w:val="0"/>
          <w:color w:val="auto"/>
          <w:kern w:val="0"/>
          <w:sz w:val="24"/>
          <w:szCs w:val="24"/>
          <w:highlight w:val="none"/>
        </w:rPr>
        <w:t>7</w:t>
      </w:r>
    </w:p>
    <w:p w14:paraId="56AA83EB">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支付证书</w:t>
      </w:r>
    </w:p>
    <w:p w14:paraId="70F62082">
      <w:pPr>
        <w:spacing w:line="420" w:lineRule="exact"/>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 xml:space="preserve">    编号:</w:t>
      </w:r>
    </w:p>
    <w:tbl>
      <w:tblPr>
        <w:tblStyle w:val="18"/>
        <w:tblW w:w="9694" w:type="dxa"/>
        <w:tblInd w:w="-3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94"/>
      </w:tblGrid>
      <w:tr w14:paraId="45C4D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18" w:hRule="atLeast"/>
        </w:trPr>
        <w:tc>
          <w:tcPr>
            <w:tcW w:w="9694" w:type="dxa"/>
            <w:tcBorders>
              <w:bottom w:val="single" w:color="auto" w:sz="4" w:space="0"/>
            </w:tcBorders>
          </w:tcPr>
          <w:p w14:paraId="238982DD">
            <w:pPr>
              <w:spacing w:before="120" w:line="300" w:lineRule="exact"/>
              <w:ind w:left="-28" w:firstLine="18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（发包人全称）</w:t>
            </w:r>
          </w:p>
          <w:p w14:paraId="32FB3F2D">
            <w:pPr>
              <w:spacing w:line="30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根据施工合同条款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的规定，经核实承包人提出的已完工程款额报告（编号   　 ）和支付申请报告（编号      　），于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至</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期间,同意本期间支付工程款（大写）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（小写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）。请按合同规定时间内向承包人支付工程价款。其中：</w:t>
            </w:r>
          </w:p>
          <w:p w14:paraId="1C3AA81A">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１．承包人申报款为：</w:t>
            </w:r>
          </w:p>
          <w:p w14:paraId="6DB31627">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２．经复核承包人应得款为：</w:t>
            </w:r>
          </w:p>
          <w:p w14:paraId="50065D30">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３．本期应扣款为：</w:t>
            </w:r>
          </w:p>
          <w:p w14:paraId="54FF3BF5">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４．本期应付款为：</w:t>
            </w:r>
          </w:p>
          <w:tbl>
            <w:tblPr>
              <w:tblStyle w:val="18"/>
              <w:tblpPr w:leftFromText="180" w:rightFromText="180" w:vertAnchor="text" w:horzAnchor="page" w:tblpX="343" w:tblpY="267"/>
              <w:tblOverlap w:val="never"/>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4256"/>
              <w:gridCol w:w="1932"/>
              <w:gridCol w:w="1968"/>
            </w:tblGrid>
            <w:tr w14:paraId="0A78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trPr>
              <w:tc>
                <w:tcPr>
                  <w:tcW w:w="984" w:type="dxa"/>
                  <w:tcBorders>
                    <w:top w:val="single" w:color="auto" w:sz="4" w:space="0"/>
                    <w:left w:val="single" w:color="auto" w:sz="4" w:space="0"/>
                    <w:bottom w:val="single" w:color="auto" w:sz="4" w:space="0"/>
                    <w:right w:val="single" w:color="auto" w:sz="4" w:space="0"/>
                  </w:tcBorders>
                  <w:vAlign w:val="center"/>
                </w:tcPr>
                <w:p w14:paraId="64141822">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4256" w:type="dxa"/>
                  <w:tcBorders>
                    <w:top w:val="single" w:color="auto" w:sz="4" w:space="0"/>
                    <w:left w:val="single" w:color="auto" w:sz="4" w:space="0"/>
                    <w:bottom w:val="single" w:color="auto" w:sz="4" w:space="0"/>
                    <w:right w:val="single" w:color="auto" w:sz="4" w:space="0"/>
                  </w:tcBorders>
                  <w:vAlign w:val="center"/>
                </w:tcPr>
                <w:p w14:paraId="59085E7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名           称</w:t>
                  </w:r>
                </w:p>
              </w:tc>
              <w:tc>
                <w:tcPr>
                  <w:tcW w:w="1932" w:type="dxa"/>
                  <w:tcBorders>
                    <w:top w:val="single" w:color="auto" w:sz="4" w:space="0"/>
                    <w:left w:val="single" w:color="auto" w:sz="4" w:space="0"/>
                    <w:bottom w:val="single" w:color="auto" w:sz="4" w:space="0"/>
                    <w:right w:val="single" w:color="auto" w:sz="4" w:space="0"/>
                  </w:tcBorders>
                  <w:vAlign w:val="center"/>
                </w:tcPr>
                <w:p w14:paraId="588C81B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 额（元）</w:t>
                  </w:r>
                </w:p>
              </w:tc>
              <w:tc>
                <w:tcPr>
                  <w:tcW w:w="1968" w:type="dxa"/>
                  <w:tcBorders>
                    <w:top w:val="single" w:color="auto" w:sz="4" w:space="0"/>
                    <w:left w:val="single" w:color="auto" w:sz="4" w:space="0"/>
                    <w:bottom w:val="single" w:color="auto" w:sz="4" w:space="0"/>
                    <w:right w:val="single" w:color="auto" w:sz="4" w:space="0"/>
                  </w:tcBorders>
                  <w:vAlign w:val="center"/>
                </w:tcPr>
                <w:p w14:paraId="0C1E846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       注</w:t>
                  </w:r>
                </w:p>
              </w:tc>
            </w:tr>
            <w:tr w14:paraId="2DB6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984" w:type="dxa"/>
                  <w:tcBorders>
                    <w:top w:val="single" w:color="auto" w:sz="4" w:space="0"/>
                    <w:left w:val="single" w:color="auto" w:sz="4" w:space="0"/>
                    <w:bottom w:val="single" w:color="auto" w:sz="4" w:space="0"/>
                    <w:right w:val="single" w:color="auto" w:sz="4" w:space="0"/>
                  </w:tcBorders>
                  <w:vAlign w:val="center"/>
                </w:tcPr>
                <w:p w14:paraId="36674D7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256" w:type="dxa"/>
                  <w:tcBorders>
                    <w:top w:val="single" w:color="auto" w:sz="4" w:space="0"/>
                    <w:left w:val="single" w:color="auto" w:sz="4" w:space="0"/>
                    <w:bottom w:val="single" w:color="auto" w:sz="4" w:space="0"/>
                    <w:right w:val="single" w:color="auto" w:sz="4" w:space="0"/>
                  </w:tcBorders>
                  <w:vAlign w:val="center"/>
                </w:tcPr>
                <w:p w14:paraId="21020313">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累计已完工程价款</w:t>
                  </w:r>
                </w:p>
              </w:tc>
              <w:tc>
                <w:tcPr>
                  <w:tcW w:w="1932" w:type="dxa"/>
                  <w:tcBorders>
                    <w:top w:val="single" w:color="auto" w:sz="4" w:space="0"/>
                    <w:left w:val="single" w:color="auto" w:sz="4" w:space="0"/>
                    <w:bottom w:val="single" w:color="auto" w:sz="4" w:space="0"/>
                    <w:right w:val="single" w:color="auto" w:sz="4" w:space="0"/>
                  </w:tcBorders>
                  <w:vAlign w:val="center"/>
                </w:tcPr>
                <w:p w14:paraId="5B3C544D">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0012BDAA">
                  <w:pPr>
                    <w:spacing w:line="420" w:lineRule="exact"/>
                    <w:rPr>
                      <w:rFonts w:hint="eastAsia" w:ascii="仿宋_GB2312" w:hAnsi="仿宋_GB2312" w:eastAsia="仿宋_GB2312" w:cs="仿宋_GB2312"/>
                      <w:color w:val="auto"/>
                      <w:sz w:val="24"/>
                      <w:szCs w:val="24"/>
                      <w:highlight w:val="none"/>
                    </w:rPr>
                  </w:pPr>
                </w:p>
              </w:tc>
            </w:tr>
            <w:tr w14:paraId="4764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984" w:type="dxa"/>
                  <w:tcBorders>
                    <w:top w:val="single" w:color="auto" w:sz="4" w:space="0"/>
                    <w:left w:val="single" w:color="auto" w:sz="4" w:space="0"/>
                    <w:bottom w:val="single" w:color="auto" w:sz="4" w:space="0"/>
                    <w:right w:val="single" w:color="auto" w:sz="4" w:space="0"/>
                  </w:tcBorders>
                  <w:vAlign w:val="center"/>
                </w:tcPr>
                <w:p w14:paraId="70FAA22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4256" w:type="dxa"/>
                  <w:tcBorders>
                    <w:top w:val="single" w:color="auto" w:sz="4" w:space="0"/>
                    <w:left w:val="single" w:color="auto" w:sz="4" w:space="0"/>
                    <w:bottom w:val="single" w:color="auto" w:sz="4" w:space="0"/>
                    <w:right w:val="single" w:color="auto" w:sz="4" w:space="0"/>
                  </w:tcBorders>
                  <w:vAlign w:val="center"/>
                </w:tcPr>
                <w:p w14:paraId="6BC90DA4">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累计已实际支付的工程价款</w:t>
                  </w:r>
                </w:p>
              </w:tc>
              <w:tc>
                <w:tcPr>
                  <w:tcW w:w="1932" w:type="dxa"/>
                  <w:tcBorders>
                    <w:top w:val="single" w:color="auto" w:sz="4" w:space="0"/>
                    <w:left w:val="single" w:color="auto" w:sz="4" w:space="0"/>
                    <w:bottom w:val="single" w:color="auto" w:sz="4" w:space="0"/>
                    <w:right w:val="single" w:color="auto" w:sz="4" w:space="0"/>
                  </w:tcBorders>
                  <w:vAlign w:val="center"/>
                </w:tcPr>
                <w:p w14:paraId="6680CA1B">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5DE3D3B6">
                  <w:pPr>
                    <w:spacing w:line="420" w:lineRule="exact"/>
                    <w:rPr>
                      <w:rFonts w:hint="eastAsia" w:ascii="仿宋_GB2312" w:hAnsi="仿宋_GB2312" w:eastAsia="仿宋_GB2312" w:cs="仿宋_GB2312"/>
                      <w:color w:val="auto"/>
                      <w:sz w:val="24"/>
                      <w:szCs w:val="24"/>
                      <w:highlight w:val="none"/>
                    </w:rPr>
                  </w:pPr>
                </w:p>
              </w:tc>
            </w:tr>
            <w:tr w14:paraId="65EF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vAlign w:val="center"/>
                </w:tcPr>
                <w:p w14:paraId="687EDDF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4256" w:type="dxa"/>
                  <w:tcBorders>
                    <w:top w:val="single" w:color="auto" w:sz="4" w:space="0"/>
                    <w:left w:val="single" w:color="auto" w:sz="4" w:space="0"/>
                    <w:bottom w:val="single" w:color="auto" w:sz="4" w:space="0"/>
                    <w:right w:val="single" w:color="auto" w:sz="4" w:space="0"/>
                  </w:tcBorders>
                  <w:vAlign w:val="center"/>
                </w:tcPr>
                <w:p w14:paraId="32452E8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本期间已完工程价款</w:t>
                  </w:r>
                </w:p>
              </w:tc>
              <w:tc>
                <w:tcPr>
                  <w:tcW w:w="1932" w:type="dxa"/>
                  <w:tcBorders>
                    <w:top w:val="single" w:color="auto" w:sz="4" w:space="0"/>
                    <w:left w:val="single" w:color="auto" w:sz="4" w:space="0"/>
                    <w:bottom w:val="single" w:color="auto" w:sz="4" w:space="0"/>
                    <w:right w:val="single" w:color="auto" w:sz="4" w:space="0"/>
                  </w:tcBorders>
                  <w:vAlign w:val="center"/>
                </w:tcPr>
                <w:p w14:paraId="083B8945">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2C870BB5">
                  <w:pPr>
                    <w:spacing w:line="420" w:lineRule="exact"/>
                    <w:rPr>
                      <w:rFonts w:hint="eastAsia" w:ascii="仿宋_GB2312" w:hAnsi="仿宋_GB2312" w:eastAsia="仿宋_GB2312" w:cs="仿宋_GB2312"/>
                      <w:color w:val="auto"/>
                      <w:sz w:val="24"/>
                      <w:szCs w:val="24"/>
                      <w:highlight w:val="none"/>
                    </w:rPr>
                  </w:pPr>
                </w:p>
              </w:tc>
            </w:tr>
            <w:tr w14:paraId="7558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984" w:type="dxa"/>
                  <w:tcBorders>
                    <w:top w:val="single" w:color="auto" w:sz="4" w:space="0"/>
                    <w:left w:val="single" w:color="auto" w:sz="4" w:space="0"/>
                    <w:bottom w:val="single" w:color="auto" w:sz="4" w:space="0"/>
                    <w:right w:val="single" w:color="auto" w:sz="4" w:space="0"/>
                  </w:tcBorders>
                  <w:vAlign w:val="center"/>
                </w:tcPr>
                <w:p w14:paraId="43079301">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4256" w:type="dxa"/>
                  <w:tcBorders>
                    <w:top w:val="single" w:color="auto" w:sz="4" w:space="0"/>
                    <w:left w:val="single" w:color="auto" w:sz="4" w:space="0"/>
                    <w:bottom w:val="single" w:color="auto" w:sz="4" w:space="0"/>
                    <w:right w:val="single" w:color="auto" w:sz="4" w:space="0"/>
                  </w:tcBorders>
                  <w:vAlign w:val="center"/>
                </w:tcPr>
                <w:p w14:paraId="6E5E14A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本期间完成的零星工作项目价款</w:t>
                  </w:r>
                </w:p>
              </w:tc>
              <w:tc>
                <w:tcPr>
                  <w:tcW w:w="1932" w:type="dxa"/>
                  <w:tcBorders>
                    <w:top w:val="single" w:color="auto" w:sz="4" w:space="0"/>
                    <w:left w:val="single" w:color="auto" w:sz="4" w:space="0"/>
                    <w:bottom w:val="single" w:color="auto" w:sz="4" w:space="0"/>
                    <w:right w:val="single" w:color="auto" w:sz="4" w:space="0"/>
                  </w:tcBorders>
                  <w:vAlign w:val="center"/>
                </w:tcPr>
                <w:p w14:paraId="760BFDAA">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3E22CBAA">
                  <w:pPr>
                    <w:spacing w:line="420" w:lineRule="exact"/>
                    <w:rPr>
                      <w:rFonts w:hint="eastAsia" w:ascii="仿宋_GB2312" w:hAnsi="仿宋_GB2312" w:eastAsia="仿宋_GB2312" w:cs="仿宋_GB2312"/>
                      <w:color w:val="auto"/>
                      <w:sz w:val="24"/>
                      <w:szCs w:val="24"/>
                      <w:highlight w:val="none"/>
                    </w:rPr>
                  </w:pPr>
                </w:p>
              </w:tc>
            </w:tr>
            <w:tr w14:paraId="0995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984" w:type="dxa"/>
                  <w:tcBorders>
                    <w:top w:val="single" w:color="auto" w:sz="4" w:space="0"/>
                    <w:left w:val="single" w:color="auto" w:sz="4" w:space="0"/>
                    <w:bottom w:val="single" w:color="auto" w:sz="4" w:space="0"/>
                    <w:right w:val="single" w:color="auto" w:sz="4" w:space="0"/>
                  </w:tcBorders>
                  <w:vAlign w:val="center"/>
                </w:tcPr>
                <w:p w14:paraId="35CB098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4256" w:type="dxa"/>
                  <w:tcBorders>
                    <w:top w:val="single" w:color="auto" w:sz="4" w:space="0"/>
                    <w:left w:val="single" w:color="auto" w:sz="4" w:space="0"/>
                    <w:bottom w:val="single" w:color="auto" w:sz="4" w:space="0"/>
                    <w:right w:val="single" w:color="auto" w:sz="4" w:space="0"/>
                  </w:tcBorders>
                  <w:vAlign w:val="center"/>
                </w:tcPr>
                <w:p w14:paraId="6394BA79">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本期间应支付的预留金价款</w:t>
                  </w:r>
                </w:p>
              </w:tc>
              <w:tc>
                <w:tcPr>
                  <w:tcW w:w="1932" w:type="dxa"/>
                  <w:tcBorders>
                    <w:top w:val="single" w:color="auto" w:sz="4" w:space="0"/>
                    <w:left w:val="single" w:color="auto" w:sz="4" w:space="0"/>
                    <w:bottom w:val="single" w:color="auto" w:sz="4" w:space="0"/>
                    <w:right w:val="single" w:color="auto" w:sz="4" w:space="0"/>
                  </w:tcBorders>
                  <w:vAlign w:val="center"/>
                </w:tcPr>
                <w:p w14:paraId="67569C62">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0FC60FFF">
                  <w:pPr>
                    <w:spacing w:line="420" w:lineRule="exact"/>
                    <w:rPr>
                      <w:rFonts w:hint="eastAsia" w:ascii="仿宋_GB2312" w:hAnsi="仿宋_GB2312" w:eastAsia="仿宋_GB2312" w:cs="仿宋_GB2312"/>
                      <w:color w:val="auto"/>
                      <w:sz w:val="24"/>
                      <w:szCs w:val="24"/>
                      <w:highlight w:val="none"/>
                    </w:rPr>
                  </w:pPr>
                </w:p>
              </w:tc>
            </w:tr>
            <w:tr w14:paraId="43E9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984" w:type="dxa"/>
                  <w:tcBorders>
                    <w:top w:val="single" w:color="auto" w:sz="4" w:space="0"/>
                    <w:left w:val="single" w:color="auto" w:sz="4" w:space="0"/>
                    <w:bottom w:val="single" w:color="auto" w:sz="4" w:space="0"/>
                    <w:right w:val="single" w:color="auto" w:sz="4" w:space="0"/>
                  </w:tcBorders>
                  <w:vAlign w:val="center"/>
                </w:tcPr>
                <w:p w14:paraId="4F6EC72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4256" w:type="dxa"/>
                  <w:tcBorders>
                    <w:top w:val="single" w:color="auto" w:sz="4" w:space="0"/>
                    <w:left w:val="single" w:color="auto" w:sz="4" w:space="0"/>
                    <w:bottom w:val="single" w:color="auto" w:sz="4" w:space="0"/>
                    <w:right w:val="single" w:color="auto" w:sz="4" w:space="0"/>
                  </w:tcBorders>
                  <w:vAlign w:val="center"/>
                </w:tcPr>
                <w:p w14:paraId="63DAFF4D">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本期间应支付的工程变更价款</w:t>
                  </w:r>
                </w:p>
              </w:tc>
              <w:tc>
                <w:tcPr>
                  <w:tcW w:w="1932" w:type="dxa"/>
                  <w:tcBorders>
                    <w:top w:val="single" w:color="auto" w:sz="4" w:space="0"/>
                    <w:left w:val="single" w:color="auto" w:sz="4" w:space="0"/>
                    <w:bottom w:val="single" w:color="auto" w:sz="4" w:space="0"/>
                    <w:right w:val="single" w:color="auto" w:sz="4" w:space="0"/>
                  </w:tcBorders>
                  <w:vAlign w:val="center"/>
                </w:tcPr>
                <w:p w14:paraId="363D4327">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2F1353E6">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根据第66条</w:t>
                  </w:r>
                </w:p>
              </w:tc>
            </w:tr>
            <w:tr w14:paraId="5AFE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984" w:type="dxa"/>
                  <w:tcBorders>
                    <w:top w:val="single" w:color="auto" w:sz="4" w:space="0"/>
                    <w:left w:val="single" w:color="auto" w:sz="4" w:space="0"/>
                    <w:bottom w:val="single" w:color="auto" w:sz="4" w:space="0"/>
                    <w:right w:val="single" w:color="auto" w:sz="4" w:space="0"/>
                  </w:tcBorders>
                  <w:vAlign w:val="center"/>
                </w:tcPr>
                <w:p w14:paraId="78A9774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4256" w:type="dxa"/>
                  <w:tcBorders>
                    <w:top w:val="single" w:color="auto" w:sz="4" w:space="0"/>
                    <w:left w:val="single" w:color="auto" w:sz="4" w:space="0"/>
                    <w:bottom w:val="single" w:color="auto" w:sz="4" w:space="0"/>
                    <w:right w:val="single" w:color="auto" w:sz="4" w:space="0"/>
                  </w:tcBorders>
                  <w:vAlign w:val="center"/>
                </w:tcPr>
                <w:p w14:paraId="7705347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本期间应支付的安全防护、文明施工措施费</w:t>
                  </w:r>
                </w:p>
              </w:tc>
              <w:tc>
                <w:tcPr>
                  <w:tcW w:w="1932" w:type="dxa"/>
                  <w:tcBorders>
                    <w:top w:val="single" w:color="auto" w:sz="4" w:space="0"/>
                    <w:left w:val="single" w:color="auto" w:sz="4" w:space="0"/>
                    <w:bottom w:val="single" w:color="auto" w:sz="4" w:space="0"/>
                    <w:right w:val="single" w:color="auto" w:sz="4" w:space="0"/>
                  </w:tcBorders>
                  <w:vAlign w:val="center"/>
                </w:tcPr>
                <w:p w14:paraId="60062E30">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6A1C08B8">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根据第68条至第 76 条</w:t>
                  </w:r>
                </w:p>
              </w:tc>
            </w:tr>
            <w:tr w14:paraId="6F0F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984" w:type="dxa"/>
                  <w:tcBorders>
                    <w:top w:val="single" w:color="auto" w:sz="4" w:space="0"/>
                    <w:left w:val="single" w:color="auto" w:sz="4" w:space="0"/>
                    <w:bottom w:val="single" w:color="auto" w:sz="4" w:space="0"/>
                    <w:right w:val="single" w:color="auto" w:sz="4" w:space="0"/>
                  </w:tcBorders>
                  <w:vAlign w:val="center"/>
                </w:tcPr>
                <w:p w14:paraId="6109DD2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4256" w:type="dxa"/>
                  <w:tcBorders>
                    <w:top w:val="single" w:color="auto" w:sz="4" w:space="0"/>
                    <w:left w:val="single" w:color="auto" w:sz="4" w:space="0"/>
                    <w:bottom w:val="single" w:color="auto" w:sz="4" w:space="0"/>
                    <w:right w:val="single" w:color="auto" w:sz="4" w:space="0"/>
                  </w:tcBorders>
                  <w:vAlign w:val="center"/>
                </w:tcPr>
                <w:p w14:paraId="166479CB">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物价和后继法律法规的调整价款</w:t>
                  </w:r>
                </w:p>
              </w:tc>
              <w:tc>
                <w:tcPr>
                  <w:tcW w:w="1932" w:type="dxa"/>
                  <w:tcBorders>
                    <w:top w:val="single" w:color="auto" w:sz="4" w:space="0"/>
                    <w:left w:val="single" w:color="auto" w:sz="4" w:space="0"/>
                    <w:bottom w:val="single" w:color="auto" w:sz="4" w:space="0"/>
                    <w:right w:val="single" w:color="auto" w:sz="4" w:space="0"/>
                  </w:tcBorders>
                  <w:vAlign w:val="center"/>
                </w:tcPr>
                <w:p w14:paraId="1105A47D">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7D3E5122">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根据第79条</w:t>
                  </w:r>
                </w:p>
              </w:tc>
            </w:tr>
            <w:tr w14:paraId="77CC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984" w:type="dxa"/>
                  <w:tcBorders>
                    <w:top w:val="single" w:color="auto" w:sz="4" w:space="0"/>
                    <w:left w:val="single" w:color="auto" w:sz="4" w:space="0"/>
                    <w:bottom w:val="single" w:color="auto" w:sz="4" w:space="0"/>
                    <w:right w:val="single" w:color="auto" w:sz="4" w:space="0"/>
                  </w:tcBorders>
                  <w:vAlign w:val="center"/>
                </w:tcPr>
                <w:p w14:paraId="18B860D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4256" w:type="dxa"/>
                  <w:tcBorders>
                    <w:top w:val="single" w:color="auto" w:sz="4" w:space="0"/>
                    <w:left w:val="single" w:color="auto" w:sz="4" w:space="0"/>
                    <w:bottom w:val="single" w:color="auto" w:sz="4" w:space="0"/>
                    <w:right w:val="single" w:color="auto" w:sz="4" w:space="0"/>
                  </w:tcBorders>
                  <w:vAlign w:val="center"/>
                </w:tcPr>
                <w:p w14:paraId="37BCF50A">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本期间应扣除的误期赔偿费</w:t>
                  </w:r>
                </w:p>
              </w:tc>
              <w:tc>
                <w:tcPr>
                  <w:tcW w:w="1932" w:type="dxa"/>
                  <w:tcBorders>
                    <w:top w:val="single" w:color="auto" w:sz="4" w:space="0"/>
                    <w:left w:val="single" w:color="auto" w:sz="4" w:space="0"/>
                    <w:bottom w:val="single" w:color="auto" w:sz="4" w:space="0"/>
                    <w:right w:val="single" w:color="auto" w:sz="4" w:space="0"/>
                  </w:tcBorders>
                  <w:vAlign w:val="center"/>
                </w:tcPr>
                <w:p w14:paraId="72E5FC84">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767B0B5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根据第80条</w:t>
                  </w:r>
                </w:p>
              </w:tc>
            </w:tr>
            <w:tr w14:paraId="653A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984" w:type="dxa"/>
                  <w:tcBorders>
                    <w:top w:val="single" w:color="auto" w:sz="4" w:space="0"/>
                    <w:left w:val="single" w:color="auto" w:sz="4" w:space="0"/>
                    <w:bottom w:val="single" w:color="auto" w:sz="4" w:space="0"/>
                    <w:right w:val="single" w:color="auto" w:sz="4" w:space="0"/>
                  </w:tcBorders>
                  <w:vAlign w:val="center"/>
                </w:tcPr>
                <w:p w14:paraId="557D192A">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4256" w:type="dxa"/>
                  <w:tcBorders>
                    <w:top w:val="single" w:color="auto" w:sz="4" w:space="0"/>
                    <w:left w:val="single" w:color="auto" w:sz="4" w:space="0"/>
                    <w:bottom w:val="single" w:color="auto" w:sz="4" w:space="0"/>
                    <w:right w:val="single" w:color="auto" w:sz="4" w:space="0"/>
                  </w:tcBorders>
                  <w:vAlign w:val="center"/>
                </w:tcPr>
                <w:p w14:paraId="5684DA24">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本期间应扣回的预付款</w:t>
                  </w:r>
                </w:p>
              </w:tc>
              <w:tc>
                <w:tcPr>
                  <w:tcW w:w="1932" w:type="dxa"/>
                  <w:tcBorders>
                    <w:top w:val="single" w:color="auto" w:sz="4" w:space="0"/>
                    <w:left w:val="single" w:color="auto" w:sz="4" w:space="0"/>
                    <w:bottom w:val="single" w:color="auto" w:sz="4" w:space="0"/>
                    <w:right w:val="single" w:color="auto" w:sz="4" w:space="0"/>
                  </w:tcBorders>
                  <w:vAlign w:val="center"/>
                </w:tcPr>
                <w:p w14:paraId="487F7E25">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25200E1D">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根据第84条</w:t>
                  </w:r>
                </w:p>
              </w:tc>
            </w:tr>
            <w:tr w14:paraId="5F90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984" w:type="dxa"/>
                  <w:tcBorders>
                    <w:top w:val="single" w:color="auto" w:sz="4" w:space="0"/>
                    <w:left w:val="single" w:color="auto" w:sz="4" w:space="0"/>
                    <w:bottom w:val="single" w:color="auto" w:sz="4" w:space="0"/>
                    <w:right w:val="single" w:color="auto" w:sz="4" w:space="0"/>
                  </w:tcBorders>
                  <w:vAlign w:val="center"/>
                </w:tcPr>
                <w:p w14:paraId="34BF233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4256" w:type="dxa"/>
                  <w:tcBorders>
                    <w:top w:val="single" w:color="auto" w:sz="4" w:space="0"/>
                    <w:left w:val="single" w:color="auto" w:sz="4" w:space="0"/>
                    <w:bottom w:val="single" w:color="auto" w:sz="4" w:space="0"/>
                    <w:right w:val="single" w:color="auto" w:sz="4" w:space="0"/>
                  </w:tcBorders>
                  <w:vAlign w:val="center"/>
                </w:tcPr>
                <w:p w14:paraId="484C4597">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本期间应扣留的质量保证金</w:t>
                  </w:r>
                </w:p>
              </w:tc>
              <w:tc>
                <w:tcPr>
                  <w:tcW w:w="1932" w:type="dxa"/>
                  <w:tcBorders>
                    <w:top w:val="single" w:color="auto" w:sz="4" w:space="0"/>
                    <w:left w:val="single" w:color="auto" w:sz="4" w:space="0"/>
                    <w:bottom w:val="single" w:color="auto" w:sz="4" w:space="0"/>
                    <w:right w:val="single" w:color="auto" w:sz="4" w:space="0"/>
                  </w:tcBorders>
                  <w:vAlign w:val="center"/>
                </w:tcPr>
                <w:p w14:paraId="35687692">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53040D97">
                  <w:pPr>
                    <w:spacing w:line="420" w:lineRule="exact"/>
                    <w:rPr>
                      <w:rFonts w:hint="eastAsia" w:ascii="仿宋_GB2312" w:hAnsi="仿宋_GB2312" w:eastAsia="仿宋_GB2312" w:cs="仿宋_GB2312"/>
                      <w:color w:val="auto"/>
                      <w:sz w:val="24"/>
                      <w:szCs w:val="24"/>
                      <w:highlight w:val="none"/>
                    </w:rPr>
                  </w:pPr>
                </w:p>
              </w:tc>
            </w:tr>
            <w:tr w14:paraId="7936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984" w:type="dxa"/>
                  <w:tcBorders>
                    <w:top w:val="single" w:color="auto" w:sz="4" w:space="0"/>
                    <w:left w:val="single" w:color="auto" w:sz="4" w:space="0"/>
                    <w:bottom w:val="single" w:color="auto" w:sz="4" w:space="0"/>
                    <w:right w:val="single" w:color="auto" w:sz="4" w:space="0"/>
                  </w:tcBorders>
                  <w:vAlign w:val="center"/>
                </w:tcPr>
                <w:p w14:paraId="1CF84EAF">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4256" w:type="dxa"/>
                  <w:tcBorders>
                    <w:top w:val="single" w:color="auto" w:sz="4" w:space="0"/>
                    <w:left w:val="single" w:color="auto" w:sz="4" w:space="0"/>
                    <w:bottom w:val="single" w:color="auto" w:sz="4" w:space="0"/>
                    <w:right w:val="single" w:color="auto" w:sz="4" w:space="0"/>
                  </w:tcBorders>
                  <w:vAlign w:val="center"/>
                </w:tcPr>
                <w:p w14:paraId="61B7EF8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本期间应支付或扣回（留）的其他款项</w:t>
                  </w:r>
                </w:p>
              </w:tc>
              <w:tc>
                <w:tcPr>
                  <w:tcW w:w="1932" w:type="dxa"/>
                  <w:tcBorders>
                    <w:top w:val="single" w:color="auto" w:sz="4" w:space="0"/>
                    <w:left w:val="single" w:color="auto" w:sz="4" w:space="0"/>
                    <w:bottom w:val="single" w:color="auto" w:sz="4" w:space="0"/>
                    <w:right w:val="single" w:color="auto" w:sz="4" w:space="0"/>
                  </w:tcBorders>
                  <w:vAlign w:val="center"/>
                </w:tcPr>
                <w:p w14:paraId="4D258CC9">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1B6527EA">
                  <w:pPr>
                    <w:spacing w:line="420" w:lineRule="exact"/>
                    <w:rPr>
                      <w:rFonts w:hint="eastAsia" w:ascii="仿宋_GB2312" w:hAnsi="仿宋_GB2312" w:eastAsia="仿宋_GB2312" w:cs="仿宋_GB2312"/>
                      <w:color w:val="auto"/>
                      <w:sz w:val="24"/>
                      <w:szCs w:val="24"/>
                      <w:highlight w:val="none"/>
                    </w:rPr>
                  </w:pPr>
                </w:p>
              </w:tc>
            </w:tr>
            <w:tr w14:paraId="1E97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984" w:type="dxa"/>
                  <w:tcBorders>
                    <w:top w:val="single" w:color="auto" w:sz="4" w:space="0"/>
                    <w:left w:val="single" w:color="auto" w:sz="4" w:space="0"/>
                    <w:bottom w:val="single" w:color="auto" w:sz="4" w:space="0"/>
                    <w:right w:val="single" w:color="auto" w:sz="4" w:space="0"/>
                  </w:tcBorders>
                  <w:vAlign w:val="center"/>
                </w:tcPr>
                <w:p w14:paraId="2D12BECF">
                  <w:pPr>
                    <w:spacing w:line="420" w:lineRule="exact"/>
                    <w:jc w:val="center"/>
                    <w:rPr>
                      <w:rFonts w:hint="eastAsia" w:ascii="仿宋_GB2312" w:hAnsi="仿宋_GB2312" w:eastAsia="仿宋_GB2312" w:cs="仿宋_GB2312"/>
                      <w:color w:val="auto"/>
                      <w:sz w:val="24"/>
                      <w:szCs w:val="24"/>
                      <w:highlight w:val="none"/>
                    </w:rPr>
                  </w:pPr>
                </w:p>
              </w:tc>
              <w:tc>
                <w:tcPr>
                  <w:tcW w:w="4256" w:type="dxa"/>
                  <w:tcBorders>
                    <w:top w:val="single" w:color="auto" w:sz="4" w:space="0"/>
                    <w:left w:val="single" w:color="auto" w:sz="4" w:space="0"/>
                    <w:bottom w:val="single" w:color="auto" w:sz="4" w:space="0"/>
                    <w:right w:val="single" w:color="auto" w:sz="4" w:space="0"/>
                  </w:tcBorders>
                  <w:vAlign w:val="center"/>
                </w:tcPr>
                <w:p w14:paraId="275FED7C">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本期间应支付的工程价款</w:t>
                  </w:r>
                </w:p>
              </w:tc>
              <w:tc>
                <w:tcPr>
                  <w:tcW w:w="1932" w:type="dxa"/>
                  <w:tcBorders>
                    <w:top w:val="single" w:color="auto" w:sz="4" w:space="0"/>
                    <w:left w:val="single" w:color="auto" w:sz="4" w:space="0"/>
                    <w:bottom w:val="single" w:color="auto" w:sz="4" w:space="0"/>
                    <w:right w:val="single" w:color="auto" w:sz="4" w:space="0"/>
                  </w:tcBorders>
                  <w:vAlign w:val="center"/>
                </w:tcPr>
                <w:p w14:paraId="4B3A6686">
                  <w:pPr>
                    <w:spacing w:line="420" w:lineRule="exact"/>
                    <w:jc w:val="center"/>
                    <w:rPr>
                      <w:rFonts w:hint="eastAsia" w:ascii="仿宋_GB2312" w:hAnsi="仿宋_GB2312" w:eastAsia="仿宋_GB2312" w:cs="仿宋_GB2312"/>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119248E1">
                  <w:pPr>
                    <w:spacing w:line="420" w:lineRule="exact"/>
                    <w:rPr>
                      <w:rFonts w:hint="eastAsia" w:ascii="仿宋_GB2312" w:hAnsi="仿宋_GB2312" w:eastAsia="仿宋_GB2312" w:cs="仿宋_GB2312"/>
                      <w:color w:val="auto"/>
                      <w:sz w:val="24"/>
                      <w:szCs w:val="24"/>
                      <w:highlight w:val="none"/>
                    </w:rPr>
                  </w:pPr>
                </w:p>
              </w:tc>
            </w:tr>
          </w:tbl>
          <w:p w14:paraId="139AD97A">
            <w:pPr>
              <w:spacing w:line="300" w:lineRule="exact"/>
              <w:ind w:left="-28"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具体细目如下：</w:t>
            </w:r>
          </w:p>
          <w:p w14:paraId="340655F7">
            <w:pPr>
              <w:tabs>
                <w:tab w:val="left" w:pos="6912"/>
              </w:tabs>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附：1. 已完工程款额明细审核表</w:t>
            </w:r>
          </w:p>
          <w:p w14:paraId="541551B9">
            <w:pPr>
              <w:tabs>
                <w:tab w:val="left" w:pos="6912"/>
              </w:tabs>
              <w:spacing w:line="420" w:lineRule="exact"/>
              <w:ind w:left="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 相关记录</w:t>
            </w:r>
          </w:p>
          <w:p w14:paraId="3D1AE8F0">
            <w:pPr>
              <w:tabs>
                <w:tab w:val="left" w:pos="6912"/>
              </w:tabs>
              <w:spacing w:line="420" w:lineRule="exact"/>
              <w:ind w:firstLine="6000" w:firstLineChars="25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 xml:space="preserve">工程造价咨询人（如有）（章）                </w:t>
            </w:r>
          </w:p>
          <w:p w14:paraId="05ED75D1">
            <w:pPr>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造价工程师</w:t>
            </w:r>
            <w:r>
              <w:rPr>
                <w:rFonts w:hint="eastAsia" w:ascii="仿宋_GB2312" w:hAnsi="仿宋_GB2312" w:eastAsia="仿宋_GB2312" w:cs="仿宋_GB2312"/>
                <w:color w:val="auto"/>
                <w:sz w:val="24"/>
                <w:szCs w:val="24"/>
                <w:highlight w:val="none"/>
                <w:u w:val="single"/>
              </w:rPr>
              <w:t xml:space="preserve">               </w:t>
            </w:r>
          </w:p>
          <w:p w14:paraId="5B608554">
            <w:pPr>
              <w:tabs>
                <w:tab w:val="left" w:pos="7272"/>
              </w:tabs>
              <w:spacing w:line="420" w:lineRule="exact"/>
              <w:ind w:firstLine="60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日      期</w:t>
            </w:r>
            <w:r>
              <w:rPr>
                <w:rFonts w:hint="eastAsia" w:ascii="仿宋_GB2312" w:hAnsi="仿宋_GB2312" w:eastAsia="仿宋_GB2312" w:cs="仿宋_GB2312"/>
                <w:color w:val="auto"/>
                <w:sz w:val="24"/>
                <w:szCs w:val="24"/>
                <w:highlight w:val="none"/>
                <w:u w:val="single"/>
              </w:rPr>
              <w:t xml:space="preserve">               </w:t>
            </w:r>
          </w:p>
        </w:tc>
      </w:tr>
    </w:tbl>
    <w:p w14:paraId="10428FE4">
      <w:pPr>
        <w:widowControl w:val="0"/>
        <w:adjustRightInd w:val="0"/>
        <w:snapToGrid w:val="0"/>
        <w:spacing w:line="420" w:lineRule="exact"/>
        <w:ind w:left="719" w:leftChars="114" w:hanging="480" w:hanging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说明：本表一式四份，由造价咨询单位填制，抄送承包人。发包人、监理人、工程造价咨询人（如有）和承包人各存一份。</w:t>
      </w:r>
    </w:p>
    <w:p w14:paraId="7278133F">
      <w:pPr>
        <w:spacing w:line="420" w:lineRule="exact"/>
        <w:outlineLvl w:val="1"/>
        <w:rPr>
          <w:rFonts w:hint="eastAsia" w:ascii="黑体" w:hAnsi="黑体" w:eastAsia="黑体" w:cs="黑体"/>
          <w:b w:val="0"/>
          <w:bCs w:val="0"/>
          <w:color w:val="auto"/>
          <w:kern w:val="0"/>
          <w:sz w:val="24"/>
          <w:szCs w:val="24"/>
          <w:highlight w:val="none"/>
        </w:rPr>
      </w:pPr>
      <w:r>
        <w:rPr>
          <w:rFonts w:hint="eastAsia" w:ascii="宋体" w:hAnsi="宋体" w:cs="宋体"/>
          <w:color w:val="auto"/>
          <w:kern w:val="0"/>
          <w:sz w:val="22"/>
          <w:szCs w:val="22"/>
          <w:highlight w:val="none"/>
        </w:rPr>
        <w:br w:type="page"/>
      </w:r>
      <w:bookmarkStart w:id="811" w:name="_Toc266892955"/>
      <w:bookmarkStart w:id="812" w:name="_Toc469384169"/>
      <w:bookmarkStart w:id="813" w:name="_Toc10625013"/>
      <w:r>
        <w:rPr>
          <w:rFonts w:hint="eastAsia" w:ascii="黑体" w:hAnsi="黑体" w:eastAsia="黑体" w:cs="黑体"/>
          <w:b w:val="0"/>
          <w:bCs w:val="0"/>
          <w:color w:val="auto"/>
          <w:kern w:val="0"/>
          <w:sz w:val="24"/>
          <w:szCs w:val="24"/>
          <w:highlight w:val="none"/>
        </w:rPr>
        <w:t>格式2</w:t>
      </w:r>
      <w:bookmarkEnd w:id="811"/>
      <w:bookmarkEnd w:id="812"/>
      <w:bookmarkEnd w:id="813"/>
      <w:r>
        <w:rPr>
          <w:rFonts w:hint="eastAsia" w:ascii="黑体" w:hAnsi="黑体" w:eastAsia="黑体" w:cs="黑体"/>
          <w:b w:val="0"/>
          <w:bCs w:val="0"/>
          <w:color w:val="auto"/>
          <w:kern w:val="0"/>
          <w:sz w:val="24"/>
          <w:szCs w:val="24"/>
          <w:highlight w:val="none"/>
        </w:rPr>
        <w:t>8</w:t>
      </w:r>
    </w:p>
    <w:p w14:paraId="24A2A95E">
      <w:pPr>
        <w:spacing w:line="420" w:lineRule="exact"/>
        <w:jc w:val="center"/>
        <w:rPr>
          <w:rFonts w:hint="eastAsia" w:ascii="方正小标宋简体" w:hAnsi="方正小标宋简体" w:eastAsia="方正小标宋简体" w:cs="方正小标宋简体"/>
          <w:b w:val="0"/>
          <w:bCs w:val="0"/>
          <w:color w:val="auto"/>
          <w:spacing w:val="40"/>
          <w:sz w:val="32"/>
          <w:szCs w:val="32"/>
          <w:highlight w:val="none"/>
        </w:rPr>
      </w:pPr>
      <w:r>
        <w:rPr>
          <w:rFonts w:hint="eastAsia" w:ascii="方正小标宋简体" w:hAnsi="方正小标宋简体" w:eastAsia="方正小标宋简体" w:cs="方正小标宋简体"/>
          <w:b w:val="0"/>
          <w:bCs w:val="0"/>
          <w:color w:val="auto"/>
          <w:spacing w:val="40"/>
          <w:sz w:val="32"/>
          <w:szCs w:val="32"/>
          <w:highlight w:val="none"/>
        </w:rPr>
        <w:t>支付统计表</w:t>
      </w:r>
    </w:p>
    <w:p w14:paraId="17AEADF7">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工程名称：                         编号：</w:t>
      </w:r>
    </w:p>
    <w:tbl>
      <w:tblPr>
        <w:tblStyle w:val="18"/>
        <w:tblW w:w="9844" w:type="dxa"/>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881"/>
        <w:gridCol w:w="825"/>
        <w:gridCol w:w="1069"/>
        <w:gridCol w:w="1012"/>
        <w:gridCol w:w="1313"/>
        <w:gridCol w:w="1068"/>
        <w:gridCol w:w="657"/>
        <w:gridCol w:w="1481"/>
        <w:gridCol w:w="881"/>
      </w:tblGrid>
      <w:tr w14:paraId="09D5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657" w:type="dxa"/>
            <w:vMerge w:val="restart"/>
            <w:vAlign w:val="center"/>
          </w:tcPr>
          <w:p w14:paraId="0AB7ACE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881" w:type="dxa"/>
            <w:vMerge w:val="restart"/>
            <w:vAlign w:val="center"/>
          </w:tcPr>
          <w:p w14:paraId="07BD8F00">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支付证书编号</w:t>
            </w:r>
          </w:p>
        </w:tc>
        <w:tc>
          <w:tcPr>
            <w:tcW w:w="1894" w:type="dxa"/>
            <w:gridSpan w:val="2"/>
            <w:vAlign w:val="center"/>
          </w:tcPr>
          <w:p w14:paraId="22316EA3">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对应支付期间</w:t>
            </w:r>
          </w:p>
        </w:tc>
        <w:tc>
          <w:tcPr>
            <w:tcW w:w="2325" w:type="dxa"/>
            <w:gridSpan w:val="2"/>
            <w:vAlign w:val="center"/>
          </w:tcPr>
          <w:p w14:paraId="4E3B00F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期间已完工程</w:t>
            </w:r>
          </w:p>
        </w:tc>
        <w:tc>
          <w:tcPr>
            <w:tcW w:w="1725" w:type="dxa"/>
            <w:gridSpan w:val="2"/>
            <w:vAlign w:val="center"/>
          </w:tcPr>
          <w:p w14:paraId="621A6DA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期间实际支付</w:t>
            </w:r>
          </w:p>
        </w:tc>
        <w:tc>
          <w:tcPr>
            <w:tcW w:w="1481" w:type="dxa"/>
            <w:vMerge w:val="restart"/>
            <w:vAlign w:val="center"/>
          </w:tcPr>
          <w:p w14:paraId="7BFEB64B">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已扣留的</w:t>
            </w:r>
          </w:p>
          <w:p w14:paraId="5492CEF5">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质量保证金（元）</w:t>
            </w:r>
          </w:p>
        </w:tc>
        <w:tc>
          <w:tcPr>
            <w:tcW w:w="881" w:type="dxa"/>
            <w:vMerge w:val="restart"/>
            <w:vAlign w:val="center"/>
          </w:tcPr>
          <w:p w14:paraId="44A859C8">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14:paraId="0895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657" w:type="dxa"/>
            <w:vMerge w:val="continue"/>
            <w:vAlign w:val="center"/>
          </w:tcPr>
          <w:p w14:paraId="5C8912BA">
            <w:pPr>
              <w:widowControl/>
              <w:spacing w:line="420" w:lineRule="exact"/>
              <w:jc w:val="left"/>
              <w:rPr>
                <w:rFonts w:hint="eastAsia" w:ascii="仿宋_GB2312" w:hAnsi="仿宋_GB2312" w:eastAsia="仿宋_GB2312" w:cs="仿宋_GB2312"/>
                <w:color w:val="auto"/>
                <w:sz w:val="24"/>
                <w:szCs w:val="24"/>
                <w:highlight w:val="none"/>
              </w:rPr>
            </w:pPr>
          </w:p>
        </w:tc>
        <w:tc>
          <w:tcPr>
            <w:tcW w:w="881" w:type="dxa"/>
            <w:vMerge w:val="continue"/>
            <w:vAlign w:val="center"/>
          </w:tcPr>
          <w:p w14:paraId="206BF672">
            <w:pPr>
              <w:widowControl/>
              <w:spacing w:line="420" w:lineRule="exact"/>
              <w:jc w:val="left"/>
              <w:rPr>
                <w:rFonts w:hint="eastAsia" w:ascii="仿宋_GB2312" w:hAnsi="仿宋_GB2312" w:eastAsia="仿宋_GB2312" w:cs="仿宋_GB2312"/>
                <w:color w:val="auto"/>
                <w:sz w:val="24"/>
                <w:szCs w:val="24"/>
                <w:highlight w:val="none"/>
              </w:rPr>
            </w:pPr>
          </w:p>
        </w:tc>
        <w:tc>
          <w:tcPr>
            <w:tcW w:w="825" w:type="dxa"/>
            <w:vAlign w:val="center"/>
          </w:tcPr>
          <w:p w14:paraId="75B02C36">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开始日</w:t>
            </w:r>
          </w:p>
        </w:tc>
        <w:tc>
          <w:tcPr>
            <w:tcW w:w="1069" w:type="dxa"/>
            <w:vAlign w:val="center"/>
          </w:tcPr>
          <w:p w14:paraId="50503419">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截止日</w:t>
            </w:r>
          </w:p>
        </w:tc>
        <w:tc>
          <w:tcPr>
            <w:tcW w:w="1012" w:type="dxa"/>
            <w:vAlign w:val="center"/>
          </w:tcPr>
          <w:p w14:paraId="5930948E">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金额（元）</w:t>
            </w:r>
          </w:p>
        </w:tc>
        <w:tc>
          <w:tcPr>
            <w:tcW w:w="1313" w:type="dxa"/>
            <w:vAlign w:val="center"/>
          </w:tcPr>
          <w:p w14:paraId="00276164">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最迟支付时间</w:t>
            </w:r>
          </w:p>
        </w:tc>
        <w:tc>
          <w:tcPr>
            <w:tcW w:w="1068" w:type="dxa"/>
            <w:vAlign w:val="center"/>
          </w:tcPr>
          <w:p w14:paraId="58922D02">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金额 （元）</w:t>
            </w:r>
          </w:p>
        </w:tc>
        <w:tc>
          <w:tcPr>
            <w:tcW w:w="657" w:type="dxa"/>
            <w:vAlign w:val="center"/>
          </w:tcPr>
          <w:p w14:paraId="6D6EFB7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时间</w:t>
            </w:r>
          </w:p>
        </w:tc>
        <w:tc>
          <w:tcPr>
            <w:tcW w:w="1481" w:type="dxa"/>
            <w:vMerge w:val="continue"/>
            <w:vAlign w:val="center"/>
          </w:tcPr>
          <w:p w14:paraId="431B2D5F">
            <w:pPr>
              <w:widowControl/>
              <w:spacing w:line="420" w:lineRule="exact"/>
              <w:jc w:val="left"/>
              <w:rPr>
                <w:rFonts w:hint="eastAsia" w:ascii="仿宋_GB2312" w:hAnsi="仿宋_GB2312" w:eastAsia="仿宋_GB2312" w:cs="仿宋_GB2312"/>
                <w:color w:val="auto"/>
                <w:sz w:val="24"/>
                <w:szCs w:val="24"/>
                <w:highlight w:val="none"/>
              </w:rPr>
            </w:pPr>
          </w:p>
        </w:tc>
        <w:tc>
          <w:tcPr>
            <w:tcW w:w="881" w:type="dxa"/>
            <w:vMerge w:val="continue"/>
            <w:vAlign w:val="center"/>
          </w:tcPr>
          <w:p w14:paraId="6824E214">
            <w:pPr>
              <w:widowControl/>
              <w:spacing w:line="420" w:lineRule="exact"/>
              <w:jc w:val="left"/>
              <w:rPr>
                <w:rFonts w:hint="eastAsia" w:ascii="仿宋_GB2312" w:hAnsi="仿宋_GB2312" w:eastAsia="仿宋_GB2312" w:cs="仿宋_GB2312"/>
                <w:color w:val="auto"/>
                <w:sz w:val="24"/>
                <w:szCs w:val="24"/>
                <w:highlight w:val="none"/>
              </w:rPr>
            </w:pPr>
          </w:p>
        </w:tc>
      </w:tr>
      <w:tr w14:paraId="7E35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1E64E539">
            <w:pPr>
              <w:spacing w:line="420" w:lineRule="exact"/>
              <w:rPr>
                <w:rFonts w:hint="eastAsia" w:ascii="仿宋_GB2312" w:hAnsi="仿宋_GB2312" w:eastAsia="仿宋_GB2312" w:cs="仿宋_GB2312"/>
                <w:color w:val="auto"/>
                <w:sz w:val="24"/>
                <w:szCs w:val="24"/>
                <w:highlight w:val="none"/>
              </w:rPr>
            </w:pPr>
          </w:p>
        </w:tc>
        <w:tc>
          <w:tcPr>
            <w:tcW w:w="881" w:type="dxa"/>
          </w:tcPr>
          <w:p w14:paraId="50E68377">
            <w:pPr>
              <w:spacing w:line="420" w:lineRule="exact"/>
              <w:rPr>
                <w:rFonts w:hint="eastAsia" w:ascii="仿宋_GB2312" w:hAnsi="仿宋_GB2312" w:eastAsia="仿宋_GB2312" w:cs="仿宋_GB2312"/>
                <w:color w:val="auto"/>
                <w:sz w:val="24"/>
                <w:szCs w:val="24"/>
                <w:highlight w:val="none"/>
              </w:rPr>
            </w:pPr>
          </w:p>
        </w:tc>
        <w:tc>
          <w:tcPr>
            <w:tcW w:w="825" w:type="dxa"/>
          </w:tcPr>
          <w:p w14:paraId="218EA126">
            <w:pPr>
              <w:spacing w:line="420" w:lineRule="exact"/>
              <w:rPr>
                <w:rFonts w:hint="eastAsia" w:ascii="仿宋_GB2312" w:hAnsi="仿宋_GB2312" w:eastAsia="仿宋_GB2312" w:cs="仿宋_GB2312"/>
                <w:color w:val="auto"/>
                <w:sz w:val="24"/>
                <w:szCs w:val="24"/>
                <w:highlight w:val="none"/>
              </w:rPr>
            </w:pPr>
          </w:p>
        </w:tc>
        <w:tc>
          <w:tcPr>
            <w:tcW w:w="1069" w:type="dxa"/>
          </w:tcPr>
          <w:p w14:paraId="19A580CA">
            <w:pPr>
              <w:spacing w:line="420" w:lineRule="exact"/>
              <w:rPr>
                <w:rFonts w:hint="eastAsia" w:ascii="仿宋_GB2312" w:hAnsi="仿宋_GB2312" w:eastAsia="仿宋_GB2312" w:cs="仿宋_GB2312"/>
                <w:color w:val="auto"/>
                <w:sz w:val="24"/>
                <w:szCs w:val="24"/>
                <w:highlight w:val="none"/>
              </w:rPr>
            </w:pPr>
          </w:p>
        </w:tc>
        <w:tc>
          <w:tcPr>
            <w:tcW w:w="1012" w:type="dxa"/>
          </w:tcPr>
          <w:p w14:paraId="05327D1F">
            <w:pPr>
              <w:spacing w:line="420" w:lineRule="exact"/>
              <w:rPr>
                <w:rFonts w:hint="eastAsia" w:ascii="仿宋_GB2312" w:hAnsi="仿宋_GB2312" w:eastAsia="仿宋_GB2312" w:cs="仿宋_GB2312"/>
                <w:color w:val="auto"/>
                <w:sz w:val="24"/>
                <w:szCs w:val="24"/>
                <w:highlight w:val="none"/>
              </w:rPr>
            </w:pPr>
          </w:p>
        </w:tc>
        <w:tc>
          <w:tcPr>
            <w:tcW w:w="1313" w:type="dxa"/>
          </w:tcPr>
          <w:p w14:paraId="2E89BA20">
            <w:pPr>
              <w:spacing w:line="420" w:lineRule="exact"/>
              <w:rPr>
                <w:rFonts w:hint="eastAsia" w:ascii="仿宋_GB2312" w:hAnsi="仿宋_GB2312" w:eastAsia="仿宋_GB2312" w:cs="仿宋_GB2312"/>
                <w:color w:val="auto"/>
                <w:sz w:val="24"/>
                <w:szCs w:val="24"/>
                <w:highlight w:val="none"/>
              </w:rPr>
            </w:pPr>
          </w:p>
        </w:tc>
        <w:tc>
          <w:tcPr>
            <w:tcW w:w="1068" w:type="dxa"/>
          </w:tcPr>
          <w:p w14:paraId="6413882E">
            <w:pPr>
              <w:spacing w:line="420" w:lineRule="exact"/>
              <w:rPr>
                <w:rFonts w:hint="eastAsia" w:ascii="仿宋_GB2312" w:hAnsi="仿宋_GB2312" w:eastAsia="仿宋_GB2312" w:cs="仿宋_GB2312"/>
                <w:color w:val="auto"/>
                <w:sz w:val="24"/>
                <w:szCs w:val="24"/>
                <w:highlight w:val="none"/>
              </w:rPr>
            </w:pPr>
          </w:p>
        </w:tc>
        <w:tc>
          <w:tcPr>
            <w:tcW w:w="657" w:type="dxa"/>
          </w:tcPr>
          <w:p w14:paraId="511079BE">
            <w:pPr>
              <w:spacing w:line="420" w:lineRule="exact"/>
              <w:rPr>
                <w:rFonts w:hint="eastAsia" w:ascii="仿宋_GB2312" w:hAnsi="仿宋_GB2312" w:eastAsia="仿宋_GB2312" w:cs="仿宋_GB2312"/>
                <w:color w:val="auto"/>
                <w:sz w:val="24"/>
                <w:szCs w:val="24"/>
                <w:highlight w:val="none"/>
              </w:rPr>
            </w:pPr>
          </w:p>
        </w:tc>
        <w:tc>
          <w:tcPr>
            <w:tcW w:w="1481" w:type="dxa"/>
          </w:tcPr>
          <w:p w14:paraId="7FAFC98D">
            <w:pPr>
              <w:spacing w:line="420" w:lineRule="exact"/>
              <w:rPr>
                <w:rFonts w:hint="eastAsia" w:ascii="仿宋_GB2312" w:hAnsi="仿宋_GB2312" w:eastAsia="仿宋_GB2312" w:cs="仿宋_GB2312"/>
                <w:color w:val="auto"/>
                <w:sz w:val="24"/>
                <w:szCs w:val="24"/>
                <w:highlight w:val="none"/>
              </w:rPr>
            </w:pPr>
          </w:p>
        </w:tc>
        <w:tc>
          <w:tcPr>
            <w:tcW w:w="881" w:type="dxa"/>
          </w:tcPr>
          <w:p w14:paraId="47BD4607">
            <w:pPr>
              <w:spacing w:line="420" w:lineRule="exact"/>
              <w:rPr>
                <w:rFonts w:hint="eastAsia" w:ascii="仿宋_GB2312" w:hAnsi="仿宋_GB2312" w:eastAsia="仿宋_GB2312" w:cs="仿宋_GB2312"/>
                <w:color w:val="auto"/>
                <w:sz w:val="24"/>
                <w:szCs w:val="24"/>
                <w:highlight w:val="none"/>
              </w:rPr>
            </w:pPr>
          </w:p>
        </w:tc>
      </w:tr>
      <w:tr w14:paraId="4368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009CD517">
            <w:pPr>
              <w:spacing w:line="420" w:lineRule="exact"/>
              <w:rPr>
                <w:rFonts w:hint="eastAsia" w:ascii="仿宋_GB2312" w:hAnsi="仿宋_GB2312" w:eastAsia="仿宋_GB2312" w:cs="仿宋_GB2312"/>
                <w:color w:val="auto"/>
                <w:sz w:val="24"/>
                <w:szCs w:val="24"/>
                <w:highlight w:val="none"/>
              </w:rPr>
            </w:pPr>
          </w:p>
        </w:tc>
        <w:tc>
          <w:tcPr>
            <w:tcW w:w="881" w:type="dxa"/>
          </w:tcPr>
          <w:p w14:paraId="243F2052">
            <w:pPr>
              <w:spacing w:line="420" w:lineRule="exact"/>
              <w:rPr>
                <w:rFonts w:hint="eastAsia" w:ascii="仿宋_GB2312" w:hAnsi="仿宋_GB2312" w:eastAsia="仿宋_GB2312" w:cs="仿宋_GB2312"/>
                <w:color w:val="auto"/>
                <w:sz w:val="24"/>
                <w:szCs w:val="24"/>
                <w:highlight w:val="none"/>
              </w:rPr>
            </w:pPr>
          </w:p>
        </w:tc>
        <w:tc>
          <w:tcPr>
            <w:tcW w:w="825" w:type="dxa"/>
          </w:tcPr>
          <w:p w14:paraId="399D64FB">
            <w:pPr>
              <w:spacing w:line="420" w:lineRule="exact"/>
              <w:rPr>
                <w:rFonts w:hint="eastAsia" w:ascii="仿宋_GB2312" w:hAnsi="仿宋_GB2312" w:eastAsia="仿宋_GB2312" w:cs="仿宋_GB2312"/>
                <w:color w:val="auto"/>
                <w:sz w:val="24"/>
                <w:szCs w:val="24"/>
                <w:highlight w:val="none"/>
              </w:rPr>
            </w:pPr>
          </w:p>
        </w:tc>
        <w:tc>
          <w:tcPr>
            <w:tcW w:w="1069" w:type="dxa"/>
          </w:tcPr>
          <w:p w14:paraId="27B8F7C8">
            <w:pPr>
              <w:spacing w:line="420" w:lineRule="exact"/>
              <w:rPr>
                <w:rFonts w:hint="eastAsia" w:ascii="仿宋_GB2312" w:hAnsi="仿宋_GB2312" w:eastAsia="仿宋_GB2312" w:cs="仿宋_GB2312"/>
                <w:color w:val="auto"/>
                <w:sz w:val="24"/>
                <w:szCs w:val="24"/>
                <w:highlight w:val="none"/>
              </w:rPr>
            </w:pPr>
          </w:p>
        </w:tc>
        <w:tc>
          <w:tcPr>
            <w:tcW w:w="1012" w:type="dxa"/>
          </w:tcPr>
          <w:p w14:paraId="3EEC9093">
            <w:pPr>
              <w:spacing w:line="420" w:lineRule="exact"/>
              <w:rPr>
                <w:rFonts w:hint="eastAsia" w:ascii="仿宋_GB2312" w:hAnsi="仿宋_GB2312" w:eastAsia="仿宋_GB2312" w:cs="仿宋_GB2312"/>
                <w:color w:val="auto"/>
                <w:sz w:val="24"/>
                <w:szCs w:val="24"/>
                <w:highlight w:val="none"/>
              </w:rPr>
            </w:pPr>
          </w:p>
        </w:tc>
        <w:tc>
          <w:tcPr>
            <w:tcW w:w="1313" w:type="dxa"/>
          </w:tcPr>
          <w:p w14:paraId="2FB2820E">
            <w:pPr>
              <w:spacing w:line="420" w:lineRule="exact"/>
              <w:rPr>
                <w:rFonts w:hint="eastAsia" w:ascii="仿宋_GB2312" w:hAnsi="仿宋_GB2312" w:eastAsia="仿宋_GB2312" w:cs="仿宋_GB2312"/>
                <w:color w:val="auto"/>
                <w:sz w:val="24"/>
                <w:szCs w:val="24"/>
                <w:highlight w:val="none"/>
              </w:rPr>
            </w:pPr>
          </w:p>
        </w:tc>
        <w:tc>
          <w:tcPr>
            <w:tcW w:w="1068" w:type="dxa"/>
          </w:tcPr>
          <w:p w14:paraId="57D54156">
            <w:pPr>
              <w:spacing w:line="420" w:lineRule="exact"/>
              <w:rPr>
                <w:rFonts w:hint="eastAsia" w:ascii="仿宋_GB2312" w:hAnsi="仿宋_GB2312" w:eastAsia="仿宋_GB2312" w:cs="仿宋_GB2312"/>
                <w:color w:val="auto"/>
                <w:sz w:val="24"/>
                <w:szCs w:val="24"/>
                <w:highlight w:val="none"/>
              </w:rPr>
            </w:pPr>
          </w:p>
        </w:tc>
        <w:tc>
          <w:tcPr>
            <w:tcW w:w="657" w:type="dxa"/>
          </w:tcPr>
          <w:p w14:paraId="56D427F0">
            <w:pPr>
              <w:spacing w:line="420" w:lineRule="exact"/>
              <w:rPr>
                <w:rFonts w:hint="eastAsia" w:ascii="仿宋_GB2312" w:hAnsi="仿宋_GB2312" w:eastAsia="仿宋_GB2312" w:cs="仿宋_GB2312"/>
                <w:color w:val="auto"/>
                <w:sz w:val="24"/>
                <w:szCs w:val="24"/>
                <w:highlight w:val="none"/>
              </w:rPr>
            </w:pPr>
          </w:p>
        </w:tc>
        <w:tc>
          <w:tcPr>
            <w:tcW w:w="1481" w:type="dxa"/>
          </w:tcPr>
          <w:p w14:paraId="6432FB47">
            <w:pPr>
              <w:spacing w:line="420" w:lineRule="exact"/>
              <w:rPr>
                <w:rFonts w:hint="eastAsia" w:ascii="仿宋_GB2312" w:hAnsi="仿宋_GB2312" w:eastAsia="仿宋_GB2312" w:cs="仿宋_GB2312"/>
                <w:color w:val="auto"/>
                <w:sz w:val="24"/>
                <w:szCs w:val="24"/>
                <w:highlight w:val="none"/>
              </w:rPr>
            </w:pPr>
          </w:p>
        </w:tc>
        <w:tc>
          <w:tcPr>
            <w:tcW w:w="881" w:type="dxa"/>
          </w:tcPr>
          <w:p w14:paraId="69AFFA96">
            <w:pPr>
              <w:spacing w:line="420" w:lineRule="exact"/>
              <w:rPr>
                <w:rFonts w:hint="eastAsia" w:ascii="仿宋_GB2312" w:hAnsi="仿宋_GB2312" w:eastAsia="仿宋_GB2312" w:cs="仿宋_GB2312"/>
                <w:color w:val="auto"/>
                <w:sz w:val="24"/>
                <w:szCs w:val="24"/>
                <w:highlight w:val="none"/>
              </w:rPr>
            </w:pPr>
          </w:p>
        </w:tc>
      </w:tr>
      <w:tr w14:paraId="28EA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594995C9">
            <w:pPr>
              <w:spacing w:line="420" w:lineRule="exact"/>
              <w:rPr>
                <w:rFonts w:hint="eastAsia" w:ascii="仿宋_GB2312" w:hAnsi="仿宋_GB2312" w:eastAsia="仿宋_GB2312" w:cs="仿宋_GB2312"/>
                <w:color w:val="auto"/>
                <w:sz w:val="24"/>
                <w:szCs w:val="24"/>
                <w:highlight w:val="none"/>
              </w:rPr>
            </w:pPr>
          </w:p>
        </w:tc>
        <w:tc>
          <w:tcPr>
            <w:tcW w:w="881" w:type="dxa"/>
          </w:tcPr>
          <w:p w14:paraId="554B0D6C">
            <w:pPr>
              <w:spacing w:line="420" w:lineRule="exact"/>
              <w:rPr>
                <w:rFonts w:hint="eastAsia" w:ascii="仿宋_GB2312" w:hAnsi="仿宋_GB2312" w:eastAsia="仿宋_GB2312" w:cs="仿宋_GB2312"/>
                <w:color w:val="auto"/>
                <w:sz w:val="24"/>
                <w:szCs w:val="24"/>
                <w:highlight w:val="none"/>
              </w:rPr>
            </w:pPr>
          </w:p>
        </w:tc>
        <w:tc>
          <w:tcPr>
            <w:tcW w:w="825" w:type="dxa"/>
          </w:tcPr>
          <w:p w14:paraId="3E4425DF">
            <w:pPr>
              <w:spacing w:line="420" w:lineRule="exact"/>
              <w:rPr>
                <w:rFonts w:hint="eastAsia" w:ascii="仿宋_GB2312" w:hAnsi="仿宋_GB2312" w:eastAsia="仿宋_GB2312" w:cs="仿宋_GB2312"/>
                <w:color w:val="auto"/>
                <w:sz w:val="24"/>
                <w:szCs w:val="24"/>
                <w:highlight w:val="none"/>
              </w:rPr>
            </w:pPr>
          </w:p>
        </w:tc>
        <w:tc>
          <w:tcPr>
            <w:tcW w:w="1069" w:type="dxa"/>
          </w:tcPr>
          <w:p w14:paraId="469C5AF5">
            <w:pPr>
              <w:spacing w:line="420" w:lineRule="exact"/>
              <w:rPr>
                <w:rFonts w:hint="eastAsia" w:ascii="仿宋_GB2312" w:hAnsi="仿宋_GB2312" w:eastAsia="仿宋_GB2312" w:cs="仿宋_GB2312"/>
                <w:color w:val="auto"/>
                <w:sz w:val="24"/>
                <w:szCs w:val="24"/>
                <w:highlight w:val="none"/>
              </w:rPr>
            </w:pPr>
          </w:p>
        </w:tc>
        <w:tc>
          <w:tcPr>
            <w:tcW w:w="1012" w:type="dxa"/>
          </w:tcPr>
          <w:p w14:paraId="2BF5F128">
            <w:pPr>
              <w:spacing w:line="420" w:lineRule="exact"/>
              <w:rPr>
                <w:rFonts w:hint="eastAsia" w:ascii="仿宋_GB2312" w:hAnsi="仿宋_GB2312" w:eastAsia="仿宋_GB2312" w:cs="仿宋_GB2312"/>
                <w:color w:val="auto"/>
                <w:sz w:val="24"/>
                <w:szCs w:val="24"/>
                <w:highlight w:val="none"/>
              </w:rPr>
            </w:pPr>
          </w:p>
        </w:tc>
        <w:tc>
          <w:tcPr>
            <w:tcW w:w="1313" w:type="dxa"/>
          </w:tcPr>
          <w:p w14:paraId="5F44A507">
            <w:pPr>
              <w:spacing w:line="420" w:lineRule="exact"/>
              <w:rPr>
                <w:rFonts w:hint="eastAsia" w:ascii="仿宋_GB2312" w:hAnsi="仿宋_GB2312" w:eastAsia="仿宋_GB2312" w:cs="仿宋_GB2312"/>
                <w:color w:val="auto"/>
                <w:sz w:val="24"/>
                <w:szCs w:val="24"/>
                <w:highlight w:val="none"/>
              </w:rPr>
            </w:pPr>
          </w:p>
        </w:tc>
        <w:tc>
          <w:tcPr>
            <w:tcW w:w="1068" w:type="dxa"/>
          </w:tcPr>
          <w:p w14:paraId="7EBA33E8">
            <w:pPr>
              <w:spacing w:line="420" w:lineRule="exact"/>
              <w:rPr>
                <w:rFonts w:hint="eastAsia" w:ascii="仿宋_GB2312" w:hAnsi="仿宋_GB2312" w:eastAsia="仿宋_GB2312" w:cs="仿宋_GB2312"/>
                <w:color w:val="auto"/>
                <w:sz w:val="24"/>
                <w:szCs w:val="24"/>
                <w:highlight w:val="none"/>
              </w:rPr>
            </w:pPr>
          </w:p>
        </w:tc>
        <w:tc>
          <w:tcPr>
            <w:tcW w:w="657" w:type="dxa"/>
          </w:tcPr>
          <w:p w14:paraId="0D8D5340">
            <w:pPr>
              <w:spacing w:line="420" w:lineRule="exact"/>
              <w:rPr>
                <w:rFonts w:hint="eastAsia" w:ascii="仿宋_GB2312" w:hAnsi="仿宋_GB2312" w:eastAsia="仿宋_GB2312" w:cs="仿宋_GB2312"/>
                <w:color w:val="auto"/>
                <w:sz w:val="24"/>
                <w:szCs w:val="24"/>
                <w:highlight w:val="none"/>
              </w:rPr>
            </w:pPr>
          </w:p>
        </w:tc>
        <w:tc>
          <w:tcPr>
            <w:tcW w:w="1481" w:type="dxa"/>
          </w:tcPr>
          <w:p w14:paraId="643CDECB">
            <w:pPr>
              <w:spacing w:line="420" w:lineRule="exact"/>
              <w:rPr>
                <w:rFonts w:hint="eastAsia" w:ascii="仿宋_GB2312" w:hAnsi="仿宋_GB2312" w:eastAsia="仿宋_GB2312" w:cs="仿宋_GB2312"/>
                <w:color w:val="auto"/>
                <w:sz w:val="24"/>
                <w:szCs w:val="24"/>
                <w:highlight w:val="none"/>
              </w:rPr>
            </w:pPr>
          </w:p>
        </w:tc>
        <w:tc>
          <w:tcPr>
            <w:tcW w:w="881" w:type="dxa"/>
          </w:tcPr>
          <w:p w14:paraId="326E9F13">
            <w:pPr>
              <w:spacing w:line="420" w:lineRule="exact"/>
              <w:rPr>
                <w:rFonts w:hint="eastAsia" w:ascii="仿宋_GB2312" w:hAnsi="仿宋_GB2312" w:eastAsia="仿宋_GB2312" w:cs="仿宋_GB2312"/>
                <w:color w:val="auto"/>
                <w:sz w:val="24"/>
                <w:szCs w:val="24"/>
                <w:highlight w:val="none"/>
              </w:rPr>
            </w:pPr>
          </w:p>
        </w:tc>
      </w:tr>
      <w:tr w14:paraId="5064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39A7E4A1">
            <w:pPr>
              <w:spacing w:line="420" w:lineRule="exact"/>
              <w:rPr>
                <w:rFonts w:hint="eastAsia" w:ascii="仿宋_GB2312" w:hAnsi="仿宋_GB2312" w:eastAsia="仿宋_GB2312" w:cs="仿宋_GB2312"/>
                <w:color w:val="auto"/>
                <w:sz w:val="24"/>
                <w:szCs w:val="24"/>
                <w:highlight w:val="none"/>
              </w:rPr>
            </w:pPr>
          </w:p>
        </w:tc>
        <w:tc>
          <w:tcPr>
            <w:tcW w:w="881" w:type="dxa"/>
          </w:tcPr>
          <w:p w14:paraId="435E1FC5">
            <w:pPr>
              <w:spacing w:line="420" w:lineRule="exact"/>
              <w:rPr>
                <w:rFonts w:hint="eastAsia" w:ascii="仿宋_GB2312" w:hAnsi="仿宋_GB2312" w:eastAsia="仿宋_GB2312" w:cs="仿宋_GB2312"/>
                <w:color w:val="auto"/>
                <w:sz w:val="24"/>
                <w:szCs w:val="24"/>
                <w:highlight w:val="none"/>
              </w:rPr>
            </w:pPr>
          </w:p>
        </w:tc>
        <w:tc>
          <w:tcPr>
            <w:tcW w:w="825" w:type="dxa"/>
          </w:tcPr>
          <w:p w14:paraId="22A3862A">
            <w:pPr>
              <w:spacing w:line="420" w:lineRule="exact"/>
              <w:rPr>
                <w:rFonts w:hint="eastAsia" w:ascii="仿宋_GB2312" w:hAnsi="仿宋_GB2312" w:eastAsia="仿宋_GB2312" w:cs="仿宋_GB2312"/>
                <w:color w:val="auto"/>
                <w:sz w:val="24"/>
                <w:szCs w:val="24"/>
                <w:highlight w:val="none"/>
              </w:rPr>
            </w:pPr>
          </w:p>
        </w:tc>
        <w:tc>
          <w:tcPr>
            <w:tcW w:w="1069" w:type="dxa"/>
          </w:tcPr>
          <w:p w14:paraId="35026D97">
            <w:pPr>
              <w:spacing w:line="420" w:lineRule="exact"/>
              <w:rPr>
                <w:rFonts w:hint="eastAsia" w:ascii="仿宋_GB2312" w:hAnsi="仿宋_GB2312" w:eastAsia="仿宋_GB2312" w:cs="仿宋_GB2312"/>
                <w:color w:val="auto"/>
                <w:sz w:val="24"/>
                <w:szCs w:val="24"/>
                <w:highlight w:val="none"/>
              </w:rPr>
            </w:pPr>
          </w:p>
        </w:tc>
        <w:tc>
          <w:tcPr>
            <w:tcW w:w="1012" w:type="dxa"/>
          </w:tcPr>
          <w:p w14:paraId="129B3D63">
            <w:pPr>
              <w:spacing w:line="420" w:lineRule="exact"/>
              <w:rPr>
                <w:rFonts w:hint="eastAsia" w:ascii="仿宋_GB2312" w:hAnsi="仿宋_GB2312" w:eastAsia="仿宋_GB2312" w:cs="仿宋_GB2312"/>
                <w:color w:val="auto"/>
                <w:sz w:val="24"/>
                <w:szCs w:val="24"/>
                <w:highlight w:val="none"/>
              </w:rPr>
            </w:pPr>
          </w:p>
        </w:tc>
        <w:tc>
          <w:tcPr>
            <w:tcW w:w="1313" w:type="dxa"/>
          </w:tcPr>
          <w:p w14:paraId="291FF6A0">
            <w:pPr>
              <w:spacing w:line="420" w:lineRule="exact"/>
              <w:rPr>
                <w:rFonts w:hint="eastAsia" w:ascii="仿宋_GB2312" w:hAnsi="仿宋_GB2312" w:eastAsia="仿宋_GB2312" w:cs="仿宋_GB2312"/>
                <w:color w:val="auto"/>
                <w:sz w:val="24"/>
                <w:szCs w:val="24"/>
                <w:highlight w:val="none"/>
              </w:rPr>
            </w:pPr>
          </w:p>
        </w:tc>
        <w:tc>
          <w:tcPr>
            <w:tcW w:w="1068" w:type="dxa"/>
          </w:tcPr>
          <w:p w14:paraId="0D5F0505">
            <w:pPr>
              <w:spacing w:line="420" w:lineRule="exact"/>
              <w:rPr>
                <w:rFonts w:hint="eastAsia" w:ascii="仿宋_GB2312" w:hAnsi="仿宋_GB2312" w:eastAsia="仿宋_GB2312" w:cs="仿宋_GB2312"/>
                <w:color w:val="auto"/>
                <w:sz w:val="24"/>
                <w:szCs w:val="24"/>
                <w:highlight w:val="none"/>
              </w:rPr>
            </w:pPr>
          </w:p>
        </w:tc>
        <w:tc>
          <w:tcPr>
            <w:tcW w:w="657" w:type="dxa"/>
          </w:tcPr>
          <w:p w14:paraId="58D4ED97">
            <w:pPr>
              <w:spacing w:line="420" w:lineRule="exact"/>
              <w:rPr>
                <w:rFonts w:hint="eastAsia" w:ascii="仿宋_GB2312" w:hAnsi="仿宋_GB2312" w:eastAsia="仿宋_GB2312" w:cs="仿宋_GB2312"/>
                <w:color w:val="auto"/>
                <w:sz w:val="24"/>
                <w:szCs w:val="24"/>
                <w:highlight w:val="none"/>
              </w:rPr>
            </w:pPr>
          </w:p>
        </w:tc>
        <w:tc>
          <w:tcPr>
            <w:tcW w:w="1481" w:type="dxa"/>
          </w:tcPr>
          <w:p w14:paraId="7278B1CF">
            <w:pPr>
              <w:spacing w:line="420" w:lineRule="exact"/>
              <w:rPr>
                <w:rFonts w:hint="eastAsia" w:ascii="仿宋_GB2312" w:hAnsi="仿宋_GB2312" w:eastAsia="仿宋_GB2312" w:cs="仿宋_GB2312"/>
                <w:color w:val="auto"/>
                <w:sz w:val="24"/>
                <w:szCs w:val="24"/>
                <w:highlight w:val="none"/>
              </w:rPr>
            </w:pPr>
          </w:p>
        </w:tc>
        <w:tc>
          <w:tcPr>
            <w:tcW w:w="881" w:type="dxa"/>
          </w:tcPr>
          <w:p w14:paraId="0E41899B">
            <w:pPr>
              <w:spacing w:line="420" w:lineRule="exact"/>
              <w:rPr>
                <w:rFonts w:hint="eastAsia" w:ascii="仿宋_GB2312" w:hAnsi="仿宋_GB2312" w:eastAsia="仿宋_GB2312" w:cs="仿宋_GB2312"/>
                <w:color w:val="auto"/>
                <w:sz w:val="24"/>
                <w:szCs w:val="24"/>
                <w:highlight w:val="none"/>
              </w:rPr>
            </w:pPr>
          </w:p>
        </w:tc>
      </w:tr>
      <w:tr w14:paraId="59D4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324CDC29">
            <w:pPr>
              <w:spacing w:line="420" w:lineRule="exact"/>
              <w:rPr>
                <w:rFonts w:hint="eastAsia" w:ascii="仿宋_GB2312" w:hAnsi="仿宋_GB2312" w:eastAsia="仿宋_GB2312" w:cs="仿宋_GB2312"/>
                <w:color w:val="auto"/>
                <w:sz w:val="24"/>
                <w:szCs w:val="24"/>
                <w:highlight w:val="none"/>
              </w:rPr>
            </w:pPr>
          </w:p>
        </w:tc>
        <w:tc>
          <w:tcPr>
            <w:tcW w:w="881" w:type="dxa"/>
          </w:tcPr>
          <w:p w14:paraId="6B1EDD48">
            <w:pPr>
              <w:spacing w:line="420" w:lineRule="exact"/>
              <w:rPr>
                <w:rFonts w:hint="eastAsia" w:ascii="仿宋_GB2312" w:hAnsi="仿宋_GB2312" w:eastAsia="仿宋_GB2312" w:cs="仿宋_GB2312"/>
                <w:color w:val="auto"/>
                <w:sz w:val="24"/>
                <w:szCs w:val="24"/>
                <w:highlight w:val="none"/>
              </w:rPr>
            </w:pPr>
          </w:p>
        </w:tc>
        <w:tc>
          <w:tcPr>
            <w:tcW w:w="825" w:type="dxa"/>
          </w:tcPr>
          <w:p w14:paraId="78E9BD61">
            <w:pPr>
              <w:spacing w:line="420" w:lineRule="exact"/>
              <w:rPr>
                <w:rFonts w:hint="eastAsia" w:ascii="仿宋_GB2312" w:hAnsi="仿宋_GB2312" w:eastAsia="仿宋_GB2312" w:cs="仿宋_GB2312"/>
                <w:color w:val="auto"/>
                <w:sz w:val="24"/>
                <w:szCs w:val="24"/>
                <w:highlight w:val="none"/>
              </w:rPr>
            </w:pPr>
          </w:p>
        </w:tc>
        <w:tc>
          <w:tcPr>
            <w:tcW w:w="1069" w:type="dxa"/>
          </w:tcPr>
          <w:p w14:paraId="6E867603">
            <w:pPr>
              <w:spacing w:line="420" w:lineRule="exact"/>
              <w:rPr>
                <w:rFonts w:hint="eastAsia" w:ascii="仿宋_GB2312" w:hAnsi="仿宋_GB2312" w:eastAsia="仿宋_GB2312" w:cs="仿宋_GB2312"/>
                <w:color w:val="auto"/>
                <w:sz w:val="24"/>
                <w:szCs w:val="24"/>
                <w:highlight w:val="none"/>
              </w:rPr>
            </w:pPr>
          </w:p>
        </w:tc>
        <w:tc>
          <w:tcPr>
            <w:tcW w:w="1012" w:type="dxa"/>
          </w:tcPr>
          <w:p w14:paraId="6EBAEF30">
            <w:pPr>
              <w:spacing w:line="420" w:lineRule="exact"/>
              <w:rPr>
                <w:rFonts w:hint="eastAsia" w:ascii="仿宋_GB2312" w:hAnsi="仿宋_GB2312" w:eastAsia="仿宋_GB2312" w:cs="仿宋_GB2312"/>
                <w:color w:val="auto"/>
                <w:sz w:val="24"/>
                <w:szCs w:val="24"/>
                <w:highlight w:val="none"/>
              </w:rPr>
            </w:pPr>
          </w:p>
        </w:tc>
        <w:tc>
          <w:tcPr>
            <w:tcW w:w="1313" w:type="dxa"/>
          </w:tcPr>
          <w:p w14:paraId="1900D2CE">
            <w:pPr>
              <w:spacing w:line="420" w:lineRule="exact"/>
              <w:rPr>
                <w:rFonts w:hint="eastAsia" w:ascii="仿宋_GB2312" w:hAnsi="仿宋_GB2312" w:eastAsia="仿宋_GB2312" w:cs="仿宋_GB2312"/>
                <w:color w:val="auto"/>
                <w:sz w:val="24"/>
                <w:szCs w:val="24"/>
                <w:highlight w:val="none"/>
              </w:rPr>
            </w:pPr>
          </w:p>
        </w:tc>
        <w:tc>
          <w:tcPr>
            <w:tcW w:w="1068" w:type="dxa"/>
          </w:tcPr>
          <w:p w14:paraId="663FA8F9">
            <w:pPr>
              <w:spacing w:line="420" w:lineRule="exact"/>
              <w:rPr>
                <w:rFonts w:hint="eastAsia" w:ascii="仿宋_GB2312" w:hAnsi="仿宋_GB2312" w:eastAsia="仿宋_GB2312" w:cs="仿宋_GB2312"/>
                <w:color w:val="auto"/>
                <w:sz w:val="24"/>
                <w:szCs w:val="24"/>
                <w:highlight w:val="none"/>
              </w:rPr>
            </w:pPr>
          </w:p>
        </w:tc>
        <w:tc>
          <w:tcPr>
            <w:tcW w:w="657" w:type="dxa"/>
          </w:tcPr>
          <w:p w14:paraId="207C361E">
            <w:pPr>
              <w:spacing w:line="420" w:lineRule="exact"/>
              <w:rPr>
                <w:rFonts w:hint="eastAsia" w:ascii="仿宋_GB2312" w:hAnsi="仿宋_GB2312" w:eastAsia="仿宋_GB2312" w:cs="仿宋_GB2312"/>
                <w:color w:val="auto"/>
                <w:sz w:val="24"/>
                <w:szCs w:val="24"/>
                <w:highlight w:val="none"/>
              </w:rPr>
            </w:pPr>
          </w:p>
        </w:tc>
        <w:tc>
          <w:tcPr>
            <w:tcW w:w="1481" w:type="dxa"/>
          </w:tcPr>
          <w:p w14:paraId="0BFF1ED7">
            <w:pPr>
              <w:spacing w:line="420" w:lineRule="exact"/>
              <w:rPr>
                <w:rFonts w:hint="eastAsia" w:ascii="仿宋_GB2312" w:hAnsi="仿宋_GB2312" w:eastAsia="仿宋_GB2312" w:cs="仿宋_GB2312"/>
                <w:color w:val="auto"/>
                <w:sz w:val="24"/>
                <w:szCs w:val="24"/>
                <w:highlight w:val="none"/>
              </w:rPr>
            </w:pPr>
          </w:p>
        </w:tc>
        <w:tc>
          <w:tcPr>
            <w:tcW w:w="881" w:type="dxa"/>
          </w:tcPr>
          <w:p w14:paraId="33E9CB3A">
            <w:pPr>
              <w:spacing w:line="420" w:lineRule="exact"/>
              <w:rPr>
                <w:rFonts w:hint="eastAsia" w:ascii="仿宋_GB2312" w:hAnsi="仿宋_GB2312" w:eastAsia="仿宋_GB2312" w:cs="仿宋_GB2312"/>
                <w:color w:val="auto"/>
                <w:sz w:val="24"/>
                <w:szCs w:val="24"/>
                <w:highlight w:val="none"/>
              </w:rPr>
            </w:pPr>
          </w:p>
        </w:tc>
      </w:tr>
      <w:tr w14:paraId="7D0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56BA582B">
            <w:pPr>
              <w:spacing w:line="420" w:lineRule="exact"/>
              <w:rPr>
                <w:rFonts w:hint="eastAsia" w:ascii="仿宋_GB2312" w:hAnsi="仿宋_GB2312" w:eastAsia="仿宋_GB2312" w:cs="仿宋_GB2312"/>
                <w:color w:val="auto"/>
                <w:sz w:val="24"/>
                <w:szCs w:val="24"/>
                <w:highlight w:val="none"/>
              </w:rPr>
            </w:pPr>
          </w:p>
        </w:tc>
        <w:tc>
          <w:tcPr>
            <w:tcW w:w="881" w:type="dxa"/>
          </w:tcPr>
          <w:p w14:paraId="2307721F">
            <w:pPr>
              <w:spacing w:line="420" w:lineRule="exact"/>
              <w:rPr>
                <w:rFonts w:hint="eastAsia" w:ascii="仿宋_GB2312" w:hAnsi="仿宋_GB2312" w:eastAsia="仿宋_GB2312" w:cs="仿宋_GB2312"/>
                <w:color w:val="auto"/>
                <w:sz w:val="24"/>
                <w:szCs w:val="24"/>
                <w:highlight w:val="none"/>
              </w:rPr>
            </w:pPr>
          </w:p>
        </w:tc>
        <w:tc>
          <w:tcPr>
            <w:tcW w:w="825" w:type="dxa"/>
          </w:tcPr>
          <w:p w14:paraId="73B3DB27">
            <w:pPr>
              <w:spacing w:line="420" w:lineRule="exact"/>
              <w:rPr>
                <w:rFonts w:hint="eastAsia" w:ascii="仿宋_GB2312" w:hAnsi="仿宋_GB2312" w:eastAsia="仿宋_GB2312" w:cs="仿宋_GB2312"/>
                <w:color w:val="auto"/>
                <w:sz w:val="24"/>
                <w:szCs w:val="24"/>
                <w:highlight w:val="none"/>
              </w:rPr>
            </w:pPr>
          </w:p>
        </w:tc>
        <w:tc>
          <w:tcPr>
            <w:tcW w:w="1069" w:type="dxa"/>
          </w:tcPr>
          <w:p w14:paraId="5A7E185F">
            <w:pPr>
              <w:spacing w:line="420" w:lineRule="exact"/>
              <w:rPr>
                <w:rFonts w:hint="eastAsia" w:ascii="仿宋_GB2312" w:hAnsi="仿宋_GB2312" w:eastAsia="仿宋_GB2312" w:cs="仿宋_GB2312"/>
                <w:color w:val="auto"/>
                <w:sz w:val="24"/>
                <w:szCs w:val="24"/>
                <w:highlight w:val="none"/>
              </w:rPr>
            </w:pPr>
          </w:p>
        </w:tc>
        <w:tc>
          <w:tcPr>
            <w:tcW w:w="1012" w:type="dxa"/>
          </w:tcPr>
          <w:p w14:paraId="70A998EC">
            <w:pPr>
              <w:spacing w:line="420" w:lineRule="exact"/>
              <w:rPr>
                <w:rFonts w:hint="eastAsia" w:ascii="仿宋_GB2312" w:hAnsi="仿宋_GB2312" w:eastAsia="仿宋_GB2312" w:cs="仿宋_GB2312"/>
                <w:color w:val="auto"/>
                <w:sz w:val="24"/>
                <w:szCs w:val="24"/>
                <w:highlight w:val="none"/>
              </w:rPr>
            </w:pPr>
          </w:p>
        </w:tc>
        <w:tc>
          <w:tcPr>
            <w:tcW w:w="1313" w:type="dxa"/>
          </w:tcPr>
          <w:p w14:paraId="6D9C5483">
            <w:pPr>
              <w:spacing w:line="420" w:lineRule="exact"/>
              <w:rPr>
                <w:rFonts w:hint="eastAsia" w:ascii="仿宋_GB2312" w:hAnsi="仿宋_GB2312" w:eastAsia="仿宋_GB2312" w:cs="仿宋_GB2312"/>
                <w:color w:val="auto"/>
                <w:sz w:val="24"/>
                <w:szCs w:val="24"/>
                <w:highlight w:val="none"/>
              </w:rPr>
            </w:pPr>
          </w:p>
        </w:tc>
        <w:tc>
          <w:tcPr>
            <w:tcW w:w="1068" w:type="dxa"/>
          </w:tcPr>
          <w:p w14:paraId="1E18F28C">
            <w:pPr>
              <w:spacing w:line="420" w:lineRule="exact"/>
              <w:rPr>
                <w:rFonts w:hint="eastAsia" w:ascii="仿宋_GB2312" w:hAnsi="仿宋_GB2312" w:eastAsia="仿宋_GB2312" w:cs="仿宋_GB2312"/>
                <w:color w:val="auto"/>
                <w:sz w:val="24"/>
                <w:szCs w:val="24"/>
                <w:highlight w:val="none"/>
              </w:rPr>
            </w:pPr>
          </w:p>
        </w:tc>
        <w:tc>
          <w:tcPr>
            <w:tcW w:w="657" w:type="dxa"/>
          </w:tcPr>
          <w:p w14:paraId="0AB304E5">
            <w:pPr>
              <w:spacing w:line="420" w:lineRule="exact"/>
              <w:rPr>
                <w:rFonts w:hint="eastAsia" w:ascii="仿宋_GB2312" w:hAnsi="仿宋_GB2312" w:eastAsia="仿宋_GB2312" w:cs="仿宋_GB2312"/>
                <w:color w:val="auto"/>
                <w:sz w:val="24"/>
                <w:szCs w:val="24"/>
                <w:highlight w:val="none"/>
              </w:rPr>
            </w:pPr>
          </w:p>
        </w:tc>
        <w:tc>
          <w:tcPr>
            <w:tcW w:w="1481" w:type="dxa"/>
          </w:tcPr>
          <w:p w14:paraId="6A6D1F89">
            <w:pPr>
              <w:spacing w:line="420" w:lineRule="exact"/>
              <w:rPr>
                <w:rFonts w:hint="eastAsia" w:ascii="仿宋_GB2312" w:hAnsi="仿宋_GB2312" w:eastAsia="仿宋_GB2312" w:cs="仿宋_GB2312"/>
                <w:color w:val="auto"/>
                <w:sz w:val="24"/>
                <w:szCs w:val="24"/>
                <w:highlight w:val="none"/>
              </w:rPr>
            </w:pPr>
          </w:p>
        </w:tc>
        <w:tc>
          <w:tcPr>
            <w:tcW w:w="881" w:type="dxa"/>
          </w:tcPr>
          <w:p w14:paraId="7B09B964">
            <w:pPr>
              <w:spacing w:line="420" w:lineRule="exact"/>
              <w:rPr>
                <w:rFonts w:hint="eastAsia" w:ascii="仿宋_GB2312" w:hAnsi="仿宋_GB2312" w:eastAsia="仿宋_GB2312" w:cs="仿宋_GB2312"/>
                <w:color w:val="auto"/>
                <w:sz w:val="24"/>
                <w:szCs w:val="24"/>
                <w:highlight w:val="none"/>
              </w:rPr>
            </w:pPr>
          </w:p>
        </w:tc>
      </w:tr>
      <w:tr w14:paraId="1F37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6F09B668">
            <w:pPr>
              <w:spacing w:line="420" w:lineRule="exact"/>
              <w:rPr>
                <w:rFonts w:hint="eastAsia" w:ascii="仿宋_GB2312" w:hAnsi="仿宋_GB2312" w:eastAsia="仿宋_GB2312" w:cs="仿宋_GB2312"/>
                <w:color w:val="auto"/>
                <w:sz w:val="24"/>
                <w:szCs w:val="24"/>
                <w:highlight w:val="none"/>
              </w:rPr>
            </w:pPr>
          </w:p>
        </w:tc>
        <w:tc>
          <w:tcPr>
            <w:tcW w:w="881" w:type="dxa"/>
          </w:tcPr>
          <w:p w14:paraId="3BDB1F9D">
            <w:pPr>
              <w:spacing w:line="420" w:lineRule="exact"/>
              <w:rPr>
                <w:rFonts w:hint="eastAsia" w:ascii="仿宋_GB2312" w:hAnsi="仿宋_GB2312" w:eastAsia="仿宋_GB2312" w:cs="仿宋_GB2312"/>
                <w:color w:val="auto"/>
                <w:sz w:val="24"/>
                <w:szCs w:val="24"/>
                <w:highlight w:val="none"/>
              </w:rPr>
            </w:pPr>
          </w:p>
        </w:tc>
        <w:tc>
          <w:tcPr>
            <w:tcW w:w="825" w:type="dxa"/>
          </w:tcPr>
          <w:p w14:paraId="2BAB9FC3">
            <w:pPr>
              <w:spacing w:line="420" w:lineRule="exact"/>
              <w:rPr>
                <w:rFonts w:hint="eastAsia" w:ascii="仿宋_GB2312" w:hAnsi="仿宋_GB2312" w:eastAsia="仿宋_GB2312" w:cs="仿宋_GB2312"/>
                <w:color w:val="auto"/>
                <w:sz w:val="24"/>
                <w:szCs w:val="24"/>
                <w:highlight w:val="none"/>
              </w:rPr>
            </w:pPr>
          </w:p>
        </w:tc>
        <w:tc>
          <w:tcPr>
            <w:tcW w:w="1069" w:type="dxa"/>
          </w:tcPr>
          <w:p w14:paraId="640AB013">
            <w:pPr>
              <w:spacing w:line="420" w:lineRule="exact"/>
              <w:rPr>
                <w:rFonts w:hint="eastAsia" w:ascii="仿宋_GB2312" w:hAnsi="仿宋_GB2312" w:eastAsia="仿宋_GB2312" w:cs="仿宋_GB2312"/>
                <w:color w:val="auto"/>
                <w:sz w:val="24"/>
                <w:szCs w:val="24"/>
                <w:highlight w:val="none"/>
              </w:rPr>
            </w:pPr>
          </w:p>
        </w:tc>
        <w:tc>
          <w:tcPr>
            <w:tcW w:w="1012" w:type="dxa"/>
          </w:tcPr>
          <w:p w14:paraId="4D84304D">
            <w:pPr>
              <w:spacing w:line="420" w:lineRule="exact"/>
              <w:rPr>
                <w:rFonts w:hint="eastAsia" w:ascii="仿宋_GB2312" w:hAnsi="仿宋_GB2312" w:eastAsia="仿宋_GB2312" w:cs="仿宋_GB2312"/>
                <w:color w:val="auto"/>
                <w:sz w:val="24"/>
                <w:szCs w:val="24"/>
                <w:highlight w:val="none"/>
              </w:rPr>
            </w:pPr>
          </w:p>
        </w:tc>
        <w:tc>
          <w:tcPr>
            <w:tcW w:w="1313" w:type="dxa"/>
          </w:tcPr>
          <w:p w14:paraId="09325FB0">
            <w:pPr>
              <w:spacing w:line="420" w:lineRule="exact"/>
              <w:rPr>
                <w:rFonts w:hint="eastAsia" w:ascii="仿宋_GB2312" w:hAnsi="仿宋_GB2312" w:eastAsia="仿宋_GB2312" w:cs="仿宋_GB2312"/>
                <w:color w:val="auto"/>
                <w:sz w:val="24"/>
                <w:szCs w:val="24"/>
                <w:highlight w:val="none"/>
              </w:rPr>
            </w:pPr>
          </w:p>
        </w:tc>
        <w:tc>
          <w:tcPr>
            <w:tcW w:w="1068" w:type="dxa"/>
          </w:tcPr>
          <w:p w14:paraId="2A8F89B4">
            <w:pPr>
              <w:spacing w:line="420" w:lineRule="exact"/>
              <w:rPr>
                <w:rFonts w:hint="eastAsia" w:ascii="仿宋_GB2312" w:hAnsi="仿宋_GB2312" w:eastAsia="仿宋_GB2312" w:cs="仿宋_GB2312"/>
                <w:color w:val="auto"/>
                <w:sz w:val="24"/>
                <w:szCs w:val="24"/>
                <w:highlight w:val="none"/>
              </w:rPr>
            </w:pPr>
          </w:p>
        </w:tc>
        <w:tc>
          <w:tcPr>
            <w:tcW w:w="657" w:type="dxa"/>
          </w:tcPr>
          <w:p w14:paraId="27FF8FEB">
            <w:pPr>
              <w:spacing w:line="420" w:lineRule="exact"/>
              <w:rPr>
                <w:rFonts w:hint="eastAsia" w:ascii="仿宋_GB2312" w:hAnsi="仿宋_GB2312" w:eastAsia="仿宋_GB2312" w:cs="仿宋_GB2312"/>
                <w:color w:val="auto"/>
                <w:sz w:val="24"/>
                <w:szCs w:val="24"/>
                <w:highlight w:val="none"/>
              </w:rPr>
            </w:pPr>
          </w:p>
        </w:tc>
        <w:tc>
          <w:tcPr>
            <w:tcW w:w="1481" w:type="dxa"/>
          </w:tcPr>
          <w:p w14:paraId="07F0958A">
            <w:pPr>
              <w:spacing w:line="420" w:lineRule="exact"/>
              <w:rPr>
                <w:rFonts w:hint="eastAsia" w:ascii="仿宋_GB2312" w:hAnsi="仿宋_GB2312" w:eastAsia="仿宋_GB2312" w:cs="仿宋_GB2312"/>
                <w:color w:val="auto"/>
                <w:sz w:val="24"/>
                <w:szCs w:val="24"/>
                <w:highlight w:val="none"/>
              </w:rPr>
            </w:pPr>
          </w:p>
        </w:tc>
        <w:tc>
          <w:tcPr>
            <w:tcW w:w="881" w:type="dxa"/>
          </w:tcPr>
          <w:p w14:paraId="6895F187">
            <w:pPr>
              <w:spacing w:line="420" w:lineRule="exact"/>
              <w:rPr>
                <w:rFonts w:hint="eastAsia" w:ascii="仿宋_GB2312" w:hAnsi="仿宋_GB2312" w:eastAsia="仿宋_GB2312" w:cs="仿宋_GB2312"/>
                <w:color w:val="auto"/>
                <w:sz w:val="24"/>
                <w:szCs w:val="24"/>
                <w:highlight w:val="none"/>
              </w:rPr>
            </w:pPr>
          </w:p>
        </w:tc>
      </w:tr>
      <w:tr w14:paraId="49C7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64C98DA6">
            <w:pPr>
              <w:spacing w:line="420" w:lineRule="exact"/>
              <w:rPr>
                <w:rFonts w:hint="eastAsia" w:ascii="仿宋_GB2312" w:hAnsi="仿宋_GB2312" w:eastAsia="仿宋_GB2312" w:cs="仿宋_GB2312"/>
                <w:color w:val="auto"/>
                <w:sz w:val="24"/>
                <w:szCs w:val="24"/>
                <w:highlight w:val="none"/>
              </w:rPr>
            </w:pPr>
          </w:p>
        </w:tc>
        <w:tc>
          <w:tcPr>
            <w:tcW w:w="881" w:type="dxa"/>
          </w:tcPr>
          <w:p w14:paraId="12C8229B">
            <w:pPr>
              <w:spacing w:line="420" w:lineRule="exact"/>
              <w:rPr>
                <w:rFonts w:hint="eastAsia" w:ascii="仿宋_GB2312" w:hAnsi="仿宋_GB2312" w:eastAsia="仿宋_GB2312" w:cs="仿宋_GB2312"/>
                <w:color w:val="auto"/>
                <w:sz w:val="24"/>
                <w:szCs w:val="24"/>
                <w:highlight w:val="none"/>
              </w:rPr>
            </w:pPr>
          </w:p>
        </w:tc>
        <w:tc>
          <w:tcPr>
            <w:tcW w:w="825" w:type="dxa"/>
          </w:tcPr>
          <w:p w14:paraId="1800A408">
            <w:pPr>
              <w:spacing w:line="420" w:lineRule="exact"/>
              <w:rPr>
                <w:rFonts w:hint="eastAsia" w:ascii="仿宋_GB2312" w:hAnsi="仿宋_GB2312" w:eastAsia="仿宋_GB2312" w:cs="仿宋_GB2312"/>
                <w:color w:val="auto"/>
                <w:sz w:val="24"/>
                <w:szCs w:val="24"/>
                <w:highlight w:val="none"/>
              </w:rPr>
            </w:pPr>
          </w:p>
        </w:tc>
        <w:tc>
          <w:tcPr>
            <w:tcW w:w="1069" w:type="dxa"/>
          </w:tcPr>
          <w:p w14:paraId="4686086D">
            <w:pPr>
              <w:spacing w:line="420" w:lineRule="exact"/>
              <w:rPr>
                <w:rFonts w:hint="eastAsia" w:ascii="仿宋_GB2312" w:hAnsi="仿宋_GB2312" w:eastAsia="仿宋_GB2312" w:cs="仿宋_GB2312"/>
                <w:color w:val="auto"/>
                <w:sz w:val="24"/>
                <w:szCs w:val="24"/>
                <w:highlight w:val="none"/>
              </w:rPr>
            </w:pPr>
          </w:p>
        </w:tc>
        <w:tc>
          <w:tcPr>
            <w:tcW w:w="1012" w:type="dxa"/>
          </w:tcPr>
          <w:p w14:paraId="7B392EFC">
            <w:pPr>
              <w:spacing w:line="420" w:lineRule="exact"/>
              <w:rPr>
                <w:rFonts w:hint="eastAsia" w:ascii="仿宋_GB2312" w:hAnsi="仿宋_GB2312" w:eastAsia="仿宋_GB2312" w:cs="仿宋_GB2312"/>
                <w:color w:val="auto"/>
                <w:sz w:val="24"/>
                <w:szCs w:val="24"/>
                <w:highlight w:val="none"/>
              </w:rPr>
            </w:pPr>
          </w:p>
        </w:tc>
        <w:tc>
          <w:tcPr>
            <w:tcW w:w="1313" w:type="dxa"/>
          </w:tcPr>
          <w:p w14:paraId="0AC9EC7C">
            <w:pPr>
              <w:spacing w:line="420" w:lineRule="exact"/>
              <w:rPr>
                <w:rFonts w:hint="eastAsia" w:ascii="仿宋_GB2312" w:hAnsi="仿宋_GB2312" w:eastAsia="仿宋_GB2312" w:cs="仿宋_GB2312"/>
                <w:color w:val="auto"/>
                <w:sz w:val="24"/>
                <w:szCs w:val="24"/>
                <w:highlight w:val="none"/>
              </w:rPr>
            </w:pPr>
          </w:p>
        </w:tc>
        <w:tc>
          <w:tcPr>
            <w:tcW w:w="1068" w:type="dxa"/>
          </w:tcPr>
          <w:p w14:paraId="26FF5EDB">
            <w:pPr>
              <w:spacing w:line="420" w:lineRule="exact"/>
              <w:rPr>
                <w:rFonts w:hint="eastAsia" w:ascii="仿宋_GB2312" w:hAnsi="仿宋_GB2312" w:eastAsia="仿宋_GB2312" w:cs="仿宋_GB2312"/>
                <w:color w:val="auto"/>
                <w:sz w:val="24"/>
                <w:szCs w:val="24"/>
                <w:highlight w:val="none"/>
              </w:rPr>
            </w:pPr>
          </w:p>
        </w:tc>
        <w:tc>
          <w:tcPr>
            <w:tcW w:w="657" w:type="dxa"/>
          </w:tcPr>
          <w:p w14:paraId="1CD80E84">
            <w:pPr>
              <w:spacing w:line="420" w:lineRule="exact"/>
              <w:rPr>
                <w:rFonts w:hint="eastAsia" w:ascii="仿宋_GB2312" w:hAnsi="仿宋_GB2312" w:eastAsia="仿宋_GB2312" w:cs="仿宋_GB2312"/>
                <w:color w:val="auto"/>
                <w:sz w:val="24"/>
                <w:szCs w:val="24"/>
                <w:highlight w:val="none"/>
              </w:rPr>
            </w:pPr>
          </w:p>
        </w:tc>
        <w:tc>
          <w:tcPr>
            <w:tcW w:w="1481" w:type="dxa"/>
          </w:tcPr>
          <w:p w14:paraId="308061C9">
            <w:pPr>
              <w:spacing w:line="420" w:lineRule="exact"/>
              <w:rPr>
                <w:rFonts w:hint="eastAsia" w:ascii="仿宋_GB2312" w:hAnsi="仿宋_GB2312" w:eastAsia="仿宋_GB2312" w:cs="仿宋_GB2312"/>
                <w:color w:val="auto"/>
                <w:sz w:val="24"/>
                <w:szCs w:val="24"/>
                <w:highlight w:val="none"/>
              </w:rPr>
            </w:pPr>
          </w:p>
        </w:tc>
        <w:tc>
          <w:tcPr>
            <w:tcW w:w="881" w:type="dxa"/>
          </w:tcPr>
          <w:p w14:paraId="71928047">
            <w:pPr>
              <w:spacing w:line="420" w:lineRule="exact"/>
              <w:rPr>
                <w:rFonts w:hint="eastAsia" w:ascii="仿宋_GB2312" w:hAnsi="仿宋_GB2312" w:eastAsia="仿宋_GB2312" w:cs="仿宋_GB2312"/>
                <w:color w:val="auto"/>
                <w:sz w:val="24"/>
                <w:szCs w:val="24"/>
                <w:highlight w:val="none"/>
              </w:rPr>
            </w:pPr>
          </w:p>
        </w:tc>
      </w:tr>
      <w:tr w14:paraId="7030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7" w:type="dxa"/>
          </w:tcPr>
          <w:p w14:paraId="5686F858">
            <w:pPr>
              <w:spacing w:line="420" w:lineRule="exact"/>
              <w:rPr>
                <w:rFonts w:hint="eastAsia" w:ascii="仿宋_GB2312" w:hAnsi="仿宋_GB2312" w:eastAsia="仿宋_GB2312" w:cs="仿宋_GB2312"/>
                <w:color w:val="auto"/>
                <w:sz w:val="24"/>
                <w:szCs w:val="24"/>
                <w:highlight w:val="none"/>
              </w:rPr>
            </w:pPr>
          </w:p>
        </w:tc>
        <w:tc>
          <w:tcPr>
            <w:tcW w:w="881" w:type="dxa"/>
            <w:vAlign w:val="center"/>
          </w:tcPr>
          <w:p w14:paraId="3F342E4C">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累计</w:t>
            </w:r>
          </w:p>
        </w:tc>
        <w:tc>
          <w:tcPr>
            <w:tcW w:w="825" w:type="dxa"/>
          </w:tcPr>
          <w:p w14:paraId="672A44F4">
            <w:pPr>
              <w:spacing w:line="420" w:lineRule="exact"/>
              <w:rPr>
                <w:rFonts w:hint="eastAsia" w:ascii="仿宋_GB2312" w:hAnsi="仿宋_GB2312" w:eastAsia="仿宋_GB2312" w:cs="仿宋_GB2312"/>
                <w:color w:val="auto"/>
                <w:sz w:val="24"/>
                <w:szCs w:val="24"/>
                <w:highlight w:val="none"/>
              </w:rPr>
            </w:pPr>
          </w:p>
        </w:tc>
        <w:tc>
          <w:tcPr>
            <w:tcW w:w="1069" w:type="dxa"/>
          </w:tcPr>
          <w:p w14:paraId="768CB4E9">
            <w:pPr>
              <w:spacing w:line="420" w:lineRule="exact"/>
              <w:rPr>
                <w:rFonts w:hint="eastAsia" w:ascii="仿宋_GB2312" w:hAnsi="仿宋_GB2312" w:eastAsia="仿宋_GB2312" w:cs="仿宋_GB2312"/>
                <w:color w:val="auto"/>
                <w:sz w:val="24"/>
                <w:szCs w:val="24"/>
                <w:highlight w:val="none"/>
              </w:rPr>
            </w:pPr>
          </w:p>
        </w:tc>
        <w:tc>
          <w:tcPr>
            <w:tcW w:w="1012" w:type="dxa"/>
          </w:tcPr>
          <w:p w14:paraId="58985B23">
            <w:pPr>
              <w:spacing w:line="420" w:lineRule="exact"/>
              <w:rPr>
                <w:rFonts w:hint="eastAsia" w:ascii="仿宋_GB2312" w:hAnsi="仿宋_GB2312" w:eastAsia="仿宋_GB2312" w:cs="仿宋_GB2312"/>
                <w:color w:val="auto"/>
                <w:sz w:val="24"/>
                <w:szCs w:val="24"/>
                <w:highlight w:val="none"/>
              </w:rPr>
            </w:pPr>
          </w:p>
        </w:tc>
        <w:tc>
          <w:tcPr>
            <w:tcW w:w="1313" w:type="dxa"/>
          </w:tcPr>
          <w:p w14:paraId="2A1D82C2">
            <w:pPr>
              <w:spacing w:line="420" w:lineRule="exact"/>
              <w:rPr>
                <w:rFonts w:hint="eastAsia" w:ascii="仿宋_GB2312" w:hAnsi="仿宋_GB2312" w:eastAsia="仿宋_GB2312" w:cs="仿宋_GB2312"/>
                <w:color w:val="auto"/>
                <w:sz w:val="24"/>
                <w:szCs w:val="24"/>
                <w:highlight w:val="none"/>
              </w:rPr>
            </w:pPr>
          </w:p>
        </w:tc>
        <w:tc>
          <w:tcPr>
            <w:tcW w:w="1068" w:type="dxa"/>
          </w:tcPr>
          <w:p w14:paraId="16DC160C">
            <w:pPr>
              <w:spacing w:line="420" w:lineRule="exact"/>
              <w:rPr>
                <w:rFonts w:hint="eastAsia" w:ascii="仿宋_GB2312" w:hAnsi="仿宋_GB2312" w:eastAsia="仿宋_GB2312" w:cs="仿宋_GB2312"/>
                <w:color w:val="auto"/>
                <w:sz w:val="24"/>
                <w:szCs w:val="24"/>
                <w:highlight w:val="none"/>
              </w:rPr>
            </w:pPr>
          </w:p>
        </w:tc>
        <w:tc>
          <w:tcPr>
            <w:tcW w:w="657" w:type="dxa"/>
          </w:tcPr>
          <w:p w14:paraId="207AA64B">
            <w:pPr>
              <w:spacing w:line="420" w:lineRule="exact"/>
              <w:rPr>
                <w:rFonts w:hint="eastAsia" w:ascii="仿宋_GB2312" w:hAnsi="仿宋_GB2312" w:eastAsia="仿宋_GB2312" w:cs="仿宋_GB2312"/>
                <w:color w:val="auto"/>
                <w:sz w:val="24"/>
                <w:szCs w:val="24"/>
                <w:highlight w:val="none"/>
              </w:rPr>
            </w:pPr>
          </w:p>
        </w:tc>
        <w:tc>
          <w:tcPr>
            <w:tcW w:w="1481" w:type="dxa"/>
          </w:tcPr>
          <w:p w14:paraId="06126CF2">
            <w:pPr>
              <w:spacing w:line="420" w:lineRule="exact"/>
              <w:rPr>
                <w:rFonts w:hint="eastAsia" w:ascii="仿宋_GB2312" w:hAnsi="仿宋_GB2312" w:eastAsia="仿宋_GB2312" w:cs="仿宋_GB2312"/>
                <w:color w:val="auto"/>
                <w:sz w:val="24"/>
                <w:szCs w:val="24"/>
                <w:highlight w:val="none"/>
              </w:rPr>
            </w:pPr>
          </w:p>
        </w:tc>
        <w:tc>
          <w:tcPr>
            <w:tcW w:w="881" w:type="dxa"/>
          </w:tcPr>
          <w:p w14:paraId="38C76CC8">
            <w:pPr>
              <w:spacing w:line="420" w:lineRule="exact"/>
              <w:rPr>
                <w:rFonts w:hint="eastAsia" w:ascii="仿宋_GB2312" w:hAnsi="仿宋_GB2312" w:eastAsia="仿宋_GB2312" w:cs="仿宋_GB2312"/>
                <w:color w:val="auto"/>
                <w:sz w:val="24"/>
                <w:szCs w:val="24"/>
                <w:highlight w:val="none"/>
              </w:rPr>
            </w:pPr>
          </w:p>
        </w:tc>
      </w:tr>
    </w:tbl>
    <w:p w14:paraId="1A64744B">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编制：                       复核：        编制日期：  　 年  　月　 日</w:t>
      </w:r>
    </w:p>
    <w:p w14:paraId="1CD3F49F">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说明：本表用于承包人、发包人的工程款额支付凭证统计和内部管理。</w:t>
      </w:r>
    </w:p>
    <w:p w14:paraId="7EF6D365">
      <w:pPr>
        <w:rPr>
          <w:rFonts w:ascii="仿宋" w:hAnsi="仿宋" w:eastAsia="仿宋" w:cs="Times New Roman"/>
          <w:color w:val="auto"/>
          <w:szCs w:val="21"/>
          <w:highlight w:val="none"/>
        </w:rPr>
      </w:pPr>
    </w:p>
    <w:p w14:paraId="7DCADE3A">
      <w:pPr>
        <w:rPr>
          <w:rFonts w:ascii="Calibri" w:hAnsi="Calibri" w:cs="Times New Roman"/>
          <w:color w:val="auto"/>
          <w:szCs w:val="21"/>
          <w:highlight w:val="none"/>
        </w:rPr>
      </w:pPr>
    </w:p>
    <w:p w14:paraId="2B920FB3">
      <w:pPr>
        <w:rPr>
          <w:rFonts w:ascii="Calibri" w:hAnsi="Calibri" w:cs="Times New Roman"/>
          <w:color w:val="auto"/>
          <w:szCs w:val="21"/>
          <w:highlight w:val="none"/>
        </w:rPr>
      </w:pPr>
    </w:p>
    <w:p w14:paraId="49C25DBB">
      <w:pPr>
        <w:rPr>
          <w:rFonts w:ascii="Calibri" w:hAnsi="Calibri" w:cs="Times New Roman"/>
          <w:color w:val="auto"/>
          <w:szCs w:val="21"/>
          <w:highlight w:val="none"/>
        </w:rPr>
      </w:pPr>
    </w:p>
    <w:p w14:paraId="09D5C8B0">
      <w:pPr>
        <w:rPr>
          <w:rFonts w:ascii="Calibri" w:hAnsi="Calibri" w:cs="Times New Roman"/>
          <w:color w:val="auto"/>
          <w:szCs w:val="21"/>
          <w:highlight w:val="none"/>
        </w:rPr>
      </w:pPr>
    </w:p>
    <w:p w14:paraId="2C22892F">
      <w:pPr>
        <w:rPr>
          <w:rFonts w:ascii="Calibri" w:hAnsi="Calibri" w:cs="Times New Roman"/>
          <w:color w:val="auto"/>
          <w:szCs w:val="21"/>
          <w:highlight w:val="none"/>
        </w:rPr>
      </w:pPr>
    </w:p>
    <w:p w14:paraId="65235984">
      <w:pPr>
        <w:rPr>
          <w:rFonts w:ascii="Calibri" w:hAnsi="Calibri" w:cs="Times New Roman"/>
          <w:color w:val="auto"/>
          <w:szCs w:val="21"/>
          <w:highlight w:val="none"/>
        </w:rPr>
      </w:pPr>
    </w:p>
    <w:p w14:paraId="68BBE4B6">
      <w:pPr>
        <w:rPr>
          <w:rFonts w:ascii="Calibri" w:hAnsi="Calibri" w:cs="Times New Roman"/>
          <w:color w:val="auto"/>
          <w:szCs w:val="21"/>
          <w:highlight w:val="none"/>
        </w:rPr>
      </w:pPr>
    </w:p>
    <w:p w14:paraId="3F518B73">
      <w:pPr>
        <w:rPr>
          <w:rFonts w:ascii="Calibri" w:hAnsi="Calibri" w:cs="Times New Roman"/>
          <w:color w:val="auto"/>
          <w:szCs w:val="21"/>
          <w:highlight w:val="none"/>
        </w:rPr>
      </w:pPr>
    </w:p>
    <w:p w14:paraId="632F8CA5">
      <w:pPr>
        <w:pageBreakBefore w:val="0"/>
        <w:spacing w:before="120" w:line="620" w:lineRule="exact"/>
        <w:ind w:left="27" w:leftChars="13" w:firstLine="480" w:firstLineChars="200"/>
        <w:jc w:val="center"/>
        <w:rPr>
          <w:rFonts w:ascii="黑体" w:hAnsi="黑体" w:eastAsia="黑体"/>
          <w:color w:val="auto"/>
          <w:sz w:val="32"/>
          <w:szCs w:val="27"/>
          <w:highlight w:val="none"/>
        </w:rPr>
      </w:pPr>
      <w:r>
        <w:rPr>
          <w:rFonts w:ascii="宋体" w:hAnsi="宋体"/>
          <w:color w:val="auto"/>
          <w:sz w:val="24"/>
          <w:highlight w:val="none"/>
        </w:rPr>
        <w:br w:type="page"/>
      </w:r>
      <w:r>
        <w:rPr>
          <w:rFonts w:hint="eastAsia" w:ascii="黑体" w:hAnsi="黑体" w:eastAsia="黑体"/>
          <w:color w:val="auto"/>
          <w:sz w:val="32"/>
          <w:szCs w:val="27"/>
          <w:highlight w:val="none"/>
        </w:rPr>
        <w:t>第五章 工程量清单（综合单价承包）</w:t>
      </w:r>
    </w:p>
    <w:p w14:paraId="2DCE0489">
      <w:pPr>
        <w:spacing w:line="360" w:lineRule="auto"/>
        <w:jc w:val="center"/>
        <w:outlineLvl w:val="2"/>
        <w:rPr>
          <w:rFonts w:ascii="黑体" w:hAnsi="黑体" w:eastAsia="黑体"/>
          <w:color w:val="auto"/>
          <w:sz w:val="28"/>
          <w:szCs w:val="27"/>
          <w:highlight w:val="none"/>
        </w:rPr>
      </w:pPr>
      <w:bookmarkStart w:id="814" w:name="_Toc17451643"/>
      <w:bookmarkStart w:id="815" w:name="_Toc8069"/>
      <w:bookmarkStart w:id="816" w:name="_Toc17451121"/>
      <w:bookmarkStart w:id="817" w:name="_Toc17454891"/>
      <w:bookmarkStart w:id="818" w:name="_Toc17451598"/>
      <w:bookmarkStart w:id="819" w:name="_Toc17452684"/>
      <w:bookmarkStart w:id="820" w:name="_Toc17556896"/>
      <w:bookmarkStart w:id="821" w:name="_Toc17454942"/>
      <w:r>
        <w:rPr>
          <w:rFonts w:hint="eastAsia" w:ascii="黑体" w:hAnsi="黑体" w:eastAsia="黑体"/>
          <w:color w:val="auto"/>
          <w:sz w:val="28"/>
          <w:szCs w:val="27"/>
          <w:highlight w:val="none"/>
        </w:rPr>
        <w:t>一、工程量清单说明</w:t>
      </w:r>
      <w:bookmarkEnd w:id="814"/>
      <w:bookmarkEnd w:id="815"/>
      <w:bookmarkEnd w:id="816"/>
      <w:bookmarkEnd w:id="817"/>
      <w:bookmarkEnd w:id="818"/>
      <w:bookmarkEnd w:id="819"/>
      <w:bookmarkEnd w:id="820"/>
      <w:bookmarkEnd w:id="821"/>
    </w:p>
    <w:p w14:paraId="2A14114E">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：本说明内容仅供参考，招标人可以根据项目情况修改。）</w:t>
      </w:r>
    </w:p>
    <w:p w14:paraId="563523D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73C0C3A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本工程量清单应与招标文件中的投标人须知、通用合同条款、专用合同条款、技术标准和要求及图纸等一起阅读和理解。</w:t>
      </w:r>
    </w:p>
    <w:p w14:paraId="0C3237E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1.3 本工程量清单仅是投标报价的共同基础，实际工程计量和工程价款的支付应遵循合同条款的约定和第七章“技术标准和要求”的有关规定。</w:t>
      </w:r>
    </w:p>
    <w:p w14:paraId="20B5858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 补充子目工程量计算规则及子目工作内容说明：</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125BAC6E">
      <w:pPr>
        <w:spacing w:line="360" w:lineRule="auto"/>
        <w:jc w:val="center"/>
        <w:outlineLvl w:val="2"/>
        <w:rPr>
          <w:rFonts w:ascii="黑体" w:hAnsi="黑体" w:eastAsia="黑体"/>
          <w:color w:val="auto"/>
          <w:sz w:val="28"/>
          <w:szCs w:val="27"/>
          <w:highlight w:val="none"/>
        </w:rPr>
      </w:pPr>
      <w:bookmarkStart w:id="822" w:name="_Toc17556897"/>
      <w:bookmarkStart w:id="823" w:name="_Toc17451599"/>
      <w:bookmarkStart w:id="824" w:name="_Toc17452685"/>
      <w:bookmarkStart w:id="825" w:name="_Toc17454892"/>
      <w:bookmarkStart w:id="826" w:name="_Toc31712"/>
      <w:bookmarkStart w:id="827" w:name="_Toc296602589"/>
      <w:bookmarkStart w:id="828" w:name="_Toc17454943"/>
      <w:bookmarkStart w:id="829" w:name="_Toc17451122"/>
      <w:bookmarkStart w:id="830" w:name="_Toc17451644"/>
      <w:r>
        <w:rPr>
          <w:rFonts w:hint="eastAsia" w:ascii="黑体" w:hAnsi="黑体" w:eastAsia="黑体"/>
          <w:color w:val="auto"/>
          <w:sz w:val="28"/>
          <w:szCs w:val="27"/>
          <w:highlight w:val="none"/>
        </w:rPr>
        <w:t>二、投标报价说明</w:t>
      </w:r>
      <w:bookmarkEnd w:id="822"/>
      <w:bookmarkEnd w:id="823"/>
      <w:bookmarkEnd w:id="824"/>
      <w:bookmarkEnd w:id="825"/>
      <w:bookmarkEnd w:id="826"/>
      <w:bookmarkEnd w:id="827"/>
      <w:bookmarkEnd w:id="828"/>
      <w:bookmarkEnd w:id="829"/>
      <w:bookmarkEnd w:id="830"/>
    </w:p>
    <w:p w14:paraId="2A6294A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 工程量清单中的每一子目须填入单价或价格，且只允许有一个报价。</w:t>
      </w:r>
    </w:p>
    <w:p w14:paraId="414E3E0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 工程量清单中标价的单价或金额，应包括所需的人工费、材料和施工机具使用费和企业管理费、利润以及一定范围内的风险费用等。</w:t>
      </w:r>
    </w:p>
    <w:p w14:paraId="3CE4D6A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2.3 工程量清单中投标人没有填入单价或价格的子目，其费用视为已分摊在工程量清单中其他相关子目的单价或价格之中。</w:t>
      </w:r>
    </w:p>
    <w:p w14:paraId="1AB2843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2.4 暂列金额的数量及拟用子目的说明：</w:t>
      </w:r>
    </w:p>
    <w:p w14:paraId="5286A9C2">
      <w:pPr>
        <w:spacing w:line="360" w:lineRule="auto"/>
        <w:ind w:firstLine="480" w:firstLineChars="200"/>
        <w:rPr>
          <w:rFonts w:hint="eastAsia" w:ascii="宋体" w:hAnsi="宋体"/>
          <w:i/>
          <w:color w:val="auto"/>
          <w:sz w:val="24"/>
          <w:highlight w:val="none"/>
        </w:rPr>
      </w:pPr>
      <w:r>
        <w:rPr>
          <w:rFonts w:hint="eastAsia" w:ascii="宋体" w:hAnsi="宋体"/>
          <w:i/>
          <w:color w:val="auto"/>
          <w:sz w:val="24"/>
          <w:highlight w:val="none"/>
        </w:rPr>
        <w:t>（说明：由招标人根据项目情况拟订，对投标报价采用的定额、取费标准等进行说明）</w:t>
      </w:r>
    </w:p>
    <w:p w14:paraId="7E6E58DE">
      <w:pPr>
        <w:spacing w:line="360" w:lineRule="auto"/>
        <w:ind w:firstLine="480" w:firstLineChars="200"/>
        <w:rPr>
          <w:rFonts w:hint="eastAsia" w:ascii="宋体" w:hAnsi="宋体" w:eastAsia="宋体" w:cs="Times New Roman"/>
          <w:i w:val="0"/>
          <w:color w:val="auto"/>
          <w:sz w:val="24"/>
          <w:highlight w:val="none"/>
          <w:lang w:eastAsia="zh-CN"/>
        </w:rPr>
      </w:pPr>
      <w:r>
        <w:rPr>
          <w:rFonts w:hint="eastAsia" w:ascii="宋体" w:hAnsi="宋体" w:eastAsia="宋体" w:cs="Times New Roman"/>
          <w:i w:val="0"/>
          <w:color w:val="auto"/>
          <w:sz w:val="24"/>
          <w:highlight w:val="none"/>
        </w:rPr>
        <w:t>2.5 将建筑垃圾运输、处置费用列入工程造价的落实情况</w:t>
      </w:r>
      <w:r>
        <w:rPr>
          <w:rFonts w:hint="eastAsia" w:ascii="宋体" w:hAnsi="宋体" w:eastAsia="宋体" w:cs="Times New Roman"/>
          <w:i w:val="0"/>
          <w:color w:val="auto"/>
          <w:sz w:val="24"/>
          <w:highlight w:val="none"/>
          <w:lang w:eastAsia="zh-CN"/>
        </w:rPr>
        <w:t>。</w:t>
      </w:r>
    </w:p>
    <w:p w14:paraId="1516F449">
      <w:pPr>
        <w:spacing w:line="360" w:lineRule="auto"/>
        <w:jc w:val="center"/>
        <w:outlineLvl w:val="2"/>
        <w:rPr>
          <w:rFonts w:ascii="黑体" w:hAnsi="黑体" w:eastAsia="黑体"/>
          <w:color w:val="auto"/>
          <w:sz w:val="28"/>
          <w:szCs w:val="27"/>
          <w:highlight w:val="none"/>
        </w:rPr>
      </w:pPr>
      <w:bookmarkStart w:id="831" w:name="_Toc17556898"/>
      <w:bookmarkStart w:id="832" w:name="_Toc17454944"/>
      <w:bookmarkStart w:id="833" w:name="_Toc17454893"/>
      <w:bookmarkStart w:id="834" w:name="_Toc17422"/>
      <w:bookmarkStart w:id="835" w:name="_Toc17451600"/>
      <w:bookmarkStart w:id="836" w:name="_Toc17451645"/>
      <w:bookmarkStart w:id="837" w:name="_Toc17452686"/>
      <w:bookmarkStart w:id="838" w:name="_Toc17451123"/>
      <w:bookmarkStart w:id="839" w:name="_Toc296602590"/>
      <w:r>
        <w:rPr>
          <w:rFonts w:hint="eastAsia" w:ascii="黑体" w:hAnsi="黑体" w:eastAsia="黑体"/>
          <w:color w:val="auto"/>
          <w:sz w:val="28"/>
          <w:szCs w:val="27"/>
          <w:highlight w:val="none"/>
        </w:rPr>
        <w:t>三、其他说明</w:t>
      </w:r>
      <w:bookmarkEnd w:id="831"/>
      <w:bookmarkEnd w:id="832"/>
      <w:bookmarkEnd w:id="833"/>
      <w:bookmarkEnd w:id="834"/>
      <w:bookmarkEnd w:id="835"/>
      <w:bookmarkEnd w:id="836"/>
      <w:bookmarkEnd w:id="837"/>
      <w:bookmarkEnd w:id="838"/>
    </w:p>
    <w:p w14:paraId="7445CE33">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：由招标人根据实际情况补充）</w:t>
      </w:r>
    </w:p>
    <w:p w14:paraId="562EB1E2">
      <w:pPr>
        <w:spacing w:line="360" w:lineRule="auto"/>
        <w:rPr>
          <w:rFonts w:ascii="宋体" w:hAnsi="宋体"/>
          <w:color w:val="auto"/>
          <w:sz w:val="24"/>
          <w:highlight w:val="none"/>
        </w:rPr>
      </w:pPr>
      <w:bookmarkStart w:id="840" w:name="_Toc296602591"/>
    </w:p>
    <w:p w14:paraId="772745E8">
      <w:pPr>
        <w:spacing w:line="360" w:lineRule="auto"/>
        <w:jc w:val="center"/>
        <w:outlineLvl w:val="2"/>
        <w:rPr>
          <w:rFonts w:ascii="黑体" w:hAnsi="黑体" w:eastAsia="黑体"/>
          <w:color w:val="auto"/>
          <w:sz w:val="28"/>
          <w:szCs w:val="27"/>
          <w:highlight w:val="none"/>
        </w:rPr>
      </w:pPr>
      <w:bookmarkStart w:id="841" w:name="_Toc17556899"/>
      <w:bookmarkStart w:id="842" w:name="_Toc17451646"/>
      <w:bookmarkStart w:id="843" w:name="_Toc17454894"/>
      <w:bookmarkStart w:id="844" w:name="_Toc17454945"/>
      <w:bookmarkStart w:id="845" w:name="_Toc17452687"/>
      <w:bookmarkStart w:id="846" w:name="_Toc17451124"/>
      <w:bookmarkStart w:id="847" w:name="_Toc24116"/>
      <w:bookmarkStart w:id="848" w:name="_Toc17451601"/>
      <w:r>
        <w:rPr>
          <w:rFonts w:hint="eastAsia" w:ascii="黑体" w:hAnsi="黑体" w:eastAsia="黑体"/>
          <w:color w:val="auto"/>
          <w:sz w:val="28"/>
          <w:szCs w:val="27"/>
          <w:highlight w:val="none"/>
        </w:rPr>
        <w:t>四、工程量清单</w:t>
      </w:r>
      <w:bookmarkEnd w:id="839"/>
      <w:bookmarkEnd w:id="840"/>
      <w:bookmarkEnd w:id="841"/>
      <w:bookmarkEnd w:id="842"/>
      <w:bookmarkEnd w:id="843"/>
      <w:bookmarkEnd w:id="844"/>
      <w:bookmarkEnd w:id="845"/>
      <w:bookmarkEnd w:id="846"/>
      <w:bookmarkEnd w:id="847"/>
      <w:bookmarkEnd w:id="848"/>
    </w:p>
    <w:p w14:paraId="31B66B2B">
      <w:pPr>
        <w:spacing w:line="360" w:lineRule="auto"/>
        <w:ind w:firstLine="480" w:firstLineChars="200"/>
        <w:rPr>
          <w:rFonts w:ascii="宋体" w:hAnsi="宋体"/>
          <w:i/>
          <w:color w:val="auto"/>
          <w:sz w:val="24"/>
          <w:highlight w:val="none"/>
        </w:rPr>
      </w:pPr>
      <w:r>
        <w:rPr>
          <w:rFonts w:hint="eastAsia" w:ascii="宋体" w:hAnsi="宋体"/>
          <w:i/>
          <w:color w:val="auto"/>
          <w:sz w:val="24"/>
          <w:highlight w:val="none"/>
        </w:rPr>
        <w:t>（</w:t>
      </w:r>
      <w:r>
        <w:rPr>
          <w:rFonts w:hint="eastAsia" w:ascii="宋体" w:hAnsi="宋体"/>
          <w:i/>
          <w:color w:val="auto"/>
          <w:sz w:val="24"/>
          <w:highlight w:val="none"/>
          <w:lang w:val="en-US" w:eastAsia="zh-CN"/>
        </w:rPr>
        <w:t>注</w:t>
      </w:r>
      <w:r>
        <w:rPr>
          <w:rFonts w:hint="eastAsia" w:ascii="宋体" w:hAnsi="宋体"/>
          <w:i/>
          <w:color w:val="auto"/>
          <w:sz w:val="24"/>
          <w:highlight w:val="none"/>
        </w:rPr>
        <w:t>：由招标人根据项目情况自定）</w:t>
      </w:r>
    </w:p>
    <w:p w14:paraId="3F3C2E90">
      <w:pPr>
        <w:rPr>
          <w:color w:val="auto"/>
          <w:highlight w:val="none"/>
        </w:rPr>
      </w:pPr>
    </w:p>
    <w:p w14:paraId="7BC78FBC">
      <w:pPr>
        <w:spacing w:line="360" w:lineRule="auto"/>
        <w:jc w:val="center"/>
        <w:outlineLvl w:val="1"/>
        <w:rPr>
          <w:rFonts w:hint="eastAsia" w:ascii="黑体" w:hAnsi="黑体" w:eastAsia="黑体"/>
          <w:color w:val="auto"/>
          <w:sz w:val="32"/>
          <w:szCs w:val="27"/>
          <w:highlight w:val="none"/>
        </w:rPr>
        <w:sectPr>
          <w:footerReference r:id="rId10" w:type="default"/>
          <w:pgSz w:w="11906" w:h="16838"/>
          <w:pgMar w:top="1440" w:right="1797" w:bottom="1440" w:left="1797" w:header="851" w:footer="992" w:gutter="0"/>
          <w:pgNumType w:fmt="decimal"/>
          <w:cols w:space="720" w:num="1"/>
          <w:docGrid w:linePitch="312" w:charSpace="0"/>
        </w:sectPr>
      </w:pPr>
      <w:bookmarkStart w:id="849" w:name="_Toc17454895"/>
      <w:bookmarkStart w:id="850" w:name="_Toc17451647"/>
      <w:bookmarkStart w:id="851" w:name="_Toc17556900"/>
      <w:bookmarkStart w:id="852" w:name="_Toc17451602"/>
      <w:bookmarkStart w:id="853" w:name="_Toc17454946"/>
      <w:bookmarkStart w:id="854" w:name="_Toc22625"/>
      <w:bookmarkStart w:id="855" w:name="_Toc17452688"/>
      <w:bookmarkStart w:id="856" w:name="_Toc17451125"/>
    </w:p>
    <w:p w14:paraId="33E29B4A">
      <w:pPr>
        <w:spacing w:line="360" w:lineRule="auto"/>
        <w:jc w:val="center"/>
        <w:outlineLvl w:val="1"/>
        <w:rPr>
          <w:rFonts w:ascii="Arial" w:hAnsi="Arial" w:eastAsia="黑体"/>
          <w:color w:val="auto"/>
          <w:sz w:val="20"/>
          <w:szCs w:val="20"/>
          <w:highlight w:val="none"/>
        </w:rPr>
      </w:pPr>
      <w:r>
        <w:rPr>
          <w:rFonts w:hint="eastAsia" w:ascii="黑体" w:hAnsi="黑体" w:eastAsia="黑体"/>
          <w:color w:val="auto"/>
          <w:sz w:val="32"/>
          <w:szCs w:val="27"/>
          <w:highlight w:val="none"/>
        </w:rPr>
        <w:t>第六章 图纸（招标图纸）</w:t>
      </w:r>
      <w:bookmarkEnd w:id="849"/>
      <w:bookmarkEnd w:id="850"/>
      <w:bookmarkEnd w:id="851"/>
      <w:bookmarkEnd w:id="852"/>
      <w:bookmarkEnd w:id="853"/>
      <w:bookmarkEnd w:id="854"/>
      <w:bookmarkEnd w:id="855"/>
      <w:bookmarkEnd w:id="856"/>
    </w:p>
    <w:p w14:paraId="6BF76DA3">
      <w:pPr>
        <w:spacing w:line="360" w:lineRule="auto"/>
        <w:jc w:val="center"/>
        <w:outlineLvl w:val="9"/>
        <w:rPr>
          <w:rFonts w:hint="eastAsia" w:ascii="黑体" w:hAnsi="黑体" w:eastAsia="黑体" w:cs="黑体"/>
          <w:color w:val="auto"/>
          <w:sz w:val="28"/>
          <w:szCs w:val="32"/>
          <w:highlight w:val="none"/>
          <w:lang w:eastAsia="zh-CN"/>
        </w:rPr>
      </w:pPr>
      <w:r>
        <w:rPr>
          <w:rFonts w:hint="eastAsia" w:ascii="黑体" w:hAnsi="黑体" w:eastAsia="黑体" w:cs="黑体"/>
          <w:color w:val="auto"/>
          <w:sz w:val="28"/>
          <w:szCs w:val="32"/>
          <w:highlight w:val="none"/>
          <w:lang w:eastAsia="zh-CN"/>
        </w:rPr>
        <w:t>（</w:t>
      </w:r>
      <w:r>
        <w:rPr>
          <w:rFonts w:hint="eastAsia" w:ascii="黑体" w:hAnsi="黑体" w:eastAsia="黑体" w:cs="黑体"/>
          <w:color w:val="auto"/>
          <w:sz w:val="28"/>
          <w:szCs w:val="32"/>
          <w:highlight w:val="none"/>
          <w:lang w:val="en-US" w:eastAsia="zh-CN"/>
        </w:rPr>
        <w:t>另册</w:t>
      </w:r>
      <w:r>
        <w:rPr>
          <w:rFonts w:hint="eastAsia" w:ascii="黑体" w:hAnsi="黑体" w:eastAsia="黑体" w:cs="黑体"/>
          <w:color w:val="auto"/>
          <w:sz w:val="28"/>
          <w:szCs w:val="32"/>
          <w:highlight w:val="none"/>
          <w:lang w:eastAsia="zh-CN"/>
        </w:rPr>
        <w:t>）</w:t>
      </w:r>
    </w:p>
    <w:p w14:paraId="5DA9AA42">
      <w:pPr>
        <w:spacing w:line="400" w:lineRule="exact"/>
        <w:rPr>
          <w:rFonts w:ascii="宋体" w:hAnsi="宋体"/>
          <w:b/>
          <w:color w:val="auto"/>
          <w:sz w:val="27"/>
          <w:szCs w:val="27"/>
          <w:highlight w:val="none"/>
        </w:rPr>
      </w:pPr>
    </w:p>
    <w:p w14:paraId="578A689A">
      <w:pPr>
        <w:spacing w:line="360" w:lineRule="auto"/>
        <w:rPr>
          <w:rFonts w:ascii="宋体" w:hAnsi="宋体"/>
          <w:color w:val="auto"/>
          <w:szCs w:val="21"/>
          <w:highlight w:val="none"/>
        </w:rPr>
      </w:pPr>
    </w:p>
    <w:p w14:paraId="6503F8B0">
      <w:pPr>
        <w:widowControl/>
        <w:jc w:val="left"/>
        <w:rPr>
          <w:rFonts w:ascii="宋体" w:hAnsi="宋体"/>
          <w:color w:val="auto"/>
          <w:szCs w:val="21"/>
          <w:highlight w:val="none"/>
        </w:rPr>
      </w:pPr>
      <w:r>
        <w:rPr>
          <w:rFonts w:ascii="宋体" w:hAnsi="宋体"/>
          <w:color w:val="auto"/>
          <w:szCs w:val="21"/>
          <w:highlight w:val="none"/>
        </w:rPr>
        <w:br w:type="page"/>
      </w:r>
    </w:p>
    <w:p w14:paraId="23F1F950">
      <w:pPr>
        <w:spacing w:line="360" w:lineRule="auto"/>
        <w:jc w:val="center"/>
        <w:outlineLvl w:val="1"/>
        <w:rPr>
          <w:rFonts w:ascii="黑体" w:hAnsi="黑体" w:eastAsia="黑体"/>
          <w:color w:val="auto"/>
          <w:sz w:val="32"/>
          <w:szCs w:val="27"/>
          <w:highlight w:val="none"/>
        </w:rPr>
      </w:pPr>
      <w:bookmarkStart w:id="857" w:name="_Toc259524409"/>
      <w:bookmarkStart w:id="858" w:name="_Toc17454948"/>
      <w:bookmarkStart w:id="859" w:name="_Toc17451604"/>
      <w:bookmarkStart w:id="860" w:name="_Toc18239"/>
      <w:bookmarkStart w:id="861" w:name="_Toc17452690"/>
      <w:bookmarkStart w:id="862" w:name="_Toc17454897"/>
      <w:bookmarkStart w:id="863" w:name="_Toc17451127"/>
      <w:bookmarkStart w:id="864" w:name="_Toc17556902"/>
      <w:bookmarkStart w:id="865" w:name="_Toc17451649"/>
      <w:r>
        <w:rPr>
          <w:rFonts w:hint="eastAsia" w:ascii="黑体" w:hAnsi="黑体" w:eastAsia="黑体"/>
          <w:color w:val="auto"/>
          <w:sz w:val="32"/>
          <w:szCs w:val="27"/>
          <w:highlight w:val="none"/>
        </w:rPr>
        <w:t>第七章 技术标准和要求</w:t>
      </w:r>
      <w:bookmarkEnd w:id="857"/>
      <w:r>
        <w:rPr>
          <w:rFonts w:hint="eastAsia" w:ascii="黑体" w:hAnsi="黑体" w:eastAsia="黑体"/>
          <w:color w:val="auto"/>
          <w:sz w:val="32"/>
          <w:szCs w:val="27"/>
          <w:highlight w:val="none"/>
        </w:rPr>
        <w:t>（合同技术条款）</w:t>
      </w:r>
      <w:bookmarkEnd w:id="858"/>
      <w:bookmarkEnd w:id="859"/>
      <w:bookmarkEnd w:id="860"/>
      <w:bookmarkEnd w:id="861"/>
      <w:bookmarkEnd w:id="862"/>
      <w:bookmarkEnd w:id="863"/>
      <w:bookmarkEnd w:id="864"/>
      <w:bookmarkEnd w:id="865"/>
    </w:p>
    <w:p w14:paraId="7B79234A">
      <w:pPr>
        <w:widowControl/>
        <w:jc w:val="center"/>
        <w:rPr>
          <w:rFonts w:ascii="宋体" w:hAnsi="宋体"/>
          <w:color w:val="auto"/>
          <w:sz w:val="24"/>
          <w:highlight w:val="none"/>
        </w:rPr>
      </w:pPr>
      <w:r>
        <w:rPr>
          <w:rFonts w:hint="eastAsia" w:ascii="宋体" w:hAnsi="宋体"/>
          <w:color w:val="auto"/>
          <w:sz w:val="24"/>
          <w:highlight w:val="none"/>
          <w:lang w:val="en-US" w:eastAsia="zh-CN"/>
        </w:rPr>
        <w:t>（另册）</w:t>
      </w:r>
      <w:r>
        <w:rPr>
          <w:rFonts w:ascii="宋体" w:hAnsi="宋体"/>
          <w:color w:val="auto"/>
          <w:sz w:val="24"/>
          <w:highlight w:val="none"/>
        </w:rPr>
        <w:br w:type="page"/>
      </w:r>
    </w:p>
    <w:p w14:paraId="74173206">
      <w:pPr>
        <w:spacing w:line="360" w:lineRule="auto"/>
        <w:jc w:val="center"/>
        <w:outlineLvl w:val="1"/>
        <w:rPr>
          <w:rFonts w:ascii="黑体" w:hAnsi="黑体" w:eastAsia="黑体"/>
          <w:color w:val="auto"/>
          <w:sz w:val="32"/>
          <w:szCs w:val="27"/>
          <w:highlight w:val="none"/>
        </w:rPr>
      </w:pPr>
      <w:bookmarkStart w:id="866" w:name="_Toc17556903"/>
      <w:bookmarkStart w:id="867" w:name="_Toc17451650"/>
      <w:bookmarkStart w:id="868" w:name="_Toc17451605"/>
      <w:bookmarkStart w:id="869" w:name="_Toc15066"/>
      <w:bookmarkStart w:id="870" w:name="_Toc259524411"/>
      <w:bookmarkStart w:id="871" w:name="_Toc17454949"/>
      <w:bookmarkStart w:id="872" w:name="_Toc17454898"/>
      <w:bookmarkStart w:id="873" w:name="_Toc17452691"/>
      <w:bookmarkStart w:id="874" w:name="_Toc17451128"/>
      <w:r>
        <w:rPr>
          <w:rFonts w:hint="eastAsia" w:ascii="黑体" w:hAnsi="黑体" w:eastAsia="黑体"/>
          <w:color w:val="auto"/>
          <w:sz w:val="32"/>
          <w:szCs w:val="27"/>
          <w:highlight w:val="none"/>
        </w:rPr>
        <w:t>第八章 投标文件格式</w:t>
      </w:r>
      <w:bookmarkEnd w:id="866"/>
      <w:bookmarkEnd w:id="867"/>
      <w:bookmarkEnd w:id="868"/>
      <w:bookmarkEnd w:id="869"/>
      <w:bookmarkEnd w:id="870"/>
      <w:bookmarkEnd w:id="871"/>
      <w:bookmarkEnd w:id="872"/>
      <w:bookmarkEnd w:id="873"/>
      <w:bookmarkEnd w:id="874"/>
    </w:p>
    <w:p w14:paraId="23730EE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人应按以下规定的格式及要求编制投标文件，如电子投标文件没有按招标文件规定的格式及要求编制，因其所引起系统无法检索、读取电子投标文件中的数据时，其结果将由投标人自行承担。本格式及要求规定适用于电子评标项目的投标文件的编制。</w:t>
      </w:r>
    </w:p>
    <w:p w14:paraId="0E6875C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1.1《投标函附录》是投标文件的重要组成部分，其内容是投标人开标信息的主要来源，投标人应准确填写《投标函附录》的相关内容。</w:t>
      </w:r>
    </w:p>
    <w:p w14:paraId="196C1E5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《投标函附录》内容按以下表述填写。</w:t>
      </w:r>
    </w:p>
    <w:p w14:paraId="18E5388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投标总工期：“＿日历天”或“按招标文件的要求”；</w:t>
      </w:r>
    </w:p>
    <w:p w14:paraId="4A8536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工程质量标准：“按招标文件的要求”；</w:t>
      </w:r>
    </w:p>
    <w:p w14:paraId="59F07B7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保修期限： “按《建设工程质量管理条例》规定”或“按招标文件的要求”。</w:t>
      </w:r>
    </w:p>
    <w:p w14:paraId="0DED36B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1.3工程量清单报价表</w:t>
      </w:r>
      <w:r>
        <w:rPr>
          <w:color w:val="auto"/>
          <w:sz w:val="24"/>
          <w:szCs w:val="24"/>
          <w:highlight w:val="none"/>
        </w:rPr>
        <w:t>工程量清单报价表应使用符合广东省标准《建设工程政府投资项目造价数据标准（DBJ/T15-145-2018）》及后续版本的有关规定</w:t>
      </w:r>
      <w:r>
        <w:rPr>
          <w:rFonts w:hint="eastAsia" w:ascii="宋体" w:hAnsi="宋体"/>
          <w:color w:val="auto"/>
          <w:sz w:val="24"/>
          <w:szCs w:val="24"/>
          <w:highlight w:val="none"/>
        </w:rPr>
        <w:t>的</w:t>
      </w:r>
      <w:r>
        <w:rPr>
          <w:rFonts w:ascii="宋体" w:hAnsi="宋体"/>
          <w:color w:val="auto"/>
          <w:sz w:val="24"/>
          <w:szCs w:val="24"/>
          <w:highlight w:val="none"/>
        </w:rPr>
        <w:t>cos</w:t>
      </w:r>
      <w:r>
        <w:rPr>
          <w:rFonts w:hint="eastAsia" w:ascii="宋体" w:hAnsi="宋体"/>
          <w:color w:val="auto"/>
          <w:sz w:val="24"/>
          <w:szCs w:val="24"/>
          <w:highlight w:val="none"/>
        </w:rPr>
        <w:t>文件</w:t>
      </w:r>
      <w:r>
        <w:rPr>
          <w:rFonts w:hint="eastAsia"/>
          <w:color w:val="auto"/>
          <w:sz w:val="24"/>
          <w:szCs w:val="24"/>
          <w:highlight w:val="none"/>
        </w:rPr>
        <w:t>或者投标文件编制工具要求的文件格式，</w:t>
      </w:r>
      <w:r>
        <w:rPr>
          <w:rFonts w:hint="eastAsia" w:ascii="宋体" w:hAnsi="宋体"/>
          <w:color w:val="auto"/>
          <w:sz w:val="24"/>
          <w:highlight w:val="none"/>
        </w:rPr>
        <w:t>《投标函附录》使用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提供的电子投标文件管理软件直接填写，投标文件的其他内容均以电子文件编制。扫描图片电子文件要求为从扫描原纸质文件所形成的电子图片。图片文件格式要求为JPG格式，文件名称要求与上述对应名称一致且唯一，文件内容（即扫描图片内容）要求与文件名称相符，电子图片要求清晰可辨，每个JPG文件可包含多张扫描图片，单个JPG文件大小要求在1M以下。</w:t>
      </w:r>
    </w:p>
    <w:p w14:paraId="724133D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 投标人为联合体投标时，应按以下规定填写。</w:t>
      </w:r>
    </w:p>
    <w:p w14:paraId="39DBD63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1.4.1投标人在</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信息登记时，必须将联合体的所有成员单位的全称填写完整。</w:t>
      </w:r>
    </w:p>
    <w:p w14:paraId="5AF3260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1.4.2投标人在编制工程量清单时应只填写主体单位全称，且要求填写的全称与</w:t>
      </w:r>
      <w:r>
        <w:rPr>
          <w:rFonts w:hint="eastAsia" w:ascii="宋体" w:hAnsi="宋体"/>
          <w:color w:val="auto"/>
          <w:sz w:val="24"/>
          <w:highlight w:val="none"/>
          <w:lang w:eastAsia="zh-CN"/>
        </w:rPr>
        <w:t>广州交易集团有限公司（广州公共资源交易中心）</w:t>
      </w:r>
      <w:r>
        <w:rPr>
          <w:rFonts w:hint="eastAsia" w:ascii="宋体" w:hAnsi="宋体"/>
          <w:color w:val="auto"/>
          <w:sz w:val="24"/>
          <w:highlight w:val="none"/>
        </w:rPr>
        <w:t>登记名称完全一致。</w:t>
      </w:r>
    </w:p>
    <w:p w14:paraId="3B6B0D2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1.5投标文件中要求盖单位章的，均以盖电子签章为准。要求</w:t>
      </w:r>
      <w:r>
        <w:rPr>
          <w:rFonts w:hint="eastAsia"/>
          <w:color w:val="auto"/>
          <w:sz w:val="24"/>
          <w:szCs w:val="24"/>
          <w:highlight w:val="none"/>
        </w:rPr>
        <w:t>规定法定代表人或授权委托人人、项目负责人和技术负责人签字的页面必须签字。签字必须由本人在规定页面手写签名或签章后扫描上传。</w:t>
      </w:r>
    </w:p>
    <w:p w14:paraId="17F50C64">
      <w:pPr>
        <w:widowControl/>
        <w:jc w:val="left"/>
        <w:rPr>
          <w:rFonts w:ascii="宋体" w:hAnsi="宋体"/>
          <w:color w:val="auto"/>
          <w:sz w:val="24"/>
          <w:highlight w:val="none"/>
        </w:rPr>
      </w:pPr>
      <w:r>
        <w:rPr>
          <w:rFonts w:ascii="宋体" w:hAnsi="宋体"/>
          <w:color w:val="auto"/>
          <w:sz w:val="24"/>
          <w:highlight w:val="none"/>
        </w:rPr>
        <w:br w:type="page"/>
      </w:r>
    </w:p>
    <w:p w14:paraId="1619BA9E">
      <w:pPr>
        <w:spacing w:line="400" w:lineRule="exact"/>
        <w:rPr>
          <w:color w:val="auto"/>
          <w:sz w:val="35"/>
          <w:szCs w:val="35"/>
          <w:highlight w:val="none"/>
        </w:rPr>
      </w:pPr>
    </w:p>
    <w:p w14:paraId="2DD63423">
      <w:pPr>
        <w:spacing w:line="400" w:lineRule="exact"/>
        <w:rPr>
          <w:rFonts w:eastAsia="黑体"/>
          <w:color w:val="auto"/>
          <w:sz w:val="19"/>
          <w:szCs w:val="19"/>
          <w:highlight w:val="none"/>
        </w:rPr>
      </w:pPr>
    </w:p>
    <w:p w14:paraId="7D8A3FE8">
      <w:pPr>
        <w:spacing w:line="400" w:lineRule="exact"/>
        <w:rPr>
          <w:rFonts w:eastAsia="黑体"/>
          <w:color w:val="auto"/>
          <w:sz w:val="19"/>
          <w:szCs w:val="19"/>
          <w:highlight w:val="none"/>
        </w:rPr>
      </w:pPr>
    </w:p>
    <w:p w14:paraId="52E00A79">
      <w:pPr>
        <w:spacing w:line="360" w:lineRule="auto"/>
        <w:jc w:val="center"/>
        <w:rPr>
          <w:rFonts w:hint="eastAsia" w:ascii="宋体" w:hAnsi="宋体" w:eastAsia="宋体" w:cs="宋体"/>
          <w:color w:val="auto"/>
          <w:sz w:val="48"/>
          <w:szCs w:val="48"/>
          <w:highlight w:val="none"/>
          <w:u w:val="single"/>
        </w:rPr>
      </w:pPr>
      <w:r>
        <w:rPr>
          <w:rFonts w:hint="eastAsia" w:ascii="宋体" w:hAnsi="宋体" w:eastAsia="宋体" w:cs="宋体"/>
          <w:color w:val="auto"/>
          <w:sz w:val="48"/>
          <w:szCs w:val="48"/>
          <w:highlight w:val="none"/>
          <w:u w:val="single"/>
          <w:lang w:eastAsia="zh-CN"/>
        </w:rPr>
        <w:t>车陂加压站复建工程第二阶段(附属设施用房)施工总承包</w:t>
      </w:r>
    </w:p>
    <w:p w14:paraId="1F21456E">
      <w:pPr>
        <w:spacing w:line="400" w:lineRule="exact"/>
        <w:rPr>
          <w:rFonts w:eastAsia="黑体"/>
          <w:color w:val="auto"/>
          <w:sz w:val="19"/>
          <w:szCs w:val="19"/>
          <w:highlight w:val="none"/>
        </w:rPr>
      </w:pPr>
    </w:p>
    <w:p w14:paraId="38A224E1">
      <w:pPr>
        <w:spacing w:line="400" w:lineRule="exact"/>
        <w:rPr>
          <w:rFonts w:eastAsia="黑体"/>
          <w:color w:val="auto"/>
          <w:sz w:val="19"/>
          <w:szCs w:val="19"/>
          <w:highlight w:val="none"/>
        </w:rPr>
      </w:pPr>
    </w:p>
    <w:p w14:paraId="4EB7A629">
      <w:pPr>
        <w:spacing w:line="400" w:lineRule="exact"/>
        <w:jc w:val="center"/>
        <w:rPr>
          <w:rFonts w:eastAsia="黑体"/>
          <w:color w:val="auto"/>
          <w:sz w:val="42"/>
          <w:szCs w:val="42"/>
          <w:highlight w:val="none"/>
        </w:rPr>
      </w:pPr>
      <w:bookmarkStart w:id="875" w:name="_Toc221951911"/>
      <w:r>
        <w:rPr>
          <w:rFonts w:eastAsia="黑体"/>
          <w:color w:val="auto"/>
          <w:sz w:val="42"/>
          <w:szCs w:val="42"/>
          <w:highlight w:val="none"/>
        </w:rPr>
        <w:t>投  标  文  件</w:t>
      </w:r>
      <w:bookmarkEnd w:id="875"/>
    </w:p>
    <w:p w14:paraId="67C70F74">
      <w:pPr>
        <w:spacing w:line="400" w:lineRule="exact"/>
        <w:rPr>
          <w:rFonts w:eastAsia="黑体"/>
          <w:color w:val="auto"/>
          <w:sz w:val="27"/>
          <w:szCs w:val="27"/>
          <w:highlight w:val="none"/>
        </w:rPr>
      </w:pPr>
    </w:p>
    <w:p w14:paraId="5B4D6F0E">
      <w:pPr>
        <w:spacing w:line="400" w:lineRule="exact"/>
        <w:rPr>
          <w:rFonts w:eastAsia="黑体"/>
          <w:color w:val="auto"/>
          <w:sz w:val="27"/>
          <w:szCs w:val="27"/>
          <w:highlight w:val="none"/>
        </w:rPr>
      </w:pPr>
    </w:p>
    <w:p w14:paraId="4B0A837C">
      <w:pPr>
        <w:spacing w:line="400" w:lineRule="exact"/>
        <w:rPr>
          <w:rFonts w:eastAsia="黑体"/>
          <w:color w:val="auto"/>
          <w:sz w:val="27"/>
          <w:szCs w:val="27"/>
          <w:highlight w:val="none"/>
        </w:rPr>
      </w:pPr>
    </w:p>
    <w:p w14:paraId="360CEFFF">
      <w:pPr>
        <w:spacing w:line="400" w:lineRule="exact"/>
        <w:rPr>
          <w:rFonts w:eastAsia="黑体"/>
          <w:color w:val="auto"/>
          <w:sz w:val="27"/>
          <w:szCs w:val="27"/>
          <w:highlight w:val="none"/>
        </w:rPr>
      </w:pPr>
    </w:p>
    <w:p w14:paraId="26ADC899">
      <w:pPr>
        <w:spacing w:line="400" w:lineRule="exact"/>
        <w:rPr>
          <w:rFonts w:eastAsia="黑体"/>
          <w:color w:val="auto"/>
          <w:sz w:val="27"/>
          <w:szCs w:val="27"/>
          <w:highlight w:val="none"/>
        </w:rPr>
      </w:pPr>
    </w:p>
    <w:p w14:paraId="479615F5">
      <w:pPr>
        <w:spacing w:line="400" w:lineRule="exact"/>
        <w:rPr>
          <w:rFonts w:eastAsia="黑体"/>
          <w:color w:val="auto"/>
          <w:sz w:val="27"/>
          <w:szCs w:val="27"/>
          <w:highlight w:val="none"/>
        </w:rPr>
      </w:pPr>
    </w:p>
    <w:p w14:paraId="5F1557B8">
      <w:pPr>
        <w:spacing w:line="400" w:lineRule="exact"/>
        <w:rPr>
          <w:rFonts w:eastAsia="黑体"/>
          <w:color w:val="auto"/>
          <w:sz w:val="27"/>
          <w:szCs w:val="27"/>
          <w:highlight w:val="none"/>
        </w:rPr>
      </w:pPr>
    </w:p>
    <w:p w14:paraId="04E5E61A">
      <w:pPr>
        <w:spacing w:line="400" w:lineRule="exact"/>
        <w:rPr>
          <w:rFonts w:eastAsia="黑体"/>
          <w:color w:val="auto"/>
          <w:sz w:val="27"/>
          <w:szCs w:val="27"/>
          <w:highlight w:val="none"/>
        </w:rPr>
      </w:pPr>
    </w:p>
    <w:p w14:paraId="2B56866C">
      <w:pPr>
        <w:spacing w:line="400" w:lineRule="exact"/>
        <w:rPr>
          <w:rFonts w:eastAsia="黑体"/>
          <w:color w:val="auto"/>
          <w:sz w:val="27"/>
          <w:szCs w:val="27"/>
          <w:highlight w:val="none"/>
        </w:rPr>
      </w:pPr>
    </w:p>
    <w:p w14:paraId="7329AF61">
      <w:pPr>
        <w:spacing w:line="400" w:lineRule="exact"/>
        <w:rPr>
          <w:rFonts w:eastAsia="黑体"/>
          <w:color w:val="auto"/>
          <w:sz w:val="27"/>
          <w:szCs w:val="27"/>
          <w:highlight w:val="none"/>
        </w:rPr>
      </w:pPr>
    </w:p>
    <w:p w14:paraId="7E8913FC">
      <w:pPr>
        <w:spacing w:line="400" w:lineRule="exact"/>
        <w:rPr>
          <w:rFonts w:eastAsia="黑体"/>
          <w:color w:val="auto"/>
          <w:sz w:val="27"/>
          <w:szCs w:val="27"/>
          <w:highlight w:val="none"/>
        </w:rPr>
      </w:pPr>
    </w:p>
    <w:p w14:paraId="6E920196">
      <w:pPr>
        <w:spacing w:line="400" w:lineRule="exact"/>
        <w:jc w:val="center"/>
        <w:rPr>
          <w:rFonts w:eastAsia="黑体"/>
          <w:color w:val="auto"/>
          <w:sz w:val="27"/>
          <w:szCs w:val="27"/>
          <w:highlight w:val="none"/>
        </w:rPr>
      </w:pPr>
      <w:bookmarkStart w:id="876" w:name="_Toc221951912"/>
      <w:r>
        <w:rPr>
          <w:rFonts w:eastAsia="黑体"/>
          <w:color w:val="auto"/>
          <w:sz w:val="27"/>
          <w:szCs w:val="27"/>
          <w:highlight w:val="none"/>
        </w:rPr>
        <w:t>投标人：</w:t>
      </w:r>
      <w:r>
        <w:rPr>
          <w:rFonts w:eastAsia="黑体"/>
          <w:color w:val="auto"/>
          <w:sz w:val="27"/>
          <w:szCs w:val="27"/>
          <w:highlight w:val="none"/>
          <w:u w:val="single"/>
        </w:rPr>
        <w:t xml:space="preserve">                     </w:t>
      </w:r>
      <w:r>
        <w:rPr>
          <w:rFonts w:hint="eastAsia" w:eastAsia="黑体"/>
          <w:color w:val="auto"/>
          <w:sz w:val="27"/>
          <w:szCs w:val="27"/>
          <w:highlight w:val="none"/>
          <w:u w:val="single"/>
        </w:rPr>
        <w:t xml:space="preserve">  </w:t>
      </w:r>
      <w:r>
        <w:rPr>
          <w:rFonts w:eastAsia="黑体"/>
          <w:color w:val="auto"/>
          <w:sz w:val="27"/>
          <w:szCs w:val="27"/>
          <w:highlight w:val="none"/>
          <w:u w:val="single"/>
        </w:rPr>
        <w:t xml:space="preserve">       </w:t>
      </w:r>
      <w:r>
        <w:rPr>
          <w:rFonts w:eastAsia="黑体"/>
          <w:color w:val="auto"/>
          <w:sz w:val="27"/>
          <w:szCs w:val="27"/>
          <w:highlight w:val="none"/>
        </w:rPr>
        <w:t>（盖单位章）</w:t>
      </w:r>
      <w:bookmarkEnd w:id="876"/>
    </w:p>
    <w:p w14:paraId="3C0C4BC5">
      <w:pPr>
        <w:spacing w:line="400" w:lineRule="exact"/>
        <w:jc w:val="center"/>
        <w:rPr>
          <w:rFonts w:eastAsia="黑体"/>
          <w:color w:val="auto"/>
          <w:sz w:val="27"/>
          <w:szCs w:val="27"/>
          <w:highlight w:val="none"/>
          <w:u w:val="single"/>
        </w:rPr>
      </w:pPr>
    </w:p>
    <w:p w14:paraId="1304BD61">
      <w:pPr>
        <w:spacing w:line="400" w:lineRule="exact"/>
        <w:jc w:val="center"/>
        <w:rPr>
          <w:rFonts w:eastAsia="黑体"/>
          <w:color w:val="auto"/>
          <w:sz w:val="27"/>
          <w:szCs w:val="27"/>
          <w:highlight w:val="none"/>
        </w:rPr>
      </w:pPr>
      <w:r>
        <w:rPr>
          <w:rFonts w:eastAsia="黑体"/>
          <w:color w:val="auto"/>
          <w:sz w:val="27"/>
          <w:szCs w:val="27"/>
          <w:highlight w:val="none"/>
          <w:u w:val="single"/>
        </w:rPr>
        <w:t xml:space="preserve">        </w:t>
      </w:r>
      <w:bookmarkStart w:id="877" w:name="_Toc221951914"/>
      <w:r>
        <w:rPr>
          <w:rFonts w:eastAsia="黑体"/>
          <w:color w:val="auto"/>
          <w:sz w:val="27"/>
          <w:szCs w:val="27"/>
          <w:highlight w:val="none"/>
        </w:rPr>
        <w:t>年</w:t>
      </w:r>
      <w:r>
        <w:rPr>
          <w:rFonts w:eastAsia="黑体"/>
          <w:color w:val="auto"/>
          <w:sz w:val="27"/>
          <w:szCs w:val="27"/>
          <w:highlight w:val="none"/>
          <w:u w:val="single"/>
        </w:rPr>
        <w:t xml:space="preserve">        </w:t>
      </w:r>
      <w:r>
        <w:rPr>
          <w:rFonts w:eastAsia="黑体"/>
          <w:color w:val="auto"/>
          <w:sz w:val="27"/>
          <w:szCs w:val="27"/>
          <w:highlight w:val="none"/>
        </w:rPr>
        <w:t>月</w:t>
      </w:r>
      <w:r>
        <w:rPr>
          <w:rFonts w:eastAsia="黑体"/>
          <w:color w:val="auto"/>
          <w:sz w:val="27"/>
          <w:szCs w:val="27"/>
          <w:highlight w:val="none"/>
          <w:u w:val="single"/>
        </w:rPr>
        <w:t xml:space="preserve">         </w:t>
      </w:r>
      <w:r>
        <w:rPr>
          <w:rFonts w:eastAsia="黑体"/>
          <w:color w:val="auto"/>
          <w:sz w:val="27"/>
          <w:szCs w:val="27"/>
          <w:highlight w:val="none"/>
        </w:rPr>
        <w:t>日</w:t>
      </w:r>
      <w:bookmarkEnd w:id="877"/>
    </w:p>
    <w:p w14:paraId="75A6D0F5">
      <w:pPr>
        <w:spacing w:line="400" w:lineRule="exact"/>
        <w:rPr>
          <w:color w:val="auto"/>
          <w:sz w:val="20"/>
          <w:szCs w:val="20"/>
          <w:highlight w:val="none"/>
        </w:rPr>
      </w:pPr>
      <w:r>
        <w:rPr>
          <w:color w:val="auto"/>
          <w:sz w:val="20"/>
          <w:szCs w:val="20"/>
          <w:highlight w:val="none"/>
        </w:rPr>
        <w:br w:type="page"/>
      </w:r>
    </w:p>
    <w:p w14:paraId="6D682A66">
      <w:pPr>
        <w:spacing w:line="360" w:lineRule="auto"/>
        <w:jc w:val="center"/>
        <w:outlineLvl w:val="2"/>
        <w:rPr>
          <w:rFonts w:ascii="黑体" w:hAnsi="黑体" w:eastAsia="黑体"/>
          <w:color w:val="auto"/>
          <w:sz w:val="28"/>
          <w:szCs w:val="27"/>
          <w:highlight w:val="none"/>
        </w:rPr>
      </w:pPr>
      <w:bookmarkStart w:id="878" w:name="_Toc259524413"/>
      <w:bookmarkStart w:id="879" w:name="_Toc229305419"/>
      <w:bookmarkStart w:id="880" w:name="_Toc17451651"/>
      <w:bookmarkStart w:id="881" w:name="_Toc17451129"/>
      <w:bookmarkStart w:id="882" w:name="_Toc14596"/>
      <w:bookmarkStart w:id="883" w:name="_Toc17452692"/>
      <w:bookmarkStart w:id="884" w:name="_Toc17451606"/>
      <w:bookmarkStart w:id="885" w:name="_Toc17454950"/>
      <w:bookmarkStart w:id="886" w:name="_Toc17454899"/>
      <w:bookmarkStart w:id="887" w:name="_Toc17556904"/>
      <w:r>
        <w:rPr>
          <w:rFonts w:hint="eastAsia" w:ascii="黑体" w:hAnsi="黑体" w:eastAsia="黑体"/>
          <w:color w:val="auto"/>
          <w:sz w:val="28"/>
          <w:szCs w:val="27"/>
          <w:highlight w:val="none"/>
        </w:rPr>
        <w:t>目    录</w:t>
      </w:r>
      <w:bookmarkEnd w:id="878"/>
      <w:bookmarkEnd w:id="879"/>
      <w:r>
        <w:rPr>
          <w:rFonts w:hint="eastAsia" w:ascii="华文宋体" w:hAnsi="华文宋体" w:eastAsia="华文宋体"/>
          <w:color w:val="auto"/>
          <w:szCs w:val="21"/>
          <w:highlight w:val="none"/>
        </w:rPr>
        <w:t>（可加上二级目录）</w:t>
      </w:r>
      <w:bookmarkEnd w:id="880"/>
      <w:bookmarkEnd w:id="881"/>
      <w:bookmarkEnd w:id="882"/>
      <w:bookmarkEnd w:id="883"/>
      <w:bookmarkEnd w:id="884"/>
      <w:bookmarkEnd w:id="885"/>
      <w:bookmarkEnd w:id="886"/>
      <w:bookmarkEnd w:id="887"/>
    </w:p>
    <w:p w14:paraId="0B31E387">
      <w:pPr>
        <w:spacing w:line="400" w:lineRule="exact"/>
        <w:rPr>
          <w:color w:val="auto"/>
          <w:sz w:val="20"/>
          <w:szCs w:val="20"/>
          <w:highlight w:val="none"/>
        </w:rPr>
      </w:pPr>
    </w:p>
    <w:p w14:paraId="2FCA2E6A">
      <w:pPr>
        <w:spacing w:line="276" w:lineRule="auto"/>
        <w:rPr>
          <w:rFonts w:ascii="黑体" w:eastAsia="黑体"/>
          <w:color w:val="auto"/>
          <w:sz w:val="27"/>
          <w:szCs w:val="27"/>
          <w:highlight w:val="none"/>
        </w:rPr>
      </w:pPr>
      <w:bookmarkStart w:id="888" w:name="_Toc221951916"/>
      <w:r>
        <w:rPr>
          <w:rFonts w:hint="eastAsia" w:ascii="黑体" w:eastAsia="黑体"/>
          <w:color w:val="auto"/>
          <w:sz w:val="27"/>
          <w:szCs w:val="27"/>
          <w:highlight w:val="none"/>
        </w:rPr>
        <w:t>一、投标函及投标函附录</w:t>
      </w:r>
      <w:bookmarkEnd w:id="888"/>
    </w:p>
    <w:p w14:paraId="31DB2EB8">
      <w:pPr>
        <w:spacing w:line="276" w:lineRule="auto"/>
        <w:rPr>
          <w:rFonts w:ascii="黑体" w:eastAsia="黑体"/>
          <w:color w:val="auto"/>
          <w:sz w:val="27"/>
          <w:szCs w:val="27"/>
          <w:highlight w:val="none"/>
        </w:rPr>
      </w:pPr>
      <w:bookmarkStart w:id="889" w:name="_Toc221951917"/>
      <w:r>
        <w:rPr>
          <w:rFonts w:hint="eastAsia" w:ascii="黑体" w:eastAsia="黑体"/>
          <w:color w:val="auto"/>
          <w:sz w:val="27"/>
          <w:szCs w:val="27"/>
          <w:highlight w:val="none"/>
        </w:rPr>
        <w:t>二、法定代表人身份证明</w:t>
      </w:r>
    </w:p>
    <w:p w14:paraId="35656596">
      <w:pPr>
        <w:spacing w:line="276" w:lineRule="auto"/>
        <w:rPr>
          <w:rFonts w:ascii="黑体" w:eastAsia="黑体"/>
          <w:color w:val="auto"/>
          <w:sz w:val="27"/>
          <w:szCs w:val="27"/>
          <w:highlight w:val="none"/>
        </w:rPr>
      </w:pPr>
      <w:r>
        <w:rPr>
          <w:rFonts w:hint="eastAsia" w:ascii="黑体" w:eastAsia="黑体"/>
          <w:color w:val="auto"/>
          <w:sz w:val="27"/>
          <w:szCs w:val="27"/>
          <w:highlight w:val="none"/>
        </w:rPr>
        <w:t>三、授权委托书</w:t>
      </w:r>
      <w:bookmarkEnd w:id="889"/>
    </w:p>
    <w:p w14:paraId="31F32D49">
      <w:pPr>
        <w:spacing w:line="276" w:lineRule="auto"/>
        <w:rPr>
          <w:rFonts w:ascii="黑体" w:eastAsia="黑体"/>
          <w:color w:val="auto"/>
          <w:sz w:val="27"/>
          <w:szCs w:val="27"/>
          <w:highlight w:val="none"/>
        </w:rPr>
      </w:pPr>
      <w:bookmarkStart w:id="890" w:name="_Toc221951918"/>
      <w:r>
        <w:rPr>
          <w:rFonts w:hint="eastAsia" w:ascii="黑体" w:eastAsia="黑体"/>
          <w:strike/>
          <w:color w:val="auto"/>
          <w:sz w:val="27"/>
          <w:szCs w:val="27"/>
          <w:highlight w:val="none"/>
        </w:rPr>
        <w:t>四、联合体协议书（若有）</w:t>
      </w:r>
      <w:bookmarkEnd w:id="890"/>
    </w:p>
    <w:p w14:paraId="41D41198">
      <w:pPr>
        <w:spacing w:line="276" w:lineRule="auto"/>
        <w:rPr>
          <w:rFonts w:ascii="黑体" w:eastAsia="黑体"/>
          <w:color w:val="auto"/>
          <w:sz w:val="27"/>
          <w:szCs w:val="27"/>
          <w:highlight w:val="none"/>
        </w:rPr>
      </w:pPr>
      <w:bookmarkStart w:id="891" w:name="_Toc221951919"/>
      <w:r>
        <w:rPr>
          <w:rFonts w:hint="eastAsia" w:ascii="黑体" w:eastAsia="黑体"/>
          <w:color w:val="auto"/>
          <w:sz w:val="27"/>
          <w:szCs w:val="27"/>
          <w:highlight w:val="none"/>
        </w:rPr>
        <w:t>五、投标保证金</w:t>
      </w:r>
      <w:bookmarkEnd w:id="891"/>
      <w:r>
        <w:rPr>
          <w:rFonts w:hint="eastAsia" w:ascii="黑体" w:eastAsia="黑体"/>
          <w:color w:val="auto"/>
          <w:sz w:val="27"/>
          <w:szCs w:val="27"/>
          <w:highlight w:val="none"/>
          <w:lang w:eastAsia="zh-CN"/>
        </w:rPr>
        <w:t>（若有）</w:t>
      </w:r>
      <w:r>
        <w:rPr>
          <w:rFonts w:hint="eastAsia" w:ascii="黑体" w:eastAsia="黑体"/>
          <w:color w:val="auto"/>
          <w:sz w:val="27"/>
          <w:szCs w:val="27"/>
          <w:highlight w:val="none"/>
        </w:rPr>
        <w:t xml:space="preserve"> </w:t>
      </w:r>
    </w:p>
    <w:p w14:paraId="14D8520F">
      <w:pPr>
        <w:spacing w:line="276" w:lineRule="auto"/>
        <w:rPr>
          <w:rFonts w:ascii="黑体" w:eastAsia="黑体"/>
          <w:color w:val="auto"/>
          <w:sz w:val="27"/>
          <w:szCs w:val="27"/>
          <w:highlight w:val="none"/>
        </w:rPr>
      </w:pPr>
      <w:bookmarkStart w:id="892" w:name="_Toc221951920"/>
      <w:r>
        <w:rPr>
          <w:rFonts w:hint="eastAsia" w:ascii="黑体" w:eastAsia="黑体"/>
          <w:color w:val="auto"/>
          <w:sz w:val="27"/>
          <w:szCs w:val="27"/>
          <w:highlight w:val="none"/>
        </w:rPr>
        <w:t>六、已标价工程量清单</w:t>
      </w:r>
      <w:bookmarkEnd w:id="892"/>
    </w:p>
    <w:p w14:paraId="5D8DC5E1">
      <w:pPr>
        <w:spacing w:line="276" w:lineRule="auto"/>
        <w:rPr>
          <w:rFonts w:ascii="黑体" w:eastAsia="黑体"/>
          <w:color w:val="auto"/>
          <w:sz w:val="27"/>
          <w:szCs w:val="27"/>
          <w:highlight w:val="none"/>
        </w:rPr>
      </w:pPr>
      <w:bookmarkStart w:id="893" w:name="_Toc221951921"/>
      <w:r>
        <w:rPr>
          <w:rFonts w:hint="eastAsia" w:ascii="黑体" w:eastAsia="黑体"/>
          <w:color w:val="auto"/>
          <w:sz w:val="27"/>
          <w:szCs w:val="27"/>
          <w:highlight w:val="none"/>
        </w:rPr>
        <w:t>七、施工组织设计</w:t>
      </w:r>
      <w:bookmarkEnd w:id="893"/>
      <w:r>
        <w:rPr>
          <w:rFonts w:hint="eastAsia" w:ascii="黑体" w:eastAsia="黑体"/>
          <w:color w:val="auto"/>
          <w:sz w:val="27"/>
          <w:szCs w:val="27"/>
          <w:highlight w:val="none"/>
        </w:rPr>
        <w:t>（或施工组织设计要点）</w:t>
      </w:r>
    </w:p>
    <w:p w14:paraId="12423A47">
      <w:pPr>
        <w:spacing w:line="276" w:lineRule="auto"/>
        <w:rPr>
          <w:rFonts w:ascii="黑体" w:eastAsia="黑体"/>
          <w:color w:val="auto"/>
          <w:sz w:val="27"/>
          <w:szCs w:val="27"/>
          <w:highlight w:val="none"/>
        </w:rPr>
      </w:pPr>
      <w:bookmarkStart w:id="894" w:name="_Toc221951922"/>
      <w:r>
        <w:rPr>
          <w:rFonts w:hint="eastAsia" w:ascii="黑体" w:eastAsia="黑体"/>
          <w:color w:val="auto"/>
          <w:sz w:val="27"/>
          <w:szCs w:val="27"/>
          <w:highlight w:val="none"/>
        </w:rPr>
        <w:t>八、项目管理机构</w:t>
      </w:r>
      <w:bookmarkEnd w:id="894"/>
    </w:p>
    <w:p w14:paraId="56A56623">
      <w:pPr>
        <w:spacing w:line="276" w:lineRule="auto"/>
        <w:rPr>
          <w:rFonts w:ascii="黑体" w:eastAsia="黑体"/>
          <w:color w:val="auto"/>
          <w:sz w:val="27"/>
          <w:szCs w:val="27"/>
          <w:highlight w:val="none"/>
        </w:rPr>
      </w:pPr>
      <w:bookmarkStart w:id="895" w:name="_Toc221951924"/>
      <w:r>
        <w:rPr>
          <w:rFonts w:hint="eastAsia" w:ascii="黑体" w:eastAsia="黑体"/>
          <w:color w:val="auto"/>
          <w:sz w:val="27"/>
          <w:szCs w:val="27"/>
          <w:highlight w:val="none"/>
        </w:rPr>
        <w:t>九、资格审查资料</w:t>
      </w:r>
      <w:bookmarkEnd w:id="895"/>
    </w:p>
    <w:p w14:paraId="0EE42F13">
      <w:pPr>
        <w:spacing w:line="276" w:lineRule="auto"/>
        <w:rPr>
          <w:rFonts w:ascii="黑体" w:eastAsia="黑体"/>
          <w:color w:val="auto"/>
          <w:sz w:val="27"/>
          <w:szCs w:val="27"/>
          <w:highlight w:val="none"/>
        </w:rPr>
      </w:pPr>
      <w:bookmarkStart w:id="896" w:name="_Toc221951925"/>
      <w:r>
        <w:rPr>
          <w:rFonts w:hint="eastAsia" w:ascii="黑体" w:eastAsia="黑体"/>
          <w:color w:val="auto"/>
          <w:sz w:val="27"/>
          <w:szCs w:val="27"/>
          <w:highlight w:val="none"/>
        </w:rPr>
        <w:t>十、</w:t>
      </w:r>
      <w:bookmarkEnd w:id="896"/>
      <w:r>
        <w:rPr>
          <w:rFonts w:hint="eastAsia" w:ascii="黑体" w:eastAsia="黑体"/>
          <w:color w:val="auto"/>
          <w:sz w:val="27"/>
          <w:szCs w:val="27"/>
          <w:highlight w:val="none"/>
        </w:rPr>
        <w:t>投标人须知前附表规定的其他材料</w:t>
      </w:r>
    </w:p>
    <w:p w14:paraId="307285F9">
      <w:pPr>
        <w:spacing w:line="276" w:lineRule="auto"/>
        <w:rPr>
          <w:rFonts w:eastAsia="黑体"/>
          <w:color w:val="auto"/>
          <w:sz w:val="19"/>
          <w:szCs w:val="19"/>
          <w:highlight w:val="none"/>
        </w:rPr>
      </w:pPr>
      <w:r>
        <w:rPr>
          <w:color w:val="auto"/>
          <w:sz w:val="20"/>
          <w:szCs w:val="20"/>
          <w:highlight w:val="none"/>
        </w:rPr>
        <w:t xml:space="preserve"> </w:t>
      </w:r>
      <w:r>
        <w:rPr>
          <w:color w:val="auto"/>
          <w:sz w:val="20"/>
          <w:szCs w:val="20"/>
          <w:highlight w:val="none"/>
        </w:rPr>
        <w:br w:type="page"/>
      </w:r>
    </w:p>
    <w:p w14:paraId="773B6F44">
      <w:pPr>
        <w:spacing w:line="360" w:lineRule="auto"/>
        <w:jc w:val="center"/>
        <w:outlineLvl w:val="2"/>
        <w:rPr>
          <w:rFonts w:ascii="黑体" w:hAnsi="黑体" w:eastAsia="黑体"/>
          <w:color w:val="auto"/>
          <w:sz w:val="28"/>
          <w:szCs w:val="27"/>
          <w:highlight w:val="none"/>
        </w:rPr>
      </w:pPr>
      <w:bookmarkStart w:id="897" w:name="_Toc17452693"/>
      <w:bookmarkStart w:id="898" w:name="_Toc168476318"/>
      <w:bookmarkStart w:id="899" w:name="_Toc222031062"/>
      <w:bookmarkStart w:id="900" w:name="_Toc229305420"/>
      <w:bookmarkStart w:id="901" w:name="_Toc27786"/>
      <w:bookmarkStart w:id="902" w:name="_Toc221951926"/>
      <w:bookmarkStart w:id="903" w:name="_Toc17454951"/>
      <w:bookmarkStart w:id="904" w:name="_Toc17454900"/>
      <w:bookmarkStart w:id="905" w:name="_Toc222029560"/>
      <w:bookmarkStart w:id="906" w:name="_Toc168475915"/>
      <w:bookmarkStart w:id="907" w:name="_Toc259524414"/>
      <w:bookmarkStart w:id="908" w:name="_Toc222032729"/>
      <w:bookmarkStart w:id="909" w:name="_Toc144974857"/>
      <w:bookmarkStart w:id="910" w:name="_Toc17451607"/>
      <w:bookmarkStart w:id="911" w:name="_Toc222033911"/>
      <w:bookmarkStart w:id="912" w:name="_Toc17556905"/>
      <w:bookmarkStart w:id="913" w:name="_Toc17451130"/>
      <w:bookmarkStart w:id="914" w:name="_Toc17451652"/>
      <w:r>
        <w:rPr>
          <w:rFonts w:ascii="黑体" w:hAnsi="黑体" w:eastAsia="黑体"/>
          <w:color w:val="auto"/>
          <w:sz w:val="28"/>
          <w:szCs w:val="27"/>
          <w:highlight w:val="none"/>
        </w:rPr>
        <w:t>一、投标函及投标函附录</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4A10D454">
      <w:pPr>
        <w:spacing w:line="400" w:lineRule="exact"/>
        <w:outlineLvl w:val="3"/>
        <w:rPr>
          <w:rFonts w:ascii="宋体" w:hAnsi="宋体"/>
          <w:b/>
          <w:color w:val="auto"/>
          <w:sz w:val="24"/>
          <w:szCs w:val="31"/>
          <w:highlight w:val="none"/>
        </w:rPr>
      </w:pPr>
      <w:bookmarkStart w:id="915" w:name="_Toc168476319"/>
      <w:bookmarkStart w:id="916" w:name="_Toc221951927"/>
      <w:bookmarkStart w:id="917" w:name="_Toc168475916"/>
      <w:bookmarkStart w:id="918" w:name="_Toc144974858"/>
      <w:r>
        <w:rPr>
          <w:rFonts w:ascii="宋体" w:hAnsi="宋体"/>
          <w:b/>
          <w:color w:val="auto"/>
          <w:sz w:val="24"/>
          <w:szCs w:val="31"/>
          <w:highlight w:val="none"/>
        </w:rPr>
        <w:t>（一）投标函</w:t>
      </w:r>
      <w:bookmarkEnd w:id="915"/>
      <w:bookmarkEnd w:id="916"/>
      <w:bookmarkEnd w:id="917"/>
      <w:bookmarkEnd w:id="918"/>
    </w:p>
    <w:p w14:paraId="153C229A">
      <w:pPr>
        <w:spacing w:line="400" w:lineRule="exact"/>
        <w:rPr>
          <w:color w:val="auto"/>
          <w:sz w:val="19"/>
          <w:szCs w:val="19"/>
          <w:highlight w:val="none"/>
        </w:rPr>
      </w:pPr>
    </w:p>
    <w:p w14:paraId="71C441CE">
      <w:pPr>
        <w:spacing w:line="400" w:lineRule="exact"/>
        <w:rPr>
          <w:rFonts w:ascii="宋体" w:hAnsi="宋体"/>
          <w:color w:val="auto"/>
          <w:szCs w:val="21"/>
          <w:highlight w:val="none"/>
        </w:rPr>
      </w:pPr>
      <w:r>
        <w:rPr>
          <w:rFonts w:ascii="宋体" w:hAnsi="宋体"/>
          <w:color w:val="auto"/>
          <w:szCs w:val="21"/>
          <w:highlight w:val="none"/>
          <w:u w:val="single"/>
        </w:rPr>
        <w:t xml:space="preserve">                        </w:t>
      </w:r>
      <w:bookmarkStart w:id="919" w:name="_Toc221951928"/>
      <w:r>
        <w:rPr>
          <w:rFonts w:ascii="宋体" w:hAnsi="宋体"/>
          <w:color w:val="auto"/>
          <w:szCs w:val="21"/>
          <w:highlight w:val="none"/>
        </w:rPr>
        <w:t>（</w:t>
      </w:r>
      <w:r>
        <w:rPr>
          <w:rFonts w:hint="eastAsia" w:ascii="宋体" w:hAnsi="宋体"/>
          <w:color w:val="auto"/>
          <w:szCs w:val="21"/>
          <w:highlight w:val="none"/>
        </w:rPr>
        <w:t>招标人名称</w:t>
      </w:r>
      <w:r>
        <w:rPr>
          <w:rFonts w:ascii="宋体" w:hAnsi="宋体"/>
          <w:color w:val="auto"/>
          <w:szCs w:val="21"/>
          <w:highlight w:val="none"/>
        </w:rPr>
        <w:t>）：</w:t>
      </w:r>
      <w:bookmarkEnd w:id="919"/>
    </w:p>
    <w:p w14:paraId="62EAB081">
      <w:pPr>
        <w:spacing w:line="400" w:lineRule="exact"/>
        <w:rPr>
          <w:rFonts w:ascii="宋体" w:hAnsi="宋体"/>
          <w:color w:val="auto"/>
          <w:szCs w:val="21"/>
          <w:highlight w:val="none"/>
        </w:rPr>
      </w:pPr>
    </w:p>
    <w:p w14:paraId="3EF89663">
      <w:pPr>
        <w:spacing w:line="400" w:lineRule="exact"/>
        <w:ind w:firstLine="420" w:firstLineChars="200"/>
        <w:rPr>
          <w:rFonts w:ascii="宋体" w:hAnsi="宋体"/>
          <w:color w:val="auto"/>
          <w:szCs w:val="21"/>
          <w:highlight w:val="none"/>
        </w:rPr>
      </w:pPr>
      <w:bookmarkStart w:id="920" w:name="_Toc221951929"/>
      <w:r>
        <w:rPr>
          <w:rFonts w:ascii="宋体" w:hAnsi="宋体"/>
          <w:color w:val="auto"/>
          <w:szCs w:val="21"/>
          <w:highlight w:val="none"/>
        </w:rPr>
        <w:t>1．我方已仔细研究了</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ascii="宋体" w:hAnsi="宋体"/>
          <w:color w:val="auto"/>
          <w:szCs w:val="21"/>
          <w:highlight w:val="none"/>
        </w:rPr>
        <w:t>招标文件的全部内容，愿意以人民币（大写）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ascii="宋体" w:hAnsi="宋体"/>
          <w:color w:val="auto"/>
          <w:szCs w:val="21"/>
          <w:highlight w:val="none"/>
        </w:rPr>
        <w:t>）的投标总报价，</w:t>
      </w:r>
      <w:r>
        <w:rPr>
          <w:rFonts w:hint="eastAsia" w:ascii="宋体" w:hAnsi="宋体"/>
          <w:color w:val="auto"/>
          <w:szCs w:val="21"/>
          <w:highlight w:val="none"/>
        </w:rPr>
        <w:t>工期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日历天，</w:t>
      </w:r>
      <w:r>
        <w:rPr>
          <w:rFonts w:ascii="宋体" w:hAnsi="宋体"/>
          <w:color w:val="auto"/>
          <w:szCs w:val="21"/>
          <w:highlight w:val="none"/>
        </w:rPr>
        <w:t>按合同约定实施和完成承包工程，修补工程中的任何缺陷，工程质量达到</w:t>
      </w:r>
      <w:r>
        <w:rPr>
          <w:rFonts w:ascii="宋体" w:hAnsi="宋体"/>
          <w:color w:val="auto"/>
          <w:szCs w:val="21"/>
          <w:highlight w:val="none"/>
          <w:u w:val="single"/>
        </w:rPr>
        <w:t xml:space="preserve">           </w:t>
      </w:r>
      <w:r>
        <w:rPr>
          <w:rFonts w:ascii="宋体" w:hAnsi="宋体"/>
          <w:color w:val="auto"/>
          <w:szCs w:val="21"/>
          <w:highlight w:val="none"/>
        </w:rPr>
        <w:t xml:space="preserve"> 。</w:t>
      </w:r>
      <w:bookmarkEnd w:id="920"/>
    </w:p>
    <w:p w14:paraId="417C0D85">
      <w:pPr>
        <w:spacing w:line="400" w:lineRule="exact"/>
        <w:ind w:firstLine="420" w:firstLineChars="200"/>
        <w:jc w:val="left"/>
        <w:rPr>
          <w:rFonts w:ascii="宋体" w:hAnsi="宋体"/>
          <w:color w:val="auto"/>
          <w:szCs w:val="21"/>
          <w:highlight w:val="none"/>
        </w:rPr>
      </w:pPr>
      <w:bookmarkStart w:id="921" w:name="_Toc221951930"/>
      <w:r>
        <w:rPr>
          <w:rFonts w:ascii="宋体" w:hAnsi="宋体"/>
          <w:color w:val="auto"/>
          <w:szCs w:val="21"/>
          <w:highlight w:val="none"/>
        </w:rPr>
        <w:t>2．我方承诺在投标有效期内不</w:t>
      </w:r>
      <w:r>
        <w:rPr>
          <w:rFonts w:hint="eastAsia" w:ascii="宋体" w:hAnsi="宋体"/>
          <w:color w:val="auto"/>
          <w:szCs w:val="21"/>
          <w:highlight w:val="none"/>
        </w:rPr>
        <w:t>补充、</w:t>
      </w:r>
      <w:r>
        <w:rPr>
          <w:rFonts w:ascii="宋体" w:hAnsi="宋体"/>
          <w:color w:val="auto"/>
          <w:szCs w:val="21"/>
          <w:highlight w:val="none"/>
        </w:rPr>
        <w:t>修改、</w:t>
      </w:r>
      <w:r>
        <w:rPr>
          <w:rFonts w:hint="eastAsia" w:ascii="宋体" w:hAnsi="宋体"/>
          <w:color w:val="auto"/>
          <w:szCs w:val="21"/>
          <w:highlight w:val="none"/>
        </w:rPr>
        <w:t>替代或</w:t>
      </w:r>
      <w:r>
        <w:rPr>
          <w:rFonts w:ascii="宋体" w:hAnsi="宋体"/>
          <w:color w:val="auto"/>
          <w:szCs w:val="21"/>
          <w:highlight w:val="none"/>
        </w:rPr>
        <w:t>撤</w:t>
      </w:r>
      <w:r>
        <w:rPr>
          <w:rFonts w:hint="eastAsia" w:ascii="宋体" w:hAnsi="宋体"/>
          <w:color w:val="auto"/>
          <w:szCs w:val="21"/>
          <w:highlight w:val="none"/>
        </w:rPr>
        <w:t>回本</w:t>
      </w:r>
      <w:r>
        <w:rPr>
          <w:rFonts w:ascii="宋体" w:hAnsi="宋体"/>
          <w:color w:val="auto"/>
          <w:szCs w:val="21"/>
          <w:highlight w:val="none"/>
        </w:rPr>
        <w:t>投标文件。</w:t>
      </w:r>
      <w:bookmarkEnd w:id="921"/>
    </w:p>
    <w:p w14:paraId="48BADA00">
      <w:pPr>
        <w:spacing w:line="400" w:lineRule="exact"/>
        <w:ind w:firstLine="420" w:firstLineChars="200"/>
        <w:rPr>
          <w:rFonts w:ascii="宋体" w:hAnsi="宋体"/>
          <w:color w:val="auto"/>
          <w:szCs w:val="21"/>
          <w:highlight w:val="none"/>
        </w:rPr>
      </w:pPr>
      <w:bookmarkStart w:id="922" w:name="_Toc221951931"/>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随同本投标函提交投标保证金一份，金额为人民币（大写）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元</w:t>
      </w:r>
      <w:r>
        <w:rPr>
          <w:rFonts w:ascii="宋体" w:hAnsi="宋体"/>
          <w:color w:val="auto"/>
          <w:szCs w:val="21"/>
          <w:highlight w:val="none"/>
        </w:rPr>
        <w:t xml:space="preserve"> ）。</w:t>
      </w:r>
      <w:bookmarkEnd w:id="922"/>
    </w:p>
    <w:p w14:paraId="69FF106D">
      <w:pPr>
        <w:spacing w:line="400" w:lineRule="exact"/>
        <w:ind w:firstLine="420" w:firstLineChars="200"/>
        <w:rPr>
          <w:rFonts w:ascii="宋体" w:hAnsi="宋体"/>
          <w:color w:val="auto"/>
          <w:szCs w:val="21"/>
          <w:highlight w:val="none"/>
        </w:rPr>
      </w:pPr>
      <w:bookmarkStart w:id="923" w:name="_Toc221951932"/>
      <w:r>
        <w:rPr>
          <w:rFonts w:ascii="宋体" w:hAnsi="宋体"/>
          <w:color w:val="auto"/>
          <w:szCs w:val="21"/>
          <w:highlight w:val="none"/>
        </w:rPr>
        <w:t>4．如我方中标：</w:t>
      </w:r>
      <w:bookmarkEnd w:id="923"/>
    </w:p>
    <w:p w14:paraId="6A602802">
      <w:pPr>
        <w:spacing w:line="400" w:lineRule="exact"/>
        <w:ind w:firstLine="718" w:firstLineChars="342"/>
        <w:rPr>
          <w:rFonts w:ascii="宋体" w:hAnsi="宋体"/>
          <w:color w:val="auto"/>
          <w:szCs w:val="21"/>
          <w:highlight w:val="none"/>
        </w:rPr>
      </w:pPr>
      <w:bookmarkStart w:id="924" w:name="_Toc221951933"/>
      <w:r>
        <w:rPr>
          <w:rFonts w:ascii="宋体" w:hAnsi="宋体"/>
          <w:color w:val="auto"/>
          <w:szCs w:val="21"/>
          <w:highlight w:val="none"/>
        </w:rPr>
        <w:t>（1）我方承诺在收到中标通知书后，在中标通知书规定的期限内与你方签订合同。</w:t>
      </w:r>
      <w:bookmarkEnd w:id="924"/>
    </w:p>
    <w:p w14:paraId="0BA218D4">
      <w:pPr>
        <w:spacing w:line="400" w:lineRule="exact"/>
        <w:ind w:firstLine="718" w:firstLineChars="342"/>
        <w:rPr>
          <w:rFonts w:ascii="宋体" w:hAnsi="宋体"/>
          <w:color w:val="auto"/>
          <w:szCs w:val="21"/>
          <w:highlight w:val="none"/>
        </w:rPr>
      </w:pPr>
      <w:bookmarkStart w:id="925" w:name="_Toc221951934"/>
      <w:r>
        <w:rPr>
          <w:rFonts w:ascii="宋体" w:hAnsi="宋体"/>
          <w:color w:val="auto"/>
          <w:szCs w:val="21"/>
          <w:highlight w:val="none"/>
        </w:rPr>
        <w:t>（2）随同本投标函递交的投标函附录属于合同文件的组成部分。</w:t>
      </w:r>
      <w:bookmarkEnd w:id="925"/>
    </w:p>
    <w:p w14:paraId="188D6A11">
      <w:pPr>
        <w:spacing w:line="400" w:lineRule="exact"/>
        <w:ind w:firstLine="718" w:firstLineChars="342"/>
        <w:rPr>
          <w:rFonts w:ascii="宋体" w:hAnsi="宋体"/>
          <w:color w:val="auto"/>
          <w:szCs w:val="21"/>
          <w:highlight w:val="none"/>
        </w:rPr>
      </w:pPr>
      <w:bookmarkStart w:id="926" w:name="_Toc221951935"/>
      <w:r>
        <w:rPr>
          <w:rFonts w:ascii="宋体" w:hAnsi="宋体"/>
          <w:color w:val="auto"/>
          <w:szCs w:val="21"/>
          <w:highlight w:val="none"/>
        </w:rPr>
        <w:t>（3）我方承诺按照招标文件规定向你方递交履约担保。</w:t>
      </w:r>
      <w:bookmarkEnd w:id="926"/>
    </w:p>
    <w:p w14:paraId="5313052F">
      <w:pPr>
        <w:spacing w:line="400" w:lineRule="exact"/>
        <w:ind w:firstLine="718" w:firstLineChars="342"/>
        <w:rPr>
          <w:rFonts w:ascii="宋体" w:hAnsi="宋体"/>
          <w:color w:val="auto"/>
          <w:szCs w:val="21"/>
          <w:highlight w:val="none"/>
        </w:rPr>
      </w:pPr>
      <w:bookmarkStart w:id="927" w:name="_Toc221951936"/>
      <w:r>
        <w:rPr>
          <w:rFonts w:ascii="宋体" w:hAnsi="宋体"/>
          <w:color w:val="auto"/>
          <w:szCs w:val="21"/>
          <w:highlight w:val="none"/>
        </w:rPr>
        <w:t>（4）我方承诺在合同约定的期限内完成并移交全部合同工程。</w:t>
      </w:r>
      <w:bookmarkEnd w:id="927"/>
    </w:p>
    <w:p w14:paraId="2C6EF55B">
      <w:pPr>
        <w:spacing w:line="400" w:lineRule="exact"/>
        <w:ind w:firstLine="420" w:firstLineChars="200"/>
        <w:rPr>
          <w:rFonts w:ascii="宋体" w:hAnsi="宋体"/>
          <w:color w:val="auto"/>
          <w:szCs w:val="21"/>
          <w:highlight w:val="none"/>
        </w:rPr>
      </w:pPr>
      <w:bookmarkStart w:id="928" w:name="_Toc221951937"/>
      <w:r>
        <w:rPr>
          <w:rFonts w:hint="eastAsia" w:ascii="宋体" w:hAnsi="宋体"/>
          <w:color w:val="auto"/>
          <w:szCs w:val="21"/>
          <w:highlight w:val="none"/>
        </w:rPr>
        <w:t>5．我方在此声明，所递交的投标文件及有关资料内容完整、真实和准确，且不存在第二章“投标人须知”第1.4.</w:t>
      </w:r>
      <w:r>
        <w:rPr>
          <w:rFonts w:hint="eastAsia" w:ascii="宋体" w:hAnsi="宋体"/>
          <w:color w:val="auto"/>
          <w:szCs w:val="21"/>
          <w:highlight w:val="none"/>
          <w:lang w:val="en-US" w:eastAsia="zh-CN"/>
        </w:rPr>
        <w:t>3</w:t>
      </w:r>
      <w:r>
        <w:rPr>
          <w:rFonts w:hint="eastAsia" w:ascii="宋体" w:hAnsi="宋体"/>
          <w:color w:val="auto"/>
          <w:szCs w:val="21"/>
          <w:highlight w:val="none"/>
        </w:rPr>
        <w:t>项规定的任何一种情形。</w:t>
      </w:r>
      <w:bookmarkEnd w:id="928"/>
    </w:p>
    <w:p w14:paraId="34A89E6C">
      <w:pPr>
        <w:spacing w:line="400" w:lineRule="exact"/>
        <w:ind w:firstLine="420" w:firstLineChars="200"/>
        <w:rPr>
          <w:rFonts w:ascii="宋体" w:hAnsi="宋体"/>
          <w:color w:val="auto"/>
          <w:szCs w:val="21"/>
          <w:highlight w:val="none"/>
        </w:rPr>
      </w:pPr>
      <w:bookmarkStart w:id="929" w:name="_Toc221951938"/>
      <w:r>
        <w:rPr>
          <w:rFonts w:hint="eastAsia" w:ascii="宋体" w:hAnsi="宋体"/>
          <w:color w:val="auto"/>
          <w:szCs w:val="21"/>
          <w:highlight w:val="none"/>
        </w:rPr>
        <w:t>6</w:t>
      </w:r>
      <w:r>
        <w:rPr>
          <w:rFonts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其他</w:t>
      </w:r>
      <w:r>
        <w:rPr>
          <w:rFonts w:ascii="宋体" w:hAnsi="宋体"/>
          <w:color w:val="auto"/>
          <w:szCs w:val="21"/>
          <w:highlight w:val="none"/>
        </w:rPr>
        <w:t>补充说明）。</w:t>
      </w:r>
      <w:bookmarkEnd w:id="929"/>
    </w:p>
    <w:p w14:paraId="79CA67FD">
      <w:pPr>
        <w:spacing w:line="400" w:lineRule="exact"/>
        <w:rPr>
          <w:rFonts w:ascii="宋体" w:hAnsi="宋体"/>
          <w:color w:val="auto"/>
          <w:szCs w:val="21"/>
          <w:highlight w:val="none"/>
        </w:rPr>
      </w:pPr>
    </w:p>
    <w:p w14:paraId="19334D90">
      <w:pPr>
        <w:spacing w:line="400" w:lineRule="exact"/>
        <w:ind w:firstLine="3675" w:firstLineChars="1750"/>
        <w:rPr>
          <w:rFonts w:ascii="宋体" w:hAnsi="宋体"/>
          <w:color w:val="auto"/>
          <w:szCs w:val="21"/>
          <w:highlight w:val="none"/>
        </w:rPr>
      </w:pPr>
      <w:bookmarkStart w:id="930" w:name="_Toc221951939"/>
      <w:r>
        <w:rPr>
          <w:rFonts w:ascii="宋体" w:hAnsi="宋体"/>
          <w:color w:val="auto"/>
          <w:szCs w:val="21"/>
          <w:highlight w:val="none"/>
        </w:rPr>
        <w:t>投 标 人：</w:t>
      </w:r>
      <w:r>
        <w:rPr>
          <w:rFonts w:ascii="宋体" w:hAnsi="宋体"/>
          <w:color w:val="auto"/>
          <w:szCs w:val="21"/>
          <w:highlight w:val="none"/>
          <w:u w:val="single"/>
        </w:rPr>
        <w:t xml:space="preserve">                      </w:t>
      </w:r>
      <w:r>
        <w:rPr>
          <w:rFonts w:ascii="宋体" w:hAnsi="宋体"/>
          <w:color w:val="auto"/>
          <w:szCs w:val="21"/>
          <w:highlight w:val="none"/>
        </w:rPr>
        <w:t>（盖单位章）</w:t>
      </w:r>
      <w:bookmarkEnd w:id="930"/>
    </w:p>
    <w:p w14:paraId="4EED2893">
      <w:pPr>
        <w:spacing w:line="400" w:lineRule="exact"/>
        <w:ind w:firstLine="3675" w:firstLineChars="1750"/>
        <w:rPr>
          <w:rFonts w:ascii="宋体" w:hAnsi="宋体"/>
          <w:color w:val="auto"/>
          <w:szCs w:val="21"/>
          <w:highlight w:val="none"/>
        </w:rPr>
      </w:pPr>
      <w:bookmarkStart w:id="931" w:name="_Toc221951941"/>
      <w:r>
        <w:rPr>
          <w:rFonts w:ascii="宋体" w:hAnsi="宋体"/>
          <w:color w:val="auto"/>
          <w:szCs w:val="21"/>
          <w:highlight w:val="none"/>
        </w:rPr>
        <w:t>地址：</w:t>
      </w:r>
      <w:bookmarkEnd w:id="931"/>
      <w:r>
        <w:rPr>
          <w:rFonts w:ascii="宋体" w:hAnsi="宋体"/>
          <w:color w:val="auto"/>
          <w:szCs w:val="21"/>
          <w:highlight w:val="none"/>
          <w:u w:val="single"/>
        </w:rPr>
        <w:t xml:space="preserve">                                     </w:t>
      </w:r>
    </w:p>
    <w:p w14:paraId="22B5AF74">
      <w:pPr>
        <w:spacing w:line="400" w:lineRule="exact"/>
        <w:ind w:firstLine="3675" w:firstLineChars="1750"/>
        <w:rPr>
          <w:rFonts w:ascii="宋体" w:hAnsi="宋体"/>
          <w:color w:val="auto"/>
          <w:szCs w:val="21"/>
          <w:highlight w:val="none"/>
        </w:rPr>
      </w:pPr>
      <w:bookmarkStart w:id="932" w:name="_Toc221951942"/>
      <w:r>
        <w:rPr>
          <w:rFonts w:ascii="宋体" w:hAnsi="宋体"/>
          <w:color w:val="auto"/>
          <w:szCs w:val="21"/>
          <w:highlight w:val="none"/>
        </w:rPr>
        <w:t>网址：</w:t>
      </w:r>
      <w:bookmarkEnd w:id="932"/>
      <w:r>
        <w:rPr>
          <w:rFonts w:ascii="宋体" w:hAnsi="宋体"/>
          <w:color w:val="auto"/>
          <w:szCs w:val="21"/>
          <w:highlight w:val="none"/>
          <w:u w:val="single"/>
        </w:rPr>
        <w:t xml:space="preserve">                                     </w:t>
      </w:r>
    </w:p>
    <w:p w14:paraId="739AC222">
      <w:pPr>
        <w:spacing w:line="400" w:lineRule="exact"/>
        <w:ind w:firstLine="3675" w:firstLineChars="1750"/>
        <w:rPr>
          <w:rFonts w:ascii="宋体" w:hAnsi="宋体"/>
          <w:color w:val="auto"/>
          <w:szCs w:val="21"/>
          <w:highlight w:val="none"/>
        </w:rPr>
      </w:pPr>
      <w:bookmarkStart w:id="933" w:name="_Toc221951943"/>
      <w:r>
        <w:rPr>
          <w:rFonts w:ascii="宋体" w:hAnsi="宋体"/>
          <w:color w:val="auto"/>
          <w:szCs w:val="21"/>
          <w:highlight w:val="none"/>
        </w:rPr>
        <w:t>电话：</w:t>
      </w:r>
      <w:bookmarkEnd w:id="933"/>
      <w:r>
        <w:rPr>
          <w:rFonts w:ascii="宋体" w:hAnsi="宋体"/>
          <w:color w:val="auto"/>
          <w:szCs w:val="21"/>
          <w:highlight w:val="none"/>
          <w:u w:val="single"/>
        </w:rPr>
        <w:t xml:space="preserve">                                     </w:t>
      </w:r>
    </w:p>
    <w:p w14:paraId="50D7C31A">
      <w:pPr>
        <w:spacing w:line="400" w:lineRule="exact"/>
        <w:ind w:firstLine="3675" w:firstLineChars="1750"/>
        <w:rPr>
          <w:rFonts w:ascii="宋体" w:hAnsi="宋体"/>
          <w:color w:val="auto"/>
          <w:szCs w:val="21"/>
          <w:highlight w:val="none"/>
        </w:rPr>
      </w:pPr>
      <w:bookmarkStart w:id="934" w:name="_Toc221951944"/>
      <w:r>
        <w:rPr>
          <w:rFonts w:ascii="宋体" w:hAnsi="宋体"/>
          <w:color w:val="auto"/>
          <w:szCs w:val="21"/>
          <w:highlight w:val="none"/>
        </w:rPr>
        <w:t>传真：</w:t>
      </w:r>
      <w:bookmarkEnd w:id="934"/>
      <w:r>
        <w:rPr>
          <w:rFonts w:ascii="宋体" w:hAnsi="宋体"/>
          <w:color w:val="auto"/>
          <w:szCs w:val="21"/>
          <w:highlight w:val="none"/>
          <w:u w:val="single"/>
        </w:rPr>
        <w:t xml:space="preserve">                                     </w:t>
      </w:r>
    </w:p>
    <w:p w14:paraId="35364D3D">
      <w:pPr>
        <w:spacing w:line="400" w:lineRule="exact"/>
        <w:ind w:firstLine="3675" w:firstLineChars="1750"/>
        <w:rPr>
          <w:rFonts w:ascii="宋体" w:hAnsi="宋体"/>
          <w:color w:val="auto"/>
          <w:szCs w:val="21"/>
          <w:highlight w:val="none"/>
        </w:rPr>
      </w:pPr>
      <w:bookmarkStart w:id="935" w:name="_Toc221951945"/>
      <w:r>
        <w:rPr>
          <w:rFonts w:ascii="宋体" w:hAnsi="宋体"/>
          <w:color w:val="auto"/>
          <w:szCs w:val="21"/>
          <w:highlight w:val="none"/>
        </w:rPr>
        <w:t>邮政编码：</w:t>
      </w:r>
      <w:bookmarkEnd w:id="935"/>
      <w:r>
        <w:rPr>
          <w:rFonts w:ascii="宋体" w:hAnsi="宋体"/>
          <w:color w:val="auto"/>
          <w:szCs w:val="21"/>
          <w:highlight w:val="none"/>
          <w:u w:val="single"/>
        </w:rPr>
        <w:t xml:space="preserve">                                 </w:t>
      </w:r>
    </w:p>
    <w:p w14:paraId="1DE4D48A">
      <w:pPr>
        <w:spacing w:line="400" w:lineRule="exact"/>
        <w:ind w:firstLine="3675" w:firstLineChars="1750"/>
        <w:rPr>
          <w:rFonts w:ascii="宋体" w:hAnsi="宋体"/>
          <w:color w:val="auto"/>
          <w:szCs w:val="21"/>
          <w:highlight w:val="none"/>
        </w:rPr>
      </w:pPr>
    </w:p>
    <w:p w14:paraId="679C0647">
      <w:pPr>
        <w:spacing w:line="400" w:lineRule="exact"/>
        <w:ind w:firstLine="4725" w:firstLineChars="2250"/>
        <w:jc w:val="right"/>
        <w:rPr>
          <w:rFonts w:ascii="宋体" w:hAnsi="宋体"/>
          <w:color w:val="auto"/>
          <w:szCs w:val="21"/>
          <w:highlight w:val="none"/>
        </w:rPr>
      </w:pPr>
      <w:bookmarkStart w:id="936" w:name="_Toc221951946"/>
      <w:r>
        <w:rPr>
          <w:rFonts w:ascii="宋体" w:hAnsi="宋体"/>
          <w:color w:val="auto"/>
          <w:szCs w:val="21"/>
          <w:highlight w:val="none"/>
          <w:u w:val="single"/>
        </w:rPr>
        <w:t>___</w:t>
      </w:r>
      <w:r>
        <w:rPr>
          <w:rFonts w:hint="eastAsia" w:ascii="宋体" w:hAnsi="宋体"/>
          <w:color w:val="auto"/>
          <w:szCs w:val="21"/>
          <w:highlight w:val="none"/>
          <w:u w:val="single"/>
        </w:rPr>
        <w:t xml:space="preserve">   </w:t>
      </w:r>
      <w:r>
        <w:rPr>
          <w:rFonts w:ascii="宋体" w:hAnsi="宋体"/>
          <w:color w:val="auto"/>
          <w:szCs w:val="21"/>
          <w:highlight w:val="none"/>
          <w:u w:val="single"/>
        </w:rPr>
        <w:t>__</w:t>
      </w:r>
      <w:r>
        <w:rPr>
          <w:rFonts w:ascii="宋体" w:hAnsi="宋体"/>
          <w:color w:val="auto"/>
          <w:szCs w:val="21"/>
          <w:highlight w:val="none"/>
        </w:rPr>
        <w:t>年</w:t>
      </w:r>
      <w:r>
        <w:rPr>
          <w:rFonts w:ascii="宋体" w:hAnsi="宋体"/>
          <w:color w:val="auto"/>
          <w:szCs w:val="21"/>
          <w:highlight w:val="none"/>
          <w:u w:val="single"/>
        </w:rPr>
        <w:t>__</w:t>
      </w:r>
      <w:r>
        <w:rPr>
          <w:rFonts w:hint="eastAsia" w:ascii="宋体" w:hAnsi="宋体"/>
          <w:color w:val="auto"/>
          <w:szCs w:val="21"/>
          <w:highlight w:val="none"/>
          <w:u w:val="single"/>
        </w:rPr>
        <w:t xml:space="preserve">   </w:t>
      </w:r>
      <w:r>
        <w:rPr>
          <w:rFonts w:ascii="宋体" w:hAnsi="宋体"/>
          <w:color w:val="auto"/>
          <w:szCs w:val="21"/>
          <w:highlight w:val="none"/>
          <w:u w:val="single"/>
        </w:rPr>
        <w:t>__</w:t>
      </w:r>
      <w:r>
        <w:rPr>
          <w:rFonts w:ascii="宋体" w:hAnsi="宋体"/>
          <w:color w:val="auto"/>
          <w:szCs w:val="21"/>
          <w:highlight w:val="none"/>
        </w:rPr>
        <w:t>月__</w:t>
      </w:r>
      <w:r>
        <w:rPr>
          <w:rFonts w:ascii="宋体" w:hAnsi="宋体"/>
          <w:color w:val="auto"/>
          <w:szCs w:val="21"/>
          <w:highlight w:val="none"/>
          <w:u w:val="single"/>
        </w:rPr>
        <w:t>_</w:t>
      </w:r>
      <w:r>
        <w:rPr>
          <w:rFonts w:hint="eastAsia" w:ascii="宋体" w:hAnsi="宋体"/>
          <w:color w:val="auto"/>
          <w:szCs w:val="21"/>
          <w:highlight w:val="none"/>
          <w:u w:val="single"/>
        </w:rPr>
        <w:t xml:space="preserve">  </w:t>
      </w:r>
      <w:r>
        <w:rPr>
          <w:rFonts w:ascii="宋体" w:hAnsi="宋体"/>
          <w:color w:val="auto"/>
          <w:szCs w:val="21"/>
          <w:highlight w:val="none"/>
          <w:u w:val="single"/>
        </w:rPr>
        <w:t>_</w:t>
      </w:r>
      <w:r>
        <w:rPr>
          <w:rFonts w:ascii="宋体" w:hAnsi="宋体"/>
          <w:color w:val="auto"/>
          <w:szCs w:val="21"/>
          <w:highlight w:val="none"/>
        </w:rPr>
        <w:t>日</w:t>
      </w:r>
      <w:bookmarkEnd w:id="936"/>
    </w:p>
    <w:p w14:paraId="3356174F">
      <w:pPr>
        <w:spacing w:line="400" w:lineRule="exact"/>
        <w:rPr>
          <w:rFonts w:eastAsia="黑体"/>
          <w:color w:val="auto"/>
          <w:sz w:val="20"/>
          <w:szCs w:val="20"/>
          <w:highlight w:val="none"/>
        </w:rPr>
      </w:pPr>
    </w:p>
    <w:p w14:paraId="4295D40F">
      <w:pPr>
        <w:spacing w:line="400" w:lineRule="exact"/>
        <w:rPr>
          <w:rFonts w:hint="eastAsia" w:ascii="宋体" w:hAnsi="宋体" w:cs="宋体"/>
          <w:b/>
          <w:bCs/>
          <w:color w:val="auto"/>
          <w:sz w:val="36"/>
          <w:szCs w:val="36"/>
          <w:highlight w:val="none"/>
          <w:lang w:val="zh-CN"/>
        </w:rPr>
      </w:pPr>
      <w:r>
        <w:rPr>
          <w:rFonts w:eastAsia="黑体"/>
          <w:color w:val="auto"/>
          <w:sz w:val="19"/>
          <w:szCs w:val="19"/>
          <w:highlight w:val="none"/>
        </w:rPr>
        <w:br w:type="page"/>
      </w:r>
      <w:bookmarkStart w:id="937" w:name="_Toc221951947"/>
      <w:bookmarkStart w:id="938" w:name="_Toc144974859"/>
      <w:bookmarkStart w:id="939" w:name="_Toc168475917"/>
      <w:bookmarkStart w:id="940" w:name="_Toc168476320"/>
      <w:r>
        <w:rPr>
          <w:rFonts w:ascii="宋体" w:hAnsi="宋体"/>
          <w:b/>
          <w:color w:val="auto"/>
          <w:sz w:val="24"/>
          <w:szCs w:val="31"/>
          <w:highlight w:val="none"/>
        </w:rPr>
        <w:t>（二）</w:t>
      </w:r>
      <w:r>
        <w:rPr>
          <w:rFonts w:ascii="黑体" w:hAnsi="黑体" w:eastAsia="黑体"/>
          <w:color w:val="auto"/>
          <w:sz w:val="28"/>
          <w:szCs w:val="27"/>
          <w:highlight w:val="none"/>
        </w:rPr>
        <w:t>投标函附录</w:t>
      </w:r>
      <w:r>
        <w:rPr>
          <w:rFonts w:hint="eastAsia" w:ascii="黑体" w:hAnsi="黑体" w:eastAsia="黑体"/>
          <w:color w:val="auto"/>
          <w:szCs w:val="21"/>
          <w:highlight w:val="none"/>
        </w:rPr>
        <w:t>（</w:t>
      </w:r>
      <w:r>
        <w:rPr>
          <w:rFonts w:hint="eastAsia" w:ascii="宋体" w:hAnsi="宋体"/>
          <w:color w:val="auto"/>
          <w:szCs w:val="21"/>
          <w:highlight w:val="none"/>
        </w:rPr>
        <w:t>适用于不采用综合评估法三的情形</w:t>
      </w:r>
      <w:r>
        <w:rPr>
          <w:rFonts w:hint="eastAsia" w:ascii="黑体" w:hAnsi="黑体" w:eastAsia="黑体"/>
          <w:color w:val="auto"/>
          <w:szCs w:val="21"/>
          <w:highlight w:val="none"/>
        </w:rPr>
        <w:t>）</w:t>
      </w:r>
    </w:p>
    <w:p w14:paraId="03937D51">
      <w:pPr>
        <w:autoSpaceDE w:val="0"/>
        <w:autoSpaceDN w:val="0"/>
        <w:adjustRightInd w:val="0"/>
        <w:jc w:val="center"/>
        <w:rPr>
          <w:rFonts w:hint="eastAsia" w:ascii="宋体" w:hAnsi="宋体"/>
          <w:bCs/>
          <w:color w:val="auto"/>
          <w:sz w:val="52"/>
          <w:szCs w:val="52"/>
          <w:highlight w:val="none"/>
        </w:rPr>
      </w:pPr>
      <w:r>
        <w:rPr>
          <w:rFonts w:hint="eastAsia" w:ascii="宋体" w:hAnsi="宋体" w:cs="宋体"/>
          <w:b/>
          <w:color w:val="auto"/>
          <w:sz w:val="24"/>
          <w:szCs w:val="24"/>
          <w:highlight w:val="none"/>
          <w:lang w:val="zh-CN"/>
        </w:rPr>
        <w:t xml:space="preserve">                                              </w:t>
      </w:r>
      <w:r>
        <w:rPr>
          <w:rFonts w:hint="eastAsia" w:ascii="宋体" w:hAnsi="宋体" w:cs="宋体"/>
          <w:color w:val="auto"/>
          <w:sz w:val="24"/>
          <w:szCs w:val="24"/>
          <w:highlight w:val="none"/>
          <w:lang w:val="zh-CN"/>
        </w:rPr>
        <w:t>投标日期：   年  月  日</w:t>
      </w:r>
    </w:p>
    <w:tbl>
      <w:tblPr>
        <w:tblStyle w:val="18"/>
        <w:tblpPr w:leftFromText="180" w:rightFromText="180" w:vertAnchor="text" w:horzAnchor="margin"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2414"/>
        <w:gridCol w:w="3448"/>
      </w:tblGrid>
      <w:tr w14:paraId="0461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597" w:type="dxa"/>
            <w:tcBorders>
              <w:top w:val="single" w:color="auto" w:sz="4" w:space="0"/>
              <w:left w:val="single" w:color="auto" w:sz="4" w:space="0"/>
              <w:bottom w:val="single" w:color="auto" w:sz="4" w:space="0"/>
              <w:right w:val="single" w:color="auto" w:sz="4" w:space="0"/>
            </w:tcBorders>
            <w:noWrap w:val="0"/>
            <w:vAlign w:val="center"/>
          </w:tcPr>
          <w:p w14:paraId="5D7DF02D">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工 程 名 称</w:t>
            </w:r>
          </w:p>
        </w:tc>
        <w:tc>
          <w:tcPr>
            <w:tcW w:w="5862" w:type="dxa"/>
            <w:gridSpan w:val="2"/>
            <w:tcBorders>
              <w:top w:val="single" w:color="auto" w:sz="4" w:space="0"/>
              <w:left w:val="single" w:color="auto" w:sz="4" w:space="0"/>
              <w:bottom w:val="single" w:color="auto" w:sz="4" w:space="0"/>
              <w:right w:val="single" w:color="auto" w:sz="4" w:space="0"/>
            </w:tcBorders>
            <w:noWrap w:val="0"/>
            <w:vAlign w:val="top"/>
          </w:tcPr>
          <w:p w14:paraId="18C0FF0C">
            <w:pPr>
              <w:autoSpaceDE w:val="0"/>
              <w:autoSpaceDN w:val="0"/>
              <w:adjustRightInd w:val="0"/>
              <w:rPr>
                <w:rFonts w:ascii="宋体" w:hAnsi="宋体" w:cs="宋体"/>
                <w:bCs/>
                <w:color w:val="auto"/>
                <w:sz w:val="24"/>
                <w:szCs w:val="24"/>
                <w:highlight w:val="none"/>
                <w:lang w:val="zh-CN"/>
              </w:rPr>
            </w:pPr>
          </w:p>
        </w:tc>
      </w:tr>
      <w:tr w14:paraId="345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7" w:type="dxa"/>
            <w:vMerge w:val="restart"/>
            <w:tcBorders>
              <w:top w:val="single" w:color="auto" w:sz="4" w:space="0"/>
              <w:left w:val="single" w:color="auto" w:sz="4" w:space="0"/>
              <w:bottom w:val="single" w:color="auto" w:sz="4" w:space="0"/>
              <w:right w:val="single" w:color="auto" w:sz="4" w:space="0"/>
            </w:tcBorders>
            <w:noWrap w:val="0"/>
            <w:vAlign w:val="center"/>
          </w:tcPr>
          <w:p w14:paraId="6F99B72E">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投标总报价（元）</w:t>
            </w:r>
          </w:p>
        </w:tc>
        <w:tc>
          <w:tcPr>
            <w:tcW w:w="5862" w:type="dxa"/>
            <w:gridSpan w:val="2"/>
            <w:tcBorders>
              <w:top w:val="single" w:color="auto" w:sz="4" w:space="0"/>
              <w:left w:val="single" w:color="auto" w:sz="4" w:space="0"/>
              <w:bottom w:val="single" w:color="auto" w:sz="4" w:space="0"/>
              <w:right w:val="single" w:color="auto" w:sz="4" w:space="0"/>
            </w:tcBorders>
            <w:noWrap w:val="0"/>
            <w:vAlign w:val="center"/>
          </w:tcPr>
          <w:p w14:paraId="201DC849">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2D5C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597" w:type="dxa"/>
            <w:vMerge w:val="continue"/>
            <w:tcBorders>
              <w:top w:val="single" w:color="auto" w:sz="4" w:space="0"/>
              <w:left w:val="single" w:color="auto" w:sz="4" w:space="0"/>
              <w:bottom w:val="single" w:color="auto" w:sz="4" w:space="0"/>
              <w:right w:val="single" w:color="auto" w:sz="4" w:space="0"/>
            </w:tcBorders>
            <w:noWrap w:val="0"/>
            <w:vAlign w:val="center"/>
          </w:tcPr>
          <w:p w14:paraId="3DBC3AB4">
            <w:pPr>
              <w:widowControl/>
              <w:jc w:val="left"/>
              <w:rPr>
                <w:rFonts w:ascii="宋体" w:hAnsi="宋体" w:cs="宋体"/>
                <w:bCs/>
                <w:color w:val="auto"/>
                <w:sz w:val="24"/>
                <w:szCs w:val="24"/>
                <w:highlight w:val="none"/>
                <w:lang w:val="zh-CN"/>
              </w:rPr>
            </w:pPr>
          </w:p>
        </w:tc>
        <w:tc>
          <w:tcPr>
            <w:tcW w:w="5862" w:type="dxa"/>
            <w:gridSpan w:val="2"/>
            <w:tcBorders>
              <w:top w:val="single" w:color="auto" w:sz="4" w:space="0"/>
              <w:left w:val="single" w:color="auto" w:sz="4" w:space="0"/>
              <w:bottom w:val="single" w:color="auto" w:sz="4" w:space="0"/>
              <w:right w:val="single" w:color="auto" w:sz="4" w:space="0"/>
            </w:tcBorders>
            <w:noWrap w:val="0"/>
            <w:vAlign w:val="center"/>
          </w:tcPr>
          <w:p w14:paraId="059D6C6A">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1AA1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7" w:type="dxa"/>
            <w:vMerge w:val="restart"/>
            <w:tcBorders>
              <w:top w:val="single" w:color="auto" w:sz="4" w:space="0"/>
              <w:left w:val="single" w:color="auto" w:sz="4" w:space="0"/>
              <w:bottom w:val="single" w:color="auto" w:sz="4" w:space="0"/>
              <w:right w:val="single" w:color="auto" w:sz="4" w:space="0"/>
            </w:tcBorders>
            <w:noWrap w:val="0"/>
            <w:vAlign w:val="center"/>
          </w:tcPr>
          <w:p w14:paraId="4C8E947F">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w:t>
            </w:r>
            <w:r>
              <w:rPr>
                <w:rFonts w:hint="eastAsia" w:ascii="宋体" w:hAnsi="宋体" w:cs="宋体"/>
                <w:bCs/>
                <w:color w:val="auto"/>
                <w:sz w:val="24"/>
                <w:szCs w:val="24"/>
                <w:highlight w:val="none"/>
                <w:lang w:val="zh-CN"/>
              </w:rPr>
              <w:t>人工费</w:t>
            </w:r>
            <w:r>
              <w:rPr>
                <w:rFonts w:hint="eastAsia" w:ascii="宋体" w:hAnsi="宋体" w:cs="宋体"/>
                <w:color w:val="auto"/>
                <w:sz w:val="24"/>
                <w:szCs w:val="24"/>
                <w:highlight w:val="none"/>
                <w:lang w:val="zh-CN"/>
              </w:rPr>
              <w:t>（元）</w:t>
            </w:r>
          </w:p>
        </w:tc>
        <w:tc>
          <w:tcPr>
            <w:tcW w:w="5862" w:type="dxa"/>
            <w:gridSpan w:val="2"/>
            <w:tcBorders>
              <w:top w:val="single" w:color="auto" w:sz="4" w:space="0"/>
              <w:left w:val="single" w:color="auto" w:sz="4" w:space="0"/>
              <w:bottom w:val="single" w:color="auto" w:sz="4" w:space="0"/>
              <w:right w:val="single" w:color="auto" w:sz="4" w:space="0"/>
            </w:tcBorders>
            <w:noWrap w:val="0"/>
            <w:vAlign w:val="center"/>
          </w:tcPr>
          <w:p w14:paraId="67571E30">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5E63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97" w:type="dxa"/>
            <w:vMerge w:val="continue"/>
            <w:tcBorders>
              <w:top w:val="single" w:color="auto" w:sz="4" w:space="0"/>
              <w:left w:val="single" w:color="auto" w:sz="4" w:space="0"/>
              <w:bottom w:val="single" w:color="auto" w:sz="4" w:space="0"/>
              <w:right w:val="single" w:color="auto" w:sz="4" w:space="0"/>
            </w:tcBorders>
            <w:noWrap w:val="0"/>
            <w:vAlign w:val="center"/>
          </w:tcPr>
          <w:p w14:paraId="12A3692E">
            <w:pPr>
              <w:widowControl/>
              <w:jc w:val="left"/>
              <w:rPr>
                <w:rFonts w:ascii="宋体" w:hAnsi="宋体" w:cs="宋体"/>
                <w:bCs/>
                <w:color w:val="auto"/>
                <w:sz w:val="24"/>
                <w:szCs w:val="24"/>
                <w:highlight w:val="none"/>
                <w:lang w:val="zh-CN"/>
              </w:rPr>
            </w:pPr>
          </w:p>
        </w:tc>
        <w:tc>
          <w:tcPr>
            <w:tcW w:w="5862" w:type="dxa"/>
            <w:gridSpan w:val="2"/>
            <w:tcBorders>
              <w:top w:val="single" w:color="auto" w:sz="4" w:space="0"/>
              <w:left w:val="single" w:color="auto" w:sz="4" w:space="0"/>
              <w:bottom w:val="single" w:color="auto" w:sz="4" w:space="0"/>
              <w:right w:val="single" w:color="auto" w:sz="4" w:space="0"/>
            </w:tcBorders>
            <w:noWrap w:val="0"/>
            <w:vAlign w:val="center"/>
          </w:tcPr>
          <w:p w14:paraId="20051F08">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6DB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7" w:type="dxa"/>
            <w:vMerge w:val="restart"/>
            <w:tcBorders>
              <w:top w:val="single" w:color="auto" w:sz="4" w:space="0"/>
              <w:left w:val="single" w:color="auto" w:sz="4" w:space="0"/>
              <w:right w:val="single" w:color="auto" w:sz="4" w:space="0"/>
            </w:tcBorders>
            <w:noWrap w:val="0"/>
            <w:vAlign w:val="center"/>
          </w:tcPr>
          <w:p w14:paraId="53C455D6">
            <w:pPr>
              <w:widowControl/>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其中</w:t>
            </w:r>
            <w:r>
              <w:rPr>
                <w:rFonts w:hint="eastAsia" w:ascii="宋体" w:hAnsi="宋体" w:eastAsia="宋体" w:cs="宋体"/>
                <w:bCs/>
                <w:color w:val="auto"/>
                <w:sz w:val="24"/>
                <w:szCs w:val="24"/>
                <w:highlight w:val="none"/>
                <w:lang w:val="zh-CN"/>
              </w:rPr>
              <w:t>：绿色施工安全防护措施费（元）</w:t>
            </w:r>
          </w:p>
        </w:tc>
        <w:tc>
          <w:tcPr>
            <w:tcW w:w="5862" w:type="dxa"/>
            <w:gridSpan w:val="2"/>
            <w:tcBorders>
              <w:top w:val="single" w:color="auto" w:sz="4" w:space="0"/>
              <w:left w:val="single" w:color="auto" w:sz="4" w:space="0"/>
              <w:bottom w:val="single" w:color="auto" w:sz="4" w:space="0"/>
              <w:right w:val="single" w:color="auto" w:sz="4" w:space="0"/>
            </w:tcBorders>
            <w:noWrap w:val="0"/>
            <w:vAlign w:val="center"/>
          </w:tcPr>
          <w:p w14:paraId="5EA6CDF1">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1C98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597" w:type="dxa"/>
            <w:vMerge w:val="continue"/>
            <w:tcBorders>
              <w:left w:val="single" w:color="auto" w:sz="4" w:space="0"/>
              <w:bottom w:val="single" w:color="auto" w:sz="4" w:space="0"/>
              <w:right w:val="single" w:color="auto" w:sz="4" w:space="0"/>
            </w:tcBorders>
            <w:noWrap w:val="0"/>
            <w:vAlign w:val="center"/>
          </w:tcPr>
          <w:p w14:paraId="45C7BBAB">
            <w:pPr>
              <w:widowControl/>
              <w:jc w:val="left"/>
              <w:rPr>
                <w:rFonts w:ascii="宋体" w:hAnsi="宋体" w:cs="宋体"/>
                <w:bCs/>
                <w:color w:val="auto"/>
                <w:sz w:val="24"/>
                <w:szCs w:val="24"/>
                <w:highlight w:val="none"/>
                <w:lang w:val="zh-CN"/>
              </w:rPr>
            </w:pPr>
          </w:p>
        </w:tc>
        <w:tc>
          <w:tcPr>
            <w:tcW w:w="5862" w:type="dxa"/>
            <w:gridSpan w:val="2"/>
            <w:tcBorders>
              <w:top w:val="single" w:color="auto" w:sz="4" w:space="0"/>
              <w:left w:val="single" w:color="auto" w:sz="4" w:space="0"/>
              <w:bottom w:val="single" w:color="auto" w:sz="4" w:space="0"/>
              <w:right w:val="single" w:color="auto" w:sz="4" w:space="0"/>
            </w:tcBorders>
            <w:noWrap w:val="0"/>
            <w:vAlign w:val="center"/>
          </w:tcPr>
          <w:p w14:paraId="23B69053">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5D53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7" w:type="dxa"/>
            <w:tcBorders>
              <w:top w:val="single" w:color="auto" w:sz="4" w:space="0"/>
              <w:left w:val="single" w:color="auto" w:sz="4" w:space="0"/>
              <w:bottom w:val="single" w:color="auto" w:sz="4" w:space="0"/>
              <w:right w:val="single" w:color="auto" w:sz="4" w:space="0"/>
            </w:tcBorders>
            <w:noWrap w:val="0"/>
            <w:vAlign w:val="center"/>
          </w:tcPr>
          <w:p w14:paraId="437A0BBD">
            <w:pPr>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 标 总工 期</w:t>
            </w:r>
          </w:p>
        </w:tc>
        <w:tc>
          <w:tcPr>
            <w:tcW w:w="5862" w:type="dxa"/>
            <w:gridSpan w:val="2"/>
            <w:tcBorders>
              <w:top w:val="single" w:color="auto" w:sz="4" w:space="0"/>
              <w:left w:val="single" w:color="auto" w:sz="4" w:space="0"/>
              <w:bottom w:val="single" w:color="auto" w:sz="4" w:space="0"/>
              <w:right w:val="single" w:color="auto" w:sz="4" w:space="0"/>
            </w:tcBorders>
            <w:noWrap w:val="0"/>
            <w:vAlign w:val="top"/>
          </w:tcPr>
          <w:p w14:paraId="37A52775">
            <w:pPr>
              <w:autoSpaceDE w:val="0"/>
              <w:autoSpaceDN w:val="0"/>
              <w:adjustRightInd w:val="0"/>
              <w:rPr>
                <w:rFonts w:ascii="宋体" w:hAnsi="宋体" w:cs="宋体"/>
                <w:bCs/>
                <w:color w:val="auto"/>
                <w:sz w:val="24"/>
                <w:szCs w:val="24"/>
                <w:highlight w:val="none"/>
                <w:lang w:val="zh-CN"/>
              </w:rPr>
            </w:pPr>
          </w:p>
        </w:tc>
      </w:tr>
      <w:tr w14:paraId="416D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97" w:type="dxa"/>
            <w:tcBorders>
              <w:top w:val="single" w:color="auto" w:sz="4" w:space="0"/>
              <w:left w:val="single" w:color="auto" w:sz="4" w:space="0"/>
              <w:bottom w:val="single" w:color="auto" w:sz="4" w:space="0"/>
              <w:right w:val="single" w:color="auto" w:sz="4" w:space="0"/>
            </w:tcBorders>
            <w:noWrap w:val="0"/>
            <w:vAlign w:val="center"/>
          </w:tcPr>
          <w:p w14:paraId="0E294E21">
            <w:pPr>
              <w:jc w:val="center"/>
              <w:rPr>
                <w:rFonts w:ascii="宋体" w:hAnsi="宋体"/>
                <w:color w:val="auto"/>
                <w:sz w:val="24"/>
                <w:szCs w:val="24"/>
                <w:highlight w:val="none"/>
              </w:rPr>
            </w:pPr>
            <w:r>
              <w:rPr>
                <w:rFonts w:hint="eastAsia" w:ascii="宋体" w:hAnsi="宋体" w:cs="宋体"/>
                <w:color w:val="auto"/>
                <w:sz w:val="24"/>
                <w:szCs w:val="24"/>
                <w:highlight w:val="none"/>
                <w:lang w:val="zh-CN"/>
              </w:rPr>
              <w:t>工程质量标准</w:t>
            </w:r>
          </w:p>
        </w:tc>
        <w:tc>
          <w:tcPr>
            <w:tcW w:w="5862" w:type="dxa"/>
            <w:gridSpan w:val="2"/>
            <w:tcBorders>
              <w:top w:val="single" w:color="auto" w:sz="4" w:space="0"/>
              <w:left w:val="single" w:color="auto" w:sz="4" w:space="0"/>
              <w:bottom w:val="single" w:color="auto" w:sz="4" w:space="0"/>
              <w:right w:val="single" w:color="auto" w:sz="4" w:space="0"/>
            </w:tcBorders>
            <w:noWrap w:val="0"/>
            <w:vAlign w:val="top"/>
          </w:tcPr>
          <w:p w14:paraId="0E5FE9ED">
            <w:pPr>
              <w:autoSpaceDE w:val="0"/>
              <w:autoSpaceDN w:val="0"/>
              <w:adjustRightInd w:val="0"/>
              <w:rPr>
                <w:rFonts w:ascii="宋体" w:hAnsi="宋体" w:cs="宋体"/>
                <w:bCs/>
                <w:color w:val="auto"/>
                <w:sz w:val="24"/>
                <w:szCs w:val="24"/>
                <w:highlight w:val="none"/>
                <w:lang w:val="zh-CN"/>
              </w:rPr>
            </w:pPr>
          </w:p>
        </w:tc>
      </w:tr>
      <w:tr w14:paraId="3249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7" w:type="dxa"/>
            <w:tcBorders>
              <w:top w:val="single" w:color="auto" w:sz="4" w:space="0"/>
              <w:left w:val="single" w:color="auto" w:sz="4" w:space="0"/>
              <w:bottom w:val="single" w:color="auto" w:sz="4" w:space="0"/>
              <w:right w:val="single" w:color="auto" w:sz="4" w:space="0"/>
            </w:tcBorders>
            <w:noWrap w:val="0"/>
            <w:vAlign w:val="center"/>
          </w:tcPr>
          <w:p w14:paraId="58F6DCA2">
            <w:pPr>
              <w:autoSpaceDE w:val="0"/>
              <w:autoSpaceDN w:val="0"/>
              <w:adjustRightInd w:val="0"/>
              <w:ind w:firstLine="950" w:firstLineChars="396"/>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保 修 期 限</w:t>
            </w:r>
          </w:p>
        </w:tc>
        <w:tc>
          <w:tcPr>
            <w:tcW w:w="5862" w:type="dxa"/>
            <w:gridSpan w:val="2"/>
            <w:tcBorders>
              <w:top w:val="single" w:color="auto" w:sz="4" w:space="0"/>
              <w:left w:val="single" w:color="auto" w:sz="4" w:space="0"/>
              <w:bottom w:val="single" w:color="auto" w:sz="4" w:space="0"/>
              <w:right w:val="single" w:color="auto" w:sz="4" w:space="0"/>
            </w:tcBorders>
            <w:noWrap w:val="0"/>
            <w:vAlign w:val="top"/>
          </w:tcPr>
          <w:p w14:paraId="68BAD5B9">
            <w:pPr>
              <w:autoSpaceDE w:val="0"/>
              <w:autoSpaceDN w:val="0"/>
              <w:adjustRightInd w:val="0"/>
              <w:rPr>
                <w:rFonts w:ascii="宋体" w:hAnsi="宋体" w:cs="宋体"/>
                <w:bCs/>
                <w:color w:val="auto"/>
                <w:sz w:val="24"/>
                <w:szCs w:val="24"/>
                <w:highlight w:val="none"/>
                <w:lang w:val="zh-CN"/>
              </w:rPr>
            </w:pPr>
          </w:p>
        </w:tc>
      </w:tr>
      <w:tr w14:paraId="3B83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597" w:type="dxa"/>
            <w:vMerge w:val="restart"/>
            <w:tcBorders>
              <w:top w:val="single" w:color="auto" w:sz="4" w:space="0"/>
              <w:left w:val="single" w:color="auto" w:sz="4" w:space="0"/>
              <w:bottom w:val="single" w:color="auto" w:sz="4" w:space="0"/>
              <w:right w:val="single" w:color="auto" w:sz="4" w:space="0"/>
            </w:tcBorders>
            <w:noWrap w:val="0"/>
            <w:vAlign w:val="center"/>
          </w:tcPr>
          <w:p w14:paraId="514662FE">
            <w:pPr>
              <w:autoSpaceDE w:val="0"/>
              <w:autoSpaceDN w:val="0"/>
              <w:adjustRightInd w:val="0"/>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委派的项目负责人</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5F52BF96">
            <w:pPr>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3448" w:type="dxa"/>
            <w:tcBorders>
              <w:top w:val="single" w:color="auto" w:sz="4" w:space="0"/>
              <w:left w:val="single" w:color="auto" w:sz="4" w:space="0"/>
              <w:bottom w:val="single" w:color="auto" w:sz="4" w:space="0"/>
              <w:right w:val="single" w:color="auto" w:sz="4" w:space="0"/>
            </w:tcBorders>
            <w:noWrap w:val="0"/>
            <w:vAlign w:val="top"/>
          </w:tcPr>
          <w:p w14:paraId="7CDD3177">
            <w:pPr>
              <w:autoSpaceDE w:val="0"/>
              <w:autoSpaceDN w:val="0"/>
              <w:adjustRightInd w:val="0"/>
              <w:rPr>
                <w:rFonts w:ascii="宋体" w:hAnsi="宋体" w:cs="宋体"/>
                <w:b/>
                <w:bCs/>
                <w:color w:val="auto"/>
                <w:sz w:val="24"/>
                <w:szCs w:val="24"/>
                <w:highlight w:val="none"/>
                <w:lang w:val="zh-CN"/>
              </w:rPr>
            </w:pPr>
          </w:p>
        </w:tc>
      </w:tr>
      <w:tr w14:paraId="5F44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2597" w:type="dxa"/>
            <w:vMerge w:val="continue"/>
            <w:tcBorders>
              <w:top w:val="single" w:color="auto" w:sz="4" w:space="0"/>
              <w:left w:val="single" w:color="auto" w:sz="4" w:space="0"/>
              <w:bottom w:val="single" w:color="auto" w:sz="4" w:space="0"/>
              <w:right w:val="single" w:color="auto" w:sz="4" w:space="0"/>
            </w:tcBorders>
            <w:noWrap w:val="0"/>
            <w:vAlign w:val="center"/>
          </w:tcPr>
          <w:p w14:paraId="6E355FD5">
            <w:pPr>
              <w:widowControl/>
              <w:jc w:val="left"/>
              <w:rPr>
                <w:rFonts w:ascii="宋体" w:hAnsi="宋体" w:cs="宋体"/>
                <w:bCs/>
                <w:color w:val="auto"/>
                <w:sz w:val="24"/>
                <w:szCs w:val="24"/>
                <w:highlight w:val="none"/>
                <w:lang w:val="zh-CN"/>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14:paraId="6AFA2946">
            <w:pPr>
              <w:jc w:val="center"/>
              <w:rPr>
                <w:rFonts w:ascii="宋体" w:hAnsi="宋体"/>
                <w:color w:val="auto"/>
                <w:sz w:val="24"/>
                <w:szCs w:val="24"/>
                <w:highlight w:val="none"/>
              </w:rPr>
            </w:pPr>
            <w:r>
              <w:rPr>
                <w:rFonts w:hint="eastAsia" w:ascii="宋体" w:hAnsi="宋体"/>
                <w:color w:val="auto"/>
                <w:sz w:val="24"/>
                <w:szCs w:val="24"/>
                <w:highlight w:val="none"/>
              </w:rPr>
              <w:t>建造师的注册编号</w:t>
            </w:r>
          </w:p>
        </w:tc>
        <w:tc>
          <w:tcPr>
            <w:tcW w:w="3448" w:type="dxa"/>
            <w:tcBorders>
              <w:top w:val="single" w:color="auto" w:sz="4" w:space="0"/>
              <w:left w:val="single" w:color="auto" w:sz="4" w:space="0"/>
              <w:bottom w:val="single" w:color="auto" w:sz="4" w:space="0"/>
              <w:right w:val="single" w:color="auto" w:sz="4" w:space="0"/>
            </w:tcBorders>
            <w:noWrap w:val="0"/>
            <w:vAlign w:val="top"/>
          </w:tcPr>
          <w:p w14:paraId="08CE4CC1">
            <w:pPr>
              <w:autoSpaceDE w:val="0"/>
              <w:autoSpaceDN w:val="0"/>
              <w:adjustRightInd w:val="0"/>
              <w:rPr>
                <w:rFonts w:ascii="宋体" w:hAnsi="宋体" w:cs="宋体"/>
                <w:b/>
                <w:bCs/>
                <w:color w:val="auto"/>
                <w:sz w:val="24"/>
                <w:szCs w:val="24"/>
                <w:highlight w:val="none"/>
                <w:lang w:val="zh-CN"/>
              </w:rPr>
            </w:pPr>
          </w:p>
        </w:tc>
      </w:tr>
      <w:tr w14:paraId="127E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597" w:type="dxa"/>
            <w:vMerge w:val="restart"/>
            <w:tcBorders>
              <w:top w:val="single" w:color="auto" w:sz="4" w:space="0"/>
              <w:left w:val="single" w:color="auto" w:sz="4" w:space="0"/>
              <w:bottom w:val="single" w:color="auto" w:sz="4" w:space="0"/>
              <w:right w:val="single" w:color="auto" w:sz="4" w:space="0"/>
            </w:tcBorders>
            <w:noWrap w:val="0"/>
            <w:vAlign w:val="center"/>
          </w:tcPr>
          <w:p w14:paraId="58D53FF7">
            <w:pPr>
              <w:autoSpaceDE w:val="0"/>
              <w:autoSpaceDN w:val="0"/>
              <w:adjustRightInd w:val="0"/>
              <w:ind w:firstLine="235" w:firstLineChars="98"/>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委派的</w:t>
            </w:r>
            <w:r>
              <w:rPr>
                <w:rFonts w:hint="eastAsia" w:ascii="宋体" w:hAnsi="宋体" w:cs="宋体"/>
                <w:bCs/>
                <w:color w:val="auto"/>
                <w:sz w:val="24"/>
                <w:szCs w:val="24"/>
                <w:highlight w:val="none"/>
                <w:lang w:val="en-US" w:eastAsia="zh-CN"/>
              </w:rPr>
              <w:t>专职</w:t>
            </w:r>
            <w:r>
              <w:rPr>
                <w:rFonts w:hint="eastAsia" w:ascii="宋体" w:hAnsi="宋体" w:cs="宋体"/>
                <w:bCs/>
                <w:color w:val="auto"/>
                <w:sz w:val="24"/>
                <w:szCs w:val="24"/>
                <w:highlight w:val="none"/>
                <w:lang w:val="zh-CN"/>
              </w:rPr>
              <w:t>安全员</w:t>
            </w:r>
          </w:p>
        </w:tc>
        <w:tc>
          <w:tcPr>
            <w:tcW w:w="2414" w:type="dxa"/>
            <w:tcBorders>
              <w:top w:val="single" w:color="auto" w:sz="4" w:space="0"/>
              <w:left w:val="single" w:color="auto" w:sz="4" w:space="0"/>
              <w:bottom w:val="single" w:color="auto" w:sz="4" w:space="0"/>
              <w:right w:val="single" w:color="auto" w:sz="4" w:space="0"/>
            </w:tcBorders>
            <w:noWrap w:val="0"/>
            <w:vAlign w:val="center"/>
          </w:tcPr>
          <w:p w14:paraId="2D401112">
            <w:pPr>
              <w:autoSpaceDE w:val="0"/>
              <w:autoSpaceDN w:val="0"/>
              <w:adjustRightInd w:val="0"/>
              <w:ind w:firstLine="352" w:firstLineChars="147"/>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姓   名</w:t>
            </w:r>
          </w:p>
        </w:tc>
        <w:tc>
          <w:tcPr>
            <w:tcW w:w="3448" w:type="dxa"/>
            <w:tcBorders>
              <w:top w:val="single" w:color="auto" w:sz="4" w:space="0"/>
              <w:left w:val="single" w:color="auto" w:sz="4" w:space="0"/>
              <w:bottom w:val="single" w:color="auto" w:sz="4" w:space="0"/>
              <w:right w:val="single" w:color="auto" w:sz="4" w:space="0"/>
            </w:tcBorders>
            <w:noWrap w:val="0"/>
            <w:vAlign w:val="top"/>
          </w:tcPr>
          <w:p w14:paraId="75927CC7">
            <w:pPr>
              <w:autoSpaceDE w:val="0"/>
              <w:autoSpaceDN w:val="0"/>
              <w:adjustRightInd w:val="0"/>
              <w:rPr>
                <w:rFonts w:ascii="宋体" w:hAnsi="宋体" w:cs="宋体"/>
                <w:b/>
                <w:bCs/>
                <w:color w:val="auto"/>
                <w:sz w:val="24"/>
                <w:szCs w:val="24"/>
                <w:highlight w:val="none"/>
                <w:lang w:val="zh-CN"/>
              </w:rPr>
            </w:pPr>
          </w:p>
        </w:tc>
      </w:tr>
      <w:tr w14:paraId="3C60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2597" w:type="dxa"/>
            <w:vMerge w:val="continue"/>
            <w:tcBorders>
              <w:top w:val="single" w:color="auto" w:sz="4" w:space="0"/>
              <w:left w:val="single" w:color="auto" w:sz="4" w:space="0"/>
              <w:bottom w:val="single" w:color="auto" w:sz="4" w:space="0"/>
              <w:right w:val="single" w:color="auto" w:sz="4" w:space="0"/>
            </w:tcBorders>
            <w:noWrap w:val="0"/>
            <w:vAlign w:val="center"/>
          </w:tcPr>
          <w:p w14:paraId="58B23987">
            <w:pPr>
              <w:widowControl/>
              <w:jc w:val="left"/>
              <w:rPr>
                <w:rFonts w:ascii="宋体" w:hAnsi="宋体" w:cs="宋体"/>
                <w:bCs/>
                <w:color w:val="auto"/>
                <w:sz w:val="24"/>
                <w:szCs w:val="24"/>
                <w:highlight w:val="none"/>
                <w:lang w:val="zh-CN"/>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14:paraId="421AAC97">
            <w:pPr>
              <w:autoSpaceDE w:val="0"/>
              <w:autoSpaceDN w:val="0"/>
              <w:adjustRightInd w:val="0"/>
              <w:jc w:val="both"/>
              <w:rPr>
                <w:rFonts w:ascii="宋体" w:hAnsi="宋体" w:cs="宋体"/>
                <w:bCs/>
                <w:color w:val="auto"/>
                <w:sz w:val="24"/>
                <w:szCs w:val="24"/>
                <w:highlight w:val="none"/>
                <w:lang w:val="zh-CN"/>
              </w:rPr>
            </w:pPr>
            <w:r>
              <w:rPr>
                <w:rFonts w:hint="eastAsia" w:ascii="宋体" w:hAnsi="宋体"/>
                <w:color w:val="auto"/>
                <w:sz w:val="24"/>
                <w:szCs w:val="24"/>
                <w:highlight w:val="none"/>
              </w:rPr>
              <w:t>安全生产考核合格证（C类）或安全生产考核合格证书（C3类）编号</w:t>
            </w:r>
          </w:p>
        </w:tc>
        <w:tc>
          <w:tcPr>
            <w:tcW w:w="3448" w:type="dxa"/>
            <w:tcBorders>
              <w:top w:val="single" w:color="auto" w:sz="4" w:space="0"/>
              <w:left w:val="single" w:color="auto" w:sz="4" w:space="0"/>
              <w:bottom w:val="single" w:color="auto" w:sz="4" w:space="0"/>
              <w:right w:val="single" w:color="auto" w:sz="4" w:space="0"/>
            </w:tcBorders>
            <w:noWrap w:val="0"/>
            <w:vAlign w:val="top"/>
          </w:tcPr>
          <w:p w14:paraId="3610F617">
            <w:pPr>
              <w:autoSpaceDE w:val="0"/>
              <w:autoSpaceDN w:val="0"/>
              <w:adjustRightInd w:val="0"/>
              <w:rPr>
                <w:rFonts w:ascii="宋体" w:hAnsi="宋体" w:cs="宋体"/>
                <w:b/>
                <w:bCs/>
                <w:color w:val="auto"/>
                <w:sz w:val="24"/>
                <w:szCs w:val="24"/>
                <w:highlight w:val="none"/>
                <w:lang w:val="zh-CN"/>
              </w:rPr>
            </w:pPr>
          </w:p>
        </w:tc>
      </w:tr>
    </w:tbl>
    <w:p w14:paraId="046A4285">
      <w:pPr>
        <w:autoSpaceDE w:val="0"/>
        <w:autoSpaceDN w:val="0"/>
        <w:adjustRightInd w:val="0"/>
        <w:rPr>
          <w:rFonts w:hint="eastAsia" w:ascii="宋体" w:hAnsi="宋体" w:cs="宋体"/>
          <w:color w:val="auto"/>
          <w:szCs w:val="21"/>
          <w:highlight w:val="none"/>
          <w:lang w:val="zh-CN"/>
        </w:rPr>
      </w:pPr>
    </w:p>
    <w:p w14:paraId="0F52BA3C">
      <w:pPr>
        <w:autoSpaceDE w:val="0"/>
        <w:autoSpaceDN w:val="0"/>
        <w:adjustRightInd w:val="0"/>
        <w:rPr>
          <w:rFonts w:hint="eastAsia" w:ascii="宋体" w:hAnsi="宋体" w:cs="宋体"/>
          <w:color w:val="auto"/>
          <w:sz w:val="24"/>
          <w:szCs w:val="24"/>
          <w:highlight w:val="none"/>
          <w:lang w:val="zh-CN"/>
        </w:rPr>
      </w:pPr>
      <w:r>
        <w:rPr>
          <w:rFonts w:hint="eastAsia" w:ascii="宋体" w:hAnsi="宋体" w:cs="宋体"/>
          <w:color w:val="auto"/>
          <w:szCs w:val="21"/>
          <w:highlight w:val="none"/>
          <w:lang w:val="zh-CN"/>
        </w:rPr>
        <w:t>注：1.本表所报委派的项目负责人、</w:t>
      </w:r>
      <w:r>
        <w:rPr>
          <w:rFonts w:hint="eastAsia" w:ascii="宋体" w:hAnsi="宋体" w:cs="宋体"/>
          <w:color w:val="auto"/>
          <w:szCs w:val="21"/>
          <w:highlight w:val="none"/>
          <w:lang w:val="en-US" w:eastAsia="zh-CN"/>
        </w:rPr>
        <w:t>专职</w:t>
      </w:r>
      <w:r>
        <w:rPr>
          <w:rFonts w:hint="eastAsia" w:ascii="宋体" w:hAnsi="宋体" w:cs="宋体"/>
          <w:color w:val="auto"/>
          <w:szCs w:val="21"/>
          <w:highlight w:val="none"/>
          <w:lang w:val="zh-CN"/>
        </w:rPr>
        <w:t>安全员的姓名及相关资料，须与本企业在广州交易集团有限公司（广州公共资源交易中心）企业库记录的相应信息一致，评审时，委派的项目负责人、</w:t>
      </w:r>
      <w:r>
        <w:rPr>
          <w:rFonts w:hint="eastAsia" w:ascii="宋体" w:hAnsi="宋体" w:cs="宋体"/>
          <w:color w:val="auto"/>
          <w:szCs w:val="21"/>
          <w:highlight w:val="none"/>
          <w:lang w:val="en-US" w:eastAsia="zh-CN"/>
        </w:rPr>
        <w:t>专职</w:t>
      </w:r>
      <w:r>
        <w:rPr>
          <w:rFonts w:hint="eastAsia" w:ascii="宋体" w:hAnsi="宋体" w:cs="宋体"/>
          <w:color w:val="auto"/>
          <w:szCs w:val="21"/>
          <w:highlight w:val="none"/>
          <w:lang w:val="zh-CN"/>
        </w:rPr>
        <w:t>安全员以投标人在广州交易集团有限公司（广州公共资源交易中心）企业库登记的信息为准。</w:t>
      </w:r>
    </w:p>
    <w:bookmarkEnd w:id="937"/>
    <w:bookmarkEnd w:id="938"/>
    <w:bookmarkEnd w:id="939"/>
    <w:bookmarkEnd w:id="940"/>
    <w:p w14:paraId="3FFE55CB">
      <w:pPr>
        <w:spacing w:line="400" w:lineRule="exact"/>
        <w:jc w:val="center"/>
        <w:rPr>
          <w:rFonts w:hint="eastAsia" w:eastAsia="黑体"/>
          <w:color w:val="auto"/>
          <w:sz w:val="19"/>
          <w:szCs w:val="19"/>
          <w:highlight w:val="none"/>
        </w:rPr>
      </w:pPr>
    </w:p>
    <w:p w14:paraId="2B2DD315">
      <w:pPr>
        <w:pageBreakBefore/>
        <w:spacing w:line="360" w:lineRule="auto"/>
        <w:jc w:val="center"/>
        <w:outlineLvl w:val="2"/>
        <w:rPr>
          <w:rFonts w:ascii="黑体" w:hAnsi="黑体" w:eastAsia="黑体"/>
          <w:color w:val="auto"/>
          <w:sz w:val="28"/>
          <w:szCs w:val="27"/>
          <w:highlight w:val="none"/>
        </w:rPr>
      </w:pPr>
      <w:bookmarkStart w:id="941" w:name="_Toc168475918"/>
      <w:bookmarkStart w:id="942" w:name="_Toc168476321"/>
      <w:bookmarkStart w:id="943" w:name="_Toc222029561"/>
      <w:bookmarkStart w:id="944" w:name="_Toc221952013"/>
      <w:bookmarkStart w:id="945" w:name="_Toc144974860"/>
      <w:bookmarkStart w:id="946" w:name="_Toc222032730"/>
      <w:bookmarkStart w:id="947" w:name="_Toc23836"/>
      <w:bookmarkStart w:id="948" w:name="_Toc222033912"/>
      <w:bookmarkStart w:id="949" w:name="_Toc259524415"/>
      <w:bookmarkStart w:id="950" w:name="_Toc222031063"/>
      <w:bookmarkStart w:id="951" w:name="_Toc17451608"/>
      <w:bookmarkStart w:id="952" w:name="_Toc17451653"/>
      <w:bookmarkStart w:id="953" w:name="_Toc17454952"/>
      <w:bookmarkStart w:id="954" w:name="_Toc17452694"/>
      <w:bookmarkStart w:id="955" w:name="_Toc229305421"/>
      <w:bookmarkStart w:id="956" w:name="_Toc17451131"/>
      <w:bookmarkStart w:id="957" w:name="_Toc17556906"/>
      <w:bookmarkStart w:id="958" w:name="_Toc17454901"/>
      <w:r>
        <w:rPr>
          <w:rFonts w:ascii="黑体" w:hAnsi="黑体" w:eastAsia="黑体"/>
          <w:color w:val="auto"/>
          <w:sz w:val="28"/>
          <w:szCs w:val="27"/>
          <w:highlight w:val="none"/>
        </w:rPr>
        <w:t>二、法定代表人身份证明</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4E5F0CD">
      <w:pPr>
        <w:spacing w:line="400" w:lineRule="exact"/>
        <w:rPr>
          <w:color w:val="auto"/>
          <w:sz w:val="19"/>
          <w:szCs w:val="19"/>
          <w:highlight w:val="none"/>
        </w:rPr>
      </w:pPr>
    </w:p>
    <w:p w14:paraId="60DE3D8B">
      <w:pPr>
        <w:spacing w:line="400" w:lineRule="exact"/>
        <w:rPr>
          <w:rFonts w:ascii="宋体" w:hAnsi="宋体"/>
          <w:color w:val="auto"/>
          <w:szCs w:val="21"/>
          <w:highlight w:val="none"/>
        </w:rPr>
      </w:pPr>
    </w:p>
    <w:p w14:paraId="12498C47">
      <w:pPr>
        <w:spacing w:line="400" w:lineRule="exact"/>
        <w:rPr>
          <w:rFonts w:ascii="宋体" w:hAnsi="宋体"/>
          <w:color w:val="auto"/>
          <w:szCs w:val="21"/>
          <w:highlight w:val="none"/>
        </w:rPr>
      </w:pPr>
      <w:bookmarkStart w:id="959" w:name="_Toc221952014"/>
      <w:r>
        <w:rPr>
          <w:rFonts w:ascii="宋体" w:hAnsi="宋体"/>
          <w:color w:val="auto"/>
          <w:szCs w:val="21"/>
          <w:highlight w:val="none"/>
        </w:rPr>
        <w:t>投标人名称：</w:t>
      </w:r>
      <w:bookmarkEnd w:id="959"/>
      <w:r>
        <w:rPr>
          <w:rFonts w:ascii="宋体" w:hAnsi="宋体"/>
          <w:color w:val="auto"/>
          <w:szCs w:val="21"/>
          <w:highlight w:val="none"/>
          <w:u w:val="single"/>
        </w:rPr>
        <w:t xml:space="preserve">                            </w:t>
      </w:r>
      <w:r>
        <w:rPr>
          <w:rFonts w:ascii="宋体" w:hAnsi="宋体"/>
          <w:color w:val="auto"/>
          <w:szCs w:val="21"/>
          <w:highlight w:val="none"/>
        </w:rPr>
        <w:t xml:space="preserve"> </w:t>
      </w:r>
    </w:p>
    <w:p w14:paraId="657265D8">
      <w:pPr>
        <w:spacing w:line="400" w:lineRule="exact"/>
        <w:rPr>
          <w:rFonts w:ascii="宋体" w:hAnsi="宋体"/>
          <w:color w:val="auto"/>
          <w:szCs w:val="21"/>
          <w:highlight w:val="none"/>
        </w:rPr>
      </w:pPr>
      <w:bookmarkStart w:id="960" w:name="_Toc221952015"/>
      <w:r>
        <w:rPr>
          <w:rFonts w:ascii="宋体" w:hAnsi="宋体"/>
          <w:color w:val="auto"/>
          <w:szCs w:val="21"/>
          <w:highlight w:val="none"/>
        </w:rPr>
        <w:t>单位性质：</w:t>
      </w:r>
      <w:bookmarkEnd w:id="960"/>
      <w:r>
        <w:rPr>
          <w:rFonts w:ascii="宋体" w:hAnsi="宋体"/>
          <w:color w:val="auto"/>
          <w:szCs w:val="21"/>
          <w:highlight w:val="none"/>
          <w:u w:val="single"/>
        </w:rPr>
        <w:t xml:space="preserve">                               </w:t>
      </w:r>
      <w:r>
        <w:rPr>
          <w:rFonts w:ascii="宋体" w:hAnsi="宋体"/>
          <w:color w:val="auto"/>
          <w:szCs w:val="21"/>
          <w:highlight w:val="none"/>
        </w:rPr>
        <w:t xml:space="preserve"> </w:t>
      </w:r>
    </w:p>
    <w:p w14:paraId="77FF3262">
      <w:pPr>
        <w:spacing w:line="400" w:lineRule="exact"/>
        <w:rPr>
          <w:rFonts w:ascii="宋体" w:hAnsi="宋体"/>
          <w:color w:val="auto"/>
          <w:szCs w:val="21"/>
          <w:highlight w:val="none"/>
        </w:rPr>
      </w:pPr>
      <w:bookmarkStart w:id="961" w:name="_Toc221952016"/>
      <w:r>
        <w:rPr>
          <w:rFonts w:ascii="宋体" w:hAnsi="宋体"/>
          <w:color w:val="auto"/>
          <w:szCs w:val="21"/>
          <w:highlight w:val="none"/>
        </w:rPr>
        <w:t>地址：</w:t>
      </w:r>
      <w:bookmarkEnd w:id="961"/>
      <w:r>
        <w:rPr>
          <w:rFonts w:ascii="宋体" w:hAnsi="宋体"/>
          <w:color w:val="auto"/>
          <w:szCs w:val="21"/>
          <w:highlight w:val="none"/>
          <w:u w:val="single"/>
        </w:rPr>
        <w:t xml:space="preserve">                                   </w:t>
      </w:r>
    </w:p>
    <w:p w14:paraId="4055FB45">
      <w:pPr>
        <w:spacing w:line="400" w:lineRule="exact"/>
        <w:rPr>
          <w:rFonts w:ascii="宋体" w:hAnsi="宋体"/>
          <w:color w:val="auto"/>
          <w:szCs w:val="21"/>
          <w:highlight w:val="none"/>
        </w:rPr>
      </w:pPr>
      <w:bookmarkStart w:id="962" w:name="_Toc221952017"/>
      <w:r>
        <w:rPr>
          <w:rFonts w:ascii="宋体" w:hAnsi="宋体"/>
          <w:color w:val="auto"/>
          <w:szCs w:val="21"/>
          <w:highlight w:val="none"/>
        </w:rPr>
        <w:t>成立时间：</w:t>
      </w:r>
      <w:r>
        <w:rPr>
          <w:rFonts w:ascii="宋体" w:hAnsi="宋体"/>
          <w:color w:val="auto"/>
          <w:szCs w:val="21"/>
          <w:highlight w:val="none"/>
          <w:u w:val="single"/>
        </w:rPr>
        <w:t xml:space="preserve">         </w:t>
      </w:r>
      <w:r>
        <w:rPr>
          <w:rFonts w:ascii="宋体" w:hAnsi="宋体"/>
          <w:color w:val="auto"/>
          <w:szCs w:val="21"/>
          <w:highlight w:val="none"/>
        </w:rPr>
        <w:t xml:space="preserve"> 年</w:t>
      </w:r>
      <w:r>
        <w:rPr>
          <w:rFonts w:ascii="宋体" w:hAnsi="宋体"/>
          <w:color w:val="auto"/>
          <w:szCs w:val="21"/>
          <w:highlight w:val="none"/>
          <w:u w:val="single"/>
        </w:rPr>
        <w:t xml:space="preserve">       </w:t>
      </w:r>
      <w:r>
        <w:rPr>
          <w:rFonts w:ascii="宋体" w:hAnsi="宋体"/>
          <w:color w:val="auto"/>
          <w:szCs w:val="21"/>
          <w:highlight w:val="none"/>
        </w:rPr>
        <w:t xml:space="preserve"> 月</w:t>
      </w:r>
      <w:r>
        <w:rPr>
          <w:rFonts w:ascii="宋体" w:hAnsi="宋体"/>
          <w:color w:val="auto"/>
          <w:szCs w:val="21"/>
          <w:highlight w:val="none"/>
          <w:u w:val="single"/>
        </w:rPr>
        <w:t xml:space="preserve">       </w:t>
      </w:r>
      <w:r>
        <w:rPr>
          <w:rFonts w:ascii="宋体" w:hAnsi="宋体"/>
          <w:color w:val="auto"/>
          <w:szCs w:val="21"/>
          <w:highlight w:val="none"/>
        </w:rPr>
        <w:t xml:space="preserve"> 日</w:t>
      </w:r>
      <w:bookmarkEnd w:id="962"/>
    </w:p>
    <w:p w14:paraId="4663AEC0">
      <w:pPr>
        <w:spacing w:line="400" w:lineRule="exact"/>
        <w:rPr>
          <w:rFonts w:ascii="宋体" w:hAnsi="宋体"/>
          <w:color w:val="auto"/>
          <w:szCs w:val="21"/>
          <w:highlight w:val="none"/>
        </w:rPr>
      </w:pPr>
      <w:bookmarkStart w:id="963" w:name="_Toc221952018"/>
      <w:r>
        <w:rPr>
          <w:rFonts w:ascii="宋体" w:hAnsi="宋体"/>
          <w:color w:val="auto"/>
          <w:szCs w:val="21"/>
          <w:highlight w:val="none"/>
        </w:rPr>
        <w:t>经营期限：</w:t>
      </w:r>
      <w:bookmarkEnd w:id="963"/>
      <w:r>
        <w:rPr>
          <w:rFonts w:ascii="宋体" w:hAnsi="宋体"/>
          <w:color w:val="auto"/>
          <w:szCs w:val="21"/>
          <w:highlight w:val="none"/>
          <w:u w:val="single"/>
        </w:rPr>
        <w:t xml:space="preserve">                               </w:t>
      </w:r>
    </w:p>
    <w:p w14:paraId="712ACE7E">
      <w:pPr>
        <w:spacing w:line="400" w:lineRule="exact"/>
        <w:rPr>
          <w:rFonts w:ascii="宋体" w:hAnsi="宋体"/>
          <w:color w:val="auto"/>
          <w:szCs w:val="21"/>
          <w:highlight w:val="none"/>
        </w:rPr>
      </w:pPr>
      <w:bookmarkStart w:id="964" w:name="_Toc221952019"/>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 xml:space="preserve"> 年龄：</w:t>
      </w:r>
      <w:r>
        <w:rPr>
          <w:rFonts w:ascii="宋体" w:hAnsi="宋体"/>
          <w:color w:val="auto"/>
          <w:szCs w:val="21"/>
          <w:highlight w:val="none"/>
          <w:u w:val="single"/>
        </w:rPr>
        <w:t xml:space="preserve">        </w:t>
      </w: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r>
        <w:rPr>
          <w:rFonts w:ascii="宋体" w:hAnsi="宋体"/>
          <w:color w:val="auto"/>
          <w:szCs w:val="21"/>
          <w:highlight w:val="none"/>
        </w:rPr>
        <w:t>职务：</w:t>
      </w:r>
      <w:bookmarkEnd w:id="964"/>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bookmarkStart w:id="965" w:name="_Toc221952020"/>
      <w:r>
        <w:rPr>
          <w:rFonts w:ascii="宋体" w:hAnsi="宋体"/>
          <w:color w:val="auto"/>
          <w:szCs w:val="21"/>
          <w:highlight w:val="none"/>
        </w:rPr>
        <w:t>系</w:t>
      </w:r>
      <w:r>
        <w:rPr>
          <w:rFonts w:ascii="宋体" w:hAnsi="宋体"/>
          <w:color w:val="auto"/>
          <w:szCs w:val="21"/>
          <w:highlight w:val="none"/>
          <w:u w:val="single"/>
        </w:rPr>
        <w:t xml:space="preserve">                 </w:t>
      </w:r>
      <w:r>
        <w:rPr>
          <w:rFonts w:ascii="宋体" w:hAnsi="宋体"/>
          <w:color w:val="auto"/>
          <w:szCs w:val="21"/>
          <w:highlight w:val="none"/>
        </w:rPr>
        <w:t xml:space="preserve"> (投标人名称)的法定代表人。</w:t>
      </w:r>
      <w:bookmarkEnd w:id="965"/>
    </w:p>
    <w:p w14:paraId="5CCCCFE1">
      <w:pPr>
        <w:spacing w:line="400" w:lineRule="exact"/>
        <w:ind w:firstLine="420" w:firstLineChars="200"/>
        <w:rPr>
          <w:rFonts w:ascii="宋体" w:hAnsi="宋体"/>
          <w:color w:val="auto"/>
          <w:szCs w:val="21"/>
          <w:highlight w:val="none"/>
        </w:rPr>
      </w:pPr>
      <w:bookmarkStart w:id="966" w:name="_Toc221952021"/>
      <w:r>
        <w:rPr>
          <w:rFonts w:ascii="宋体" w:hAnsi="宋体"/>
          <w:color w:val="auto"/>
          <w:szCs w:val="21"/>
          <w:highlight w:val="none"/>
        </w:rPr>
        <w:t>特此证明。</w:t>
      </w:r>
      <w:bookmarkEnd w:id="966"/>
    </w:p>
    <w:p w14:paraId="436CB5C7">
      <w:pPr>
        <w:spacing w:line="400" w:lineRule="exact"/>
        <w:rPr>
          <w:rFonts w:ascii="宋体" w:hAnsi="宋体"/>
          <w:color w:val="auto"/>
          <w:szCs w:val="21"/>
          <w:highlight w:val="none"/>
        </w:rPr>
      </w:pPr>
    </w:p>
    <w:p w14:paraId="277B4CA8">
      <w:pPr>
        <w:spacing w:line="400" w:lineRule="exact"/>
        <w:rPr>
          <w:rFonts w:ascii="宋体" w:hAnsi="宋体"/>
          <w:color w:val="auto"/>
          <w:szCs w:val="21"/>
          <w:highlight w:val="none"/>
        </w:rPr>
      </w:pPr>
      <w:r>
        <w:rPr>
          <w:rFonts w:hint="eastAsia" w:ascii="宋体" w:hAnsi="宋体"/>
          <w:color w:val="auto"/>
          <w:szCs w:val="21"/>
          <w:highlight w:val="none"/>
        </w:rPr>
        <w:t>附：法定代表人身份证正反面扫描件。</w:t>
      </w:r>
    </w:p>
    <w:p w14:paraId="77B4E96E">
      <w:pPr>
        <w:spacing w:line="400" w:lineRule="exact"/>
        <w:rPr>
          <w:rFonts w:ascii="宋体" w:hAnsi="宋体"/>
          <w:color w:val="auto"/>
          <w:szCs w:val="21"/>
          <w:highlight w:val="none"/>
        </w:rPr>
      </w:pPr>
    </w:p>
    <w:p w14:paraId="7C4C83F1">
      <w:pPr>
        <w:spacing w:line="400" w:lineRule="exact"/>
        <w:jc w:val="right"/>
        <w:rPr>
          <w:rFonts w:ascii="宋体" w:hAnsi="宋体"/>
          <w:color w:val="auto"/>
          <w:szCs w:val="21"/>
          <w:highlight w:val="none"/>
        </w:rPr>
      </w:pPr>
      <w:bookmarkStart w:id="967" w:name="_Toc221952022"/>
      <w:r>
        <w:rPr>
          <w:rFonts w:ascii="宋体" w:hAnsi="宋体"/>
          <w:color w:val="auto"/>
          <w:szCs w:val="21"/>
          <w:highlight w:val="none"/>
        </w:rPr>
        <w:t>投标人：</w:t>
      </w:r>
      <w:r>
        <w:rPr>
          <w:rFonts w:ascii="宋体" w:hAnsi="宋体"/>
          <w:color w:val="auto"/>
          <w:szCs w:val="21"/>
          <w:highlight w:val="none"/>
          <w:u w:val="single"/>
        </w:rPr>
        <w:t xml:space="preserve">                 </w:t>
      </w:r>
      <w:r>
        <w:rPr>
          <w:rFonts w:ascii="宋体" w:hAnsi="宋体"/>
          <w:color w:val="auto"/>
          <w:szCs w:val="21"/>
          <w:highlight w:val="none"/>
        </w:rPr>
        <w:t>（盖单位章）</w:t>
      </w:r>
      <w:bookmarkEnd w:id="967"/>
    </w:p>
    <w:p w14:paraId="166A47E8">
      <w:pPr>
        <w:spacing w:line="400" w:lineRule="exact"/>
        <w:jc w:val="right"/>
        <w:rPr>
          <w:rFonts w:ascii="宋体" w:hAnsi="宋体"/>
          <w:color w:val="auto"/>
          <w:szCs w:val="21"/>
          <w:highlight w:val="none"/>
        </w:rPr>
      </w:pPr>
    </w:p>
    <w:p w14:paraId="4A7E40CC">
      <w:pPr>
        <w:spacing w:line="400" w:lineRule="exact"/>
        <w:jc w:val="right"/>
        <w:rPr>
          <w:rFonts w:ascii="宋体" w:hAnsi="宋体"/>
          <w:color w:val="auto"/>
          <w:szCs w:val="21"/>
          <w:highlight w:val="none"/>
        </w:rPr>
      </w:pPr>
      <w:r>
        <w:rPr>
          <w:rFonts w:ascii="宋体" w:hAnsi="宋体"/>
          <w:color w:val="auto"/>
          <w:szCs w:val="21"/>
          <w:highlight w:val="none"/>
          <w:u w:val="single"/>
        </w:rPr>
        <w:t xml:space="preserve">         </w:t>
      </w:r>
      <w:bookmarkStart w:id="968" w:name="_Toc221952023"/>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 xml:space="preserve"> 日</w:t>
      </w:r>
      <w:bookmarkEnd w:id="968"/>
      <w:r>
        <w:rPr>
          <w:rFonts w:ascii="宋体" w:hAnsi="宋体"/>
          <w:color w:val="auto"/>
          <w:szCs w:val="21"/>
          <w:highlight w:val="none"/>
        </w:rPr>
        <w:t xml:space="preserve"> </w:t>
      </w:r>
    </w:p>
    <w:p w14:paraId="78AE35E8">
      <w:pPr>
        <w:spacing w:line="400" w:lineRule="exact"/>
        <w:jc w:val="center"/>
        <w:rPr>
          <w:rFonts w:eastAsia="黑体"/>
          <w:color w:val="auto"/>
          <w:sz w:val="19"/>
          <w:szCs w:val="19"/>
          <w:highlight w:val="none"/>
        </w:rPr>
      </w:pPr>
      <w:r>
        <w:rPr>
          <w:rFonts w:ascii="宋体" w:hAnsi="宋体"/>
          <w:color w:val="auto"/>
          <w:szCs w:val="21"/>
          <w:highlight w:val="none"/>
        </w:rPr>
        <w:br w:type="page"/>
      </w:r>
    </w:p>
    <w:p w14:paraId="4BB8C42D">
      <w:pPr>
        <w:spacing w:line="360" w:lineRule="auto"/>
        <w:jc w:val="center"/>
        <w:outlineLvl w:val="2"/>
        <w:rPr>
          <w:rFonts w:ascii="黑体" w:hAnsi="黑体" w:eastAsia="黑体"/>
          <w:color w:val="auto"/>
          <w:sz w:val="28"/>
          <w:szCs w:val="27"/>
          <w:highlight w:val="none"/>
        </w:rPr>
      </w:pPr>
      <w:bookmarkStart w:id="969" w:name="_Toc168475919"/>
      <w:bookmarkStart w:id="970" w:name="_Toc144974861"/>
      <w:bookmarkStart w:id="971" w:name="_Toc17451609"/>
      <w:bookmarkStart w:id="972" w:name="_Toc17451132"/>
      <w:bookmarkStart w:id="973" w:name="_Toc221952024"/>
      <w:bookmarkStart w:id="974" w:name="_Toc27238"/>
      <w:bookmarkStart w:id="975" w:name="_Toc222029562"/>
      <w:bookmarkStart w:id="976" w:name="_Toc17454953"/>
      <w:bookmarkStart w:id="977" w:name="_Toc222031064"/>
      <w:bookmarkStart w:id="978" w:name="_Toc259524416"/>
      <w:bookmarkStart w:id="979" w:name="_Toc17454902"/>
      <w:bookmarkStart w:id="980" w:name="_Toc222032731"/>
      <w:bookmarkStart w:id="981" w:name="_Toc17556907"/>
      <w:bookmarkStart w:id="982" w:name="_Toc222033913"/>
      <w:bookmarkStart w:id="983" w:name="_Toc17451654"/>
      <w:bookmarkStart w:id="984" w:name="_Toc229305422"/>
      <w:bookmarkStart w:id="985" w:name="_Toc168476322"/>
      <w:bookmarkStart w:id="986" w:name="_Toc17452695"/>
      <w:r>
        <w:rPr>
          <w:rFonts w:hint="eastAsia" w:ascii="黑体" w:hAnsi="黑体" w:eastAsia="黑体"/>
          <w:color w:val="auto"/>
          <w:sz w:val="28"/>
          <w:szCs w:val="27"/>
          <w:highlight w:val="none"/>
        </w:rPr>
        <w:t>三</w:t>
      </w:r>
      <w:r>
        <w:rPr>
          <w:rFonts w:ascii="黑体" w:hAnsi="黑体" w:eastAsia="黑体"/>
          <w:color w:val="auto"/>
          <w:sz w:val="28"/>
          <w:szCs w:val="27"/>
          <w:highlight w:val="none"/>
        </w:rPr>
        <w:t>、授权委托书</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153BC7D1">
      <w:pPr>
        <w:spacing w:line="400" w:lineRule="exact"/>
        <w:rPr>
          <w:rFonts w:eastAsia="黑体"/>
          <w:color w:val="auto"/>
          <w:sz w:val="20"/>
          <w:szCs w:val="20"/>
          <w:highlight w:val="none"/>
        </w:rPr>
      </w:pPr>
    </w:p>
    <w:p w14:paraId="6099D80D">
      <w:pPr>
        <w:topLinePunct/>
        <w:spacing w:line="400" w:lineRule="exact"/>
        <w:ind w:firstLine="420" w:firstLineChars="200"/>
        <w:rPr>
          <w:color w:val="auto"/>
          <w:szCs w:val="21"/>
          <w:highlight w:val="none"/>
        </w:rPr>
      </w:pPr>
      <w:bookmarkStart w:id="987" w:name="_Toc221952025"/>
      <w:r>
        <w:rPr>
          <w:color w:val="auto"/>
          <w:szCs w:val="21"/>
          <w:highlight w:val="none"/>
        </w:rPr>
        <w:t>本人</w:t>
      </w:r>
      <w:r>
        <w:rPr>
          <w:color w:val="auto"/>
          <w:szCs w:val="21"/>
          <w:highlight w:val="none"/>
          <w:u w:val="single"/>
        </w:rPr>
        <w:t xml:space="preserve">       </w:t>
      </w:r>
      <w:r>
        <w:rPr>
          <w:color w:val="auto"/>
          <w:szCs w:val="21"/>
          <w:highlight w:val="none"/>
        </w:rPr>
        <w:t>（姓名）系</w:t>
      </w:r>
      <w:r>
        <w:rPr>
          <w:color w:val="auto"/>
          <w:szCs w:val="21"/>
          <w:highlight w:val="none"/>
          <w:u w:val="single"/>
        </w:rPr>
        <w:t xml:space="preserve">        </w:t>
      </w:r>
      <w:r>
        <w:rPr>
          <w:color w:val="auto"/>
          <w:szCs w:val="21"/>
          <w:highlight w:val="none"/>
        </w:rPr>
        <w:t>（投标人名称）的法定代表人，现委托</w:t>
      </w:r>
      <w:r>
        <w:rPr>
          <w:color w:val="auto"/>
          <w:szCs w:val="21"/>
          <w:highlight w:val="none"/>
          <w:u w:val="single"/>
        </w:rPr>
        <w:t xml:space="preserve">        </w:t>
      </w:r>
      <w:r>
        <w:rPr>
          <w:color w:val="auto"/>
          <w:szCs w:val="21"/>
          <w:highlight w:val="none"/>
        </w:rPr>
        <w:t>（姓名）为我方代理人。代理人根据授权，以我方名义签署、澄清、</w:t>
      </w:r>
      <w:r>
        <w:rPr>
          <w:rFonts w:hint="eastAsia"/>
          <w:color w:val="auto"/>
          <w:szCs w:val="21"/>
          <w:highlight w:val="none"/>
        </w:rPr>
        <w:t>说明、补正、</w:t>
      </w:r>
      <w:r>
        <w:rPr>
          <w:color w:val="auto"/>
          <w:szCs w:val="21"/>
          <w:highlight w:val="none"/>
        </w:rPr>
        <w:t>递交、撤回、修改</w:t>
      </w:r>
      <w:r>
        <w:rPr>
          <w:color w:val="auto"/>
          <w:szCs w:val="21"/>
          <w:highlight w:val="none"/>
          <w:u w:val="single"/>
        </w:rPr>
        <w:t xml:space="preserve">           </w:t>
      </w:r>
      <w:r>
        <w:rPr>
          <w:color w:val="auto"/>
          <w:szCs w:val="21"/>
          <w:highlight w:val="none"/>
        </w:rPr>
        <w:t>（项目名称）</w:t>
      </w:r>
      <w:r>
        <w:rPr>
          <w:color w:val="auto"/>
          <w:szCs w:val="21"/>
          <w:highlight w:val="none"/>
          <w:u w:val="single"/>
        </w:rPr>
        <w:t xml:space="preserve">           </w:t>
      </w:r>
      <w:r>
        <w:rPr>
          <w:rFonts w:hint="eastAsia"/>
          <w:color w:val="auto"/>
          <w:szCs w:val="21"/>
          <w:highlight w:val="none"/>
        </w:rPr>
        <w:t>（标段名称）</w:t>
      </w:r>
      <w:r>
        <w:rPr>
          <w:color w:val="auto"/>
          <w:szCs w:val="21"/>
          <w:highlight w:val="none"/>
        </w:rPr>
        <w:t>投标文件、签订合同和处理有关事宜，其法律后果由我方承担。</w:t>
      </w:r>
      <w:bookmarkEnd w:id="987"/>
    </w:p>
    <w:p w14:paraId="5AB475D1">
      <w:pPr>
        <w:spacing w:line="400" w:lineRule="exact"/>
        <w:rPr>
          <w:color w:val="auto"/>
          <w:szCs w:val="21"/>
          <w:highlight w:val="none"/>
        </w:rPr>
      </w:pPr>
      <w:r>
        <w:rPr>
          <w:color w:val="auto"/>
          <w:szCs w:val="21"/>
          <w:highlight w:val="none"/>
        </w:rPr>
        <w:t xml:space="preserve">    </w:t>
      </w:r>
      <w:bookmarkStart w:id="988" w:name="_Toc221952026"/>
      <w:r>
        <w:rPr>
          <w:color w:val="auto"/>
          <w:szCs w:val="21"/>
          <w:highlight w:val="none"/>
        </w:rPr>
        <w:t>委托期限：</w:t>
      </w:r>
      <w:r>
        <w:rPr>
          <w:color w:val="auto"/>
          <w:szCs w:val="21"/>
          <w:highlight w:val="none"/>
          <w:u w:val="single"/>
        </w:rPr>
        <w:t xml:space="preserve">             </w:t>
      </w:r>
      <w:r>
        <w:rPr>
          <w:rFonts w:hint="eastAsia"/>
          <w:color w:val="auto"/>
          <w:szCs w:val="21"/>
          <w:highlight w:val="none"/>
        </w:rPr>
        <w:t>。</w:t>
      </w:r>
      <w:bookmarkEnd w:id="988"/>
    </w:p>
    <w:p w14:paraId="1E93036B">
      <w:pPr>
        <w:pStyle w:val="25"/>
        <w:spacing w:before="0" w:after="0" w:line="400" w:lineRule="exact"/>
        <w:ind w:firstLine="54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代理人无转委托权。代理人为投标人正式职工</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必须具有离投标截止时间最近</w:t>
      </w:r>
      <w:r>
        <w:rPr>
          <w:rFonts w:hint="default" w:ascii="Times New Roman" w:hAnsi="Times New Roman" w:cs="Times New Roman"/>
          <w:color w:val="auto"/>
          <w:kern w:val="2"/>
          <w:sz w:val="21"/>
          <w:szCs w:val="21"/>
          <w:highlight w:val="none"/>
          <w:lang w:val="en-US" w:eastAsia="zh-CN"/>
        </w:rPr>
        <w:t>的至少1</w:t>
      </w:r>
      <w:r>
        <w:rPr>
          <w:rFonts w:hint="default" w:ascii="Times New Roman" w:hAnsi="Times New Roman" w:cs="Times New Roman"/>
          <w:color w:val="auto"/>
          <w:kern w:val="2"/>
          <w:sz w:val="21"/>
          <w:szCs w:val="21"/>
          <w:highlight w:val="none"/>
        </w:rPr>
        <w:t>个月在本单位缴纳的社保证明文件。</w:t>
      </w:r>
    </w:p>
    <w:p w14:paraId="6E5FDC05">
      <w:pPr>
        <w:spacing w:line="400" w:lineRule="exact"/>
        <w:ind w:firstLine="420" w:firstLineChars="200"/>
        <w:rPr>
          <w:rFonts w:hint="eastAsia" w:eastAsia="宋体"/>
          <w:color w:val="auto"/>
          <w:szCs w:val="21"/>
          <w:highlight w:val="none"/>
          <w:lang w:eastAsia="zh-CN"/>
        </w:rPr>
      </w:pPr>
    </w:p>
    <w:p w14:paraId="2DACB092">
      <w:pPr>
        <w:spacing w:line="400" w:lineRule="exact"/>
        <w:ind w:firstLine="420" w:firstLineChars="200"/>
        <w:rPr>
          <w:color w:val="auto"/>
          <w:szCs w:val="21"/>
          <w:highlight w:val="none"/>
        </w:rPr>
      </w:pPr>
      <w:r>
        <w:rPr>
          <w:rFonts w:hint="eastAsia"/>
          <w:color w:val="auto"/>
          <w:szCs w:val="21"/>
          <w:highlight w:val="none"/>
        </w:rPr>
        <w:t>附：委托代理人身份证正反面和社保证明扫描件</w:t>
      </w:r>
    </w:p>
    <w:p w14:paraId="4F6FAAE8">
      <w:pPr>
        <w:spacing w:line="400" w:lineRule="exact"/>
        <w:rPr>
          <w:color w:val="auto"/>
          <w:szCs w:val="21"/>
          <w:highlight w:val="none"/>
        </w:rPr>
      </w:pPr>
    </w:p>
    <w:p w14:paraId="2243B57F">
      <w:pPr>
        <w:spacing w:line="400" w:lineRule="exact"/>
        <w:rPr>
          <w:color w:val="auto"/>
          <w:szCs w:val="21"/>
          <w:highlight w:val="none"/>
        </w:rPr>
      </w:pPr>
    </w:p>
    <w:p w14:paraId="6A5E0F70">
      <w:pPr>
        <w:spacing w:line="400" w:lineRule="exact"/>
        <w:jc w:val="right"/>
        <w:rPr>
          <w:color w:val="auto"/>
          <w:szCs w:val="21"/>
          <w:highlight w:val="none"/>
        </w:rPr>
      </w:pPr>
      <w:bookmarkStart w:id="989" w:name="_Toc221952029"/>
      <w:r>
        <w:rPr>
          <w:color w:val="auto"/>
          <w:szCs w:val="21"/>
          <w:highlight w:val="none"/>
        </w:rPr>
        <w:t>投标人：</w:t>
      </w:r>
      <w:r>
        <w:rPr>
          <w:color w:val="auto"/>
          <w:szCs w:val="21"/>
          <w:highlight w:val="none"/>
          <w:u w:val="single"/>
        </w:rPr>
        <w:t xml:space="preserve">                               </w:t>
      </w:r>
      <w:r>
        <w:rPr>
          <w:color w:val="auto"/>
          <w:szCs w:val="21"/>
          <w:highlight w:val="none"/>
        </w:rPr>
        <w:t>（盖单位章）</w:t>
      </w:r>
      <w:bookmarkEnd w:id="989"/>
    </w:p>
    <w:p w14:paraId="2F874045">
      <w:pPr>
        <w:spacing w:line="400" w:lineRule="exact"/>
        <w:jc w:val="right"/>
        <w:rPr>
          <w:color w:val="auto"/>
          <w:szCs w:val="21"/>
          <w:highlight w:val="none"/>
        </w:rPr>
      </w:pPr>
    </w:p>
    <w:p w14:paraId="3F644C95">
      <w:pPr>
        <w:wordWrap w:val="0"/>
        <w:spacing w:line="400" w:lineRule="exact"/>
        <w:jc w:val="right"/>
        <w:rPr>
          <w:color w:val="auto"/>
          <w:szCs w:val="21"/>
          <w:highlight w:val="none"/>
        </w:rPr>
      </w:pPr>
      <w:bookmarkStart w:id="990" w:name="_Toc221952030"/>
      <w:r>
        <w:rPr>
          <w:color w:val="auto"/>
          <w:szCs w:val="21"/>
          <w:highlight w:val="none"/>
        </w:rPr>
        <w:t>法定代表人：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签</w:t>
      </w:r>
      <w:r>
        <w:rPr>
          <w:color w:val="auto"/>
          <w:szCs w:val="21"/>
          <w:highlight w:val="none"/>
        </w:rPr>
        <w:t>字）</w:t>
      </w:r>
      <w:bookmarkEnd w:id="990"/>
    </w:p>
    <w:p w14:paraId="5D15E298">
      <w:pPr>
        <w:spacing w:line="400" w:lineRule="exact"/>
        <w:jc w:val="right"/>
        <w:rPr>
          <w:color w:val="auto"/>
          <w:szCs w:val="21"/>
          <w:highlight w:val="none"/>
        </w:rPr>
      </w:pPr>
    </w:p>
    <w:p w14:paraId="405A28D2">
      <w:pPr>
        <w:spacing w:line="400" w:lineRule="exact"/>
        <w:ind w:right="420" w:firstLine="2940" w:firstLineChars="1400"/>
        <w:rPr>
          <w:color w:val="auto"/>
          <w:szCs w:val="21"/>
          <w:highlight w:val="none"/>
        </w:rPr>
      </w:pPr>
      <w:bookmarkStart w:id="991" w:name="_Toc221952031"/>
      <w:r>
        <w:rPr>
          <w:color w:val="auto"/>
          <w:szCs w:val="21"/>
          <w:highlight w:val="none"/>
        </w:rPr>
        <w:t>身份证号码：</w:t>
      </w:r>
      <w:bookmarkEnd w:id="991"/>
      <w:r>
        <w:rPr>
          <w:color w:val="auto"/>
          <w:szCs w:val="21"/>
          <w:highlight w:val="none"/>
          <w:u w:val="single"/>
        </w:rPr>
        <w:t xml:space="preserve">                                   </w:t>
      </w:r>
    </w:p>
    <w:p w14:paraId="476900E9">
      <w:pPr>
        <w:spacing w:line="400" w:lineRule="exact"/>
        <w:jc w:val="right"/>
        <w:rPr>
          <w:color w:val="auto"/>
          <w:szCs w:val="21"/>
          <w:highlight w:val="none"/>
        </w:rPr>
      </w:pPr>
    </w:p>
    <w:p w14:paraId="6EC9DF51">
      <w:pPr>
        <w:wordWrap w:val="0"/>
        <w:spacing w:line="400" w:lineRule="exact"/>
        <w:jc w:val="right"/>
        <w:rPr>
          <w:color w:val="auto"/>
          <w:szCs w:val="21"/>
          <w:highlight w:val="none"/>
        </w:rPr>
      </w:pPr>
      <w:bookmarkStart w:id="992" w:name="_Toc221952032"/>
      <w:r>
        <w:rPr>
          <w:rFonts w:hint="eastAsia"/>
          <w:color w:val="auto"/>
          <w:szCs w:val="21"/>
          <w:highlight w:val="none"/>
        </w:rPr>
        <w:t>委托</w:t>
      </w:r>
      <w:r>
        <w:rPr>
          <w:color w:val="auto"/>
          <w:szCs w:val="21"/>
          <w:highlight w:val="none"/>
        </w:rPr>
        <w:t>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rFonts w:hint="eastAsia"/>
          <w:color w:val="auto"/>
          <w:szCs w:val="21"/>
          <w:highlight w:val="none"/>
        </w:rPr>
        <w:t>签字</w:t>
      </w:r>
      <w:r>
        <w:rPr>
          <w:color w:val="auto"/>
          <w:szCs w:val="21"/>
          <w:highlight w:val="none"/>
        </w:rPr>
        <w:t>）</w:t>
      </w:r>
      <w:bookmarkEnd w:id="992"/>
      <w:r>
        <w:rPr>
          <w:color w:val="auto"/>
          <w:szCs w:val="21"/>
          <w:highlight w:val="none"/>
        </w:rPr>
        <w:t xml:space="preserve"> </w:t>
      </w:r>
    </w:p>
    <w:p w14:paraId="61D69B2C">
      <w:pPr>
        <w:wordWrap w:val="0"/>
        <w:spacing w:line="400" w:lineRule="exact"/>
        <w:jc w:val="right"/>
        <w:rPr>
          <w:color w:val="auto"/>
          <w:szCs w:val="21"/>
          <w:highlight w:val="none"/>
        </w:rPr>
      </w:pPr>
      <w:r>
        <w:rPr>
          <w:rFonts w:hint="eastAsia"/>
          <w:color w:val="auto"/>
          <w:szCs w:val="21"/>
          <w:highlight w:val="none"/>
        </w:rPr>
        <w:t xml:space="preserve"> </w:t>
      </w:r>
    </w:p>
    <w:p w14:paraId="1AF29835">
      <w:pPr>
        <w:spacing w:line="400" w:lineRule="exact"/>
        <w:ind w:right="420" w:firstLine="2940" w:firstLineChars="1400"/>
        <w:rPr>
          <w:color w:val="auto"/>
          <w:szCs w:val="21"/>
          <w:highlight w:val="none"/>
        </w:rPr>
      </w:pPr>
      <w:bookmarkStart w:id="993" w:name="_Toc221952033"/>
      <w:r>
        <w:rPr>
          <w:color w:val="auto"/>
          <w:szCs w:val="21"/>
          <w:highlight w:val="none"/>
        </w:rPr>
        <w:t>身份证号码：</w:t>
      </w:r>
      <w:bookmarkEnd w:id="993"/>
      <w:r>
        <w:rPr>
          <w:color w:val="auto"/>
          <w:szCs w:val="21"/>
          <w:highlight w:val="none"/>
          <w:u w:val="single"/>
        </w:rPr>
        <w:t xml:space="preserve">                                    </w:t>
      </w:r>
    </w:p>
    <w:p w14:paraId="2343F43F">
      <w:pPr>
        <w:spacing w:line="400" w:lineRule="exact"/>
        <w:jc w:val="right"/>
        <w:rPr>
          <w:color w:val="auto"/>
          <w:szCs w:val="21"/>
          <w:highlight w:val="none"/>
        </w:rPr>
      </w:pPr>
    </w:p>
    <w:p w14:paraId="10013D20">
      <w:pPr>
        <w:spacing w:line="400" w:lineRule="exact"/>
        <w:ind w:firstLine="1575" w:firstLineChars="750"/>
        <w:jc w:val="right"/>
        <w:rPr>
          <w:rFonts w:eastAsia="黑体"/>
          <w:color w:val="auto"/>
          <w:szCs w:val="21"/>
          <w:highlight w:val="none"/>
        </w:rPr>
      </w:pPr>
      <w:r>
        <w:rPr>
          <w:color w:val="auto"/>
          <w:szCs w:val="21"/>
          <w:highlight w:val="none"/>
          <w:u w:val="single"/>
        </w:rPr>
        <w:t xml:space="preserve">       </w:t>
      </w:r>
      <w:bookmarkStart w:id="994" w:name="_Toc221952034"/>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bookmarkEnd w:id="994"/>
    </w:p>
    <w:p w14:paraId="4B3AFC64">
      <w:pPr>
        <w:spacing w:line="400" w:lineRule="exact"/>
        <w:jc w:val="center"/>
        <w:rPr>
          <w:rFonts w:eastAsia="黑体"/>
          <w:color w:val="auto"/>
          <w:sz w:val="19"/>
          <w:szCs w:val="19"/>
          <w:highlight w:val="none"/>
        </w:rPr>
      </w:pPr>
      <w:r>
        <w:rPr>
          <w:rFonts w:eastAsia="黑体"/>
          <w:color w:val="auto"/>
          <w:sz w:val="19"/>
          <w:szCs w:val="19"/>
          <w:highlight w:val="none"/>
        </w:rPr>
        <w:br w:type="page"/>
      </w:r>
    </w:p>
    <w:p w14:paraId="57755D19">
      <w:pPr>
        <w:spacing w:line="360" w:lineRule="auto"/>
        <w:jc w:val="center"/>
        <w:outlineLvl w:val="2"/>
        <w:rPr>
          <w:rFonts w:ascii="黑体" w:hAnsi="黑体" w:eastAsia="黑体"/>
          <w:color w:val="auto"/>
          <w:sz w:val="28"/>
          <w:szCs w:val="27"/>
          <w:highlight w:val="none"/>
        </w:rPr>
      </w:pPr>
      <w:bookmarkStart w:id="995" w:name="_Toc17454904"/>
      <w:bookmarkStart w:id="996" w:name="_Toc17451656"/>
      <w:bookmarkStart w:id="997" w:name="_Toc259524418"/>
      <w:bookmarkStart w:id="998" w:name="_Toc17452697"/>
      <w:bookmarkStart w:id="999" w:name="_Toc17451134"/>
      <w:bookmarkStart w:id="1000" w:name="_Toc168475921"/>
      <w:bookmarkStart w:id="1001" w:name="_Toc17454955"/>
      <w:bookmarkStart w:id="1002" w:name="_Toc222033915"/>
      <w:bookmarkStart w:id="1003" w:name="_Toc229305424"/>
      <w:bookmarkStart w:id="1004" w:name="_Toc221952052"/>
      <w:bookmarkStart w:id="1005" w:name="_Toc5536"/>
      <w:bookmarkStart w:id="1006" w:name="_Toc168476324"/>
      <w:bookmarkStart w:id="1007" w:name="_Toc222032733"/>
      <w:bookmarkStart w:id="1008" w:name="_Toc17556909"/>
      <w:bookmarkStart w:id="1009" w:name="_Toc222029564"/>
      <w:bookmarkStart w:id="1010" w:name="_Toc222031066"/>
      <w:bookmarkStart w:id="1011" w:name="_Toc17451611"/>
      <w:r>
        <w:rPr>
          <w:rFonts w:hint="eastAsia" w:ascii="黑体" w:hAnsi="黑体" w:eastAsia="黑体"/>
          <w:color w:val="auto"/>
          <w:sz w:val="28"/>
          <w:szCs w:val="27"/>
          <w:highlight w:val="none"/>
        </w:rPr>
        <w:t>五</w:t>
      </w:r>
      <w:r>
        <w:rPr>
          <w:rFonts w:ascii="黑体" w:hAnsi="黑体" w:eastAsia="黑体"/>
          <w:color w:val="auto"/>
          <w:sz w:val="28"/>
          <w:szCs w:val="27"/>
          <w:highlight w:val="none"/>
        </w:rPr>
        <w:t>、投标保证金</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3EF3FD15">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bookmarkStart w:id="1012" w:name="_Toc221952054"/>
      <w:r>
        <w:rPr>
          <w:rFonts w:hint="eastAsia" w:ascii="宋体" w:hAnsi="宋体" w:eastAsia="宋体" w:cs="宋体"/>
          <w:color w:val="auto"/>
          <w:szCs w:val="21"/>
          <w:highlight w:val="none"/>
        </w:rPr>
        <w:t>（招标人名称）：</w:t>
      </w:r>
      <w:bookmarkEnd w:id="1012"/>
    </w:p>
    <w:p w14:paraId="29A4B783">
      <w:pPr>
        <w:spacing w:line="400" w:lineRule="exact"/>
        <w:jc w:val="left"/>
        <w:rPr>
          <w:rFonts w:hint="eastAsia" w:ascii="宋体" w:hAnsi="宋体" w:eastAsia="宋体" w:cs="宋体"/>
          <w:color w:val="auto"/>
          <w:szCs w:val="21"/>
          <w:highlight w:val="none"/>
        </w:rPr>
      </w:pPr>
    </w:p>
    <w:p w14:paraId="38ECCB56">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w:t>
      </w:r>
      <w:r>
        <w:rPr>
          <w:rFonts w:hint="eastAsia" w:ascii="宋体" w:hAnsi="宋体" w:eastAsia="宋体" w:cs="宋体"/>
          <w:color w:val="auto"/>
          <w:szCs w:val="21"/>
          <w:highlight w:val="none"/>
          <w:u w:val="single"/>
        </w:rPr>
        <w:t xml:space="preserve">       （投标人名称）</w:t>
      </w:r>
      <w:r>
        <w:rPr>
          <w:rFonts w:hint="eastAsia" w:ascii="宋体" w:hAnsi="宋体" w:eastAsia="宋体" w:cs="宋体"/>
          <w:color w:val="auto"/>
          <w:szCs w:val="21"/>
          <w:highlight w:val="none"/>
        </w:rPr>
        <w:t>（以下称“投标人”）于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日参加</w:t>
      </w:r>
      <w:r>
        <w:rPr>
          <w:rFonts w:hint="eastAsia" w:ascii="宋体" w:hAnsi="宋体" w:eastAsia="宋体" w:cs="宋体"/>
          <w:color w:val="auto"/>
          <w:szCs w:val="21"/>
          <w:highlight w:val="none"/>
          <w:u w:val="single"/>
        </w:rPr>
        <w:t xml:space="preserve">         （项目名称）</w:t>
      </w:r>
      <w:r>
        <w:rPr>
          <w:rFonts w:hint="eastAsia" w:ascii="宋体" w:hAnsi="宋体" w:eastAsia="宋体" w:cs="宋体"/>
          <w:color w:val="auto"/>
          <w:szCs w:val="21"/>
          <w:highlight w:val="none"/>
        </w:rPr>
        <w:t>的投标，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担保人名称，以下简称“我方”）保证：投标人在规定的投标文件有效期内撤销或修改其投标文件的，或者投标人在收到中标通知书后无正当理由拒签合同或拒交规定履约担保的，我方承担保证责任。收到你方书面通知后，在7日内向你方支付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2176C388">
      <w:pPr>
        <w:spacing w:line="400" w:lineRule="exact"/>
        <w:ind w:firstLine="420" w:firstLineChars="200"/>
        <w:jc w:val="left"/>
        <w:rPr>
          <w:rFonts w:hint="eastAsia" w:ascii="宋体" w:hAnsi="宋体" w:eastAsia="宋体" w:cs="宋体"/>
          <w:color w:val="auto"/>
          <w:szCs w:val="21"/>
          <w:highlight w:val="none"/>
        </w:rPr>
      </w:pPr>
      <w:bookmarkStart w:id="1013" w:name="_Toc221952056"/>
      <w:r>
        <w:rPr>
          <w:rFonts w:hint="eastAsia" w:ascii="宋体" w:hAnsi="宋体" w:eastAsia="宋体" w:cs="宋体"/>
          <w:color w:val="auto"/>
          <w:szCs w:val="21"/>
          <w:highlight w:val="none"/>
        </w:rPr>
        <w:t>本担保在投标有效期内保持有效。要求我方承担保证责任的书面通知应在投标有效期内送达我方。</w:t>
      </w:r>
      <w:bookmarkEnd w:id="1013"/>
    </w:p>
    <w:p w14:paraId="2F99FEF0">
      <w:pP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D7A76D0">
      <w:pPr>
        <w:spacing w:line="400" w:lineRule="exact"/>
        <w:jc w:val="left"/>
        <w:rPr>
          <w:rFonts w:hint="eastAsia" w:ascii="宋体" w:hAnsi="宋体" w:eastAsia="宋体" w:cs="宋体"/>
          <w:color w:val="auto"/>
          <w:szCs w:val="21"/>
          <w:highlight w:val="none"/>
        </w:rPr>
      </w:pPr>
    </w:p>
    <w:p w14:paraId="1481DCA7">
      <w:pPr>
        <w:spacing w:line="400" w:lineRule="exact"/>
        <w:jc w:val="left"/>
        <w:rPr>
          <w:rFonts w:hint="eastAsia" w:ascii="宋体" w:hAnsi="宋体" w:eastAsia="宋体" w:cs="宋体"/>
          <w:color w:val="auto"/>
          <w:szCs w:val="21"/>
          <w:highlight w:val="none"/>
        </w:rPr>
      </w:pPr>
    </w:p>
    <w:p w14:paraId="134FEA2E">
      <w:pPr>
        <w:spacing w:line="400" w:lineRule="exact"/>
        <w:jc w:val="left"/>
        <w:rPr>
          <w:rFonts w:hint="eastAsia" w:ascii="宋体" w:hAnsi="宋体" w:eastAsia="宋体" w:cs="宋体"/>
          <w:color w:val="auto"/>
          <w:szCs w:val="21"/>
          <w:highlight w:val="none"/>
        </w:rPr>
      </w:pPr>
    </w:p>
    <w:p w14:paraId="5B514232">
      <w:pPr>
        <w:spacing w:line="400" w:lineRule="exact"/>
        <w:ind w:firstLine="420" w:firstLineChars="200"/>
        <w:jc w:val="left"/>
        <w:rPr>
          <w:rFonts w:hint="eastAsia" w:ascii="宋体" w:hAnsi="宋体" w:eastAsia="宋体" w:cs="宋体"/>
          <w:color w:val="auto"/>
          <w:szCs w:val="21"/>
          <w:highlight w:val="none"/>
        </w:rPr>
      </w:pPr>
      <w:bookmarkStart w:id="1014" w:name="_Toc221952057"/>
      <w:r>
        <w:rPr>
          <w:rFonts w:hint="eastAsia" w:ascii="宋体" w:hAnsi="宋体" w:eastAsia="宋体" w:cs="宋体"/>
          <w:color w:val="auto"/>
          <w:szCs w:val="21"/>
          <w:highlight w:val="none"/>
        </w:rPr>
        <w:t>担保人：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bookmarkEnd w:id="1014"/>
    </w:p>
    <w:p w14:paraId="10104B8B">
      <w:pPr>
        <w:spacing w:line="400" w:lineRule="exact"/>
        <w:ind w:firstLine="420" w:firstLineChars="200"/>
        <w:jc w:val="left"/>
        <w:rPr>
          <w:rFonts w:hint="eastAsia" w:ascii="宋体" w:hAnsi="宋体" w:eastAsia="宋体" w:cs="宋体"/>
          <w:color w:val="auto"/>
          <w:szCs w:val="21"/>
          <w:highlight w:val="none"/>
        </w:rPr>
      </w:pPr>
      <w:bookmarkStart w:id="1015" w:name="_Toc221952058"/>
      <w:r>
        <w:rPr>
          <w:rFonts w:hint="eastAsia" w:ascii="宋体" w:hAnsi="宋体" w:eastAsia="宋体" w:cs="宋体"/>
          <w:color w:val="auto"/>
          <w:szCs w:val="21"/>
          <w:highlight w:val="none"/>
        </w:rPr>
        <w:t>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bookmarkEnd w:id="1015"/>
    </w:p>
    <w:p w14:paraId="65022FD0">
      <w:pPr>
        <w:spacing w:line="400" w:lineRule="exact"/>
        <w:ind w:firstLine="420" w:firstLineChars="200"/>
        <w:jc w:val="left"/>
        <w:rPr>
          <w:rFonts w:hint="eastAsia" w:ascii="宋体" w:hAnsi="宋体" w:eastAsia="宋体" w:cs="宋体"/>
          <w:color w:val="auto"/>
          <w:szCs w:val="21"/>
          <w:highlight w:val="none"/>
        </w:rPr>
      </w:pPr>
      <w:bookmarkStart w:id="1016" w:name="_Toc221952059"/>
      <w:r>
        <w:rPr>
          <w:rFonts w:hint="eastAsia" w:ascii="宋体" w:hAnsi="宋体" w:eastAsia="宋体" w:cs="宋体"/>
          <w:color w:val="auto"/>
          <w:szCs w:val="21"/>
          <w:highlight w:val="none"/>
        </w:rPr>
        <w:t>地    址：</w:t>
      </w:r>
      <w:bookmarkEnd w:id="1016"/>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14:paraId="782A9AB4">
      <w:pPr>
        <w:spacing w:line="400" w:lineRule="exact"/>
        <w:ind w:firstLine="420" w:firstLineChars="200"/>
        <w:jc w:val="left"/>
        <w:rPr>
          <w:rFonts w:hint="eastAsia" w:ascii="宋体" w:hAnsi="宋体" w:eastAsia="宋体" w:cs="宋体"/>
          <w:color w:val="auto"/>
          <w:szCs w:val="21"/>
          <w:highlight w:val="none"/>
          <w:u w:val="single"/>
        </w:rPr>
      </w:pPr>
      <w:bookmarkStart w:id="1017" w:name="_Toc221952060"/>
      <w:r>
        <w:rPr>
          <w:rFonts w:hint="eastAsia" w:ascii="宋体" w:hAnsi="宋体" w:eastAsia="宋体" w:cs="宋体"/>
          <w:color w:val="auto"/>
          <w:szCs w:val="21"/>
          <w:highlight w:val="none"/>
        </w:rPr>
        <w:t>邮政编码：</w:t>
      </w:r>
      <w:bookmarkEnd w:id="1017"/>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ab/>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ab/>
      </w:r>
    </w:p>
    <w:p w14:paraId="3F75E4A1">
      <w:pPr>
        <w:spacing w:line="400" w:lineRule="exact"/>
        <w:ind w:firstLine="420" w:firstLineChars="200"/>
        <w:jc w:val="left"/>
        <w:rPr>
          <w:rFonts w:hint="eastAsia" w:ascii="宋体" w:hAnsi="宋体" w:eastAsia="宋体" w:cs="宋体"/>
          <w:color w:val="auto"/>
          <w:szCs w:val="21"/>
          <w:highlight w:val="none"/>
        </w:rPr>
      </w:pPr>
      <w:bookmarkStart w:id="1018" w:name="_Toc221952061"/>
      <w:r>
        <w:rPr>
          <w:rFonts w:hint="eastAsia" w:ascii="宋体" w:hAnsi="宋体" w:eastAsia="宋体" w:cs="宋体"/>
          <w:color w:val="auto"/>
          <w:szCs w:val="21"/>
          <w:highlight w:val="none"/>
        </w:rPr>
        <w:t>电    话：</w:t>
      </w:r>
      <w:bookmarkEnd w:id="1018"/>
      <w:r>
        <w:rPr>
          <w:rFonts w:hint="eastAsia" w:ascii="宋体" w:hAnsi="宋体" w:eastAsia="宋体" w:cs="宋体"/>
          <w:color w:val="auto"/>
          <w:szCs w:val="21"/>
          <w:highlight w:val="none"/>
          <w:u w:val="single"/>
        </w:rPr>
        <w:t xml:space="preserve">                                          </w:t>
      </w:r>
    </w:p>
    <w:p w14:paraId="140488AA">
      <w:pPr>
        <w:spacing w:line="400" w:lineRule="exact"/>
        <w:ind w:firstLine="420" w:firstLineChars="200"/>
        <w:jc w:val="center"/>
        <w:rPr>
          <w:rFonts w:hint="eastAsia" w:ascii="宋体" w:hAnsi="宋体" w:eastAsia="宋体" w:cs="宋体"/>
          <w:color w:val="auto"/>
          <w:szCs w:val="21"/>
          <w:highlight w:val="none"/>
        </w:rPr>
      </w:pPr>
      <w:bookmarkStart w:id="1019" w:name="_Toc221952062"/>
      <w:r>
        <w:rPr>
          <w:rFonts w:hint="eastAsia" w:ascii="宋体" w:hAnsi="宋体" w:eastAsia="宋体" w:cs="宋体"/>
          <w:color w:val="auto"/>
          <w:szCs w:val="21"/>
          <w:highlight w:val="none"/>
        </w:rPr>
        <w:t>______年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bookmarkEnd w:id="1019"/>
    </w:p>
    <w:p w14:paraId="491AED73">
      <w:pPr>
        <w:spacing w:line="400" w:lineRule="exact"/>
        <w:jc w:val="left"/>
        <w:rPr>
          <w:rFonts w:hint="eastAsia" w:ascii="宋体" w:hAnsi="宋体" w:eastAsia="宋体" w:cs="宋体"/>
          <w:color w:val="auto"/>
          <w:szCs w:val="21"/>
          <w:highlight w:val="none"/>
        </w:rPr>
      </w:pPr>
    </w:p>
    <w:p w14:paraId="4302FE88">
      <w:pPr>
        <w:spacing w:line="400" w:lineRule="exact"/>
        <w:jc w:val="left"/>
        <w:rPr>
          <w:rFonts w:hint="eastAsia" w:ascii="宋体" w:hAnsi="宋体" w:eastAsia="宋体" w:cs="宋体"/>
          <w:color w:val="auto"/>
          <w:szCs w:val="21"/>
          <w:highlight w:val="none"/>
        </w:rPr>
      </w:pPr>
    </w:p>
    <w:p w14:paraId="49E4DA00">
      <w:pPr>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70E5557A">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1、投标保证金由广州公共资源交易平台代收的，以开标记录表记录的结果为准。（</w:t>
      </w:r>
      <w:r>
        <w:rPr>
          <w:rFonts w:hint="eastAsia" w:ascii="宋体" w:hAnsi="宋体" w:eastAsia="宋体" w:cs="宋体"/>
          <w:bCs/>
          <w:color w:val="auto"/>
          <w:szCs w:val="21"/>
          <w:highlight w:val="none"/>
          <w:u w:val="single"/>
        </w:rPr>
        <w:t>投标人应在此处提供广州交易集团有限公司（广州公共资源交易中心）出具的投标保证金回执扫描件</w:t>
      </w:r>
      <w:r>
        <w:rPr>
          <w:rFonts w:hint="eastAsia" w:ascii="宋体" w:hAnsi="宋体" w:eastAsia="宋体" w:cs="宋体"/>
          <w:color w:val="auto"/>
          <w:szCs w:val="21"/>
          <w:highlight w:val="none"/>
          <w:u w:val="single"/>
        </w:rPr>
        <w:t>）；</w:t>
      </w:r>
    </w:p>
    <w:p w14:paraId="4B72151D">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lang w:val="en-US" w:eastAsia="zh-CN"/>
        </w:rPr>
        <w:t>2</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若</w:t>
      </w:r>
      <w:r>
        <w:rPr>
          <w:rFonts w:hint="eastAsia" w:ascii="宋体" w:hAnsi="宋体" w:eastAsia="宋体" w:cs="宋体"/>
          <w:color w:val="auto"/>
          <w:szCs w:val="21"/>
          <w:highlight w:val="none"/>
          <w:u w:val="single"/>
        </w:rPr>
        <w:t>采用</w:t>
      </w:r>
      <w:r>
        <w:rPr>
          <w:rFonts w:hint="eastAsia" w:ascii="宋体" w:hAnsi="宋体" w:eastAsia="宋体" w:cs="宋体"/>
          <w:color w:val="auto"/>
          <w:szCs w:val="21"/>
          <w:highlight w:val="none"/>
          <w:u w:val="single"/>
          <w:lang w:val="en-US" w:eastAsia="zh-CN"/>
        </w:rPr>
        <w:t>银行</w:t>
      </w:r>
      <w:r>
        <w:rPr>
          <w:rFonts w:hint="eastAsia" w:ascii="宋体" w:hAnsi="宋体" w:eastAsia="宋体" w:cs="宋体"/>
          <w:color w:val="auto"/>
          <w:szCs w:val="21"/>
          <w:highlight w:val="none"/>
          <w:u w:val="single"/>
        </w:rPr>
        <w:t>保函形式</w:t>
      </w:r>
      <w:r>
        <w:rPr>
          <w:rFonts w:hint="eastAsia" w:ascii="宋体" w:hAnsi="宋体" w:eastAsia="宋体" w:cs="宋体"/>
          <w:color w:val="auto"/>
          <w:szCs w:val="21"/>
          <w:highlight w:val="none"/>
          <w:u w:val="single"/>
          <w:lang w:val="en-US" w:eastAsia="zh-CN"/>
        </w:rPr>
        <w:t>提交的</w:t>
      </w:r>
      <w:r>
        <w:rPr>
          <w:rFonts w:hint="eastAsia" w:ascii="宋体" w:hAnsi="宋体" w:eastAsia="宋体" w:cs="宋体"/>
          <w:color w:val="auto"/>
          <w:szCs w:val="21"/>
          <w:highlight w:val="none"/>
          <w:u w:val="single"/>
        </w:rPr>
        <w:t>，应采用上述格式或银行保函的格式。（</w:t>
      </w:r>
      <w:r>
        <w:rPr>
          <w:rFonts w:hint="eastAsia" w:ascii="宋体" w:hAnsi="宋体" w:eastAsia="宋体" w:cs="宋体"/>
          <w:bCs/>
          <w:color w:val="auto"/>
          <w:szCs w:val="21"/>
          <w:highlight w:val="none"/>
          <w:u w:val="single"/>
        </w:rPr>
        <w:t>投标人应在此处提供银行出具的保函原件的扫描件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14:paraId="67DF28F4">
      <w:pPr>
        <w:spacing w:line="24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若采用</w:t>
      </w:r>
      <w:r>
        <w:rPr>
          <w:rFonts w:hint="eastAsia" w:ascii="宋体" w:hAnsi="宋体" w:eastAsia="宋体" w:cs="宋体"/>
          <w:bCs/>
          <w:color w:val="auto"/>
          <w:szCs w:val="21"/>
          <w:highlight w:val="none"/>
          <w:u w:val="single"/>
          <w:lang w:val="en-US" w:eastAsia="zh-CN"/>
        </w:rPr>
        <w:t>保证保险</w:t>
      </w:r>
      <w:r>
        <w:rPr>
          <w:rFonts w:hint="eastAsia" w:ascii="宋体" w:hAnsi="宋体" w:eastAsia="宋体" w:cs="宋体"/>
          <w:bCs/>
          <w:color w:val="auto"/>
          <w:szCs w:val="21"/>
          <w:highlight w:val="none"/>
          <w:u w:val="single"/>
        </w:rPr>
        <w:t>形式提交的，投标人应在此处提供保险公司出具的保单原件的扫描件；</w:t>
      </w:r>
    </w:p>
    <w:p w14:paraId="659A9584">
      <w:pPr>
        <w:spacing w:line="240" w:lineRule="auto"/>
        <w:jc w:val="left"/>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lang w:val="en-US" w:eastAsia="zh-CN"/>
        </w:rPr>
        <w:t>4</w:t>
      </w:r>
      <w:r>
        <w:rPr>
          <w:rFonts w:hint="eastAsia" w:ascii="宋体" w:hAnsi="宋体" w:eastAsia="宋体" w:cs="宋体"/>
          <w:bCs/>
          <w:color w:val="auto"/>
          <w:szCs w:val="21"/>
          <w:highlight w:val="none"/>
          <w:u w:val="single"/>
        </w:rPr>
        <w:t>、若采用担保</w:t>
      </w:r>
      <w:r>
        <w:rPr>
          <w:rFonts w:hint="eastAsia" w:ascii="宋体" w:hAnsi="宋体" w:eastAsia="宋体" w:cs="宋体"/>
          <w:bCs/>
          <w:color w:val="auto"/>
          <w:szCs w:val="21"/>
          <w:highlight w:val="none"/>
          <w:u w:val="single"/>
          <w:lang w:val="en-US" w:eastAsia="zh-CN"/>
        </w:rPr>
        <w:t>保函</w:t>
      </w:r>
      <w:r>
        <w:rPr>
          <w:rFonts w:hint="eastAsia" w:ascii="宋体" w:hAnsi="宋体" w:eastAsia="宋体" w:cs="宋体"/>
          <w:bCs/>
          <w:color w:val="auto"/>
          <w:szCs w:val="21"/>
          <w:highlight w:val="none"/>
          <w:u w:val="single"/>
        </w:rPr>
        <w:t>形式提交的，</w:t>
      </w:r>
      <w:r>
        <w:rPr>
          <w:rFonts w:hint="eastAsia" w:ascii="宋体" w:hAnsi="宋体" w:eastAsia="宋体" w:cs="宋体"/>
          <w:color w:val="auto"/>
          <w:szCs w:val="21"/>
          <w:highlight w:val="none"/>
          <w:u w:val="single"/>
        </w:rPr>
        <w:t>应采用上述格式或</w:t>
      </w:r>
      <w:r>
        <w:rPr>
          <w:rFonts w:hint="eastAsia" w:ascii="宋体" w:hAnsi="宋体" w:eastAsia="宋体" w:cs="宋体"/>
          <w:color w:val="auto"/>
          <w:szCs w:val="21"/>
          <w:highlight w:val="none"/>
          <w:u w:val="single"/>
          <w:lang w:val="en-US" w:eastAsia="zh-CN"/>
        </w:rPr>
        <w:t>担保</w:t>
      </w:r>
      <w:r>
        <w:rPr>
          <w:rFonts w:hint="eastAsia" w:ascii="宋体" w:hAnsi="宋体" w:eastAsia="宋体" w:cs="宋体"/>
          <w:color w:val="auto"/>
          <w:szCs w:val="21"/>
          <w:highlight w:val="none"/>
          <w:u w:val="single"/>
        </w:rPr>
        <w:t>保函的格式。（</w:t>
      </w:r>
      <w:r>
        <w:rPr>
          <w:rFonts w:hint="eastAsia" w:ascii="宋体" w:hAnsi="宋体" w:eastAsia="宋体" w:cs="宋体"/>
          <w:bCs/>
          <w:color w:val="auto"/>
          <w:szCs w:val="21"/>
          <w:highlight w:val="none"/>
          <w:u w:val="single"/>
        </w:rPr>
        <w:t>投标人应在此处提供</w:t>
      </w:r>
      <w:r>
        <w:rPr>
          <w:rFonts w:hint="eastAsia" w:ascii="宋体" w:hAnsi="宋体" w:eastAsia="宋体" w:cs="宋体"/>
          <w:bCs/>
          <w:color w:val="auto"/>
          <w:szCs w:val="21"/>
          <w:highlight w:val="none"/>
          <w:u w:val="single"/>
          <w:lang w:val="en-US" w:eastAsia="zh-CN"/>
        </w:rPr>
        <w:t>担保机构</w:t>
      </w:r>
      <w:r>
        <w:rPr>
          <w:rFonts w:hint="eastAsia" w:ascii="宋体" w:hAnsi="宋体" w:eastAsia="宋体" w:cs="宋体"/>
          <w:bCs/>
          <w:color w:val="auto"/>
          <w:szCs w:val="21"/>
          <w:highlight w:val="none"/>
          <w:u w:val="single"/>
        </w:rPr>
        <w:t>出具的保函原件的扫描件</w:t>
      </w:r>
      <w:r>
        <w:rPr>
          <w:rFonts w:hint="eastAsia" w:ascii="宋体" w:hAnsi="宋体" w:eastAsia="宋体" w:cs="宋体"/>
          <w:color w:val="auto"/>
          <w:szCs w:val="21"/>
          <w:highlight w:val="none"/>
          <w:u w:val="single"/>
        </w:rPr>
        <w:t>）</w:t>
      </w:r>
      <w:r>
        <w:rPr>
          <w:rFonts w:hint="eastAsia" w:ascii="宋体" w:hAnsi="宋体" w:eastAsia="宋体" w:cs="宋体"/>
          <w:bCs/>
          <w:color w:val="auto"/>
          <w:szCs w:val="21"/>
          <w:highlight w:val="none"/>
          <w:u w:val="single"/>
        </w:rPr>
        <w:t>；</w:t>
      </w:r>
    </w:p>
    <w:p w14:paraId="71DAE1EE">
      <w:pPr>
        <w:spacing w:line="240" w:lineRule="auto"/>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u w:val="single"/>
          <w:lang w:val="en-US" w:eastAsia="zh-CN"/>
        </w:rPr>
        <w:t>5</w:t>
      </w:r>
      <w:r>
        <w:rPr>
          <w:rFonts w:hint="eastAsia" w:ascii="宋体" w:hAnsi="宋体" w:eastAsia="宋体" w:cs="宋体"/>
          <w:bCs/>
          <w:color w:val="auto"/>
          <w:szCs w:val="21"/>
          <w:highlight w:val="none"/>
          <w:u w:val="single"/>
        </w:rPr>
        <w:t>、</w:t>
      </w:r>
      <w:r>
        <w:rPr>
          <w:rFonts w:hint="eastAsia" w:ascii="宋体" w:hAnsi="宋体" w:eastAsia="宋体" w:cs="宋体"/>
          <w:color w:val="auto"/>
          <w:szCs w:val="21"/>
          <w:highlight w:val="none"/>
          <w:u w:val="single"/>
        </w:rPr>
        <w:t>投标人如采用</w:t>
      </w:r>
      <w:r>
        <w:rPr>
          <w:rFonts w:hint="eastAsia" w:ascii="宋体" w:hAnsi="宋体" w:eastAsia="宋体" w:cs="宋体"/>
          <w:color w:val="auto"/>
          <w:szCs w:val="21"/>
          <w:highlight w:val="none"/>
          <w:u w:val="single"/>
          <w:lang w:val="en-US" w:eastAsia="zh-CN"/>
        </w:rPr>
        <w:t>银行</w:t>
      </w:r>
      <w:r>
        <w:rPr>
          <w:rFonts w:hint="eastAsia" w:ascii="宋体" w:hAnsi="宋体" w:eastAsia="宋体" w:cs="宋体"/>
          <w:color w:val="auto"/>
          <w:szCs w:val="21"/>
          <w:highlight w:val="none"/>
          <w:u w:val="single"/>
        </w:rPr>
        <w:t>保函、保证保险、担保保函的形式递交的，须在投标截止前单独密封递交至开标室。（通过广州交易集团有限公司（广州公共资源交易中心）交易服务系统代收或办理电子保函的，不需要提交证明材料。）</w:t>
      </w:r>
    </w:p>
    <w:p w14:paraId="622F2FC5">
      <w:pPr>
        <w:spacing w:line="400" w:lineRule="exact"/>
        <w:jc w:val="left"/>
        <w:rPr>
          <w:rFonts w:ascii="宋体" w:hAnsi="宋体"/>
          <w:color w:val="auto"/>
          <w:szCs w:val="21"/>
          <w:highlight w:val="none"/>
          <w:u w:val="singl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、委托代理人应附授权委托书。</w:t>
      </w:r>
    </w:p>
    <w:p w14:paraId="5F40572F">
      <w:pPr>
        <w:spacing w:line="400" w:lineRule="exact"/>
        <w:jc w:val="left"/>
        <w:rPr>
          <w:color w:val="auto"/>
          <w:sz w:val="20"/>
          <w:szCs w:val="20"/>
          <w:highlight w:val="none"/>
        </w:rPr>
      </w:pPr>
      <w:r>
        <w:rPr>
          <w:rFonts w:ascii="宋体" w:hAnsi="宋体"/>
          <w:color w:val="auto"/>
          <w:szCs w:val="21"/>
          <w:highlight w:val="none"/>
        </w:rPr>
        <w:br w:type="page"/>
      </w:r>
      <w:bookmarkStart w:id="1020" w:name="_Toc222031067"/>
      <w:bookmarkStart w:id="1021" w:name="_Toc168475922"/>
      <w:bookmarkStart w:id="1022" w:name="_Toc144974863"/>
      <w:bookmarkStart w:id="1023" w:name="_Toc168476325"/>
      <w:bookmarkStart w:id="1024" w:name="_Toc222029565"/>
      <w:bookmarkStart w:id="1025" w:name="_Toc221952063"/>
    </w:p>
    <w:p w14:paraId="50D6FCF0">
      <w:pPr>
        <w:spacing w:line="360" w:lineRule="auto"/>
        <w:jc w:val="center"/>
        <w:outlineLvl w:val="2"/>
        <w:rPr>
          <w:rFonts w:hint="eastAsia" w:ascii="黑体" w:hAnsi="黑体" w:eastAsia="黑体"/>
          <w:color w:val="auto"/>
          <w:sz w:val="28"/>
          <w:szCs w:val="27"/>
          <w:highlight w:val="none"/>
        </w:rPr>
      </w:pPr>
      <w:bookmarkStart w:id="1026" w:name="_Toc17454956"/>
      <w:bookmarkStart w:id="1027" w:name="_Toc22780"/>
      <w:bookmarkStart w:id="1028" w:name="_Toc229305425"/>
      <w:bookmarkStart w:id="1029" w:name="_Toc222033916"/>
      <w:bookmarkStart w:id="1030" w:name="_Toc222032734"/>
      <w:bookmarkStart w:id="1031" w:name="_Toc17556910"/>
      <w:bookmarkStart w:id="1032" w:name="_Toc259524419"/>
      <w:bookmarkStart w:id="1033" w:name="_Toc17454905"/>
      <w:bookmarkStart w:id="1034" w:name="_Toc17451612"/>
      <w:bookmarkStart w:id="1035" w:name="_Toc17451657"/>
      <w:bookmarkStart w:id="1036" w:name="_Toc17452698"/>
      <w:bookmarkStart w:id="1037" w:name="_Toc17451135"/>
      <w:r>
        <w:rPr>
          <w:rFonts w:hint="eastAsia" w:ascii="黑体" w:hAnsi="黑体" w:eastAsia="黑体"/>
          <w:color w:val="auto"/>
          <w:sz w:val="28"/>
          <w:szCs w:val="27"/>
          <w:highlight w:val="none"/>
        </w:rPr>
        <w:t>六</w:t>
      </w:r>
      <w:r>
        <w:rPr>
          <w:rFonts w:ascii="黑体" w:hAnsi="黑体" w:eastAsia="黑体"/>
          <w:color w:val="auto"/>
          <w:sz w:val="28"/>
          <w:szCs w:val="27"/>
          <w:highlight w:val="none"/>
        </w:rPr>
        <w:t>、已标价工程量清单</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1098D76">
      <w:pPr>
        <w:spacing w:line="240" w:lineRule="auto"/>
        <w:jc w:val="left"/>
        <w:outlineLvl w:val="9"/>
        <w:rPr>
          <w:rFonts w:hint="eastAsia"/>
          <w:color w:val="auto"/>
          <w:highlight w:val="none"/>
        </w:rPr>
      </w:pPr>
    </w:p>
    <w:p w14:paraId="033B0AF5">
      <w:pPr>
        <w:spacing w:line="360" w:lineRule="auto"/>
        <w:rPr>
          <w:rFonts w:ascii="黑体" w:hAnsi="黑体" w:eastAsia="黑体"/>
          <w:color w:val="auto"/>
          <w:sz w:val="28"/>
          <w:szCs w:val="27"/>
          <w:highlight w:val="none"/>
        </w:rPr>
      </w:pPr>
    </w:p>
    <w:p w14:paraId="46F7E721">
      <w:pPr>
        <w:widowControl/>
        <w:jc w:val="left"/>
        <w:rPr>
          <w:rFonts w:ascii="黑体" w:hAnsi="黑体" w:eastAsia="黑体"/>
          <w:color w:val="auto"/>
          <w:sz w:val="28"/>
          <w:szCs w:val="27"/>
          <w:highlight w:val="none"/>
        </w:rPr>
      </w:pPr>
      <w:r>
        <w:rPr>
          <w:rFonts w:ascii="黑体" w:hAnsi="黑体" w:eastAsia="黑体"/>
          <w:color w:val="auto"/>
          <w:sz w:val="28"/>
          <w:szCs w:val="27"/>
          <w:highlight w:val="none"/>
        </w:rPr>
        <w:br w:type="page"/>
      </w:r>
    </w:p>
    <w:p w14:paraId="1A85F5E6">
      <w:pPr>
        <w:spacing w:line="360" w:lineRule="auto"/>
        <w:jc w:val="center"/>
        <w:outlineLvl w:val="2"/>
        <w:rPr>
          <w:rFonts w:ascii="黑体" w:hAnsi="黑体" w:eastAsia="黑体"/>
          <w:color w:val="auto"/>
          <w:sz w:val="28"/>
          <w:szCs w:val="27"/>
          <w:highlight w:val="none"/>
        </w:rPr>
      </w:pPr>
      <w:bookmarkStart w:id="1038" w:name="_Toc168476326"/>
      <w:bookmarkStart w:id="1039" w:name="_Toc259524420"/>
      <w:bookmarkStart w:id="1040" w:name="_Toc168475923"/>
      <w:bookmarkStart w:id="1041" w:name="_Toc222033917"/>
      <w:bookmarkStart w:id="1042" w:name="_Toc229305426"/>
      <w:bookmarkStart w:id="1043" w:name="_Toc222032735"/>
      <w:bookmarkStart w:id="1044" w:name="_Toc17451614"/>
      <w:bookmarkStart w:id="1045" w:name="_Toc144974864"/>
      <w:bookmarkStart w:id="1046" w:name="_Toc17454958"/>
      <w:bookmarkStart w:id="1047" w:name="_Toc17556912"/>
      <w:bookmarkStart w:id="1048" w:name="_Toc221952064"/>
      <w:bookmarkStart w:id="1049" w:name="_Toc222029566"/>
      <w:bookmarkStart w:id="1050" w:name="_Toc17451137"/>
      <w:bookmarkStart w:id="1051" w:name="_Toc13112"/>
      <w:bookmarkStart w:id="1052" w:name="_Toc17451659"/>
      <w:bookmarkStart w:id="1053" w:name="_Toc222031068"/>
      <w:bookmarkStart w:id="1054" w:name="_Toc17454907"/>
      <w:bookmarkStart w:id="1055" w:name="_Toc17452700"/>
      <w:r>
        <w:rPr>
          <w:rFonts w:hint="eastAsia" w:ascii="黑体" w:hAnsi="黑体" w:eastAsia="黑体"/>
          <w:color w:val="auto"/>
          <w:sz w:val="28"/>
          <w:szCs w:val="27"/>
          <w:highlight w:val="none"/>
        </w:rPr>
        <w:t>七</w:t>
      </w:r>
      <w:r>
        <w:rPr>
          <w:rFonts w:ascii="黑体" w:hAnsi="黑体" w:eastAsia="黑体"/>
          <w:color w:val="auto"/>
          <w:sz w:val="28"/>
          <w:szCs w:val="27"/>
          <w:highlight w:val="none"/>
        </w:rPr>
        <w:t>、施工组织设计</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F05D9D4">
      <w:pPr>
        <w:spacing w:line="400" w:lineRule="exact"/>
        <w:ind w:firstLine="420" w:firstLineChars="200"/>
        <w:jc w:val="center"/>
        <w:rPr>
          <w:rFonts w:hint="eastAsia" w:ascii="宋体" w:hAnsi="宋体"/>
          <w:i/>
          <w:color w:val="auto"/>
          <w:szCs w:val="21"/>
          <w:highlight w:val="none"/>
        </w:rPr>
      </w:pPr>
    </w:p>
    <w:p w14:paraId="29BD110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投标人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14:paraId="783F826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图表及格式要求：</w:t>
      </w:r>
    </w:p>
    <w:p w14:paraId="72E268DA">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附表一  拟投入本标段的主要施工设备表</w:t>
      </w:r>
    </w:p>
    <w:p w14:paraId="5638273F">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附表二  拟投入本标段的试验和检测仪器设备表</w:t>
      </w:r>
    </w:p>
    <w:p w14:paraId="55AC1783">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附表三  拟投入本标段的劳动力计划表</w:t>
      </w:r>
    </w:p>
    <w:p w14:paraId="18C885E3">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附表四  计划开工日期、完工日期和施工进度网络图</w:t>
      </w:r>
    </w:p>
    <w:p w14:paraId="47A0315D">
      <w:pPr>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附表五  施工总平面图</w:t>
      </w:r>
    </w:p>
    <w:p w14:paraId="3DCD1820">
      <w:pPr>
        <w:spacing w:line="400" w:lineRule="exact"/>
        <w:ind w:firstLine="420" w:firstLineChars="200"/>
        <w:jc w:val="left"/>
        <w:rPr>
          <w:color w:val="auto"/>
          <w:sz w:val="19"/>
          <w:szCs w:val="19"/>
          <w:highlight w:val="none"/>
        </w:rPr>
      </w:pPr>
      <w:r>
        <w:rPr>
          <w:rFonts w:hint="eastAsia" w:ascii="宋体" w:hAnsi="宋体"/>
          <w:color w:val="auto"/>
          <w:szCs w:val="21"/>
          <w:highlight w:val="none"/>
        </w:rPr>
        <w:t>附表六  临时用地表</w:t>
      </w:r>
      <w:r>
        <w:rPr>
          <w:rFonts w:eastAsia="黑体"/>
          <w:color w:val="auto"/>
          <w:sz w:val="19"/>
          <w:szCs w:val="19"/>
          <w:highlight w:val="none"/>
        </w:rPr>
        <w:br w:type="page"/>
      </w:r>
    </w:p>
    <w:p w14:paraId="11FEDB7C">
      <w:pPr>
        <w:spacing w:line="400" w:lineRule="exact"/>
        <w:jc w:val="center"/>
        <w:outlineLvl w:val="3"/>
        <w:rPr>
          <w:rFonts w:ascii="宋体" w:hAnsi="宋体"/>
          <w:b/>
          <w:color w:val="auto"/>
          <w:sz w:val="24"/>
          <w:szCs w:val="31"/>
          <w:highlight w:val="none"/>
        </w:rPr>
      </w:pPr>
      <w:bookmarkStart w:id="1056" w:name="_Toc168475924"/>
      <w:bookmarkStart w:id="1057" w:name="_Toc168476327"/>
      <w:bookmarkStart w:id="1058" w:name="_Toc144974865"/>
      <w:bookmarkStart w:id="1059" w:name="_Toc221952073"/>
      <w:r>
        <w:rPr>
          <w:rFonts w:ascii="宋体" w:hAnsi="宋体"/>
          <w:b/>
          <w:color w:val="auto"/>
          <w:sz w:val="24"/>
          <w:szCs w:val="31"/>
          <w:highlight w:val="none"/>
        </w:rPr>
        <w:t>附表一：拟投入本标段的主要施工设备表</w:t>
      </w:r>
      <w:bookmarkEnd w:id="1056"/>
      <w:bookmarkEnd w:id="1057"/>
      <w:bookmarkEnd w:id="1058"/>
      <w:bookmarkEnd w:id="1059"/>
    </w:p>
    <w:p w14:paraId="646EEE32">
      <w:pPr>
        <w:spacing w:line="400" w:lineRule="exact"/>
        <w:rPr>
          <w:color w:val="auto"/>
          <w:sz w:val="19"/>
          <w:szCs w:val="19"/>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2"/>
        <w:gridCol w:w="965"/>
        <w:gridCol w:w="655"/>
        <w:gridCol w:w="720"/>
        <w:gridCol w:w="1182"/>
        <w:gridCol w:w="853"/>
        <w:gridCol w:w="1028"/>
        <w:gridCol w:w="674"/>
      </w:tblGrid>
      <w:tr w14:paraId="695F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EA0D69C">
            <w:pPr>
              <w:spacing w:line="400" w:lineRule="exact"/>
              <w:jc w:val="center"/>
              <w:rPr>
                <w:rFonts w:ascii="宋体" w:hAnsi="宋体"/>
                <w:color w:val="auto"/>
                <w:szCs w:val="21"/>
                <w:highlight w:val="none"/>
              </w:rPr>
            </w:pPr>
            <w:bookmarkStart w:id="1060" w:name="_Toc221952074"/>
            <w:r>
              <w:rPr>
                <w:rFonts w:ascii="宋体" w:hAnsi="宋体"/>
                <w:color w:val="auto"/>
                <w:szCs w:val="21"/>
                <w:highlight w:val="none"/>
              </w:rPr>
              <w:t>序号</w:t>
            </w:r>
            <w:bookmarkEnd w:id="1060"/>
          </w:p>
        </w:tc>
        <w:tc>
          <w:tcPr>
            <w:tcW w:w="1059" w:type="dxa"/>
            <w:noWrap w:val="0"/>
            <w:vAlign w:val="top"/>
          </w:tcPr>
          <w:p w14:paraId="349CC576">
            <w:pPr>
              <w:spacing w:line="400" w:lineRule="exact"/>
              <w:jc w:val="center"/>
              <w:rPr>
                <w:rFonts w:ascii="宋体" w:hAnsi="宋体"/>
                <w:color w:val="auto"/>
                <w:szCs w:val="21"/>
                <w:highlight w:val="none"/>
              </w:rPr>
            </w:pPr>
            <w:bookmarkStart w:id="1061" w:name="_Toc221952075"/>
            <w:r>
              <w:rPr>
                <w:rFonts w:ascii="宋体" w:hAnsi="宋体"/>
                <w:color w:val="auto"/>
                <w:szCs w:val="21"/>
                <w:highlight w:val="none"/>
              </w:rPr>
              <w:t>设备名称</w:t>
            </w:r>
            <w:bookmarkEnd w:id="1061"/>
          </w:p>
        </w:tc>
        <w:tc>
          <w:tcPr>
            <w:tcW w:w="742" w:type="dxa"/>
            <w:noWrap w:val="0"/>
            <w:vAlign w:val="top"/>
          </w:tcPr>
          <w:p w14:paraId="15B404C5">
            <w:pPr>
              <w:spacing w:line="400" w:lineRule="exact"/>
              <w:jc w:val="center"/>
              <w:rPr>
                <w:rFonts w:ascii="宋体" w:hAnsi="宋体"/>
                <w:color w:val="auto"/>
                <w:szCs w:val="21"/>
                <w:highlight w:val="none"/>
              </w:rPr>
            </w:pPr>
            <w:bookmarkStart w:id="1062" w:name="_Toc221952076"/>
            <w:r>
              <w:rPr>
                <w:rFonts w:ascii="宋体" w:hAnsi="宋体"/>
                <w:color w:val="auto"/>
                <w:szCs w:val="21"/>
                <w:highlight w:val="none"/>
              </w:rPr>
              <w:t>型号</w:t>
            </w:r>
            <w:bookmarkEnd w:id="1062"/>
          </w:p>
          <w:p w14:paraId="4A438BEA">
            <w:pPr>
              <w:spacing w:line="400" w:lineRule="exact"/>
              <w:jc w:val="center"/>
              <w:rPr>
                <w:rFonts w:ascii="宋体" w:hAnsi="宋体"/>
                <w:color w:val="auto"/>
                <w:szCs w:val="21"/>
                <w:highlight w:val="none"/>
              </w:rPr>
            </w:pPr>
            <w:bookmarkStart w:id="1063" w:name="_Toc221952077"/>
            <w:r>
              <w:rPr>
                <w:rFonts w:ascii="宋体" w:hAnsi="宋体"/>
                <w:color w:val="auto"/>
                <w:szCs w:val="21"/>
                <w:highlight w:val="none"/>
              </w:rPr>
              <w:t>规格</w:t>
            </w:r>
            <w:bookmarkEnd w:id="1063"/>
          </w:p>
        </w:tc>
        <w:tc>
          <w:tcPr>
            <w:tcW w:w="965" w:type="dxa"/>
            <w:noWrap w:val="0"/>
            <w:vAlign w:val="top"/>
          </w:tcPr>
          <w:p w14:paraId="2114DD1B">
            <w:pPr>
              <w:spacing w:line="400" w:lineRule="exact"/>
              <w:jc w:val="center"/>
              <w:rPr>
                <w:rFonts w:ascii="宋体" w:hAnsi="宋体"/>
                <w:color w:val="auto"/>
                <w:szCs w:val="21"/>
                <w:highlight w:val="none"/>
              </w:rPr>
            </w:pPr>
            <w:bookmarkStart w:id="1064" w:name="_Toc221952078"/>
            <w:r>
              <w:rPr>
                <w:rFonts w:ascii="宋体" w:hAnsi="宋体"/>
                <w:color w:val="auto"/>
                <w:szCs w:val="21"/>
                <w:highlight w:val="none"/>
              </w:rPr>
              <w:t>数量</w:t>
            </w:r>
            <w:bookmarkEnd w:id="1064"/>
          </w:p>
        </w:tc>
        <w:tc>
          <w:tcPr>
            <w:tcW w:w="655" w:type="dxa"/>
            <w:noWrap w:val="0"/>
            <w:vAlign w:val="top"/>
          </w:tcPr>
          <w:p w14:paraId="7D02CA8D">
            <w:pPr>
              <w:spacing w:line="400" w:lineRule="exact"/>
              <w:jc w:val="center"/>
              <w:rPr>
                <w:rFonts w:ascii="宋体" w:hAnsi="宋体"/>
                <w:color w:val="auto"/>
                <w:szCs w:val="21"/>
                <w:highlight w:val="none"/>
              </w:rPr>
            </w:pPr>
            <w:bookmarkStart w:id="1065" w:name="_Toc221952079"/>
            <w:r>
              <w:rPr>
                <w:rFonts w:ascii="宋体" w:hAnsi="宋体"/>
                <w:color w:val="auto"/>
                <w:szCs w:val="21"/>
                <w:highlight w:val="none"/>
              </w:rPr>
              <w:t>国别</w:t>
            </w:r>
            <w:bookmarkEnd w:id="1065"/>
          </w:p>
          <w:p w14:paraId="64E203F6">
            <w:pPr>
              <w:spacing w:line="400" w:lineRule="exact"/>
              <w:jc w:val="center"/>
              <w:rPr>
                <w:rFonts w:ascii="宋体" w:hAnsi="宋体"/>
                <w:color w:val="auto"/>
                <w:szCs w:val="21"/>
                <w:highlight w:val="none"/>
              </w:rPr>
            </w:pPr>
            <w:bookmarkStart w:id="1066" w:name="_Toc221952080"/>
            <w:r>
              <w:rPr>
                <w:rFonts w:ascii="宋体" w:hAnsi="宋体"/>
                <w:color w:val="auto"/>
                <w:szCs w:val="21"/>
                <w:highlight w:val="none"/>
              </w:rPr>
              <w:t>产地</w:t>
            </w:r>
            <w:bookmarkEnd w:id="1066"/>
          </w:p>
        </w:tc>
        <w:tc>
          <w:tcPr>
            <w:tcW w:w="720" w:type="dxa"/>
            <w:noWrap w:val="0"/>
            <w:vAlign w:val="top"/>
          </w:tcPr>
          <w:p w14:paraId="1177858A">
            <w:pPr>
              <w:spacing w:line="400" w:lineRule="exact"/>
              <w:jc w:val="center"/>
              <w:rPr>
                <w:rFonts w:ascii="宋体" w:hAnsi="宋体"/>
                <w:color w:val="auto"/>
                <w:szCs w:val="21"/>
                <w:highlight w:val="none"/>
              </w:rPr>
            </w:pPr>
            <w:bookmarkStart w:id="1067" w:name="_Toc221952081"/>
            <w:r>
              <w:rPr>
                <w:rFonts w:ascii="宋体" w:hAnsi="宋体"/>
                <w:color w:val="auto"/>
                <w:szCs w:val="21"/>
                <w:highlight w:val="none"/>
              </w:rPr>
              <w:t>制造</w:t>
            </w:r>
            <w:bookmarkEnd w:id="1067"/>
          </w:p>
          <w:p w14:paraId="7F0F8416">
            <w:pPr>
              <w:spacing w:line="400" w:lineRule="exact"/>
              <w:jc w:val="center"/>
              <w:rPr>
                <w:rFonts w:ascii="宋体" w:hAnsi="宋体"/>
                <w:color w:val="auto"/>
                <w:szCs w:val="21"/>
                <w:highlight w:val="none"/>
              </w:rPr>
            </w:pPr>
            <w:bookmarkStart w:id="1068" w:name="_Toc221952082"/>
            <w:r>
              <w:rPr>
                <w:rFonts w:ascii="宋体" w:hAnsi="宋体"/>
                <w:color w:val="auto"/>
                <w:szCs w:val="21"/>
                <w:highlight w:val="none"/>
              </w:rPr>
              <w:t>年份</w:t>
            </w:r>
            <w:bookmarkEnd w:id="1068"/>
          </w:p>
        </w:tc>
        <w:tc>
          <w:tcPr>
            <w:tcW w:w="1182" w:type="dxa"/>
            <w:noWrap w:val="0"/>
            <w:vAlign w:val="top"/>
          </w:tcPr>
          <w:p w14:paraId="582CFD88">
            <w:pPr>
              <w:spacing w:line="400" w:lineRule="exact"/>
              <w:jc w:val="center"/>
              <w:rPr>
                <w:rFonts w:ascii="宋体" w:hAnsi="宋体"/>
                <w:color w:val="auto"/>
                <w:szCs w:val="21"/>
                <w:highlight w:val="none"/>
              </w:rPr>
            </w:pPr>
            <w:bookmarkStart w:id="1069" w:name="_Toc221952083"/>
            <w:r>
              <w:rPr>
                <w:rFonts w:ascii="宋体" w:hAnsi="宋体"/>
                <w:color w:val="auto"/>
                <w:szCs w:val="21"/>
                <w:highlight w:val="none"/>
              </w:rPr>
              <w:t>额定功率（</w:t>
            </w:r>
            <w:r>
              <w:rPr>
                <w:rFonts w:hint="eastAsia" w:ascii="宋体" w:hAnsi="宋体"/>
                <w:color w:val="auto"/>
                <w:szCs w:val="21"/>
                <w:highlight w:val="none"/>
              </w:rPr>
              <w:t>K</w:t>
            </w:r>
            <w:r>
              <w:rPr>
                <w:rFonts w:ascii="宋体" w:hAnsi="宋体"/>
                <w:color w:val="auto"/>
                <w:szCs w:val="21"/>
                <w:highlight w:val="none"/>
              </w:rPr>
              <w:t>W）</w:t>
            </w:r>
            <w:bookmarkEnd w:id="1069"/>
          </w:p>
        </w:tc>
        <w:tc>
          <w:tcPr>
            <w:tcW w:w="853" w:type="dxa"/>
            <w:noWrap w:val="0"/>
            <w:vAlign w:val="top"/>
          </w:tcPr>
          <w:p w14:paraId="36506D6D">
            <w:pPr>
              <w:spacing w:line="400" w:lineRule="exact"/>
              <w:jc w:val="center"/>
              <w:rPr>
                <w:rFonts w:ascii="宋体" w:hAnsi="宋体"/>
                <w:color w:val="auto"/>
                <w:szCs w:val="21"/>
                <w:highlight w:val="none"/>
              </w:rPr>
            </w:pPr>
            <w:bookmarkStart w:id="1070" w:name="_Toc221952084"/>
            <w:r>
              <w:rPr>
                <w:rFonts w:ascii="宋体" w:hAnsi="宋体"/>
                <w:color w:val="auto"/>
                <w:szCs w:val="21"/>
                <w:highlight w:val="none"/>
              </w:rPr>
              <w:t>生产</w:t>
            </w:r>
            <w:bookmarkEnd w:id="1070"/>
          </w:p>
          <w:p w14:paraId="6B06A9FC">
            <w:pPr>
              <w:spacing w:line="400" w:lineRule="exact"/>
              <w:jc w:val="center"/>
              <w:rPr>
                <w:rFonts w:ascii="宋体" w:hAnsi="宋体"/>
                <w:color w:val="auto"/>
                <w:szCs w:val="21"/>
                <w:highlight w:val="none"/>
              </w:rPr>
            </w:pPr>
            <w:bookmarkStart w:id="1071" w:name="_Toc221952085"/>
            <w:r>
              <w:rPr>
                <w:rFonts w:ascii="宋体" w:hAnsi="宋体"/>
                <w:color w:val="auto"/>
                <w:szCs w:val="21"/>
                <w:highlight w:val="none"/>
              </w:rPr>
              <w:t>能力</w:t>
            </w:r>
            <w:bookmarkEnd w:id="1071"/>
          </w:p>
        </w:tc>
        <w:tc>
          <w:tcPr>
            <w:tcW w:w="1028" w:type="dxa"/>
            <w:noWrap w:val="0"/>
            <w:vAlign w:val="top"/>
          </w:tcPr>
          <w:p w14:paraId="04094659">
            <w:pPr>
              <w:spacing w:line="400" w:lineRule="exact"/>
              <w:jc w:val="center"/>
              <w:rPr>
                <w:rFonts w:ascii="宋体" w:hAnsi="宋体"/>
                <w:color w:val="auto"/>
                <w:szCs w:val="21"/>
                <w:highlight w:val="none"/>
              </w:rPr>
            </w:pPr>
            <w:bookmarkStart w:id="1072" w:name="_Toc221952086"/>
            <w:r>
              <w:rPr>
                <w:rFonts w:ascii="宋体" w:hAnsi="宋体"/>
                <w:color w:val="auto"/>
                <w:szCs w:val="21"/>
                <w:highlight w:val="none"/>
              </w:rPr>
              <w:t>用于施工部位</w:t>
            </w:r>
            <w:bookmarkEnd w:id="1072"/>
          </w:p>
        </w:tc>
        <w:tc>
          <w:tcPr>
            <w:tcW w:w="674" w:type="dxa"/>
            <w:noWrap w:val="0"/>
            <w:vAlign w:val="top"/>
          </w:tcPr>
          <w:p w14:paraId="5296E54C">
            <w:pPr>
              <w:spacing w:line="400" w:lineRule="exact"/>
              <w:jc w:val="center"/>
              <w:rPr>
                <w:rFonts w:ascii="宋体" w:hAnsi="宋体"/>
                <w:color w:val="auto"/>
                <w:szCs w:val="21"/>
                <w:highlight w:val="none"/>
              </w:rPr>
            </w:pPr>
            <w:bookmarkStart w:id="1073" w:name="_Toc221952087"/>
            <w:r>
              <w:rPr>
                <w:rFonts w:ascii="宋体" w:hAnsi="宋体"/>
                <w:color w:val="auto"/>
                <w:szCs w:val="21"/>
                <w:highlight w:val="none"/>
              </w:rPr>
              <w:t>备注</w:t>
            </w:r>
            <w:bookmarkEnd w:id="1073"/>
          </w:p>
        </w:tc>
      </w:tr>
      <w:tr w14:paraId="1902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458825A">
            <w:pPr>
              <w:spacing w:line="400" w:lineRule="exact"/>
              <w:jc w:val="center"/>
              <w:rPr>
                <w:rFonts w:ascii="宋体" w:hAnsi="宋体"/>
                <w:color w:val="auto"/>
                <w:szCs w:val="21"/>
                <w:highlight w:val="none"/>
              </w:rPr>
            </w:pPr>
          </w:p>
        </w:tc>
        <w:tc>
          <w:tcPr>
            <w:tcW w:w="1059" w:type="dxa"/>
            <w:noWrap w:val="0"/>
            <w:vAlign w:val="top"/>
          </w:tcPr>
          <w:p w14:paraId="31378CCD">
            <w:pPr>
              <w:spacing w:line="400" w:lineRule="exact"/>
              <w:jc w:val="center"/>
              <w:rPr>
                <w:rFonts w:ascii="宋体" w:hAnsi="宋体"/>
                <w:color w:val="auto"/>
                <w:szCs w:val="21"/>
                <w:highlight w:val="none"/>
              </w:rPr>
            </w:pPr>
          </w:p>
        </w:tc>
        <w:tc>
          <w:tcPr>
            <w:tcW w:w="742" w:type="dxa"/>
            <w:noWrap w:val="0"/>
            <w:vAlign w:val="top"/>
          </w:tcPr>
          <w:p w14:paraId="5BC887FF">
            <w:pPr>
              <w:spacing w:line="400" w:lineRule="exact"/>
              <w:jc w:val="center"/>
              <w:rPr>
                <w:rFonts w:ascii="宋体" w:hAnsi="宋体"/>
                <w:color w:val="auto"/>
                <w:szCs w:val="21"/>
                <w:highlight w:val="none"/>
              </w:rPr>
            </w:pPr>
          </w:p>
        </w:tc>
        <w:tc>
          <w:tcPr>
            <w:tcW w:w="965" w:type="dxa"/>
            <w:noWrap w:val="0"/>
            <w:vAlign w:val="top"/>
          </w:tcPr>
          <w:p w14:paraId="76A0B398">
            <w:pPr>
              <w:spacing w:line="400" w:lineRule="exact"/>
              <w:jc w:val="center"/>
              <w:rPr>
                <w:rFonts w:ascii="宋体" w:hAnsi="宋体"/>
                <w:color w:val="auto"/>
                <w:szCs w:val="21"/>
                <w:highlight w:val="none"/>
              </w:rPr>
            </w:pPr>
          </w:p>
        </w:tc>
        <w:tc>
          <w:tcPr>
            <w:tcW w:w="655" w:type="dxa"/>
            <w:noWrap w:val="0"/>
            <w:vAlign w:val="top"/>
          </w:tcPr>
          <w:p w14:paraId="4BD02904">
            <w:pPr>
              <w:spacing w:line="400" w:lineRule="exact"/>
              <w:jc w:val="center"/>
              <w:rPr>
                <w:rFonts w:ascii="宋体" w:hAnsi="宋体"/>
                <w:color w:val="auto"/>
                <w:szCs w:val="21"/>
                <w:highlight w:val="none"/>
              </w:rPr>
            </w:pPr>
          </w:p>
        </w:tc>
        <w:tc>
          <w:tcPr>
            <w:tcW w:w="720" w:type="dxa"/>
            <w:noWrap w:val="0"/>
            <w:vAlign w:val="top"/>
          </w:tcPr>
          <w:p w14:paraId="22C7074D">
            <w:pPr>
              <w:spacing w:line="400" w:lineRule="exact"/>
              <w:jc w:val="center"/>
              <w:rPr>
                <w:rFonts w:ascii="宋体" w:hAnsi="宋体"/>
                <w:color w:val="auto"/>
                <w:szCs w:val="21"/>
                <w:highlight w:val="none"/>
              </w:rPr>
            </w:pPr>
          </w:p>
        </w:tc>
        <w:tc>
          <w:tcPr>
            <w:tcW w:w="1182" w:type="dxa"/>
            <w:noWrap w:val="0"/>
            <w:vAlign w:val="top"/>
          </w:tcPr>
          <w:p w14:paraId="316199EA">
            <w:pPr>
              <w:spacing w:line="400" w:lineRule="exact"/>
              <w:jc w:val="center"/>
              <w:rPr>
                <w:rFonts w:ascii="宋体" w:hAnsi="宋体"/>
                <w:color w:val="auto"/>
                <w:szCs w:val="21"/>
                <w:highlight w:val="none"/>
              </w:rPr>
            </w:pPr>
          </w:p>
        </w:tc>
        <w:tc>
          <w:tcPr>
            <w:tcW w:w="853" w:type="dxa"/>
            <w:noWrap w:val="0"/>
            <w:vAlign w:val="top"/>
          </w:tcPr>
          <w:p w14:paraId="158BDB4C">
            <w:pPr>
              <w:spacing w:line="400" w:lineRule="exact"/>
              <w:jc w:val="center"/>
              <w:rPr>
                <w:rFonts w:ascii="宋体" w:hAnsi="宋体"/>
                <w:color w:val="auto"/>
                <w:szCs w:val="21"/>
                <w:highlight w:val="none"/>
              </w:rPr>
            </w:pPr>
          </w:p>
        </w:tc>
        <w:tc>
          <w:tcPr>
            <w:tcW w:w="1028" w:type="dxa"/>
            <w:noWrap w:val="0"/>
            <w:vAlign w:val="top"/>
          </w:tcPr>
          <w:p w14:paraId="1A63201A">
            <w:pPr>
              <w:spacing w:line="400" w:lineRule="exact"/>
              <w:jc w:val="center"/>
              <w:rPr>
                <w:rFonts w:ascii="宋体" w:hAnsi="宋体"/>
                <w:color w:val="auto"/>
                <w:szCs w:val="21"/>
                <w:highlight w:val="none"/>
              </w:rPr>
            </w:pPr>
          </w:p>
        </w:tc>
        <w:tc>
          <w:tcPr>
            <w:tcW w:w="674" w:type="dxa"/>
            <w:noWrap w:val="0"/>
            <w:vAlign w:val="top"/>
          </w:tcPr>
          <w:p w14:paraId="72F85E60">
            <w:pPr>
              <w:spacing w:line="400" w:lineRule="exact"/>
              <w:jc w:val="center"/>
              <w:rPr>
                <w:rFonts w:ascii="宋体" w:hAnsi="宋体"/>
                <w:color w:val="auto"/>
                <w:szCs w:val="21"/>
                <w:highlight w:val="none"/>
              </w:rPr>
            </w:pPr>
          </w:p>
        </w:tc>
      </w:tr>
      <w:tr w14:paraId="34ED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E613760">
            <w:pPr>
              <w:spacing w:line="400" w:lineRule="exact"/>
              <w:jc w:val="center"/>
              <w:rPr>
                <w:rFonts w:ascii="宋体" w:hAnsi="宋体"/>
                <w:color w:val="auto"/>
                <w:szCs w:val="21"/>
                <w:highlight w:val="none"/>
              </w:rPr>
            </w:pPr>
          </w:p>
        </w:tc>
        <w:tc>
          <w:tcPr>
            <w:tcW w:w="1059" w:type="dxa"/>
            <w:noWrap w:val="0"/>
            <w:vAlign w:val="top"/>
          </w:tcPr>
          <w:p w14:paraId="697B6DB8">
            <w:pPr>
              <w:spacing w:line="400" w:lineRule="exact"/>
              <w:jc w:val="center"/>
              <w:rPr>
                <w:rFonts w:ascii="宋体" w:hAnsi="宋体"/>
                <w:color w:val="auto"/>
                <w:szCs w:val="21"/>
                <w:highlight w:val="none"/>
              </w:rPr>
            </w:pPr>
          </w:p>
        </w:tc>
        <w:tc>
          <w:tcPr>
            <w:tcW w:w="742" w:type="dxa"/>
            <w:noWrap w:val="0"/>
            <w:vAlign w:val="top"/>
          </w:tcPr>
          <w:p w14:paraId="44694BB2">
            <w:pPr>
              <w:spacing w:line="400" w:lineRule="exact"/>
              <w:jc w:val="center"/>
              <w:rPr>
                <w:rFonts w:ascii="宋体" w:hAnsi="宋体"/>
                <w:color w:val="auto"/>
                <w:szCs w:val="21"/>
                <w:highlight w:val="none"/>
              </w:rPr>
            </w:pPr>
          </w:p>
        </w:tc>
        <w:tc>
          <w:tcPr>
            <w:tcW w:w="965" w:type="dxa"/>
            <w:noWrap w:val="0"/>
            <w:vAlign w:val="top"/>
          </w:tcPr>
          <w:p w14:paraId="14F3B8A4">
            <w:pPr>
              <w:spacing w:line="400" w:lineRule="exact"/>
              <w:jc w:val="center"/>
              <w:rPr>
                <w:rFonts w:ascii="宋体" w:hAnsi="宋体"/>
                <w:color w:val="auto"/>
                <w:szCs w:val="21"/>
                <w:highlight w:val="none"/>
              </w:rPr>
            </w:pPr>
          </w:p>
        </w:tc>
        <w:tc>
          <w:tcPr>
            <w:tcW w:w="655" w:type="dxa"/>
            <w:noWrap w:val="0"/>
            <w:vAlign w:val="top"/>
          </w:tcPr>
          <w:p w14:paraId="1CB392B5">
            <w:pPr>
              <w:spacing w:line="400" w:lineRule="exact"/>
              <w:jc w:val="center"/>
              <w:rPr>
                <w:rFonts w:ascii="宋体" w:hAnsi="宋体"/>
                <w:color w:val="auto"/>
                <w:szCs w:val="21"/>
                <w:highlight w:val="none"/>
              </w:rPr>
            </w:pPr>
          </w:p>
        </w:tc>
        <w:tc>
          <w:tcPr>
            <w:tcW w:w="720" w:type="dxa"/>
            <w:noWrap w:val="0"/>
            <w:vAlign w:val="top"/>
          </w:tcPr>
          <w:p w14:paraId="22C1788F">
            <w:pPr>
              <w:spacing w:line="400" w:lineRule="exact"/>
              <w:jc w:val="center"/>
              <w:rPr>
                <w:rFonts w:ascii="宋体" w:hAnsi="宋体"/>
                <w:color w:val="auto"/>
                <w:szCs w:val="21"/>
                <w:highlight w:val="none"/>
              </w:rPr>
            </w:pPr>
          </w:p>
        </w:tc>
        <w:tc>
          <w:tcPr>
            <w:tcW w:w="1182" w:type="dxa"/>
            <w:noWrap w:val="0"/>
            <w:vAlign w:val="top"/>
          </w:tcPr>
          <w:p w14:paraId="2BBD3E37">
            <w:pPr>
              <w:spacing w:line="400" w:lineRule="exact"/>
              <w:jc w:val="center"/>
              <w:rPr>
                <w:rFonts w:ascii="宋体" w:hAnsi="宋体"/>
                <w:color w:val="auto"/>
                <w:szCs w:val="21"/>
                <w:highlight w:val="none"/>
              </w:rPr>
            </w:pPr>
          </w:p>
        </w:tc>
        <w:tc>
          <w:tcPr>
            <w:tcW w:w="853" w:type="dxa"/>
            <w:noWrap w:val="0"/>
            <w:vAlign w:val="top"/>
          </w:tcPr>
          <w:p w14:paraId="6A0B2623">
            <w:pPr>
              <w:spacing w:line="400" w:lineRule="exact"/>
              <w:jc w:val="center"/>
              <w:rPr>
                <w:rFonts w:ascii="宋体" w:hAnsi="宋体"/>
                <w:color w:val="auto"/>
                <w:szCs w:val="21"/>
                <w:highlight w:val="none"/>
              </w:rPr>
            </w:pPr>
          </w:p>
        </w:tc>
        <w:tc>
          <w:tcPr>
            <w:tcW w:w="1028" w:type="dxa"/>
            <w:noWrap w:val="0"/>
            <w:vAlign w:val="top"/>
          </w:tcPr>
          <w:p w14:paraId="6C5DF4A7">
            <w:pPr>
              <w:spacing w:line="400" w:lineRule="exact"/>
              <w:jc w:val="center"/>
              <w:rPr>
                <w:rFonts w:ascii="宋体" w:hAnsi="宋体"/>
                <w:color w:val="auto"/>
                <w:szCs w:val="21"/>
                <w:highlight w:val="none"/>
              </w:rPr>
            </w:pPr>
          </w:p>
        </w:tc>
        <w:tc>
          <w:tcPr>
            <w:tcW w:w="674" w:type="dxa"/>
            <w:noWrap w:val="0"/>
            <w:vAlign w:val="top"/>
          </w:tcPr>
          <w:p w14:paraId="02E62DD6">
            <w:pPr>
              <w:spacing w:line="400" w:lineRule="exact"/>
              <w:jc w:val="center"/>
              <w:rPr>
                <w:rFonts w:ascii="宋体" w:hAnsi="宋体"/>
                <w:color w:val="auto"/>
                <w:szCs w:val="21"/>
                <w:highlight w:val="none"/>
              </w:rPr>
            </w:pPr>
          </w:p>
        </w:tc>
      </w:tr>
      <w:tr w14:paraId="65A6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1086FB5">
            <w:pPr>
              <w:spacing w:line="400" w:lineRule="exact"/>
              <w:jc w:val="center"/>
              <w:rPr>
                <w:rFonts w:ascii="宋体" w:hAnsi="宋体"/>
                <w:color w:val="auto"/>
                <w:szCs w:val="21"/>
                <w:highlight w:val="none"/>
              </w:rPr>
            </w:pPr>
          </w:p>
        </w:tc>
        <w:tc>
          <w:tcPr>
            <w:tcW w:w="1059" w:type="dxa"/>
            <w:noWrap w:val="0"/>
            <w:vAlign w:val="top"/>
          </w:tcPr>
          <w:p w14:paraId="5C46A0D3">
            <w:pPr>
              <w:spacing w:line="400" w:lineRule="exact"/>
              <w:jc w:val="center"/>
              <w:rPr>
                <w:rFonts w:ascii="宋体" w:hAnsi="宋体"/>
                <w:color w:val="auto"/>
                <w:szCs w:val="21"/>
                <w:highlight w:val="none"/>
              </w:rPr>
            </w:pPr>
          </w:p>
        </w:tc>
        <w:tc>
          <w:tcPr>
            <w:tcW w:w="742" w:type="dxa"/>
            <w:noWrap w:val="0"/>
            <w:vAlign w:val="top"/>
          </w:tcPr>
          <w:p w14:paraId="63B52E63">
            <w:pPr>
              <w:spacing w:line="400" w:lineRule="exact"/>
              <w:jc w:val="center"/>
              <w:rPr>
                <w:rFonts w:ascii="宋体" w:hAnsi="宋体"/>
                <w:color w:val="auto"/>
                <w:szCs w:val="21"/>
                <w:highlight w:val="none"/>
              </w:rPr>
            </w:pPr>
          </w:p>
        </w:tc>
        <w:tc>
          <w:tcPr>
            <w:tcW w:w="965" w:type="dxa"/>
            <w:noWrap w:val="0"/>
            <w:vAlign w:val="top"/>
          </w:tcPr>
          <w:p w14:paraId="468DB112">
            <w:pPr>
              <w:spacing w:line="400" w:lineRule="exact"/>
              <w:jc w:val="center"/>
              <w:rPr>
                <w:rFonts w:ascii="宋体" w:hAnsi="宋体"/>
                <w:color w:val="auto"/>
                <w:szCs w:val="21"/>
                <w:highlight w:val="none"/>
              </w:rPr>
            </w:pPr>
          </w:p>
        </w:tc>
        <w:tc>
          <w:tcPr>
            <w:tcW w:w="655" w:type="dxa"/>
            <w:noWrap w:val="0"/>
            <w:vAlign w:val="top"/>
          </w:tcPr>
          <w:p w14:paraId="336558DD">
            <w:pPr>
              <w:spacing w:line="400" w:lineRule="exact"/>
              <w:jc w:val="center"/>
              <w:rPr>
                <w:rFonts w:ascii="宋体" w:hAnsi="宋体"/>
                <w:color w:val="auto"/>
                <w:szCs w:val="21"/>
                <w:highlight w:val="none"/>
              </w:rPr>
            </w:pPr>
          </w:p>
        </w:tc>
        <w:tc>
          <w:tcPr>
            <w:tcW w:w="720" w:type="dxa"/>
            <w:noWrap w:val="0"/>
            <w:vAlign w:val="top"/>
          </w:tcPr>
          <w:p w14:paraId="44BB74C2">
            <w:pPr>
              <w:spacing w:line="400" w:lineRule="exact"/>
              <w:jc w:val="center"/>
              <w:rPr>
                <w:rFonts w:ascii="宋体" w:hAnsi="宋体"/>
                <w:color w:val="auto"/>
                <w:szCs w:val="21"/>
                <w:highlight w:val="none"/>
              </w:rPr>
            </w:pPr>
          </w:p>
        </w:tc>
        <w:tc>
          <w:tcPr>
            <w:tcW w:w="1182" w:type="dxa"/>
            <w:noWrap w:val="0"/>
            <w:vAlign w:val="top"/>
          </w:tcPr>
          <w:p w14:paraId="39B37D68">
            <w:pPr>
              <w:spacing w:line="400" w:lineRule="exact"/>
              <w:jc w:val="center"/>
              <w:rPr>
                <w:rFonts w:ascii="宋体" w:hAnsi="宋体"/>
                <w:color w:val="auto"/>
                <w:szCs w:val="21"/>
                <w:highlight w:val="none"/>
              </w:rPr>
            </w:pPr>
          </w:p>
        </w:tc>
        <w:tc>
          <w:tcPr>
            <w:tcW w:w="853" w:type="dxa"/>
            <w:noWrap w:val="0"/>
            <w:vAlign w:val="top"/>
          </w:tcPr>
          <w:p w14:paraId="75A43F96">
            <w:pPr>
              <w:spacing w:line="400" w:lineRule="exact"/>
              <w:jc w:val="center"/>
              <w:rPr>
                <w:rFonts w:ascii="宋体" w:hAnsi="宋体"/>
                <w:color w:val="auto"/>
                <w:szCs w:val="21"/>
                <w:highlight w:val="none"/>
              </w:rPr>
            </w:pPr>
          </w:p>
        </w:tc>
        <w:tc>
          <w:tcPr>
            <w:tcW w:w="1028" w:type="dxa"/>
            <w:noWrap w:val="0"/>
            <w:vAlign w:val="top"/>
          </w:tcPr>
          <w:p w14:paraId="57E55617">
            <w:pPr>
              <w:spacing w:line="400" w:lineRule="exact"/>
              <w:jc w:val="center"/>
              <w:rPr>
                <w:rFonts w:ascii="宋体" w:hAnsi="宋体"/>
                <w:color w:val="auto"/>
                <w:szCs w:val="21"/>
                <w:highlight w:val="none"/>
              </w:rPr>
            </w:pPr>
          </w:p>
        </w:tc>
        <w:tc>
          <w:tcPr>
            <w:tcW w:w="674" w:type="dxa"/>
            <w:noWrap w:val="0"/>
            <w:vAlign w:val="top"/>
          </w:tcPr>
          <w:p w14:paraId="2FA84DF2">
            <w:pPr>
              <w:spacing w:line="400" w:lineRule="exact"/>
              <w:jc w:val="center"/>
              <w:rPr>
                <w:rFonts w:ascii="宋体" w:hAnsi="宋体"/>
                <w:color w:val="auto"/>
                <w:szCs w:val="21"/>
                <w:highlight w:val="none"/>
              </w:rPr>
            </w:pPr>
          </w:p>
        </w:tc>
      </w:tr>
      <w:tr w14:paraId="3319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107025B">
            <w:pPr>
              <w:spacing w:line="400" w:lineRule="exact"/>
              <w:jc w:val="center"/>
              <w:rPr>
                <w:rFonts w:ascii="宋体" w:hAnsi="宋体"/>
                <w:color w:val="auto"/>
                <w:szCs w:val="21"/>
                <w:highlight w:val="none"/>
              </w:rPr>
            </w:pPr>
          </w:p>
        </w:tc>
        <w:tc>
          <w:tcPr>
            <w:tcW w:w="1059" w:type="dxa"/>
            <w:noWrap w:val="0"/>
            <w:vAlign w:val="top"/>
          </w:tcPr>
          <w:p w14:paraId="2B833A50">
            <w:pPr>
              <w:spacing w:line="400" w:lineRule="exact"/>
              <w:jc w:val="center"/>
              <w:rPr>
                <w:rFonts w:ascii="宋体" w:hAnsi="宋体"/>
                <w:color w:val="auto"/>
                <w:szCs w:val="21"/>
                <w:highlight w:val="none"/>
              </w:rPr>
            </w:pPr>
          </w:p>
        </w:tc>
        <w:tc>
          <w:tcPr>
            <w:tcW w:w="742" w:type="dxa"/>
            <w:noWrap w:val="0"/>
            <w:vAlign w:val="top"/>
          </w:tcPr>
          <w:p w14:paraId="4E8147D8">
            <w:pPr>
              <w:spacing w:line="400" w:lineRule="exact"/>
              <w:jc w:val="center"/>
              <w:rPr>
                <w:rFonts w:ascii="宋体" w:hAnsi="宋体"/>
                <w:color w:val="auto"/>
                <w:szCs w:val="21"/>
                <w:highlight w:val="none"/>
              </w:rPr>
            </w:pPr>
          </w:p>
        </w:tc>
        <w:tc>
          <w:tcPr>
            <w:tcW w:w="965" w:type="dxa"/>
            <w:noWrap w:val="0"/>
            <w:vAlign w:val="top"/>
          </w:tcPr>
          <w:p w14:paraId="34CA3A02">
            <w:pPr>
              <w:spacing w:line="400" w:lineRule="exact"/>
              <w:jc w:val="center"/>
              <w:rPr>
                <w:rFonts w:ascii="宋体" w:hAnsi="宋体"/>
                <w:color w:val="auto"/>
                <w:szCs w:val="21"/>
                <w:highlight w:val="none"/>
              </w:rPr>
            </w:pPr>
          </w:p>
        </w:tc>
        <w:tc>
          <w:tcPr>
            <w:tcW w:w="655" w:type="dxa"/>
            <w:noWrap w:val="0"/>
            <w:vAlign w:val="top"/>
          </w:tcPr>
          <w:p w14:paraId="6775B817">
            <w:pPr>
              <w:spacing w:line="400" w:lineRule="exact"/>
              <w:jc w:val="center"/>
              <w:rPr>
                <w:rFonts w:ascii="宋体" w:hAnsi="宋体"/>
                <w:color w:val="auto"/>
                <w:szCs w:val="21"/>
                <w:highlight w:val="none"/>
              </w:rPr>
            </w:pPr>
          </w:p>
        </w:tc>
        <w:tc>
          <w:tcPr>
            <w:tcW w:w="720" w:type="dxa"/>
            <w:noWrap w:val="0"/>
            <w:vAlign w:val="top"/>
          </w:tcPr>
          <w:p w14:paraId="1DC9DF68">
            <w:pPr>
              <w:spacing w:line="400" w:lineRule="exact"/>
              <w:jc w:val="center"/>
              <w:rPr>
                <w:rFonts w:ascii="宋体" w:hAnsi="宋体"/>
                <w:color w:val="auto"/>
                <w:szCs w:val="21"/>
                <w:highlight w:val="none"/>
              </w:rPr>
            </w:pPr>
          </w:p>
        </w:tc>
        <w:tc>
          <w:tcPr>
            <w:tcW w:w="1182" w:type="dxa"/>
            <w:noWrap w:val="0"/>
            <w:vAlign w:val="top"/>
          </w:tcPr>
          <w:p w14:paraId="03ADA972">
            <w:pPr>
              <w:spacing w:line="400" w:lineRule="exact"/>
              <w:jc w:val="center"/>
              <w:rPr>
                <w:rFonts w:ascii="宋体" w:hAnsi="宋体"/>
                <w:color w:val="auto"/>
                <w:szCs w:val="21"/>
                <w:highlight w:val="none"/>
              </w:rPr>
            </w:pPr>
          </w:p>
        </w:tc>
        <w:tc>
          <w:tcPr>
            <w:tcW w:w="853" w:type="dxa"/>
            <w:noWrap w:val="0"/>
            <w:vAlign w:val="top"/>
          </w:tcPr>
          <w:p w14:paraId="0F2C70FE">
            <w:pPr>
              <w:spacing w:line="400" w:lineRule="exact"/>
              <w:jc w:val="center"/>
              <w:rPr>
                <w:rFonts w:ascii="宋体" w:hAnsi="宋体"/>
                <w:color w:val="auto"/>
                <w:szCs w:val="21"/>
                <w:highlight w:val="none"/>
              </w:rPr>
            </w:pPr>
          </w:p>
        </w:tc>
        <w:tc>
          <w:tcPr>
            <w:tcW w:w="1028" w:type="dxa"/>
            <w:noWrap w:val="0"/>
            <w:vAlign w:val="top"/>
          </w:tcPr>
          <w:p w14:paraId="3D95C776">
            <w:pPr>
              <w:spacing w:line="400" w:lineRule="exact"/>
              <w:jc w:val="center"/>
              <w:rPr>
                <w:rFonts w:ascii="宋体" w:hAnsi="宋体"/>
                <w:color w:val="auto"/>
                <w:szCs w:val="21"/>
                <w:highlight w:val="none"/>
              </w:rPr>
            </w:pPr>
          </w:p>
        </w:tc>
        <w:tc>
          <w:tcPr>
            <w:tcW w:w="674" w:type="dxa"/>
            <w:noWrap w:val="0"/>
            <w:vAlign w:val="top"/>
          </w:tcPr>
          <w:p w14:paraId="60E7E1C8">
            <w:pPr>
              <w:spacing w:line="400" w:lineRule="exact"/>
              <w:jc w:val="center"/>
              <w:rPr>
                <w:rFonts w:ascii="宋体" w:hAnsi="宋体"/>
                <w:color w:val="auto"/>
                <w:szCs w:val="21"/>
                <w:highlight w:val="none"/>
              </w:rPr>
            </w:pPr>
          </w:p>
        </w:tc>
      </w:tr>
      <w:tr w14:paraId="1ED5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7DDEAC5">
            <w:pPr>
              <w:spacing w:line="400" w:lineRule="exact"/>
              <w:jc w:val="center"/>
              <w:rPr>
                <w:rFonts w:ascii="宋体" w:hAnsi="宋体"/>
                <w:color w:val="auto"/>
                <w:szCs w:val="21"/>
                <w:highlight w:val="none"/>
              </w:rPr>
            </w:pPr>
          </w:p>
        </w:tc>
        <w:tc>
          <w:tcPr>
            <w:tcW w:w="1059" w:type="dxa"/>
            <w:noWrap w:val="0"/>
            <w:vAlign w:val="top"/>
          </w:tcPr>
          <w:p w14:paraId="4176B16F">
            <w:pPr>
              <w:spacing w:line="400" w:lineRule="exact"/>
              <w:jc w:val="center"/>
              <w:rPr>
                <w:rFonts w:ascii="宋体" w:hAnsi="宋体"/>
                <w:color w:val="auto"/>
                <w:szCs w:val="21"/>
                <w:highlight w:val="none"/>
              </w:rPr>
            </w:pPr>
          </w:p>
        </w:tc>
        <w:tc>
          <w:tcPr>
            <w:tcW w:w="742" w:type="dxa"/>
            <w:noWrap w:val="0"/>
            <w:vAlign w:val="top"/>
          </w:tcPr>
          <w:p w14:paraId="58FE0219">
            <w:pPr>
              <w:spacing w:line="400" w:lineRule="exact"/>
              <w:jc w:val="center"/>
              <w:rPr>
                <w:rFonts w:ascii="宋体" w:hAnsi="宋体"/>
                <w:color w:val="auto"/>
                <w:szCs w:val="21"/>
                <w:highlight w:val="none"/>
              </w:rPr>
            </w:pPr>
          </w:p>
        </w:tc>
        <w:tc>
          <w:tcPr>
            <w:tcW w:w="965" w:type="dxa"/>
            <w:noWrap w:val="0"/>
            <w:vAlign w:val="top"/>
          </w:tcPr>
          <w:p w14:paraId="14B62E98">
            <w:pPr>
              <w:spacing w:line="400" w:lineRule="exact"/>
              <w:jc w:val="center"/>
              <w:rPr>
                <w:rFonts w:ascii="宋体" w:hAnsi="宋体"/>
                <w:color w:val="auto"/>
                <w:szCs w:val="21"/>
                <w:highlight w:val="none"/>
              </w:rPr>
            </w:pPr>
          </w:p>
        </w:tc>
        <w:tc>
          <w:tcPr>
            <w:tcW w:w="655" w:type="dxa"/>
            <w:noWrap w:val="0"/>
            <w:vAlign w:val="top"/>
          </w:tcPr>
          <w:p w14:paraId="350137BA">
            <w:pPr>
              <w:spacing w:line="400" w:lineRule="exact"/>
              <w:jc w:val="center"/>
              <w:rPr>
                <w:rFonts w:ascii="宋体" w:hAnsi="宋体"/>
                <w:color w:val="auto"/>
                <w:szCs w:val="21"/>
                <w:highlight w:val="none"/>
              </w:rPr>
            </w:pPr>
          </w:p>
        </w:tc>
        <w:tc>
          <w:tcPr>
            <w:tcW w:w="720" w:type="dxa"/>
            <w:noWrap w:val="0"/>
            <w:vAlign w:val="top"/>
          </w:tcPr>
          <w:p w14:paraId="008A0865">
            <w:pPr>
              <w:spacing w:line="400" w:lineRule="exact"/>
              <w:jc w:val="center"/>
              <w:rPr>
                <w:rFonts w:ascii="宋体" w:hAnsi="宋体"/>
                <w:color w:val="auto"/>
                <w:szCs w:val="21"/>
                <w:highlight w:val="none"/>
              </w:rPr>
            </w:pPr>
          </w:p>
        </w:tc>
        <w:tc>
          <w:tcPr>
            <w:tcW w:w="1182" w:type="dxa"/>
            <w:noWrap w:val="0"/>
            <w:vAlign w:val="top"/>
          </w:tcPr>
          <w:p w14:paraId="79278B4C">
            <w:pPr>
              <w:spacing w:line="400" w:lineRule="exact"/>
              <w:jc w:val="center"/>
              <w:rPr>
                <w:rFonts w:ascii="宋体" w:hAnsi="宋体"/>
                <w:color w:val="auto"/>
                <w:szCs w:val="21"/>
                <w:highlight w:val="none"/>
              </w:rPr>
            </w:pPr>
          </w:p>
        </w:tc>
        <w:tc>
          <w:tcPr>
            <w:tcW w:w="853" w:type="dxa"/>
            <w:noWrap w:val="0"/>
            <w:vAlign w:val="top"/>
          </w:tcPr>
          <w:p w14:paraId="6B98767A">
            <w:pPr>
              <w:spacing w:line="400" w:lineRule="exact"/>
              <w:jc w:val="center"/>
              <w:rPr>
                <w:rFonts w:ascii="宋体" w:hAnsi="宋体"/>
                <w:color w:val="auto"/>
                <w:szCs w:val="21"/>
                <w:highlight w:val="none"/>
              </w:rPr>
            </w:pPr>
          </w:p>
        </w:tc>
        <w:tc>
          <w:tcPr>
            <w:tcW w:w="1028" w:type="dxa"/>
            <w:noWrap w:val="0"/>
            <w:vAlign w:val="top"/>
          </w:tcPr>
          <w:p w14:paraId="4547859D">
            <w:pPr>
              <w:spacing w:line="400" w:lineRule="exact"/>
              <w:jc w:val="center"/>
              <w:rPr>
                <w:rFonts w:ascii="宋体" w:hAnsi="宋体"/>
                <w:color w:val="auto"/>
                <w:szCs w:val="21"/>
                <w:highlight w:val="none"/>
              </w:rPr>
            </w:pPr>
          </w:p>
        </w:tc>
        <w:tc>
          <w:tcPr>
            <w:tcW w:w="674" w:type="dxa"/>
            <w:noWrap w:val="0"/>
            <w:vAlign w:val="top"/>
          </w:tcPr>
          <w:p w14:paraId="23EF58F7">
            <w:pPr>
              <w:spacing w:line="400" w:lineRule="exact"/>
              <w:jc w:val="center"/>
              <w:rPr>
                <w:rFonts w:ascii="宋体" w:hAnsi="宋体"/>
                <w:color w:val="auto"/>
                <w:szCs w:val="21"/>
                <w:highlight w:val="none"/>
              </w:rPr>
            </w:pPr>
          </w:p>
        </w:tc>
      </w:tr>
      <w:tr w14:paraId="5E3A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40F7425">
            <w:pPr>
              <w:spacing w:line="400" w:lineRule="exact"/>
              <w:jc w:val="center"/>
              <w:rPr>
                <w:rFonts w:ascii="宋体" w:hAnsi="宋体"/>
                <w:color w:val="auto"/>
                <w:szCs w:val="21"/>
                <w:highlight w:val="none"/>
              </w:rPr>
            </w:pPr>
          </w:p>
        </w:tc>
        <w:tc>
          <w:tcPr>
            <w:tcW w:w="1059" w:type="dxa"/>
            <w:noWrap w:val="0"/>
            <w:vAlign w:val="top"/>
          </w:tcPr>
          <w:p w14:paraId="29FDC920">
            <w:pPr>
              <w:spacing w:line="400" w:lineRule="exact"/>
              <w:jc w:val="center"/>
              <w:rPr>
                <w:rFonts w:ascii="宋体" w:hAnsi="宋体"/>
                <w:color w:val="auto"/>
                <w:szCs w:val="21"/>
                <w:highlight w:val="none"/>
              </w:rPr>
            </w:pPr>
          </w:p>
        </w:tc>
        <w:tc>
          <w:tcPr>
            <w:tcW w:w="742" w:type="dxa"/>
            <w:noWrap w:val="0"/>
            <w:vAlign w:val="top"/>
          </w:tcPr>
          <w:p w14:paraId="505F62B7">
            <w:pPr>
              <w:spacing w:line="400" w:lineRule="exact"/>
              <w:jc w:val="center"/>
              <w:rPr>
                <w:rFonts w:ascii="宋体" w:hAnsi="宋体"/>
                <w:color w:val="auto"/>
                <w:szCs w:val="21"/>
                <w:highlight w:val="none"/>
              </w:rPr>
            </w:pPr>
          </w:p>
        </w:tc>
        <w:tc>
          <w:tcPr>
            <w:tcW w:w="965" w:type="dxa"/>
            <w:noWrap w:val="0"/>
            <w:vAlign w:val="top"/>
          </w:tcPr>
          <w:p w14:paraId="1BF949A2">
            <w:pPr>
              <w:spacing w:line="400" w:lineRule="exact"/>
              <w:jc w:val="center"/>
              <w:rPr>
                <w:rFonts w:ascii="宋体" w:hAnsi="宋体"/>
                <w:color w:val="auto"/>
                <w:szCs w:val="21"/>
                <w:highlight w:val="none"/>
              </w:rPr>
            </w:pPr>
          </w:p>
        </w:tc>
        <w:tc>
          <w:tcPr>
            <w:tcW w:w="655" w:type="dxa"/>
            <w:noWrap w:val="0"/>
            <w:vAlign w:val="top"/>
          </w:tcPr>
          <w:p w14:paraId="681B17B7">
            <w:pPr>
              <w:spacing w:line="400" w:lineRule="exact"/>
              <w:jc w:val="center"/>
              <w:rPr>
                <w:rFonts w:ascii="宋体" w:hAnsi="宋体"/>
                <w:color w:val="auto"/>
                <w:szCs w:val="21"/>
                <w:highlight w:val="none"/>
              </w:rPr>
            </w:pPr>
          </w:p>
        </w:tc>
        <w:tc>
          <w:tcPr>
            <w:tcW w:w="720" w:type="dxa"/>
            <w:noWrap w:val="0"/>
            <w:vAlign w:val="top"/>
          </w:tcPr>
          <w:p w14:paraId="58BAC4DA">
            <w:pPr>
              <w:spacing w:line="400" w:lineRule="exact"/>
              <w:jc w:val="center"/>
              <w:rPr>
                <w:rFonts w:ascii="宋体" w:hAnsi="宋体"/>
                <w:color w:val="auto"/>
                <w:szCs w:val="21"/>
                <w:highlight w:val="none"/>
              </w:rPr>
            </w:pPr>
          </w:p>
        </w:tc>
        <w:tc>
          <w:tcPr>
            <w:tcW w:w="1182" w:type="dxa"/>
            <w:noWrap w:val="0"/>
            <w:vAlign w:val="top"/>
          </w:tcPr>
          <w:p w14:paraId="7D1825A1">
            <w:pPr>
              <w:spacing w:line="400" w:lineRule="exact"/>
              <w:jc w:val="center"/>
              <w:rPr>
                <w:rFonts w:ascii="宋体" w:hAnsi="宋体"/>
                <w:color w:val="auto"/>
                <w:szCs w:val="21"/>
                <w:highlight w:val="none"/>
              </w:rPr>
            </w:pPr>
          </w:p>
        </w:tc>
        <w:tc>
          <w:tcPr>
            <w:tcW w:w="853" w:type="dxa"/>
            <w:noWrap w:val="0"/>
            <w:vAlign w:val="top"/>
          </w:tcPr>
          <w:p w14:paraId="09A18B82">
            <w:pPr>
              <w:spacing w:line="400" w:lineRule="exact"/>
              <w:jc w:val="center"/>
              <w:rPr>
                <w:rFonts w:ascii="宋体" w:hAnsi="宋体"/>
                <w:color w:val="auto"/>
                <w:szCs w:val="21"/>
                <w:highlight w:val="none"/>
              </w:rPr>
            </w:pPr>
          </w:p>
        </w:tc>
        <w:tc>
          <w:tcPr>
            <w:tcW w:w="1028" w:type="dxa"/>
            <w:noWrap w:val="0"/>
            <w:vAlign w:val="top"/>
          </w:tcPr>
          <w:p w14:paraId="2DDB8F3E">
            <w:pPr>
              <w:spacing w:line="400" w:lineRule="exact"/>
              <w:jc w:val="center"/>
              <w:rPr>
                <w:rFonts w:ascii="宋体" w:hAnsi="宋体"/>
                <w:color w:val="auto"/>
                <w:szCs w:val="21"/>
                <w:highlight w:val="none"/>
              </w:rPr>
            </w:pPr>
          </w:p>
        </w:tc>
        <w:tc>
          <w:tcPr>
            <w:tcW w:w="674" w:type="dxa"/>
            <w:noWrap w:val="0"/>
            <w:vAlign w:val="top"/>
          </w:tcPr>
          <w:p w14:paraId="636AA8AE">
            <w:pPr>
              <w:spacing w:line="400" w:lineRule="exact"/>
              <w:jc w:val="center"/>
              <w:rPr>
                <w:rFonts w:ascii="宋体" w:hAnsi="宋体"/>
                <w:color w:val="auto"/>
                <w:szCs w:val="21"/>
                <w:highlight w:val="none"/>
              </w:rPr>
            </w:pPr>
          </w:p>
        </w:tc>
      </w:tr>
      <w:tr w14:paraId="3B91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2562260">
            <w:pPr>
              <w:spacing w:line="400" w:lineRule="exact"/>
              <w:jc w:val="center"/>
              <w:rPr>
                <w:rFonts w:ascii="宋体" w:hAnsi="宋体"/>
                <w:color w:val="auto"/>
                <w:szCs w:val="21"/>
                <w:highlight w:val="none"/>
              </w:rPr>
            </w:pPr>
          </w:p>
        </w:tc>
        <w:tc>
          <w:tcPr>
            <w:tcW w:w="1059" w:type="dxa"/>
            <w:noWrap w:val="0"/>
            <w:vAlign w:val="top"/>
          </w:tcPr>
          <w:p w14:paraId="6E83CDF4">
            <w:pPr>
              <w:spacing w:line="400" w:lineRule="exact"/>
              <w:jc w:val="center"/>
              <w:rPr>
                <w:rFonts w:ascii="宋体" w:hAnsi="宋体"/>
                <w:color w:val="auto"/>
                <w:szCs w:val="21"/>
                <w:highlight w:val="none"/>
              </w:rPr>
            </w:pPr>
          </w:p>
        </w:tc>
        <w:tc>
          <w:tcPr>
            <w:tcW w:w="742" w:type="dxa"/>
            <w:noWrap w:val="0"/>
            <w:vAlign w:val="top"/>
          </w:tcPr>
          <w:p w14:paraId="51DC8FB8">
            <w:pPr>
              <w:spacing w:line="400" w:lineRule="exact"/>
              <w:jc w:val="center"/>
              <w:rPr>
                <w:rFonts w:ascii="宋体" w:hAnsi="宋体"/>
                <w:color w:val="auto"/>
                <w:szCs w:val="21"/>
                <w:highlight w:val="none"/>
              </w:rPr>
            </w:pPr>
          </w:p>
        </w:tc>
        <w:tc>
          <w:tcPr>
            <w:tcW w:w="965" w:type="dxa"/>
            <w:noWrap w:val="0"/>
            <w:vAlign w:val="top"/>
          </w:tcPr>
          <w:p w14:paraId="7FBE61EC">
            <w:pPr>
              <w:spacing w:line="400" w:lineRule="exact"/>
              <w:jc w:val="center"/>
              <w:rPr>
                <w:rFonts w:ascii="宋体" w:hAnsi="宋体"/>
                <w:color w:val="auto"/>
                <w:szCs w:val="21"/>
                <w:highlight w:val="none"/>
              </w:rPr>
            </w:pPr>
          </w:p>
        </w:tc>
        <w:tc>
          <w:tcPr>
            <w:tcW w:w="655" w:type="dxa"/>
            <w:noWrap w:val="0"/>
            <w:vAlign w:val="top"/>
          </w:tcPr>
          <w:p w14:paraId="0CEE063A">
            <w:pPr>
              <w:spacing w:line="400" w:lineRule="exact"/>
              <w:jc w:val="center"/>
              <w:rPr>
                <w:rFonts w:ascii="宋体" w:hAnsi="宋体"/>
                <w:color w:val="auto"/>
                <w:szCs w:val="21"/>
                <w:highlight w:val="none"/>
              </w:rPr>
            </w:pPr>
          </w:p>
        </w:tc>
        <w:tc>
          <w:tcPr>
            <w:tcW w:w="720" w:type="dxa"/>
            <w:noWrap w:val="0"/>
            <w:vAlign w:val="top"/>
          </w:tcPr>
          <w:p w14:paraId="3E820193">
            <w:pPr>
              <w:spacing w:line="400" w:lineRule="exact"/>
              <w:jc w:val="center"/>
              <w:rPr>
                <w:rFonts w:ascii="宋体" w:hAnsi="宋体"/>
                <w:color w:val="auto"/>
                <w:szCs w:val="21"/>
                <w:highlight w:val="none"/>
              </w:rPr>
            </w:pPr>
          </w:p>
        </w:tc>
        <w:tc>
          <w:tcPr>
            <w:tcW w:w="1182" w:type="dxa"/>
            <w:noWrap w:val="0"/>
            <w:vAlign w:val="top"/>
          </w:tcPr>
          <w:p w14:paraId="33FE5A86">
            <w:pPr>
              <w:spacing w:line="400" w:lineRule="exact"/>
              <w:jc w:val="center"/>
              <w:rPr>
                <w:rFonts w:ascii="宋体" w:hAnsi="宋体"/>
                <w:color w:val="auto"/>
                <w:szCs w:val="21"/>
                <w:highlight w:val="none"/>
              </w:rPr>
            </w:pPr>
          </w:p>
        </w:tc>
        <w:tc>
          <w:tcPr>
            <w:tcW w:w="853" w:type="dxa"/>
            <w:noWrap w:val="0"/>
            <w:vAlign w:val="top"/>
          </w:tcPr>
          <w:p w14:paraId="11F64AC8">
            <w:pPr>
              <w:spacing w:line="400" w:lineRule="exact"/>
              <w:jc w:val="center"/>
              <w:rPr>
                <w:rFonts w:ascii="宋体" w:hAnsi="宋体"/>
                <w:color w:val="auto"/>
                <w:szCs w:val="21"/>
                <w:highlight w:val="none"/>
              </w:rPr>
            </w:pPr>
          </w:p>
        </w:tc>
        <w:tc>
          <w:tcPr>
            <w:tcW w:w="1028" w:type="dxa"/>
            <w:noWrap w:val="0"/>
            <w:vAlign w:val="top"/>
          </w:tcPr>
          <w:p w14:paraId="0BA57FF3">
            <w:pPr>
              <w:spacing w:line="400" w:lineRule="exact"/>
              <w:jc w:val="center"/>
              <w:rPr>
                <w:rFonts w:ascii="宋体" w:hAnsi="宋体"/>
                <w:color w:val="auto"/>
                <w:szCs w:val="21"/>
                <w:highlight w:val="none"/>
              </w:rPr>
            </w:pPr>
          </w:p>
        </w:tc>
        <w:tc>
          <w:tcPr>
            <w:tcW w:w="674" w:type="dxa"/>
            <w:noWrap w:val="0"/>
            <w:vAlign w:val="top"/>
          </w:tcPr>
          <w:p w14:paraId="4B697F73">
            <w:pPr>
              <w:spacing w:line="400" w:lineRule="exact"/>
              <w:jc w:val="center"/>
              <w:rPr>
                <w:rFonts w:ascii="宋体" w:hAnsi="宋体"/>
                <w:color w:val="auto"/>
                <w:szCs w:val="21"/>
                <w:highlight w:val="none"/>
              </w:rPr>
            </w:pPr>
          </w:p>
        </w:tc>
      </w:tr>
      <w:tr w14:paraId="42FA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26B019EE">
            <w:pPr>
              <w:spacing w:line="400" w:lineRule="exact"/>
              <w:jc w:val="center"/>
              <w:rPr>
                <w:rFonts w:ascii="宋体" w:hAnsi="宋体"/>
                <w:color w:val="auto"/>
                <w:szCs w:val="21"/>
                <w:highlight w:val="none"/>
              </w:rPr>
            </w:pPr>
          </w:p>
        </w:tc>
        <w:tc>
          <w:tcPr>
            <w:tcW w:w="1059" w:type="dxa"/>
            <w:noWrap w:val="0"/>
            <w:vAlign w:val="top"/>
          </w:tcPr>
          <w:p w14:paraId="182349B5">
            <w:pPr>
              <w:spacing w:line="400" w:lineRule="exact"/>
              <w:jc w:val="center"/>
              <w:rPr>
                <w:rFonts w:ascii="宋体" w:hAnsi="宋体"/>
                <w:color w:val="auto"/>
                <w:szCs w:val="21"/>
                <w:highlight w:val="none"/>
              </w:rPr>
            </w:pPr>
          </w:p>
        </w:tc>
        <w:tc>
          <w:tcPr>
            <w:tcW w:w="742" w:type="dxa"/>
            <w:noWrap w:val="0"/>
            <w:vAlign w:val="top"/>
          </w:tcPr>
          <w:p w14:paraId="2C95DC29">
            <w:pPr>
              <w:spacing w:line="400" w:lineRule="exact"/>
              <w:jc w:val="center"/>
              <w:rPr>
                <w:rFonts w:ascii="宋体" w:hAnsi="宋体"/>
                <w:color w:val="auto"/>
                <w:szCs w:val="21"/>
                <w:highlight w:val="none"/>
              </w:rPr>
            </w:pPr>
          </w:p>
        </w:tc>
        <w:tc>
          <w:tcPr>
            <w:tcW w:w="965" w:type="dxa"/>
            <w:noWrap w:val="0"/>
            <w:vAlign w:val="top"/>
          </w:tcPr>
          <w:p w14:paraId="7B53B8A8">
            <w:pPr>
              <w:spacing w:line="400" w:lineRule="exact"/>
              <w:jc w:val="center"/>
              <w:rPr>
                <w:rFonts w:ascii="宋体" w:hAnsi="宋体"/>
                <w:color w:val="auto"/>
                <w:szCs w:val="21"/>
                <w:highlight w:val="none"/>
              </w:rPr>
            </w:pPr>
          </w:p>
        </w:tc>
        <w:tc>
          <w:tcPr>
            <w:tcW w:w="655" w:type="dxa"/>
            <w:noWrap w:val="0"/>
            <w:vAlign w:val="top"/>
          </w:tcPr>
          <w:p w14:paraId="1882A7D3">
            <w:pPr>
              <w:spacing w:line="400" w:lineRule="exact"/>
              <w:jc w:val="center"/>
              <w:rPr>
                <w:rFonts w:ascii="宋体" w:hAnsi="宋体"/>
                <w:color w:val="auto"/>
                <w:szCs w:val="21"/>
                <w:highlight w:val="none"/>
              </w:rPr>
            </w:pPr>
          </w:p>
        </w:tc>
        <w:tc>
          <w:tcPr>
            <w:tcW w:w="720" w:type="dxa"/>
            <w:noWrap w:val="0"/>
            <w:vAlign w:val="top"/>
          </w:tcPr>
          <w:p w14:paraId="4D349596">
            <w:pPr>
              <w:spacing w:line="400" w:lineRule="exact"/>
              <w:jc w:val="center"/>
              <w:rPr>
                <w:rFonts w:ascii="宋体" w:hAnsi="宋体"/>
                <w:color w:val="auto"/>
                <w:szCs w:val="21"/>
                <w:highlight w:val="none"/>
              </w:rPr>
            </w:pPr>
          </w:p>
        </w:tc>
        <w:tc>
          <w:tcPr>
            <w:tcW w:w="1182" w:type="dxa"/>
            <w:noWrap w:val="0"/>
            <w:vAlign w:val="top"/>
          </w:tcPr>
          <w:p w14:paraId="7A3B3BC6">
            <w:pPr>
              <w:spacing w:line="400" w:lineRule="exact"/>
              <w:jc w:val="center"/>
              <w:rPr>
                <w:rFonts w:ascii="宋体" w:hAnsi="宋体"/>
                <w:color w:val="auto"/>
                <w:szCs w:val="21"/>
                <w:highlight w:val="none"/>
              </w:rPr>
            </w:pPr>
          </w:p>
        </w:tc>
        <w:tc>
          <w:tcPr>
            <w:tcW w:w="853" w:type="dxa"/>
            <w:noWrap w:val="0"/>
            <w:vAlign w:val="top"/>
          </w:tcPr>
          <w:p w14:paraId="45814ACC">
            <w:pPr>
              <w:spacing w:line="400" w:lineRule="exact"/>
              <w:jc w:val="center"/>
              <w:rPr>
                <w:rFonts w:ascii="宋体" w:hAnsi="宋体"/>
                <w:color w:val="auto"/>
                <w:szCs w:val="21"/>
                <w:highlight w:val="none"/>
              </w:rPr>
            </w:pPr>
          </w:p>
        </w:tc>
        <w:tc>
          <w:tcPr>
            <w:tcW w:w="1028" w:type="dxa"/>
            <w:noWrap w:val="0"/>
            <w:vAlign w:val="top"/>
          </w:tcPr>
          <w:p w14:paraId="4C7866BC">
            <w:pPr>
              <w:spacing w:line="400" w:lineRule="exact"/>
              <w:jc w:val="center"/>
              <w:rPr>
                <w:rFonts w:ascii="宋体" w:hAnsi="宋体"/>
                <w:color w:val="auto"/>
                <w:szCs w:val="21"/>
                <w:highlight w:val="none"/>
              </w:rPr>
            </w:pPr>
          </w:p>
        </w:tc>
        <w:tc>
          <w:tcPr>
            <w:tcW w:w="674" w:type="dxa"/>
            <w:noWrap w:val="0"/>
            <w:vAlign w:val="top"/>
          </w:tcPr>
          <w:p w14:paraId="67BEB76C">
            <w:pPr>
              <w:spacing w:line="400" w:lineRule="exact"/>
              <w:jc w:val="center"/>
              <w:rPr>
                <w:rFonts w:ascii="宋体" w:hAnsi="宋体"/>
                <w:color w:val="auto"/>
                <w:szCs w:val="21"/>
                <w:highlight w:val="none"/>
              </w:rPr>
            </w:pPr>
          </w:p>
        </w:tc>
      </w:tr>
      <w:tr w14:paraId="21F4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3D433F2">
            <w:pPr>
              <w:spacing w:line="400" w:lineRule="exact"/>
              <w:jc w:val="center"/>
              <w:rPr>
                <w:rFonts w:ascii="宋体" w:hAnsi="宋体"/>
                <w:color w:val="auto"/>
                <w:szCs w:val="21"/>
                <w:highlight w:val="none"/>
              </w:rPr>
            </w:pPr>
          </w:p>
        </w:tc>
        <w:tc>
          <w:tcPr>
            <w:tcW w:w="1059" w:type="dxa"/>
            <w:noWrap w:val="0"/>
            <w:vAlign w:val="top"/>
          </w:tcPr>
          <w:p w14:paraId="482F4E32">
            <w:pPr>
              <w:spacing w:line="400" w:lineRule="exact"/>
              <w:jc w:val="center"/>
              <w:rPr>
                <w:rFonts w:ascii="宋体" w:hAnsi="宋体"/>
                <w:color w:val="auto"/>
                <w:szCs w:val="21"/>
                <w:highlight w:val="none"/>
              </w:rPr>
            </w:pPr>
          </w:p>
        </w:tc>
        <w:tc>
          <w:tcPr>
            <w:tcW w:w="742" w:type="dxa"/>
            <w:noWrap w:val="0"/>
            <w:vAlign w:val="top"/>
          </w:tcPr>
          <w:p w14:paraId="65B319EC">
            <w:pPr>
              <w:spacing w:line="400" w:lineRule="exact"/>
              <w:jc w:val="center"/>
              <w:rPr>
                <w:rFonts w:ascii="宋体" w:hAnsi="宋体"/>
                <w:color w:val="auto"/>
                <w:szCs w:val="21"/>
                <w:highlight w:val="none"/>
              </w:rPr>
            </w:pPr>
          </w:p>
        </w:tc>
        <w:tc>
          <w:tcPr>
            <w:tcW w:w="965" w:type="dxa"/>
            <w:noWrap w:val="0"/>
            <w:vAlign w:val="top"/>
          </w:tcPr>
          <w:p w14:paraId="05A22E5C">
            <w:pPr>
              <w:spacing w:line="400" w:lineRule="exact"/>
              <w:jc w:val="center"/>
              <w:rPr>
                <w:rFonts w:ascii="宋体" w:hAnsi="宋体"/>
                <w:color w:val="auto"/>
                <w:szCs w:val="21"/>
                <w:highlight w:val="none"/>
              </w:rPr>
            </w:pPr>
          </w:p>
        </w:tc>
        <w:tc>
          <w:tcPr>
            <w:tcW w:w="655" w:type="dxa"/>
            <w:noWrap w:val="0"/>
            <w:vAlign w:val="top"/>
          </w:tcPr>
          <w:p w14:paraId="5B137905">
            <w:pPr>
              <w:spacing w:line="400" w:lineRule="exact"/>
              <w:jc w:val="center"/>
              <w:rPr>
                <w:rFonts w:ascii="宋体" w:hAnsi="宋体"/>
                <w:color w:val="auto"/>
                <w:szCs w:val="21"/>
                <w:highlight w:val="none"/>
              </w:rPr>
            </w:pPr>
          </w:p>
        </w:tc>
        <w:tc>
          <w:tcPr>
            <w:tcW w:w="720" w:type="dxa"/>
            <w:noWrap w:val="0"/>
            <w:vAlign w:val="top"/>
          </w:tcPr>
          <w:p w14:paraId="289A770D">
            <w:pPr>
              <w:spacing w:line="400" w:lineRule="exact"/>
              <w:jc w:val="center"/>
              <w:rPr>
                <w:rFonts w:ascii="宋体" w:hAnsi="宋体"/>
                <w:color w:val="auto"/>
                <w:szCs w:val="21"/>
                <w:highlight w:val="none"/>
              </w:rPr>
            </w:pPr>
          </w:p>
        </w:tc>
        <w:tc>
          <w:tcPr>
            <w:tcW w:w="1182" w:type="dxa"/>
            <w:noWrap w:val="0"/>
            <w:vAlign w:val="top"/>
          </w:tcPr>
          <w:p w14:paraId="453F48BD">
            <w:pPr>
              <w:spacing w:line="400" w:lineRule="exact"/>
              <w:jc w:val="center"/>
              <w:rPr>
                <w:rFonts w:ascii="宋体" w:hAnsi="宋体"/>
                <w:color w:val="auto"/>
                <w:szCs w:val="21"/>
                <w:highlight w:val="none"/>
              </w:rPr>
            </w:pPr>
          </w:p>
        </w:tc>
        <w:tc>
          <w:tcPr>
            <w:tcW w:w="853" w:type="dxa"/>
            <w:noWrap w:val="0"/>
            <w:vAlign w:val="top"/>
          </w:tcPr>
          <w:p w14:paraId="3A9F7C5C">
            <w:pPr>
              <w:spacing w:line="400" w:lineRule="exact"/>
              <w:jc w:val="center"/>
              <w:rPr>
                <w:rFonts w:ascii="宋体" w:hAnsi="宋体"/>
                <w:color w:val="auto"/>
                <w:szCs w:val="21"/>
                <w:highlight w:val="none"/>
              </w:rPr>
            </w:pPr>
          </w:p>
        </w:tc>
        <w:tc>
          <w:tcPr>
            <w:tcW w:w="1028" w:type="dxa"/>
            <w:noWrap w:val="0"/>
            <w:vAlign w:val="top"/>
          </w:tcPr>
          <w:p w14:paraId="38FFDF3E">
            <w:pPr>
              <w:spacing w:line="400" w:lineRule="exact"/>
              <w:jc w:val="center"/>
              <w:rPr>
                <w:rFonts w:ascii="宋体" w:hAnsi="宋体"/>
                <w:color w:val="auto"/>
                <w:szCs w:val="21"/>
                <w:highlight w:val="none"/>
              </w:rPr>
            </w:pPr>
          </w:p>
        </w:tc>
        <w:tc>
          <w:tcPr>
            <w:tcW w:w="674" w:type="dxa"/>
            <w:noWrap w:val="0"/>
            <w:vAlign w:val="top"/>
          </w:tcPr>
          <w:p w14:paraId="45FF3E54">
            <w:pPr>
              <w:spacing w:line="400" w:lineRule="exact"/>
              <w:jc w:val="center"/>
              <w:rPr>
                <w:rFonts w:ascii="宋体" w:hAnsi="宋体"/>
                <w:color w:val="auto"/>
                <w:szCs w:val="21"/>
                <w:highlight w:val="none"/>
              </w:rPr>
            </w:pPr>
          </w:p>
        </w:tc>
      </w:tr>
      <w:tr w14:paraId="6D12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A664571">
            <w:pPr>
              <w:spacing w:line="400" w:lineRule="exact"/>
              <w:jc w:val="center"/>
              <w:rPr>
                <w:rFonts w:ascii="宋体" w:hAnsi="宋体"/>
                <w:color w:val="auto"/>
                <w:szCs w:val="21"/>
                <w:highlight w:val="none"/>
              </w:rPr>
            </w:pPr>
          </w:p>
        </w:tc>
        <w:tc>
          <w:tcPr>
            <w:tcW w:w="1059" w:type="dxa"/>
            <w:noWrap w:val="0"/>
            <w:vAlign w:val="top"/>
          </w:tcPr>
          <w:p w14:paraId="141A7DC5">
            <w:pPr>
              <w:spacing w:line="400" w:lineRule="exact"/>
              <w:jc w:val="center"/>
              <w:rPr>
                <w:rFonts w:ascii="宋体" w:hAnsi="宋体"/>
                <w:color w:val="auto"/>
                <w:szCs w:val="21"/>
                <w:highlight w:val="none"/>
              </w:rPr>
            </w:pPr>
          </w:p>
        </w:tc>
        <w:tc>
          <w:tcPr>
            <w:tcW w:w="742" w:type="dxa"/>
            <w:noWrap w:val="0"/>
            <w:vAlign w:val="top"/>
          </w:tcPr>
          <w:p w14:paraId="55E3F38C">
            <w:pPr>
              <w:spacing w:line="400" w:lineRule="exact"/>
              <w:jc w:val="center"/>
              <w:rPr>
                <w:rFonts w:ascii="宋体" w:hAnsi="宋体"/>
                <w:color w:val="auto"/>
                <w:szCs w:val="21"/>
                <w:highlight w:val="none"/>
              </w:rPr>
            </w:pPr>
          </w:p>
        </w:tc>
        <w:tc>
          <w:tcPr>
            <w:tcW w:w="965" w:type="dxa"/>
            <w:noWrap w:val="0"/>
            <w:vAlign w:val="top"/>
          </w:tcPr>
          <w:p w14:paraId="290E4E48">
            <w:pPr>
              <w:spacing w:line="400" w:lineRule="exact"/>
              <w:jc w:val="center"/>
              <w:rPr>
                <w:rFonts w:ascii="宋体" w:hAnsi="宋体"/>
                <w:color w:val="auto"/>
                <w:szCs w:val="21"/>
                <w:highlight w:val="none"/>
              </w:rPr>
            </w:pPr>
          </w:p>
        </w:tc>
        <w:tc>
          <w:tcPr>
            <w:tcW w:w="655" w:type="dxa"/>
            <w:noWrap w:val="0"/>
            <w:vAlign w:val="top"/>
          </w:tcPr>
          <w:p w14:paraId="0FE73B5D">
            <w:pPr>
              <w:spacing w:line="400" w:lineRule="exact"/>
              <w:jc w:val="center"/>
              <w:rPr>
                <w:rFonts w:ascii="宋体" w:hAnsi="宋体"/>
                <w:color w:val="auto"/>
                <w:szCs w:val="21"/>
                <w:highlight w:val="none"/>
              </w:rPr>
            </w:pPr>
          </w:p>
        </w:tc>
        <w:tc>
          <w:tcPr>
            <w:tcW w:w="720" w:type="dxa"/>
            <w:noWrap w:val="0"/>
            <w:vAlign w:val="top"/>
          </w:tcPr>
          <w:p w14:paraId="322D801A">
            <w:pPr>
              <w:spacing w:line="400" w:lineRule="exact"/>
              <w:jc w:val="center"/>
              <w:rPr>
                <w:rFonts w:ascii="宋体" w:hAnsi="宋体"/>
                <w:color w:val="auto"/>
                <w:szCs w:val="21"/>
                <w:highlight w:val="none"/>
              </w:rPr>
            </w:pPr>
          </w:p>
        </w:tc>
        <w:tc>
          <w:tcPr>
            <w:tcW w:w="1182" w:type="dxa"/>
            <w:noWrap w:val="0"/>
            <w:vAlign w:val="top"/>
          </w:tcPr>
          <w:p w14:paraId="2A86C686">
            <w:pPr>
              <w:spacing w:line="400" w:lineRule="exact"/>
              <w:jc w:val="center"/>
              <w:rPr>
                <w:rFonts w:ascii="宋体" w:hAnsi="宋体"/>
                <w:color w:val="auto"/>
                <w:szCs w:val="21"/>
                <w:highlight w:val="none"/>
              </w:rPr>
            </w:pPr>
          </w:p>
        </w:tc>
        <w:tc>
          <w:tcPr>
            <w:tcW w:w="853" w:type="dxa"/>
            <w:noWrap w:val="0"/>
            <w:vAlign w:val="top"/>
          </w:tcPr>
          <w:p w14:paraId="13534679">
            <w:pPr>
              <w:spacing w:line="400" w:lineRule="exact"/>
              <w:jc w:val="center"/>
              <w:rPr>
                <w:rFonts w:ascii="宋体" w:hAnsi="宋体"/>
                <w:color w:val="auto"/>
                <w:szCs w:val="21"/>
                <w:highlight w:val="none"/>
              </w:rPr>
            </w:pPr>
          </w:p>
        </w:tc>
        <w:tc>
          <w:tcPr>
            <w:tcW w:w="1028" w:type="dxa"/>
            <w:noWrap w:val="0"/>
            <w:vAlign w:val="top"/>
          </w:tcPr>
          <w:p w14:paraId="3B758CF8">
            <w:pPr>
              <w:spacing w:line="400" w:lineRule="exact"/>
              <w:jc w:val="center"/>
              <w:rPr>
                <w:rFonts w:ascii="宋体" w:hAnsi="宋体"/>
                <w:color w:val="auto"/>
                <w:szCs w:val="21"/>
                <w:highlight w:val="none"/>
              </w:rPr>
            </w:pPr>
          </w:p>
        </w:tc>
        <w:tc>
          <w:tcPr>
            <w:tcW w:w="674" w:type="dxa"/>
            <w:noWrap w:val="0"/>
            <w:vAlign w:val="top"/>
          </w:tcPr>
          <w:p w14:paraId="69EC8580">
            <w:pPr>
              <w:spacing w:line="400" w:lineRule="exact"/>
              <w:jc w:val="center"/>
              <w:rPr>
                <w:rFonts w:ascii="宋体" w:hAnsi="宋体"/>
                <w:color w:val="auto"/>
                <w:szCs w:val="21"/>
                <w:highlight w:val="none"/>
              </w:rPr>
            </w:pPr>
          </w:p>
        </w:tc>
      </w:tr>
      <w:tr w14:paraId="158F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A40C81E">
            <w:pPr>
              <w:spacing w:line="400" w:lineRule="exact"/>
              <w:jc w:val="center"/>
              <w:rPr>
                <w:rFonts w:ascii="宋体" w:hAnsi="宋体"/>
                <w:color w:val="auto"/>
                <w:szCs w:val="21"/>
                <w:highlight w:val="none"/>
              </w:rPr>
            </w:pPr>
          </w:p>
        </w:tc>
        <w:tc>
          <w:tcPr>
            <w:tcW w:w="1059" w:type="dxa"/>
            <w:noWrap w:val="0"/>
            <w:vAlign w:val="top"/>
          </w:tcPr>
          <w:p w14:paraId="26D29FDE">
            <w:pPr>
              <w:spacing w:line="400" w:lineRule="exact"/>
              <w:jc w:val="center"/>
              <w:rPr>
                <w:rFonts w:ascii="宋体" w:hAnsi="宋体"/>
                <w:color w:val="auto"/>
                <w:szCs w:val="21"/>
                <w:highlight w:val="none"/>
              </w:rPr>
            </w:pPr>
          </w:p>
        </w:tc>
        <w:tc>
          <w:tcPr>
            <w:tcW w:w="742" w:type="dxa"/>
            <w:noWrap w:val="0"/>
            <w:vAlign w:val="top"/>
          </w:tcPr>
          <w:p w14:paraId="2F6E593D">
            <w:pPr>
              <w:spacing w:line="400" w:lineRule="exact"/>
              <w:jc w:val="center"/>
              <w:rPr>
                <w:rFonts w:ascii="宋体" w:hAnsi="宋体"/>
                <w:color w:val="auto"/>
                <w:szCs w:val="21"/>
                <w:highlight w:val="none"/>
              </w:rPr>
            </w:pPr>
          </w:p>
        </w:tc>
        <w:tc>
          <w:tcPr>
            <w:tcW w:w="965" w:type="dxa"/>
            <w:noWrap w:val="0"/>
            <w:vAlign w:val="top"/>
          </w:tcPr>
          <w:p w14:paraId="5CE7CF8F">
            <w:pPr>
              <w:spacing w:line="400" w:lineRule="exact"/>
              <w:jc w:val="center"/>
              <w:rPr>
                <w:rFonts w:ascii="宋体" w:hAnsi="宋体"/>
                <w:color w:val="auto"/>
                <w:szCs w:val="21"/>
                <w:highlight w:val="none"/>
              </w:rPr>
            </w:pPr>
          </w:p>
        </w:tc>
        <w:tc>
          <w:tcPr>
            <w:tcW w:w="655" w:type="dxa"/>
            <w:noWrap w:val="0"/>
            <w:vAlign w:val="top"/>
          </w:tcPr>
          <w:p w14:paraId="1D091988">
            <w:pPr>
              <w:spacing w:line="400" w:lineRule="exact"/>
              <w:jc w:val="center"/>
              <w:rPr>
                <w:rFonts w:ascii="宋体" w:hAnsi="宋体"/>
                <w:color w:val="auto"/>
                <w:szCs w:val="21"/>
                <w:highlight w:val="none"/>
              </w:rPr>
            </w:pPr>
          </w:p>
        </w:tc>
        <w:tc>
          <w:tcPr>
            <w:tcW w:w="720" w:type="dxa"/>
            <w:noWrap w:val="0"/>
            <w:vAlign w:val="top"/>
          </w:tcPr>
          <w:p w14:paraId="51BDDF8F">
            <w:pPr>
              <w:spacing w:line="400" w:lineRule="exact"/>
              <w:jc w:val="center"/>
              <w:rPr>
                <w:rFonts w:ascii="宋体" w:hAnsi="宋体"/>
                <w:color w:val="auto"/>
                <w:szCs w:val="21"/>
                <w:highlight w:val="none"/>
              </w:rPr>
            </w:pPr>
          </w:p>
        </w:tc>
        <w:tc>
          <w:tcPr>
            <w:tcW w:w="1182" w:type="dxa"/>
            <w:noWrap w:val="0"/>
            <w:vAlign w:val="top"/>
          </w:tcPr>
          <w:p w14:paraId="16F90E69">
            <w:pPr>
              <w:spacing w:line="400" w:lineRule="exact"/>
              <w:jc w:val="center"/>
              <w:rPr>
                <w:rFonts w:ascii="宋体" w:hAnsi="宋体"/>
                <w:color w:val="auto"/>
                <w:szCs w:val="21"/>
                <w:highlight w:val="none"/>
              </w:rPr>
            </w:pPr>
          </w:p>
        </w:tc>
        <w:tc>
          <w:tcPr>
            <w:tcW w:w="853" w:type="dxa"/>
            <w:noWrap w:val="0"/>
            <w:vAlign w:val="top"/>
          </w:tcPr>
          <w:p w14:paraId="5A147349">
            <w:pPr>
              <w:spacing w:line="400" w:lineRule="exact"/>
              <w:jc w:val="center"/>
              <w:rPr>
                <w:rFonts w:ascii="宋体" w:hAnsi="宋体"/>
                <w:color w:val="auto"/>
                <w:szCs w:val="21"/>
                <w:highlight w:val="none"/>
              </w:rPr>
            </w:pPr>
          </w:p>
        </w:tc>
        <w:tc>
          <w:tcPr>
            <w:tcW w:w="1028" w:type="dxa"/>
            <w:noWrap w:val="0"/>
            <w:vAlign w:val="top"/>
          </w:tcPr>
          <w:p w14:paraId="297AC1D0">
            <w:pPr>
              <w:spacing w:line="400" w:lineRule="exact"/>
              <w:jc w:val="center"/>
              <w:rPr>
                <w:rFonts w:ascii="宋体" w:hAnsi="宋体"/>
                <w:color w:val="auto"/>
                <w:szCs w:val="21"/>
                <w:highlight w:val="none"/>
              </w:rPr>
            </w:pPr>
          </w:p>
        </w:tc>
        <w:tc>
          <w:tcPr>
            <w:tcW w:w="674" w:type="dxa"/>
            <w:noWrap w:val="0"/>
            <w:vAlign w:val="top"/>
          </w:tcPr>
          <w:p w14:paraId="40749475">
            <w:pPr>
              <w:spacing w:line="400" w:lineRule="exact"/>
              <w:jc w:val="center"/>
              <w:rPr>
                <w:rFonts w:ascii="宋体" w:hAnsi="宋体"/>
                <w:color w:val="auto"/>
                <w:szCs w:val="21"/>
                <w:highlight w:val="none"/>
              </w:rPr>
            </w:pPr>
          </w:p>
        </w:tc>
      </w:tr>
      <w:tr w14:paraId="0EA3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BC68BC1">
            <w:pPr>
              <w:spacing w:line="400" w:lineRule="exact"/>
              <w:jc w:val="center"/>
              <w:rPr>
                <w:rFonts w:ascii="宋体" w:hAnsi="宋体"/>
                <w:color w:val="auto"/>
                <w:szCs w:val="21"/>
                <w:highlight w:val="none"/>
              </w:rPr>
            </w:pPr>
          </w:p>
        </w:tc>
        <w:tc>
          <w:tcPr>
            <w:tcW w:w="1059" w:type="dxa"/>
            <w:noWrap w:val="0"/>
            <w:vAlign w:val="top"/>
          </w:tcPr>
          <w:p w14:paraId="3B718227">
            <w:pPr>
              <w:spacing w:line="400" w:lineRule="exact"/>
              <w:jc w:val="center"/>
              <w:rPr>
                <w:rFonts w:ascii="宋体" w:hAnsi="宋体"/>
                <w:color w:val="auto"/>
                <w:szCs w:val="21"/>
                <w:highlight w:val="none"/>
              </w:rPr>
            </w:pPr>
          </w:p>
        </w:tc>
        <w:tc>
          <w:tcPr>
            <w:tcW w:w="742" w:type="dxa"/>
            <w:noWrap w:val="0"/>
            <w:vAlign w:val="top"/>
          </w:tcPr>
          <w:p w14:paraId="7CCF97EA">
            <w:pPr>
              <w:spacing w:line="400" w:lineRule="exact"/>
              <w:jc w:val="center"/>
              <w:rPr>
                <w:rFonts w:ascii="宋体" w:hAnsi="宋体"/>
                <w:color w:val="auto"/>
                <w:szCs w:val="21"/>
                <w:highlight w:val="none"/>
              </w:rPr>
            </w:pPr>
          </w:p>
        </w:tc>
        <w:tc>
          <w:tcPr>
            <w:tcW w:w="965" w:type="dxa"/>
            <w:noWrap w:val="0"/>
            <w:vAlign w:val="top"/>
          </w:tcPr>
          <w:p w14:paraId="2F859836">
            <w:pPr>
              <w:spacing w:line="400" w:lineRule="exact"/>
              <w:jc w:val="center"/>
              <w:rPr>
                <w:rFonts w:ascii="宋体" w:hAnsi="宋体"/>
                <w:color w:val="auto"/>
                <w:szCs w:val="21"/>
                <w:highlight w:val="none"/>
              </w:rPr>
            </w:pPr>
          </w:p>
        </w:tc>
        <w:tc>
          <w:tcPr>
            <w:tcW w:w="655" w:type="dxa"/>
            <w:noWrap w:val="0"/>
            <w:vAlign w:val="top"/>
          </w:tcPr>
          <w:p w14:paraId="09B161C9">
            <w:pPr>
              <w:spacing w:line="400" w:lineRule="exact"/>
              <w:jc w:val="center"/>
              <w:rPr>
                <w:rFonts w:ascii="宋体" w:hAnsi="宋体"/>
                <w:color w:val="auto"/>
                <w:szCs w:val="21"/>
                <w:highlight w:val="none"/>
              </w:rPr>
            </w:pPr>
          </w:p>
        </w:tc>
        <w:tc>
          <w:tcPr>
            <w:tcW w:w="720" w:type="dxa"/>
            <w:noWrap w:val="0"/>
            <w:vAlign w:val="top"/>
          </w:tcPr>
          <w:p w14:paraId="5000AB71">
            <w:pPr>
              <w:spacing w:line="400" w:lineRule="exact"/>
              <w:jc w:val="center"/>
              <w:rPr>
                <w:rFonts w:ascii="宋体" w:hAnsi="宋体"/>
                <w:color w:val="auto"/>
                <w:szCs w:val="21"/>
                <w:highlight w:val="none"/>
              </w:rPr>
            </w:pPr>
          </w:p>
        </w:tc>
        <w:tc>
          <w:tcPr>
            <w:tcW w:w="1182" w:type="dxa"/>
            <w:noWrap w:val="0"/>
            <w:vAlign w:val="top"/>
          </w:tcPr>
          <w:p w14:paraId="47C923F0">
            <w:pPr>
              <w:spacing w:line="400" w:lineRule="exact"/>
              <w:jc w:val="center"/>
              <w:rPr>
                <w:rFonts w:ascii="宋体" w:hAnsi="宋体"/>
                <w:color w:val="auto"/>
                <w:szCs w:val="21"/>
                <w:highlight w:val="none"/>
              </w:rPr>
            </w:pPr>
          </w:p>
        </w:tc>
        <w:tc>
          <w:tcPr>
            <w:tcW w:w="853" w:type="dxa"/>
            <w:noWrap w:val="0"/>
            <w:vAlign w:val="top"/>
          </w:tcPr>
          <w:p w14:paraId="2DA1EDDF">
            <w:pPr>
              <w:spacing w:line="400" w:lineRule="exact"/>
              <w:jc w:val="center"/>
              <w:rPr>
                <w:rFonts w:ascii="宋体" w:hAnsi="宋体"/>
                <w:color w:val="auto"/>
                <w:szCs w:val="21"/>
                <w:highlight w:val="none"/>
              </w:rPr>
            </w:pPr>
          </w:p>
        </w:tc>
        <w:tc>
          <w:tcPr>
            <w:tcW w:w="1028" w:type="dxa"/>
            <w:noWrap w:val="0"/>
            <w:vAlign w:val="top"/>
          </w:tcPr>
          <w:p w14:paraId="64196292">
            <w:pPr>
              <w:spacing w:line="400" w:lineRule="exact"/>
              <w:jc w:val="center"/>
              <w:rPr>
                <w:rFonts w:ascii="宋体" w:hAnsi="宋体"/>
                <w:color w:val="auto"/>
                <w:szCs w:val="21"/>
                <w:highlight w:val="none"/>
              </w:rPr>
            </w:pPr>
          </w:p>
        </w:tc>
        <w:tc>
          <w:tcPr>
            <w:tcW w:w="674" w:type="dxa"/>
            <w:noWrap w:val="0"/>
            <w:vAlign w:val="top"/>
          </w:tcPr>
          <w:p w14:paraId="48EE7BCB">
            <w:pPr>
              <w:spacing w:line="400" w:lineRule="exact"/>
              <w:jc w:val="center"/>
              <w:rPr>
                <w:rFonts w:ascii="宋体" w:hAnsi="宋体"/>
                <w:color w:val="auto"/>
                <w:szCs w:val="21"/>
                <w:highlight w:val="none"/>
              </w:rPr>
            </w:pPr>
          </w:p>
        </w:tc>
      </w:tr>
      <w:tr w14:paraId="039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2698DF8">
            <w:pPr>
              <w:spacing w:line="400" w:lineRule="exact"/>
              <w:jc w:val="center"/>
              <w:rPr>
                <w:rFonts w:ascii="宋体" w:hAnsi="宋体"/>
                <w:color w:val="auto"/>
                <w:szCs w:val="21"/>
                <w:highlight w:val="none"/>
              </w:rPr>
            </w:pPr>
          </w:p>
        </w:tc>
        <w:tc>
          <w:tcPr>
            <w:tcW w:w="1059" w:type="dxa"/>
            <w:noWrap w:val="0"/>
            <w:vAlign w:val="top"/>
          </w:tcPr>
          <w:p w14:paraId="08B385B7">
            <w:pPr>
              <w:spacing w:line="400" w:lineRule="exact"/>
              <w:jc w:val="center"/>
              <w:rPr>
                <w:rFonts w:ascii="宋体" w:hAnsi="宋体"/>
                <w:color w:val="auto"/>
                <w:szCs w:val="21"/>
                <w:highlight w:val="none"/>
              </w:rPr>
            </w:pPr>
          </w:p>
        </w:tc>
        <w:tc>
          <w:tcPr>
            <w:tcW w:w="742" w:type="dxa"/>
            <w:noWrap w:val="0"/>
            <w:vAlign w:val="top"/>
          </w:tcPr>
          <w:p w14:paraId="5FE05382">
            <w:pPr>
              <w:spacing w:line="400" w:lineRule="exact"/>
              <w:jc w:val="center"/>
              <w:rPr>
                <w:rFonts w:ascii="宋体" w:hAnsi="宋体"/>
                <w:color w:val="auto"/>
                <w:szCs w:val="21"/>
                <w:highlight w:val="none"/>
              </w:rPr>
            </w:pPr>
          </w:p>
        </w:tc>
        <w:tc>
          <w:tcPr>
            <w:tcW w:w="965" w:type="dxa"/>
            <w:noWrap w:val="0"/>
            <w:vAlign w:val="top"/>
          </w:tcPr>
          <w:p w14:paraId="043AD271">
            <w:pPr>
              <w:spacing w:line="400" w:lineRule="exact"/>
              <w:jc w:val="center"/>
              <w:rPr>
                <w:rFonts w:ascii="宋体" w:hAnsi="宋体"/>
                <w:color w:val="auto"/>
                <w:szCs w:val="21"/>
                <w:highlight w:val="none"/>
              </w:rPr>
            </w:pPr>
          </w:p>
        </w:tc>
        <w:tc>
          <w:tcPr>
            <w:tcW w:w="655" w:type="dxa"/>
            <w:noWrap w:val="0"/>
            <w:vAlign w:val="top"/>
          </w:tcPr>
          <w:p w14:paraId="61FA5050">
            <w:pPr>
              <w:spacing w:line="400" w:lineRule="exact"/>
              <w:jc w:val="center"/>
              <w:rPr>
                <w:rFonts w:ascii="宋体" w:hAnsi="宋体"/>
                <w:color w:val="auto"/>
                <w:szCs w:val="21"/>
                <w:highlight w:val="none"/>
              </w:rPr>
            </w:pPr>
          </w:p>
        </w:tc>
        <w:tc>
          <w:tcPr>
            <w:tcW w:w="720" w:type="dxa"/>
            <w:noWrap w:val="0"/>
            <w:vAlign w:val="top"/>
          </w:tcPr>
          <w:p w14:paraId="101F84FA">
            <w:pPr>
              <w:spacing w:line="400" w:lineRule="exact"/>
              <w:jc w:val="center"/>
              <w:rPr>
                <w:rFonts w:ascii="宋体" w:hAnsi="宋体"/>
                <w:color w:val="auto"/>
                <w:szCs w:val="21"/>
                <w:highlight w:val="none"/>
              </w:rPr>
            </w:pPr>
          </w:p>
        </w:tc>
        <w:tc>
          <w:tcPr>
            <w:tcW w:w="1182" w:type="dxa"/>
            <w:noWrap w:val="0"/>
            <w:vAlign w:val="top"/>
          </w:tcPr>
          <w:p w14:paraId="33ACD9CA">
            <w:pPr>
              <w:spacing w:line="400" w:lineRule="exact"/>
              <w:jc w:val="center"/>
              <w:rPr>
                <w:rFonts w:ascii="宋体" w:hAnsi="宋体"/>
                <w:color w:val="auto"/>
                <w:szCs w:val="21"/>
                <w:highlight w:val="none"/>
              </w:rPr>
            </w:pPr>
          </w:p>
        </w:tc>
        <w:tc>
          <w:tcPr>
            <w:tcW w:w="853" w:type="dxa"/>
            <w:noWrap w:val="0"/>
            <w:vAlign w:val="top"/>
          </w:tcPr>
          <w:p w14:paraId="65437C67">
            <w:pPr>
              <w:spacing w:line="400" w:lineRule="exact"/>
              <w:jc w:val="center"/>
              <w:rPr>
                <w:rFonts w:ascii="宋体" w:hAnsi="宋体"/>
                <w:color w:val="auto"/>
                <w:szCs w:val="21"/>
                <w:highlight w:val="none"/>
              </w:rPr>
            </w:pPr>
          </w:p>
        </w:tc>
        <w:tc>
          <w:tcPr>
            <w:tcW w:w="1028" w:type="dxa"/>
            <w:noWrap w:val="0"/>
            <w:vAlign w:val="top"/>
          </w:tcPr>
          <w:p w14:paraId="28A63412">
            <w:pPr>
              <w:spacing w:line="400" w:lineRule="exact"/>
              <w:jc w:val="center"/>
              <w:rPr>
                <w:rFonts w:ascii="宋体" w:hAnsi="宋体"/>
                <w:color w:val="auto"/>
                <w:szCs w:val="21"/>
                <w:highlight w:val="none"/>
              </w:rPr>
            </w:pPr>
          </w:p>
        </w:tc>
        <w:tc>
          <w:tcPr>
            <w:tcW w:w="674" w:type="dxa"/>
            <w:noWrap w:val="0"/>
            <w:vAlign w:val="top"/>
          </w:tcPr>
          <w:p w14:paraId="6C753A71">
            <w:pPr>
              <w:spacing w:line="400" w:lineRule="exact"/>
              <w:jc w:val="center"/>
              <w:rPr>
                <w:rFonts w:ascii="宋体" w:hAnsi="宋体"/>
                <w:color w:val="auto"/>
                <w:szCs w:val="21"/>
                <w:highlight w:val="none"/>
              </w:rPr>
            </w:pPr>
          </w:p>
        </w:tc>
      </w:tr>
      <w:tr w14:paraId="626C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5C0A62C">
            <w:pPr>
              <w:spacing w:line="400" w:lineRule="exact"/>
              <w:jc w:val="center"/>
              <w:rPr>
                <w:rFonts w:ascii="宋体" w:hAnsi="宋体"/>
                <w:color w:val="auto"/>
                <w:szCs w:val="21"/>
                <w:highlight w:val="none"/>
              </w:rPr>
            </w:pPr>
          </w:p>
        </w:tc>
        <w:tc>
          <w:tcPr>
            <w:tcW w:w="1059" w:type="dxa"/>
            <w:noWrap w:val="0"/>
            <w:vAlign w:val="top"/>
          </w:tcPr>
          <w:p w14:paraId="430035F3">
            <w:pPr>
              <w:spacing w:line="400" w:lineRule="exact"/>
              <w:jc w:val="center"/>
              <w:rPr>
                <w:rFonts w:ascii="宋体" w:hAnsi="宋体"/>
                <w:color w:val="auto"/>
                <w:szCs w:val="21"/>
                <w:highlight w:val="none"/>
              </w:rPr>
            </w:pPr>
          </w:p>
        </w:tc>
        <w:tc>
          <w:tcPr>
            <w:tcW w:w="742" w:type="dxa"/>
            <w:noWrap w:val="0"/>
            <w:vAlign w:val="top"/>
          </w:tcPr>
          <w:p w14:paraId="38628AD9">
            <w:pPr>
              <w:spacing w:line="400" w:lineRule="exact"/>
              <w:jc w:val="center"/>
              <w:rPr>
                <w:rFonts w:ascii="宋体" w:hAnsi="宋体"/>
                <w:color w:val="auto"/>
                <w:szCs w:val="21"/>
                <w:highlight w:val="none"/>
              </w:rPr>
            </w:pPr>
          </w:p>
        </w:tc>
        <w:tc>
          <w:tcPr>
            <w:tcW w:w="965" w:type="dxa"/>
            <w:noWrap w:val="0"/>
            <w:vAlign w:val="top"/>
          </w:tcPr>
          <w:p w14:paraId="65D8884A">
            <w:pPr>
              <w:spacing w:line="400" w:lineRule="exact"/>
              <w:jc w:val="center"/>
              <w:rPr>
                <w:rFonts w:ascii="宋体" w:hAnsi="宋体"/>
                <w:color w:val="auto"/>
                <w:szCs w:val="21"/>
                <w:highlight w:val="none"/>
              </w:rPr>
            </w:pPr>
          </w:p>
        </w:tc>
        <w:tc>
          <w:tcPr>
            <w:tcW w:w="655" w:type="dxa"/>
            <w:noWrap w:val="0"/>
            <w:vAlign w:val="top"/>
          </w:tcPr>
          <w:p w14:paraId="45CE16AF">
            <w:pPr>
              <w:spacing w:line="400" w:lineRule="exact"/>
              <w:jc w:val="center"/>
              <w:rPr>
                <w:rFonts w:ascii="宋体" w:hAnsi="宋体"/>
                <w:color w:val="auto"/>
                <w:szCs w:val="21"/>
                <w:highlight w:val="none"/>
              </w:rPr>
            </w:pPr>
          </w:p>
        </w:tc>
        <w:tc>
          <w:tcPr>
            <w:tcW w:w="720" w:type="dxa"/>
            <w:noWrap w:val="0"/>
            <w:vAlign w:val="top"/>
          </w:tcPr>
          <w:p w14:paraId="1C2C3938">
            <w:pPr>
              <w:spacing w:line="400" w:lineRule="exact"/>
              <w:jc w:val="center"/>
              <w:rPr>
                <w:rFonts w:ascii="宋体" w:hAnsi="宋体"/>
                <w:color w:val="auto"/>
                <w:szCs w:val="21"/>
                <w:highlight w:val="none"/>
              </w:rPr>
            </w:pPr>
          </w:p>
        </w:tc>
        <w:tc>
          <w:tcPr>
            <w:tcW w:w="1182" w:type="dxa"/>
            <w:noWrap w:val="0"/>
            <w:vAlign w:val="top"/>
          </w:tcPr>
          <w:p w14:paraId="538741AC">
            <w:pPr>
              <w:spacing w:line="400" w:lineRule="exact"/>
              <w:jc w:val="center"/>
              <w:rPr>
                <w:rFonts w:ascii="宋体" w:hAnsi="宋体"/>
                <w:color w:val="auto"/>
                <w:szCs w:val="21"/>
                <w:highlight w:val="none"/>
              </w:rPr>
            </w:pPr>
          </w:p>
        </w:tc>
        <w:tc>
          <w:tcPr>
            <w:tcW w:w="853" w:type="dxa"/>
            <w:noWrap w:val="0"/>
            <w:vAlign w:val="top"/>
          </w:tcPr>
          <w:p w14:paraId="050F146A">
            <w:pPr>
              <w:spacing w:line="400" w:lineRule="exact"/>
              <w:jc w:val="center"/>
              <w:rPr>
                <w:rFonts w:ascii="宋体" w:hAnsi="宋体"/>
                <w:color w:val="auto"/>
                <w:szCs w:val="21"/>
                <w:highlight w:val="none"/>
              </w:rPr>
            </w:pPr>
          </w:p>
        </w:tc>
        <w:tc>
          <w:tcPr>
            <w:tcW w:w="1028" w:type="dxa"/>
            <w:noWrap w:val="0"/>
            <w:vAlign w:val="top"/>
          </w:tcPr>
          <w:p w14:paraId="29CF5E51">
            <w:pPr>
              <w:spacing w:line="400" w:lineRule="exact"/>
              <w:jc w:val="center"/>
              <w:rPr>
                <w:rFonts w:ascii="宋体" w:hAnsi="宋体"/>
                <w:color w:val="auto"/>
                <w:szCs w:val="21"/>
                <w:highlight w:val="none"/>
              </w:rPr>
            </w:pPr>
          </w:p>
        </w:tc>
        <w:tc>
          <w:tcPr>
            <w:tcW w:w="674" w:type="dxa"/>
            <w:noWrap w:val="0"/>
            <w:vAlign w:val="top"/>
          </w:tcPr>
          <w:p w14:paraId="5E68C1F2">
            <w:pPr>
              <w:spacing w:line="400" w:lineRule="exact"/>
              <w:jc w:val="center"/>
              <w:rPr>
                <w:rFonts w:ascii="宋体" w:hAnsi="宋体"/>
                <w:color w:val="auto"/>
                <w:szCs w:val="21"/>
                <w:highlight w:val="none"/>
              </w:rPr>
            </w:pPr>
          </w:p>
        </w:tc>
      </w:tr>
      <w:tr w14:paraId="61BB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B531102">
            <w:pPr>
              <w:spacing w:line="400" w:lineRule="exact"/>
              <w:jc w:val="center"/>
              <w:rPr>
                <w:rFonts w:ascii="宋体" w:hAnsi="宋体"/>
                <w:color w:val="auto"/>
                <w:szCs w:val="21"/>
                <w:highlight w:val="none"/>
              </w:rPr>
            </w:pPr>
          </w:p>
        </w:tc>
        <w:tc>
          <w:tcPr>
            <w:tcW w:w="1059" w:type="dxa"/>
            <w:noWrap w:val="0"/>
            <w:vAlign w:val="top"/>
          </w:tcPr>
          <w:p w14:paraId="37E35B38">
            <w:pPr>
              <w:spacing w:line="400" w:lineRule="exact"/>
              <w:jc w:val="center"/>
              <w:rPr>
                <w:rFonts w:ascii="宋体" w:hAnsi="宋体"/>
                <w:color w:val="auto"/>
                <w:szCs w:val="21"/>
                <w:highlight w:val="none"/>
              </w:rPr>
            </w:pPr>
          </w:p>
        </w:tc>
        <w:tc>
          <w:tcPr>
            <w:tcW w:w="742" w:type="dxa"/>
            <w:noWrap w:val="0"/>
            <w:vAlign w:val="top"/>
          </w:tcPr>
          <w:p w14:paraId="57F588BD">
            <w:pPr>
              <w:spacing w:line="400" w:lineRule="exact"/>
              <w:jc w:val="center"/>
              <w:rPr>
                <w:rFonts w:ascii="宋体" w:hAnsi="宋体"/>
                <w:color w:val="auto"/>
                <w:szCs w:val="21"/>
                <w:highlight w:val="none"/>
              </w:rPr>
            </w:pPr>
          </w:p>
        </w:tc>
        <w:tc>
          <w:tcPr>
            <w:tcW w:w="965" w:type="dxa"/>
            <w:noWrap w:val="0"/>
            <w:vAlign w:val="top"/>
          </w:tcPr>
          <w:p w14:paraId="65F8D640">
            <w:pPr>
              <w:spacing w:line="400" w:lineRule="exact"/>
              <w:jc w:val="center"/>
              <w:rPr>
                <w:rFonts w:ascii="宋体" w:hAnsi="宋体"/>
                <w:color w:val="auto"/>
                <w:szCs w:val="21"/>
                <w:highlight w:val="none"/>
              </w:rPr>
            </w:pPr>
          </w:p>
        </w:tc>
        <w:tc>
          <w:tcPr>
            <w:tcW w:w="655" w:type="dxa"/>
            <w:noWrap w:val="0"/>
            <w:vAlign w:val="top"/>
          </w:tcPr>
          <w:p w14:paraId="7DBB75C1">
            <w:pPr>
              <w:spacing w:line="400" w:lineRule="exact"/>
              <w:jc w:val="center"/>
              <w:rPr>
                <w:rFonts w:ascii="宋体" w:hAnsi="宋体"/>
                <w:color w:val="auto"/>
                <w:szCs w:val="21"/>
                <w:highlight w:val="none"/>
              </w:rPr>
            </w:pPr>
          </w:p>
        </w:tc>
        <w:tc>
          <w:tcPr>
            <w:tcW w:w="720" w:type="dxa"/>
            <w:noWrap w:val="0"/>
            <w:vAlign w:val="top"/>
          </w:tcPr>
          <w:p w14:paraId="03F2DF49">
            <w:pPr>
              <w:spacing w:line="400" w:lineRule="exact"/>
              <w:jc w:val="center"/>
              <w:rPr>
                <w:rFonts w:ascii="宋体" w:hAnsi="宋体"/>
                <w:color w:val="auto"/>
                <w:szCs w:val="21"/>
                <w:highlight w:val="none"/>
              </w:rPr>
            </w:pPr>
          </w:p>
        </w:tc>
        <w:tc>
          <w:tcPr>
            <w:tcW w:w="1182" w:type="dxa"/>
            <w:noWrap w:val="0"/>
            <w:vAlign w:val="top"/>
          </w:tcPr>
          <w:p w14:paraId="612397D0">
            <w:pPr>
              <w:spacing w:line="400" w:lineRule="exact"/>
              <w:jc w:val="center"/>
              <w:rPr>
                <w:rFonts w:ascii="宋体" w:hAnsi="宋体"/>
                <w:color w:val="auto"/>
                <w:szCs w:val="21"/>
                <w:highlight w:val="none"/>
              </w:rPr>
            </w:pPr>
          </w:p>
        </w:tc>
        <w:tc>
          <w:tcPr>
            <w:tcW w:w="853" w:type="dxa"/>
            <w:noWrap w:val="0"/>
            <w:vAlign w:val="top"/>
          </w:tcPr>
          <w:p w14:paraId="4ED12FE1">
            <w:pPr>
              <w:spacing w:line="400" w:lineRule="exact"/>
              <w:jc w:val="center"/>
              <w:rPr>
                <w:rFonts w:ascii="宋体" w:hAnsi="宋体"/>
                <w:color w:val="auto"/>
                <w:szCs w:val="21"/>
                <w:highlight w:val="none"/>
              </w:rPr>
            </w:pPr>
          </w:p>
        </w:tc>
        <w:tc>
          <w:tcPr>
            <w:tcW w:w="1028" w:type="dxa"/>
            <w:noWrap w:val="0"/>
            <w:vAlign w:val="top"/>
          </w:tcPr>
          <w:p w14:paraId="5DE8B422">
            <w:pPr>
              <w:spacing w:line="400" w:lineRule="exact"/>
              <w:jc w:val="center"/>
              <w:rPr>
                <w:rFonts w:ascii="宋体" w:hAnsi="宋体"/>
                <w:color w:val="auto"/>
                <w:szCs w:val="21"/>
                <w:highlight w:val="none"/>
              </w:rPr>
            </w:pPr>
          </w:p>
        </w:tc>
        <w:tc>
          <w:tcPr>
            <w:tcW w:w="674" w:type="dxa"/>
            <w:noWrap w:val="0"/>
            <w:vAlign w:val="top"/>
          </w:tcPr>
          <w:p w14:paraId="5970E77E">
            <w:pPr>
              <w:spacing w:line="400" w:lineRule="exact"/>
              <w:jc w:val="center"/>
              <w:rPr>
                <w:rFonts w:ascii="宋体" w:hAnsi="宋体"/>
                <w:color w:val="auto"/>
                <w:szCs w:val="21"/>
                <w:highlight w:val="none"/>
              </w:rPr>
            </w:pPr>
          </w:p>
        </w:tc>
      </w:tr>
      <w:tr w14:paraId="7A6A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06BC389">
            <w:pPr>
              <w:spacing w:line="400" w:lineRule="exact"/>
              <w:jc w:val="center"/>
              <w:rPr>
                <w:rFonts w:ascii="宋体" w:hAnsi="宋体"/>
                <w:color w:val="auto"/>
                <w:szCs w:val="21"/>
                <w:highlight w:val="none"/>
              </w:rPr>
            </w:pPr>
          </w:p>
        </w:tc>
        <w:tc>
          <w:tcPr>
            <w:tcW w:w="1059" w:type="dxa"/>
            <w:noWrap w:val="0"/>
            <w:vAlign w:val="top"/>
          </w:tcPr>
          <w:p w14:paraId="53426DF2">
            <w:pPr>
              <w:spacing w:line="400" w:lineRule="exact"/>
              <w:jc w:val="center"/>
              <w:rPr>
                <w:rFonts w:ascii="宋体" w:hAnsi="宋体"/>
                <w:color w:val="auto"/>
                <w:szCs w:val="21"/>
                <w:highlight w:val="none"/>
              </w:rPr>
            </w:pPr>
          </w:p>
        </w:tc>
        <w:tc>
          <w:tcPr>
            <w:tcW w:w="742" w:type="dxa"/>
            <w:noWrap w:val="0"/>
            <w:vAlign w:val="top"/>
          </w:tcPr>
          <w:p w14:paraId="6E2A60C6">
            <w:pPr>
              <w:spacing w:line="400" w:lineRule="exact"/>
              <w:jc w:val="center"/>
              <w:rPr>
                <w:rFonts w:ascii="宋体" w:hAnsi="宋体"/>
                <w:color w:val="auto"/>
                <w:szCs w:val="21"/>
                <w:highlight w:val="none"/>
              </w:rPr>
            </w:pPr>
          </w:p>
        </w:tc>
        <w:tc>
          <w:tcPr>
            <w:tcW w:w="965" w:type="dxa"/>
            <w:noWrap w:val="0"/>
            <w:vAlign w:val="top"/>
          </w:tcPr>
          <w:p w14:paraId="304D1846">
            <w:pPr>
              <w:spacing w:line="400" w:lineRule="exact"/>
              <w:jc w:val="center"/>
              <w:rPr>
                <w:rFonts w:ascii="宋体" w:hAnsi="宋体"/>
                <w:color w:val="auto"/>
                <w:szCs w:val="21"/>
                <w:highlight w:val="none"/>
              </w:rPr>
            </w:pPr>
          </w:p>
        </w:tc>
        <w:tc>
          <w:tcPr>
            <w:tcW w:w="655" w:type="dxa"/>
            <w:noWrap w:val="0"/>
            <w:vAlign w:val="top"/>
          </w:tcPr>
          <w:p w14:paraId="6F768718">
            <w:pPr>
              <w:spacing w:line="400" w:lineRule="exact"/>
              <w:jc w:val="center"/>
              <w:rPr>
                <w:rFonts w:ascii="宋体" w:hAnsi="宋体"/>
                <w:color w:val="auto"/>
                <w:szCs w:val="21"/>
                <w:highlight w:val="none"/>
              </w:rPr>
            </w:pPr>
          </w:p>
        </w:tc>
        <w:tc>
          <w:tcPr>
            <w:tcW w:w="720" w:type="dxa"/>
            <w:noWrap w:val="0"/>
            <w:vAlign w:val="top"/>
          </w:tcPr>
          <w:p w14:paraId="416EA3D7">
            <w:pPr>
              <w:spacing w:line="400" w:lineRule="exact"/>
              <w:jc w:val="center"/>
              <w:rPr>
                <w:rFonts w:ascii="宋体" w:hAnsi="宋体"/>
                <w:color w:val="auto"/>
                <w:szCs w:val="21"/>
                <w:highlight w:val="none"/>
              </w:rPr>
            </w:pPr>
          </w:p>
        </w:tc>
        <w:tc>
          <w:tcPr>
            <w:tcW w:w="1182" w:type="dxa"/>
            <w:noWrap w:val="0"/>
            <w:vAlign w:val="top"/>
          </w:tcPr>
          <w:p w14:paraId="6EE52056">
            <w:pPr>
              <w:spacing w:line="400" w:lineRule="exact"/>
              <w:jc w:val="center"/>
              <w:rPr>
                <w:rFonts w:ascii="宋体" w:hAnsi="宋体"/>
                <w:color w:val="auto"/>
                <w:szCs w:val="21"/>
                <w:highlight w:val="none"/>
              </w:rPr>
            </w:pPr>
          </w:p>
        </w:tc>
        <w:tc>
          <w:tcPr>
            <w:tcW w:w="853" w:type="dxa"/>
            <w:noWrap w:val="0"/>
            <w:vAlign w:val="top"/>
          </w:tcPr>
          <w:p w14:paraId="377381AC">
            <w:pPr>
              <w:spacing w:line="400" w:lineRule="exact"/>
              <w:jc w:val="center"/>
              <w:rPr>
                <w:rFonts w:ascii="宋体" w:hAnsi="宋体"/>
                <w:color w:val="auto"/>
                <w:szCs w:val="21"/>
                <w:highlight w:val="none"/>
              </w:rPr>
            </w:pPr>
          </w:p>
        </w:tc>
        <w:tc>
          <w:tcPr>
            <w:tcW w:w="1028" w:type="dxa"/>
            <w:noWrap w:val="0"/>
            <w:vAlign w:val="top"/>
          </w:tcPr>
          <w:p w14:paraId="410AA38F">
            <w:pPr>
              <w:spacing w:line="400" w:lineRule="exact"/>
              <w:jc w:val="center"/>
              <w:rPr>
                <w:rFonts w:ascii="宋体" w:hAnsi="宋体"/>
                <w:color w:val="auto"/>
                <w:szCs w:val="21"/>
                <w:highlight w:val="none"/>
              </w:rPr>
            </w:pPr>
          </w:p>
        </w:tc>
        <w:tc>
          <w:tcPr>
            <w:tcW w:w="674" w:type="dxa"/>
            <w:noWrap w:val="0"/>
            <w:vAlign w:val="top"/>
          </w:tcPr>
          <w:p w14:paraId="3E120C97">
            <w:pPr>
              <w:spacing w:line="400" w:lineRule="exact"/>
              <w:jc w:val="center"/>
              <w:rPr>
                <w:rFonts w:ascii="宋体" w:hAnsi="宋体"/>
                <w:color w:val="auto"/>
                <w:szCs w:val="21"/>
                <w:highlight w:val="none"/>
              </w:rPr>
            </w:pPr>
          </w:p>
        </w:tc>
      </w:tr>
      <w:tr w14:paraId="122C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56CA9A2">
            <w:pPr>
              <w:spacing w:line="400" w:lineRule="exact"/>
              <w:jc w:val="center"/>
              <w:rPr>
                <w:rFonts w:ascii="宋体" w:hAnsi="宋体"/>
                <w:color w:val="auto"/>
                <w:szCs w:val="21"/>
                <w:highlight w:val="none"/>
              </w:rPr>
            </w:pPr>
          </w:p>
        </w:tc>
        <w:tc>
          <w:tcPr>
            <w:tcW w:w="1059" w:type="dxa"/>
            <w:noWrap w:val="0"/>
            <w:vAlign w:val="top"/>
          </w:tcPr>
          <w:p w14:paraId="0D7D08DE">
            <w:pPr>
              <w:spacing w:line="400" w:lineRule="exact"/>
              <w:jc w:val="center"/>
              <w:rPr>
                <w:rFonts w:ascii="宋体" w:hAnsi="宋体"/>
                <w:color w:val="auto"/>
                <w:szCs w:val="21"/>
                <w:highlight w:val="none"/>
              </w:rPr>
            </w:pPr>
          </w:p>
        </w:tc>
        <w:tc>
          <w:tcPr>
            <w:tcW w:w="742" w:type="dxa"/>
            <w:noWrap w:val="0"/>
            <w:vAlign w:val="top"/>
          </w:tcPr>
          <w:p w14:paraId="154C3283">
            <w:pPr>
              <w:spacing w:line="400" w:lineRule="exact"/>
              <w:jc w:val="center"/>
              <w:rPr>
                <w:rFonts w:ascii="宋体" w:hAnsi="宋体"/>
                <w:color w:val="auto"/>
                <w:szCs w:val="21"/>
                <w:highlight w:val="none"/>
              </w:rPr>
            </w:pPr>
          </w:p>
        </w:tc>
        <w:tc>
          <w:tcPr>
            <w:tcW w:w="965" w:type="dxa"/>
            <w:noWrap w:val="0"/>
            <w:vAlign w:val="top"/>
          </w:tcPr>
          <w:p w14:paraId="37A2779E">
            <w:pPr>
              <w:spacing w:line="400" w:lineRule="exact"/>
              <w:jc w:val="center"/>
              <w:rPr>
                <w:rFonts w:ascii="宋体" w:hAnsi="宋体"/>
                <w:color w:val="auto"/>
                <w:szCs w:val="21"/>
                <w:highlight w:val="none"/>
              </w:rPr>
            </w:pPr>
          </w:p>
        </w:tc>
        <w:tc>
          <w:tcPr>
            <w:tcW w:w="655" w:type="dxa"/>
            <w:noWrap w:val="0"/>
            <w:vAlign w:val="top"/>
          </w:tcPr>
          <w:p w14:paraId="76632BBB">
            <w:pPr>
              <w:spacing w:line="400" w:lineRule="exact"/>
              <w:jc w:val="center"/>
              <w:rPr>
                <w:rFonts w:ascii="宋体" w:hAnsi="宋体"/>
                <w:color w:val="auto"/>
                <w:szCs w:val="21"/>
                <w:highlight w:val="none"/>
              </w:rPr>
            </w:pPr>
          </w:p>
        </w:tc>
        <w:tc>
          <w:tcPr>
            <w:tcW w:w="720" w:type="dxa"/>
            <w:noWrap w:val="0"/>
            <w:vAlign w:val="top"/>
          </w:tcPr>
          <w:p w14:paraId="30135B77">
            <w:pPr>
              <w:spacing w:line="400" w:lineRule="exact"/>
              <w:jc w:val="center"/>
              <w:rPr>
                <w:rFonts w:ascii="宋体" w:hAnsi="宋体"/>
                <w:color w:val="auto"/>
                <w:szCs w:val="21"/>
                <w:highlight w:val="none"/>
              </w:rPr>
            </w:pPr>
          </w:p>
        </w:tc>
        <w:tc>
          <w:tcPr>
            <w:tcW w:w="1182" w:type="dxa"/>
            <w:noWrap w:val="0"/>
            <w:vAlign w:val="top"/>
          </w:tcPr>
          <w:p w14:paraId="39B9CCB2">
            <w:pPr>
              <w:spacing w:line="400" w:lineRule="exact"/>
              <w:jc w:val="center"/>
              <w:rPr>
                <w:rFonts w:ascii="宋体" w:hAnsi="宋体"/>
                <w:color w:val="auto"/>
                <w:szCs w:val="21"/>
                <w:highlight w:val="none"/>
              </w:rPr>
            </w:pPr>
          </w:p>
        </w:tc>
        <w:tc>
          <w:tcPr>
            <w:tcW w:w="853" w:type="dxa"/>
            <w:noWrap w:val="0"/>
            <w:vAlign w:val="top"/>
          </w:tcPr>
          <w:p w14:paraId="6CF14DF5">
            <w:pPr>
              <w:spacing w:line="400" w:lineRule="exact"/>
              <w:jc w:val="center"/>
              <w:rPr>
                <w:rFonts w:ascii="宋体" w:hAnsi="宋体"/>
                <w:color w:val="auto"/>
                <w:szCs w:val="21"/>
                <w:highlight w:val="none"/>
              </w:rPr>
            </w:pPr>
          </w:p>
        </w:tc>
        <w:tc>
          <w:tcPr>
            <w:tcW w:w="1028" w:type="dxa"/>
            <w:noWrap w:val="0"/>
            <w:vAlign w:val="top"/>
          </w:tcPr>
          <w:p w14:paraId="703CCDC7">
            <w:pPr>
              <w:spacing w:line="400" w:lineRule="exact"/>
              <w:jc w:val="center"/>
              <w:rPr>
                <w:rFonts w:ascii="宋体" w:hAnsi="宋体"/>
                <w:color w:val="auto"/>
                <w:szCs w:val="21"/>
                <w:highlight w:val="none"/>
              </w:rPr>
            </w:pPr>
          </w:p>
        </w:tc>
        <w:tc>
          <w:tcPr>
            <w:tcW w:w="674" w:type="dxa"/>
            <w:noWrap w:val="0"/>
            <w:vAlign w:val="top"/>
          </w:tcPr>
          <w:p w14:paraId="33649FBC">
            <w:pPr>
              <w:spacing w:line="400" w:lineRule="exact"/>
              <w:jc w:val="center"/>
              <w:rPr>
                <w:rFonts w:ascii="宋体" w:hAnsi="宋体"/>
                <w:color w:val="auto"/>
                <w:szCs w:val="21"/>
                <w:highlight w:val="none"/>
              </w:rPr>
            </w:pPr>
          </w:p>
        </w:tc>
      </w:tr>
      <w:tr w14:paraId="477D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7FCEDDA">
            <w:pPr>
              <w:spacing w:line="400" w:lineRule="exact"/>
              <w:jc w:val="center"/>
              <w:rPr>
                <w:rFonts w:ascii="宋体" w:hAnsi="宋体"/>
                <w:color w:val="auto"/>
                <w:szCs w:val="21"/>
                <w:highlight w:val="none"/>
              </w:rPr>
            </w:pPr>
          </w:p>
        </w:tc>
        <w:tc>
          <w:tcPr>
            <w:tcW w:w="1059" w:type="dxa"/>
            <w:noWrap w:val="0"/>
            <w:vAlign w:val="top"/>
          </w:tcPr>
          <w:p w14:paraId="6FDFC5C1">
            <w:pPr>
              <w:spacing w:line="400" w:lineRule="exact"/>
              <w:jc w:val="center"/>
              <w:rPr>
                <w:rFonts w:ascii="宋体" w:hAnsi="宋体"/>
                <w:color w:val="auto"/>
                <w:szCs w:val="21"/>
                <w:highlight w:val="none"/>
              </w:rPr>
            </w:pPr>
          </w:p>
        </w:tc>
        <w:tc>
          <w:tcPr>
            <w:tcW w:w="742" w:type="dxa"/>
            <w:noWrap w:val="0"/>
            <w:vAlign w:val="top"/>
          </w:tcPr>
          <w:p w14:paraId="2C52353B">
            <w:pPr>
              <w:spacing w:line="400" w:lineRule="exact"/>
              <w:jc w:val="center"/>
              <w:rPr>
                <w:rFonts w:ascii="宋体" w:hAnsi="宋体"/>
                <w:color w:val="auto"/>
                <w:szCs w:val="21"/>
                <w:highlight w:val="none"/>
              </w:rPr>
            </w:pPr>
          </w:p>
        </w:tc>
        <w:tc>
          <w:tcPr>
            <w:tcW w:w="965" w:type="dxa"/>
            <w:noWrap w:val="0"/>
            <w:vAlign w:val="top"/>
          </w:tcPr>
          <w:p w14:paraId="7886012E">
            <w:pPr>
              <w:spacing w:line="400" w:lineRule="exact"/>
              <w:jc w:val="center"/>
              <w:rPr>
                <w:rFonts w:ascii="宋体" w:hAnsi="宋体"/>
                <w:color w:val="auto"/>
                <w:szCs w:val="21"/>
                <w:highlight w:val="none"/>
              </w:rPr>
            </w:pPr>
          </w:p>
        </w:tc>
        <w:tc>
          <w:tcPr>
            <w:tcW w:w="655" w:type="dxa"/>
            <w:noWrap w:val="0"/>
            <w:vAlign w:val="top"/>
          </w:tcPr>
          <w:p w14:paraId="52F0C0FD">
            <w:pPr>
              <w:spacing w:line="400" w:lineRule="exact"/>
              <w:jc w:val="center"/>
              <w:rPr>
                <w:rFonts w:ascii="宋体" w:hAnsi="宋体"/>
                <w:color w:val="auto"/>
                <w:szCs w:val="21"/>
                <w:highlight w:val="none"/>
              </w:rPr>
            </w:pPr>
          </w:p>
        </w:tc>
        <w:tc>
          <w:tcPr>
            <w:tcW w:w="720" w:type="dxa"/>
            <w:noWrap w:val="0"/>
            <w:vAlign w:val="top"/>
          </w:tcPr>
          <w:p w14:paraId="78C47FA6">
            <w:pPr>
              <w:spacing w:line="400" w:lineRule="exact"/>
              <w:jc w:val="center"/>
              <w:rPr>
                <w:rFonts w:ascii="宋体" w:hAnsi="宋体"/>
                <w:color w:val="auto"/>
                <w:szCs w:val="21"/>
                <w:highlight w:val="none"/>
              </w:rPr>
            </w:pPr>
          </w:p>
        </w:tc>
        <w:tc>
          <w:tcPr>
            <w:tcW w:w="1182" w:type="dxa"/>
            <w:noWrap w:val="0"/>
            <w:vAlign w:val="top"/>
          </w:tcPr>
          <w:p w14:paraId="0592DF85">
            <w:pPr>
              <w:spacing w:line="400" w:lineRule="exact"/>
              <w:jc w:val="center"/>
              <w:rPr>
                <w:rFonts w:ascii="宋体" w:hAnsi="宋体"/>
                <w:color w:val="auto"/>
                <w:szCs w:val="21"/>
                <w:highlight w:val="none"/>
              </w:rPr>
            </w:pPr>
          </w:p>
        </w:tc>
        <w:tc>
          <w:tcPr>
            <w:tcW w:w="853" w:type="dxa"/>
            <w:noWrap w:val="0"/>
            <w:vAlign w:val="top"/>
          </w:tcPr>
          <w:p w14:paraId="771F64D1">
            <w:pPr>
              <w:spacing w:line="400" w:lineRule="exact"/>
              <w:jc w:val="center"/>
              <w:rPr>
                <w:rFonts w:ascii="宋体" w:hAnsi="宋体"/>
                <w:color w:val="auto"/>
                <w:szCs w:val="21"/>
                <w:highlight w:val="none"/>
              </w:rPr>
            </w:pPr>
          </w:p>
        </w:tc>
        <w:tc>
          <w:tcPr>
            <w:tcW w:w="1028" w:type="dxa"/>
            <w:noWrap w:val="0"/>
            <w:vAlign w:val="top"/>
          </w:tcPr>
          <w:p w14:paraId="5D889502">
            <w:pPr>
              <w:spacing w:line="400" w:lineRule="exact"/>
              <w:jc w:val="center"/>
              <w:rPr>
                <w:rFonts w:ascii="宋体" w:hAnsi="宋体"/>
                <w:color w:val="auto"/>
                <w:szCs w:val="21"/>
                <w:highlight w:val="none"/>
              </w:rPr>
            </w:pPr>
          </w:p>
        </w:tc>
        <w:tc>
          <w:tcPr>
            <w:tcW w:w="674" w:type="dxa"/>
            <w:noWrap w:val="0"/>
            <w:vAlign w:val="top"/>
          </w:tcPr>
          <w:p w14:paraId="3094B88B">
            <w:pPr>
              <w:spacing w:line="400" w:lineRule="exact"/>
              <w:jc w:val="center"/>
              <w:rPr>
                <w:rFonts w:ascii="宋体" w:hAnsi="宋体"/>
                <w:color w:val="auto"/>
                <w:szCs w:val="21"/>
                <w:highlight w:val="none"/>
              </w:rPr>
            </w:pPr>
          </w:p>
        </w:tc>
      </w:tr>
      <w:tr w14:paraId="533A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2746598">
            <w:pPr>
              <w:spacing w:line="400" w:lineRule="exact"/>
              <w:jc w:val="center"/>
              <w:rPr>
                <w:rFonts w:ascii="宋体" w:hAnsi="宋体"/>
                <w:color w:val="auto"/>
                <w:szCs w:val="21"/>
                <w:highlight w:val="none"/>
              </w:rPr>
            </w:pPr>
          </w:p>
        </w:tc>
        <w:tc>
          <w:tcPr>
            <w:tcW w:w="1059" w:type="dxa"/>
            <w:noWrap w:val="0"/>
            <w:vAlign w:val="top"/>
          </w:tcPr>
          <w:p w14:paraId="14D6C96E">
            <w:pPr>
              <w:spacing w:line="400" w:lineRule="exact"/>
              <w:jc w:val="center"/>
              <w:rPr>
                <w:rFonts w:ascii="宋体" w:hAnsi="宋体"/>
                <w:color w:val="auto"/>
                <w:szCs w:val="21"/>
                <w:highlight w:val="none"/>
              </w:rPr>
            </w:pPr>
          </w:p>
        </w:tc>
        <w:tc>
          <w:tcPr>
            <w:tcW w:w="742" w:type="dxa"/>
            <w:noWrap w:val="0"/>
            <w:vAlign w:val="top"/>
          </w:tcPr>
          <w:p w14:paraId="6F0C0043">
            <w:pPr>
              <w:spacing w:line="400" w:lineRule="exact"/>
              <w:jc w:val="center"/>
              <w:rPr>
                <w:rFonts w:ascii="宋体" w:hAnsi="宋体"/>
                <w:color w:val="auto"/>
                <w:szCs w:val="21"/>
                <w:highlight w:val="none"/>
              </w:rPr>
            </w:pPr>
          </w:p>
        </w:tc>
        <w:tc>
          <w:tcPr>
            <w:tcW w:w="965" w:type="dxa"/>
            <w:noWrap w:val="0"/>
            <w:vAlign w:val="top"/>
          </w:tcPr>
          <w:p w14:paraId="43378456">
            <w:pPr>
              <w:spacing w:line="400" w:lineRule="exact"/>
              <w:jc w:val="center"/>
              <w:rPr>
                <w:rFonts w:ascii="宋体" w:hAnsi="宋体"/>
                <w:color w:val="auto"/>
                <w:szCs w:val="21"/>
                <w:highlight w:val="none"/>
              </w:rPr>
            </w:pPr>
          </w:p>
        </w:tc>
        <w:tc>
          <w:tcPr>
            <w:tcW w:w="655" w:type="dxa"/>
            <w:noWrap w:val="0"/>
            <w:vAlign w:val="top"/>
          </w:tcPr>
          <w:p w14:paraId="499C0CC3">
            <w:pPr>
              <w:spacing w:line="400" w:lineRule="exact"/>
              <w:jc w:val="center"/>
              <w:rPr>
                <w:rFonts w:ascii="宋体" w:hAnsi="宋体"/>
                <w:color w:val="auto"/>
                <w:szCs w:val="21"/>
                <w:highlight w:val="none"/>
              </w:rPr>
            </w:pPr>
          </w:p>
        </w:tc>
        <w:tc>
          <w:tcPr>
            <w:tcW w:w="720" w:type="dxa"/>
            <w:noWrap w:val="0"/>
            <w:vAlign w:val="top"/>
          </w:tcPr>
          <w:p w14:paraId="03EAB068">
            <w:pPr>
              <w:spacing w:line="400" w:lineRule="exact"/>
              <w:jc w:val="center"/>
              <w:rPr>
                <w:rFonts w:ascii="宋体" w:hAnsi="宋体"/>
                <w:color w:val="auto"/>
                <w:szCs w:val="21"/>
                <w:highlight w:val="none"/>
              </w:rPr>
            </w:pPr>
          </w:p>
        </w:tc>
        <w:tc>
          <w:tcPr>
            <w:tcW w:w="1182" w:type="dxa"/>
            <w:noWrap w:val="0"/>
            <w:vAlign w:val="top"/>
          </w:tcPr>
          <w:p w14:paraId="25AAB963">
            <w:pPr>
              <w:spacing w:line="400" w:lineRule="exact"/>
              <w:jc w:val="center"/>
              <w:rPr>
                <w:rFonts w:ascii="宋体" w:hAnsi="宋体"/>
                <w:color w:val="auto"/>
                <w:szCs w:val="21"/>
                <w:highlight w:val="none"/>
              </w:rPr>
            </w:pPr>
          </w:p>
        </w:tc>
        <w:tc>
          <w:tcPr>
            <w:tcW w:w="853" w:type="dxa"/>
            <w:noWrap w:val="0"/>
            <w:vAlign w:val="top"/>
          </w:tcPr>
          <w:p w14:paraId="7B799F76">
            <w:pPr>
              <w:spacing w:line="400" w:lineRule="exact"/>
              <w:jc w:val="center"/>
              <w:rPr>
                <w:rFonts w:ascii="宋体" w:hAnsi="宋体"/>
                <w:color w:val="auto"/>
                <w:szCs w:val="21"/>
                <w:highlight w:val="none"/>
              </w:rPr>
            </w:pPr>
          </w:p>
        </w:tc>
        <w:tc>
          <w:tcPr>
            <w:tcW w:w="1028" w:type="dxa"/>
            <w:noWrap w:val="0"/>
            <w:vAlign w:val="top"/>
          </w:tcPr>
          <w:p w14:paraId="67DAE83D">
            <w:pPr>
              <w:spacing w:line="400" w:lineRule="exact"/>
              <w:jc w:val="center"/>
              <w:rPr>
                <w:rFonts w:ascii="宋体" w:hAnsi="宋体"/>
                <w:color w:val="auto"/>
                <w:szCs w:val="21"/>
                <w:highlight w:val="none"/>
              </w:rPr>
            </w:pPr>
          </w:p>
        </w:tc>
        <w:tc>
          <w:tcPr>
            <w:tcW w:w="674" w:type="dxa"/>
            <w:noWrap w:val="0"/>
            <w:vAlign w:val="top"/>
          </w:tcPr>
          <w:p w14:paraId="0C365F50">
            <w:pPr>
              <w:spacing w:line="400" w:lineRule="exact"/>
              <w:jc w:val="center"/>
              <w:rPr>
                <w:rFonts w:ascii="宋体" w:hAnsi="宋体"/>
                <w:color w:val="auto"/>
                <w:szCs w:val="21"/>
                <w:highlight w:val="none"/>
              </w:rPr>
            </w:pPr>
          </w:p>
        </w:tc>
      </w:tr>
      <w:tr w14:paraId="7534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A59928C">
            <w:pPr>
              <w:spacing w:line="400" w:lineRule="exact"/>
              <w:jc w:val="center"/>
              <w:rPr>
                <w:rFonts w:ascii="宋体" w:hAnsi="宋体"/>
                <w:color w:val="auto"/>
                <w:szCs w:val="21"/>
                <w:highlight w:val="none"/>
              </w:rPr>
            </w:pPr>
          </w:p>
        </w:tc>
        <w:tc>
          <w:tcPr>
            <w:tcW w:w="1059" w:type="dxa"/>
            <w:noWrap w:val="0"/>
            <w:vAlign w:val="top"/>
          </w:tcPr>
          <w:p w14:paraId="5E971E35">
            <w:pPr>
              <w:spacing w:line="400" w:lineRule="exact"/>
              <w:jc w:val="center"/>
              <w:rPr>
                <w:rFonts w:ascii="宋体" w:hAnsi="宋体"/>
                <w:color w:val="auto"/>
                <w:szCs w:val="21"/>
                <w:highlight w:val="none"/>
              </w:rPr>
            </w:pPr>
          </w:p>
        </w:tc>
        <w:tc>
          <w:tcPr>
            <w:tcW w:w="742" w:type="dxa"/>
            <w:noWrap w:val="0"/>
            <w:vAlign w:val="top"/>
          </w:tcPr>
          <w:p w14:paraId="123DFB01">
            <w:pPr>
              <w:spacing w:line="400" w:lineRule="exact"/>
              <w:jc w:val="center"/>
              <w:rPr>
                <w:rFonts w:ascii="宋体" w:hAnsi="宋体"/>
                <w:color w:val="auto"/>
                <w:szCs w:val="21"/>
                <w:highlight w:val="none"/>
              </w:rPr>
            </w:pPr>
          </w:p>
        </w:tc>
        <w:tc>
          <w:tcPr>
            <w:tcW w:w="965" w:type="dxa"/>
            <w:noWrap w:val="0"/>
            <w:vAlign w:val="top"/>
          </w:tcPr>
          <w:p w14:paraId="5184F174">
            <w:pPr>
              <w:spacing w:line="400" w:lineRule="exact"/>
              <w:jc w:val="center"/>
              <w:rPr>
                <w:rFonts w:ascii="宋体" w:hAnsi="宋体"/>
                <w:color w:val="auto"/>
                <w:szCs w:val="21"/>
                <w:highlight w:val="none"/>
              </w:rPr>
            </w:pPr>
          </w:p>
        </w:tc>
        <w:tc>
          <w:tcPr>
            <w:tcW w:w="655" w:type="dxa"/>
            <w:noWrap w:val="0"/>
            <w:vAlign w:val="top"/>
          </w:tcPr>
          <w:p w14:paraId="03CFCC80">
            <w:pPr>
              <w:spacing w:line="400" w:lineRule="exact"/>
              <w:jc w:val="center"/>
              <w:rPr>
                <w:rFonts w:ascii="宋体" w:hAnsi="宋体"/>
                <w:color w:val="auto"/>
                <w:szCs w:val="21"/>
                <w:highlight w:val="none"/>
              </w:rPr>
            </w:pPr>
          </w:p>
        </w:tc>
        <w:tc>
          <w:tcPr>
            <w:tcW w:w="720" w:type="dxa"/>
            <w:noWrap w:val="0"/>
            <w:vAlign w:val="top"/>
          </w:tcPr>
          <w:p w14:paraId="6F916302">
            <w:pPr>
              <w:spacing w:line="400" w:lineRule="exact"/>
              <w:jc w:val="center"/>
              <w:rPr>
                <w:rFonts w:ascii="宋体" w:hAnsi="宋体"/>
                <w:color w:val="auto"/>
                <w:szCs w:val="21"/>
                <w:highlight w:val="none"/>
              </w:rPr>
            </w:pPr>
          </w:p>
        </w:tc>
        <w:tc>
          <w:tcPr>
            <w:tcW w:w="1182" w:type="dxa"/>
            <w:noWrap w:val="0"/>
            <w:vAlign w:val="top"/>
          </w:tcPr>
          <w:p w14:paraId="17D8B999">
            <w:pPr>
              <w:spacing w:line="400" w:lineRule="exact"/>
              <w:jc w:val="center"/>
              <w:rPr>
                <w:rFonts w:ascii="宋体" w:hAnsi="宋体"/>
                <w:color w:val="auto"/>
                <w:szCs w:val="21"/>
                <w:highlight w:val="none"/>
              </w:rPr>
            </w:pPr>
          </w:p>
        </w:tc>
        <w:tc>
          <w:tcPr>
            <w:tcW w:w="853" w:type="dxa"/>
            <w:noWrap w:val="0"/>
            <w:vAlign w:val="top"/>
          </w:tcPr>
          <w:p w14:paraId="0D8DAC93">
            <w:pPr>
              <w:spacing w:line="400" w:lineRule="exact"/>
              <w:jc w:val="center"/>
              <w:rPr>
                <w:rFonts w:ascii="宋体" w:hAnsi="宋体"/>
                <w:color w:val="auto"/>
                <w:szCs w:val="21"/>
                <w:highlight w:val="none"/>
              </w:rPr>
            </w:pPr>
          </w:p>
        </w:tc>
        <w:tc>
          <w:tcPr>
            <w:tcW w:w="1028" w:type="dxa"/>
            <w:noWrap w:val="0"/>
            <w:vAlign w:val="top"/>
          </w:tcPr>
          <w:p w14:paraId="541D0F09">
            <w:pPr>
              <w:spacing w:line="400" w:lineRule="exact"/>
              <w:jc w:val="center"/>
              <w:rPr>
                <w:rFonts w:ascii="宋体" w:hAnsi="宋体"/>
                <w:color w:val="auto"/>
                <w:szCs w:val="21"/>
                <w:highlight w:val="none"/>
              </w:rPr>
            </w:pPr>
          </w:p>
        </w:tc>
        <w:tc>
          <w:tcPr>
            <w:tcW w:w="674" w:type="dxa"/>
            <w:noWrap w:val="0"/>
            <w:vAlign w:val="top"/>
          </w:tcPr>
          <w:p w14:paraId="46E0D45D">
            <w:pPr>
              <w:spacing w:line="400" w:lineRule="exact"/>
              <w:jc w:val="center"/>
              <w:rPr>
                <w:rFonts w:ascii="宋体" w:hAnsi="宋体"/>
                <w:color w:val="auto"/>
                <w:szCs w:val="21"/>
                <w:highlight w:val="none"/>
              </w:rPr>
            </w:pPr>
          </w:p>
        </w:tc>
      </w:tr>
      <w:tr w14:paraId="77A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884A2F7">
            <w:pPr>
              <w:spacing w:line="400" w:lineRule="exact"/>
              <w:jc w:val="center"/>
              <w:rPr>
                <w:rFonts w:ascii="宋体" w:hAnsi="宋体"/>
                <w:color w:val="auto"/>
                <w:szCs w:val="21"/>
                <w:highlight w:val="none"/>
              </w:rPr>
            </w:pPr>
          </w:p>
        </w:tc>
        <w:tc>
          <w:tcPr>
            <w:tcW w:w="1059" w:type="dxa"/>
            <w:noWrap w:val="0"/>
            <w:vAlign w:val="top"/>
          </w:tcPr>
          <w:p w14:paraId="0A4005A7">
            <w:pPr>
              <w:spacing w:line="400" w:lineRule="exact"/>
              <w:jc w:val="center"/>
              <w:rPr>
                <w:rFonts w:ascii="宋体" w:hAnsi="宋体"/>
                <w:color w:val="auto"/>
                <w:szCs w:val="21"/>
                <w:highlight w:val="none"/>
              </w:rPr>
            </w:pPr>
          </w:p>
        </w:tc>
        <w:tc>
          <w:tcPr>
            <w:tcW w:w="742" w:type="dxa"/>
            <w:noWrap w:val="0"/>
            <w:vAlign w:val="top"/>
          </w:tcPr>
          <w:p w14:paraId="09D9E90F">
            <w:pPr>
              <w:spacing w:line="400" w:lineRule="exact"/>
              <w:jc w:val="center"/>
              <w:rPr>
                <w:rFonts w:ascii="宋体" w:hAnsi="宋体"/>
                <w:color w:val="auto"/>
                <w:szCs w:val="21"/>
                <w:highlight w:val="none"/>
              </w:rPr>
            </w:pPr>
          </w:p>
        </w:tc>
        <w:tc>
          <w:tcPr>
            <w:tcW w:w="965" w:type="dxa"/>
            <w:noWrap w:val="0"/>
            <w:vAlign w:val="top"/>
          </w:tcPr>
          <w:p w14:paraId="5CF90F25">
            <w:pPr>
              <w:spacing w:line="400" w:lineRule="exact"/>
              <w:jc w:val="center"/>
              <w:rPr>
                <w:rFonts w:ascii="宋体" w:hAnsi="宋体"/>
                <w:color w:val="auto"/>
                <w:szCs w:val="21"/>
                <w:highlight w:val="none"/>
              </w:rPr>
            </w:pPr>
          </w:p>
        </w:tc>
        <w:tc>
          <w:tcPr>
            <w:tcW w:w="655" w:type="dxa"/>
            <w:noWrap w:val="0"/>
            <w:vAlign w:val="top"/>
          </w:tcPr>
          <w:p w14:paraId="122C0C54">
            <w:pPr>
              <w:spacing w:line="400" w:lineRule="exact"/>
              <w:jc w:val="center"/>
              <w:rPr>
                <w:rFonts w:ascii="宋体" w:hAnsi="宋体"/>
                <w:color w:val="auto"/>
                <w:szCs w:val="21"/>
                <w:highlight w:val="none"/>
              </w:rPr>
            </w:pPr>
          </w:p>
        </w:tc>
        <w:tc>
          <w:tcPr>
            <w:tcW w:w="720" w:type="dxa"/>
            <w:noWrap w:val="0"/>
            <w:vAlign w:val="top"/>
          </w:tcPr>
          <w:p w14:paraId="672E9713">
            <w:pPr>
              <w:spacing w:line="400" w:lineRule="exact"/>
              <w:jc w:val="center"/>
              <w:rPr>
                <w:rFonts w:ascii="宋体" w:hAnsi="宋体"/>
                <w:color w:val="auto"/>
                <w:szCs w:val="21"/>
                <w:highlight w:val="none"/>
              </w:rPr>
            </w:pPr>
          </w:p>
        </w:tc>
        <w:tc>
          <w:tcPr>
            <w:tcW w:w="1182" w:type="dxa"/>
            <w:noWrap w:val="0"/>
            <w:vAlign w:val="top"/>
          </w:tcPr>
          <w:p w14:paraId="70F7ADE3">
            <w:pPr>
              <w:spacing w:line="400" w:lineRule="exact"/>
              <w:jc w:val="center"/>
              <w:rPr>
                <w:rFonts w:ascii="宋体" w:hAnsi="宋体"/>
                <w:color w:val="auto"/>
                <w:szCs w:val="21"/>
                <w:highlight w:val="none"/>
              </w:rPr>
            </w:pPr>
          </w:p>
        </w:tc>
        <w:tc>
          <w:tcPr>
            <w:tcW w:w="853" w:type="dxa"/>
            <w:noWrap w:val="0"/>
            <w:vAlign w:val="top"/>
          </w:tcPr>
          <w:p w14:paraId="1D2E97D1">
            <w:pPr>
              <w:spacing w:line="400" w:lineRule="exact"/>
              <w:jc w:val="center"/>
              <w:rPr>
                <w:rFonts w:ascii="宋体" w:hAnsi="宋体"/>
                <w:color w:val="auto"/>
                <w:szCs w:val="21"/>
                <w:highlight w:val="none"/>
              </w:rPr>
            </w:pPr>
          </w:p>
        </w:tc>
        <w:tc>
          <w:tcPr>
            <w:tcW w:w="1028" w:type="dxa"/>
            <w:noWrap w:val="0"/>
            <w:vAlign w:val="top"/>
          </w:tcPr>
          <w:p w14:paraId="7C6B827D">
            <w:pPr>
              <w:spacing w:line="400" w:lineRule="exact"/>
              <w:jc w:val="center"/>
              <w:rPr>
                <w:rFonts w:ascii="宋体" w:hAnsi="宋体"/>
                <w:color w:val="auto"/>
                <w:szCs w:val="21"/>
                <w:highlight w:val="none"/>
              </w:rPr>
            </w:pPr>
          </w:p>
        </w:tc>
        <w:tc>
          <w:tcPr>
            <w:tcW w:w="674" w:type="dxa"/>
            <w:noWrap w:val="0"/>
            <w:vAlign w:val="top"/>
          </w:tcPr>
          <w:p w14:paraId="5B47C5FD">
            <w:pPr>
              <w:spacing w:line="400" w:lineRule="exact"/>
              <w:jc w:val="center"/>
              <w:rPr>
                <w:rFonts w:ascii="宋体" w:hAnsi="宋体"/>
                <w:color w:val="auto"/>
                <w:szCs w:val="21"/>
                <w:highlight w:val="none"/>
              </w:rPr>
            </w:pPr>
          </w:p>
        </w:tc>
      </w:tr>
      <w:tr w14:paraId="24EC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B32DD49">
            <w:pPr>
              <w:spacing w:line="400" w:lineRule="exact"/>
              <w:jc w:val="center"/>
              <w:rPr>
                <w:rFonts w:ascii="宋体" w:hAnsi="宋体"/>
                <w:color w:val="auto"/>
                <w:szCs w:val="21"/>
                <w:highlight w:val="none"/>
              </w:rPr>
            </w:pPr>
          </w:p>
        </w:tc>
        <w:tc>
          <w:tcPr>
            <w:tcW w:w="1059" w:type="dxa"/>
            <w:noWrap w:val="0"/>
            <w:vAlign w:val="top"/>
          </w:tcPr>
          <w:p w14:paraId="662F0546">
            <w:pPr>
              <w:spacing w:line="400" w:lineRule="exact"/>
              <w:jc w:val="center"/>
              <w:rPr>
                <w:rFonts w:ascii="宋体" w:hAnsi="宋体"/>
                <w:color w:val="auto"/>
                <w:szCs w:val="21"/>
                <w:highlight w:val="none"/>
              </w:rPr>
            </w:pPr>
          </w:p>
        </w:tc>
        <w:tc>
          <w:tcPr>
            <w:tcW w:w="742" w:type="dxa"/>
            <w:noWrap w:val="0"/>
            <w:vAlign w:val="top"/>
          </w:tcPr>
          <w:p w14:paraId="60C7F61F">
            <w:pPr>
              <w:spacing w:line="400" w:lineRule="exact"/>
              <w:jc w:val="center"/>
              <w:rPr>
                <w:rFonts w:ascii="宋体" w:hAnsi="宋体"/>
                <w:color w:val="auto"/>
                <w:szCs w:val="21"/>
                <w:highlight w:val="none"/>
              </w:rPr>
            </w:pPr>
          </w:p>
        </w:tc>
        <w:tc>
          <w:tcPr>
            <w:tcW w:w="965" w:type="dxa"/>
            <w:noWrap w:val="0"/>
            <w:vAlign w:val="top"/>
          </w:tcPr>
          <w:p w14:paraId="2D6DF53D">
            <w:pPr>
              <w:spacing w:line="400" w:lineRule="exact"/>
              <w:jc w:val="center"/>
              <w:rPr>
                <w:rFonts w:ascii="宋体" w:hAnsi="宋体"/>
                <w:color w:val="auto"/>
                <w:szCs w:val="21"/>
                <w:highlight w:val="none"/>
              </w:rPr>
            </w:pPr>
          </w:p>
        </w:tc>
        <w:tc>
          <w:tcPr>
            <w:tcW w:w="655" w:type="dxa"/>
            <w:noWrap w:val="0"/>
            <w:vAlign w:val="top"/>
          </w:tcPr>
          <w:p w14:paraId="3BA54457">
            <w:pPr>
              <w:spacing w:line="400" w:lineRule="exact"/>
              <w:jc w:val="center"/>
              <w:rPr>
                <w:rFonts w:ascii="宋体" w:hAnsi="宋体"/>
                <w:color w:val="auto"/>
                <w:szCs w:val="21"/>
                <w:highlight w:val="none"/>
              </w:rPr>
            </w:pPr>
          </w:p>
        </w:tc>
        <w:tc>
          <w:tcPr>
            <w:tcW w:w="720" w:type="dxa"/>
            <w:noWrap w:val="0"/>
            <w:vAlign w:val="top"/>
          </w:tcPr>
          <w:p w14:paraId="16136688">
            <w:pPr>
              <w:spacing w:line="400" w:lineRule="exact"/>
              <w:jc w:val="center"/>
              <w:rPr>
                <w:rFonts w:ascii="宋体" w:hAnsi="宋体"/>
                <w:color w:val="auto"/>
                <w:szCs w:val="21"/>
                <w:highlight w:val="none"/>
              </w:rPr>
            </w:pPr>
          </w:p>
        </w:tc>
        <w:tc>
          <w:tcPr>
            <w:tcW w:w="1182" w:type="dxa"/>
            <w:noWrap w:val="0"/>
            <w:vAlign w:val="top"/>
          </w:tcPr>
          <w:p w14:paraId="1E65DC61">
            <w:pPr>
              <w:spacing w:line="400" w:lineRule="exact"/>
              <w:jc w:val="center"/>
              <w:rPr>
                <w:rFonts w:ascii="宋体" w:hAnsi="宋体"/>
                <w:color w:val="auto"/>
                <w:szCs w:val="21"/>
                <w:highlight w:val="none"/>
              </w:rPr>
            </w:pPr>
          </w:p>
        </w:tc>
        <w:tc>
          <w:tcPr>
            <w:tcW w:w="853" w:type="dxa"/>
            <w:noWrap w:val="0"/>
            <w:vAlign w:val="top"/>
          </w:tcPr>
          <w:p w14:paraId="4DA5276D">
            <w:pPr>
              <w:spacing w:line="400" w:lineRule="exact"/>
              <w:jc w:val="center"/>
              <w:rPr>
                <w:rFonts w:ascii="宋体" w:hAnsi="宋体"/>
                <w:color w:val="auto"/>
                <w:szCs w:val="21"/>
                <w:highlight w:val="none"/>
              </w:rPr>
            </w:pPr>
          </w:p>
        </w:tc>
        <w:tc>
          <w:tcPr>
            <w:tcW w:w="1028" w:type="dxa"/>
            <w:noWrap w:val="0"/>
            <w:vAlign w:val="top"/>
          </w:tcPr>
          <w:p w14:paraId="5025466E">
            <w:pPr>
              <w:spacing w:line="400" w:lineRule="exact"/>
              <w:jc w:val="center"/>
              <w:rPr>
                <w:rFonts w:ascii="宋体" w:hAnsi="宋体"/>
                <w:color w:val="auto"/>
                <w:szCs w:val="21"/>
                <w:highlight w:val="none"/>
              </w:rPr>
            </w:pPr>
          </w:p>
        </w:tc>
        <w:tc>
          <w:tcPr>
            <w:tcW w:w="674" w:type="dxa"/>
            <w:noWrap w:val="0"/>
            <w:vAlign w:val="top"/>
          </w:tcPr>
          <w:p w14:paraId="2C05BFE7">
            <w:pPr>
              <w:spacing w:line="400" w:lineRule="exact"/>
              <w:jc w:val="center"/>
              <w:rPr>
                <w:rFonts w:ascii="宋体" w:hAnsi="宋体"/>
                <w:color w:val="auto"/>
                <w:szCs w:val="21"/>
                <w:highlight w:val="none"/>
              </w:rPr>
            </w:pPr>
          </w:p>
        </w:tc>
      </w:tr>
      <w:tr w14:paraId="3503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836A849">
            <w:pPr>
              <w:spacing w:line="400" w:lineRule="exact"/>
              <w:jc w:val="center"/>
              <w:rPr>
                <w:rFonts w:ascii="宋体" w:hAnsi="宋体"/>
                <w:color w:val="auto"/>
                <w:szCs w:val="21"/>
                <w:highlight w:val="none"/>
              </w:rPr>
            </w:pPr>
          </w:p>
        </w:tc>
        <w:tc>
          <w:tcPr>
            <w:tcW w:w="1059" w:type="dxa"/>
            <w:noWrap w:val="0"/>
            <w:vAlign w:val="top"/>
          </w:tcPr>
          <w:p w14:paraId="490DD27C">
            <w:pPr>
              <w:spacing w:line="400" w:lineRule="exact"/>
              <w:jc w:val="center"/>
              <w:rPr>
                <w:rFonts w:ascii="宋体" w:hAnsi="宋体"/>
                <w:color w:val="auto"/>
                <w:szCs w:val="21"/>
                <w:highlight w:val="none"/>
              </w:rPr>
            </w:pPr>
          </w:p>
        </w:tc>
        <w:tc>
          <w:tcPr>
            <w:tcW w:w="742" w:type="dxa"/>
            <w:noWrap w:val="0"/>
            <w:vAlign w:val="top"/>
          </w:tcPr>
          <w:p w14:paraId="1C9217EA">
            <w:pPr>
              <w:spacing w:line="400" w:lineRule="exact"/>
              <w:jc w:val="center"/>
              <w:rPr>
                <w:rFonts w:ascii="宋体" w:hAnsi="宋体"/>
                <w:color w:val="auto"/>
                <w:szCs w:val="21"/>
                <w:highlight w:val="none"/>
              </w:rPr>
            </w:pPr>
          </w:p>
        </w:tc>
        <w:tc>
          <w:tcPr>
            <w:tcW w:w="965" w:type="dxa"/>
            <w:noWrap w:val="0"/>
            <w:vAlign w:val="top"/>
          </w:tcPr>
          <w:p w14:paraId="0B0A567D">
            <w:pPr>
              <w:spacing w:line="400" w:lineRule="exact"/>
              <w:jc w:val="center"/>
              <w:rPr>
                <w:rFonts w:ascii="宋体" w:hAnsi="宋体"/>
                <w:color w:val="auto"/>
                <w:szCs w:val="21"/>
                <w:highlight w:val="none"/>
              </w:rPr>
            </w:pPr>
          </w:p>
        </w:tc>
        <w:tc>
          <w:tcPr>
            <w:tcW w:w="655" w:type="dxa"/>
            <w:noWrap w:val="0"/>
            <w:vAlign w:val="top"/>
          </w:tcPr>
          <w:p w14:paraId="2ECD3917">
            <w:pPr>
              <w:spacing w:line="400" w:lineRule="exact"/>
              <w:jc w:val="center"/>
              <w:rPr>
                <w:rFonts w:ascii="宋体" w:hAnsi="宋体"/>
                <w:color w:val="auto"/>
                <w:szCs w:val="21"/>
                <w:highlight w:val="none"/>
              </w:rPr>
            </w:pPr>
          </w:p>
        </w:tc>
        <w:tc>
          <w:tcPr>
            <w:tcW w:w="720" w:type="dxa"/>
            <w:noWrap w:val="0"/>
            <w:vAlign w:val="top"/>
          </w:tcPr>
          <w:p w14:paraId="14F09E2B">
            <w:pPr>
              <w:spacing w:line="400" w:lineRule="exact"/>
              <w:jc w:val="center"/>
              <w:rPr>
                <w:rFonts w:ascii="宋体" w:hAnsi="宋体"/>
                <w:color w:val="auto"/>
                <w:szCs w:val="21"/>
                <w:highlight w:val="none"/>
              </w:rPr>
            </w:pPr>
          </w:p>
        </w:tc>
        <w:tc>
          <w:tcPr>
            <w:tcW w:w="1182" w:type="dxa"/>
            <w:noWrap w:val="0"/>
            <w:vAlign w:val="top"/>
          </w:tcPr>
          <w:p w14:paraId="15C22477">
            <w:pPr>
              <w:spacing w:line="400" w:lineRule="exact"/>
              <w:jc w:val="center"/>
              <w:rPr>
                <w:rFonts w:ascii="宋体" w:hAnsi="宋体"/>
                <w:color w:val="auto"/>
                <w:szCs w:val="21"/>
                <w:highlight w:val="none"/>
              </w:rPr>
            </w:pPr>
          </w:p>
        </w:tc>
        <w:tc>
          <w:tcPr>
            <w:tcW w:w="853" w:type="dxa"/>
            <w:noWrap w:val="0"/>
            <w:vAlign w:val="top"/>
          </w:tcPr>
          <w:p w14:paraId="47E28B7D">
            <w:pPr>
              <w:spacing w:line="400" w:lineRule="exact"/>
              <w:jc w:val="center"/>
              <w:rPr>
                <w:rFonts w:ascii="宋体" w:hAnsi="宋体"/>
                <w:color w:val="auto"/>
                <w:szCs w:val="21"/>
                <w:highlight w:val="none"/>
              </w:rPr>
            </w:pPr>
          </w:p>
        </w:tc>
        <w:tc>
          <w:tcPr>
            <w:tcW w:w="1028" w:type="dxa"/>
            <w:noWrap w:val="0"/>
            <w:vAlign w:val="top"/>
          </w:tcPr>
          <w:p w14:paraId="52DB28A4">
            <w:pPr>
              <w:spacing w:line="400" w:lineRule="exact"/>
              <w:jc w:val="center"/>
              <w:rPr>
                <w:rFonts w:ascii="宋体" w:hAnsi="宋体"/>
                <w:color w:val="auto"/>
                <w:szCs w:val="21"/>
                <w:highlight w:val="none"/>
              </w:rPr>
            </w:pPr>
          </w:p>
        </w:tc>
        <w:tc>
          <w:tcPr>
            <w:tcW w:w="674" w:type="dxa"/>
            <w:noWrap w:val="0"/>
            <w:vAlign w:val="top"/>
          </w:tcPr>
          <w:p w14:paraId="13C34575">
            <w:pPr>
              <w:spacing w:line="400" w:lineRule="exact"/>
              <w:jc w:val="center"/>
              <w:rPr>
                <w:rFonts w:ascii="宋体" w:hAnsi="宋体"/>
                <w:color w:val="auto"/>
                <w:szCs w:val="21"/>
                <w:highlight w:val="none"/>
              </w:rPr>
            </w:pPr>
          </w:p>
        </w:tc>
      </w:tr>
    </w:tbl>
    <w:p w14:paraId="05A49DBD">
      <w:pPr>
        <w:spacing w:line="400" w:lineRule="exact"/>
        <w:rPr>
          <w:rFonts w:eastAsia="黑体"/>
          <w:color w:val="auto"/>
          <w:sz w:val="19"/>
          <w:szCs w:val="19"/>
          <w:highlight w:val="none"/>
        </w:rPr>
      </w:pPr>
    </w:p>
    <w:p w14:paraId="7DF1DB84">
      <w:pPr>
        <w:spacing w:line="400" w:lineRule="exact"/>
        <w:rPr>
          <w:rFonts w:eastAsia="黑体"/>
          <w:color w:val="auto"/>
          <w:sz w:val="19"/>
          <w:szCs w:val="19"/>
          <w:highlight w:val="none"/>
        </w:rPr>
      </w:pPr>
      <w:r>
        <w:rPr>
          <w:rFonts w:eastAsia="黑体"/>
          <w:color w:val="auto"/>
          <w:sz w:val="19"/>
          <w:szCs w:val="19"/>
          <w:highlight w:val="none"/>
        </w:rPr>
        <w:br w:type="page"/>
      </w:r>
    </w:p>
    <w:p w14:paraId="62613B62">
      <w:pPr>
        <w:spacing w:line="400" w:lineRule="exact"/>
        <w:jc w:val="center"/>
        <w:outlineLvl w:val="3"/>
        <w:rPr>
          <w:rFonts w:ascii="宋体" w:hAnsi="宋体"/>
          <w:b/>
          <w:color w:val="auto"/>
          <w:sz w:val="24"/>
          <w:szCs w:val="31"/>
          <w:highlight w:val="none"/>
        </w:rPr>
      </w:pPr>
      <w:bookmarkStart w:id="1074" w:name="_Toc168476328"/>
      <w:bookmarkStart w:id="1075" w:name="_Toc221952088"/>
      <w:bookmarkStart w:id="1076" w:name="_Toc168475925"/>
      <w:bookmarkStart w:id="1077" w:name="_Toc144974866"/>
      <w:r>
        <w:rPr>
          <w:rFonts w:ascii="宋体" w:hAnsi="宋体"/>
          <w:b/>
          <w:color w:val="auto"/>
          <w:sz w:val="24"/>
          <w:szCs w:val="31"/>
          <w:highlight w:val="none"/>
        </w:rPr>
        <w:t>附表二：拟</w:t>
      </w:r>
      <w:r>
        <w:rPr>
          <w:rFonts w:hint="eastAsia" w:ascii="宋体" w:hAnsi="宋体"/>
          <w:b/>
          <w:color w:val="auto"/>
          <w:sz w:val="24"/>
          <w:szCs w:val="31"/>
          <w:highlight w:val="none"/>
        </w:rPr>
        <w:t>投入</w:t>
      </w:r>
      <w:r>
        <w:rPr>
          <w:rFonts w:ascii="宋体" w:hAnsi="宋体"/>
          <w:b/>
          <w:color w:val="auto"/>
          <w:sz w:val="24"/>
          <w:szCs w:val="31"/>
          <w:highlight w:val="none"/>
        </w:rPr>
        <w:t>本标段的</w:t>
      </w:r>
      <w:r>
        <w:rPr>
          <w:rFonts w:hint="eastAsia" w:ascii="宋体" w:hAnsi="宋体"/>
          <w:b/>
          <w:color w:val="auto"/>
          <w:sz w:val="24"/>
          <w:szCs w:val="31"/>
          <w:highlight w:val="none"/>
        </w:rPr>
        <w:t>试</w:t>
      </w:r>
      <w:r>
        <w:rPr>
          <w:rFonts w:ascii="宋体" w:hAnsi="宋体"/>
          <w:b/>
          <w:color w:val="auto"/>
          <w:sz w:val="24"/>
          <w:szCs w:val="31"/>
          <w:highlight w:val="none"/>
        </w:rPr>
        <w:t>验和检测仪器设备表</w:t>
      </w:r>
      <w:bookmarkEnd w:id="1074"/>
      <w:bookmarkEnd w:id="1075"/>
      <w:bookmarkEnd w:id="1076"/>
      <w:bookmarkEnd w:id="1077"/>
    </w:p>
    <w:p w14:paraId="41788B8C">
      <w:pPr>
        <w:spacing w:line="400" w:lineRule="exact"/>
        <w:rPr>
          <w:color w:val="auto"/>
          <w:sz w:val="19"/>
          <w:szCs w:val="19"/>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95"/>
        <w:gridCol w:w="882"/>
        <w:gridCol w:w="882"/>
        <w:gridCol w:w="677"/>
        <w:gridCol w:w="744"/>
        <w:gridCol w:w="1221"/>
        <w:gridCol w:w="1665"/>
        <w:gridCol w:w="691"/>
      </w:tblGrid>
      <w:tr w14:paraId="44F9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3756D5C">
            <w:pPr>
              <w:spacing w:line="400" w:lineRule="exact"/>
              <w:jc w:val="center"/>
              <w:rPr>
                <w:rFonts w:ascii="宋体" w:hAnsi="宋体"/>
                <w:color w:val="auto"/>
                <w:szCs w:val="21"/>
                <w:highlight w:val="none"/>
              </w:rPr>
            </w:pPr>
            <w:bookmarkStart w:id="1078" w:name="_Toc221952089"/>
            <w:r>
              <w:rPr>
                <w:rFonts w:ascii="宋体" w:hAnsi="宋体"/>
                <w:color w:val="auto"/>
                <w:szCs w:val="21"/>
                <w:highlight w:val="none"/>
              </w:rPr>
              <w:t>序号</w:t>
            </w:r>
            <w:bookmarkEnd w:id="1078"/>
          </w:p>
        </w:tc>
        <w:tc>
          <w:tcPr>
            <w:tcW w:w="1095" w:type="dxa"/>
            <w:noWrap w:val="0"/>
            <w:vAlign w:val="top"/>
          </w:tcPr>
          <w:p w14:paraId="06347138">
            <w:pPr>
              <w:spacing w:line="400" w:lineRule="exact"/>
              <w:jc w:val="center"/>
              <w:rPr>
                <w:rFonts w:ascii="宋体" w:hAnsi="宋体"/>
                <w:color w:val="auto"/>
                <w:szCs w:val="21"/>
                <w:highlight w:val="none"/>
              </w:rPr>
            </w:pPr>
            <w:bookmarkStart w:id="1079" w:name="_Toc221952090"/>
            <w:r>
              <w:rPr>
                <w:rFonts w:ascii="宋体" w:hAnsi="宋体"/>
                <w:color w:val="auto"/>
                <w:szCs w:val="21"/>
                <w:highlight w:val="none"/>
              </w:rPr>
              <w:t>仪器设备名称</w:t>
            </w:r>
            <w:bookmarkEnd w:id="1079"/>
          </w:p>
        </w:tc>
        <w:tc>
          <w:tcPr>
            <w:tcW w:w="882" w:type="dxa"/>
            <w:noWrap w:val="0"/>
            <w:vAlign w:val="top"/>
          </w:tcPr>
          <w:p w14:paraId="37979079">
            <w:pPr>
              <w:spacing w:line="400" w:lineRule="exact"/>
              <w:jc w:val="center"/>
              <w:rPr>
                <w:rFonts w:ascii="宋体" w:hAnsi="宋体"/>
                <w:color w:val="auto"/>
                <w:szCs w:val="21"/>
                <w:highlight w:val="none"/>
              </w:rPr>
            </w:pPr>
            <w:bookmarkStart w:id="1080" w:name="_Toc221952091"/>
            <w:r>
              <w:rPr>
                <w:rFonts w:ascii="宋体" w:hAnsi="宋体"/>
                <w:color w:val="auto"/>
                <w:szCs w:val="21"/>
                <w:highlight w:val="none"/>
              </w:rPr>
              <w:t>型号</w:t>
            </w:r>
            <w:bookmarkEnd w:id="1080"/>
          </w:p>
          <w:p w14:paraId="6DE0C9C2">
            <w:pPr>
              <w:spacing w:line="400" w:lineRule="exact"/>
              <w:jc w:val="center"/>
              <w:rPr>
                <w:rFonts w:ascii="宋体" w:hAnsi="宋体"/>
                <w:color w:val="auto"/>
                <w:szCs w:val="21"/>
                <w:highlight w:val="none"/>
              </w:rPr>
            </w:pPr>
            <w:bookmarkStart w:id="1081" w:name="_Toc221952092"/>
            <w:r>
              <w:rPr>
                <w:rFonts w:ascii="宋体" w:hAnsi="宋体"/>
                <w:color w:val="auto"/>
                <w:szCs w:val="21"/>
                <w:highlight w:val="none"/>
              </w:rPr>
              <w:t>规格</w:t>
            </w:r>
            <w:bookmarkEnd w:id="1081"/>
          </w:p>
        </w:tc>
        <w:tc>
          <w:tcPr>
            <w:tcW w:w="882" w:type="dxa"/>
            <w:noWrap w:val="0"/>
            <w:vAlign w:val="top"/>
          </w:tcPr>
          <w:p w14:paraId="09C36E00">
            <w:pPr>
              <w:spacing w:line="400" w:lineRule="exact"/>
              <w:jc w:val="center"/>
              <w:rPr>
                <w:rFonts w:ascii="宋体" w:hAnsi="宋体"/>
                <w:color w:val="auto"/>
                <w:szCs w:val="21"/>
                <w:highlight w:val="none"/>
              </w:rPr>
            </w:pPr>
            <w:bookmarkStart w:id="1082" w:name="_Toc221952093"/>
            <w:r>
              <w:rPr>
                <w:rFonts w:ascii="宋体" w:hAnsi="宋体"/>
                <w:color w:val="auto"/>
                <w:szCs w:val="21"/>
                <w:highlight w:val="none"/>
              </w:rPr>
              <w:t>数量</w:t>
            </w:r>
            <w:bookmarkEnd w:id="1082"/>
          </w:p>
        </w:tc>
        <w:tc>
          <w:tcPr>
            <w:tcW w:w="677" w:type="dxa"/>
            <w:noWrap w:val="0"/>
            <w:vAlign w:val="top"/>
          </w:tcPr>
          <w:p w14:paraId="2DF40943">
            <w:pPr>
              <w:spacing w:line="400" w:lineRule="exact"/>
              <w:jc w:val="center"/>
              <w:rPr>
                <w:rFonts w:ascii="宋体" w:hAnsi="宋体"/>
                <w:color w:val="auto"/>
                <w:szCs w:val="21"/>
                <w:highlight w:val="none"/>
              </w:rPr>
            </w:pPr>
            <w:bookmarkStart w:id="1083" w:name="_Toc221952094"/>
            <w:r>
              <w:rPr>
                <w:rFonts w:ascii="宋体" w:hAnsi="宋体"/>
                <w:color w:val="auto"/>
                <w:szCs w:val="21"/>
                <w:highlight w:val="none"/>
              </w:rPr>
              <w:t>国别</w:t>
            </w:r>
            <w:bookmarkEnd w:id="1083"/>
          </w:p>
          <w:p w14:paraId="0626A0D4">
            <w:pPr>
              <w:spacing w:line="400" w:lineRule="exact"/>
              <w:jc w:val="center"/>
              <w:rPr>
                <w:rFonts w:ascii="宋体" w:hAnsi="宋体"/>
                <w:color w:val="auto"/>
                <w:szCs w:val="21"/>
                <w:highlight w:val="none"/>
              </w:rPr>
            </w:pPr>
            <w:bookmarkStart w:id="1084" w:name="_Toc221952095"/>
            <w:r>
              <w:rPr>
                <w:rFonts w:ascii="宋体" w:hAnsi="宋体"/>
                <w:color w:val="auto"/>
                <w:szCs w:val="21"/>
                <w:highlight w:val="none"/>
              </w:rPr>
              <w:t>产地</w:t>
            </w:r>
            <w:bookmarkEnd w:id="1084"/>
          </w:p>
        </w:tc>
        <w:tc>
          <w:tcPr>
            <w:tcW w:w="744" w:type="dxa"/>
            <w:noWrap w:val="0"/>
            <w:vAlign w:val="top"/>
          </w:tcPr>
          <w:p w14:paraId="33ECC21F">
            <w:pPr>
              <w:spacing w:line="400" w:lineRule="exact"/>
              <w:jc w:val="center"/>
              <w:rPr>
                <w:rFonts w:ascii="宋体" w:hAnsi="宋体"/>
                <w:color w:val="auto"/>
                <w:szCs w:val="21"/>
                <w:highlight w:val="none"/>
              </w:rPr>
            </w:pPr>
            <w:bookmarkStart w:id="1085" w:name="_Toc221952096"/>
            <w:r>
              <w:rPr>
                <w:rFonts w:ascii="宋体" w:hAnsi="宋体"/>
                <w:color w:val="auto"/>
                <w:szCs w:val="21"/>
                <w:highlight w:val="none"/>
              </w:rPr>
              <w:t>制造</w:t>
            </w:r>
            <w:bookmarkEnd w:id="1085"/>
          </w:p>
          <w:p w14:paraId="0DA57831">
            <w:pPr>
              <w:spacing w:line="400" w:lineRule="exact"/>
              <w:jc w:val="center"/>
              <w:rPr>
                <w:rFonts w:ascii="宋体" w:hAnsi="宋体"/>
                <w:color w:val="auto"/>
                <w:szCs w:val="21"/>
                <w:highlight w:val="none"/>
              </w:rPr>
            </w:pPr>
            <w:bookmarkStart w:id="1086" w:name="_Toc221952097"/>
            <w:r>
              <w:rPr>
                <w:rFonts w:ascii="宋体" w:hAnsi="宋体"/>
                <w:color w:val="auto"/>
                <w:szCs w:val="21"/>
                <w:highlight w:val="none"/>
              </w:rPr>
              <w:t>年份</w:t>
            </w:r>
            <w:bookmarkEnd w:id="1086"/>
          </w:p>
        </w:tc>
        <w:tc>
          <w:tcPr>
            <w:tcW w:w="1221" w:type="dxa"/>
            <w:noWrap w:val="0"/>
            <w:vAlign w:val="top"/>
          </w:tcPr>
          <w:p w14:paraId="5E5369B9">
            <w:pPr>
              <w:spacing w:line="400" w:lineRule="exact"/>
              <w:jc w:val="center"/>
              <w:rPr>
                <w:rFonts w:ascii="宋体" w:hAnsi="宋体"/>
                <w:color w:val="auto"/>
                <w:szCs w:val="21"/>
                <w:highlight w:val="none"/>
              </w:rPr>
            </w:pPr>
            <w:bookmarkStart w:id="1087" w:name="_Toc221952098"/>
            <w:r>
              <w:rPr>
                <w:rFonts w:ascii="宋体" w:hAnsi="宋体"/>
                <w:color w:val="auto"/>
                <w:szCs w:val="21"/>
                <w:highlight w:val="none"/>
              </w:rPr>
              <w:t>已使用台时数</w:t>
            </w:r>
            <w:bookmarkEnd w:id="1087"/>
          </w:p>
        </w:tc>
        <w:tc>
          <w:tcPr>
            <w:tcW w:w="1665" w:type="dxa"/>
            <w:noWrap w:val="0"/>
            <w:vAlign w:val="top"/>
          </w:tcPr>
          <w:p w14:paraId="1D021B89">
            <w:pPr>
              <w:spacing w:line="400" w:lineRule="exact"/>
              <w:jc w:val="center"/>
              <w:rPr>
                <w:rFonts w:ascii="宋体" w:hAnsi="宋体"/>
                <w:color w:val="auto"/>
                <w:szCs w:val="21"/>
                <w:highlight w:val="none"/>
              </w:rPr>
            </w:pPr>
            <w:bookmarkStart w:id="1088" w:name="_Toc221952099"/>
            <w:r>
              <w:rPr>
                <w:rFonts w:ascii="宋体" w:hAnsi="宋体"/>
                <w:color w:val="auto"/>
                <w:szCs w:val="21"/>
                <w:highlight w:val="none"/>
              </w:rPr>
              <w:t>用途</w:t>
            </w:r>
            <w:bookmarkEnd w:id="1088"/>
          </w:p>
        </w:tc>
        <w:tc>
          <w:tcPr>
            <w:tcW w:w="691" w:type="dxa"/>
            <w:noWrap w:val="0"/>
            <w:vAlign w:val="top"/>
          </w:tcPr>
          <w:p w14:paraId="4D057FF1">
            <w:pPr>
              <w:spacing w:line="400" w:lineRule="exact"/>
              <w:jc w:val="center"/>
              <w:rPr>
                <w:rFonts w:ascii="宋体" w:hAnsi="宋体"/>
                <w:color w:val="auto"/>
                <w:szCs w:val="21"/>
                <w:highlight w:val="none"/>
              </w:rPr>
            </w:pPr>
            <w:bookmarkStart w:id="1089" w:name="_Toc221952100"/>
            <w:r>
              <w:rPr>
                <w:rFonts w:ascii="宋体" w:hAnsi="宋体"/>
                <w:color w:val="auto"/>
                <w:szCs w:val="21"/>
                <w:highlight w:val="none"/>
              </w:rPr>
              <w:t>备注</w:t>
            </w:r>
            <w:bookmarkEnd w:id="1089"/>
          </w:p>
        </w:tc>
      </w:tr>
      <w:tr w14:paraId="3FB3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2F4D35B8">
            <w:pPr>
              <w:spacing w:line="400" w:lineRule="exact"/>
              <w:jc w:val="center"/>
              <w:rPr>
                <w:rFonts w:ascii="宋体" w:hAnsi="宋体"/>
                <w:color w:val="auto"/>
                <w:szCs w:val="21"/>
                <w:highlight w:val="none"/>
              </w:rPr>
            </w:pPr>
          </w:p>
        </w:tc>
        <w:tc>
          <w:tcPr>
            <w:tcW w:w="1095" w:type="dxa"/>
            <w:noWrap w:val="0"/>
            <w:vAlign w:val="top"/>
          </w:tcPr>
          <w:p w14:paraId="39A093DE">
            <w:pPr>
              <w:spacing w:line="400" w:lineRule="exact"/>
              <w:jc w:val="center"/>
              <w:rPr>
                <w:rFonts w:ascii="宋体" w:hAnsi="宋体"/>
                <w:color w:val="auto"/>
                <w:szCs w:val="21"/>
                <w:highlight w:val="none"/>
              </w:rPr>
            </w:pPr>
          </w:p>
        </w:tc>
        <w:tc>
          <w:tcPr>
            <w:tcW w:w="882" w:type="dxa"/>
            <w:noWrap w:val="0"/>
            <w:vAlign w:val="top"/>
          </w:tcPr>
          <w:p w14:paraId="35A73DF7">
            <w:pPr>
              <w:spacing w:line="400" w:lineRule="exact"/>
              <w:jc w:val="center"/>
              <w:rPr>
                <w:rFonts w:ascii="宋体" w:hAnsi="宋体"/>
                <w:color w:val="auto"/>
                <w:szCs w:val="21"/>
                <w:highlight w:val="none"/>
              </w:rPr>
            </w:pPr>
          </w:p>
        </w:tc>
        <w:tc>
          <w:tcPr>
            <w:tcW w:w="882" w:type="dxa"/>
            <w:noWrap w:val="0"/>
            <w:vAlign w:val="top"/>
          </w:tcPr>
          <w:p w14:paraId="316CA823">
            <w:pPr>
              <w:spacing w:line="400" w:lineRule="exact"/>
              <w:jc w:val="center"/>
              <w:rPr>
                <w:rFonts w:ascii="宋体" w:hAnsi="宋体"/>
                <w:color w:val="auto"/>
                <w:szCs w:val="21"/>
                <w:highlight w:val="none"/>
              </w:rPr>
            </w:pPr>
          </w:p>
        </w:tc>
        <w:tc>
          <w:tcPr>
            <w:tcW w:w="677" w:type="dxa"/>
            <w:noWrap w:val="0"/>
            <w:vAlign w:val="top"/>
          </w:tcPr>
          <w:p w14:paraId="7F06213C">
            <w:pPr>
              <w:spacing w:line="400" w:lineRule="exact"/>
              <w:jc w:val="center"/>
              <w:rPr>
                <w:rFonts w:ascii="宋体" w:hAnsi="宋体"/>
                <w:color w:val="auto"/>
                <w:szCs w:val="21"/>
                <w:highlight w:val="none"/>
              </w:rPr>
            </w:pPr>
          </w:p>
        </w:tc>
        <w:tc>
          <w:tcPr>
            <w:tcW w:w="744" w:type="dxa"/>
            <w:noWrap w:val="0"/>
            <w:vAlign w:val="top"/>
          </w:tcPr>
          <w:p w14:paraId="0FE96261">
            <w:pPr>
              <w:spacing w:line="400" w:lineRule="exact"/>
              <w:jc w:val="center"/>
              <w:rPr>
                <w:rFonts w:ascii="宋体" w:hAnsi="宋体"/>
                <w:color w:val="auto"/>
                <w:szCs w:val="21"/>
                <w:highlight w:val="none"/>
              </w:rPr>
            </w:pPr>
          </w:p>
        </w:tc>
        <w:tc>
          <w:tcPr>
            <w:tcW w:w="1221" w:type="dxa"/>
            <w:noWrap w:val="0"/>
            <w:vAlign w:val="top"/>
          </w:tcPr>
          <w:p w14:paraId="3004769C">
            <w:pPr>
              <w:spacing w:line="400" w:lineRule="exact"/>
              <w:jc w:val="center"/>
              <w:rPr>
                <w:rFonts w:ascii="宋体" w:hAnsi="宋体"/>
                <w:color w:val="auto"/>
                <w:szCs w:val="21"/>
                <w:highlight w:val="none"/>
              </w:rPr>
            </w:pPr>
          </w:p>
        </w:tc>
        <w:tc>
          <w:tcPr>
            <w:tcW w:w="1665" w:type="dxa"/>
            <w:noWrap w:val="0"/>
            <w:vAlign w:val="top"/>
          </w:tcPr>
          <w:p w14:paraId="4F0493C1">
            <w:pPr>
              <w:spacing w:line="400" w:lineRule="exact"/>
              <w:jc w:val="center"/>
              <w:rPr>
                <w:rFonts w:ascii="宋体" w:hAnsi="宋体"/>
                <w:color w:val="auto"/>
                <w:szCs w:val="21"/>
                <w:highlight w:val="none"/>
              </w:rPr>
            </w:pPr>
          </w:p>
        </w:tc>
        <w:tc>
          <w:tcPr>
            <w:tcW w:w="691" w:type="dxa"/>
            <w:noWrap w:val="0"/>
            <w:vAlign w:val="top"/>
          </w:tcPr>
          <w:p w14:paraId="4F4BC69A">
            <w:pPr>
              <w:spacing w:line="400" w:lineRule="exact"/>
              <w:jc w:val="center"/>
              <w:rPr>
                <w:rFonts w:ascii="宋体" w:hAnsi="宋体"/>
                <w:color w:val="auto"/>
                <w:szCs w:val="21"/>
                <w:highlight w:val="none"/>
              </w:rPr>
            </w:pPr>
          </w:p>
        </w:tc>
      </w:tr>
      <w:tr w14:paraId="3967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5C6E8A63">
            <w:pPr>
              <w:spacing w:line="400" w:lineRule="exact"/>
              <w:jc w:val="center"/>
              <w:rPr>
                <w:rFonts w:ascii="宋体" w:hAnsi="宋体"/>
                <w:color w:val="auto"/>
                <w:szCs w:val="21"/>
                <w:highlight w:val="none"/>
              </w:rPr>
            </w:pPr>
          </w:p>
        </w:tc>
        <w:tc>
          <w:tcPr>
            <w:tcW w:w="1095" w:type="dxa"/>
            <w:noWrap w:val="0"/>
            <w:vAlign w:val="top"/>
          </w:tcPr>
          <w:p w14:paraId="6CAED7FE">
            <w:pPr>
              <w:spacing w:line="400" w:lineRule="exact"/>
              <w:jc w:val="center"/>
              <w:rPr>
                <w:rFonts w:ascii="宋体" w:hAnsi="宋体"/>
                <w:color w:val="auto"/>
                <w:szCs w:val="21"/>
                <w:highlight w:val="none"/>
              </w:rPr>
            </w:pPr>
          </w:p>
        </w:tc>
        <w:tc>
          <w:tcPr>
            <w:tcW w:w="882" w:type="dxa"/>
            <w:noWrap w:val="0"/>
            <w:vAlign w:val="top"/>
          </w:tcPr>
          <w:p w14:paraId="247CF344">
            <w:pPr>
              <w:spacing w:line="400" w:lineRule="exact"/>
              <w:jc w:val="center"/>
              <w:rPr>
                <w:rFonts w:ascii="宋体" w:hAnsi="宋体"/>
                <w:color w:val="auto"/>
                <w:szCs w:val="21"/>
                <w:highlight w:val="none"/>
              </w:rPr>
            </w:pPr>
          </w:p>
        </w:tc>
        <w:tc>
          <w:tcPr>
            <w:tcW w:w="882" w:type="dxa"/>
            <w:noWrap w:val="0"/>
            <w:vAlign w:val="top"/>
          </w:tcPr>
          <w:p w14:paraId="38E379D6">
            <w:pPr>
              <w:spacing w:line="400" w:lineRule="exact"/>
              <w:jc w:val="center"/>
              <w:rPr>
                <w:rFonts w:ascii="宋体" w:hAnsi="宋体"/>
                <w:color w:val="auto"/>
                <w:szCs w:val="21"/>
                <w:highlight w:val="none"/>
              </w:rPr>
            </w:pPr>
          </w:p>
        </w:tc>
        <w:tc>
          <w:tcPr>
            <w:tcW w:w="677" w:type="dxa"/>
            <w:noWrap w:val="0"/>
            <w:vAlign w:val="top"/>
          </w:tcPr>
          <w:p w14:paraId="216891E1">
            <w:pPr>
              <w:spacing w:line="400" w:lineRule="exact"/>
              <w:jc w:val="center"/>
              <w:rPr>
                <w:rFonts w:ascii="宋体" w:hAnsi="宋体"/>
                <w:color w:val="auto"/>
                <w:szCs w:val="21"/>
                <w:highlight w:val="none"/>
              </w:rPr>
            </w:pPr>
          </w:p>
        </w:tc>
        <w:tc>
          <w:tcPr>
            <w:tcW w:w="744" w:type="dxa"/>
            <w:noWrap w:val="0"/>
            <w:vAlign w:val="top"/>
          </w:tcPr>
          <w:p w14:paraId="18BE0F51">
            <w:pPr>
              <w:spacing w:line="400" w:lineRule="exact"/>
              <w:jc w:val="center"/>
              <w:rPr>
                <w:rFonts w:ascii="宋体" w:hAnsi="宋体"/>
                <w:color w:val="auto"/>
                <w:szCs w:val="21"/>
                <w:highlight w:val="none"/>
              </w:rPr>
            </w:pPr>
          </w:p>
        </w:tc>
        <w:tc>
          <w:tcPr>
            <w:tcW w:w="1221" w:type="dxa"/>
            <w:noWrap w:val="0"/>
            <w:vAlign w:val="top"/>
          </w:tcPr>
          <w:p w14:paraId="490B95E1">
            <w:pPr>
              <w:spacing w:line="400" w:lineRule="exact"/>
              <w:jc w:val="center"/>
              <w:rPr>
                <w:rFonts w:ascii="宋体" w:hAnsi="宋体"/>
                <w:color w:val="auto"/>
                <w:szCs w:val="21"/>
                <w:highlight w:val="none"/>
              </w:rPr>
            </w:pPr>
          </w:p>
        </w:tc>
        <w:tc>
          <w:tcPr>
            <w:tcW w:w="1665" w:type="dxa"/>
            <w:noWrap w:val="0"/>
            <w:vAlign w:val="top"/>
          </w:tcPr>
          <w:p w14:paraId="0B6A9BCE">
            <w:pPr>
              <w:spacing w:line="400" w:lineRule="exact"/>
              <w:jc w:val="center"/>
              <w:rPr>
                <w:rFonts w:ascii="宋体" w:hAnsi="宋体"/>
                <w:color w:val="auto"/>
                <w:szCs w:val="21"/>
                <w:highlight w:val="none"/>
              </w:rPr>
            </w:pPr>
          </w:p>
        </w:tc>
        <w:tc>
          <w:tcPr>
            <w:tcW w:w="691" w:type="dxa"/>
            <w:noWrap w:val="0"/>
            <w:vAlign w:val="top"/>
          </w:tcPr>
          <w:p w14:paraId="64A8934A">
            <w:pPr>
              <w:spacing w:line="400" w:lineRule="exact"/>
              <w:jc w:val="center"/>
              <w:rPr>
                <w:rFonts w:ascii="宋体" w:hAnsi="宋体"/>
                <w:color w:val="auto"/>
                <w:szCs w:val="21"/>
                <w:highlight w:val="none"/>
              </w:rPr>
            </w:pPr>
          </w:p>
        </w:tc>
      </w:tr>
      <w:tr w14:paraId="7AAA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0189C0A7">
            <w:pPr>
              <w:spacing w:line="400" w:lineRule="exact"/>
              <w:jc w:val="center"/>
              <w:rPr>
                <w:rFonts w:ascii="宋体" w:hAnsi="宋体"/>
                <w:color w:val="auto"/>
                <w:szCs w:val="21"/>
                <w:highlight w:val="none"/>
              </w:rPr>
            </w:pPr>
          </w:p>
        </w:tc>
        <w:tc>
          <w:tcPr>
            <w:tcW w:w="1095" w:type="dxa"/>
            <w:noWrap w:val="0"/>
            <w:vAlign w:val="top"/>
          </w:tcPr>
          <w:p w14:paraId="130010BE">
            <w:pPr>
              <w:spacing w:line="400" w:lineRule="exact"/>
              <w:jc w:val="center"/>
              <w:rPr>
                <w:rFonts w:ascii="宋体" w:hAnsi="宋体"/>
                <w:color w:val="auto"/>
                <w:szCs w:val="21"/>
                <w:highlight w:val="none"/>
              </w:rPr>
            </w:pPr>
          </w:p>
        </w:tc>
        <w:tc>
          <w:tcPr>
            <w:tcW w:w="882" w:type="dxa"/>
            <w:noWrap w:val="0"/>
            <w:vAlign w:val="top"/>
          </w:tcPr>
          <w:p w14:paraId="45A670AF">
            <w:pPr>
              <w:spacing w:line="400" w:lineRule="exact"/>
              <w:jc w:val="center"/>
              <w:rPr>
                <w:rFonts w:ascii="宋体" w:hAnsi="宋体"/>
                <w:color w:val="auto"/>
                <w:szCs w:val="21"/>
                <w:highlight w:val="none"/>
              </w:rPr>
            </w:pPr>
          </w:p>
        </w:tc>
        <w:tc>
          <w:tcPr>
            <w:tcW w:w="882" w:type="dxa"/>
            <w:noWrap w:val="0"/>
            <w:vAlign w:val="top"/>
          </w:tcPr>
          <w:p w14:paraId="4B73EF6B">
            <w:pPr>
              <w:spacing w:line="400" w:lineRule="exact"/>
              <w:jc w:val="center"/>
              <w:rPr>
                <w:rFonts w:ascii="宋体" w:hAnsi="宋体"/>
                <w:color w:val="auto"/>
                <w:szCs w:val="21"/>
                <w:highlight w:val="none"/>
              </w:rPr>
            </w:pPr>
          </w:p>
        </w:tc>
        <w:tc>
          <w:tcPr>
            <w:tcW w:w="677" w:type="dxa"/>
            <w:noWrap w:val="0"/>
            <w:vAlign w:val="top"/>
          </w:tcPr>
          <w:p w14:paraId="64230241">
            <w:pPr>
              <w:spacing w:line="400" w:lineRule="exact"/>
              <w:jc w:val="center"/>
              <w:rPr>
                <w:rFonts w:ascii="宋体" w:hAnsi="宋体"/>
                <w:color w:val="auto"/>
                <w:szCs w:val="21"/>
                <w:highlight w:val="none"/>
              </w:rPr>
            </w:pPr>
          </w:p>
        </w:tc>
        <w:tc>
          <w:tcPr>
            <w:tcW w:w="744" w:type="dxa"/>
            <w:noWrap w:val="0"/>
            <w:vAlign w:val="top"/>
          </w:tcPr>
          <w:p w14:paraId="67EADB3F">
            <w:pPr>
              <w:spacing w:line="400" w:lineRule="exact"/>
              <w:jc w:val="center"/>
              <w:rPr>
                <w:rFonts w:ascii="宋体" w:hAnsi="宋体"/>
                <w:color w:val="auto"/>
                <w:szCs w:val="21"/>
                <w:highlight w:val="none"/>
              </w:rPr>
            </w:pPr>
          </w:p>
        </w:tc>
        <w:tc>
          <w:tcPr>
            <w:tcW w:w="1221" w:type="dxa"/>
            <w:noWrap w:val="0"/>
            <w:vAlign w:val="top"/>
          </w:tcPr>
          <w:p w14:paraId="52EEB2AF">
            <w:pPr>
              <w:spacing w:line="400" w:lineRule="exact"/>
              <w:jc w:val="center"/>
              <w:rPr>
                <w:rFonts w:ascii="宋体" w:hAnsi="宋体"/>
                <w:color w:val="auto"/>
                <w:szCs w:val="21"/>
                <w:highlight w:val="none"/>
              </w:rPr>
            </w:pPr>
          </w:p>
        </w:tc>
        <w:tc>
          <w:tcPr>
            <w:tcW w:w="1665" w:type="dxa"/>
            <w:noWrap w:val="0"/>
            <w:vAlign w:val="top"/>
          </w:tcPr>
          <w:p w14:paraId="15D64544">
            <w:pPr>
              <w:spacing w:line="400" w:lineRule="exact"/>
              <w:jc w:val="center"/>
              <w:rPr>
                <w:rFonts w:ascii="宋体" w:hAnsi="宋体"/>
                <w:color w:val="auto"/>
                <w:szCs w:val="21"/>
                <w:highlight w:val="none"/>
              </w:rPr>
            </w:pPr>
          </w:p>
        </w:tc>
        <w:tc>
          <w:tcPr>
            <w:tcW w:w="691" w:type="dxa"/>
            <w:noWrap w:val="0"/>
            <w:vAlign w:val="top"/>
          </w:tcPr>
          <w:p w14:paraId="083C65F4">
            <w:pPr>
              <w:spacing w:line="400" w:lineRule="exact"/>
              <w:jc w:val="center"/>
              <w:rPr>
                <w:rFonts w:ascii="宋体" w:hAnsi="宋体"/>
                <w:color w:val="auto"/>
                <w:szCs w:val="21"/>
                <w:highlight w:val="none"/>
              </w:rPr>
            </w:pPr>
          </w:p>
        </w:tc>
      </w:tr>
      <w:tr w14:paraId="7575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04B6BAAC">
            <w:pPr>
              <w:spacing w:line="400" w:lineRule="exact"/>
              <w:jc w:val="center"/>
              <w:rPr>
                <w:rFonts w:ascii="宋体" w:hAnsi="宋体"/>
                <w:color w:val="auto"/>
                <w:szCs w:val="21"/>
                <w:highlight w:val="none"/>
              </w:rPr>
            </w:pPr>
          </w:p>
        </w:tc>
        <w:tc>
          <w:tcPr>
            <w:tcW w:w="1095" w:type="dxa"/>
            <w:noWrap w:val="0"/>
            <w:vAlign w:val="top"/>
          </w:tcPr>
          <w:p w14:paraId="51177821">
            <w:pPr>
              <w:spacing w:line="400" w:lineRule="exact"/>
              <w:jc w:val="center"/>
              <w:rPr>
                <w:rFonts w:ascii="宋体" w:hAnsi="宋体"/>
                <w:color w:val="auto"/>
                <w:szCs w:val="21"/>
                <w:highlight w:val="none"/>
              </w:rPr>
            </w:pPr>
          </w:p>
        </w:tc>
        <w:tc>
          <w:tcPr>
            <w:tcW w:w="882" w:type="dxa"/>
            <w:noWrap w:val="0"/>
            <w:vAlign w:val="top"/>
          </w:tcPr>
          <w:p w14:paraId="2DAC3F3B">
            <w:pPr>
              <w:spacing w:line="400" w:lineRule="exact"/>
              <w:jc w:val="center"/>
              <w:rPr>
                <w:rFonts w:ascii="宋体" w:hAnsi="宋体"/>
                <w:color w:val="auto"/>
                <w:szCs w:val="21"/>
                <w:highlight w:val="none"/>
              </w:rPr>
            </w:pPr>
          </w:p>
        </w:tc>
        <w:tc>
          <w:tcPr>
            <w:tcW w:w="882" w:type="dxa"/>
            <w:noWrap w:val="0"/>
            <w:vAlign w:val="top"/>
          </w:tcPr>
          <w:p w14:paraId="1BF7453E">
            <w:pPr>
              <w:spacing w:line="400" w:lineRule="exact"/>
              <w:jc w:val="center"/>
              <w:rPr>
                <w:rFonts w:ascii="宋体" w:hAnsi="宋体"/>
                <w:color w:val="auto"/>
                <w:szCs w:val="21"/>
                <w:highlight w:val="none"/>
              </w:rPr>
            </w:pPr>
          </w:p>
        </w:tc>
        <w:tc>
          <w:tcPr>
            <w:tcW w:w="677" w:type="dxa"/>
            <w:noWrap w:val="0"/>
            <w:vAlign w:val="top"/>
          </w:tcPr>
          <w:p w14:paraId="392B0B8D">
            <w:pPr>
              <w:spacing w:line="400" w:lineRule="exact"/>
              <w:jc w:val="center"/>
              <w:rPr>
                <w:rFonts w:ascii="宋体" w:hAnsi="宋体"/>
                <w:color w:val="auto"/>
                <w:szCs w:val="21"/>
                <w:highlight w:val="none"/>
              </w:rPr>
            </w:pPr>
          </w:p>
        </w:tc>
        <w:tc>
          <w:tcPr>
            <w:tcW w:w="744" w:type="dxa"/>
            <w:noWrap w:val="0"/>
            <w:vAlign w:val="top"/>
          </w:tcPr>
          <w:p w14:paraId="146B1111">
            <w:pPr>
              <w:spacing w:line="400" w:lineRule="exact"/>
              <w:jc w:val="center"/>
              <w:rPr>
                <w:rFonts w:ascii="宋体" w:hAnsi="宋体"/>
                <w:color w:val="auto"/>
                <w:szCs w:val="21"/>
                <w:highlight w:val="none"/>
              </w:rPr>
            </w:pPr>
          </w:p>
        </w:tc>
        <w:tc>
          <w:tcPr>
            <w:tcW w:w="1221" w:type="dxa"/>
            <w:noWrap w:val="0"/>
            <w:vAlign w:val="top"/>
          </w:tcPr>
          <w:p w14:paraId="5F023945">
            <w:pPr>
              <w:spacing w:line="400" w:lineRule="exact"/>
              <w:jc w:val="center"/>
              <w:rPr>
                <w:rFonts w:ascii="宋体" w:hAnsi="宋体"/>
                <w:color w:val="auto"/>
                <w:szCs w:val="21"/>
                <w:highlight w:val="none"/>
              </w:rPr>
            </w:pPr>
          </w:p>
        </w:tc>
        <w:tc>
          <w:tcPr>
            <w:tcW w:w="1665" w:type="dxa"/>
            <w:noWrap w:val="0"/>
            <w:vAlign w:val="top"/>
          </w:tcPr>
          <w:p w14:paraId="5AD1236D">
            <w:pPr>
              <w:spacing w:line="400" w:lineRule="exact"/>
              <w:jc w:val="center"/>
              <w:rPr>
                <w:rFonts w:ascii="宋体" w:hAnsi="宋体"/>
                <w:color w:val="auto"/>
                <w:szCs w:val="21"/>
                <w:highlight w:val="none"/>
              </w:rPr>
            </w:pPr>
          </w:p>
        </w:tc>
        <w:tc>
          <w:tcPr>
            <w:tcW w:w="691" w:type="dxa"/>
            <w:noWrap w:val="0"/>
            <w:vAlign w:val="top"/>
          </w:tcPr>
          <w:p w14:paraId="46C41F08">
            <w:pPr>
              <w:spacing w:line="400" w:lineRule="exact"/>
              <w:jc w:val="center"/>
              <w:rPr>
                <w:rFonts w:ascii="宋体" w:hAnsi="宋体"/>
                <w:color w:val="auto"/>
                <w:szCs w:val="21"/>
                <w:highlight w:val="none"/>
              </w:rPr>
            </w:pPr>
          </w:p>
        </w:tc>
      </w:tr>
      <w:tr w14:paraId="7A4D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36C5BEEA">
            <w:pPr>
              <w:spacing w:line="400" w:lineRule="exact"/>
              <w:jc w:val="center"/>
              <w:rPr>
                <w:rFonts w:ascii="宋体" w:hAnsi="宋体"/>
                <w:color w:val="auto"/>
                <w:szCs w:val="21"/>
                <w:highlight w:val="none"/>
              </w:rPr>
            </w:pPr>
          </w:p>
        </w:tc>
        <w:tc>
          <w:tcPr>
            <w:tcW w:w="1095" w:type="dxa"/>
            <w:noWrap w:val="0"/>
            <w:vAlign w:val="top"/>
          </w:tcPr>
          <w:p w14:paraId="09604838">
            <w:pPr>
              <w:spacing w:line="400" w:lineRule="exact"/>
              <w:jc w:val="center"/>
              <w:rPr>
                <w:rFonts w:ascii="宋体" w:hAnsi="宋体"/>
                <w:color w:val="auto"/>
                <w:szCs w:val="21"/>
                <w:highlight w:val="none"/>
              </w:rPr>
            </w:pPr>
          </w:p>
        </w:tc>
        <w:tc>
          <w:tcPr>
            <w:tcW w:w="882" w:type="dxa"/>
            <w:noWrap w:val="0"/>
            <w:vAlign w:val="top"/>
          </w:tcPr>
          <w:p w14:paraId="27EB66C1">
            <w:pPr>
              <w:spacing w:line="400" w:lineRule="exact"/>
              <w:jc w:val="center"/>
              <w:rPr>
                <w:rFonts w:ascii="宋体" w:hAnsi="宋体"/>
                <w:color w:val="auto"/>
                <w:szCs w:val="21"/>
                <w:highlight w:val="none"/>
              </w:rPr>
            </w:pPr>
          </w:p>
        </w:tc>
        <w:tc>
          <w:tcPr>
            <w:tcW w:w="882" w:type="dxa"/>
            <w:noWrap w:val="0"/>
            <w:vAlign w:val="top"/>
          </w:tcPr>
          <w:p w14:paraId="3D5BAC38">
            <w:pPr>
              <w:spacing w:line="400" w:lineRule="exact"/>
              <w:jc w:val="center"/>
              <w:rPr>
                <w:rFonts w:ascii="宋体" w:hAnsi="宋体"/>
                <w:color w:val="auto"/>
                <w:szCs w:val="21"/>
                <w:highlight w:val="none"/>
              </w:rPr>
            </w:pPr>
          </w:p>
        </w:tc>
        <w:tc>
          <w:tcPr>
            <w:tcW w:w="677" w:type="dxa"/>
            <w:noWrap w:val="0"/>
            <w:vAlign w:val="top"/>
          </w:tcPr>
          <w:p w14:paraId="060085C3">
            <w:pPr>
              <w:spacing w:line="400" w:lineRule="exact"/>
              <w:jc w:val="center"/>
              <w:rPr>
                <w:rFonts w:ascii="宋体" w:hAnsi="宋体"/>
                <w:color w:val="auto"/>
                <w:szCs w:val="21"/>
                <w:highlight w:val="none"/>
              </w:rPr>
            </w:pPr>
          </w:p>
        </w:tc>
        <w:tc>
          <w:tcPr>
            <w:tcW w:w="744" w:type="dxa"/>
            <w:noWrap w:val="0"/>
            <w:vAlign w:val="top"/>
          </w:tcPr>
          <w:p w14:paraId="4A6B24C6">
            <w:pPr>
              <w:spacing w:line="400" w:lineRule="exact"/>
              <w:jc w:val="center"/>
              <w:rPr>
                <w:rFonts w:ascii="宋体" w:hAnsi="宋体"/>
                <w:color w:val="auto"/>
                <w:szCs w:val="21"/>
                <w:highlight w:val="none"/>
              </w:rPr>
            </w:pPr>
          </w:p>
        </w:tc>
        <w:tc>
          <w:tcPr>
            <w:tcW w:w="1221" w:type="dxa"/>
            <w:noWrap w:val="0"/>
            <w:vAlign w:val="top"/>
          </w:tcPr>
          <w:p w14:paraId="7762482F">
            <w:pPr>
              <w:spacing w:line="400" w:lineRule="exact"/>
              <w:jc w:val="center"/>
              <w:rPr>
                <w:rFonts w:ascii="宋体" w:hAnsi="宋体"/>
                <w:color w:val="auto"/>
                <w:szCs w:val="21"/>
                <w:highlight w:val="none"/>
              </w:rPr>
            </w:pPr>
          </w:p>
        </w:tc>
        <w:tc>
          <w:tcPr>
            <w:tcW w:w="1665" w:type="dxa"/>
            <w:noWrap w:val="0"/>
            <w:vAlign w:val="top"/>
          </w:tcPr>
          <w:p w14:paraId="4A1E05E8">
            <w:pPr>
              <w:spacing w:line="400" w:lineRule="exact"/>
              <w:jc w:val="center"/>
              <w:rPr>
                <w:rFonts w:ascii="宋体" w:hAnsi="宋体"/>
                <w:color w:val="auto"/>
                <w:szCs w:val="21"/>
                <w:highlight w:val="none"/>
              </w:rPr>
            </w:pPr>
          </w:p>
        </w:tc>
        <w:tc>
          <w:tcPr>
            <w:tcW w:w="691" w:type="dxa"/>
            <w:noWrap w:val="0"/>
            <w:vAlign w:val="top"/>
          </w:tcPr>
          <w:p w14:paraId="0D68677D">
            <w:pPr>
              <w:spacing w:line="400" w:lineRule="exact"/>
              <w:jc w:val="center"/>
              <w:rPr>
                <w:rFonts w:ascii="宋体" w:hAnsi="宋体"/>
                <w:color w:val="auto"/>
                <w:szCs w:val="21"/>
                <w:highlight w:val="none"/>
              </w:rPr>
            </w:pPr>
          </w:p>
        </w:tc>
      </w:tr>
      <w:tr w14:paraId="7B16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623EB46">
            <w:pPr>
              <w:spacing w:line="400" w:lineRule="exact"/>
              <w:jc w:val="center"/>
              <w:rPr>
                <w:rFonts w:ascii="宋体" w:hAnsi="宋体"/>
                <w:color w:val="auto"/>
                <w:szCs w:val="21"/>
                <w:highlight w:val="none"/>
              </w:rPr>
            </w:pPr>
          </w:p>
        </w:tc>
        <w:tc>
          <w:tcPr>
            <w:tcW w:w="1095" w:type="dxa"/>
            <w:noWrap w:val="0"/>
            <w:vAlign w:val="top"/>
          </w:tcPr>
          <w:p w14:paraId="50C44C71">
            <w:pPr>
              <w:spacing w:line="400" w:lineRule="exact"/>
              <w:jc w:val="center"/>
              <w:rPr>
                <w:rFonts w:ascii="宋体" w:hAnsi="宋体"/>
                <w:color w:val="auto"/>
                <w:szCs w:val="21"/>
                <w:highlight w:val="none"/>
              </w:rPr>
            </w:pPr>
          </w:p>
        </w:tc>
        <w:tc>
          <w:tcPr>
            <w:tcW w:w="882" w:type="dxa"/>
            <w:noWrap w:val="0"/>
            <w:vAlign w:val="top"/>
          </w:tcPr>
          <w:p w14:paraId="56FCD8F7">
            <w:pPr>
              <w:spacing w:line="400" w:lineRule="exact"/>
              <w:jc w:val="center"/>
              <w:rPr>
                <w:rFonts w:ascii="宋体" w:hAnsi="宋体"/>
                <w:color w:val="auto"/>
                <w:szCs w:val="21"/>
                <w:highlight w:val="none"/>
              </w:rPr>
            </w:pPr>
          </w:p>
        </w:tc>
        <w:tc>
          <w:tcPr>
            <w:tcW w:w="882" w:type="dxa"/>
            <w:noWrap w:val="0"/>
            <w:vAlign w:val="top"/>
          </w:tcPr>
          <w:p w14:paraId="10FC35DB">
            <w:pPr>
              <w:spacing w:line="400" w:lineRule="exact"/>
              <w:jc w:val="center"/>
              <w:rPr>
                <w:rFonts w:ascii="宋体" w:hAnsi="宋体"/>
                <w:color w:val="auto"/>
                <w:szCs w:val="21"/>
                <w:highlight w:val="none"/>
              </w:rPr>
            </w:pPr>
          </w:p>
        </w:tc>
        <w:tc>
          <w:tcPr>
            <w:tcW w:w="677" w:type="dxa"/>
            <w:noWrap w:val="0"/>
            <w:vAlign w:val="top"/>
          </w:tcPr>
          <w:p w14:paraId="0ABDC0E9">
            <w:pPr>
              <w:spacing w:line="400" w:lineRule="exact"/>
              <w:jc w:val="center"/>
              <w:rPr>
                <w:rFonts w:ascii="宋体" w:hAnsi="宋体"/>
                <w:color w:val="auto"/>
                <w:szCs w:val="21"/>
                <w:highlight w:val="none"/>
              </w:rPr>
            </w:pPr>
          </w:p>
        </w:tc>
        <w:tc>
          <w:tcPr>
            <w:tcW w:w="744" w:type="dxa"/>
            <w:noWrap w:val="0"/>
            <w:vAlign w:val="top"/>
          </w:tcPr>
          <w:p w14:paraId="5782294C">
            <w:pPr>
              <w:spacing w:line="400" w:lineRule="exact"/>
              <w:jc w:val="center"/>
              <w:rPr>
                <w:rFonts w:ascii="宋体" w:hAnsi="宋体"/>
                <w:color w:val="auto"/>
                <w:szCs w:val="21"/>
                <w:highlight w:val="none"/>
              </w:rPr>
            </w:pPr>
          </w:p>
        </w:tc>
        <w:tc>
          <w:tcPr>
            <w:tcW w:w="1221" w:type="dxa"/>
            <w:noWrap w:val="0"/>
            <w:vAlign w:val="top"/>
          </w:tcPr>
          <w:p w14:paraId="2D28704D">
            <w:pPr>
              <w:spacing w:line="400" w:lineRule="exact"/>
              <w:jc w:val="center"/>
              <w:rPr>
                <w:rFonts w:ascii="宋体" w:hAnsi="宋体"/>
                <w:color w:val="auto"/>
                <w:szCs w:val="21"/>
                <w:highlight w:val="none"/>
              </w:rPr>
            </w:pPr>
          </w:p>
        </w:tc>
        <w:tc>
          <w:tcPr>
            <w:tcW w:w="1665" w:type="dxa"/>
            <w:noWrap w:val="0"/>
            <w:vAlign w:val="top"/>
          </w:tcPr>
          <w:p w14:paraId="06C25817">
            <w:pPr>
              <w:spacing w:line="400" w:lineRule="exact"/>
              <w:jc w:val="center"/>
              <w:rPr>
                <w:rFonts w:ascii="宋体" w:hAnsi="宋体"/>
                <w:color w:val="auto"/>
                <w:szCs w:val="21"/>
                <w:highlight w:val="none"/>
              </w:rPr>
            </w:pPr>
          </w:p>
        </w:tc>
        <w:tc>
          <w:tcPr>
            <w:tcW w:w="691" w:type="dxa"/>
            <w:noWrap w:val="0"/>
            <w:vAlign w:val="top"/>
          </w:tcPr>
          <w:p w14:paraId="06832232">
            <w:pPr>
              <w:spacing w:line="400" w:lineRule="exact"/>
              <w:jc w:val="center"/>
              <w:rPr>
                <w:rFonts w:ascii="宋体" w:hAnsi="宋体"/>
                <w:color w:val="auto"/>
                <w:szCs w:val="21"/>
                <w:highlight w:val="none"/>
              </w:rPr>
            </w:pPr>
          </w:p>
        </w:tc>
      </w:tr>
      <w:tr w14:paraId="5CFD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57EE542">
            <w:pPr>
              <w:spacing w:line="400" w:lineRule="exact"/>
              <w:jc w:val="center"/>
              <w:rPr>
                <w:rFonts w:ascii="宋体" w:hAnsi="宋体"/>
                <w:color w:val="auto"/>
                <w:szCs w:val="21"/>
                <w:highlight w:val="none"/>
              </w:rPr>
            </w:pPr>
          </w:p>
        </w:tc>
        <w:tc>
          <w:tcPr>
            <w:tcW w:w="1095" w:type="dxa"/>
            <w:noWrap w:val="0"/>
            <w:vAlign w:val="top"/>
          </w:tcPr>
          <w:p w14:paraId="69865285">
            <w:pPr>
              <w:spacing w:line="400" w:lineRule="exact"/>
              <w:jc w:val="center"/>
              <w:rPr>
                <w:rFonts w:ascii="宋体" w:hAnsi="宋体"/>
                <w:color w:val="auto"/>
                <w:szCs w:val="21"/>
                <w:highlight w:val="none"/>
              </w:rPr>
            </w:pPr>
          </w:p>
        </w:tc>
        <w:tc>
          <w:tcPr>
            <w:tcW w:w="882" w:type="dxa"/>
            <w:noWrap w:val="0"/>
            <w:vAlign w:val="top"/>
          </w:tcPr>
          <w:p w14:paraId="0E422A4B">
            <w:pPr>
              <w:spacing w:line="400" w:lineRule="exact"/>
              <w:jc w:val="center"/>
              <w:rPr>
                <w:rFonts w:ascii="宋体" w:hAnsi="宋体"/>
                <w:color w:val="auto"/>
                <w:szCs w:val="21"/>
                <w:highlight w:val="none"/>
              </w:rPr>
            </w:pPr>
          </w:p>
        </w:tc>
        <w:tc>
          <w:tcPr>
            <w:tcW w:w="882" w:type="dxa"/>
            <w:noWrap w:val="0"/>
            <w:vAlign w:val="top"/>
          </w:tcPr>
          <w:p w14:paraId="529D347A">
            <w:pPr>
              <w:spacing w:line="400" w:lineRule="exact"/>
              <w:jc w:val="center"/>
              <w:rPr>
                <w:rFonts w:ascii="宋体" w:hAnsi="宋体"/>
                <w:color w:val="auto"/>
                <w:szCs w:val="21"/>
                <w:highlight w:val="none"/>
              </w:rPr>
            </w:pPr>
          </w:p>
        </w:tc>
        <w:tc>
          <w:tcPr>
            <w:tcW w:w="677" w:type="dxa"/>
            <w:noWrap w:val="0"/>
            <w:vAlign w:val="top"/>
          </w:tcPr>
          <w:p w14:paraId="4F207E5B">
            <w:pPr>
              <w:spacing w:line="400" w:lineRule="exact"/>
              <w:jc w:val="center"/>
              <w:rPr>
                <w:rFonts w:ascii="宋体" w:hAnsi="宋体"/>
                <w:color w:val="auto"/>
                <w:szCs w:val="21"/>
                <w:highlight w:val="none"/>
              </w:rPr>
            </w:pPr>
          </w:p>
        </w:tc>
        <w:tc>
          <w:tcPr>
            <w:tcW w:w="744" w:type="dxa"/>
            <w:noWrap w:val="0"/>
            <w:vAlign w:val="top"/>
          </w:tcPr>
          <w:p w14:paraId="070A82A4">
            <w:pPr>
              <w:spacing w:line="400" w:lineRule="exact"/>
              <w:jc w:val="center"/>
              <w:rPr>
                <w:rFonts w:ascii="宋体" w:hAnsi="宋体"/>
                <w:color w:val="auto"/>
                <w:szCs w:val="21"/>
                <w:highlight w:val="none"/>
              </w:rPr>
            </w:pPr>
          </w:p>
        </w:tc>
        <w:tc>
          <w:tcPr>
            <w:tcW w:w="1221" w:type="dxa"/>
            <w:noWrap w:val="0"/>
            <w:vAlign w:val="top"/>
          </w:tcPr>
          <w:p w14:paraId="7F980709">
            <w:pPr>
              <w:spacing w:line="400" w:lineRule="exact"/>
              <w:jc w:val="center"/>
              <w:rPr>
                <w:rFonts w:ascii="宋体" w:hAnsi="宋体"/>
                <w:color w:val="auto"/>
                <w:szCs w:val="21"/>
                <w:highlight w:val="none"/>
              </w:rPr>
            </w:pPr>
          </w:p>
        </w:tc>
        <w:tc>
          <w:tcPr>
            <w:tcW w:w="1665" w:type="dxa"/>
            <w:noWrap w:val="0"/>
            <w:vAlign w:val="top"/>
          </w:tcPr>
          <w:p w14:paraId="1D3B7887">
            <w:pPr>
              <w:spacing w:line="400" w:lineRule="exact"/>
              <w:jc w:val="center"/>
              <w:rPr>
                <w:rFonts w:ascii="宋体" w:hAnsi="宋体"/>
                <w:color w:val="auto"/>
                <w:szCs w:val="21"/>
                <w:highlight w:val="none"/>
              </w:rPr>
            </w:pPr>
          </w:p>
        </w:tc>
        <w:tc>
          <w:tcPr>
            <w:tcW w:w="691" w:type="dxa"/>
            <w:noWrap w:val="0"/>
            <w:vAlign w:val="top"/>
          </w:tcPr>
          <w:p w14:paraId="3FC09A31">
            <w:pPr>
              <w:spacing w:line="400" w:lineRule="exact"/>
              <w:jc w:val="center"/>
              <w:rPr>
                <w:rFonts w:ascii="宋体" w:hAnsi="宋体"/>
                <w:color w:val="auto"/>
                <w:szCs w:val="21"/>
                <w:highlight w:val="none"/>
              </w:rPr>
            </w:pPr>
          </w:p>
        </w:tc>
      </w:tr>
      <w:tr w14:paraId="1E78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0071E70">
            <w:pPr>
              <w:spacing w:line="400" w:lineRule="exact"/>
              <w:jc w:val="center"/>
              <w:rPr>
                <w:rFonts w:ascii="宋体" w:hAnsi="宋体"/>
                <w:color w:val="auto"/>
                <w:szCs w:val="21"/>
                <w:highlight w:val="none"/>
              </w:rPr>
            </w:pPr>
          </w:p>
        </w:tc>
        <w:tc>
          <w:tcPr>
            <w:tcW w:w="1095" w:type="dxa"/>
            <w:noWrap w:val="0"/>
            <w:vAlign w:val="top"/>
          </w:tcPr>
          <w:p w14:paraId="3979B1D2">
            <w:pPr>
              <w:spacing w:line="400" w:lineRule="exact"/>
              <w:jc w:val="center"/>
              <w:rPr>
                <w:rFonts w:ascii="宋体" w:hAnsi="宋体"/>
                <w:color w:val="auto"/>
                <w:szCs w:val="21"/>
                <w:highlight w:val="none"/>
              </w:rPr>
            </w:pPr>
          </w:p>
        </w:tc>
        <w:tc>
          <w:tcPr>
            <w:tcW w:w="882" w:type="dxa"/>
            <w:noWrap w:val="0"/>
            <w:vAlign w:val="top"/>
          </w:tcPr>
          <w:p w14:paraId="4E8FEA25">
            <w:pPr>
              <w:spacing w:line="400" w:lineRule="exact"/>
              <w:jc w:val="center"/>
              <w:rPr>
                <w:rFonts w:ascii="宋体" w:hAnsi="宋体"/>
                <w:color w:val="auto"/>
                <w:szCs w:val="21"/>
                <w:highlight w:val="none"/>
              </w:rPr>
            </w:pPr>
          </w:p>
        </w:tc>
        <w:tc>
          <w:tcPr>
            <w:tcW w:w="882" w:type="dxa"/>
            <w:noWrap w:val="0"/>
            <w:vAlign w:val="top"/>
          </w:tcPr>
          <w:p w14:paraId="2D940D52">
            <w:pPr>
              <w:spacing w:line="400" w:lineRule="exact"/>
              <w:jc w:val="center"/>
              <w:rPr>
                <w:rFonts w:ascii="宋体" w:hAnsi="宋体"/>
                <w:color w:val="auto"/>
                <w:szCs w:val="21"/>
                <w:highlight w:val="none"/>
              </w:rPr>
            </w:pPr>
          </w:p>
        </w:tc>
        <w:tc>
          <w:tcPr>
            <w:tcW w:w="677" w:type="dxa"/>
            <w:noWrap w:val="0"/>
            <w:vAlign w:val="top"/>
          </w:tcPr>
          <w:p w14:paraId="65000FC8">
            <w:pPr>
              <w:spacing w:line="400" w:lineRule="exact"/>
              <w:jc w:val="center"/>
              <w:rPr>
                <w:rFonts w:ascii="宋体" w:hAnsi="宋体"/>
                <w:color w:val="auto"/>
                <w:szCs w:val="21"/>
                <w:highlight w:val="none"/>
              </w:rPr>
            </w:pPr>
          </w:p>
        </w:tc>
        <w:tc>
          <w:tcPr>
            <w:tcW w:w="744" w:type="dxa"/>
            <w:noWrap w:val="0"/>
            <w:vAlign w:val="top"/>
          </w:tcPr>
          <w:p w14:paraId="5C92FBFF">
            <w:pPr>
              <w:spacing w:line="400" w:lineRule="exact"/>
              <w:jc w:val="center"/>
              <w:rPr>
                <w:rFonts w:ascii="宋体" w:hAnsi="宋体"/>
                <w:color w:val="auto"/>
                <w:szCs w:val="21"/>
                <w:highlight w:val="none"/>
              </w:rPr>
            </w:pPr>
          </w:p>
        </w:tc>
        <w:tc>
          <w:tcPr>
            <w:tcW w:w="1221" w:type="dxa"/>
            <w:noWrap w:val="0"/>
            <w:vAlign w:val="top"/>
          </w:tcPr>
          <w:p w14:paraId="787B51A2">
            <w:pPr>
              <w:spacing w:line="400" w:lineRule="exact"/>
              <w:jc w:val="center"/>
              <w:rPr>
                <w:rFonts w:ascii="宋体" w:hAnsi="宋体"/>
                <w:color w:val="auto"/>
                <w:szCs w:val="21"/>
                <w:highlight w:val="none"/>
              </w:rPr>
            </w:pPr>
          </w:p>
        </w:tc>
        <w:tc>
          <w:tcPr>
            <w:tcW w:w="1665" w:type="dxa"/>
            <w:noWrap w:val="0"/>
            <w:vAlign w:val="top"/>
          </w:tcPr>
          <w:p w14:paraId="3186E41B">
            <w:pPr>
              <w:spacing w:line="400" w:lineRule="exact"/>
              <w:jc w:val="center"/>
              <w:rPr>
                <w:rFonts w:ascii="宋体" w:hAnsi="宋体"/>
                <w:color w:val="auto"/>
                <w:szCs w:val="21"/>
                <w:highlight w:val="none"/>
              </w:rPr>
            </w:pPr>
          </w:p>
        </w:tc>
        <w:tc>
          <w:tcPr>
            <w:tcW w:w="691" w:type="dxa"/>
            <w:noWrap w:val="0"/>
            <w:vAlign w:val="top"/>
          </w:tcPr>
          <w:p w14:paraId="46288752">
            <w:pPr>
              <w:spacing w:line="400" w:lineRule="exact"/>
              <w:jc w:val="center"/>
              <w:rPr>
                <w:rFonts w:ascii="宋体" w:hAnsi="宋体"/>
                <w:color w:val="auto"/>
                <w:szCs w:val="21"/>
                <w:highlight w:val="none"/>
              </w:rPr>
            </w:pPr>
          </w:p>
        </w:tc>
      </w:tr>
      <w:tr w14:paraId="6774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480A13BD">
            <w:pPr>
              <w:spacing w:line="400" w:lineRule="exact"/>
              <w:jc w:val="center"/>
              <w:rPr>
                <w:rFonts w:ascii="宋体" w:hAnsi="宋体"/>
                <w:color w:val="auto"/>
                <w:szCs w:val="21"/>
                <w:highlight w:val="none"/>
              </w:rPr>
            </w:pPr>
          </w:p>
        </w:tc>
        <w:tc>
          <w:tcPr>
            <w:tcW w:w="1095" w:type="dxa"/>
            <w:noWrap w:val="0"/>
            <w:vAlign w:val="top"/>
          </w:tcPr>
          <w:p w14:paraId="7AF5C4AE">
            <w:pPr>
              <w:spacing w:line="400" w:lineRule="exact"/>
              <w:jc w:val="center"/>
              <w:rPr>
                <w:rFonts w:ascii="宋体" w:hAnsi="宋体"/>
                <w:color w:val="auto"/>
                <w:szCs w:val="21"/>
                <w:highlight w:val="none"/>
              </w:rPr>
            </w:pPr>
          </w:p>
        </w:tc>
        <w:tc>
          <w:tcPr>
            <w:tcW w:w="882" w:type="dxa"/>
            <w:noWrap w:val="0"/>
            <w:vAlign w:val="top"/>
          </w:tcPr>
          <w:p w14:paraId="233DD6CA">
            <w:pPr>
              <w:spacing w:line="400" w:lineRule="exact"/>
              <w:jc w:val="center"/>
              <w:rPr>
                <w:rFonts w:ascii="宋体" w:hAnsi="宋体"/>
                <w:color w:val="auto"/>
                <w:szCs w:val="21"/>
                <w:highlight w:val="none"/>
              </w:rPr>
            </w:pPr>
          </w:p>
        </w:tc>
        <w:tc>
          <w:tcPr>
            <w:tcW w:w="882" w:type="dxa"/>
            <w:noWrap w:val="0"/>
            <w:vAlign w:val="top"/>
          </w:tcPr>
          <w:p w14:paraId="72D3C3D4">
            <w:pPr>
              <w:spacing w:line="400" w:lineRule="exact"/>
              <w:jc w:val="center"/>
              <w:rPr>
                <w:rFonts w:ascii="宋体" w:hAnsi="宋体"/>
                <w:color w:val="auto"/>
                <w:szCs w:val="21"/>
                <w:highlight w:val="none"/>
              </w:rPr>
            </w:pPr>
          </w:p>
        </w:tc>
        <w:tc>
          <w:tcPr>
            <w:tcW w:w="677" w:type="dxa"/>
            <w:noWrap w:val="0"/>
            <w:vAlign w:val="top"/>
          </w:tcPr>
          <w:p w14:paraId="7D5EEC71">
            <w:pPr>
              <w:spacing w:line="400" w:lineRule="exact"/>
              <w:jc w:val="center"/>
              <w:rPr>
                <w:rFonts w:ascii="宋体" w:hAnsi="宋体"/>
                <w:color w:val="auto"/>
                <w:szCs w:val="21"/>
                <w:highlight w:val="none"/>
              </w:rPr>
            </w:pPr>
          </w:p>
        </w:tc>
        <w:tc>
          <w:tcPr>
            <w:tcW w:w="744" w:type="dxa"/>
            <w:noWrap w:val="0"/>
            <w:vAlign w:val="top"/>
          </w:tcPr>
          <w:p w14:paraId="1478379B">
            <w:pPr>
              <w:spacing w:line="400" w:lineRule="exact"/>
              <w:jc w:val="center"/>
              <w:rPr>
                <w:rFonts w:ascii="宋体" w:hAnsi="宋体"/>
                <w:color w:val="auto"/>
                <w:szCs w:val="21"/>
                <w:highlight w:val="none"/>
              </w:rPr>
            </w:pPr>
          </w:p>
        </w:tc>
        <w:tc>
          <w:tcPr>
            <w:tcW w:w="1221" w:type="dxa"/>
            <w:noWrap w:val="0"/>
            <w:vAlign w:val="top"/>
          </w:tcPr>
          <w:p w14:paraId="0581CD3E">
            <w:pPr>
              <w:spacing w:line="400" w:lineRule="exact"/>
              <w:jc w:val="center"/>
              <w:rPr>
                <w:rFonts w:ascii="宋体" w:hAnsi="宋体"/>
                <w:color w:val="auto"/>
                <w:szCs w:val="21"/>
                <w:highlight w:val="none"/>
              </w:rPr>
            </w:pPr>
          </w:p>
        </w:tc>
        <w:tc>
          <w:tcPr>
            <w:tcW w:w="1665" w:type="dxa"/>
            <w:noWrap w:val="0"/>
            <w:vAlign w:val="top"/>
          </w:tcPr>
          <w:p w14:paraId="3D27A71C">
            <w:pPr>
              <w:spacing w:line="400" w:lineRule="exact"/>
              <w:jc w:val="center"/>
              <w:rPr>
                <w:rFonts w:ascii="宋体" w:hAnsi="宋体"/>
                <w:color w:val="auto"/>
                <w:szCs w:val="21"/>
                <w:highlight w:val="none"/>
              </w:rPr>
            </w:pPr>
          </w:p>
        </w:tc>
        <w:tc>
          <w:tcPr>
            <w:tcW w:w="691" w:type="dxa"/>
            <w:noWrap w:val="0"/>
            <w:vAlign w:val="top"/>
          </w:tcPr>
          <w:p w14:paraId="640C803A">
            <w:pPr>
              <w:spacing w:line="400" w:lineRule="exact"/>
              <w:jc w:val="center"/>
              <w:rPr>
                <w:rFonts w:ascii="宋体" w:hAnsi="宋体"/>
                <w:color w:val="auto"/>
                <w:szCs w:val="21"/>
                <w:highlight w:val="none"/>
              </w:rPr>
            </w:pPr>
          </w:p>
        </w:tc>
      </w:tr>
      <w:tr w14:paraId="7250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073DF3CE">
            <w:pPr>
              <w:spacing w:line="400" w:lineRule="exact"/>
              <w:jc w:val="center"/>
              <w:rPr>
                <w:rFonts w:ascii="宋体" w:hAnsi="宋体"/>
                <w:color w:val="auto"/>
                <w:szCs w:val="21"/>
                <w:highlight w:val="none"/>
              </w:rPr>
            </w:pPr>
          </w:p>
        </w:tc>
        <w:tc>
          <w:tcPr>
            <w:tcW w:w="1095" w:type="dxa"/>
            <w:noWrap w:val="0"/>
            <w:vAlign w:val="top"/>
          </w:tcPr>
          <w:p w14:paraId="29ABAEFC">
            <w:pPr>
              <w:spacing w:line="400" w:lineRule="exact"/>
              <w:jc w:val="center"/>
              <w:rPr>
                <w:rFonts w:ascii="宋体" w:hAnsi="宋体"/>
                <w:color w:val="auto"/>
                <w:szCs w:val="21"/>
                <w:highlight w:val="none"/>
              </w:rPr>
            </w:pPr>
          </w:p>
        </w:tc>
        <w:tc>
          <w:tcPr>
            <w:tcW w:w="882" w:type="dxa"/>
            <w:noWrap w:val="0"/>
            <w:vAlign w:val="top"/>
          </w:tcPr>
          <w:p w14:paraId="3A0F6FEA">
            <w:pPr>
              <w:spacing w:line="400" w:lineRule="exact"/>
              <w:jc w:val="center"/>
              <w:rPr>
                <w:rFonts w:ascii="宋体" w:hAnsi="宋体"/>
                <w:color w:val="auto"/>
                <w:szCs w:val="21"/>
                <w:highlight w:val="none"/>
              </w:rPr>
            </w:pPr>
          </w:p>
        </w:tc>
        <w:tc>
          <w:tcPr>
            <w:tcW w:w="882" w:type="dxa"/>
            <w:noWrap w:val="0"/>
            <w:vAlign w:val="top"/>
          </w:tcPr>
          <w:p w14:paraId="1BBD1DCE">
            <w:pPr>
              <w:spacing w:line="400" w:lineRule="exact"/>
              <w:jc w:val="center"/>
              <w:rPr>
                <w:rFonts w:ascii="宋体" w:hAnsi="宋体"/>
                <w:color w:val="auto"/>
                <w:szCs w:val="21"/>
                <w:highlight w:val="none"/>
              </w:rPr>
            </w:pPr>
          </w:p>
        </w:tc>
        <w:tc>
          <w:tcPr>
            <w:tcW w:w="677" w:type="dxa"/>
            <w:noWrap w:val="0"/>
            <w:vAlign w:val="top"/>
          </w:tcPr>
          <w:p w14:paraId="5962D9EE">
            <w:pPr>
              <w:spacing w:line="400" w:lineRule="exact"/>
              <w:jc w:val="center"/>
              <w:rPr>
                <w:rFonts w:ascii="宋体" w:hAnsi="宋体"/>
                <w:color w:val="auto"/>
                <w:szCs w:val="21"/>
                <w:highlight w:val="none"/>
              </w:rPr>
            </w:pPr>
          </w:p>
        </w:tc>
        <w:tc>
          <w:tcPr>
            <w:tcW w:w="744" w:type="dxa"/>
            <w:noWrap w:val="0"/>
            <w:vAlign w:val="top"/>
          </w:tcPr>
          <w:p w14:paraId="6C5B3C67">
            <w:pPr>
              <w:spacing w:line="400" w:lineRule="exact"/>
              <w:jc w:val="center"/>
              <w:rPr>
                <w:rFonts w:ascii="宋体" w:hAnsi="宋体"/>
                <w:color w:val="auto"/>
                <w:szCs w:val="21"/>
                <w:highlight w:val="none"/>
              </w:rPr>
            </w:pPr>
          </w:p>
        </w:tc>
        <w:tc>
          <w:tcPr>
            <w:tcW w:w="1221" w:type="dxa"/>
            <w:noWrap w:val="0"/>
            <w:vAlign w:val="top"/>
          </w:tcPr>
          <w:p w14:paraId="3EA0C5F9">
            <w:pPr>
              <w:spacing w:line="400" w:lineRule="exact"/>
              <w:jc w:val="center"/>
              <w:rPr>
                <w:rFonts w:ascii="宋体" w:hAnsi="宋体"/>
                <w:color w:val="auto"/>
                <w:szCs w:val="21"/>
                <w:highlight w:val="none"/>
              </w:rPr>
            </w:pPr>
          </w:p>
        </w:tc>
        <w:tc>
          <w:tcPr>
            <w:tcW w:w="1665" w:type="dxa"/>
            <w:noWrap w:val="0"/>
            <w:vAlign w:val="top"/>
          </w:tcPr>
          <w:p w14:paraId="512C0AD7">
            <w:pPr>
              <w:spacing w:line="400" w:lineRule="exact"/>
              <w:jc w:val="center"/>
              <w:rPr>
                <w:rFonts w:ascii="宋体" w:hAnsi="宋体"/>
                <w:color w:val="auto"/>
                <w:szCs w:val="21"/>
                <w:highlight w:val="none"/>
              </w:rPr>
            </w:pPr>
          </w:p>
        </w:tc>
        <w:tc>
          <w:tcPr>
            <w:tcW w:w="691" w:type="dxa"/>
            <w:noWrap w:val="0"/>
            <w:vAlign w:val="top"/>
          </w:tcPr>
          <w:p w14:paraId="6A361D54">
            <w:pPr>
              <w:spacing w:line="400" w:lineRule="exact"/>
              <w:jc w:val="center"/>
              <w:rPr>
                <w:rFonts w:ascii="宋体" w:hAnsi="宋体"/>
                <w:color w:val="auto"/>
                <w:szCs w:val="21"/>
                <w:highlight w:val="none"/>
              </w:rPr>
            </w:pPr>
          </w:p>
        </w:tc>
      </w:tr>
      <w:tr w14:paraId="05D6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94FE399">
            <w:pPr>
              <w:spacing w:line="400" w:lineRule="exact"/>
              <w:jc w:val="center"/>
              <w:rPr>
                <w:rFonts w:ascii="宋体" w:hAnsi="宋体"/>
                <w:color w:val="auto"/>
                <w:szCs w:val="21"/>
                <w:highlight w:val="none"/>
              </w:rPr>
            </w:pPr>
          </w:p>
        </w:tc>
        <w:tc>
          <w:tcPr>
            <w:tcW w:w="1095" w:type="dxa"/>
            <w:noWrap w:val="0"/>
            <w:vAlign w:val="top"/>
          </w:tcPr>
          <w:p w14:paraId="0B8B7905">
            <w:pPr>
              <w:spacing w:line="400" w:lineRule="exact"/>
              <w:jc w:val="center"/>
              <w:rPr>
                <w:rFonts w:ascii="宋体" w:hAnsi="宋体"/>
                <w:color w:val="auto"/>
                <w:szCs w:val="21"/>
                <w:highlight w:val="none"/>
              </w:rPr>
            </w:pPr>
          </w:p>
        </w:tc>
        <w:tc>
          <w:tcPr>
            <w:tcW w:w="882" w:type="dxa"/>
            <w:noWrap w:val="0"/>
            <w:vAlign w:val="top"/>
          </w:tcPr>
          <w:p w14:paraId="6C9A2F06">
            <w:pPr>
              <w:spacing w:line="400" w:lineRule="exact"/>
              <w:jc w:val="center"/>
              <w:rPr>
                <w:rFonts w:ascii="宋体" w:hAnsi="宋体"/>
                <w:color w:val="auto"/>
                <w:szCs w:val="21"/>
                <w:highlight w:val="none"/>
              </w:rPr>
            </w:pPr>
          </w:p>
        </w:tc>
        <w:tc>
          <w:tcPr>
            <w:tcW w:w="882" w:type="dxa"/>
            <w:noWrap w:val="0"/>
            <w:vAlign w:val="top"/>
          </w:tcPr>
          <w:p w14:paraId="12945D01">
            <w:pPr>
              <w:spacing w:line="400" w:lineRule="exact"/>
              <w:jc w:val="center"/>
              <w:rPr>
                <w:rFonts w:ascii="宋体" w:hAnsi="宋体"/>
                <w:color w:val="auto"/>
                <w:szCs w:val="21"/>
                <w:highlight w:val="none"/>
              </w:rPr>
            </w:pPr>
          </w:p>
        </w:tc>
        <w:tc>
          <w:tcPr>
            <w:tcW w:w="677" w:type="dxa"/>
            <w:noWrap w:val="0"/>
            <w:vAlign w:val="top"/>
          </w:tcPr>
          <w:p w14:paraId="5561F019">
            <w:pPr>
              <w:spacing w:line="400" w:lineRule="exact"/>
              <w:jc w:val="center"/>
              <w:rPr>
                <w:rFonts w:ascii="宋体" w:hAnsi="宋体"/>
                <w:color w:val="auto"/>
                <w:szCs w:val="21"/>
                <w:highlight w:val="none"/>
              </w:rPr>
            </w:pPr>
          </w:p>
        </w:tc>
        <w:tc>
          <w:tcPr>
            <w:tcW w:w="744" w:type="dxa"/>
            <w:noWrap w:val="0"/>
            <w:vAlign w:val="top"/>
          </w:tcPr>
          <w:p w14:paraId="75640607">
            <w:pPr>
              <w:spacing w:line="400" w:lineRule="exact"/>
              <w:jc w:val="center"/>
              <w:rPr>
                <w:rFonts w:ascii="宋体" w:hAnsi="宋体"/>
                <w:color w:val="auto"/>
                <w:szCs w:val="21"/>
                <w:highlight w:val="none"/>
              </w:rPr>
            </w:pPr>
          </w:p>
        </w:tc>
        <w:tc>
          <w:tcPr>
            <w:tcW w:w="1221" w:type="dxa"/>
            <w:noWrap w:val="0"/>
            <w:vAlign w:val="top"/>
          </w:tcPr>
          <w:p w14:paraId="0C936EEF">
            <w:pPr>
              <w:spacing w:line="400" w:lineRule="exact"/>
              <w:jc w:val="center"/>
              <w:rPr>
                <w:rFonts w:ascii="宋体" w:hAnsi="宋体"/>
                <w:color w:val="auto"/>
                <w:szCs w:val="21"/>
                <w:highlight w:val="none"/>
              </w:rPr>
            </w:pPr>
          </w:p>
        </w:tc>
        <w:tc>
          <w:tcPr>
            <w:tcW w:w="1665" w:type="dxa"/>
            <w:noWrap w:val="0"/>
            <w:vAlign w:val="top"/>
          </w:tcPr>
          <w:p w14:paraId="41D88C18">
            <w:pPr>
              <w:spacing w:line="400" w:lineRule="exact"/>
              <w:jc w:val="center"/>
              <w:rPr>
                <w:rFonts w:ascii="宋体" w:hAnsi="宋体"/>
                <w:color w:val="auto"/>
                <w:szCs w:val="21"/>
                <w:highlight w:val="none"/>
              </w:rPr>
            </w:pPr>
          </w:p>
        </w:tc>
        <w:tc>
          <w:tcPr>
            <w:tcW w:w="691" w:type="dxa"/>
            <w:noWrap w:val="0"/>
            <w:vAlign w:val="top"/>
          </w:tcPr>
          <w:p w14:paraId="1D3AE273">
            <w:pPr>
              <w:spacing w:line="400" w:lineRule="exact"/>
              <w:jc w:val="center"/>
              <w:rPr>
                <w:rFonts w:ascii="宋体" w:hAnsi="宋体"/>
                <w:color w:val="auto"/>
                <w:szCs w:val="21"/>
                <w:highlight w:val="none"/>
              </w:rPr>
            </w:pPr>
          </w:p>
        </w:tc>
      </w:tr>
      <w:tr w14:paraId="00D5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092FE626">
            <w:pPr>
              <w:spacing w:line="400" w:lineRule="exact"/>
              <w:jc w:val="center"/>
              <w:rPr>
                <w:rFonts w:ascii="宋体" w:hAnsi="宋体"/>
                <w:color w:val="auto"/>
                <w:szCs w:val="21"/>
                <w:highlight w:val="none"/>
              </w:rPr>
            </w:pPr>
          </w:p>
        </w:tc>
        <w:tc>
          <w:tcPr>
            <w:tcW w:w="1095" w:type="dxa"/>
            <w:noWrap w:val="0"/>
            <w:vAlign w:val="top"/>
          </w:tcPr>
          <w:p w14:paraId="32D8B68C">
            <w:pPr>
              <w:spacing w:line="400" w:lineRule="exact"/>
              <w:jc w:val="center"/>
              <w:rPr>
                <w:rFonts w:ascii="宋体" w:hAnsi="宋体"/>
                <w:color w:val="auto"/>
                <w:szCs w:val="21"/>
                <w:highlight w:val="none"/>
              </w:rPr>
            </w:pPr>
          </w:p>
        </w:tc>
        <w:tc>
          <w:tcPr>
            <w:tcW w:w="882" w:type="dxa"/>
            <w:noWrap w:val="0"/>
            <w:vAlign w:val="top"/>
          </w:tcPr>
          <w:p w14:paraId="0F4F13D1">
            <w:pPr>
              <w:spacing w:line="400" w:lineRule="exact"/>
              <w:jc w:val="center"/>
              <w:rPr>
                <w:rFonts w:ascii="宋体" w:hAnsi="宋体"/>
                <w:color w:val="auto"/>
                <w:szCs w:val="21"/>
                <w:highlight w:val="none"/>
              </w:rPr>
            </w:pPr>
          </w:p>
        </w:tc>
        <w:tc>
          <w:tcPr>
            <w:tcW w:w="882" w:type="dxa"/>
            <w:noWrap w:val="0"/>
            <w:vAlign w:val="top"/>
          </w:tcPr>
          <w:p w14:paraId="58A81938">
            <w:pPr>
              <w:spacing w:line="400" w:lineRule="exact"/>
              <w:jc w:val="center"/>
              <w:rPr>
                <w:rFonts w:ascii="宋体" w:hAnsi="宋体"/>
                <w:color w:val="auto"/>
                <w:szCs w:val="21"/>
                <w:highlight w:val="none"/>
              </w:rPr>
            </w:pPr>
          </w:p>
        </w:tc>
        <w:tc>
          <w:tcPr>
            <w:tcW w:w="677" w:type="dxa"/>
            <w:noWrap w:val="0"/>
            <w:vAlign w:val="top"/>
          </w:tcPr>
          <w:p w14:paraId="2EAB98C5">
            <w:pPr>
              <w:spacing w:line="400" w:lineRule="exact"/>
              <w:jc w:val="center"/>
              <w:rPr>
                <w:rFonts w:ascii="宋体" w:hAnsi="宋体"/>
                <w:color w:val="auto"/>
                <w:szCs w:val="21"/>
                <w:highlight w:val="none"/>
              </w:rPr>
            </w:pPr>
          </w:p>
        </w:tc>
        <w:tc>
          <w:tcPr>
            <w:tcW w:w="744" w:type="dxa"/>
            <w:noWrap w:val="0"/>
            <w:vAlign w:val="top"/>
          </w:tcPr>
          <w:p w14:paraId="2C096F15">
            <w:pPr>
              <w:spacing w:line="400" w:lineRule="exact"/>
              <w:jc w:val="center"/>
              <w:rPr>
                <w:rFonts w:ascii="宋体" w:hAnsi="宋体"/>
                <w:color w:val="auto"/>
                <w:szCs w:val="21"/>
                <w:highlight w:val="none"/>
              </w:rPr>
            </w:pPr>
          </w:p>
        </w:tc>
        <w:tc>
          <w:tcPr>
            <w:tcW w:w="1221" w:type="dxa"/>
            <w:noWrap w:val="0"/>
            <w:vAlign w:val="top"/>
          </w:tcPr>
          <w:p w14:paraId="3E659730">
            <w:pPr>
              <w:spacing w:line="400" w:lineRule="exact"/>
              <w:jc w:val="center"/>
              <w:rPr>
                <w:rFonts w:ascii="宋体" w:hAnsi="宋体"/>
                <w:color w:val="auto"/>
                <w:szCs w:val="21"/>
                <w:highlight w:val="none"/>
              </w:rPr>
            </w:pPr>
          </w:p>
        </w:tc>
        <w:tc>
          <w:tcPr>
            <w:tcW w:w="1665" w:type="dxa"/>
            <w:noWrap w:val="0"/>
            <w:vAlign w:val="top"/>
          </w:tcPr>
          <w:p w14:paraId="00BD2146">
            <w:pPr>
              <w:spacing w:line="400" w:lineRule="exact"/>
              <w:jc w:val="center"/>
              <w:rPr>
                <w:rFonts w:ascii="宋体" w:hAnsi="宋体"/>
                <w:color w:val="auto"/>
                <w:szCs w:val="21"/>
                <w:highlight w:val="none"/>
              </w:rPr>
            </w:pPr>
          </w:p>
        </w:tc>
        <w:tc>
          <w:tcPr>
            <w:tcW w:w="691" w:type="dxa"/>
            <w:noWrap w:val="0"/>
            <w:vAlign w:val="top"/>
          </w:tcPr>
          <w:p w14:paraId="0FCD8185">
            <w:pPr>
              <w:spacing w:line="400" w:lineRule="exact"/>
              <w:jc w:val="center"/>
              <w:rPr>
                <w:rFonts w:ascii="宋体" w:hAnsi="宋体"/>
                <w:color w:val="auto"/>
                <w:szCs w:val="21"/>
                <w:highlight w:val="none"/>
              </w:rPr>
            </w:pPr>
          </w:p>
        </w:tc>
      </w:tr>
      <w:tr w14:paraId="483F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55D96DBE">
            <w:pPr>
              <w:spacing w:line="400" w:lineRule="exact"/>
              <w:jc w:val="center"/>
              <w:rPr>
                <w:rFonts w:ascii="宋体" w:hAnsi="宋体"/>
                <w:color w:val="auto"/>
                <w:szCs w:val="21"/>
                <w:highlight w:val="none"/>
              </w:rPr>
            </w:pPr>
          </w:p>
        </w:tc>
        <w:tc>
          <w:tcPr>
            <w:tcW w:w="1095" w:type="dxa"/>
            <w:noWrap w:val="0"/>
            <w:vAlign w:val="top"/>
          </w:tcPr>
          <w:p w14:paraId="64450805">
            <w:pPr>
              <w:spacing w:line="400" w:lineRule="exact"/>
              <w:jc w:val="center"/>
              <w:rPr>
                <w:rFonts w:ascii="宋体" w:hAnsi="宋体"/>
                <w:color w:val="auto"/>
                <w:szCs w:val="21"/>
                <w:highlight w:val="none"/>
              </w:rPr>
            </w:pPr>
          </w:p>
        </w:tc>
        <w:tc>
          <w:tcPr>
            <w:tcW w:w="882" w:type="dxa"/>
            <w:noWrap w:val="0"/>
            <w:vAlign w:val="top"/>
          </w:tcPr>
          <w:p w14:paraId="0C000254">
            <w:pPr>
              <w:spacing w:line="400" w:lineRule="exact"/>
              <w:jc w:val="center"/>
              <w:rPr>
                <w:rFonts w:ascii="宋体" w:hAnsi="宋体"/>
                <w:color w:val="auto"/>
                <w:szCs w:val="21"/>
                <w:highlight w:val="none"/>
              </w:rPr>
            </w:pPr>
          </w:p>
        </w:tc>
        <w:tc>
          <w:tcPr>
            <w:tcW w:w="882" w:type="dxa"/>
            <w:noWrap w:val="0"/>
            <w:vAlign w:val="top"/>
          </w:tcPr>
          <w:p w14:paraId="2D546009">
            <w:pPr>
              <w:spacing w:line="400" w:lineRule="exact"/>
              <w:jc w:val="center"/>
              <w:rPr>
                <w:rFonts w:ascii="宋体" w:hAnsi="宋体"/>
                <w:color w:val="auto"/>
                <w:szCs w:val="21"/>
                <w:highlight w:val="none"/>
              </w:rPr>
            </w:pPr>
          </w:p>
        </w:tc>
        <w:tc>
          <w:tcPr>
            <w:tcW w:w="677" w:type="dxa"/>
            <w:noWrap w:val="0"/>
            <w:vAlign w:val="top"/>
          </w:tcPr>
          <w:p w14:paraId="27AAF34E">
            <w:pPr>
              <w:spacing w:line="400" w:lineRule="exact"/>
              <w:jc w:val="center"/>
              <w:rPr>
                <w:rFonts w:ascii="宋体" w:hAnsi="宋体"/>
                <w:color w:val="auto"/>
                <w:szCs w:val="21"/>
                <w:highlight w:val="none"/>
              </w:rPr>
            </w:pPr>
          </w:p>
        </w:tc>
        <w:tc>
          <w:tcPr>
            <w:tcW w:w="744" w:type="dxa"/>
            <w:noWrap w:val="0"/>
            <w:vAlign w:val="top"/>
          </w:tcPr>
          <w:p w14:paraId="47AD9AD3">
            <w:pPr>
              <w:spacing w:line="400" w:lineRule="exact"/>
              <w:jc w:val="center"/>
              <w:rPr>
                <w:rFonts w:ascii="宋体" w:hAnsi="宋体"/>
                <w:color w:val="auto"/>
                <w:szCs w:val="21"/>
                <w:highlight w:val="none"/>
              </w:rPr>
            </w:pPr>
          </w:p>
        </w:tc>
        <w:tc>
          <w:tcPr>
            <w:tcW w:w="1221" w:type="dxa"/>
            <w:noWrap w:val="0"/>
            <w:vAlign w:val="top"/>
          </w:tcPr>
          <w:p w14:paraId="6C3D87EE">
            <w:pPr>
              <w:spacing w:line="400" w:lineRule="exact"/>
              <w:jc w:val="center"/>
              <w:rPr>
                <w:rFonts w:ascii="宋体" w:hAnsi="宋体"/>
                <w:color w:val="auto"/>
                <w:szCs w:val="21"/>
                <w:highlight w:val="none"/>
              </w:rPr>
            </w:pPr>
          </w:p>
        </w:tc>
        <w:tc>
          <w:tcPr>
            <w:tcW w:w="1665" w:type="dxa"/>
            <w:noWrap w:val="0"/>
            <w:vAlign w:val="top"/>
          </w:tcPr>
          <w:p w14:paraId="34ADA770">
            <w:pPr>
              <w:spacing w:line="400" w:lineRule="exact"/>
              <w:jc w:val="center"/>
              <w:rPr>
                <w:rFonts w:ascii="宋体" w:hAnsi="宋体"/>
                <w:color w:val="auto"/>
                <w:szCs w:val="21"/>
                <w:highlight w:val="none"/>
              </w:rPr>
            </w:pPr>
          </w:p>
        </w:tc>
        <w:tc>
          <w:tcPr>
            <w:tcW w:w="691" w:type="dxa"/>
            <w:noWrap w:val="0"/>
            <w:vAlign w:val="top"/>
          </w:tcPr>
          <w:p w14:paraId="00BFAA61">
            <w:pPr>
              <w:spacing w:line="400" w:lineRule="exact"/>
              <w:jc w:val="center"/>
              <w:rPr>
                <w:rFonts w:ascii="宋体" w:hAnsi="宋体"/>
                <w:color w:val="auto"/>
                <w:szCs w:val="21"/>
                <w:highlight w:val="none"/>
              </w:rPr>
            </w:pPr>
          </w:p>
        </w:tc>
      </w:tr>
      <w:tr w14:paraId="2B47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B3BEC87">
            <w:pPr>
              <w:spacing w:line="400" w:lineRule="exact"/>
              <w:jc w:val="center"/>
              <w:rPr>
                <w:rFonts w:ascii="宋体" w:hAnsi="宋体"/>
                <w:color w:val="auto"/>
                <w:szCs w:val="21"/>
                <w:highlight w:val="none"/>
              </w:rPr>
            </w:pPr>
          </w:p>
        </w:tc>
        <w:tc>
          <w:tcPr>
            <w:tcW w:w="1095" w:type="dxa"/>
            <w:noWrap w:val="0"/>
            <w:vAlign w:val="top"/>
          </w:tcPr>
          <w:p w14:paraId="334C3908">
            <w:pPr>
              <w:spacing w:line="400" w:lineRule="exact"/>
              <w:jc w:val="center"/>
              <w:rPr>
                <w:rFonts w:ascii="宋体" w:hAnsi="宋体"/>
                <w:color w:val="auto"/>
                <w:szCs w:val="21"/>
                <w:highlight w:val="none"/>
              </w:rPr>
            </w:pPr>
          </w:p>
        </w:tc>
        <w:tc>
          <w:tcPr>
            <w:tcW w:w="882" w:type="dxa"/>
            <w:noWrap w:val="0"/>
            <w:vAlign w:val="top"/>
          </w:tcPr>
          <w:p w14:paraId="5E5DE830">
            <w:pPr>
              <w:spacing w:line="400" w:lineRule="exact"/>
              <w:jc w:val="center"/>
              <w:rPr>
                <w:rFonts w:ascii="宋体" w:hAnsi="宋体"/>
                <w:color w:val="auto"/>
                <w:szCs w:val="21"/>
                <w:highlight w:val="none"/>
              </w:rPr>
            </w:pPr>
          </w:p>
        </w:tc>
        <w:tc>
          <w:tcPr>
            <w:tcW w:w="882" w:type="dxa"/>
            <w:noWrap w:val="0"/>
            <w:vAlign w:val="top"/>
          </w:tcPr>
          <w:p w14:paraId="030F2B6F">
            <w:pPr>
              <w:spacing w:line="400" w:lineRule="exact"/>
              <w:jc w:val="center"/>
              <w:rPr>
                <w:rFonts w:ascii="宋体" w:hAnsi="宋体"/>
                <w:color w:val="auto"/>
                <w:szCs w:val="21"/>
                <w:highlight w:val="none"/>
              </w:rPr>
            </w:pPr>
          </w:p>
        </w:tc>
        <w:tc>
          <w:tcPr>
            <w:tcW w:w="677" w:type="dxa"/>
            <w:noWrap w:val="0"/>
            <w:vAlign w:val="top"/>
          </w:tcPr>
          <w:p w14:paraId="5F79FA0B">
            <w:pPr>
              <w:spacing w:line="400" w:lineRule="exact"/>
              <w:jc w:val="center"/>
              <w:rPr>
                <w:rFonts w:ascii="宋体" w:hAnsi="宋体"/>
                <w:color w:val="auto"/>
                <w:szCs w:val="21"/>
                <w:highlight w:val="none"/>
              </w:rPr>
            </w:pPr>
          </w:p>
        </w:tc>
        <w:tc>
          <w:tcPr>
            <w:tcW w:w="744" w:type="dxa"/>
            <w:noWrap w:val="0"/>
            <w:vAlign w:val="top"/>
          </w:tcPr>
          <w:p w14:paraId="5AEBEC45">
            <w:pPr>
              <w:spacing w:line="400" w:lineRule="exact"/>
              <w:jc w:val="center"/>
              <w:rPr>
                <w:rFonts w:ascii="宋体" w:hAnsi="宋体"/>
                <w:color w:val="auto"/>
                <w:szCs w:val="21"/>
                <w:highlight w:val="none"/>
              </w:rPr>
            </w:pPr>
          </w:p>
        </w:tc>
        <w:tc>
          <w:tcPr>
            <w:tcW w:w="1221" w:type="dxa"/>
            <w:noWrap w:val="0"/>
            <w:vAlign w:val="top"/>
          </w:tcPr>
          <w:p w14:paraId="45893675">
            <w:pPr>
              <w:spacing w:line="400" w:lineRule="exact"/>
              <w:jc w:val="center"/>
              <w:rPr>
                <w:rFonts w:ascii="宋体" w:hAnsi="宋体"/>
                <w:color w:val="auto"/>
                <w:szCs w:val="21"/>
                <w:highlight w:val="none"/>
              </w:rPr>
            </w:pPr>
          </w:p>
        </w:tc>
        <w:tc>
          <w:tcPr>
            <w:tcW w:w="1665" w:type="dxa"/>
            <w:noWrap w:val="0"/>
            <w:vAlign w:val="top"/>
          </w:tcPr>
          <w:p w14:paraId="1A0C6FC8">
            <w:pPr>
              <w:spacing w:line="400" w:lineRule="exact"/>
              <w:jc w:val="center"/>
              <w:rPr>
                <w:rFonts w:ascii="宋体" w:hAnsi="宋体"/>
                <w:color w:val="auto"/>
                <w:szCs w:val="21"/>
                <w:highlight w:val="none"/>
              </w:rPr>
            </w:pPr>
          </w:p>
        </w:tc>
        <w:tc>
          <w:tcPr>
            <w:tcW w:w="691" w:type="dxa"/>
            <w:noWrap w:val="0"/>
            <w:vAlign w:val="top"/>
          </w:tcPr>
          <w:p w14:paraId="47760961">
            <w:pPr>
              <w:spacing w:line="400" w:lineRule="exact"/>
              <w:jc w:val="center"/>
              <w:rPr>
                <w:rFonts w:ascii="宋体" w:hAnsi="宋体"/>
                <w:color w:val="auto"/>
                <w:szCs w:val="21"/>
                <w:highlight w:val="none"/>
              </w:rPr>
            </w:pPr>
          </w:p>
        </w:tc>
      </w:tr>
      <w:tr w14:paraId="3F7E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23F0A814">
            <w:pPr>
              <w:spacing w:line="400" w:lineRule="exact"/>
              <w:jc w:val="center"/>
              <w:rPr>
                <w:rFonts w:ascii="宋体" w:hAnsi="宋体"/>
                <w:color w:val="auto"/>
                <w:szCs w:val="21"/>
                <w:highlight w:val="none"/>
              </w:rPr>
            </w:pPr>
          </w:p>
        </w:tc>
        <w:tc>
          <w:tcPr>
            <w:tcW w:w="1095" w:type="dxa"/>
            <w:noWrap w:val="0"/>
            <w:vAlign w:val="top"/>
          </w:tcPr>
          <w:p w14:paraId="5A6D2EDC">
            <w:pPr>
              <w:spacing w:line="400" w:lineRule="exact"/>
              <w:jc w:val="center"/>
              <w:rPr>
                <w:rFonts w:ascii="宋体" w:hAnsi="宋体"/>
                <w:color w:val="auto"/>
                <w:szCs w:val="21"/>
                <w:highlight w:val="none"/>
              </w:rPr>
            </w:pPr>
          </w:p>
        </w:tc>
        <w:tc>
          <w:tcPr>
            <w:tcW w:w="882" w:type="dxa"/>
            <w:noWrap w:val="0"/>
            <w:vAlign w:val="top"/>
          </w:tcPr>
          <w:p w14:paraId="48FFEC17">
            <w:pPr>
              <w:spacing w:line="400" w:lineRule="exact"/>
              <w:jc w:val="center"/>
              <w:rPr>
                <w:rFonts w:ascii="宋体" w:hAnsi="宋体"/>
                <w:color w:val="auto"/>
                <w:szCs w:val="21"/>
                <w:highlight w:val="none"/>
              </w:rPr>
            </w:pPr>
          </w:p>
        </w:tc>
        <w:tc>
          <w:tcPr>
            <w:tcW w:w="882" w:type="dxa"/>
            <w:noWrap w:val="0"/>
            <w:vAlign w:val="top"/>
          </w:tcPr>
          <w:p w14:paraId="3006A8F1">
            <w:pPr>
              <w:spacing w:line="400" w:lineRule="exact"/>
              <w:jc w:val="center"/>
              <w:rPr>
                <w:rFonts w:ascii="宋体" w:hAnsi="宋体"/>
                <w:color w:val="auto"/>
                <w:szCs w:val="21"/>
                <w:highlight w:val="none"/>
              </w:rPr>
            </w:pPr>
          </w:p>
        </w:tc>
        <w:tc>
          <w:tcPr>
            <w:tcW w:w="677" w:type="dxa"/>
            <w:noWrap w:val="0"/>
            <w:vAlign w:val="top"/>
          </w:tcPr>
          <w:p w14:paraId="37867BE4">
            <w:pPr>
              <w:spacing w:line="400" w:lineRule="exact"/>
              <w:jc w:val="center"/>
              <w:rPr>
                <w:rFonts w:ascii="宋体" w:hAnsi="宋体"/>
                <w:color w:val="auto"/>
                <w:szCs w:val="21"/>
                <w:highlight w:val="none"/>
              </w:rPr>
            </w:pPr>
          </w:p>
        </w:tc>
        <w:tc>
          <w:tcPr>
            <w:tcW w:w="744" w:type="dxa"/>
            <w:noWrap w:val="0"/>
            <w:vAlign w:val="top"/>
          </w:tcPr>
          <w:p w14:paraId="1679D4CB">
            <w:pPr>
              <w:spacing w:line="400" w:lineRule="exact"/>
              <w:jc w:val="center"/>
              <w:rPr>
                <w:rFonts w:ascii="宋体" w:hAnsi="宋体"/>
                <w:color w:val="auto"/>
                <w:szCs w:val="21"/>
                <w:highlight w:val="none"/>
              </w:rPr>
            </w:pPr>
          </w:p>
        </w:tc>
        <w:tc>
          <w:tcPr>
            <w:tcW w:w="1221" w:type="dxa"/>
            <w:noWrap w:val="0"/>
            <w:vAlign w:val="top"/>
          </w:tcPr>
          <w:p w14:paraId="593B5069">
            <w:pPr>
              <w:spacing w:line="400" w:lineRule="exact"/>
              <w:jc w:val="center"/>
              <w:rPr>
                <w:rFonts w:ascii="宋体" w:hAnsi="宋体"/>
                <w:color w:val="auto"/>
                <w:szCs w:val="21"/>
                <w:highlight w:val="none"/>
              </w:rPr>
            </w:pPr>
          </w:p>
        </w:tc>
        <w:tc>
          <w:tcPr>
            <w:tcW w:w="1665" w:type="dxa"/>
            <w:noWrap w:val="0"/>
            <w:vAlign w:val="top"/>
          </w:tcPr>
          <w:p w14:paraId="342FC65C">
            <w:pPr>
              <w:spacing w:line="400" w:lineRule="exact"/>
              <w:jc w:val="center"/>
              <w:rPr>
                <w:rFonts w:ascii="宋体" w:hAnsi="宋体"/>
                <w:color w:val="auto"/>
                <w:szCs w:val="21"/>
                <w:highlight w:val="none"/>
              </w:rPr>
            </w:pPr>
          </w:p>
        </w:tc>
        <w:tc>
          <w:tcPr>
            <w:tcW w:w="691" w:type="dxa"/>
            <w:noWrap w:val="0"/>
            <w:vAlign w:val="top"/>
          </w:tcPr>
          <w:p w14:paraId="3FF28830">
            <w:pPr>
              <w:spacing w:line="400" w:lineRule="exact"/>
              <w:jc w:val="center"/>
              <w:rPr>
                <w:rFonts w:ascii="宋体" w:hAnsi="宋体"/>
                <w:color w:val="auto"/>
                <w:szCs w:val="21"/>
                <w:highlight w:val="none"/>
              </w:rPr>
            </w:pPr>
          </w:p>
        </w:tc>
      </w:tr>
      <w:tr w14:paraId="3FDA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B5FFE6A">
            <w:pPr>
              <w:spacing w:line="400" w:lineRule="exact"/>
              <w:jc w:val="center"/>
              <w:rPr>
                <w:rFonts w:ascii="宋体" w:hAnsi="宋体"/>
                <w:color w:val="auto"/>
                <w:szCs w:val="21"/>
                <w:highlight w:val="none"/>
              </w:rPr>
            </w:pPr>
          </w:p>
        </w:tc>
        <w:tc>
          <w:tcPr>
            <w:tcW w:w="1095" w:type="dxa"/>
            <w:noWrap w:val="0"/>
            <w:vAlign w:val="top"/>
          </w:tcPr>
          <w:p w14:paraId="5AF437EF">
            <w:pPr>
              <w:spacing w:line="400" w:lineRule="exact"/>
              <w:jc w:val="center"/>
              <w:rPr>
                <w:rFonts w:ascii="宋体" w:hAnsi="宋体"/>
                <w:color w:val="auto"/>
                <w:szCs w:val="21"/>
                <w:highlight w:val="none"/>
              </w:rPr>
            </w:pPr>
          </w:p>
        </w:tc>
        <w:tc>
          <w:tcPr>
            <w:tcW w:w="882" w:type="dxa"/>
            <w:noWrap w:val="0"/>
            <w:vAlign w:val="top"/>
          </w:tcPr>
          <w:p w14:paraId="68801B8C">
            <w:pPr>
              <w:spacing w:line="400" w:lineRule="exact"/>
              <w:jc w:val="center"/>
              <w:rPr>
                <w:rFonts w:ascii="宋体" w:hAnsi="宋体"/>
                <w:color w:val="auto"/>
                <w:szCs w:val="21"/>
                <w:highlight w:val="none"/>
              </w:rPr>
            </w:pPr>
          </w:p>
        </w:tc>
        <w:tc>
          <w:tcPr>
            <w:tcW w:w="882" w:type="dxa"/>
            <w:noWrap w:val="0"/>
            <w:vAlign w:val="top"/>
          </w:tcPr>
          <w:p w14:paraId="7CE111B4">
            <w:pPr>
              <w:spacing w:line="400" w:lineRule="exact"/>
              <w:jc w:val="center"/>
              <w:rPr>
                <w:rFonts w:ascii="宋体" w:hAnsi="宋体"/>
                <w:color w:val="auto"/>
                <w:szCs w:val="21"/>
                <w:highlight w:val="none"/>
              </w:rPr>
            </w:pPr>
          </w:p>
        </w:tc>
        <w:tc>
          <w:tcPr>
            <w:tcW w:w="677" w:type="dxa"/>
            <w:noWrap w:val="0"/>
            <w:vAlign w:val="top"/>
          </w:tcPr>
          <w:p w14:paraId="56350544">
            <w:pPr>
              <w:spacing w:line="400" w:lineRule="exact"/>
              <w:jc w:val="center"/>
              <w:rPr>
                <w:rFonts w:ascii="宋体" w:hAnsi="宋体"/>
                <w:color w:val="auto"/>
                <w:szCs w:val="21"/>
                <w:highlight w:val="none"/>
              </w:rPr>
            </w:pPr>
          </w:p>
        </w:tc>
        <w:tc>
          <w:tcPr>
            <w:tcW w:w="744" w:type="dxa"/>
            <w:noWrap w:val="0"/>
            <w:vAlign w:val="top"/>
          </w:tcPr>
          <w:p w14:paraId="33394439">
            <w:pPr>
              <w:spacing w:line="400" w:lineRule="exact"/>
              <w:jc w:val="center"/>
              <w:rPr>
                <w:rFonts w:ascii="宋体" w:hAnsi="宋体"/>
                <w:color w:val="auto"/>
                <w:szCs w:val="21"/>
                <w:highlight w:val="none"/>
              </w:rPr>
            </w:pPr>
          </w:p>
        </w:tc>
        <w:tc>
          <w:tcPr>
            <w:tcW w:w="1221" w:type="dxa"/>
            <w:noWrap w:val="0"/>
            <w:vAlign w:val="top"/>
          </w:tcPr>
          <w:p w14:paraId="0DE02E6C">
            <w:pPr>
              <w:spacing w:line="400" w:lineRule="exact"/>
              <w:jc w:val="center"/>
              <w:rPr>
                <w:rFonts w:ascii="宋体" w:hAnsi="宋体"/>
                <w:color w:val="auto"/>
                <w:szCs w:val="21"/>
                <w:highlight w:val="none"/>
              </w:rPr>
            </w:pPr>
          </w:p>
        </w:tc>
        <w:tc>
          <w:tcPr>
            <w:tcW w:w="1665" w:type="dxa"/>
            <w:noWrap w:val="0"/>
            <w:vAlign w:val="top"/>
          </w:tcPr>
          <w:p w14:paraId="350EAE57">
            <w:pPr>
              <w:spacing w:line="400" w:lineRule="exact"/>
              <w:jc w:val="center"/>
              <w:rPr>
                <w:rFonts w:ascii="宋体" w:hAnsi="宋体"/>
                <w:color w:val="auto"/>
                <w:szCs w:val="21"/>
                <w:highlight w:val="none"/>
              </w:rPr>
            </w:pPr>
          </w:p>
        </w:tc>
        <w:tc>
          <w:tcPr>
            <w:tcW w:w="691" w:type="dxa"/>
            <w:noWrap w:val="0"/>
            <w:vAlign w:val="top"/>
          </w:tcPr>
          <w:p w14:paraId="098A9CBD">
            <w:pPr>
              <w:spacing w:line="400" w:lineRule="exact"/>
              <w:jc w:val="center"/>
              <w:rPr>
                <w:rFonts w:ascii="宋体" w:hAnsi="宋体"/>
                <w:color w:val="auto"/>
                <w:szCs w:val="21"/>
                <w:highlight w:val="none"/>
              </w:rPr>
            </w:pPr>
          </w:p>
        </w:tc>
      </w:tr>
      <w:tr w14:paraId="7824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CA1D2C3">
            <w:pPr>
              <w:spacing w:line="400" w:lineRule="exact"/>
              <w:jc w:val="center"/>
              <w:rPr>
                <w:rFonts w:ascii="宋体" w:hAnsi="宋体"/>
                <w:color w:val="auto"/>
                <w:szCs w:val="21"/>
                <w:highlight w:val="none"/>
              </w:rPr>
            </w:pPr>
          </w:p>
        </w:tc>
        <w:tc>
          <w:tcPr>
            <w:tcW w:w="1095" w:type="dxa"/>
            <w:noWrap w:val="0"/>
            <w:vAlign w:val="top"/>
          </w:tcPr>
          <w:p w14:paraId="13407702">
            <w:pPr>
              <w:spacing w:line="400" w:lineRule="exact"/>
              <w:jc w:val="center"/>
              <w:rPr>
                <w:rFonts w:ascii="宋体" w:hAnsi="宋体"/>
                <w:color w:val="auto"/>
                <w:szCs w:val="21"/>
                <w:highlight w:val="none"/>
              </w:rPr>
            </w:pPr>
          </w:p>
        </w:tc>
        <w:tc>
          <w:tcPr>
            <w:tcW w:w="882" w:type="dxa"/>
            <w:noWrap w:val="0"/>
            <w:vAlign w:val="top"/>
          </w:tcPr>
          <w:p w14:paraId="6F6BB2D9">
            <w:pPr>
              <w:spacing w:line="400" w:lineRule="exact"/>
              <w:jc w:val="center"/>
              <w:rPr>
                <w:rFonts w:ascii="宋体" w:hAnsi="宋体"/>
                <w:color w:val="auto"/>
                <w:szCs w:val="21"/>
                <w:highlight w:val="none"/>
              </w:rPr>
            </w:pPr>
          </w:p>
        </w:tc>
        <w:tc>
          <w:tcPr>
            <w:tcW w:w="882" w:type="dxa"/>
            <w:noWrap w:val="0"/>
            <w:vAlign w:val="top"/>
          </w:tcPr>
          <w:p w14:paraId="67C9CDE6">
            <w:pPr>
              <w:spacing w:line="400" w:lineRule="exact"/>
              <w:jc w:val="center"/>
              <w:rPr>
                <w:rFonts w:ascii="宋体" w:hAnsi="宋体"/>
                <w:color w:val="auto"/>
                <w:szCs w:val="21"/>
                <w:highlight w:val="none"/>
              </w:rPr>
            </w:pPr>
          </w:p>
        </w:tc>
        <w:tc>
          <w:tcPr>
            <w:tcW w:w="677" w:type="dxa"/>
            <w:noWrap w:val="0"/>
            <w:vAlign w:val="top"/>
          </w:tcPr>
          <w:p w14:paraId="5E8806B9">
            <w:pPr>
              <w:spacing w:line="400" w:lineRule="exact"/>
              <w:jc w:val="center"/>
              <w:rPr>
                <w:rFonts w:ascii="宋体" w:hAnsi="宋体"/>
                <w:color w:val="auto"/>
                <w:szCs w:val="21"/>
                <w:highlight w:val="none"/>
              </w:rPr>
            </w:pPr>
          </w:p>
        </w:tc>
        <w:tc>
          <w:tcPr>
            <w:tcW w:w="744" w:type="dxa"/>
            <w:noWrap w:val="0"/>
            <w:vAlign w:val="top"/>
          </w:tcPr>
          <w:p w14:paraId="1A2A2B88">
            <w:pPr>
              <w:spacing w:line="400" w:lineRule="exact"/>
              <w:jc w:val="center"/>
              <w:rPr>
                <w:rFonts w:ascii="宋体" w:hAnsi="宋体"/>
                <w:color w:val="auto"/>
                <w:szCs w:val="21"/>
                <w:highlight w:val="none"/>
              </w:rPr>
            </w:pPr>
          </w:p>
        </w:tc>
        <w:tc>
          <w:tcPr>
            <w:tcW w:w="1221" w:type="dxa"/>
            <w:noWrap w:val="0"/>
            <w:vAlign w:val="top"/>
          </w:tcPr>
          <w:p w14:paraId="76B17360">
            <w:pPr>
              <w:spacing w:line="400" w:lineRule="exact"/>
              <w:jc w:val="center"/>
              <w:rPr>
                <w:rFonts w:ascii="宋体" w:hAnsi="宋体"/>
                <w:color w:val="auto"/>
                <w:szCs w:val="21"/>
                <w:highlight w:val="none"/>
              </w:rPr>
            </w:pPr>
          </w:p>
        </w:tc>
        <w:tc>
          <w:tcPr>
            <w:tcW w:w="1665" w:type="dxa"/>
            <w:noWrap w:val="0"/>
            <w:vAlign w:val="top"/>
          </w:tcPr>
          <w:p w14:paraId="785AF375">
            <w:pPr>
              <w:spacing w:line="400" w:lineRule="exact"/>
              <w:jc w:val="center"/>
              <w:rPr>
                <w:rFonts w:ascii="宋体" w:hAnsi="宋体"/>
                <w:color w:val="auto"/>
                <w:szCs w:val="21"/>
                <w:highlight w:val="none"/>
              </w:rPr>
            </w:pPr>
          </w:p>
        </w:tc>
        <w:tc>
          <w:tcPr>
            <w:tcW w:w="691" w:type="dxa"/>
            <w:noWrap w:val="0"/>
            <w:vAlign w:val="top"/>
          </w:tcPr>
          <w:p w14:paraId="177AD72E">
            <w:pPr>
              <w:spacing w:line="400" w:lineRule="exact"/>
              <w:jc w:val="center"/>
              <w:rPr>
                <w:rFonts w:ascii="宋体" w:hAnsi="宋体"/>
                <w:color w:val="auto"/>
                <w:szCs w:val="21"/>
                <w:highlight w:val="none"/>
              </w:rPr>
            </w:pPr>
          </w:p>
        </w:tc>
      </w:tr>
      <w:tr w14:paraId="5942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6ED2831">
            <w:pPr>
              <w:spacing w:line="400" w:lineRule="exact"/>
              <w:jc w:val="center"/>
              <w:rPr>
                <w:rFonts w:ascii="宋体" w:hAnsi="宋体"/>
                <w:color w:val="auto"/>
                <w:szCs w:val="21"/>
                <w:highlight w:val="none"/>
              </w:rPr>
            </w:pPr>
          </w:p>
        </w:tc>
        <w:tc>
          <w:tcPr>
            <w:tcW w:w="1095" w:type="dxa"/>
            <w:noWrap w:val="0"/>
            <w:vAlign w:val="top"/>
          </w:tcPr>
          <w:p w14:paraId="392C6E0B">
            <w:pPr>
              <w:spacing w:line="400" w:lineRule="exact"/>
              <w:jc w:val="center"/>
              <w:rPr>
                <w:rFonts w:ascii="宋体" w:hAnsi="宋体"/>
                <w:color w:val="auto"/>
                <w:szCs w:val="21"/>
                <w:highlight w:val="none"/>
              </w:rPr>
            </w:pPr>
          </w:p>
        </w:tc>
        <w:tc>
          <w:tcPr>
            <w:tcW w:w="882" w:type="dxa"/>
            <w:noWrap w:val="0"/>
            <w:vAlign w:val="top"/>
          </w:tcPr>
          <w:p w14:paraId="7332EEAF">
            <w:pPr>
              <w:spacing w:line="400" w:lineRule="exact"/>
              <w:jc w:val="center"/>
              <w:rPr>
                <w:rFonts w:ascii="宋体" w:hAnsi="宋体"/>
                <w:color w:val="auto"/>
                <w:szCs w:val="21"/>
                <w:highlight w:val="none"/>
              </w:rPr>
            </w:pPr>
          </w:p>
        </w:tc>
        <w:tc>
          <w:tcPr>
            <w:tcW w:w="882" w:type="dxa"/>
            <w:noWrap w:val="0"/>
            <w:vAlign w:val="top"/>
          </w:tcPr>
          <w:p w14:paraId="0A27D130">
            <w:pPr>
              <w:spacing w:line="400" w:lineRule="exact"/>
              <w:jc w:val="center"/>
              <w:rPr>
                <w:rFonts w:ascii="宋体" w:hAnsi="宋体"/>
                <w:color w:val="auto"/>
                <w:szCs w:val="21"/>
                <w:highlight w:val="none"/>
              </w:rPr>
            </w:pPr>
          </w:p>
        </w:tc>
        <w:tc>
          <w:tcPr>
            <w:tcW w:w="677" w:type="dxa"/>
            <w:noWrap w:val="0"/>
            <w:vAlign w:val="top"/>
          </w:tcPr>
          <w:p w14:paraId="480C70D7">
            <w:pPr>
              <w:spacing w:line="400" w:lineRule="exact"/>
              <w:jc w:val="center"/>
              <w:rPr>
                <w:rFonts w:ascii="宋体" w:hAnsi="宋体"/>
                <w:color w:val="auto"/>
                <w:szCs w:val="21"/>
                <w:highlight w:val="none"/>
              </w:rPr>
            </w:pPr>
          </w:p>
        </w:tc>
        <w:tc>
          <w:tcPr>
            <w:tcW w:w="744" w:type="dxa"/>
            <w:noWrap w:val="0"/>
            <w:vAlign w:val="top"/>
          </w:tcPr>
          <w:p w14:paraId="6A9D96DF">
            <w:pPr>
              <w:spacing w:line="400" w:lineRule="exact"/>
              <w:jc w:val="center"/>
              <w:rPr>
                <w:rFonts w:ascii="宋体" w:hAnsi="宋体"/>
                <w:color w:val="auto"/>
                <w:szCs w:val="21"/>
                <w:highlight w:val="none"/>
              </w:rPr>
            </w:pPr>
          </w:p>
        </w:tc>
        <w:tc>
          <w:tcPr>
            <w:tcW w:w="1221" w:type="dxa"/>
            <w:noWrap w:val="0"/>
            <w:vAlign w:val="top"/>
          </w:tcPr>
          <w:p w14:paraId="105816CA">
            <w:pPr>
              <w:spacing w:line="400" w:lineRule="exact"/>
              <w:jc w:val="center"/>
              <w:rPr>
                <w:rFonts w:ascii="宋体" w:hAnsi="宋体"/>
                <w:color w:val="auto"/>
                <w:szCs w:val="21"/>
                <w:highlight w:val="none"/>
              </w:rPr>
            </w:pPr>
          </w:p>
        </w:tc>
        <w:tc>
          <w:tcPr>
            <w:tcW w:w="1665" w:type="dxa"/>
            <w:noWrap w:val="0"/>
            <w:vAlign w:val="top"/>
          </w:tcPr>
          <w:p w14:paraId="0C0C73D2">
            <w:pPr>
              <w:spacing w:line="400" w:lineRule="exact"/>
              <w:jc w:val="center"/>
              <w:rPr>
                <w:rFonts w:ascii="宋体" w:hAnsi="宋体"/>
                <w:color w:val="auto"/>
                <w:szCs w:val="21"/>
                <w:highlight w:val="none"/>
              </w:rPr>
            </w:pPr>
          </w:p>
        </w:tc>
        <w:tc>
          <w:tcPr>
            <w:tcW w:w="691" w:type="dxa"/>
            <w:noWrap w:val="0"/>
            <w:vAlign w:val="top"/>
          </w:tcPr>
          <w:p w14:paraId="6E3252D9">
            <w:pPr>
              <w:spacing w:line="400" w:lineRule="exact"/>
              <w:jc w:val="center"/>
              <w:rPr>
                <w:rFonts w:ascii="宋体" w:hAnsi="宋体"/>
                <w:color w:val="auto"/>
                <w:szCs w:val="21"/>
                <w:highlight w:val="none"/>
              </w:rPr>
            </w:pPr>
          </w:p>
        </w:tc>
      </w:tr>
      <w:tr w14:paraId="0235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78579F7">
            <w:pPr>
              <w:spacing w:line="400" w:lineRule="exact"/>
              <w:jc w:val="center"/>
              <w:rPr>
                <w:rFonts w:ascii="宋体" w:hAnsi="宋体"/>
                <w:color w:val="auto"/>
                <w:szCs w:val="21"/>
                <w:highlight w:val="none"/>
              </w:rPr>
            </w:pPr>
          </w:p>
        </w:tc>
        <w:tc>
          <w:tcPr>
            <w:tcW w:w="1095" w:type="dxa"/>
            <w:noWrap w:val="0"/>
            <w:vAlign w:val="top"/>
          </w:tcPr>
          <w:p w14:paraId="7E3C0A73">
            <w:pPr>
              <w:spacing w:line="400" w:lineRule="exact"/>
              <w:jc w:val="center"/>
              <w:rPr>
                <w:rFonts w:ascii="宋体" w:hAnsi="宋体"/>
                <w:color w:val="auto"/>
                <w:szCs w:val="21"/>
                <w:highlight w:val="none"/>
              </w:rPr>
            </w:pPr>
          </w:p>
        </w:tc>
        <w:tc>
          <w:tcPr>
            <w:tcW w:w="882" w:type="dxa"/>
            <w:noWrap w:val="0"/>
            <w:vAlign w:val="top"/>
          </w:tcPr>
          <w:p w14:paraId="16C1C0C3">
            <w:pPr>
              <w:spacing w:line="400" w:lineRule="exact"/>
              <w:jc w:val="center"/>
              <w:rPr>
                <w:rFonts w:ascii="宋体" w:hAnsi="宋体"/>
                <w:color w:val="auto"/>
                <w:szCs w:val="21"/>
                <w:highlight w:val="none"/>
              </w:rPr>
            </w:pPr>
          </w:p>
        </w:tc>
        <w:tc>
          <w:tcPr>
            <w:tcW w:w="882" w:type="dxa"/>
            <w:noWrap w:val="0"/>
            <w:vAlign w:val="top"/>
          </w:tcPr>
          <w:p w14:paraId="1A98AEBC">
            <w:pPr>
              <w:spacing w:line="400" w:lineRule="exact"/>
              <w:jc w:val="center"/>
              <w:rPr>
                <w:rFonts w:ascii="宋体" w:hAnsi="宋体"/>
                <w:color w:val="auto"/>
                <w:szCs w:val="21"/>
                <w:highlight w:val="none"/>
              </w:rPr>
            </w:pPr>
          </w:p>
        </w:tc>
        <w:tc>
          <w:tcPr>
            <w:tcW w:w="677" w:type="dxa"/>
            <w:noWrap w:val="0"/>
            <w:vAlign w:val="top"/>
          </w:tcPr>
          <w:p w14:paraId="318D84A1">
            <w:pPr>
              <w:spacing w:line="400" w:lineRule="exact"/>
              <w:jc w:val="center"/>
              <w:rPr>
                <w:rFonts w:ascii="宋体" w:hAnsi="宋体"/>
                <w:color w:val="auto"/>
                <w:szCs w:val="21"/>
                <w:highlight w:val="none"/>
              </w:rPr>
            </w:pPr>
          </w:p>
        </w:tc>
        <w:tc>
          <w:tcPr>
            <w:tcW w:w="744" w:type="dxa"/>
            <w:noWrap w:val="0"/>
            <w:vAlign w:val="top"/>
          </w:tcPr>
          <w:p w14:paraId="6BC41FB5">
            <w:pPr>
              <w:spacing w:line="400" w:lineRule="exact"/>
              <w:jc w:val="center"/>
              <w:rPr>
                <w:rFonts w:ascii="宋体" w:hAnsi="宋体"/>
                <w:color w:val="auto"/>
                <w:szCs w:val="21"/>
                <w:highlight w:val="none"/>
              </w:rPr>
            </w:pPr>
          </w:p>
        </w:tc>
        <w:tc>
          <w:tcPr>
            <w:tcW w:w="1221" w:type="dxa"/>
            <w:noWrap w:val="0"/>
            <w:vAlign w:val="top"/>
          </w:tcPr>
          <w:p w14:paraId="42FFD0FC">
            <w:pPr>
              <w:spacing w:line="400" w:lineRule="exact"/>
              <w:jc w:val="center"/>
              <w:rPr>
                <w:rFonts w:ascii="宋体" w:hAnsi="宋体"/>
                <w:color w:val="auto"/>
                <w:szCs w:val="21"/>
                <w:highlight w:val="none"/>
              </w:rPr>
            </w:pPr>
          </w:p>
        </w:tc>
        <w:tc>
          <w:tcPr>
            <w:tcW w:w="1665" w:type="dxa"/>
            <w:noWrap w:val="0"/>
            <w:vAlign w:val="top"/>
          </w:tcPr>
          <w:p w14:paraId="12C0E592">
            <w:pPr>
              <w:spacing w:line="400" w:lineRule="exact"/>
              <w:jc w:val="center"/>
              <w:rPr>
                <w:rFonts w:ascii="宋体" w:hAnsi="宋体"/>
                <w:color w:val="auto"/>
                <w:szCs w:val="21"/>
                <w:highlight w:val="none"/>
              </w:rPr>
            </w:pPr>
          </w:p>
        </w:tc>
        <w:tc>
          <w:tcPr>
            <w:tcW w:w="691" w:type="dxa"/>
            <w:noWrap w:val="0"/>
            <w:vAlign w:val="top"/>
          </w:tcPr>
          <w:p w14:paraId="48F10FB7">
            <w:pPr>
              <w:spacing w:line="400" w:lineRule="exact"/>
              <w:jc w:val="center"/>
              <w:rPr>
                <w:rFonts w:ascii="宋体" w:hAnsi="宋体"/>
                <w:color w:val="auto"/>
                <w:szCs w:val="21"/>
                <w:highlight w:val="none"/>
              </w:rPr>
            </w:pPr>
          </w:p>
        </w:tc>
      </w:tr>
      <w:tr w14:paraId="47BD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14ED78F8">
            <w:pPr>
              <w:spacing w:line="400" w:lineRule="exact"/>
              <w:jc w:val="center"/>
              <w:rPr>
                <w:rFonts w:ascii="宋体" w:hAnsi="宋体"/>
                <w:color w:val="auto"/>
                <w:szCs w:val="21"/>
                <w:highlight w:val="none"/>
              </w:rPr>
            </w:pPr>
          </w:p>
        </w:tc>
        <w:tc>
          <w:tcPr>
            <w:tcW w:w="1095" w:type="dxa"/>
            <w:noWrap w:val="0"/>
            <w:vAlign w:val="top"/>
          </w:tcPr>
          <w:p w14:paraId="0AC30009">
            <w:pPr>
              <w:spacing w:line="400" w:lineRule="exact"/>
              <w:jc w:val="center"/>
              <w:rPr>
                <w:rFonts w:ascii="宋体" w:hAnsi="宋体"/>
                <w:color w:val="auto"/>
                <w:szCs w:val="21"/>
                <w:highlight w:val="none"/>
              </w:rPr>
            </w:pPr>
          </w:p>
        </w:tc>
        <w:tc>
          <w:tcPr>
            <w:tcW w:w="882" w:type="dxa"/>
            <w:noWrap w:val="0"/>
            <w:vAlign w:val="top"/>
          </w:tcPr>
          <w:p w14:paraId="3FF1A180">
            <w:pPr>
              <w:spacing w:line="400" w:lineRule="exact"/>
              <w:jc w:val="center"/>
              <w:rPr>
                <w:rFonts w:ascii="宋体" w:hAnsi="宋体"/>
                <w:color w:val="auto"/>
                <w:szCs w:val="21"/>
                <w:highlight w:val="none"/>
              </w:rPr>
            </w:pPr>
          </w:p>
        </w:tc>
        <w:tc>
          <w:tcPr>
            <w:tcW w:w="882" w:type="dxa"/>
            <w:noWrap w:val="0"/>
            <w:vAlign w:val="top"/>
          </w:tcPr>
          <w:p w14:paraId="7F6BBB4C">
            <w:pPr>
              <w:spacing w:line="400" w:lineRule="exact"/>
              <w:jc w:val="center"/>
              <w:rPr>
                <w:rFonts w:ascii="宋体" w:hAnsi="宋体"/>
                <w:color w:val="auto"/>
                <w:szCs w:val="21"/>
                <w:highlight w:val="none"/>
              </w:rPr>
            </w:pPr>
          </w:p>
        </w:tc>
        <w:tc>
          <w:tcPr>
            <w:tcW w:w="677" w:type="dxa"/>
            <w:noWrap w:val="0"/>
            <w:vAlign w:val="top"/>
          </w:tcPr>
          <w:p w14:paraId="5CE36229">
            <w:pPr>
              <w:spacing w:line="400" w:lineRule="exact"/>
              <w:jc w:val="center"/>
              <w:rPr>
                <w:rFonts w:ascii="宋体" w:hAnsi="宋体"/>
                <w:color w:val="auto"/>
                <w:szCs w:val="21"/>
                <w:highlight w:val="none"/>
              </w:rPr>
            </w:pPr>
          </w:p>
        </w:tc>
        <w:tc>
          <w:tcPr>
            <w:tcW w:w="744" w:type="dxa"/>
            <w:noWrap w:val="0"/>
            <w:vAlign w:val="top"/>
          </w:tcPr>
          <w:p w14:paraId="6DF7B5AE">
            <w:pPr>
              <w:spacing w:line="400" w:lineRule="exact"/>
              <w:jc w:val="center"/>
              <w:rPr>
                <w:rFonts w:ascii="宋体" w:hAnsi="宋体"/>
                <w:color w:val="auto"/>
                <w:szCs w:val="21"/>
                <w:highlight w:val="none"/>
              </w:rPr>
            </w:pPr>
          </w:p>
        </w:tc>
        <w:tc>
          <w:tcPr>
            <w:tcW w:w="1221" w:type="dxa"/>
            <w:noWrap w:val="0"/>
            <w:vAlign w:val="top"/>
          </w:tcPr>
          <w:p w14:paraId="495737F5">
            <w:pPr>
              <w:spacing w:line="400" w:lineRule="exact"/>
              <w:jc w:val="center"/>
              <w:rPr>
                <w:rFonts w:ascii="宋体" w:hAnsi="宋体"/>
                <w:color w:val="auto"/>
                <w:szCs w:val="21"/>
                <w:highlight w:val="none"/>
              </w:rPr>
            </w:pPr>
          </w:p>
        </w:tc>
        <w:tc>
          <w:tcPr>
            <w:tcW w:w="1665" w:type="dxa"/>
            <w:noWrap w:val="0"/>
            <w:vAlign w:val="top"/>
          </w:tcPr>
          <w:p w14:paraId="4F24DDCA">
            <w:pPr>
              <w:spacing w:line="400" w:lineRule="exact"/>
              <w:jc w:val="center"/>
              <w:rPr>
                <w:rFonts w:ascii="宋体" w:hAnsi="宋体"/>
                <w:color w:val="auto"/>
                <w:szCs w:val="21"/>
                <w:highlight w:val="none"/>
              </w:rPr>
            </w:pPr>
          </w:p>
        </w:tc>
        <w:tc>
          <w:tcPr>
            <w:tcW w:w="691" w:type="dxa"/>
            <w:noWrap w:val="0"/>
            <w:vAlign w:val="top"/>
          </w:tcPr>
          <w:p w14:paraId="18EF81B7">
            <w:pPr>
              <w:spacing w:line="400" w:lineRule="exact"/>
              <w:jc w:val="center"/>
              <w:rPr>
                <w:rFonts w:ascii="宋体" w:hAnsi="宋体"/>
                <w:color w:val="auto"/>
                <w:szCs w:val="21"/>
                <w:highlight w:val="none"/>
              </w:rPr>
            </w:pPr>
          </w:p>
        </w:tc>
      </w:tr>
      <w:tr w14:paraId="7F5A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6AD1E1BB">
            <w:pPr>
              <w:spacing w:line="400" w:lineRule="exact"/>
              <w:jc w:val="center"/>
              <w:rPr>
                <w:rFonts w:ascii="宋体" w:hAnsi="宋体"/>
                <w:color w:val="auto"/>
                <w:szCs w:val="21"/>
                <w:highlight w:val="none"/>
              </w:rPr>
            </w:pPr>
          </w:p>
        </w:tc>
        <w:tc>
          <w:tcPr>
            <w:tcW w:w="1095" w:type="dxa"/>
            <w:noWrap w:val="0"/>
            <w:vAlign w:val="top"/>
          </w:tcPr>
          <w:p w14:paraId="7EACB5C2">
            <w:pPr>
              <w:spacing w:line="400" w:lineRule="exact"/>
              <w:jc w:val="center"/>
              <w:rPr>
                <w:rFonts w:ascii="宋体" w:hAnsi="宋体"/>
                <w:color w:val="auto"/>
                <w:szCs w:val="21"/>
                <w:highlight w:val="none"/>
              </w:rPr>
            </w:pPr>
          </w:p>
        </w:tc>
        <w:tc>
          <w:tcPr>
            <w:tcW w:w="882" w:type="dxa"/>
            <w:noWrap w:val="0"/>
            <w:vAlign w:val="top"/>
          </w:tcPr>
          <w:p w14:paraId="308C8397">
            <w:pPr>
              <w:spacing w:line="400" w:lineRule="exact"/>
              <w:jc w:val="center"/>
              <w:rPr>
                <w:rFonts w:ascii="宋体" w:hAnsi="宋体"/>
                <w:color w:val="auto"/>
                <w:szCs w:val="21"/>
                <w:highlight w:val="none"/>
              </w:rPr>
            </w:pPr>
          </w:p>
        </w:tc>
        <w:tc>
          <w:tcPr>
            <w:tcW w:w="882" w:type="dxa"/>
            <w:noWrap w:val="0"/>
            <w:vAlign w:val="top"/>
          </w:tcPr>
          <w:p w14:paraId="484FB3B3">
            <w:pPr>
              <w:spacing w:line="400" w:lineRule="exact"/>
              <w:jc w:val="center"/>
              <w:rPr>
                <w:rFonts w:ascii="宋体" w:hAnsi="宋体"/>
                <w:color w:val="auto"/>
                <w:szCs w:val="21"/>
                <w:highlight w:val="none"/>
              </w:rPr>
            </w:pPr>
          </w:p>
        </w:tc>
        <w:tc>
          <w:tcPr>
            <w:tcW w:w="677" w:type="dxa"/>
            <w:noWrap w:val="0"/>
            <w:vAlign w:val="top"/>
          </w:tcPr>
          <w:p w14:paraId="086F252C">
            <w:pPr>
              <w:spacing w:line="400" w:lineRule="exact"/>
              <w:jc w:val="center"/>
              <w:rPr>
                <w:rFonts w:ascii="宋体" w:hAnsi="宋体"/>
                <w:color w:val="auto"/>
                <w:szCs w:val="21"/>
                <w:highlight w:val="none"/>
              </w:rPr>
            </w:pPr>
          </w:p>
        </w:tc>
        <w:tc>
          <w:tcPr>
            <w:tcW w:w="744" w:type="dxa"/>
            <w:noWrap w:val="0"/>
            <w:vAlign w:val="top"/>
          </w:tcPr>
          <w:p w14:paraId="56BCA344">
            <w:pPr>
              <w:spacing w:line="400" w:lineRule="exact"/>
              <w:jc w:val="center"/>
              <w:rPr>
                <w:rFonts w:ascii="宋体" w:hAnsi="宋体"/>
                <w:color w:val="auto"/>
                <w:szCs w:val="21"/>
                <w:highlight w:val="none"/>
              </w:rPr>
            </w:pPr>
          </w:p>
        </w:tc>
        <w:tc>
          <w:tcPr>
            <w:tcW w:w="1221" w:type="dxa"/>
            <w:noWrap w:val="0"/>
            <w:vAlign w:val="top"/>
          </w:tcPr>
          <w:p w14:paraId="51C33BEE">
            <w:pPr>
              <w:spacing w:line="400" w:lineRule="exact"/>
              <w:jc w:val="center"/>
              <w:rPr>
                <w:rFonts w:ascii="宋体" w:hAnsi="宋体"/>
                <w:color w:val="auto"/>
                <w:szCs w:val="21"/>
                <w:highlight w:val="none"/>
              </w:rPr>
            </w:pPr>
          </w:p>
        </w:tc>
        <w:tc>
          <w:tcPr>
            <w:tcW w:w="1665" w:type="dxa"/>
            <w:noWrap w:val="0"/>
            <w:vAlign w:val="top"/>
          </w:tcPr>
          <w:p w14:paraId="232ECC18">
            <w:pPr>
              <w:spacing w:line="400" w:lineRule="exact"/>
              <w:jc w:val="center"/>
              <w:rPr>
                <w:rFonts w:ascii="宋体" w:hAnsi="宋体"/>
                <w:color w:val="auto"/>
                <w:szCs w:val="21"/>
                <w:highlight w:val="none"/>
              </w:rPr>
            </w:pPr>
          </w:p>
        </w:tc>
        <w:tc>
          <w:tcPr>
            <w:tcW w:w="691" w:type="dxa"/>
            <w:noWrap w:val="0"/>
            <w:vAlign w:val="top"/>
          </w:tcPr>
          <w:p w14:paraId="704B90DE">
            <w:pPr>
              <w:spacing w:line="400" w:lineRule="exact"/>
              <w:jc w:val="center"/>
              <w:rPr>
                <w:rFonts w:ascii="宋体" w:hAnsi="宋体"/>
                <w:color w:val="auto"/>
                <w:szCs w:val="21"/>
                <w:highlight w:val="none"/>
              </w:rPr>
            </w:pPr>
          </w:p>
        </w:tc>
      </w:tr>
      <w:tr w14:paraId="6609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7C5349C7">
            <w:pPr>
              <w:spacing w:line="400" w:lineRule="exact"/>
              <w:jc w:val="center"/>
              <w:rPr>
                <w:rFonts w:ascii="宋体" w:hAnsi="宋体"/>
                <w:color w:val="auto"/>
                <w:szCs w:val="21"/>
                <w:highlight w:val="none"/>
              </w:rPr>
            </w:pPr>
          </w:p>
        </w:tc>
        <w:tc>
          <w:tcPr>
            <w:tcW w:w="1095" w:type="dxa"/>
            <w:noWrap w:val="0"/>
            <w:vAlign w:val="top"/>
          </w:tcPr>
          <w:p w14:paraId="77CF526A">
            <w:pPr>
              <w:spacing w:line="400" w:lineRule="exact"/>
              <w:jc w:val="center"/>
              <w:rPr>
                <w:rFonts w:ascii="宋体" w:hAnsi="宋体"/>
                <w:color w:val="auto"/>
                <w:szCs w:val="21"/>
                <w:highlight w:val="none"/>
              </w:rPr>
            </w:pPr>
          </w:p>
        </w:tc>
        <w:tc>
          <w:tcPr>
            <w:tcW w:w="882" w:type="dxa"/>
            <w:noWrap w:val="0"/>
            <w:vAlign w:val="top"/>
          </w:tcPr>
          <w:p w14:paraId="401B2957">
            <w:pPr>
              <w:spacing w:line="400" w:lineRule="exact"/>
              <w:jc w:val="center"/>
              <w:rPr>
                <w:rFonts w:ascii="宋体" w:hAnsi="宋体"/>
                <w:color w:val="auto"/>
                <w:szCs w:val="21"/>
                <w:highlight w:val="none"/>
              </w:rPr>
            </w:pPr>
          </w:p>
        </w:tc>
        <w:tc>
          <w:tcPr>
            <w:tcW w:w="882" w:type="dxa"/>
            <w:noWrap w:val="0"/>
            <w:vAlign w:val="top"/>
          </w:tcPr>
          <w:p w14:paraId="5C2F9CAB">
            <w:pPr>
              <w:spacing w:line="400" w:lineRule="exact"/>
              <w:jc w:val="center"/>
              <w:rPr>
                <w:rFonts w:ascii="宋体" w:hAnsi="宋体"/>
                <w:color w:val="auto"/>
                <w:szCs w:val="21"/>
                <w:highlight w:val="none"/>
              </w:rPr>
            </w:pPr>
          </w:p>
        </w:tc>
        <w:tc>
          <w:tcPr>
            <w:tcW w:w="677" w:type="dxa"/>
            <w:noWrap w:val="0"/>
            <w:vAlign w:val="top"/>
          </w:tcPr>
          <w:p w14:paraId="55F19095">
            <w:pPr>
              <w:spacing w:line="400" w:lineRule="exact"/>
              <w:jc w:val="center"/>
              <w:rPr>
                <w:rFonts w:ascii="宋体" w:hAnsi="宋体"/>
                <w:color w:val="auto"/>
                <w:szCs w:val="21"/>
                <w:highlight w:val="none"/>
              </w:rPr>
            </w:pPr>
          </w:p>
        </w:tc>
        <w:tc>
          <w:tcPr>
            <w:tcW w:w="744" w:type="dxa"/>
            <w:noWrap w:val="0"/>
            <w:vAlign w:val="top"/>
          </w:tcPr>
          <w:p w14:paraId="6E00020E">
            <w:pPr>
              <w:spacing w:line="400" w:lineRule="exact"/>
              <w:jc w:val="center"/>
              <w:rPr>
                <w:rFonts w:ascii="宋体" w:hAnsi="宋体"/>
                <w:color w:val="auto"/>
                <w:szCs w:val="21"/>
                <w:highlight w:val="none"/>
              </w:rPr>
            </w:pPr>
          </w:p>
        </w:tc>
        <w:tc>
          <w:tcPr>
            <w:tcW w:w="1221" w:type="dxa"/>
            <w:noWrap w:val="0"/>
            <w:vAlign w:val="top"/>
          </w:tcPr>
          <w:p w14:paraId="76289FB6">
            <w:pPr>
              <w:spacing w:line="400" w:lineRule="exact"/>
              <w:jc w:val="center"/>
              <w:rPr>
                <w:rFonts w:ascii="宋体" w:hAnsi="宋体"/>
                <w:color w:val="auto"/>
                <w:szCs w:val="21"/>
                <w:highlight w:val="none"/>
              </w:rPr>
            </w:pPr>
          </w:p>
        </w:tc>
        <w:tc>
          <w:tcPr>
            <w:tcW w:w="1665" w:type="dxa"/>
            <w:noWrap w:val="0"/>
            <w:vAlign w:val="top"/>
          </w:tcPr>
          <w:p w14:paraId="65EFAFFA">
            <w:pPr>
              <w:spacing w:line="400" w:lineRule="exact"/>
              <w:jc w:val="center"/>
              <w:rPr>
                <w:rFonts w:ascii="宋体" w:hAnsi="宋体"/>
                <w:color w:val="auto"/>
                <w:szCs w:val="21"/>
                <w:highlight w:val="none"/>
              </w:rPr>
            </w:pPr>
          </w:p>
        </w:tc>
        <w:tc>
          <w:tcPr>
            <w:tcW w:w="691" w:type="dxa"/>
            <w:noWrap w:val="0"/>
            <w:vAlign w:val="top"/>
          </w:tcPr>
          <w:p w14:paraId="28F8BE5E">
            <w:pPr>
              <w:spacing w:line="400" w:lineRule="exact"/>
              <w:jc w:val="center"/>
              <w:rPr>
                <w:rFonts w:ascii="宋体" w:hAnsi="宋体"/>
                <w:color w:val="auto"/>
                <w:szCs w:val="21"/>
                <w:highlight w:val="none"/>
              </w:rPr>
            </w:pPr>
          </w:p>
        </w:tc>
      </w:tr>
      <w:tr w14:paraId="59DA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noWrap w:val="0"/>
            <w:vAlign w:val="top"/>
          </w:tcPr>
          <w:p w14:paraId="47F6BE0C">
            <w:pPr>
              <w:spacing w:line="400" w:lineRule="exact"/>
              <w:jc w:val="center"/>
              <w:rPr>
                <w:rFonts w:ascii="宋体" w:hAnsi="宋体"/>
                <w:color w:val="auto"/>
                <w:szCs w:val="21"/>
                <w:highlight w:val="none"/>
              </w:rPr>
            </w:pPr>
          </w:p>
        </w:tc>
        <w:tc>
          <w:tcPr>
            <w:tcW w:w="1095" w:type="dxa"/>
            <w:noWrap w:val="0"/>
            <w:vAlign w:val="top"/>
          </w:tcPr>
          <w:p w14:paraId="5238C0FA">
            <w:pPr>
              <w:spacing w:line="400" w:lineRule="exact"/>
              <w:jc w:val="center"/>
              <w:rPr>
                <w:rFonts w:ascii="宋体" w:hAnsi="宋体"/>
                <w:color w:val="auto"/>
                <w:szCs w:val="21"/>
                <w:highlight w:val="none"/>
              </w:rPr>
            </w:pPr>
          </w:p>
        </w:tc>
        <w:tc>
          <w:tcPr>
            <w:tcW w:w="882" w:type="dxa"/>
            <w:noWrap w:val="0"/>
            <w:vAlign w:val="top"/>
          </w:tcPr>
          <w:p w14:paraId="4F5D0A28">
            <w:pPr>
              <w:spacing w:line="400" w:lineRule="exact"/>
              <w:jc w:val="center"/>
              <w:rPr>
                <w:rFonts w:ascii="宋体" w:hAnsi="宋体"/>
                <w:color w:val="auto"/>
                <w:szCs w:val="21"/>
                <w:highlight w:val="none"/>
              </w:rPr>
            </w:pPr>
          </w:p>
        </w:tc>
        <w:tc>
          <w:tcPr>
            <w:tcW w:w="882" w:type="dxa"/>
            <w:noWrap w:val="0"/>
            <w:vAlign w:val="top"/>
          </w:tcPr>
          <w:p w14:paraId="321BB770">
            <w:pPr>
              <w:spacing w:line="400" w:lineRule="exact"/>
              <w:jc w:val="center"/>
              <w:rPr>
                <w:rFonts w:ascii="宋体" w:hAnsi="宋体"/>
                <w:color w:val="auto"/>
                <w:szCs w:val="21"/>
                <w:highlight w:val="none"/>
              </w:rPr>
            </w:pPr>
          </w:p>
        </w:tc>
        <w:tc>
          <w:tcPr>
            <w:tcW w:w="677" w:type="dxa"/>
            <w:noWrap w:val="0"/>
            <w:vAlign w:val="top"/>
          </w:tcPr>
          <w:p w14:paraId="177FCDE8">
            <w:pPr>
              <w:spacing w:line="400" w:lineRule="exact"/>
              <w:jc w:val="center"/>
              <w:rPr>
                <w:rFonts w:ascii="宋体" w:hAnsi="宋体"/>
                <w:color w:val="auto"/>
                <w:szCs w:val="21"/>
                <w:highlight w:val="none"/>
              </w:rPr>
            </w:pPr>
          </w:p>
        </w:tc>
        <w:tc>
          <w:tcPr>
            <w:tcW w:w="744" w:type="dxa"/>
            <w:noWrap w:val="0"/>
            <w:vAlign w:val="top"/>
          </w:tcPr>
          <w:p w14:paraId="6E109FA0">
            <w:pPr>
              <w:spacing w:line="400" w:lineRule="exact"/>
              <w:jc w:val="center"/>
              <w:rPr>
                <w:rFonts w:ascii="宋体" w:hAnsi="宋体"/>
                <w:color w:val="auto"/>
                <w:szCs w:val="21"/>
                <w:highlight w:val="none"/>
              </w:rPr>
            </w:pPr>
          </w:p>
        </w:tc>
        <w:tc>
          <w:tcPr>
            <w:tcW w:w="1221" w:type="dxa"/>
            <w:noWrap w:val="0"/>
            <w:vAlign w:val="top"/>
          </w:tcPr>
          <w:p w14:paraId="054AF1CF">
            <w:pPr>
              <w:spacing w:line="400" w:lineRule="exact"/>
              <w:jc w:val="center"/>
              <w:rPr>
                <w:rFonts w:ascii="宋体" w:hAnsi="宋体"/>
                <w:color w:val="auto"/>
                <w:szCs w:val="21"/>
                <w:highlight w:val="none"/>
              </w:rPr>
            </w:pPr>
          </w:p>
        </w:tc>
        <w:tc>
          <w:tcPr>
            <w:tcW w:w="1665" w:type="dxa"/>
            <w:noWrap w:val="0"/>
            <w:vAlign w:val="top"/>
          </w:tcPr>
          <w:p w14:paraId="72F62332">
            <w:pPr>
              <w:spacing w:line="400" w:lineRule="exact"/>
              <w:jc w:val="center"/>
              <w:rPr>
                <w:rFonts w:ascii="宋体" w:hAnsi="宋体"/>
                <w:color w:val="auto"/>
                <w:szCs w:val="21"/>
                <w:highlight w:val="none"/>
              </w:rPr>
            </w:pPr>
          </w:p>
        </w:tc>
        <w:tc>
          <w:tcPr>
            <w:tcW w:w="691" w:type="dxa"/>
            <w:noWrap w:val="0"/>
            <w:vAlign w:val="top"/>
          </w:tcPr>
          <w:p w14:paraId="1EDDA75C">
            <w:pPr>
              <w:spacing w:line="400" w:lineRule="exact"/>
              <w:jc w:val="center"/>
              <w:rPr>
                <w:rFonts w:ascii="宋体" w:hAnsi="宋体"/>
                <w:color w:val="auto"/>
                <w:szCs w:val="21"/>
                <w:highlight w:val="none"/>
              </w:rPr>
            </w:pPr>
          </w:p>
        </w:tc>
      </w:tr>
    </w:tbl>
    <w:p w14:paraId="59401E73">
      <w:pPr>
        <w:spacing w:line="400" w:lineRule="exact"/>
        <w:rPr>
          <w:rFonts w:eastAsia="黑体"/>
          <w:color w:val="auto"/>
          <w:sz w:val="19"/>
          <w:szCs w:val="19"/>
          <w:highlight w:val="none"/>
        </w:rPr>
      </w:pPr>
      <w:r>
        <w:rPr>
          <w:rFonts w:eastAsia="黑体"/>
          <w:color w:val="auto"/>
          <w:sz w:val="19"/>
          <w:szCs w:val="19"/>
          <w:highlight w:val="none"/>
        </w:rPr>
        <w:br w:type="page"/>
      </w:r>
    </w:p>
    <w:p w14:paraId="28880DD2">
      <w:pPr>
        <w:spacing w:line="400" w:lineRule="exact"/>
        <w:jc w:val="center"/>
        <w:outlineLvl w:val="3"/>
        <w:rPr>
          <w:rFonts w:ascii="宋体" w:hAnsi="宋体"/>
          <w:b/>
          <w:color w:val="auto"/>
          <w:sz w:val="24"/>
          <w:szCs w:val="31"/>
          <w:highlight w:val="none"/>
        </w:rPr>
      </w:pPr>
      <w:bookmarkStart w:id="1090" w:name="_Toc168476329"/>
      <w:bookmarkStart w:id="1091" w:name="_Toc144974867"/>
      <w:bookmarkStart w:id="1092" w:name="_Toc168475926"/>
      <w:bookmarkStart w:id="1093" w:name="_Toc221952101"/>
      <w:r>
        <w:rPr>
          <w:rFonts w:ascii="宋体" w:hAnsi="宋体"/>
          <w:b/>
          <w:color w:val="auto"/>
          <w:sz w:val="24"/>
          <w:szCs w:val="31"/>
          <w:highlight w:val="none"/>
        </w:rPr>
        <w:t>附表三：</w:t>
      </w:r>
      <w:r>
        <w:rPr>
          <w:rFonts w:hint="eastAsia" w:ascii="宋体" w:hAnsi="宋体"/>
          <w:b/>
          <w:color w:val="auto"/>
          <w:sz w:val="24"/>
          <w:szCs w:val="31"/>
          <w:highlight w:val="none"/>
        </w:rPr>
        <w:t>拟投入本标段的</w:t>
      </w:r>
      <w:r>
        <w:rPr>
          <w:rFonts w:ascii="宋体" w:hAnsi="宋体"/>
          <w:b/>
          <w:color w:val="auto"/>
          <w:sz w:val="24"/>
          <w:szCs w:val="31"/>
          <w:highlight w:val="none"/>
        </w:rPr>
        <w:t>劳动力计划表</w:t>
      </w:r>
      <w:bookmarkEnd w:id="1090"/>
      <w:bookmarkEnd w:id="1091"/>
      <w:bookmarkEnd w:id="1092"/>
      <w:bookmarkEnd w:id="1093"/>
    </w:p>
    <w:p w14:paraId="35EA5E2F">
      <w:pPr>
        <w:spacing w:line="400" w:lineRule="exact"/>
        <w:ind w:right="200"/>
        <w:jc w:val="right"/>
        <w:rPr>
          <w:rFonts w:ascii="宋体" w:hAnsi="宋体"/>
          <w:color w:val="auto"/>
          <w:szCs w:val="21"/>
          <w:highlight w:val="none"/>
        </w:rPr>
      </w:pPr>
      <w:bookmarkStart w:id="1094" w:name="_Toc221952102"/>
      <w:r>
        <w:rPr>
          <w:rFonts w:ascii="宋体" w:hAnsi="宋体"/>
          <w:color w:val="auto"/>
          <w:szCs w:val="21"/>
          <w:highlight w:val="none"/>
        </w:rPr>
        <w:t>单位：人</w:t>
      </w:r>
      <w:bookmarkEnd w:id="109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5"/>
        <w:gridCol w:w="1066"/>
        <w:gridCol w:w="1066"/>
        <w:gridCol w:w="1066"/>
        <w:gridCol w:w="1066"/>
        <w:gridCol w:w="1066"/>
        <w:gridCol w:w="1064"/>
      </w:tblGrid>
      <w:tr w14:paraId="641E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6871013">
            <w:pPr>
              <w:spacing w:line="400" w:lineRule="exact"/>
              <w:jc w:val="center"/>
              <w:rPr>
                <w:rFonts w:ascii="宋体" w:hAnsi="宋体"/>
                <w:color w:val="auto"/>
                <w:szCs w:val="21"/>
                <w:highlight w:val="none"/>
              </w:rPr>
            </w:pPr>
            <w:bookmarkStart w:id="1095" w:name="_Toc221952103"/>
            <w:r>
              <w:rPr>
                <w:rFonts w:ascii="宋体" w:hAnsi="宋体"/>
                <w:color w:val="auto"/>
                <w:szCs w:val="21"/>
                <w:highlight w:val="none"/>
              </w:rPr>
              <w:t>工种</w:t>
            </w:r>
            <w:bookmarkEnd w:id="1095"/>
          </w:p>
        </w:tc>
        <w:tc>
          <w:tcPr>
            <w:tcW w:w="7699" w:type="dxa"/>
            <w:gridSpan w:val="7"/>
            <w:noWrap w:val="0"/>
            <w:vAlign w:val="top"/>
          </w:tcPr>
          <w:p w14:paraId="384D0B2D">
            <w:pPr>
              <w:spacing w:line="400" w:lineRule="exact"/>
              <w:jc w:val="center"/>
              <w:rPr>
                <w:rFonts w:ascii="宋体" w:hAnsi="宋体"/>
                <w:color w:val="auto"/>
                <w:szCs w:val="21"/>
                <w:highlight w:val="none"/>
              </w:rPr>
            </w:pPr>
            <w:bookmarkStart w:id="1096" w:name="_Toc221952104"/>
            <w:r>
              <w:rPr>
                <w:rFonts w:ascii="宋体" w:hAnsi="宋体"/>
                <w:color w:val="auto"/>
                <w:szCs w:val="21"/>
                <w:highlight w:val="none"/>
              </w:rPr>
              <w:t>按工程施工阶段投入劳动力情况</w:t>
            </w:r>
            <w:bookmarkEnd w:id="1096"/>
          </w:p>
        </w:tc>
      </w:tr>
      <w:tr w14:paraId="1352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B364430">
            <w:pPr>
              <w:spacing w:line="400" w:lineRule="exact"/>
              <w:jc w:val="center"/>
              <w:rPr>
                <w:rFonts w:ascii="宋体" w:hAnsi="宋体"/>
                <w:color w:val="auto"/>
                <w:szCs w:val="21"/>
                <w:highlight w:val="none"/>
              </w:rPr>
            </w:pPr>
          </w:p>
        </w:tc>
        <w:tc>
          <w:tcPr>
            <w:tcW w:w="1305" w:type="dxa"/>
            <w:noWrap w:val="0"/>
            <w:vAlign w:val="top"/>
          </w:tcPr>
          <w:p w14:paraId="687F2834">
            <w:pPr>
              <w:spacing w:line="400" w:lineRule="exact"/>
              <w:jc w:val="center"/>
              <w:rPr>
                <w:rFonts w:ascii="宋体" w:hAnsi="宋体"/>
                <w:color w:val="auto"/>
                <w:szCs w:val="21"/>
                <w:highlight w:val="none"/>
              </w:rPr>
            </w:pPr>
          </w:p>
        </w:tc>
        <w:tc>
          <w:tcPr>
            <w:tcW w:w="1066" w:type="dxa"/>
            <w:noWrap w:val="0"/>
            <w:vAlign w:val="top"/>
          </w:tcPr>
          <w:p w14:paraId="449C310F">
            <w:pPr>
              <w:spacing w:line="400" w:lineRule="exact"/>
              <w:jc w:val="center"/>
              <w:rPr>
                <w:rFonts w:ascii="宋体" w:hAnsi="宋体"/>
                <w:color w:val="auto"/>
                <w:szCs w:val="21"/>
                <w:highlight w:val="none"/>
              </w:rPr>
            </w:pPr>
          </w:p>
        </w:tc>
        <w:tc>
          <w:tcPr>
            <w:tcW w:w="1066" w:type="dxa"/>
            <w:noWrap w:val="0"/>
            <w:vAlign w:val="top"/>
          </w:tcPr>
          <w:p w14:paraId="6DB85541">
            <w:pPr>
              <w:spacing w:line="400" w:lineRule="exact"/>
              <w:jc w:val="center"/>
              <w:rPr>
                <w:rFonts w:ascii="宋体" w:hAnsi="宋体"/>
                <w:color w:val="auto"/>
                <w:szCs w:val="21"/>
                <w:highlight w:val="none"/>
              </w:rPr>
            </w:pPr>
          </w:p>
        </w:tc>
        <w:tc>
          <w:tcPr>
            <w:tcW w:w="1066" w:type="dxa"/>
            <w:noWrap w:val="0"/>
            <w:vAlign w:val="top"/>
          </w:tcPr>
          <w:p w14:paraId="54A8867D">
            <w:pPr>
              <w:spacing w:line="400" w:lineRule="exact"/>
              <w:jc w:val="center"/>
              <w:rPr>
                <w:rFonts w:ascii="宋体" w:hAnsi="宋体"/>
                <w:color w:val="auto"/>
                <w:szCs w:val="21"/>
                <w:highlight w:val="none"/>
              </w:rPr>
            </w:pPr>
          </w:p>
        </w:tc>
        <w:tc>
          <w:tcPr>
            <w:tcW w:w="1066" w:type="dxa"/>
            <w:noWrap w:val="0"/>
            <w:vAlign w:val="top"/>
          </w:tcPr>
          <w:p w14:paraId="29D9C9A6">
            <w:pPr>
              <w:spacing w:line="400" w:lineRule="exact"/>
              <w:jc w:val="center"/>
              <w:rPr>
                <w:rFonts w:ascii="宋体" w:hAnsi="宋体"/>
                <w:color w:val="auto"/>
                <w:szCs w:val="21"/>
                <w:highlight w:val="none"/>
              </w:rPr>
            </w:pPr>
          </w:p>
        </w:tc>
        <w:tc>
          <w:tcPr>
            <w:tcW w:w="1066" w:type="dxa"/>
            <w:noWrap w:val="0"/>
            <w:vAlign w:val="top"/>
          </w:tcPr>
          <w:p w14:paraId="295E307F">
            <w:pPr>
              <w:spacing w:line="400" w:lineRule="exact"/>
              <w:jc w:val="center"/>
              <w:rPr>
                <w:rFonts w:ascii="宋体" w:hAnsi="宋体"/>
                <w:color w:val="auto"/>
                <w:szCs w:val="21"/>
                <w:highlight w:val="none"/>
              </w:rPr>
            </w:pPr>
          </w:p>
        </w:tc>
        <w:tc>
          <w:tcPr>
            <w:tcW w:w="1064" w:type="dxa"/>
            <w:noWrap w:val="0"/>
            <w:vAlign w:val="top"/>
          </w:tcPr>
          <w:p w14:paraId="2E6D4F38">
            <w:pPr>
              <w:spacing w:line="400" w:lineRule="exact"/>
              <w:jc w:val="center"/>
              <w:rPr>
                <w:rFonts w:ascii="宋体" w:hAnsi="宋体"/>
                <w:color w:val="auto"/>
                <w:szCs w:val="21"/>
                <w:highlight w:val="none"/>
              </w:rPr>
            </w:pPr>
          </w:p>
        </w:tc>
      </w:tr>
      <w:tr w14:paraId="096B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D23CE39">
            <w:pPr>
              <w:spacing w:line="400" w:lineRule="exact"/>
              <w:jc w:val="center"/>
              <w:rPr>
                <w:rFonts w:ascii="宋体" w:hAnsi="宋体"/>
                <w:color w:val="auto"/>
                <w:szCs w:val="21"/>
                <w:highlight w:val="none"/>
              </w:rPr>
            </w:pPr>
          </w:p>
        </w:tc>
        <w:tc>
          <w:tcPr>
            <w:tcW w:w="1305" w:type="dxa"/>
            <w:noWrap w:val="0"/>
            <w:vAlign w:val="top"/>
          </w:tcPr>
          <w:p w14:paraId="41729E53">
            <w:pPr>
              <w:spacing w:line="400" w:lineRule="exact"/>
              <w:jc w:val="center"/>
              <w:rPr>
                <w:rFonts w:ascii="宋体" w:hAnsi="宋体"/>
                <w:color w:val="auto"/>
                <w:szCs w:val="21"/>
                <w:highlight w:val="none"/>
              </w:rPr>
            </w:pPr>
          </w:p>
        </w:tc>
        <w:tc>
          <w:tcPr>
            <w:tcW w:w="1066" w:type="dxa"/>
            <w:noWrap w:val="0"/>
            <w:vAlign w:val="top"/>
          </w:tcPr>
          <w:p w14:paraId="77FD5D39">
            <w:pPr>
              <w:spacing w:line="400" w:lineRule="exact"/>
              <w:jc w:val="center"/>
              <w:rPr>
                <w:rFonts w:ascii="宋体" w:hAnsi="宋体"/>
                <w:color w:val="auto"/>
                <w:szCs w:val="21"/>
                <w:highlight w:val="none"/>
              </w:rPr>
            </w:pPr>
          </w:p>
        </w:tc>
        <w:tc>
          <w:tcPr>
            <w:tcW w:w="1066" w:type="dxa"/>
            <w:noWrap w:val="0"/>
            <w:vAlign w:val="top"/>
          </w:tcPr>
          <w:p w14:paraId="65030A6C">
            <w:pPr>
              <w:spacing w:line="400" w:lineRule="exact"/>
              <w:jc w:val="center"/>
              <w:rPr>
                <w:rFonts w:ascii="宋体" w:hAnsi="宋体"/>
                <w:color w:val="auto"/>
                <w:szCs w:val="21"/>
                <w:highlight w:val="none"/>
              </w:rPr>
            </w:pPr>
          </w:p>
        </w:tc>
        <w:tc>
          <w:tcPr>
            <w:tcW w:w="1066" w:type="dxa"/>
            <w:noWrap w:val="0"/>
            <w:vAlign w:val="top"/>
          </w:tcPr>
          <w:p w14:paraId="6F657494">
            <w:pPr>
              <w:spacing w:line="400" w:lineRule="exact"/>
              <w:jc w:val="center"/>
              <w:rPr>
                <w:rFonts w:ascii="宋体" w:hAnsi="宋体"/>
                <w:color w:val="auto"/>
                <w:szCs w:val="21"/>
                <w:highlight w:val="none"/>
              </w:rPr>
            </w:pPr>
          </w:p>
        </w:tc>
        <w:tc>
          <w:tcPr>
            <w:tcW w:w="1066" w:type="dxa"/>
            <w:noWrap w:val="0"/>
            <w:vAlign w:val="top"/>
          </w:tcPr>
          <w:p w14:paraId="69B37D76">
            <w:pPr>
              <w:spacing w:line="400" w:lineRule="exact"/>
              <w:jc w:val="center"/>
              <w:rPr>
                <w:rFonts w:ascii="宋体" w:hAnsi="宋体"/>
                <w:color w:val="auto"/>
                <w:szCs w:val="21"/>
                <w:highlight w:val="none"/>
              </w:rPr>
            </w:pPr>
          </w:p>
        </w:tc>
        <w:tc>
          <w:tcPr>
            <w:tcW w:w="1066" w:type="dxa"/>
            <w:noWrap w:val="0"/>
            <w:vAlign w:val="top"/>
          </w:tcPr>
          <w:p w14:paraId="386ED2DF">
            <w:pPr>
              <w:spacing w:line="400" w:lineRule="exact"/>
              <w:jc w:val="center"/>
              <w:rPr>
                <w:rFonts w:ascii="宋体" w:hAnsi="宋体"/>
                <w:color w:val="auto"/>
                <w:szCs w:val="21"/>
                <w:highlight w:val="none"/>
              </w:rPr>
            </w:pPr>
          </w:p>
        </w:tc>
        <w:tc>
          <w:tcPr>
            <w:tcW w:w="1064" w:type="dxa"/>
            <w:noWrap w:val="0"/>
            <w:vAlign w:val="top"/>
          </w:tcPr>
          <w:p w14:paraId="2D5D3302">
            <w:pPr>
              <w:spacing w:line="400" w:lineRule="exact"/>
              <w:jc w:val="center"/>
              <w:rPr>
                <w:rFonts w:ascii="宋体" w:hAnsi="宋体"/>
                <w:color w:val="auto"/>
                <w:szCs w:val="21"/>
                <w:highlight w:val="none"/>
              </w:rPr>
            </w:pPr>
          </w:p>
        </w:tc>
      </w:tr>
      <w:tr w14:paraId="49E3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89AC583">
            <w:pPr>
              <w:spacing w:line="400" w:lineRule="exact"/>
              <w:jc w:val="center"/>
              <w:rPr>
                <w:rFonts w:ascii="宋体" w:hAnsi="宋体"/>
                <w:color w:val="auto"/>
                <w:szCs w:val="21"/>
                <w:highlight w:val="none"/>
              </w:rPr>
            </w:pPr>
          </w:p>
        </w:tc>
        <w:tc>
          <w:tcPr>
            <w:tcW w:w="1305" w:type="dxa"/>
            <w:noWrap w:val="0"/>
            <w:vAlign w:val="top"/>
          </w:tcPr>
          <w:p w14:paraId="442580F5">
            <w:pPr>
              <w:spacing w:line="400" w:lineRule="exact"/>
              <w:jc w:val="center"/>
              <w:rPr>
                <w:rFonts w:ascii="宋体" w:hAnsi="宋体"/>
                <w:color w:val="auto"/>
                <w:szCs w:val="21"/>
                <w:highlight w:val="none"/>
              </w:rPr>
            </w:pPr>
          </w:p>
        </w:tc>
        <w:tc>
          <w:tcPr>
            <w:tcW w:w="1066" w:type="dxa"/>
            <w:noWrap w:val="0"/>
            <w:vAlign w:val="top"/>
          </w:tcPr>
          <w:p w14:paraId="38BD6D48">
            <w:pPr>
              <w:spacing w:line="400" w:lineRule="exact"/>
              <w:jc w:val="center"/>
              <w:rPr>
                <w:rFonts w:ascii="宋体" w:hAnsi="宋体"/>
                <w:color w:val="auto"/>
                <w:szCs w:val="21"/>
                <w:highlight w:val="none"/>
              </w:rPr>
            </w:pPr>
          </w:p>
        </w:tc>
        <w:tc>
          <w:tcPr>
            <w:tcW w:w="1066" w:type="dxa"/>
            <w:noWrap w:val="0"/>
            <w:vAlign w:val="top"/>
          </w:tcPr>
          <w:p w14:paraId="7809510F">
            <w:pPr>
              <w:spacing w:line="400" w:lineRule="exact"/>
              <w:jc w:val="center"/>
              <w:rPr>
                <w:rFonts w:ascii="宋体" w:hAnsi="宋体"/>
                <w:color w:val="auto"/>
                <w:szCs w:val="21"/>
                <w:highlight w:val="none"/>
              </w:rPr>
            </w:pPr>
          </w:p>
        </w:tc>
        <w:tc>
          <w:tcPr>
            <w:tcW w:w="1066" w:type="dxa"/>
            <w:noWrap w:val="0"/>
            <w:vAlign w:val="top"/>
          </w:tcPr>
          <w:p w14:paraId="44E4CBD6">
            <w:pPr>
              <w:spacing w:line="400" w:lineRule="exact"/>
              <w:jc w:val="center"/>
              <w:rPr>
                <w:rFonts w:ascii="宋体" w:hAnsi="宋体"/>
                <w:color w:val="auto"/>
                <w:szCs w:val="21"/>
                <w:highlight w:val="none"/>
              </w:rPr>
            </w:pPr>
          </w:p>
        </w:tc>
        <w:tc>
          <w:tcPr>
            <w:tcW w:w="1066" w:type="dxa"/>
            <w:noWrap w:val="0"/>
            <w:vAlign w:val="top"/>
          </w:tcPr>
          <w:p w14:paraId="70B4694B">
            <w:pPr>
              <w:spacing w:line="400" w:lineRule="exact"/>
              <w:jc w:val="center"/>
              <w:rPr>
                <w:rFonts w:ascii="宋体" w:hAnsi="宋体"/>
                <w:color w:val="auto"/>
                <w:szCs w:val="21"/>
                <w:highlight w:val="none"/>
              </w:rPr>
            </w:pPr>
          </w:p>
        </w:tc>
        <w:tc>
          <w:tcPr>
            <w:tcW w:w="1066" w:type="dxa"/>
            <w:noWrap w:val="0"/>
            <w:vAlign w:val="top"/>
          </w:tcPr>
          <w:p w14:paraId="4813A647">
            <w:pPr>
              <w:spacing w:line="400" w:lineRule="exact"/>
              <w:jc w:val="center"/>
              <w:rPr>
                <w:rFonts w:ascii="宋体" w:hAnsi="宋体"/>
                <w:color w:val="auto"/>
                <w:szCs w:val="21"/>
                <w:highlight w:val="none"/>
              </w:rPr>
            </w:pPr>
          </w:p>
        </w:tc>
        <w:tc>
          <w:tcPr>
            <w:tcW w:w="1064" w:type="dxa"/>
            <w:noWrap w:val="0"/>
            <w:vAlign w:val="top"/>
          </w:tcPr>
          <w:p w14:paraId="64C54FCD">
            <w:pPr>
              <w:spacing w:line="400" w:lineRule="exact"/>
              <w:jc w:val="center"/>
              <w:rPr>
                <w:rFonts w:ascii="宋体" w:hAnsi="宋体"/>
                <w:color w:val="auto"/>
                <w:szCs w:val="21"/>
                <w:highlight w:val="none"/>
              </w:rPr>
            </w:pPr>
          </w:p>
        </w:tc>
      </w:tr>
      <w:tr w14:paraId="5221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615C6E2">
            <w:pPr>
              <w:spacing w:line="400" w:lineRule="exact"/>
              <w:jc w:val="center"/>
              <w:rPr>
                <w:rFonts w:ascii="宋体" w:hAnsi="宋体"/>
                <w:color w:val="auto"/>
                <w:szCs w:val="21"/>
                <w:highlight w:val="none"/>
              </w:rPr>
            </w:pPr>
          </w:p>
        </w:tc>
        <w:tc>
          <w:tcPr>
            <w:tcW w:w="1305" w:type="dxa"/>
            <w:noWrap w:val="0"/>
            <w:vAlign w:val="top"/>
          </w:tcPr>
          <w:p w14:paraId="1F9507C1">
            <w:pPr>
              <w:spacing w:line="400" w:lineRule="exact"/>
              <w:jc w:val="center"/>
              <w:rPr>
                <w:rFonts w:ascii="宋体" w:hAnsi="宋体"/>
                <w:color w:val="auto"/>
                <w:szCs w:val="21"/>
                <w:highlight w:val="none"/>
              </w:rPr>
            </w:pPr>
          </w:p>
        </w:tc>
        <w:tc>
          <w:tcPr>
            <w:tcW w:w="1066" w:type="dxa"/>
            <w:noWrap w:val="0"/>
            <w:vAlign w:val="top"/>
          </w:tcPr>
          <w:p w14:paraId="4A659AAD">
            <w:pPr>
              <w:spacing w:line="400" w:lineRule="exact"/>
              <w:jc w:val="center"/>
              <w:rPr>
                <w:rFonts w:ascii="宋体" w:hAnsi="宋体"/>
                <w:color w:val="auto"/>
                <w:szCs w:val="21"/>
                <w:highlight w:val="none"/>
              </w:rPr>
            </w:pPr>
          </w:p>
        </w:tc>
        <w:tc>
          <w:tcPr>
            <w:tcW w:w="1066" w:type="dxa"/>
            <w:noWrap w:val="0"/>
            <w:vAlign w:val="top"/>
          </w:tcPr>
          <w:p w14:paraId="657473B3">
            <w:pPr>
              <w:spacing w:line="400" w:lineRule="exact"/>
              <w:jc w:val="center"/>
              <w:rPr>
                <w:rFonts w:ascii="宋体" w:hAnsi="宋体"/>
                <w:color w:val="auto"/>
                <w:szCs w:val="21"/>
                <w:highlight w:val="none"/>
              </w:rPr>
            </w:pPr>
          </w:p>
        </w:tc>
        <w:tc>
          <w:tcPr>
            <w:tcW w:w="1066" w:type="dxa"/>
            <w:noWrap w:val="0"/>
            <w:vAlign w:val="top"/>
          </w:tcPr>
          <w:p w14:paraId="625F5204">
            <w:pPr>
              <w:spacing w:line="400" w:lineRule="exact"/>
              <w:jc w:val="center"/>
              <w:rPr>
                <w:rFonts w:ascii="宋体" w:hAnsi="宋体"/>
                <w:color w:val="auto"/>
                <w:szCs w:val="21"/>
                <w:highlight w:val="none"/>
              </w:rPr>
            </w:pPr>
          </w:p>
        </w:tc>
        <w:tc>
          <w:tcPr>
            <w:tcW w:w="1066" w:type="dxa"/>
            <w:noWrap w:val="0"/>
            <w:vAlign w:val="top"/>
          </w:tcPr>
          <w:p w14:paraId="62237705">
            <w:pPr>
              <w:spacing w:line="400" w:lineRule="exact"/>
              <w:jc w:val="center"/>
              <w:rPr>
                <w:rFonts w:ascii="宋体" w:hAnsi="宋体"/>
                <w:color w:val="auto"/>
                <w:szCs w:val="21"/>
                <w:highlight w:val="none"/>
              </w:rPr>
            </w:pPr>
          </w:p>
        </w:tc>
        <w:tc>
          <w:tcPr>
            <w:tcW w:w="1066" w:type="dxa"/>
            <w:noWrap w:val="0"/>
            <w:vAlign w:val="top"/>
          </w:tcPr>
          <w:p w14:paraId="024E54FA">
            <w:pPr>
              <w:spacing w:line="400" w:lineRule="exact"/>
              <w:jc w:val="center"/>
              <w:rPr>
                <w:rFonts w:ascii="宋体" w:hAnsi="宋体"/>
                <w:color w:val="auto"/>
                <w:szCs w:val="21"/>
                <w:highlight w:val="none"/>
              </w:rPr>
            </w:pPr>
          </w:p>
        </w:tc>
        <w:tc>
          <w:tcPr>
            <w:tcW w:w="1064" w:type="dxa"/>
            <w:noWrap w:val="0"/>
            <w:vAlign w:val="top"/>
          </w:tcPr>
          <w:p w14:paraId="61C09753">
            <w:pPr>
              <w:spacing w:line="400" w:lineRule="exact"/>
              <w:jc w:val="center"/>
              <w:rPr>
                <w:rFonts w:ascii="宋体" w:hAnsi="宋体"/>
                <w:color w:val="auto"/>
                <w:szCs w:val="21"/>
                <w:highlight w:val="none"/>
              </w:rPr>
            </w:pPr>
          </w:p>
        </w:tc>
      </w:tr>
      <w:tr w14:paraId="4877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77BC703">
            <w:pPr>
              <w:spacing w:line="400" w:lineRule="exact"/>
              <w:jc w:val="center"/>
              <w:rPr>
                <w:rFonts w:ascii="宋体" w:hAnsi="宋体"/>
                <w:color w:val="auto"/>
                <w:szCs w:val="21"/>
                <w:highlight w:val="none"/>
              </w:rPr>
            </w:pPr>
          </w:p>
        </w:tc>
        <w:tc>
          <w:tcPr>
            <w:tcW w:w="1305" w:type="dxa"/>
            <w:noWrap w:val="0"/>
            <w:vAlign w:val="top"/>
          </w:tcPr>
          <w:p w14:paraId="17687EE3">
            <w:pPr>
              <w:spacing w:line="400" w:lineRule="exact"/>
              <w:jc w:val="center"/>
              <w:rPr>
                <w:rFonts w:ascii="宋体" w:hAnsi="宋体"/>
                <w:color w:val="auto"/>
                <w:szCs w:val="21"/>
                <w:highlight w:val="none"/>
              </w:rPr>
            </w:pPr>
          </w:p>
        </w:tc>
        <w:tc>
          <w:tcPr>
            <w:tcW w:w="1066" w:type="dxa"/>
            <w:noWrap w:val="0"/>
            <w:vAlign w:val="top"/>
          </w:tcPr>
          <w:p w14:paraId="7CE2570B">
            <w:pPr>
              <w:spacing w:line="400" w:lineRule="exact"/>
              <w:jc w:val="center"/>
              <w:rPr>
                <w:rFonts w:ascii="宋体" w:hAnsi="宋体"/>
                <w:color w:val="auto"/>
                <w:szCs w:val="21"/>
                <w:highlight w:val="none"/>
              </w:rPr>
            </w:pPr>
          </w:p>
        </w:tc>
        <w:tc>
          <w:tcPr>
            <w:tcW w:w="1066" w:type="dxa"/>
            <w:noWrap w:val="0"/>
            <w:vAlign w:val="top"/>
          </w:tcPr>
          <w:p w14:paraId="31441F15">
            <w:pPr>
              <w:spacing w:line="400" w:lineRule="exact"/>
              <w:jc w:val="center"/>
              <w:rPr>
                <w:rFonts w:ascii="宋体" w:hAnsi="宋体"/>
                <w:color w:val="auto"/>
                <w:szCs w:val="21"/>
                <w:highlight w:val="none"/>
              </w:rPr>
            </w:pPr>
          </w:p>
        </w:tc>
        <w:tc>
          <w:tcPr>
            <w:tcW w:w="1066" w:type="dxa"/>
            <w:noWrap w:val="0"/>
            <w:vAlign w:val="top"/>
          </w:tcPr>
          <w:p w14:paraId="6CA082F1">
            <w:pPr>
              <w:spacing w:line="400" w:lineRule="exact"/>
              <w:jc w:val="center"/>
              <w:rPr>
                <w:rFonts w:ascii="宋体" w:hAnsi="宋体"/>
                <w:color w:val="auto"/>
                <w:szCs w:val="21"/>
                <w:highlight w:val="none"/>
              </w:rPr>
            </w:pPr>
          </w:p>
        </w:tc>
        <w:tc>
          <w:tcPr>
            <w:tcW w:w="1066" w:type="dxa"/>
            <w:noWrap w:val="0"/>
            <w:vAlign w:val="top"/>
          </w:tcPr>
          <w:p w14:paraId="3631E125">
            <w:pPr>
              <w:spacing w:line="400" w:lineRule="exact"/>
              <w:jc w:val="center"/>
              <w:rPr>
                <w:rFonts w:ascii="宋体" w:hAnsi="宋体"/>
                <w:color w:val="auto"/>
                <w:szCs w:val="21"/>
                <w:highlight w:val="none"/>
              </w:rPr>
            </w:pPr>
          </w:p>
        </w:tc>
        <w:tc>
          <w:tcPr>
            <w:tcW w:w="1066" w:type="dxa"/>
            <w:noWrap w:val="0"/>
            <w:vAlign w:val="top"/>
          </w:tcPr>
          <w:p w14:paraId="6ADEF124">
            <w:pPr>
              <w:spacing w:line="400" w:lineRule="exact"/>
              <w:jc w:val="center"/>
              <w:rPr>
                <w:rFonts w:ascii="宋体" w:hAnsi="宋体"/>
                <w:color w:val="auto"/>
                <w:szCs w:val="21"/>
                <w:highlight w:val="none"/>
              </w:rPr>
            </w:pPr>
          </w:p>
        </w:tc>
        <w:tc>
          <w:tcPr>
            <w:tcW w:w="1064" w:type="dxa"/>
            <w:noWrap w:val="0"/>
            <w:vAlign w:val="top"/>
          </w:tcPr>
          <w:p w14:paraId="1D50C6EA">
            <w:pPr>
              <w:spacing w:line="400" w:lineRule="exact"/>
              <w:jc w:val="center"/>
              <w:rPr>
                <w:rFonts w:ascii="宋体" w:hAnsi="宋体"/>
                <w:color w:val="auto"/>
                <w:szCs w:val="21"/>
                <w:highlight w:val="none"/>
              </w:rPr>
            </w:pPr>
          </w:p>
        </w:tc>
      </w:tr>
      <w:tr w14:paraId="2FE1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347B46A">
            <w:pPr>
              <w:spacing w:line="400" w:lineRule="exact"/>
              <w:jc w:val="center"/>
              <w:rPr>
                <w:rFonts w:ascii="宋体" w:hAnsi="宋体"/>
                <w:color w:val="auto"/>
                <w:szCs w:val="21"/>
                <w:highlight w:val="none"/>
              </w:rPr>
            </w:pPr>
          </w:p>
        </w:tc>
        <w:tc>
          <w:tcPr>
            <w:tcW w:w="1305" w:type="dxa"/>
            <w:noWrap w:val="0"/>
            <w:vAlign w:val="top"/>
          </w:tcPr>
          <w:p w14:paraId="52A00439">
            <w:pPr>
              <w:spacing w:line="400" w:lineRule="exact"/>
              <w:jc w:val="center"/>
              <w:rPr>
                <w:rFonts w:ascii="宋体" w:hAnsi="宋体"/>
                <w:color w:val="auto"/>
                <w:szCs w:val="21"/>
                <w:highlight w:val="none"/>
              </w:rPr>
            </w:pPr>
          </w:p>
        </w:tc>
        <w:tc>
          <w:tcPr>
            <w:tcW w:w="1066" w:type="dxa"/>
            <w:noWrap w:val="0"/>
            <w:vAlign w:val="top"/>
          </w:tcPr>
          <w:p w14:paraId="466429D2">
            <w:pPr>
              <w:spacing w:line="400" w:lineRule="exact"/>
              <w:jc w:val="center"/>
              <w:rPr>
                <w:rFonts w:ascii="宋体" w:hAnsi="宋体"/>
                <w:color w:val="auto"/>
                <w:szCs w:val="21"/>
                <w:highlight w:val="none"/>
              </w:rPr>
            </w:pPr>
          </w:p>
        </w:tc>
        <w:tc>
          <w:tcPr>
            <w:tcW w:w="1066" w:type="dxa"/>
            <w:noWrap w:val="0"/>
            <w:vAlign w:val="top"/>
          </w:tcPr>
          <w:p w14:paraId="05449EEF">
            <w:pPr>
              <w:spacing w:line="400" w:lineRule="exact"/>
              <w:jc w:val="center"/>
              <w:rPr>
                <w:rFonts w:ascii="宋体" w:hAnsi="宋体"/>
                <w:color w:val="auto"/>
                <w:szCs w:val="21"/>
                <w:highlight w:val="none"/>
              </w:rPr>
            </w:pPr>
          </w:p>
        </w:tc>
        <w:tc>
          <w:tcPr>
            <w:tcW w:w="1066" w:type="dxa"/>
            <w:noWrap w:val="0"/>
            <w:vAlign w:val="top"/>
          </w:tcPr>
          <w:p w14:paraId="1E78DEA9">
            <w:pPr>
              <w:spacing w:line="400" w:lineRule="exact"/>
              <w:jc w:val="center"/>
              <w:rPr>
                <w:rFonts w:ascii="宋体" w:hAnsi="宋体"/>
                <w:color w:val="auto"/>
                <w:szCs w:val="21"/>
                <w:highlight w:val="none"/>
              </w:rPr>
            </w:pPr>
          </w:p>
        </w:tc>
        <w:tc>
          <w:tcPr>
            <w:tcW w:w="1066" w:type="dxa"/>
            <w:noWrap w:val="0"/>
            <w:vAlign w:val="top"/>
          </w:tcPr>
          <w:p w14:paraId="1B48158C">
            <w:pPr>
              <w:spacing w:line="400" w:lineRule="exact"/>
              <w:jc w:val="center"/>
              <w:rPr>
                <w:rFonts w:ascii="宋体" w:hAnsi="宋体"/>
                <w:color w:val="auto"/>
                <w:szCs w:val="21"/>
                <w:highlight w:val="none"/>
              </w:rPr>
            </w:pPr>
          </w:p>
        </w:tc>
        <w:tc>
          <w:tcPr>
            <w:tcW w:w="1066" w:type="dxa"/>
            <w:noWrap w:val="0"/>
            <w:vAlign w:val="top"/>
          </w:tcPr>
          <w:p w14:paraId="59D28C32">
            <w:pPr>
              <w:spacing w:line="400" w:lineRule="exact"/>
              <w:jc w:val="center"/>
              <w:rPr>
                <w:rFonts w:ascii="宋体" w:hAnsi="宋体"/>
                <w:color w:val="auto"/>
                <w:szCs w:val="21"/>
                <w:highlight w:val="none"/>
              </w:rPr>
            </w:pPr>
          </w:p>
        </w:tc>
        <w:tc>
          <w:tcPr>
            <w:tcW w:w="1064" w:type="dxa"/>
            <w:noWrap w:val="0"/>
            <w:vAlign w:val="top"/>
          </w:tcPr>
          <w:p w14:paraId="294FFEDD">
            <w:pPr>
              <w:spacing w:line="400" w:lineRule="exact"/>
              <w:jc w:val="center"/>
              <w:rPr>
                <w:rFonts w:ascii="宋体" w:hAnsi="宋体"/>
                <w:color w:val="auto"/>
                <w:szCs w:val="21"/>
                <w:highlight w:val="none"/>
              </w:rPr>
            </w:pPr>
          </w:p>
        </w:tc>
      </w:tr>
      <w:tr w14:paraId="66F8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C24FD57">
            <w:pPr>
              <w:spacing w:line="400" w:lineRule="exact"/>
              <w:jc w:val="center"/>
              <w:rPr>
                <w:rFonts w:ascii="宋体" w:hAnsi="宋体"/>
                <w:color w:val="auto"/>
                <w:szCs w:val="21"/>
                <w:highlight w:val="none"/>
              </w:rPr>
            </w:pPr>
          </w:p>
        </w:tc>
        <w:tc>
          <w:tcPr>
            <w:tcW w:w="1305" w:type="dxa"/>
            <w:noWrap w:val="0"/>
            <w:vAlign w:val="top"/>
          </w:tcPr>
          <w:p w14:paraId="6EC8EAD4">
            <w:pPr>
              <w:spacing w:line="400" w:lineRule="exact"/>
              <w:jc w:val="center"/>
              <w:rPr>
                <w:rFonts w:ascii="宋体" w:hAnsi="宋体"/>
                <w:color w:val="auto"/>
                <w:szCs w:val="21"/>
                <w:highlight w:val="none"/>
              </w:rPr>
            </w:pPr>
          </w:p>
        </w:tc>
        <w:tc>
          <w:tcPr>
            <w:tcW w:w="1066" w:type="dxa"/>
            <w:noWrap w:val="0"/>
            <w:vAlign w:val="top"/>
          </w:tcPr>
          <w:p w14:paraId="2C334D92">
            <w:pPr>
              <w:spacing w:line="400" w:lineRule="exact"/>
              <w:jc w:val="center"/>
              <w:rPr>
                <w:rFonts w:ascii="宋体" w:hAnsi="宋体"/>
                <w:color w:val="auto"/>
                <w:szCs w:val="21"/>
                <w:highlight w:val="none"/>
              </w:rPr>
            </w:pPr>
          </w:p>
        </w:tc>
        <w:tc>
          <w:tcPr>
            <w:tcW w:w="1066" w:type="dxa"/>
            <w:noWrap w:val="0"/>
            <w:vAlign w:val="top"/>
          </w:tcPr>
          <w:p w14:paraId="03D42CBD">
            <w:pPr>
              <w:spacing w:line="400" w:lineRule="exact"/>
              <w:jc w:val="center"/>
              <w:rPr>
                <w:rFonts w:ascii="宋体" w:hAnsi="宋体"/>
                <w:color w:val="auto"/>
                <w:szCs w:val="21"/>
                <w:highlight w:val="none"/>
              </w:rPr>
            </w:pPr>
          </w:p>
        </w:tc>
        <w:tc>
          <w:tcPr>
            <w:tcW w:w="1066" w:type="dxa"/>
            <w:noWrap w:val="0"/>
            <w:vAlign w:val="top"/>
          </w:tcPr>
          <w:p w14:paraId="007383A9">
            <w:pPr>
              <w:spacing w:line="400" w:lineRule="exact"/>
              <w:jc w:val="center"/>
              <w:rPr>
                <w:rFonts w:ascii="宋体" w:hAnsi="宋体"/>
                <w:color w:val="auto"/>
                <w:szCs w:val="21"/>
                <w:highlight w:val="none"/>
              </w:rPr>
            </w:pPr>
          </w:p>
        </w:tc>
        <w:tc>
          <w:tcPr>
            <w:tcW w:w="1066" w:type="dxa"/>
            <w:noWrap w:val="0"/>
            <w:vAlign w:val="top"/>
          </w:tcPr>
          <w:p w14:paraId="520034D9">
            <w:pPr>
              <w:spacing w:line="400" w:lineRule="exact"/>
              <w:jc w:val="center"/>
              <w:rPr>
                <w:rFonts w:ascii="宋体" w:hAnsi="宋体"/>
                <w:color w:val="auto"/>
                <w:szCs w:val="21"/>
                <w:highlight w:val="none"/>
              </w:rPr>
            </w:pPr>
          </w:p>
        </w:tc>
        <w:tc>
          <w:tcPr>
            <w:tcW w:w="1066" w:type="dxa"/>
            <w:noWrap w:val="0"/>
            <w:vAlign w:val="top"/>
          </w:tcPr>
          <w:p w14:paraId="35DEE00B">
            <w:pPr>
              <w:spacing w:line="400" w:lineRule="exact"/>
              <w:jc w:val="center"/>
              <w:rPr>
                <w:rFonts w:ascii="宋体" w:hAnsi="宋体"/>
                <w:color w:val="auto"/>
                <w:szCs w:val="21"/>
                <w:highlight w:val="none"/>
              </w:rPr>
            </w:pPr>
          </w:p>
        </w:tc>
        <w:tc>
          <w:tcPr>
            <w:tcW w:w="1064" w:type="dxa"/>
            <w:noWrap w:val="0"/>
            <w:vAlign w:val="top"/>
          </w:tcPr>
          <w:p w14:paraId="59A5E96D">
            <w:pPr>
              <w:spacing w:line="400" w:lineRule="exact"/>
              <w:jc w:val="center"/>
              <w:rPr>
                <w:rFonts w:ascii="宋体" w:hAnsi="宋体"/>
                <w:color w:val="auto"/>
                <w:szCs w:val="21"/>
                <w:highlight w:val="none"/>
              </w:rPr>
            </w:pPr>
          </w:p>
        </w:tc>
      </w:tr>
      <w:tr w14:paraId="747C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C92BCDA">
            <w:pPr>
              <w:spacing w:line="400" w:lineRule="exact"/>
              <w:jc w:val="center"/>
              <w:rPr>
                <w:rFonts w:ascii="宋体" w:hAnsi="宋体"/>
                <w:color w:val="auto"/>
                <w:szCs w:val="21"/>
                <w:highlight w:val="none"/>
              </w:rPr>
            </w:pPr>
          </w:p>
        </w:tc>
        <w:tc>
          <w:tcPr>
            <w:tcW w:w="1305" w:type="dxa"/>
            <w:noWrap w:val="0"/>
            <w:vAlign w:val="top"/>
          </w:tcPr>
          <w:p w14:paraId="2B48BB94">
            <w:pPr>
              <w:spacing w:line="400" w:lineRule="exact"/>
              <w:jc w:val="center"/>
              <w:rPr>
                <w:rFonts w:ascii="宋体" w:hAnsi="宋体"/>
                <w:color w:val="auto"/>
                <w:szCs w:val="21"/>
                <w:highlight w:val="none"/>
              </w:rPr>
            </w:pPr>
          </w:p>
        </w:tc>
        <w:tc>
          <w:tcPr>
            <w:tcW w:w="1066" w:type="dxa"/>
            <w:noWrap w:val="0"/>
            <w:vAlign w:val="top"/>
          </w:tcPr>
          <w:p w14:paraId="2E9E200F">
            <w:pPr>
              <w:spacing w:line="400" w:lineRule="exact"/>
              <w:jc w:val="center"/>
              <w:rPr>
                <w:rFonts w:ascii="宋体" w:hAnsi="宋体"/>
                <w:color w:val="auto"/>
                <w:szCs w:val="21"/>
                <w:highlight w:val="none"/>
              </w:rPr>
            </w:pPr>
          </w:p>
        </w:tc>
        <w:tc>
          <w:tcPr>
            <w:tcW w:w="1066" w:type="dxa"/>
            <w:noWrap w:val="0"/>
            <w:vAlign w:val="top"/>
          </w:tcPr>
          <w:p w14:paraId="61756A7D">
            <w:pPr>
              <w:spacing w:line="400" w:lineRule="exact"/>
              <w:jc w:val="center"/>
              <w:rPr>
                <w:rFonts w:ascii="宋体" w:hAnsi="宋体"/>
                <w:color w:val="auto"/>
                <w:szCs w:val="21"/>
                <w:highlight w:val="none"/>
              </w:rPr>
            </w:pPr>
          </w:p>
        </w:tc>
        <w:tc>
          <w:tcPr>
            <w:tcW w:w="1066" w:type="dxa"/>
            <w:noWrap w:val="0"/>
            <w:vAlign w:val="top"/>
          </w:tcPr>
          <w:p w14:paraId="4A027EFC">
            <w:pPr>
              <w:spacing w:line="400" w:lineRule="exact"/>
              <w:jc w:val="center"/>
              <w:rPr>
                <w:rFonts w:ascii="宋体" w:hAnsi="宋体"/>
                <w:color w:val="auto"/>
                <w:szCs w:val="21"/>
                <w:highlight w:val="none"/>
              </w:rPr>
            </w:pPr>
          </w:p>
        </w:tc>
        <w:tc>
          <w:tcPr>
            <w:tcW w:w="1066" w:type="dxa"/>
            <w:noWrap w:val="0"/>
            <w:vAlign w:val="top"/>
          </w:tcPr>
          <w:p w14:paraId="0195AB9E">
            <w:pPr>
              <w:spacing w:line="400" w:lineRule="exact"/>
              <w:jc w:val="center"/>
              <w:rPr>
                <w:rFonts w:ascii="宋体" w:hAnsi="宋体"/>
                <w:color w:val="auto"/>
                <w:szCs w:val="21"/>
                <w:highlight w:val="none"/>
              </w:rPr>
            </w:pPr>
          </w:p>
        </w:tc>
        <w:tc>
          <w:tcPr>
            <w:tcW w:w="1066" w:type="dxa"/>
            <w:noWrap w:val="0"/>
            <w:vAlign w:val="top"/>
          </w:tcPr>
          <w:p w14:paraId="15970325">
            <w:pPr>
              <w:spacing w:line="400" w:lineRule="exact"/>
              <w:jc w:val="center"/>
              <w:rPr>
                <w:rFonts w:ascii="宋体" w:hAnsi="宋体"/>
                <w:color w:val="auto"/>
                <w:szCs w:val="21"/>
                <w:highlight w:val="none"/>
              </w:rPr>
            </w:pPr>
          </w:p>
        </w:tc>
        <w:tc>
          <w:tcPr>
            <w:tcW w:w="1064" w:type="dxa"/>
            <w:noWrap w:val="0"/>
            <w:vAlign w:val="top"/>
          </w:tcPr>
          <w:p w14:paraId="0F7C4862">
            <w:pPr>
              <w:spacing w:line="400" w:lineRule="exact"/>
              <w:jc w:val="center"/>
              <w:rPr>
                <w:rFonts w:ascii="宋体" w:hAnsi="宋体"/>
                <w:color w:val="auto"/>
                <w:szCs w:val="21"/>
                <w:highlight w:val="none"/>
              </w:rPr>
            </w:pPr>
          </w:p>
        </w:tc>
      </w:tr>
      <w:tr w14:paraId="220E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C8578FB">
            <w:pPr>
              <w:spacing w:line="400" w:lineRule="exact"/>
              <w:jc w:val="center"/>
              <w:rPr>
                <w:rFonts w:ascii="宋体" w:hAnsi="宋体"/>
                <w:color w:val="auto"/>
                <w:szCs w:val="21"/>
                <w:highlight w:val="none"/>
              </w:rPr>
            </w:pPr>
          </w:p>
        </w:tc>
        <w:tc>
          <w:tcPr>
            <w:tcW w:w="1305" w:type="dxa"/>
            <w:noWrap w:val="0"/>
            <w:vAlign w:val="top"/>
          </w:tcPr>
          <w:p w14:paraId="6E33E778">
            <w:pPr>
              <w:spacing w:line="400" w:lineRule="exact"/>
              <w:jc w:val="center"/>
              <w:rPr>
                <w:rFonts w:ascii="宋体" w:hAnsi="宋体"/>
                <w:color w:val="auto"/>
                <w:szCs w:val="21"/>
                <w:highlight w:val="none"/>
              </w:rPr>
            </w:pPr>
          </w:p>
        </w:tc>
        <w:tc>
          <w:tcPr>
            <w:tcW w:w="1066" w:type="dxa"/>
            <w:noWrap w:val="0"/>
            <w:vAlign w:val="top"/>
          </w:tcPr>
          <w:p w14:paraId="359CC8A6">
            <w:pPr>
              <w:spacing w:line="400" w:lineRule="exact"/>
              <w:jc w:val="center"/>
              <w:rPr>
                <w:rFonts w:ascii="宋体" w:hAnsi="宋体"/>
                <w:color w:val="auto"/>
                <w:szCs w:val="21"/>
                <w:highlight w:val="none"/>
              </w:rPr>
            </w:pPr>
          </w:p>
        </w:tc>
        <w:tc>
          <w:tcPr>
            <w:tcW w:w="1066" w:type="dxa"/>
            <w:noWrap w:val="0"/>
            <w:vAlign w:val="top"/>
          </w:tcPr>
          <w:p w14:paraId="49BC0713">
            <w:pPr>
              <w:spacing w:line="400" w:lineRule="exact"/>
              <w:jc w:val="center"/>
              <w:rPr>
                <w:rFonts w:ascii="宋体" w:hAnsi="宋体"/>
                <w:color w:val="auto"/>
                <w:szCs w:val="21"/>
                <w:highlight w:val="none"/>
              </w:rPr>
            </w:pPr>
          </w:p>
        </w:tc>
        <w:tc>
          <w:tcPr>
            <w:tcW w:w="1066" w:type="dxa"/>
            <w:noWrap w:val="0"/>
            <w:vAlign w:val="top"/>
          </w:tcPr>
          <w:p w14:paraId="0BC31EAC">
            <w:pPr>
              <w:spacing w:line="400" w:lineRule="exact"/>
              <w:jc w:val="center"/>
              <w:rPr>
                <w:rFonts w:ascii="宋体" w:hAnsi="宋体"/>
                <w:color w:val="auto"/>
                <w:szCs w:val="21"/>
                <w:highlight w:val="none"/>
              </w:rPr>
            </w:pPr>
          </w:p>
        </w:tc>
        <w:tc>
          <w:tcPr>
            <w:tcW w:w="1066" w:type="dxa"/>
            <w:noWrap w:val="0"/>
            <w:vAlign w:val="top"/>
          </w:tcPr>
          <w:p w14:paraId="5BF9026B">
            <w:pPr>
              <w:spacing w:line="400" w:lineRule="exact"/>
              <w:jc w:val="center"/>
              <w:rPr>
                <w:rFonts w:ascii="宋体" w:hAnsi="宋体"/>
                <w:color w:val="auto"/>
                <w:szCs w:val="21"/>
                <w:highlight w:val="none"/>
              </w:rPr>
            </w:pPr>
          </w:p>
        </w:tc>
        <w:tc>
          <w:tcPr>
            <w:tcW w:w="1066" w:type="dxa"/>
            <w:noWrap w:val="0"/>
            <w:vAlign w:val="top"/>
          </w:tcPr>
          <w:p w14:paraId="6E919D47">
            <w:pPr>
              <w:spacing w:line="400" w:lineRule="exact"/>
              <w:jc w:val="center"/>
              <w:rPr>
                <w:rFonts w:ascii="宋体" w:hAnsi="宋体"/>
                <w:color w:val="auto"/>
                <w:szCs w:val="21"/>
                <w:highlight w:val="none"/>
              </w:rPr>
            </w:pPr>
          </w:p>
        </w:tc>
        <w:tc>
          <w:tcPr>
            <w:tcW w:w="1064" w:type="dxa"/>
            <w:noWrap w:val="0"/>
            <w:vAlign w:val="top"/>
          </w:tcPr>
          <w:p w14:paraId="41803462">
            <w:pPr>
              <w:spacing w:line="400" w:lineRule="exact"/>
              <w:jc w:val="center"/>
              <w:rPr>
                <w:rFonts w:ascii="宋体" w:hAnsi="宋体"/>
                <w:color w:val="auto"/>
                <w:szCs w:val="21"/>
                <w:highlight w:val="none"/>
              </w:rPr>
            </w:pPr>
          </w:p>
        </w:tc>
      </w:tr>
      <w:tr w14:paraId="2E2A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20F0C39">
            <w:pPr>
              <w:spacing w:line="400" w:lineRule="exact"/>
              <w:jc w:val="center"/>
              <w:rPr>
                <w:rFonts w:ascii="宋体" w:hAnsi="宋体"/>
                <w:color w:val="auto"/>
                <w:szCs w:val="21"/>
                <w:highlight w:val="none"/>
              </w:rPr>
            </w:pPr>
          </w:p>
        </w:tc>
        <w:tc>
          <w:tcPr>
            <w:tcW w:w="1305" w:type="dxa"/>
            <w:noWrap w:val="0"/>
            <w:vAlign w:val="top"/>
          </w:tcPr>
          <w:p w14:paraId="07543E92">
            <w:pPr>
              <w:spacing w:line="400" w:lineRule="exact"/>
              <w:jc w:val="center"/>
              <w:rPr>
                <w:rFonts w:ascii="宋体" w:hAnsi="宋体"/>
                <w:color w:val="auto"/>
                <w:szCs w:val="21"/>
                <w:highlight w:val="none"/>
              </w:rPr>
            </w:pPr>
          </w:p>
        </w:tc>
        <w:tc>
          <w:tcPr>
            <w:tcW w:w="1066" w:type="dxa"/>
            <w:noWrap w:val="0"/>
            <w:vAlign w:val="top"/>
          </w:tcPr>
          <w:p w14:paraId="0F92877C">
            <w:pPr>
              <w:spacing w:line="400" w:lineRule="exact"/>
              <w:jc w:val="center"/>
              <w:rPr>
                <w:rFonts w:ascii="宋体" w:hAnsi="宋体"/>
                <w:color w:val="auto"/>
                <w:szCs w:val="21"/>
                <w:highlight w:val="none"/>
              </w:rPr>
            </w:pPr>
          </w:p>
        </w:tc>
        <w:tc>
          <w:tcPr>
            <w:tcW w:w="1066" w:type="dxa"/>
            <w:noWrap w:val="0"/>
            <w:vAlign w:val="top"/>
          </w:tcPr>
          <w:p w14:paraId="6C111289">
            <w:pPr>
              <w:spacing w:line="400" w:lineRule="exact"/>
              <w:jc w:val="center"/>
              <w:rPr>
                <w:rFonts w:ascii="宋体" w:hAnsi="宋体"/>
                <w:color w:val="auto"/>
                <w:szCs w:val="21"/>
                <w:highlight w:val="none"/>
              </w:rPr>
            </w:pPr>
          </w:p>
        </w:tc>
        <w:tc>
          <w:tcPr>
            <w:tcW w:w="1066" w:type="dxa"/>
            <w:noWrap w:val="0"/>
            <w:vAlign w:val="top"/>
          </w:tcPr>
          <w:p w14:paraId="19D2D7C2">
            <w:pPr>
              <w:spacing w:line="400" w:lineRule="exact"/>
              <w:jc w:val="center"/>
              <w:rPr>
                <w:rFonts w:ascii="宋体" w:hAnsi="宋体"/>
                <w:color w:val="auto"/>
                <w:szCs w:val="21"/>
                <w:highlight w:val="none"/>
              </w:rPr>
            </w:pPr>
          </w:p>
        </w:tc>
        <w:tc>
          <w:tcPr>
            <w:tcW w:w="1066" w:type="dxa"/>
            <w:noWrap w:val="0"/>
            <w:vAlign w:val="top"/>
          </w:tcPr>
          <w:p w14:paraId="307C0E31">
            <w:pPr>
              <w:spacing w:line="400" w:lineRule="exact"/>
              <w:jc w:val="center"/>
              <w:rPr>
                <w:rFonts w:ascii="宋体" w:hAnsi="宋体"/>
                <w:color w:val="auto"/>
                <w:szCs w:val="21"/>
                <w:highlight w:val="none"/>
              </w:rPr>
            </w:pPr>
          </w:p>
        </w:tc>
        <w:tc>
          <w:tcPr>
            <w:tcW w:w="1066" w:type="dxa"/>
            <w:noWrap w:val="0"/>
            <w:vAlign w:val="top"/>
          </w:tcPr>
          <w:p w14:paraId="7E4C2601">
            <w:pPr>
              <w:spacing w:line="400" w:lineRule="exact"/>
              <w:jc w:val="center"/>
              <w:rPr>
                <w:rFonts w:ascii="宋体" w:hAnsi="宋体"/>
                <w:color w:val="auto"/>
                <w:szCs w:val="21"/>
                <w:highlight w:val="none"/>
              </w:rPr>
            </w:pPr>
          </w:p>
        </w:tc>
        <w:tc>
          <w:tcPr>
            <w:tcW w:w="1064" w:type="dxa"/>
            <w:noWrap w:val="0"/>
            <w:vAlign w:val="top"/>
          </w:tcPr>
          <w:p w14:paraId="1B282681">
            <w:pPr>
              <w:spacing w:line="400" w:lineRule="exact"/>
              <w:jc w:val="center"/>
              <w:rPr>
                <w:rFonts w:ascii="宋体" w:hAnsi="宋体"/>
                <w:color w:val="auto"/>
                <w:szCs w:val="21"/>
                <w:highlight w:val="none"/>
              </w:rPr>
            </w:pPr>
          </w:p>
        </w:tc>
      </w:tr>
      <w:tr w14:paraId="7765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B805031">
            <w:pPr>
              <w:spacing w:line="400" w:lineRule="exact"/>
              <w:jc w:val="center"/>
              <w:rPr>
                <w:rFonts w:ascii="宋体" w:hAnsi="宋体"/>
                <w:color w:val="auto"/>
                <w:szCs w:val="21"/>
                <w:highlight w:val="none"/>
              </w:rPr>
            </w:pPr>
          </w:p>
        </w:tc>
        <w:tc>
          <w:tcPr>
            <w:tcW w:w="1305" w:type="dxa"/>
            <w:noWrap w:val="0"/>
            <w:vAlign w:val="top"/>
          </w:tcPr>
          <w:p w14:paraId="6C8CBD33">
            <w:pPr>
              <w:spacing w:line="400" w:lineRule="exact"/>
              <w:jc w:val="center"/>
              <w:rPr>
                <w:rFonts w:ascii="宋体" w:hAnsi="宋体"/>
                <w:color w:val="auto"/>
                <w:szCs w:val="21"/>
                <w:highlight w:val="none"/>
              </w:rPr>
            </w:pPr>
          </w:p>
        </w:tc>
        <w:tc>
          <w:tcPr>
            <w:tcW w:w="1066" w:type="dxa"/>
            <w:noWrap w:val="0"/>
            <w:vAlign w:val="top"/>
          </w:tcPr>
          <w:p w14:paraId="769FD450">
            <w:pPr>
              <w:spacing w:line="400" w:lineRule="exact"/>
              <w:jc w:val="center"/>
              <w:rPr>
                <w:rFonts w:ascii="宋体" w:hAnsi="宋体"/>
                <w:color w:val="auto"/>
                <w:szCs w:val="21"/>
                <w:highlight w:val="none"/>
              </w:rPr>
            </w:pPr>
          </w:p>
        </w:tc>
        <w:tc>
          <w:tcPr>
            <w:tcW w:w="1066" w:type="dxa"/>
            <w:noWrap w:val="0"/>
            <w:vAlign w:val="top"/>
          </w:tcPr>
          <w:p w14:paraId="76B78DE5">
            <w:pPr>
              <w:spacing w:line="400" w:lineRule="exact"/>
              <w:jc w:val="center"/>
              <w:rPr>
                <w:rFonts w:ascii="宋体" w:hAnsi="宋体"/>
                <w:color w:val="auto"/>
                <w:szCs w:val="21"/>
                <w:highlight w:val="none"/>
              </w:rPr>
            </w:pPr>
          </w:p>
        </w:tc>
        <w:tc>
          <w:tcPr>
            <w:tcW w:w="1066" w:type="dxa"/>
            <w:noWrap w:val="0"/>
            <w:vAlign w:val="top"/>
          </w:tcPr>
          <w:p w14:paraId="5C494991">
            <w:pPr>
              <w:spacing w:line="400" w:lineRule="exact"/>
              <w:jc w:val="center"/>
              <w:rPr>
                <w:rFonts w:ascii="宋体" w:hAnsi="宋体"/>
                <w:color w:val="auto"/>
                <w:szCs w:val="21"/>
                <w:highlight w:val="none"/>
              </w:rPr>
            </w:pPr>
          </w:p>
        </w:tc>
        <w:tc>
          <w:tcPr>
            <w:tcW w:w="1066" w:type="dxa"/>
            <w:noWrap w:val="0"/>
            <w:vAlign w:val="top"/>
          </w:tcPr>
          <w:p w14:paraId="4ED3FD13">
            <w:pPr>
              <w:spacing w:line="400" w:lineRule="exact"/>
              <w:jc w:val="center"/>
              <w:rPr>
                <w:rFonts w:ascii="宋体" w:hAnsi="宋体"/>
                <w:color w:val="auto"/>
                <w:szCs w:val="21"/>
                <w:highlight w:val="none"/>
              </w:rPr>
            </w:pPr>
          </w:p>
        </w:tc>
        <w:tc>
          <w:tcPr>
            <w:tcW w:w="1066" w:type="dxa"/>
            <w:noWrap w:val="0"/>
            <w:vAlign w:val="top"/>
          </w:tcPr>
          <w:p w14:paraId="2CCCB117">
            <w:pPr>
              <w:spacing w:line="400" w:lineRule="exact"/>
              <w:jc w:val="center"/>
              <w:rPr>
                <w:rFonts w:ascii="宋体" w:hAnsi="宋体"/>
                <w:color w:val="auto"/>
                <w:szCs w:val="21"/>
                <w:highlight w:val="none"/>
              </w:rPr>
            </w:pPr>
          </w:p>
        </w:tc>
        <w:tc>
          <w:tcPr>
            <w:tcW w:w="1064" w:type="dxa"/>
            <w:noWrap w:val="0"/>
            <w:vAlign w:val="top"/>
          </w:tcPr>
          <w:p w14:paraId="3F5F0B7C">
            <w:pPr>
              <w:spacing w:line="400" w:lineRule="exact"/>
              <w:jc w:val="center"/>
              <w:rPr>
                <w:rFonts w:ascii="宋体" w:hAnsi="宋体"/>
                <w:color w:val="auto"/>
                <w:szCs w:val="21"/>
                <w:highlight w:val="none"/>
              </w:rPr>
            </w:pPr>
          </w:p>
        </w:tc>
      </w:tr>
      <w:tr w14:paraId="54B5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B427E6C">
            <w:pPr>
              <w:spacing w:line="400" w:lineRule="exact"/>
              <w:jc w:val="center"/>
              <w:rPr>
                <w:rFonts w:ascii="宋体" w:hAnsi="宋体"/>
                <w:color w:val="auto"/>
                <w:szCs w:val="21"/>
                <w:highlight w:val="none"/>
              </w:rPr>
            </w:pPr>
          </w:p>
        </w:tc>
        <w:tc>
          <w:tcPr>
            <w:tcW w:w="1305" w:type="dxa"/>
            <w:noWrap w:val="0"/>
            <w:vAlign w:val="top"/>
          </w:tcPr>
          <w:p w14:paraId="53929DED">
            <w:pPr>
              <w:spacing w:line="400" w:lineRule="exact"/>
              <w:jc w:val="center"/>
              <w:rPr>
                <w:rFonts w:ascii="宋体" w:hAnsi="宋体"/>
                <w:color w:val="auto"/>
                <w:szCs w:val="21"/>
                <w:highlight w:val="none"/>
              </w:rPr>
            </w:pPr>
          </w:p>
        </w:tc>
        <w:tc>
          <w:tcPr>
            <w:tcW w:w="1066" w:type="dxa"/>
            <w:noWrap w:val="0"/>
            <w:vAlign w:val="top"/>
          </w:tcPr>
          <w:p w14:paraId="7E8CBADF">
            <w:pPr>
              <w:spacing w:line="400" w:lineRule="exact"/>
              <w:jc w:val="center"/>
              <w:rPr>
                <w:rFonts w:ascii="宋体" w:hAnsi="宋体"/>
                <w:color w:val="auto"/>
                <w:szCs w:val="21"/>
                <w:highlight w:val="none"/>
              </w:rPr>
            </w:pPr>
          </w:p>
        </w:tc>
        <w:tc>
          <w:tcPr>
            <w:tcW w:w="1066" w:type="dxa"/>
            <w:noWrap w:val="0"/>
            <w:vAlign w:val="top"/>
          </w:tcPr>
          <w:p w14:paraId="2027B4A5">
            <w:pPr>
              <w:spacing w:line="400" w:lineRule="exact"/>
              <w:jc w:val="center"/>
              <w:rPr>
                <w:rFonts w:ascii="宋体" w:hAnsi="宋体"/>
                <w:color w:val="auto"/>
                <w:szCs w:val="21"/>
                <w:highlight w:val="none"/>
              </w:rPr>
            </w:pPr>
          </w:p>
        </w:tc>
        <w:tc>
          <w:tcPr>
            <w:tcW w:w="1066" w:type="dxa"/>
            <w:noWrap w:val="0"/>
            <w:vAlign w:val="top"/>
          </w:tcPr>
          <w:p w14:paraId="4A57D6B8">
            <w:pPr>
              <w:spacing w:line="400" w:lineRule="exact"/>
              <w:jc w:val="center"/>
              <w:rPr>
                <w:rFonts w:ascii="宋体" w:hAnsi="宋体"/>
                <w:color w:val="auto"/>
                <w:szCs w:val="21"/>
                <w:highlight w:val="none"/>
              </w:rPr>
            </w:pPr>
          </w:p>
        </w:tc>
        <w:tc>
          <w:tcPr>
            <w:tcW w:w="1066" w:type="dxa"/>
            <w:noWrap w:val="0"/>
            <w:vAlign w:val="top"/>
          </w:tcPr>
          <w:p w14:paraId="01E8FE42">
            <w:pPr>
              <w:spacing w:line="400" w:lineRule="exact"/>
              <w:jc w:val="center"/>
              <w:rPr>
                <w:rFonts w:ascii="宋体" w:hAnsi="宋体"/>
                <w:color w:val="auto"/>
                <w:szCs w:val="21"/>
                <w:highlight w:val="none"/>
              </w:rPr>
            </w:pPr>
          </w:p>
        </w:tc>
        <w:tc>
          <w:tcPr>
            <w:tcW w:w="1066" w:type="dxa"/>
            <w:noWrap w:val="0"/>
            <w:vAlign w:val="top"/>
          </w:tcPr>
          <w:p w14:paraId="1F3546D2">
            <w:pPr>
              <w:spacing w:line="400" w:lineRule="exact"/>
              <w:jc w:val="center"/>
              <w:rPr>
                <w:rFonts w:ascii="宋体" w:hAnsi="宋体"/>
                <w:color w:val="auto"/>
                <w:szCs w:val="21"/>
                <w:highlight w:val="none"/>
              </w:rPr>
            </w:pPr>
          </w:p>
        </w:tc>
        <w:tc>
          <w:tcPr>
            <w:tcW w:w="1064" w:type="dxa"/>
            <w:noWrap w:val="0"/>
            <w:vAlign w:val="top"/>
          </w:tcPr>
          <w:p w14:paraId="560FCC1B">
            <w:pPr>
              <w:spacing w:line="400" w:lineRule="exact"/>
              <w:jc w:val="center"/>
              <w:rPr>
                <w:rFonts w:ascii="宋体" w:hAnsi="宋体"/>
                <w:color w:val="auto"/>
                <w:szCs w:val="21"/>
                <w:highlight w:val="none"/>
              </w:rPr>
            </w:pPr>
          </w:p>
        </w:tc>
      </w:tr>
      <w:tr w14:paraId="2F48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083F4CE">
            <w:pPr>
              <w:spacing w:line="400" w:lineRule="exact"/>
              <w:jc w:val="center"/>
              <w:rPr>
                <w:rFonts w:ascii="宋体" w:hAnsi="宋体"/>
                <w:color w:val="auto"/>
                <w:szCs w:val="21"/>
                <w:highlight w:val="none"/>
              </w:rPr>
            </w:pPr>
          </w:p>
        </w:tc>
        <w:tc>
          <w:tcPr>
            <w:tcW w:w="1305" w:type="dxa"/>
            <w:noWrap w:val="0"/>
            <w:vAlign w:val="top"/>
          </w:tcPr>
          <w:p w14:paraId="646DF155">
            <w:pPr>
              <w:spacing w:line="400" w:lineRule="exact"/>
              <w:jc w:val="center"/>
              <w:rPr>
                <w:rFonts w:ascii="宋体" w:hAnsi="宋体"/>
                <w:color w:val="auto"/>
                <w:szCs w:val="21"/>
                <w:highlight w:val="none"/>
              </w:rPr>
            </w:pPr>
          </w:p>
        </w:tc>
        <w:tc>
          <w:tcPr>
            <w:tcW w:w="1066" w:type="dxa"/>
            <w:noWrap w:val="0"/>
            <w:vAlign w:val="top"/>
          </w:tcPr>
          <w:p w14:paraId="6795C077">
            <w:pPr>
              <w:spacing w:line="400" w:lineRule="exact"/>
              <w:jc w:val="center"/>
              <w:rPr>
                <w:rFonts w:ascii="宋体" w:hAnsi="宋体"/>
                <w:color w:val="auto"/>
                <w:szCs w:val="21"/>
                <w:highlight w:val="none"/>
              </w:rPr>
            </w:pPr>
          </w:p>
        </w:tc>
        <w:tc>
          <w:tcPr>
            <w:tcW w:w="1066" w:type="dxa"/>
            <w:noWrap w:val="0"/>
            <w:vAlign w:val="top"/>
          </w:tcPr>
          <w:p w14:paraId="07D937C7">
            <w:pPr>
              <w:spacing w:line="400" w:lineRule="exact"/>
              <w:jc w:val="center"/>
              <w:rPr>
                <w:rFonts w:ascii="宋体" w:hAnsi="宋体"/>
                <w:color w:val="auto"/>
                <w:szCs w:val="21"/>
                <w:highlight w:val="none"/>
              </w:rPr>
            </w:pPr>
          </w:p>
        </w:tc>
        <w:tc>
          <w:tcPr>
            <w:tcW w:w="1066" w:type="dxa"/>
            <w:noWrap w:val="0"/>
            <w:vAlign w:val="top"/>
          </w:tcPr>
          <w:p w14:paraId="2BE766FB">
            <w:pPr>
              <w:spacing w:line="400" w:lineRule="exact"/>
              <w:jc w:val="center"/>
              <w:rPr>
                <w:rFonts w:ascii="宋体" w:hAnsi="宋体"/>
                <w:color w:val="auto"/>
                <w:szCs w:val="21"/>
                <w:highlight w:val="none"/>
              </w:rPr>
            </w:pPr>
          </w:p>
        </w:tc>
        <w:tc>
          <w:tcPr>
            <w:tcW w:w="1066" w:type="dxa"/>
            <w:noWrap w:val="0"/>
            <w:vAlign w:val="top"/>
          </w:tcPr>
          <w:p w14:paraId="76293E55">
            <w:pPr>
              <w:spacing w:line="400" w:lineRule="exact"/>
              <w:jc w:val="center"/>
              <w:rPr>
                <w:rFonts w:ascii="宋体" w:hAnsi="宋体"/>
                <w:color w:val="auto"/>
                <w:szCs w:val="21"/>
                <w:highlight w:val="none"/>
              </w:rPr>
            </w:pPr>
          </w:p>
        </w:tc>
        <w:tc>
          <w:tcPr>
            <w:tcW w:w="1066" w:type="dxa"/>
            <w:noWrap w:val="0"/>
            <w:vAlign w:val="top"/>
          </w:tcPr>
          <w:p w14:paraId="5042C4CB">
            <w:pPr>
              <w:spacing w:line="400" w:lineRule="exact"/>
              <w:jc w:val="center"/>
              <w:rPr>
                <w:rFonts w:ascii="宋体" w:hAnsi="宋体"/>
                <w:color w:val="auto"/>
                <w:szCs w:val="21"/>
                <w:highlight w:val="none"/>
              </w:rPr>
            </w:pPr>
          </w:p>
        </w:tc>
        <w:tc>
          <w:tcPr>
            <w:tcW w:w="1064" w:type="dxa"/>
            <w:noWrap w:val="0"/>
            <w:vAlign w:val="top"/>
          </w:tcPr>
          <w:p w14:paraId="5EBDE46F">
            <w:pPr>
              <w:spacing w:line="400" w:lineRule="exact"/>
              <w:jc w:val="center"/>
              <w:rPr>
                <w:rFonts w:ascii="宋体" w:hAnsi="宋体"/>
                <w:color w:val="auto"/>
                <w:szCs w:val="21"/>
                <w:highlight w:val="none"/>
              </w:rPr>
            </w:pPr>
          </w:p>
        </w:tc>
      </w:tr>
      <w:tr w14:paraId="4CAF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74AA5FB">
            <w:pPr>
              <w:spacing w:line="400" w:lineRule="exact"/>
              <w:jc w:val="center"/>
              <w:rPr>
                <w:rFonts w:ascii="宋体" w:hAnsi="宋体"/>
                <w:color w:val="auto"/>
                <w:szCs w:val="21"/>
                <w:highlight w:val="none"/>
              </w:rPr>
            </w:pPr>
          </w:p>
        </w:tc>
        <w:tc>
          <w:tcPr>
            <w:tcW w:w="1305" w:type="dxa"/>
            <w:noWrap w:val="0"/>
            <w:vAlign w:val="top"/>
          </w:tcPr>
          <w:p w14:paraId="1BCF04FE">
            <w:pPr>
              <w:spacing w:line="400" w:lineRule="exact"/>
              <w:jc w:val="center"/>
              <w:rPr>
                <w:rFonts w:ascii="宋体" w:hAnsi="宋体"/>
                <w:color w:val="auto"/>
                <w:szCs w:val="21"/>
                <w:highlight w:val="none"/>
              </w:rPr>
            </w:pPr>
          </w:p>
        </w:tc>
        <w:tc>
          <w:tcPr>
            <w:tcW w:w="1066" w:type="dxa"/>
            <w:noWrap w:val="0"/>
            <w:vAlign w:val="top"/>
          </w:tcPr>
          <w:p w14:paraId="10B48586">
            <w:pPr>
              <w:spacing w:line="400" w:lineRule="exact"/>
              <w:jc w:val="center"/>
              <w:rPr>
                <w:rFonts w:ascii="宋体" w:hAnsi="宋体"/>
                <w:color w:val="auto"/>
                <w:szCs w:val="21"/>
                <w:highlight w:val="none"/>
              </w:rPr>
            </w:pPr>
          </w:p>
        </w:tc>
        <w:tc>
          <w:tcPr>
            <w:tcW w:w="1066" w:type="dxa"/>
            <w:noWrap w:val="0"/>
            <w:vAlign w:val="top"/>
          </w:tcPr>
          <w:p w14:paraId="3ECA32A7">
            <w:pPr>
              <w:spacing w:line="400" w:lineRule="exact"/>
              <w:jc w:val="center"/>
              <w:rPr>
                <w:rFonts w:ascii="宋体" w:hAnsi="宋体"/>
                <w:color w:val="auto"/>
                <w:szCs w:val="21"/>
                <w:highlight w:val="none"/>
              </w:rPr>
            </w:pPr>
          </w:p>
        </w:tc>
        <w:tc>
          <w:tcPr>
            <w:tcW w:w="1066" w:type="dxa"/>
            <w:noWrap w:val="0"/>
            <w:vAlign w:val="top"/>
          </w:tcPr>
          <w:p w14:paraId="170AE61A">
            <w:pPr>
              <w:spacing w:line="400" w:lineRule="exact"/>
              <w:jc w:val="center"/>
              <w:rPr>
                <w:rFonts w:ascii="宋体" w:hAnsi="宋体"/>
                <w:color w:val="auto"/>
                <w:szCs w:val="21"/>
                <w:highlight w:val="none"/>
              </w:rPr>
            </w:pPr>
          </w:p>
        </w:tc>
        <w:tc>
          <w:tcPr>
            <w:tcW w:w="1066" w:type="dxa"/>
            <w:noWrap w:val="0"/>
            <w:vAlign w:val="top"/>
          </w:tcPr>
          <w:p w14:paraId="0B444460">
            <w:pPr>
              <w:spacing w:line="400" w:lineRule="exact"/>
              <w:jc w:val="center"/>
              <w:rPr>
                <w:rFonts w:ascii="宋体" w:hAnsi="宋体"/>
                <w:color w:val="auto"/>
                <w:szCs w:val="21"/>
                <w:highlight w:val="none"/>
              </w:rPr>
            </w:pPr>
          </w:p>
        </w:tc>
        <w:tc>
          <w:tcPr>
            <w:tcW w:w="1066" w:type="dxa"/>
            <w:noWrap w:val="0"/>
            <w:vAlign w:val="top"/>
          </w:tcPr>
          <w:p w14:paraId="6C2D5FC6">
            <w:pPr>
              <w:spacing w:line="400" w:lineRule="exact"/>
              <w:jc w:val="center"/>
              <w:rPr>
                <w:rFonts w:ascii="宋体" w:hAnsi="宋体"/>
                <w:color w:val="auto"/>
                <w:szCs w:val="21"/>
                <w:highlight w:val="none"/>
              </w:rPr>
            </w:pPr>
          </w:p>
        </w:tc>
        <w:tc>
          <w:tcPr>
            <w:tcW w:w="1064" w:type="dxa"/>
            <w:noWrap w:val="0"/>
            <w:vAlign w:val="top"/>
          </w:tcPr>
          <w:p w14:paraId="445FF287">
            <w:pPr>
              <w:spacing w:line="400" w:lineRule="exact"/>
              <w:jc w:val="center"/>
              <w:rPr>
                <w:rFonts w:ascii="宋体" w:hAnsi="宋体"/>
                <w:color w:val="auto"/>
                <w:szCs w:val="21"/>
                <w:highlight w:val="none"/>
              </w:rPr>
            </w:pPr>
          </w:p>
        </w:tc>
      </w:tr>
      <w:tr w14:paraId="2F53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5E36648">
            <w:pPr>
              <w:spacing w:line="400" w:lineRule="exact"/>
              <w:jc w:val="center"/>
              <w:rPr>
                <w:rFonts w:ascii="宋体" w:hAnsi="宋体"/>
                <w:color w:val="auto"/>
                <w:szCs w:val="21"/>
                <w:highlight w:val="none"/>
              </w:rPr>
            </w:pPr>
          </w:p>
        </w:tc>
        <w:tc>
          <w:tcPr>
            <w:tcW w:w="1305" w:type="dxa"/>
            <w:noWrap w:val="0"/>
            <w:vAlign w:val="top"/>
          </w:tcPr>
          <w:p w14:paraId="6B196974">
            <w:pPr>
              <w:spacing w:line="400" w:lineRule="exact"/>
              <w:jc w:val="center"/>
              <w:rPr>
                <w:rFonts w:ascii="宋体" w:hAnsi="宋体"/>
                <w:color w:val="auto"/>
                <w:szCs w:val="21"/>
                <w:highlight w:val="none"/>
              </w:rPr>
            </w:pPr>
          </w:p>
        </w:tc>
        <w:tc>
          <w:tcPr>
            <w:tcW w:w="1066" w:type="dxa"/>
            <w:noWrap w:val="0"/>
            <w:vAlign w:val="top"/>
          </w:tcPr>
          <w:p w14:paraId="47E29672">
            <w:pPr>
              <w:spacing w:line="400" w:lineRule="exact"/>
              <w:jc w:val="center"/>
              <w:rPr>
                <w:rFonts w:ascii="宋体" w:hAnsi="宋体"/>
                <w:color w:val="auto"/>
                <w:szCs w:val="21"/>
                <w:highlight w:val="none"/>
              </w:rPr>
            </w:pPr>
          </w:p>
        </w:tc>
        <w:tc>
          <w:tcPr>
            <w:tcW w:w="1066" w:type="dxa"/>
            <w:noWrap w:val="0"/>
            <w:vAlign w:val="top"/>
          </w:tcPr>
          <w:p w14:paraId="134697D4">
            <w:pPr>
              <w:spacing w:line="400" w:lineRule="exact"/>
              <w:jc w:val="center"/>
              <w:rPr>
                <w:rFonts w:ascii="宋体" w:hAnsi="宋体"/>
                <w:color w:val="auto"/>
                <w:szCs w:val="21"/>
                <w:highlight w:val="none"/>
              </w:rPr>
            </w:pPr>
          </w:p>
        </w:tc>
        <w:tc>
          <w:tcPr>
            <w:tcW w:w="1066" w:type="dxa"/>
            <w:noWrap w:val="0"/>
            <w:vAlign w:val="top"/>
          </w:tcPr>
          <w:p w14:paraId="45D4089C">
            <w:pPr>
              <w:spacing w:line="400" w:lineRule="exact"/>
              <w:jc w:val="center"/>
              <w:rPr>
                <w:rFonts w:ascii="宋体" w:hAnsi="宋体"/>
                <w:color w:val="auto"/>
                <w:szCs w:val="21"/>
                <w:highlight w:val="none"/>
              </w:rPr>
            </w:pPr>
          </w:p>
        </w:tc>
        <w:tc>
          <w:tcPr>
            <w:tcW w:w="1066" w:type="dxa"/>
            <w:noWrap w:val="0"/>
            <w:vAlign w:val="top"/>
          </w:tcPr>
          <w:p w14:paraId="7F01B50D">
            <w:pPr>
              <w:spacing w:line="400" w:lineRule="exact"/>
              <w:jc w:val="center"/>
              <w:rPr>
                <w:rFonts w:ascii="宋体" w:hAnsi="宋体"/>
                <w:color w:val="auto"/>
                <w:szCs w:val="21"/>
                <w:highlight w:val="none"/>
              </w:rPr>
            </w:pPr>
          </w:p>
        </w:tc>
        <w:tc>
          <w:tcPr>
            <w:tcW w:w="1066" w:type="dxa"/>
            <w:noWrap w:val="0"/>
            <w:vAlign w:val="top"/>
          </w:tcPr>
          <w:p w14:paraId="02AC6C53">
            <w:pPr>
              <w:spacing w:line="400" w:lineRule="exact"/>
              <w:jc w:val="center"/>
              <w:rPr>
                <w:rFonts w:ascii="宋体" w:hAnsi="宋体"/>
                <w:color w:val="auto"/>
                <w:szCs w:val="21"/>
                <w:highlight w:val="none"/>
              </w:rPr>
            </w:pPr>
          </w:p>
        </w:tc>
        <w:tc>
          <w:tcPr>
            <w:tcW w:w="1064" w:type="dxa"/>
            <w:noWrap w:val="0"/>
            <w:vAlign w:val="top"/>
          </w:tcPr>
          <w:p w14:paraId="1B60C2DD">
            <w:pPr>
              <w:spacing w:line="400" w:lineRule="exact"/>
              <w:jc w:val="center"/>
              <w:rPr>
                <w:rFonts w:ascii="宋体" w:hAnsi="宋体"/>
                <w:color w:val="auto"/>
                <w:szCs w:val="21"/>
                <w:highlight w:val="none"/>
              </w:rPr>
            </w:pPr>
          </w:p>
        </w:tc>
      </w:tr>
      <w:tr w14:paraId="4BC0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290112C">
            <w:pPr>
              <w:spacing w:line="400" w:lineRule="exact"/>
              <w:jc w:val="center"/>
              <w:rPr>
                <w:rFonts w:ascii="宋体" w:hAnsi="宋体"/>
                <w:color w:val="auto"/>
                <w:szCs w:val="21"/>
                <w:highlight w:val="none"/>
              </w:rPr>
            </w:pPr>
          </w:p>
        </w:tc>
        <w:tc>
          <w:tcPr>
            <w:tcW w:w="1305" w:type="dxa"/>
            <w:noWrap w:val="0"/>
            <w:vAlign w:val="top"/>
          </w:tcPr>
          <w:p w14:paraId="37A05711">
            <w:pPr>
              <w:spacing w:line="400" w:lineRule="exact"/>
              <w:jc w:val="center"/>
              <w:rPr>
                <w:rFonts w:ascii="宋体" w:hAnsi="宋体"/>
                <w:color w:val="auto"/>
                <w:szCs w:val="21"/>
                <w:highlight w:val="none"/>
              </w:rPr>
            </w:pPr>
          </w:p>
        </w:tc>
        <w:tc>
          <w:tcPr>
            <w:tcW w:w="1066" w:type="dxa"/>
            <w:noWrap w:val="0"/>
            <w:vAlign w:val="top"/>
          </w:tcPr>
          <w:p w14:paraId="0782FB44">
            <w:pPr>
              <w:spacing w:line="400" w:lineRule="exact"/>
              <w:jc w:val="center"/>
              <w:rPr>
                <w:rFonts w:ascii="宋体" w:hAnsi="宋体"/>
                <w:color w:val="auto"/>
                <w:szCs w:val="21"/>
                <w:highlight w:val="none"/>
              </w:rPr>
            </w:pPr>
          </w:p>
        </w:tc>
        <w:tc>
          <w:tcPr>
            <w:tcW w:w="1066" w:type="dxa"/>
            <w:noWrap w:val="0"/>
            <w:vAlign w:val="top"/>
          </w:tcPr>
          <w:p w14:paraId="7D1C782D">
            <w:pPr>
              <w:spacing w:line="400" w:lineRule="exact"/>
              <w:jc w:val="center"/>
              <w:rPr>
                <w:rFonts w:ascii="宋体" w:hAnsi="宋体"/>
                <w:color w:val="auto"/>
                <w:szCs w:val="21"/>
                <w:highlight w:val="none"/>
              </w:rPr>
            </w:pPr>
          </w:p>
        </w:tc>
        <w:tc>
          <w:tcPr>
            <w:tcW w:w="1066" w:type="dxa"/>
            <w:noWrap w:val="0"/>
            <w:vAlign w:val="top"/>
          </w:tcPr>
          <w:p w14:paraId="23D75950">
            <w:pPr>
              <w:spacing w:line="400" w:lineRule="exact"/>
              <w:jc w:val="center"/>
              <w:rPr>
                <w:rFonts w:ascii="宋体" w:hAnsi="宋体"/>
                <w:color w:val="auto"/>
                <w:szCs w:val="21"/>
                <w:highlight w:val="none"/>
              </w:rPr>
            </w:pPr>
          </w:p>
        </w:tc>
        <w:tc>
          <w:tcPr>
            <w:tcW w:w="1066" w:type="dxa"/>
            <w:noWrap w:val="0"/>
            <w:vAlign w:val="top"/>
          </w:tcPr>
          <w:p w14:paraId="579EE0A9">
            <w:pPr>
              <w:spacing w:line="400" w:lineRule="exact"/>
              <w:jc w:val="center"/>
              <w:rPr>
                <w:rFonts w:ascii="宋体" w:hAnsi="宋体"/>
                <w:color w:val="auto"/>
                <w:szCs w:val="21"/>
                <w:highlight w:val="none"/>
              </w:rPr>
            </w:pPr>
          </w:p>
        </w:tc>
        <w:tc>
          <w:tcPr>
            <w:tcW w:w="1066" w:type="dxa"/>
            <w:noWrap w:val="0"/>
            <w:vAlign w:val="top"/>
          </w:tcPr>
          <w:p w14:paraId="40684FA8">
            <w:pPr>
              <w:spacing w:line="400" w:lineRule="exact"/>
              <w:jc w:val="center"/>
              <w:rPr>
                <w:rFonts w:ascii="宋体" w:hAnsi="宋体"/>
                <w:color w:val="auto"/>
                <w:szCs w:val="21"/>
                <w:highlight w:val="none"/>
              </w:rPr>
            </w:pPr>
          </w:p>
        </w:tc>
        <w:tc>
          <w:tcPr>
            <w:tcW w:w="1064" w:type="dxa"/>
            <w:noWrap w:val="0"/>
            <w:vAlign w:val="top"/>
          </w:tcPr>
          <w:p w14:paraId="0950C557">
            <w:pPr>
              <w:spacing w:line="400" w:lineRule="exact"/>
              <w:jc w:val="center"/>
              <w:rPr>
                <w:rFonts w:ascii="宋体" w:hAnsi="宋体"/>
                <w:color w:val="auto"/>
                <w:szCs w:val="21"/>
                <w:highlight w:val="none"/>
              </w:rPr>
            </w:pPr>
          </w:p>
        </w:tc>
      </w:tr>
      <w:tr w14:paraId="04BE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B4888F2">
            <w:pPr>
              <w:spacing w:line="400" w:lineRule="exact"/>
              <w:jc w:val="center"/>
              <w:rPr>
                <w:rFonts w:ascii="宋体" w:hAnsi="宋体"/>
                <w:color w:val="auto"/>
                <w:szCs w:val="21"/>
                <w:highlight w:val="none"/>
              </w:rPr>
            </w:pPr>
          </w:p>
        </w:tc>
        <w:tc>
          <w:tcPr>
            <w:tcW w:w="1305" w:type="dxa"/>
            <w:noWrap w:val="0"/>
            <w:vAlign w:val="top"/>
          </w:tcPr>
          <w:p w14:paraId="288BF4D3">
            <w:pPr>
              <w:spacing w:line="400" w:lineRule="exact"/>
              <w:jc w:val="center"/>
              <w:rPr>
                <w:rFonts w:ascii="宋体" w:hAnsi="宋体"/>
                <w:color w:val="auto"/>
                <w:szCs w:val="21"/>
                <w:highlight w:val="none"/>
              </w:rPr>
            </w:pPr>
          </w:p>
        </w:tc>
        <w:tc>
          <w:tcPr>
            <w:tcW w:w="1066" w:type="dxa"/>
            <w:noWrap w:val="0"/>
            <w:vAlign w:val="top"/>
          </w:tcPr>
          <w:p w14:paraId="32FE77A5">
            <w:pPr>
              <w:spacing w:line="400" w:lineRule="exact"/>
              <w:jc w:val="center"/>
              <w:rPr>
                <w:rFonts w:ascii="宋体" w:hAnsi="宋体"/>
                <w:color w:val="auto"/>
                <w:szCs w:val="21"/>
                <w:highlight w:val="none"/>
              </w:rPr>
            </w:pPr>
          </w:p>
        </w:tc>
        <w:tc>
          <w:tcPr>
            <w:tcW w:w="1066" w:type="dxa"/>
            <w:noWrap w:val="0"/>
            <w:vAlign w:val="top"/>
          </w:tcPr>
          <w:p w14:paraId="046B9FBD">
            <w:pPr>
              <w:spacing w:line="400" w:lineRule="exact"/>
              <w:jc w:val="center"/>
              <w:rPr>
                <w:rFonts w:ascii="宋体" w:hAnsi="宋体"/>
                <w:color w:val="auto"/>
                <w:szCs w:val="21"/>
                <w:highlight w:val="none"/>
              </w:rPr>
            </w:pPr>
          </w:p>
        </w:tc>
        <w:tc>
          <w:tcPr>
            <w:tcW w:w="1066" w:type="dxa"/>
            <w:noWrap w:val="0"/>
            <w:vAlign w:val="top"/>
          </w:tcPr>
          <w:p w14:paraId="1A259F1A">
            <w:pPr>
              <w:spacing w:line="400" w:lineRule="exact"/>
              <w:jc w:val="center"/>
              <w:rPr>
                <w:rFonts w:ascii="宋体" w:hAnsi="宋体"/>
                <w:color w:val="auto"/>
                <w:szCs w:val="21"/>
                <w:highlight w:val="none"/>
              </w:rPr>
            </w:pPr>
          </w:p>
        </w:tc>
        <w:tc>
          <w:tcPr>
            <w:tcW w:w="1066" w:type="dxa"/>
            <w:noWrap w:val="0"/>
            <w:vAlign w:val="top"/>
          </w:tcPr>
          <w:p w14:paraId="454310B5">
            <w:pPr>
              <w:spacing w:line="400" w:lineRule="exact"/>
              <w:jc w:val="center"/>
              <w:rPr>
                <w:rFonts w:ascii="宋体" w:hAnsi="宋体"/>
                <w:color w:val="auto"/>
                <w:szCs w:val="21"/>
                <w:highlight w:val="none"/>
              </w:rPr>
            </w:pPr>
          </w:p>
        </w:tc>
        <w:tc>
          <w:tcPr>
            <w:tcW w:w="1066" w:type="dxa"/>
            <w:noWrap w:val="0"/>
            <w:vAlign w:val="top"/>
          </w:tcPr>
          <w:p w14:paraId="40D3F73A">
            <w:pPr>
              <w:spacing w:line="400" w:lineRule="exact"/>
              <w:jc w:val="center"/>
              <w:rPr>
                <w:rFonts w:ascii="宋体" w:hAnsi="宋体"/>
                <w:color w:val="auto"/>
                <w:szCs w:val="21"/>
                <w:highlight w:val="none"/>
              </w:rPr>
            </w:pPr>
          </w:p>
        </w:tc>
        <w:tc>
          <w:tcPr>
            <w:tcW w:w="1064" w:type="dxa"/>
            <w:noWrap w:val="0"/>
            <w:vAlign w:val="top"/>
          </w:tcPr>
          <w:p w14:paraId="7837CB48">
            <w:pPr>
              <w:spacing w:line="400" w:lineRule="exact"/>
              <w:jc w:val="center"/>
              <w:rPr>
                <w:rFonts w:ascii="宋体" w:hAnsi="宋体"/>
                <w:color w:val="auto"/>
                <w:szCs w:val="21"/>
                <w:highlight w:val="none"/>
              </w:rPr>
            </w:pPr>
          </w:p>
        </w:tc>
      </w:tr>
      <w:tr w14:paraId="2CD7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0471835">
            <w:pPr>
              <w:spacing w:line="400" w:lineRule="exact"/>
              <w:jc w:val="center"/>
              <w:rPr>
                <w:rFonts w:ascii="宋体" w:hAnsi="宋体"/>
                <w:color w:val="auto"/>
                <w:szCs w:val="21"/>
                <w:highlight w:val="none"/>
              </w:rPr>
            </w:pPr>
          </w:p>
        </w:tc>
        <w:tc>
          <w:tcPr>
            <w:tcW w:w="1305" w:type="dxa"/>
            <w:noWrap w:val="0"/>
            <w:vAlign w:val="top"/>
          </w:tcPr>
          <w:p w14:paraId="77CAB0ED">
            <w:pPr>
              <w:spacing w:line="400" w:lineRule="exact"/>
              <w:jc w:val="center"/>
              <w:rPr>
                <w:rFonts w:ascii="宋体" w:hAnsi="宋体"/>
                <w:color w:val="auto"/>
                <w:szCs w:val="21"/>
                <w:highlight w:val="none"/>
              </w:rPr>
            </w:pPr>
          </w:p>
        </w:tc>
        <w:tc>
          <w:tcPr>
            <w:tcW w:w="1066" w:type="dxa"/>
            <w:noWrap w:val="0"/>
            <w:vAlign w:val="top"/>
          </w:tcPr>
          <w:p w14:paraId="7E523151">
            <w:pPr>
              <w:spacing w:line="400" w:lineRule="exact"/>
              <w:jc w:val="center"/>
              <w:rPr>
                <w:rFonts w:ascii="宋体" w:hAnsi="宋体"/>
                <w:color w:val="auto"/>
                <w:szCs w:val="21"/>
                <w:highlight w:val="none"/>
              </w:rPr>
            </w:pPr>
          </w:p>
        </w:tc>
        <w:tc>
          <w:tcPr>
            <w:tcW w:w="1066" w:type="dxa"/>
            <w:noWrap w:val="0"/>
            <w:vAlign w:val="top"/>
          </w:tcPr>
          <w:p w14:paraId="4FEED8E7">
            <w:pPr>
              <w:spacing w:line="400" w:lineRule="exact"/>
              <w:jc w:val="center"/>
              <w:rPr>
                <w:rFonts w:ascii="宋体" w:hAnsi="宋体"/>
                <w:color w:val="auto"/>
                <w:szCs w:val="21"/>
                <w:highlight w:val="none"/>
              </w:rPr>
            </w:pPr>
          </w:p>
        </w:tc>
        <w:tc>
          <w:tcPr>
            <w:tcW w:w="1066" w:type="dxa"/>
            <w:noWrap w:val="0"/>
            <w:vAlign w:val="top"/>
          </w:tcPr>
          <w:p w14:paraId="21C78294">
            <w:pPr>
              <w:spacing w:line="400" w:lineRule="exact"/>
              <w:jc w:val="center"/>
              <w:rPr>
                <w:rFonts w:ascii="宋体" w:hAnsi="宋体"/>
                <w:color w:val="auto"/>
                <w:szCs w:val="21"/>
                <w:highlight w:val="none"/>
              </w:rPr>
            </w:pPr>
          </w:p>
        </w:tc>
        <w:tc>
          <w:tcPr>
            <w:tcW w:w="1066" w:type="dxa"/>
            <w:noWrap w:val="0"/>
            <w:vAlign w:val="top"/>
          </w:tcPr>
          <w:p w14:paraId="6281BC7F">
            <w:pPr>
              <w:spacing w:line="400" w:lineRule="exact"/>
              <w:jc w:val="center"/>
              <w:rPr>
                <w:rFonts w:ascii="宋体" w:hAnsi="宋体"/>
                <w:color w:val="auto"/>
                <w:szCs w:val="21"/>
                <w:highlight w:val="none"/>
              </w:rPr>
            </w:pPr>
          </w:p>
        </w:tc>
        <w:tc>
          <w:tcPr>
            <w:tcW w:w="1066" w:type="dxa"/>
            <w:noWrap w:val="0"/>
            <w:vAlign w:val="top"/>
          </w:tcPr>
          <w:p w14:paraId="08F158FD">
            <w:pPr>
              <w:spacing w:line="400" w:lineRule="exact"/>
              <w:jc w:val="center"/>
              <w:rPr>
                <w:rFonts w:ascii="宋体" w:hAnsi="宋体"/>
                <w:color w:val="auto"/>
                <w:szCs w:val="21"/>
                <w:highlight w:val="none"/>
              </w:rPr>
            </w:pPr>
          </w:p>
        </w:tc>
        <w:tc>
          <w:tcPr>
            <w:tcW w:w="1064" w:type="dxa"/>
            <w:noWrap w:val="0"/>
            <w:vAlign w:val="top"/>
          </w:tcPr>
          <w:p w14:paraId="53114DED">
            <w:pPr>
              <w:spacing w:line="400" w:lineRule="exact"/>
              <w:jc w:val="center"/>
              <w:rPr>
                <w:rFonts w:ascii="宋体" w:hAnsi="宋体"/>
                <w:color w:val="auto"/>
                <w:szCs w:val="21"/>
                <w:highlight w:val="none"/>
              </w:rPr>
            </w:pPr>
          </w:p>
        </w:tc>
      </w:tr>
      <w:tr w14:paraId="4B86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1B74F1F">
            <w:pPr>
              <w:spacing w:line="400" w:lineRule="exact"/>
              <w:jc w:val="center"/>
              <w:rPr>
                <w:rFonts w:ascii="宋体" w:hAnsi="宋体"/>
                <w:color w:val="auto"/>
                <w:szCs w:val="21"/>
                <w:highlight w:val="none"/>
              </w:rPr>
            </w:pPr>
          </w:p>
        </w:tc>
        <w:tc>
          <w:tcPr>
            <w:tcW w:w="1305" w:type="dxa"/>
            <w:noWrap w:val="0"/>
            <w:vAlign w:val="top"/>
          </w:tcPr>
          <w:p w14:paraId="4D2EB81D">
            <w:pPr>
              <w:spacing w:line="400" w:lineRule="exact"/>
              <w:jc w:val="center"/>
              <w:rPr>
                <w:rFonts w:ascii="宋体" w:hAnsi="宋体"/>
                <w:color w:val="auto"/>
                <w:szCs w:val="21"/>
                <w:highlight w:val="none"/>
              </w:rPr>
            </w:pPr>
          </w:p>
        </w:tc>
        <w:tc>
          <w:tcPr>
            <w:tcW w:w="1066" w:type="dxa"/>
            <w:noWrap w:val="0"/>
            <w:vAlign w:val="top"/>
          </w:tcPr>
          <w:p w14:paraId="3F51B1B8">
            <w:pPr>
              <w:spacing w:line="400" w:lineRule="exact"/>
              <w:jc w:val="center"/>
              <w:rPr>
                <w:rFonts w:ascii="宋体" w:hAnsi="宋体"/>
                <w:color w:val="auto"/>
                <w:szCs w:val="21"/>
                <w:highlight w:val="none"/>
              </w:rPr>
            </w:pPr>
          </w:p>
        </w:tc>
        <w:tc>
          <w:tcPr>
            <w:tcW w:w="1066" w:type="dxa"/>
            <w:noWrap w:val="0"/>
            <w:vAlign w:val="top"/>
          </w:tcPr>
          <w:p w14:paraId="7CEA1332">
            <w:pPr>
              <w:spacing w:line="400" w:lineRule="exact"/>
              <w:jc w:val="center"/>
              <w:rPr>
                <w:rFonts w:ascii="宋体" w:hAnsi="宋体"/>
                <w:color w:val="auto"/>
                <w:szCs w:val="21"/>
                <w:highlight w:val="none"/>
              </w:rPr>
            </w:pPr>
          </w:p>
        </w:tc>
        <w:tc>
          <w:tcPr>
            <w:tcW w:w="1066" w:type="dxa"/>
            <w:noWrap w:val="0"/>
            <w:vAlign w:val="top"/>
          </w:tcPr>
          <w:p w14:paraId="07A4E1C4">
            <w:pPr>
              <w:spacing w:line="400" w:lineRule="exact"/>
              <w:jc w:val="center"/>
              <w:rPr>
                <w:rFonts w:ascii="宋体" w:hAnsi="宋体"/>
                <w:color w:val="auto"/>
                <w:szCs w:val="21"/>
                <w:highlight w:val="none"/>
              </w:rPr>
            </w:pPr>
          </w:p>
        </w:tc>
        <w:tc>
          <w:tcPr>
            <w:tcW w:w="1066" w:type="dxa"/>
            <w:noWrap w:val="0"/>
            <w:vAlign w:val="top"/>
          </w:tcPr>
          <w:p w14:paraId="5A60DBE5">
            <w:pPr>
              <w:spacing w:line="400" w:lineRule="exact"/>
              <w:jc w:val="center"/>
              <w:rPr>
                <w:rFonts w:ascii="宋体" w:hAnsi="宋体"/>
                <w:color w:val="auto"/>
                <w:szCs w:val="21"/>
                <w:highlight w:val="none"/>
              </w:rPr>
            </w:pPr>
          </w:p>
        </w:tc>
        <w:tc>
          <w:tcPr>
            <w:tcW w:w="1066" w:type="dxa"/>
            <w:noWrap w:val="0"/>
            <w:vAlign w:val="top"/>
          </w:tcPr>
          <w:p w14:paraId="2F2DBE4B">
            <w:pPr>
              <w:spacing w:line="400" w:lineRule="exact"/>
              <w:jc w:val="center"/>
              <w:rPr>
                <w:rFonts w:ascii="宋体" w:hAnsi="宋体"/>
                <w:color w:val="auto"/>
                <w:szCs w:val="21"/>
                <w:highlight w:val="none"/>
              </w:rPr>
            </w:pPr>
          </w:p>
        </w:tc>
        <w:tc>
          <w:tcPr>
            <w:tcW w:w="1064" w:type="dxa"/>
            <w:noWrap w:val="0"/>
            <w:vAlign w:val="top"/>
          </w:tcPr>
          <w:p w14:paraId="26AF831F">
            <w:pPr>
              <w:spacing w:line="400" w:lineRule="exact"/>
              <w:jc w:val="center"/>
              <w:rPr>
                <w:rFonts w:ascii="宋体" w:hAnsi="宋体"/>
                <w:color w:val="auto"/>
                <w:szCs w:val="21"/>
                <w:highlight w:val="none"/>
              </w:rPr>
            </w:pPr>
          </w:p>
        </w:tc>
      </w:tr>
      <w:tr w14:paraId="7AB5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61F7721">
            <w:pPr>
              <w:spacing w:line="400" w:lineRule="exact"/>
              <w:jc w:val="center"/>
              <w:rPr>
                <w:rFonts w:ascii="宋体" w:hAnsi="宋体"/>
                <w:color w:val="auto"/>
                <w:szCs w:val="21"/>
                <w:highlight w:val="none"/>
              </w:rPr>
            </w:pPr>
          </w:p>
        </w:tc>
        <w:tc>
          <w:tcPr>
            <w:tcW w:w="1305" w:type="dxa"/>
            <w:noWrap w:val="0"/>
            <w:vAlign w:val="top"/>
          </w:tcPr>
          <w:p w14:paraId="74EAC37C">
            <w:pPr>
              <w:spacing w:line="400" w:lineRule="exact"/>
              <w:jc w:val="center"/>
              <w:rPr>
                <w:rFonts w:ascii="宋体" w:hAnsi="宋体"/>
                <w:color w:val="auto"/>
                <w:szCs w:val="21"/>
                <w:highlight w:val="none"/>
              </w:rPr>
            </w:pPr>
          </w:p>
        </w:tc>
        <w:tc>
          <w:tcPr>
            <w:tcW w:w="1066" w:type="dxa"/>
            <w:noWrap w:val="0"/>
            <w:vAlign w:val="top"/>
          </w:tcPr>
          <w:p w14:paraId="7947CA5D">
            <w:pPr>
              <w:spacing w:line="400" w:lineRule="exact"/>
              <w:jc w:val="center"/>
              <w:rPr>
                <w:rFonts w:ascii="宋体" w:hAnsi="宋体"/>
                <w:color w:val="auto"/>
                <w:szCs w:val="21"/>
                <w:highlight w:val="none"/>
              </w:rPr>
            </w:pPr>
          </w:p>
        </w:tc>
        <w:tc>
          <w:tcPr>
            <w:tcW w:w="1066" w:type="dxa"/>
            <w:noWrap w:val="0"/>
            <w:vAlign w:val="top"/>
          </w:tcPr>
          <w:p w14:paraId="72E9BE17">
            <w:pPr>
              <w:spacing w:line="400" w:lineRule="exact"/>
              <w:jc w:val="center"/>
              <w:rPr>
                <w:rFonts w:ascii="宋体" w:hAnsi="宋体"/>
                <w:color w:val="auto"/>
                <w:szCs w:val="21"/>
                <w:highlight w:val="none"/>
              </w:rPr>
            </w:pPr>
          </w:p>
        </w:tc>
        <w:tc>
          <w:tcPr>
            <w:tcW w:w="1066" w:type="dxa"/>
            <w:noWrap w:val="0"/>
            <w:vAlign w:val="top"/>
          </w:tcPr>
          <w:p w14:paraId="670D5185">
            <w:pPr>
              <w:spacing w:line="400" w:lineRule="exact"/>
              <w:jc w:val="center"/>
              <w:rPr>
                <w:rFonts w:ascii="宋体" w:hAnsi="宋体"/>
                <w:color w:val="auto"/>
                <w:szCs w:val="21"/>
                <w:highlight w:val="none"/>
              </w:rPr>
            </w:pPr>
          </w:p>
        </w:tc>
        <w:tc>
          <w:tcPr>
            <w:tcW w:w="1066" w:type="dxa"/>
            <w:noWrap w:val="0"/>
            <w:vAlign w:val="top"/>
          </w:tcPr>
          <w:p w14:paraId="6335135B">
            <w:pPr>
              <w:spacing w:line="400" w:lineRule="exact"/>
              <w:jc w:val="center"/>
              <w:rPr>
                <w:rFonts w:ascii="宋体" w:hAnsi="宋体"/>
                <w:color w:val="auto"/>
                <w:szCs w:val="21"/>
                <w:highlight w:val="none"/>
              </w:rPr>
            </w:pPr>
          </w:p>
        </w:tc>
        <w:tc>
          <w:tcPr>
            <w:tcW w:w="1066" w:type="dxa"/>
            <w:noWrap w:val="0"/>
            <w:vAlign w:val="top"/>
          </w:tcPr>
          <w:p w14:paraId="1AAE15DE">
            <w:pPr>
              <w:spacing w:line="400" w:lineRule="exact"/>
              <w:jc w:val="center"/>
              <w:rPr>
                <w:rFonts w:ascii="宋体" w:hAnsi="宋体"/>
                <w:color w:val="auto"/>
                <w:szCs w:val="21"/>
                <w:highlight w:val="none"/>
              </w:rPr>
            </w:pPr>
          </w:p>
        </w:tc>
        <w:tc>
          <w:tcPr>
            <w:tcW w:w="1064" w:type="dxa"/>
            <w:noWrap w:val="0"/>
            <w:vAlign w:val="top"/>
          </w:tcPr>
          <w:p w14:paraId="71A33322">
            <w:pPr>
              <w:spacing w:line="400" w:lineRule="exact"/>
              <w:jc w:val="center"/>
              <w:rPr>
                <w:rFonts w:ascii="宋体" w:hAnsi="宋体"/>
                <w:color w:val="auto"/>
                <w:szCs w:val="21"/>
                <w:highlight w:val="none"/>
              </w:rPr>
            </w:pPr>
          </w:p>
        </w:tc>
      </w:tr>
      <w:tr w14:paraId="151A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AED2067">
            <w:pPr>
              <w:spacing w:line="400" w:lineRule="exact"/>
              <w:jc w:val="center"/>
              <w:rPr>
                <w:rFonts w:ascii="宋体" w:hAnsi="宋体"/>
                <w:color w:val="auto"/>
                <w:szCs w:val="21"/>
                <w:highlight w:val="none"/>
              </w:rPr>
            </w:pPr>
          </w:p>
        </w:tc>
        <w:tc>
          <w:tcPr>
            <w:tcW w:w="1305" w:type="dxa"/>
            <w:noWrap w:val="0"/>
            <w:vAlign w:val="top"/>
          </w:tcPr>
          <w:p w14:paraId="413BD594">
            <w:pPr>
              <w:spacing w:line="400" w:lineRule="exact"/>
              <w:jc w:val="center"/>
              <w:rPr>
                <w:rFonts w:ascii="宋体" w:hAnsi="宋体"/>
                <w:color w:val="auto"/>
                <w:szCs w:val="21"/>
                <w:highlight w:val="none"/>
              </w:rPr>
            </w:pPr>
          </w:p>
        </w:tc>
        <w:tc>
          <w:tcPr>
            <w:tcW w:w="1066" w:type="dxa"/>
            <w:noWrap w:val="0"/>
            <w:vAlign w:val="top"/>
          </w:tcPr>
          <w:p w14:paraId="3C6CD8A4">
            <w:pPr>
              <w:spacing w:line="400" w:lineRule="exact"/>
              <w:jc w:val="center"/>
              <w:rPr>
                <w:rFonts w:ascii="宋体" w:hAnsi="宋体"/>
                <w:color w:val="auto"/>
                <w:szCs w:val="21"/>
                <w:highlight w:val="none"/>
              </w:rPr>
            </w:pPr>
          </w:p>
        </w:tc>
        <w:tc>
          <w:tcPr>
            <w:tcW w:w="1066" w:type="dxa"/>
            <w:noWrap w:val="0"/>
            <w:vAlign w:val="top"/>
          </w:tcPr>
          <w:p w14:paraId="7AF30E87">
            <w:pPr>
              <w:spacing w:line="400" w:lineRule="exact"/>
              <w:jc w:val="center"/>
              <w:rPr>
                <w:rFonts w:ascii="宋体" w:hAnsi="宋体"/>
                <w:color w:val="auto"/>
                <w:szCs w:val="21"/>
                <w:highlight w:val="none"/>
              </w:rPr>
            </w:pPr>
          </w:p>
        </w:tc>
        <w:tc>
          <w:tcPr>
            <w:tcW w:w="1066" w:type="dxa"/>
            <w:noWrap w:val="0"/>
            <w:vAlign w:val="top"/>
          </w:tcPr>
          <w:p w14:paraId="2A4C7BEB">
            <w:pPr>
              <w:spacing w:line="400" w:lineRule="exact"/>
              <w:jc w:val="center"/>
              <w:rPr>
                <w:rFonts w:ascii="宋体" w:hAnsi="宋体"/>
                <w:color w:val="auto"/>
                <w:szCs w:val="21"/>
                <w:highlight w:val="none"/>
              </w:rPr>
            </w:pPr>
          </w:p>
        </w:tc>
        <w:tc>
          <w:tcPr>
            <w:tcW w:w="1066" w:type="dxa"/>
            <w:noWrap w:val="0"/>
            <w:vAlign w:val="top"/>
          </w:tcPr>
          <w:p w14:paraId="39103C0F">
            <w:pPr>
              <w:spacing w:line="400" w:lineRule="exact"/>
              <w:jc w:val="center"/>
              <w:rPr>
                <w:rFonts w:ascii="宋体" w:hAnsi="宋体"/>
                <w:color w:val="auto"/>
                <w:szCs w:val="21"/>
                <w:highlight w:val="none"/>
              </w:rPr>
            </w:pPr>
          </w:p>
        </w:tc>
        <w:tc>
          <w:tcPr>
            <w:tcW w:w="1066" w:type="dxa"/>
            <w:noWrap w:val="0"/>
            <w:vAlign w:val="top"/>
          </w:tcPr>
          <w:p w14:paraId="657B8D6C">
            <w:pPr>
              <w:spacing w:line="400" w:lineRule="exact"/>
              <w:jc w:val="center"/>
              <w:rPr>
                <w:rFonts w:ascii="宋体" w:hAnsi="宋体"/>
                <w:color w:val="auto"/>
                <w:szCs w:val="21"/>
                <w:highlight w:val="none"/>
              </w:rPr>
            </w:pPr>
          </w:p>
        </w:tc>
        <w:tc>
          <w:tcPr>
            <w:tcW w:w="1064" w:type="dxa"/>
            <w:noWrap w:val="0"/>
            <w:vAlign w:val="top"/>
          </w:tcPr>
          <w:p w14:paraId="084EDB92">
            <w:pPr>
              <w:spacing w:line="400" w:lineRule="exact"/>
              <w:jc w:val="center"/>
              <w:rPr>
                <w:rFonts w:ascii="宋体" w:hAnsi="宋体"/>
                <w:color w:val="auto"/>
                <w:szCs w:val="21"/>
                <w:highlight w:val="none"/>
              </w:rPr>
            </w:pPr>
          </w:p>
        </w:tc>
      </w:tr>
      <w:tr w14:paraId="0B94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D710419">
            <w:pPr>
              <w:spacing w:line="400" w:lineRule="exact"/>
              <w:jc w:val="center"/>
              <w:rPr>
                <w:rFonts w:ascii="宋体" w:hAnsi="宋体"/>
                <w:color w:val="auto"/>
                <w:szCs w:val="21"/>
                <w:highlight w:val="none"/>
              </w:rPr>
            </w:pPr>
          </w:p>
        </w:tc>
        <w:tc>
          <w:tcPr>
            <w:tcW w:w="1305" w:type="dxa"/>
            <w:noWrap w:val="0"/>
            <w:vAlign w:val="top"/>
          </w:tcPr>
          <w:p w14:paraId="701279F9">
            <w:pPr>
              <w:spacing w:line="400" w:lineRule="exact"/>
              <w:jc w:val="center"/>
              <w:rPr>
                <w:rFonts w:ascii="宋体" w:hAnsi="宋体"/>
                <w:color w:val="auto"/>
                <w:szCs w:val="21"/>
                <w:highlight w:val="none"/>
              </w:rPr>
            </w:pPr>
          </w:p>
        </w:tc>
        <w:tc>
          <w:tcPr>
            <w:tcW w:w="1066" w:type="dxa"/>
            <w:noWrap w:val="0"/>
            <w:vAlign w:val="top"/>
          </w:tcPr>
          <w:p w14:paraId="1D610E8F">
            <w:pPr>
              <w:spacing w:line="400" w:lineRule="exact"/>
              <w:jc w:val="center"/>
              <w:rPr>
                <w:rFonts w:ascii="宋体" w:hAnsi="宋体"/>
                <w:color w:val="auto"/>
                <w:szCs w:val="21"/>
                <w:highlight w:val="none"/>
              </w:rPr>
            </w:pPr>
          </w:p>
        </w:tc>
        <w:tc>
          <w:tcPr>
            <w:tcW w:w="1066" w:type="dxa"/>
            <w:noWrap w:val="0"/>
            <w:vAlign w:val="top"/>
          </w:tcPr>
          <w:p w14:paraId="677A7773">
            <w:pPr>
              <w:spacing w:line="400" w:lineRule="exact"/>
              <w:jc w:val="center"/>
              <w:rPr>
                <w:rFonts w:ascii="宋体" w:hAnsi="宋体"/>
                <w:color w:val="auto"/>
                <w:szCs w:val="21"/>
                <w:highlight w:val="none"/>
              </w:rPr>
            </w:pPr>
          </w:p>
        </w:tc>
        <w:tc>
          <w:tcPr>
            <w:tcW w:w="1066" w:type="dxa"/>
            <w:noWrap w:val="0"/>
            <w:vAlign w:val="top"/>
          </w:tcPr>
          <w:p w14:paraId="2D113514">
            <w:pPr>
              <w:spacing w:line="400" w:lineRule="exact"/>
              <w:jc w:val="center"/>
              <w:rPr>
                <w:rFonts w:ascii="宋体" w:hAnsi="宋体"/>
                <w:color w:val="auto"/>
                <w:szCs w:val="21"/>
                <w:highlight w:val="none"/>
              </w:rPr>
            </w:pPr>
          </w:p>
        </w:tc>
        <w:tc>
          <w:tcPr>
            <w:tcW w:w="1066" w:type="dxa"/>
            <w:noWrap w:val="0"/>
            <w:vAlign w:val="top"/>
          </w:tcPr>
          <w:p w14:paraId="7094FB06">
            <w:pPr>
              <w:spacing w:line="400" w:lineRule="exact"/>
              <w:jc w:val="center"/>
              <w:rPr>
                <w:rFonts w:ascii="宋体" w:hAnsi="宋体"/>
                <w:color w:val="auto"/>
                <w:szCs w:val="21"/>
                <w:highlight w:val="none"/>
              </w:rPr>
            </w:pPr>
          </w:p>
        </w:tc>
        <w:tc>
          <w:tcPr>
            <w:tcW w:w="1066" w:type="dxa"/>
            <w:noWrap w:val="0"/>
            <w:vAlign w:val="top"/>
          </w:tcPr>
          <w:p w14:paraId="70EC99F1">
            <w:pPr>
              <w:spacing w:line="400" w:lineRule="exact"/>
              <w:jc w:val="center"/>
              <w:rPr>
                <w:rFonts w:ascii="宋体" w:hAnsi="宋体"/>
                <w:color w:val="auto"/>
                <w:szCs w:val="21"/>
                <w:highlight w:val="none"/>
              </w:rPr>
            </w:pPr>
          </w:p>
        </w:tc>
        <w:tc>
          <w:tcPr>
            <w:tcW w:w="1064" w:type="dxa"/>
            <w:noWrap w:val="0"/>
            <w:vAlign w:val="top"/>
          </w:tcPr>
          <w:p w14:paraId="6F1E15C8">
            <w:pPr>
              <w:spacing w:line="400" w:lineRule="exact"/>
              <w:jc w:val="center"/>
              <w:rPr>
                <w:rFonts w:ascii="宋体" w:hAnsi="宋体"/>
                <w:color w:val="auto"/>
                <w:szCs w:val="21"/>
                <w:highlight w:val="none"/>
              </w:rPr>
            </w:pPr>
          </w:p>
        </w:tc>
      </w:tr>
      <w:tr w14:paraId="1E17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24FE31B">
            <w:pPr>
              <w:spacing w:line="400" w:lineRule="exact"/>
              <w:jc w:val="center"/>
              <w:rPr>
                <w:rFonts w:ascii="宋体" w:hAnsi="宋体"/>
                <w:color w:val="auto"/>
                <w:szCs w:val="21"/>
                <w:highlight w:val="none"/>
              </w:rPr>
            </w:pPr>
          </w:p>
        </w:tc>
        <w:tc>
          <w:tcPr>
            <w:tcW w:w="1305" w:type="dxa"/>
            <w:noWrap w:val="0"/>
            <w:vAlign w:val="top"/>
          </w:tcPr>
          <w:p w14:paraId="06C08136">
            <w:pPr>
              <w:spacing w:line="400" w:lineRule="exact"/>
              <w:jc w:val="center"/>
              <w:rPr>
                <w:rFonts w:ascii="宋体" w:hAnsi="宋体"/>
                <w:color w:val="auto"/>
                <w:szCs w:val="21"/>
                <w:highlight w:val="none"/>
              </w:rPr>
            </w:pPr>
          </w:p>
        </w:tc>
        <w:tc>
          <w:tcPr>
            <w:tcW w:w="1066" w:type="dxa"/>
            <w:noWrap w:val="0"/>
            <w:vAlign w:val="top"/>
          </w:tcPr>
          <w:p w14:paraId="74ADB106">
            <w:pPr>
              <w:spacing w:line="400" w:lineRule="exact"/>
              <w:jc w:val="center"/>
              <w:rPr>
                <w:rFonts w:ascii="宋体" w:hAnsi="宋体"/>
                <w:color w:val="auto"/>
                <w:szCs w:val="21"/>
                <w:highlight w:val="none"/>
              </w:rPr>
            </w:pPr>
          </w:p>
        </w:tc>
        <w:tc>
          <w:tcPr>
            <w:tcW w:w="1066" w:type="dxa"/>
            <w:noWrap w:val="0"/>
            <w:vAlign w:val="top"/>
          </w:tcPr>
          <w:p w14:paraId="0C4572B0">
            <w:pPr>
              <w:spacing w:line="400" w:lineRule="exact"/>
              <w:jc w:val="center"/>
              <w:rPr>
                <w:rFonts w:ascii="宋体" w:hAnsi="宋体"/>
                <w:color w:val="auto"/>
                <w:szCs w:val="21"/>
                <w:highlight w:val="none"/>
              </w:rPr>
            </w:pPr>
          </w:p>
        </w:tc>
        <w:tc>
          <w:tcPr>
            <w:tcW w:w="1066" w:type="dxa"/>
            <w:noWrap w:val="0"/>
            <w:vAlign w:val="top"/>
          </w:tcPr>
          <w:p w14:paraId="494A4170">
            <w:pPr>
              <w:spacing w:line="400" w:lineRule="exact"/>
              <w:jc w:val="center"/>
              <w:rPr>
                <w:rFonts w:ascii="宋体" w:hAnsi="宋体"/>
                <w:color w:val="auto"/>
                <w:szCs w:val="21"/>
                <w:highlight w:val="none"/>
              </w:rPr>
            </w:pPr>
          </w:p>
        </w:tc>
        <w:tc>
          <w:tcPr>
            <w:tcW w:w="1066" w:type="dxa"/>
            <w:noWrap w:val="0"/>
            <w:vAlign w:val="top"/>
          </w:tcPr>
          <w:p w14:paraId="507A263C">
            <w:pPr>
              <w:spacing w:line="400" w:lineRule="exact"/>
              <w:jc w:val="center"/>
              <w:rPr>
                <w:rFonts w:ascii="宋体" w:hAnsi="宋体"/>
                <w:color w:val="auto"/>
                <w:szCs w:val="21"/>
                <w:highlight w:val="none"/>
              </w:rPr>
            </w:pPr>
          </w:p>
        </w:tc>
        <w:tc>
          <w:tcPr>
            <w:tcW w:w="1066" w:type="dxa"/>
            <w:noWrap w:val="0"/>
            <w:vAlign w:val="top"/>
          </w:tcPr>
          <w:p w14:paraId="2DC1EFB0">
            <w:pPr>
              <w:spacing w:line="400" w:lineRule="exact"/>
              <w:jc w:val="center"/>
              <w:rPr>
                <w:rFonts w:ascii="宋体" w:hAnsi="宋体"/>
                <w:color w:val="auto"/>
                <w:szCs w:val="21"/>
                <w:highlight w:val="none"/>
              </w:rPr>
            </w:pPr>
          </w:p>
        </w:tc>
        <w:tc>
          <w:tcPr>
            <w:tcW w:w="1064" w:type="dxa"/>
            <w:noWrap w:val="0"/>
            <w:vAlign w:val="top"/>
          </w:tcPr>
          <w:p w14:paraId="25D4AA05">
            <w:pPr>
              <w:spacing w:line="400" w:lineRule="exact"/>
              <w:jc w:val="center"/>
              <w:rPr>
                <w:rFonts w:ascii="宋体" w:hAnsi="宋体"/>
                <w:color w:val="auto"/>
                <w:szCs w:val="21"/>
                <w:highlight w:val="none"/>
              </w:rPr>
            </w:pPr>
          </w:p>
        </w:tc>
      </w:tr>
      <w:tr w14:paraId="4C6F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948BC2C">
            <w:pPr>
              <w:spacing w:line="400" w:lineRule="exact"/>
              <w:jc w:val="center"/>
              <w:rPr>
                <w:rFonts w:ascii="宋体" w:hAnsi="宋体"/>
                <w:color w:val="auto"/>
                <w:szCs w:val="21"/>
                <w:highlight w:val="none"/>
              </w:rPr>
            </w:pPr>
          </w:p>
        </w:tc>
        <w:tc>
          <w:tcPr>
            <w:tcW w:w="1305" w:type="dxa"/>
            <w:noWrap w:val="0"/>
            <w:vAlign w:val="top"/>
          </w:tcPr>
          <w:p w14:paraId="7FB49BAD">
            <w:pPr>
              <w:spacing w:line="400" w:lineRule="exact"/>
              <w:jc w:val="center"/>
              <w:rPr>
                <w:rFonts w:ascii="宋体" w:hAnsi="宋体"/>
                <w:color w:val="auto"/>
                <w:szCs w:val="21"/>
                <w:highlight w:val="none"/>
              </w:rPr>
            </w:pPr>
          </w:p>
        </w:tc>
        <w:tc>
          <w:tcPr>
            <w:tcW w:w="1066" w:type="dxa"/>
            <w:noWrap w:val="0"/>
            <w:vAlign w:val="top"/>
          </w:tcPr>
          <w:p w14:paraId="7B317DB2">
            <w:pPr>
              <w:spacing w:line="400" w:lineRule="exact"/>
              <w:jc w:val="center"/>
              <w:rPr>
                <w:rFonts w:ascii="宋体" w:hAnsi="宋体"/>
                <w:color w:val="auto"/>
                <w:szCs w:val="21"/>
                <w:highlight w:val="none"/>
              </w:rPr>
            </w:pPr>
          </w:p>
        </w:tc>
        <w:tc>
          <w:tcPr>
            <w:tcW w:w="1066" w:type="dxa"/>
            <w:noWrap w:val="0"/>
            <w:vAlign w:val="top"/>
          </w:tcPr>
          <w:p w14:paraId="7281DE79">
            <w:pPr>
              <w:spacing w:line="400" w:lineRule="exact"/>
              <w:jc w:val="center"/>
              <w:rPr>
                <w:rFonts w:ascii="宋体" w:hAnsi="宋体"/>
                <w:color w:val="auto"/>
                <w:szCs w:val="21"/>
                <w:highlight w:val="none"/>
              </w:rPr>
            </w:pPr>
          </w:p>
        </w:tc>
        <w:tc>
          <w:tcPr>
            <w:tcW w:w="1066" w:type="dxa"/>
            <w:noWrap w:val="0"/>
            <w:vAlign w:val="top"/>
          </w:tcPr>
          <w:p w14:paraId="76023952">
            <w:pPr>
              <w:spacing w:line="400" w:lineRule="exact"/>
              <w:jc w:val="center"/>
              <w:rPr>
                <w:rFonts w:ascii="宋体" w:hAnsi="宋体"/>
                <w:color w:val="auto"/>
                <w:szCs w:val="21"/>
                <w:highlight w:val="none"/>
              </w:rPr>
            </w:pPr>
          </w:p>
        </w:tc>
        <w:tc>
          <w:tcPr>
            <w:tcW w:w="1066" w:type="dxa"/>
            <w:noWrap w:val="0"/>
            <w:vAlign w:val="top"/>
          </w:tcPr>
          <w:p w14:paraId="44835389">
            <w:pPr>
              <w:spacing w:line="400" w:lineRule="exact"/>
              <w:jc w:val="center"/>
              <w:rPr>
                <w:rFonts w:ascii="宋体" w:hAnsi="宋体"/>
                <w:color w:val="auto"/>
                <w:szCs w:val="21"/>
                <w:highlight w:val="none"/>
              </w:rPr>
            </w:pPr>
          </w:p>
        </w:tc>
        <w:tc>
          <w:tcPr>
            <w:tcW w:w="1066" w:type="dxa"/>
            <w:noWrap w:val="0"/>
            <w:vAlign w:val="top"/>
          </w:tcPr>
          <w:p w14:paraId="3CE13519">
            <w:pPr>
              <w:spacing w:line="400" w:lineRule="exact"/>
              <w:jc w:val="center"/>
              <w:rPr>
                <w:rFonts w:ascii="宋体" w:hAnsi="宋体"/>
                <w:color w:val="auto"/>
                <w:szCs w:val="21"/>
                <w:highlight w:val="none"/>
              </w:rPr>
            </w:pPr>
          </w:p>
        </w:tc>
        <w:tc>
          <w:tcPr>
            <w:tcW w:w="1064" w:type="dxa"/>
            <w:noWrap w:val="0"/>
            <w:vAlign w:val="top"/>
          </w:tcPr>
          <w:p w14:paraId="394D7628">
            <w:pPr>
              <w:spacing w:line="400" w:lineRule="exact"/>
              <w:jc w:val="center"/>
              <w:rPr>
                <w:rFonts w:ascii="宋体" w:hAnsi="宋体"/>
                <w:color w:val="auto"/>
                <w:szCs w:val="21"/>
                <w:highlight w:val="none"/>
              </w:rPr>
            </w:pPr>
          </w:p>
        </w:tc>
      </w:tr>
      <w:tr w14:paraId="4079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767B18E">
            <w:pPr>
              <w:spacing w:line="400" w:lineRule="exact"/>
              <w:jc w:val="center"/>
              <w:rPr>
                <w:rFonts w:ascii="宋体" w:hAnsi="宋体"/>
                <w:color w:val="auto"/>
                <w:szCs w:val="21"/>
                <w:highlight w:val="none"/>
              </w:rPr>
            </w:pPr>
          </w:p>
        </w:tc>
        <w:tc>
          <w:tcPr>
            <w:tcW w:w="1305" w:type="dxa"/>
            <w:noWrap w:val="0"/>
            <w:vAlign w:val="top"/>
          </w:tcPr>
          <w:p w14:paraId="7CE74504">
            <w:pPr>
              <w:spacing w:line="400" w:lineRule="exact"/>
              <w:jc w:val="center"/>
              <w:rPr>
                <w:rFonts w:ascii="宋体" w:hAnsi="宋体"/>
                <w:color w:val="auto"/>
                <w:szCs w:val="21"/>
                <w:highlight w:val="none"/>
              </w:rPr>
            </w:pPr>
          </w:p>
        </w:tc>
        <w:tc>
          <w:tcPr>
            <w:tcW w:w="1066" w:type="dxa"/>
            <w:noWrap w:val="0"/>
            <w:vAlign w:val="top"/>
          </w:tcPr>
          <w:p w14:paraId="4656DEC1">
            <w:pPr>
              <w:spacing w:line="400" w:lineRule="exact"/>
              <w:jc w:val="center"/>
              <w:rPr>
                <w:rFonts w:ascii="宋体" w:hAnsi="宋体"/>
                <w:color w:val="auto"/>
                <w:szCs w:val="21"/>
                <w:highlight w:val="none"/>
              </w:rPr>
            </w:pPr>
          </w:p>
        </w:tc>
        <w:tc>
          <w:tcPr>
            <w:tcW w:w="1066" w:type="dxa"/>
            <w:noWrap w:val="0"/>
            <w:vAlign w:val="top"/>
          </w:tcPr>
          <w:p w14:paraId="0D3F4B94">
            <w:pPr>
              <w:spacing w:line="400" w:lineRule="exact"/>
              <w:jc w:val="center"/>
              <w:rPr>
                <w:rFonts w:ascii="宋体" w:hAnsi="宋体"/>
                <w:color w:val="auto"/>
                <w:szCs w:val="21"/>
                <w:highlight w:val="none"/>
              </w:rPr>
            </w:pPr>
          </w:p>
        </w:tc>
        <w:tc>
          <w:tcPr>
            <w:tcW w:w="1066" w:type="dxa"/>
            <w:noWrap w:val="0"/>
            <w:vAlign w:val="top"/>
          </w:tcPr>
          <w:p w14:paraId="503BD44D">
            <w:pPr>
              <w:spacing w:line="400" w:lineRule="exact"/>
              <w:jc w:val="center"/>
              <w:rPr>
                <w:rFonts w:ascii="宋体" w:hAnsi="宋体"/>
                <w:color w:val="auto"/>
                <w:szCs w:val="21"/>
                <w:highlight w:val="none"/>
              </w:rPr>
            </w:pPr>
          </w:p>
        </w:tc>
        <w:tc>
          <w:tcPr>
            <w:tcW w:w="1066" w:type="dxa"/>
            <w:noWrap w:val="0"/>
            <w:vAlign w:val="top"/>
          </w:tcPr>
          <w:p w14:paraId="7D7C68F8">
            <w:pPr>
              <w:spacing w:line="400" w:lineRule="exact"/>
              <w:jc w:val="center"/>
              <w:rPr>
                <w:rFonts w:ascii="宋体" w:hAnsi="宋体"/>
                <w:color w:val="auto"/>
                <w:szCs w:val="21"/>
                <w:highlight w:val="none"/>
              </w:rPr>
            </w:pPr>
          </w:p>
        </w:tc>
        <w:tc>
          <w:tcPr>
            <w:tcW w:w="1066" w:type="dxa"/>
            <w:noWrap w:val="0"/>
            <w:vAlign w:val="top"/>
          </w:tcPr>
          <w:p w14:paraId="712B1680">
            <w:pPr>
              <w:spacing w:line="400" w:lineRule="exact"/>
              <w:jc w:val="center"/>
              <w:rPr>
                <w:rFonts w:ascii="宋体" w:hAnsi="宋体"/>
                <w:color w:val="auto"/>
                <w:szCs w:val="21"/>
                <w:highlight w:val="none"/>
              </w:rPr>
            </w:pPr>
          </w:p>
        </w:tc>
        <w:tc>
          <w:tcPr>
            <w:tcW w:w="1064" w:type="dxa"/>
            <w:noWrap w:val="0"/>
            <w:vAlign w:val="top"/>
          </w:tcPr>
          <w:p w14:paraId="427C73D5">
            <w:pPr>
              <w:spacing w:line="400" w:lineRule="exact"/>
              <w:jc w:val="center"/>
              <w:rPr>
                <w:rFonts w:ascii="宋体" w:hAnsi="宋体"/>
                <w:color w:val="auto"/>
                <w:szCs w:val="21"/>
                <w:highlight w:val="none"/>
              </w:rPr>
            </w:pPr>
          </w:p>
        </w:tc>
      </w:tr>
    </w:tbl>
    <w:p w14:paraId="0F90B0D5">
      <w:pPr>
        <w:topLinePunct/>
        <w:spacing w:line="400" w:lineRule="exact"/>
        <w:rPr>
          <w:color w:val="auto"/>
          <w:sz w:val="20"/>
          <w:szCs w:val="20"/>
          <w:highlight w:val="none"/>
        </w:rPr>
      </w:pPr>
    </w:p>
    <w:p w14:paraId="1EAD53CA">
      <w:pPr>
        <w:widowControl/>
        <w:jc w:val="left"/>
        <w:rPr>
          <w:rFonts w:ascii="宋体" w:hAnsi="宋体"/>
          <w:b/>
          <w:color w:val="auto"/>
          <w:sz w:val="24"/>
          <w:szCs w:val="31"/>
          <w:highlight w:val="none"/>
        </w:rPr>
      </w:pPr>
      <w:bookmarkStart w:id="1097" w:name="_Toc168476330"/>
      <w:bookmarkStart w:id="1098" w:name="_Toc168475927"/>
      <w:bookmarkStart w:id="1099" w:name="_Toc221952105"/>
      <w:bookmarkStart w:id="1100" w:name="_Toc144974868"/>
      <w:r>
        <w:rPr>
          <w:rFonts w:ascii="宋体" w:hAnsi="宋体"/>
          <w:b/>
          <w:color w:val="auto"/>
          <w:sz w:val="24"/>
          <w:szCs w:val="31"/>
          <w:highlight w:val="none"/>
        </w:rPr>
        <w:br w:type="page"/>
      </w:r>
    </w:p>
    <w:p w14:paraId="584B28F4">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附表四：计划开</w:t>
      </w:r>
      <w:r>
        <w:rPr>
          <w:rFonts w:hint="eastAsia" w:ascii="宋体" w:hAnsi="宋体"/>
          <w:b/>
          <w:color w:val="auto"/>
          <w:sz w:val="24"/>
          <w:szCs w:val="31"/>
          <w:highlight w:val="none"/>
        </w:rPr>
        <w:t>工日期</w:t>
      </w:r>
      <w:r>
        <w:rPr>
          <w:rFonts w:ascii="宋体" w:hAnsi="宋体"/>
          <w:b/>
          <w:color w:val="auto"/>
          <w:sz w:val="24"/>
          <w:szCs w:val="31"/>
          <w:highlight w:val="none"/>
        </w:rPr>
        <w:t>、</w:t>
      </w:r>
      <w:r>
        <w:rPr>
          <w:rFonts w:hint="eastAsia" w:ascii="宋体" w:hAnsi="宋体"/>
          <w:b/>
          <w:color w:val="auto"/>
          <w:sz w:val="24"/>
          <w:szCs w:val="31"/>
          <w:highlight w:val="none"/>
        </w:rPr>
        <w:t>完工</w:t>
      </w:r>
      <w:r>
        <w:rPr>
          <w:rFonts w:ascii="宋体" w:hAnsi="宋体"/>
          <w:b/>
          <w:color w:val="auto"/>
          <w:sz w:val="24"/>
          <w:szCs w:val="31"/>
          <w:highlight w:val="none"/>
        </w:rPr>
        <w:t>日期和施工进度网络图</w:t>
      </w:r>
      <w:bookmarkEnd w:id="1097"/>
      <w:bookmarkEnd w:id="1098"/>
      <w:bookmarkEnd w:id="1099"/>
      <w:bookmarkEnd w:id="1100"/>
    </w:p>
    <w:p w14:paraId="2435CCC6">
      <w:pPr>
        <w:spacing w:line="400" w:lineRule="exact"/>
        <w:rPr>
          <w:rFonts w:eastAsia="黑体"/>
          <w:color w:val="auto"/>
          <w:sz w:val="19"/>
          <w:szCs w:val="19"/>
          <w:highlight w:val="none"/>
        </w:rPr>
      </w:pPr>
    </w:p>
    <w:p w14:paraId="66F86012">
      <w:pPr>
        <w:spacing w:line="400" w:lineRule="exact"/>
        <w:ind w:firstLine="420" w:firstLineChars="200"/>
        <w:rPr>
          <w:rFonts w:ascii="宋体" w:hAnsi="宋体"/>
          <w:color w:val="auto"/>
          <w:szCs w:val="21"/>
          <w:highlight w:val="none"/>
        </w:rPr>
      </w:pPr>
      <w:bookmarkStart w:id="1101" w:name="_Toc221952106"/>
      <w:r>
        <w:rPr>
          <w:rFonts w:ascii="宋体" w:hAnsi="宋体"/>
          <w:color w:val="auto"/>
          <w:szCs w:val="21"/>
          <w:highlight w:val="none"/>
        </w:rPr>
        <w:t>1. 投标人应递交施工进度网络图或施工进度表，说明按招标文件要求的计划工期进行施工的各个关键日期。</w:t>
      </w:r>
      <w:bookmarkEnd w:id="1101"/>
    </w:p>
    <w:p w14:paraId="3BD34198">
      <w:pPr>
        <w:spacing w:line="400" w:lineRule="exact"/>
        <w:ind w:firstLine="420" w:firstLineChars="200"/>
        <w:rPr>
          <w:rFonts w:ascii="宋体" w:hAnsi="宋体"/>
          <w:color w:val="auto"/>
          <w:szCs w:val="21"/>
          <w:highlight w:val="none"/>
        </w:rPr>
      </w:pPr>
      <w:bookmarkStart w:id="1102" w:name="_Toc221952107"/>
      <w:r>
        <w:rPr>
          <w:rFonts w:ascii="宋体" w:hAnsi="宋体"/>
          <w:color w:val="auto"/>
          <w:szCs w:val="21"/>
          <w:highlight w:val="none"/>
        </w:rPr>
        <w:t>2. 施工进度表可采用</w:t>
      </w:r>
      <w:r>
        <w:rPr>
          <w:rFonts w:hint="eastAsia" w:ascii="宋体" w:hAnsi="宋体"/>
          <w:color w:val="auto"/>
          <w:szCs w:val="21"/>
          <w:highlight w:val="none"/>
          <w:u w:val="single"/>
        </w:rPr>
        <w:t xml:space="preserve">                 </w:t>
      </w:r>
      <w:r>
        <w:rPr>
          <w:rFonts w:ascii="宋体" w:hAnsi="宋体"/>
          <w:color w:val="auto"/>
          <w:szCs w:val="21"/>
          <w:highlight w:val="none"/>
        </w:rPr>
        <w:t>网络图（或横道图）表示。</w:t>
      </w:r>
      <w:bookmarkEnd w:id="1102"/>
    </w:p>
    <w:p w14:paraId="573F2DB0">
      <w:pPr>
        <w:spacing w:line="400" w:lineRule="exact"/>
        <w:rPr>
          <w:color w:val="auto"/>
          <w:sz w:val="19"/>
          <w:szCs w:val="19"/>
          <w:highlight w:val="none"/>
        </w:rPr>
      </w:pPr>
    </w:p>
    <w:p w14:paraId="1BACFCD5">
      <w:pPr>
        <w:spacing w:line="400" w:lineRule="exact"/>
        <w:rPr>
          <w:rFonts w:eastAsia="黑体"/>
          <w:color w:val="auto"/>
          <w:sz w:val="19"/>
          <w:szCs w:val="19"/>
          <w:highlight w:val="none"/>
        </w:rPr>
      </w:pPr>
    </w:p>
    <w:p w14:paraId="445B1401">
      <w:pPr>
        <w:spacing w:line="400" w:lineRule="exact"/>
        <w:rPr>
          <w:rFonts w:eastAsia="黑体"/>
          <w:color w:val="auto"/>
          <w:sz w:val="19"/>
          <w:szCs w:val="19"/>
          <w:highlight w:val="none"/>
        </w:rPr>
      </w:pPr>
      <w:r>
        <w:rPr>
          <w:rFonts w:eastAsia="黑体"/>
          <w:color w:val="auto"/>
          <w:sz w:val="19"/>
          <w:szCs w:val="19"/>
          <w:highlight w:val="none"/>
        </w:rPr>
        <w:br w:type="page"/>
      </w:r>
    </w:p>
    <w:p w14:paraId="3EB3FF10">
      <w:pPr>
        <w:spacing w:line="400" w:lineRule="exact"/>
        <w:jc w:val="center"/>
        <w:outlineLvl w:val="3"/>
        <w:rPr>
          <w:rFonts w:ascii="宋体" w:hAnsi="宋体"/>
          <w:b/>
          <w:color w:val="auto"/>
          <w:sz w:val="24"/>
          <w:szCs w:val="31"/>
          <w:highlight w:val="none"/>
        </w:rPr>
      </w:pPr>
      <w:bookmarkStart w:id="1103" w:name="_Toc168476331"/>
      <w:bookmarkStart w:id="1104" w:name="_Toc168475928"/>
      <w:bookmarkStart w:id="1105" w:name="_Toc221952108"/>
      <w:bookmarkStart w:id="1106" w:name="_Toc144974869"/>
      <w:r>
        <w:rPr>
          <w:rFonts w:ascii="宋体" w:hAnsi="宋体"/>
          <w:b/>
          <w:color w:val="auto"/>
          <w:sz w:val="24"/>
          <w:szCs w:val="31"/>
          <w:highlight w:val="none"/>
        </w:rPr>
        <w:t>附表五：施工总平面图</w:t>
      </w:r>
      <w:bookmarkEnd w:id="1103"/>
      <w:bookmarkEnd w:id="1104"/>
      <w:bookmarkEnd w:id="1105"/>
      <w:bookmarkEnd w:id="1106"/>
    </w:p>
    <w:p w14:paraId="1001A878">
      <w:pPr>
        <w:spacing w:line="400" w:lineRule="exact"/>
        <w:rPr>
          <w:rFonts w:eastAsia="黑体"/>
          <w:color w:val="auto"/>
          <w:sz w:val="19"/>
          <w:szCs w:val="19"/>
          <w:highlight w:val="none"/>
        </w:rPr>
      </w:pPr>
      <w:r>
        <w:rPr>
          <w:rFonts w:eastAsia="黑体"/>
          <w:color w:val="auto"/>
          <w:sz w:val="19"/>
          <w:szCs w:val="19"/>
          <w:highlight w:val="none"/>
        </w:rPr>
        <w:tab/>
      </w:r>
    </w:p>
    <w:p w14:paraId="579A32F4">
      <w:pPr>
        <w:spacing w:line="400" w:lineRule="exact"/>
        <w:ind w:firstLine="420" w:firstLineChars="200"/>
        <w:rPr>
          <w:color w:val="auto"/>
          <w:szCs w:val="21"/>
          <w:highlight w:val="none"/>
        </w:rPr>
      </w:pPr>
      <w:bookmarkStart w:id="1107" w:name="_Toc221952109"/>
      <w:r>
        <w:rPr>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bookmarkEnd w:id="1107"/>
    </w:p>
    <w:p w14:paraId="13FEFD55">
      <w:pPr>
        <w:spacing w:line="400" w:lineRule="exact"/>
        <w:rPr>
          <w:rFonts w:eastAsia="黑体"/>
          <w:color w:val="auto"/>
          <w:sz w:val="19"/>
          <w:szCs w:val="19"/>
          <w:highlight w:val="none"/>
        </w:rPr>
      </w:pPr>
    </w:p>
    <w:p w14:paraId="1EEFFB98">
      <w:pPr>
        <w:spacing w:line="400" w:lineRule="exact"/>
        <w:rPr>
          <w:rFonts w:eastAsia="黑体"/>
          <w:color w:val="auto"/>
          <w:sz w:val="19"/>
          <w:szCs w:val="19"/>
          <w:highlight w:val="none"/>
        </w:rPr>
      </w:pPr>
      <w:r>
        <w:rPr>
          <w:rFonts w:eastAsia="黑体"/>
          <w:color w:val="auto"/>
          <w:sz w:val="19"/>
          <w:szCs w:val="19"/>
          <w:highlight w:val="none"/>
        </w:rPr>
        <w:br w:type="page"/>
      </w:r>
    </w:p>
    <w:p w14:paraId="3EC305BB">
      <w:pPr>
        <w:spacing w:line="400" w:lineRule="exact"/>
        <w:jc w:val="center"/>
        <w:outlineLvl w:val="3"/>
        <w:rPr>
          <w:rFonts w:ascii="宋体" w:hAnsi="宋体"/>
          <w:b/>
          <w:color w:val="auto"/>
          <w:sz w:val="24"/>
          <w:szCs w:val="31"/>
          <w:highlight w:val="none"/>
        </w:rPr>
      </w:pPr>
      <w:bookmarkStart w:id="1108" w:name="_Toc168476332"/>
      <w:bookmarkStart w:id="1109" w:name="_Toc144974870"/>
      <w:bookmarkStart w:id="1110" w:name="_Toc221952110"/>
      <w:bookmarkStart w:id="1111" w:name="_Toc168475929"/>
      <w:r>
        <w:rPr>
          <w:rFonts w:ascii="宋体" w:hAnsi="宋体"/>
          <w:b/>
          <w:color w:val="auto"/>
          <w:sz w:val="24"/>
          <w:szCs w:val="31"/>
          <w:highlight w:val="none"/>
        </w:rPr>
        <w:t>附表六</w:t>
      </w:r>
      <w:r>
        <w:rPr>
          <w:rFonts w:hint="eastAsia" w:ascii="宋体" w:hAnsi="宋体"/>
          <w:b/>
          <w:color w:val="auto"/>
          <w:sz w:val="24"/>
          <w:szCs w:val="31"/>
          <w:highlight w:val="none"/>
        </w:rPr>
        <w:t>：</w:t>
      </w:r>
      <w:r>
        <w:rPr>
          <w:rFonts w:ascii="宋体" w:hAnsi="宋体"/>
          <w:b/>
          <w:color w:val="auto"/>
          <w:sz w:val="24"/>
          <w:szCs w:val="31"/>
          <w:highlight w:val="none"/>
        </w:rPr>
        <w:t>临时用地表</w:t>
      </w:r>
      <w:bookmarkEnd w:id="1108"/>
      <w:bookmarkEnd w:id="1109"/>
      <w:bookmarkEnd w:id="1110"/>
      <w:bookmarkEnd w:id="1111"/>
    </w:p>
    <w:p w14:paraId="792CB786">
      <w:pPr>
        <w:spacing w:line="400" w:lineRule="exact"/>
        <w:jc w:val="left"/>
        <w:rPr>
          <w:color w:val="auto"/>
          <w:sz w:val="22"/>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14:paraId="63DE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A05B1C7">
            <w:pPr>
              <w:spacing w:line="400" w:lineRule="exact"/>
              <w:jc w:val="center"/>
              <w:rPr>
                <w:rFonts w:ascii="宋体" w:hAnsi="宋体"/>
                <w:color w:val="auto"/>
                <w:szCs w:val="21"/>
                <w:highlight w:val="none"/>
              </w:rPr>
            </w:pPr>
            <w:bookmarkStart w:id="1112" w:name="_Toc221952111"/>
            <w:r>
              <w:rPr>
                <w:rFonts w:ascii="宋体" w:hAnsi="宋体"/>
                <w:color w:val="auto"/>
                <w:szCs w:val="21"/>
                <w:highlight w:val="none"/>
              </w:rPr>
              <w:t>用 途</w:t>
            </w:r>
            <w:bookmarkEnd w:id="1112"/>
          </w:p>
        </w:tc>
        <w:tc>
          <w:tcPr>
            <w:tcW w:w="2132" w:type="dxa"/>
            <w:noWrap w:val="0"/>
            <w:vAlign w:val="top"/>
          </w:tcPr>
          <w:p w14:paraId="3B00ED3F">
            <w:pPr>
              <w:spacing w:line="400" w:lineRule="exact"/>
              <w:jc w:val="center"/>
              <w:rPr>
                <w:rFonts w:ascii="宋体" w:hAnsi="宋体"/>
                <w:color w:val="auto"/>
                <w:szCs w:val="21"/>
                <w:highlight w:val="none"/>
              </w:rPr>
            </w:pPr>
            <w:bookmarkStart w:id="1113" w:name="_Toc221952112"/>
            <w:r>
              <w:rPr>
                <w:rFonts w:ascii="宋体" w:hAnsi="宋体"/>
                <w:color w:val="auto"/>
                <w:szCs w:val="21"/>
                <w:highlight w:val="none"/>
              </w:rPr>
              <w:t>面 积（</w:t>
            </w:r>
            <w:r>
              <w:rPr>
                <w:rFonts w:hint="eastAsia" w:ascii="宋体" w:hAnsi="宋体"/>
                <w:color w:val="auto"/>
                <w:szCs w:val="21"/>
                <w:highlight w:val="none"/>
              </w:rPr>
              <w:t>㎡</w:t>
            </w:r>
            <w:r>
              <w:rPr>
                <w:rFonts w:ascii="宋体" w:hAnsi="宋体"/>
                <w:color w:val="auto"/>
                <w:szCs w:val="21"/>
                <w:highlight w:val="none"/>
              </w:rPr>
              <w:t>）</w:t>
            </w:r>
            <w:bookmarkEnd w:id="1113"/>
          </w:p>
        </w:tc>
        <w:tc>
          <w:tcPr>
            <w:tcW w:w="2132" w:type="dxa"/>
            <w:noWrap w:val="0"/>
            <w:vAlign w:val="top"/>
          </w:tcPr>
          <w:p w14:paraId="03A72EA5">
            <w:pPr>
              <w:spacing w:line="400" w:lineRule="exact"/>
              <w:jc w:val="center"/>
              <w:rPr>
                <w:rFonts w:ascii="宋体" w:hAnsi="宋体"/>
                <w:color w:val="auto"/>
                <w:szCs w:val="21"/>
                <w:highlight w:val="none"/>
              </w:rPr>
            </w:pPr>
            <w:bookmarkStart w:id="1114" w:name="_Toc221952113"/>
            <w:r>
              <w:rPr>
                <w:rFonts w:ascii="宋体" w:hAnsi="宋体"/>
                <w:color w:val="auto"/>
                <w:szCs w:val="21"/>
                <w:highlight w:val="none"/>
              </w:rPr>
              <w:t>位 置</w:t>
            </w:r>
            <w:bookmarkEnd w:id="1114"/>
          </w:p>
        </w:tc>
        <w:tc>
          <w:tcPr>
            <w:tcW w:w="2132" w:type="dxa"/>
            <w:noWrap w:val="0"/>
            <w:vAlign w:val="top"/>
          </w:tcPr>
          <w:p w14:paraId="3D835D2E">
            <w:pPr>
              <w:spacing w:line="400" w:lineRule="exact"/>
              <w:jc w:val="center"/>
              <w:rPr>
                <w:rFonts w:ascii="宋体" w:hAnsi="宋体"/>
                <w:color w:val="auto"/>
                <w:szCs w:val="21"/>
                <w:highlight w:val="none"/>
              </w:rPr>
            </w:pPr>
            <w:bookmarkStart w:id="1115" w:name="_Toc221952114"/>
            <w:r>
              <w:rPr>
                <w:rFonts w:ascii="宋体" w:hAnsi="宋体"/>
                <w:color w:val="auto"/>
                <w:szCs w:val="21"/>
                <w:highlight w:val="none"/>
              </w:rPr>
              <w:t>需用时间</w:t>
            </w:r>
            <w:bookmarkEnd w:id="1115"/>
          </w:p>
        </w:tc>
      </w:tr>
      <w:tr w14:paraId="4296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EDB51D0">
            <w:pPr>
              <w:spacing w:line="400" w:lineRule="exact"/>
              <w:jc w:val="center"/>
              <w:rPr>
                <w:rFonts w:ascii="宋体" w:hAnsi="宋体"/>
                <w:color w:val="auto"/>
                <w:szCs w:val="21"/>
                <w:highlight w:val="none"/>
              </w:rPr>
            </w:pPr>
          </w:p>
        </w:tc>
        <w:tc>
          <w:tcPr>
            <w:tcW w:w="2132" w:type="dxa"/>
            <w:noWrap w:val="0"/>
            <w:vAlign w:val="top"/>
          </w:tcPr>
          <w:p w14:paraId="54FE9A24">
            <w:pPr>
              <w:spacing w:line="400" w:lineRule="exact"/>
              <w:jc w:val="center"/>
              <w:rPr>
                <w:rFonts w:ascii="宋体" w:hAnsi="宋体"/>
                <w:color w:val="auto"/>
                <w:szCs w:val="21"/>
                <w:highlight w:val="none"/>
              </w:rPr>
            </w:pPr>
          </w:p>
        </w:tc>
        <w:tc>
          <w:tcPr>
            <w:tcW w:w="2132" w:type="dxa"/>
            <w:noWrap w:val="0"/>
            <w:vAlign w:val="top"/>
          </w:tcPr>
          <w:p w14:paraId="6FA26365">
            <w:pPr>
              <w:spacing w:line="400" w:lineRule="exact"/>
              <w:jc w:val="center"/>
              <w:rPr>
                <w:rFonts w:ascii="宋体" w:hAnsi="宋体"/>
                <w:color w:val="auto"/>
                <w:szCs w:val="21"/>
                <w:highlight w:val="none"/>
              </w:rPr>
            </w:pPr>
          </w:p>
        </w:tc>
        <w:tc>
          <w:tcPr>
            <w:tcW w:w="2132" w:type="dxa"/>
            <w:noWrap w:val="0"/>
            <w:vAlign w:val="top"/>
          </w:tcPr>
          <w:p w14:paraId="6BADB621">
            <w:pPr>
              <w:spacing w:line="400" w:lineRule="exact"/>
              <w:jc w:val="center"/>
              <w:rPr>
                <w:rFonts w:ascii="宋体" w:hAnsi="宋体"/>
                <w:color w:val="auto"/>
                <w:szCs w:val="21"/>
                <w:highlight w:val="none"/>
              </w:rPr>
            </w:pPr>
          </w:p>
        </w:tc>
      </w:tr>
      <w:tr w14:paraId="7913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E9451A4">
            <w:pPr>
              <w:spacing w:line="400" w:lineRule="exact"/>
              <w:jc w:val="center"/>
              <w:rPr>
                <w:rFonts w:ascii="宋体" w:hAnsi="宋体"/>
                <w:color w:val="auto"/>
                <w:szCs w:val="21"/>
                <w:highlight w:val="none"/>
              </w:rPr>
            </w:pPr>
          </w:p>
        </w:tc>
        <w:tc>
          <w:tcPr>
            <w:tcW w:w="2132" w:type="dxa"/>
            <w:noWrap w:val="0"/>
            <w:vAlign w:val="top"/>
          </w:tcPr>
          <w:p w14:paraId="6FB2042B">
            <w:pPr>
              <w:spacing w:line="400" w:lineRule="exact"/>
              <w:jc w:val="center"/>
              <w:rPr>
                <w:rFonts w:ascii="宋体" w:hAnsi="宋体"/>
                <w:color w:val="auto"/>
                <w:szCs w:val="21"/>
                <w:highlight w:val="none"/>
              </w:rPr>
            </w:pPr>
          </w:p>
        </w:tc>
        <w:tc>
          <w:tcPr>
            <w:tcW w:w="2132" w:type="dxa"/>
            <w:noWrap w:val="0"/>
            <w:vAlign w:val="top"/>
          </w:tcPr>
          <w:p w14:paraId="3EFE1AF7">
            <w:pPr>
              <w:spacing w:line="400" w:lineRule="exact"/>
              <w:jc w:val="center"/>
              <w:rPr>
                <w:rFonts w:ascii="宋体" w:hAnsi="宋体"/>
                <w:color w:val="auto"/>
                <w:szCs w:val="21"/>
                <w:highlight w:val="none"/>
              </w:rPr>
            </w:pPr>
          </w:p>
        </w:tc>
        <w:tc>
          <w:tcPr>
            <w:tcW w:w="2132" w:type="dxa"/>
            <w:noWrap w:val="0"/>
            <w:vAlign w:val="top"/>
          </w:tcPr>
          <w:p w14:paraId="4B348C14">
            <w:pPr>
              <w:spacing w:line="400" w:lineRule="exact"/>
              <w:jc w:val="center"/>
              <w:rPr>
                <w:rFonts w:ascii="宋体" w:hAnsi="宋体"/>
                <w:color w:val="auto"/>
                <w:szCs w:val="21"/>
                <w:highlight w:val="none"/>
              </w:rPr>
            </w:pPr>
          </w:p>
        </w:tc>
      </w:tr>
      <w:tr w14:paraId="15A3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1A2798E">
            <w:pPr>
              <w:spacing w:line="400" w:lineRule="exact"/>
              <w:jc w:val="center"/>
              <w:rPr>
                <w:rFonts w:ascii="宋体" w:hAnsi="宋体"/>
                <w:color w:val="auto"/>
                <w:szCs w:val="21"/>
                <w:highlight w:val="none"/>
              </w:rPr>
            </w:pPr>
          </w:p>
        </w:tc>
        <w:tc>
          <w:tcPr>
            <w:tcW w:w="2132" w:type="dxa"/>
            <w:noWrap w:val="0"/>
            <w:vAlign w:val="top"/>
          </w:tcPr>
          <w:p w14:paraId="7A0BE378">
            <w:pPr>
              <w:spacing w:line="400" w:lineRule="exact"/>
              <w:jc w:val="center"/>
              <w:rPr>
                <w:rFonts w:ascii="宋体" w:hAnsi="宋体"/>
                <w:color w:val="auto"/>
                <w:szCs w:val="21"/>
                <w:highlight w:val="none"/>
              </w:rPr>
            </w:pPr>
          </w:p>
        </w:tc>
        <w:tc>
          <w:tcPr>
            <w:tcW w:w="2132" w:type="dxa"/>
            <w:noWrap w:val="0"/>
            <w:vAlign w:val="top"/>
          </w:tcPr>
          <w:p w14:paraId="029CA4B6">
            <w:pPr>
              <w:spacing w:line="400" w:lineRule="exact"/>
              <w:jc w:val="center"/>
              <w:rPr>
                <w:rFonts w:ascii="宋体" w:hAnsi="宋体"/>
                <w:color w:val="auto"/>
                <w:szCs w:val="21"/>
                <w:highlight w:val="none"/>
              </w:rPr>
            </w:pPr>
          </w:p>
        </w:tc>
        <w:tc>
          <w:tcPr>
            <w:tcW w:w="2132" w:type="dxa"/>
            <w:noWrap w:val="0"/>
            <w:vAlign w:val="top"/>
          </w:tcPr>
          <w:p w14:paraId="04769DFE">
            <w:pPr>
              <w:spacing w:line="400" w:lineRule="exact"/>
              <w:jc w:val="center"/>
              <w:rPr>
                <w:rFonts w:ascii="宋体" w:hAnsi="宋体"/>
                <w:color w:val="auto"/>
                <w:szCs w:val="21"/>
                <w:highlight w:val="none"/>
              </w:rPr>
            </w:pPr>
          </w:p>
        </w:tc>
      </w:tr>
      <w:tr w14:paraId="28EC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768EF29">
            <w:pPr>
              <w:spacing w:line="400" w:lineRule="exact"/>
              <w:jc w:val="center"/>
              <w:rPr>
                <w:rFonts w:ascii="宋体" w:hAnsi="宋体"/>
                <w:color w:val="auto"/>
                <w:szCs w:val="21"/>
                <w:highlight w:val="none"/>
              </w:rPr>
            </w:pPr>
          </w:p>
        </w:tc>
        <w:tc>
          <w:tcPr>
            <w:tcW w:w="2132" w:type="dxa"/>
            <w:noWrap w:val="0"/>
            <w:vAlign w:val="top"/>
          </w:tcPr>
          <w:p w14:paraId="01A9E1DB">
            <w:pPr>
              <w:spacing w:line="400" w:lineRule="exact"/>
              <w:jc w:val="center"/>
              <w:rPr>
                <w:rFonts w:ascii="宋体" w:hAnsi="宋体"/>
                <w:color w:val="auto"/>
                <w:szCs w:val="21"/>
                <w:highlight w:val="none"/>
              </w:rPr>
            </w:pPr>
          </w:p>
        </w:tc>
        <w:tc>
          <w:tcPr>
            <w:tcW w:w="2132" w:type="dxa"/>
            <w:noWrap w:val="0"/>
            <w:vAlign w:val="top"/>
          </w:tcPr>
          <w:p w14:paraId="02E2E5F9">
            <w:pPr>
              <w:spacing w:line="400" w:lineRule="exact"/>
              <w:jc w:val="center"/>
              <w:rPr>
                <w:rFonts w:ascii="宋体" w:hAnsi="宋体"/>
                <w:color w:val="auto"/>
                <w:szCs w:val="21"/>
                <w:highlight w:val="none"/>
              </w:rPr>
            </w:pPr>
          </w:p>
        </w:tc>
        <w:tc>
          <w:tcPr>
            <w:tcW w:w="2132" w:type="dxa"/>
            <w:noWrap w:val="0"/>
            <w:vAlign w:val="top"/>
          </w:tcPr>
          <w:p w14:paraId="0C771777">
            <w:pPr>
              <w:spacing w:line="400" w:lineRule="exact"/>
              <w:jc w:val="center"/>
              <w:rPr>
                <w:rFonts w:ascii="宋体" w:hAnsi="宋体"/>
                <w:color w:val="auto"/>
                <w:szCs w:val="21"/>
                <w:highlight w:val="none"/>
              </w:rPr>
            </w:pPr>
          </w:p>
        </w:tc>
      </w:tr>
      <w:tr w14:paraId="5C0A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849535B">
            <w:pPr>
              <w:spacing w:line="400" w:lineRule="exact"/>
              <w:jc w:val="center"/>
              <w:rPr>
                <w:rFonts w:ascii="宋体" w:hAnsi="宋体"/>
                <w:color w:val="auto"/>
                <w:szCs w:val="21"/>
                <w:highlight w:val="none"/>
              </w:rPr>
            </w:pPr>
          </w:p>
        </w:tc>
        <w:tc>
          <w:tcPr>
            <w:tcW w:w="2132" w:type="dxa"/>
            <w:noWrap w:val="0"/>
            <w:vAlign w:val="top"/>
          </w:tcPr>
          <w:p w14:paraId="3C211E2A">
            <w:pPr>
              <w:spacing w:line="400" w:lineRule="exact"/>
              <w:jc w:val="center"/>
              <w:rPr>
                <w:rFonts w:ascii="宋体" w:hAnsi="宋体"/>
                <w:color w:val="auto"/>
                <w:szCs w:val="21"/>
                <w:highlight w:val="none"/>
              </w:rPr>
            </w:pPr>
          </w:p>
        </w:tc>
        <w:tc>
          <w:tcPr>
            <w:tcW w:w="2132" w:type="dxa"/>
            <w:noWrap w:val="0"/>
            <w:vAlign w:val="top"/>
          </w:tcPr>
          <w:p w14:paraId="1845F7C6">
            <w:pPr>
              <w:spacing w:line="400" w:lineRule="exact"/>
              <w:jc w:val="center"/>
              <w:rPr>
                <w:rFonts w:ascii="宋体" w:hAnsi="宋体"/>
                <w:color w:val="auto"/>
                <w:szCs w:val="21"/>
                <w:highlight w:val="none"/>
              </w:rPr>
            </w:pPr>
          </w:p>
        </w:tc>
        <w:tc>
          <w:tcPr>
            <w:tcW w:w="2132" w:type="dxa"/>
            <w:noWrap w:val="0"/>
            <w:vAlign w:val="top"/>
          </w:tcPr>
          <w:p w14:paraId="6D9C10D3">
            <w:pPr>
              <w:spacing w:line="400" w:lineRule="exact"/>
              <w:jc w:val="center"/>
              <w:rPr>
                <w:rFonts w:ascii="宋体" w:hAnsi="宋体"/>
                <w:color w:val="auto"/>
                <w:szCs w:val="21"/>
                <w:highlight w:val="none"/>
              </w:rPr>
            </w:pPr>
          </w:p>
        </w:tc>
      </w:tr>
      <w:tr w14:paraId="4F04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C22633A">
            <w:pPr>
              <w:spacing w:line="400" w:lineRule="exact"/>
              <w:jc w:val="center"/>
              <w:rPr>
                <w:rFonts w:ascii="宋体" w:hAnsi="宋体"/>
                <w:color w:val="auto"/>
                <w:szCs w:val="21"/>
                <w:highlight w:val="none"/>
              </w:rPr>
            </w:pPr>
          </w:p>
        </w:tc>
        <w:tc>
          <w:tcPr>
            <w:tcW w:w="2132" w:type="dxa"/>
            <w:noWrap w:val="0"/>
            <w:vAlign w:val="top"/>
          </w:tcPr>
          <w:p w14:paraId="3D5AA288">
            <w:pPr>
              <w:spacing w:line="400" w:lineRule="exact"/>
              <w:jc w:val="center"/>
              <w:rPr>
                <w:rFonts w:ascii="宋体" w:hAnsi="宋体"/>
                <w:color w:val="auto"/>
                <w:szCs w:val="21"/>
                <w:highlight w:val="none"/>
              </w:rPr>
            </w:pPr>
          </w:p>
        </w:tc>
        <w:tc>
          <w:tcPr>
            <w:tcW w:w="2132" w:type="dxa"/>
            <w:noWrap w:val="0"/>
            <w:vAlign w:val="top"/>
          </w:tcPr>
          <w:p w14:paraId="39C20C40">
            <w:pPr>
              <w:spacing w:line="400" w:lineRule="exact"/>
              <w:jc w:val="center"/>
              <w:rPr>
                <w:rFonts w:ascii="宋体" w:hAnsi="宋体"/>
                <w:color w:val="auto"/>
                <w:szCs w:val="21"/>
                <w:highlight w:val="none"/>
              </w:rPr>
            </w:pPr>
          </w:p>
        </w:tc>
        <w:tc>
          <w:tcPr>
            <w:tcW w:w="2132" w:type="dxa"/>
            <w:noWrap w:val="0"/>
            <w:vAlign w:val="top"/>
          </w:tcPr>
          <w:p w14:paraId="51A01AF8">
            <w:pPr>
              <w:spacing w:line="400" w:lineRule="exact"/>
              <w:jc w:val="center"/>
              <w:rPr>
                <w:rFonts w:ascii="宋体" w:hAnsi="宋体"/>
                <w:color w:val="auto"/>
                <w:szCs w:val="21"/>
                <w:highlight w:val="none"/>
              </w:rPr>
            </w:pPr>
          </w:p>
        </w:tc>
      </w:tr>
      <w:tr w14:paraId="315C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058E635C">
            <w:pPr>
              <w:spacing w:line="400" w:lineRule="exact"/>
              <w:jc w:val="center"/>
              <w:rPr>
                <w:rFonts w:ascii="宋体" w:hAnsi="宋体"/>
                <w:color w:val="auto"/>
                <w:szCs w:val="21"/>
                <w:highlight w:val="none"/>
              </w:rPr>
            </w:pPr>
          </w:p>
        </w:tc>
        <w:tc>
          <w:tcPr>
            <w:tcW w:w="2132" w:type="dxa"/>
            <w:noWrap w:val="0"/>
            <w:vAlign w:val="top"/>
          </w:tcPr>
          <w:p w14:paraId="2C6AD78D">
            <w:pPr>
              <w:spacing w:line="400" w:lineRule="exact"/>
              <w:jc w:val="center"/>
              <w:rPr>
                <w:rFonts w:ascii="宋体" w:hAnsi="宋体"/>
                <w:color w:val="auto"/>
                <w:szCs w:val="21"/>
                <w:highlight w:val="none"/>
              </w:rPr>
            </w:pPr>
          </w:p>
        </w:tc>
        <w:tc>
          <w:tcPr>
            <w:tcW w:w="2132" w:type="dxa"/>
            <w:noWrap w:val="0"/>
            <w:vAlign w:val="top"/>
          </w:tcPr>
          <w:p w14:paraId="0FCB4348">
            <w:pPr>
              <w:spacing w:line="400" w:lineRule="exact"/>
              <w:jc w:val="center"/>
              <w:rPr>
                <w:rFonts w:ascii="宋体" w:hAnsi="宋体"/>
                <w:color w:val="auto"/>
                <w:szCs w:val="21"/>
                <w:highlight w:val="none"/>
              </w:rPr>
            </w:pPr>
          </w:p>
        </w:tc>
        <w:tc>
          <w:tcPr>
            <w:tcW w:w="2132" w:type="dxa"/>
            <w:noWrap w:val="0"/>
            <w:vAlign w:val="top"/>
          </w:tcPr>
          <w:p w14:paraId="2253D0DB">
            <w:pPr>
              <w:spacing w:line="400" w:lineRule="exact"/>
              <w:jc w:val="center"/>
              <w:rPr>
                <w:rFonts w:ascii="宋体" w:hAnsi="宋体"/>
                <w:color w:val="auto"/>
                <w:szCs w:val="21"/>
                <w:highlight w:val="none"/>
              </w:rPr>
            </w:pPr>
          </w:p>
        </w:tc>
      </w:tr>
      <w:tr w14:paraId="7E89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0B088949">
            <w:pPr>
              <w:spacing w:line="400" w:lineRule="exact"/>
              <w:jc w:val="center"/>
              <w:rPr>
                <w:rFonts w:ascii="宋体" w:hAnsi="宋体"/>
                <w:color w:val="auto"/>
                <w:szCs w:val="21"/>
                <w:highlight w:val="none"/>
              </w:rPr>
            </w:pPr>
          </w:p>
        </w:tc>
        <w:tc>
          <w:tcPr>
            <w:tcW w:w="2132" w:type="dxa"/>
            <w:noWrap w:val="0"/>
            <w:vAlign w:val="top"/>
          </w:tcPr>
          <w:p w14:paraId="56E03926">
            <w:pPr>
              <w:spacing w:line="400" w:lineRule="exact"/>
              <w:jc w:val="center"/>
              <w:rPr>
                <w:rFonts w:ascii="宋体" w:hAnsi="宋体"/>
                <w:color w:val="auto"/>
                <w:szCs w:val="21"/>
                <w:highlight w:val="none"/>
              </w:rPr>
            </w:pPr>
          </w:p>
        </w:tc>
        <w:tc>
          <w:tcPr>
            <w:tcW w:w="2132" w:type="dxa"/>
            <w:noWrap w:val="0"/>
            <w:vAlign w:val="top"/>
          </w:tcPr>
          <w:p w14:paraId="5B3D9B12">
            <w:pPr>
              <w:spacing w:line="400" w:lineRule="exact"/>
              <w:jc w:val="center"/>
              <w:rPr>
                <w:rFonts w:ascii="宋体" w:hAnsi="宋体"/>
                <w:color w:val="auto"/>
                <w:szCs w:val="21"/>
                <w:highlight w:val="none"/>
              </w:rPr>
            </w:pPr>
          </w:p>
        </w:tc>
        <w:tc>
          <w:tcPr>
            <w:tcW w:w="2132" w:type="dxa"/>
            <w:noWrap w:val="0"/>
            <w:vAlign w:val="top"/>
          </w:tcPr>
          <w:p w14:paraId="136E2E5E">
            <w:pPr>
              <w:spacing w:line="400" w:lineRule="exact"/>
              <w:jc w:val="center"/>
              <w:rPr>
                <w:rFonts w:ascii="宋体" w:hAnsi="宋体"/>
                <w:color w:val="auto"/>
                <w:szCs w:val="21"/>
                <w:highlight w:val="none"/>
              </w:rPr>
            </w:pPr>
          </w:p>
        </w:tc>
      </w:tr>
      <w:tr w14:paraId="7FBC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0CD82FBC">
            <w:pPr>
              <w:spacing w:line="400" w:lineRule="exact"/>
              <w:jc w:val="center"/>
              <w:rPr>
                <w:rFonts w:ascii="宋体" w:hAnsi="宋体"/>
                <w:color w:val="auto"/>
                <w:szCs w:val="21"/>
                <w:highlight w:val="none"/>
              </w:rPr>
            </w:pPr>
          </w:p>
        </w:tc>
        <w:tc>
          <w:tcPr>
            <w:tcW w:w="2132" w:type="dxa"/>
            <w:noWrap w:val="0"/>
            <w:vAlign w:val="top"/>
          </w:tcPr>
          <w:p w14:paraId="35245502">
            <w:pPr>
              <w:spacing w:line="400" w:lineRule="exact"/>
              <w:jc w:val="center"/>
              <w:rPr>
                <w:rFonts w:ascii="宋体" w:hAnsi="宋体"/>
                <w:color w:val="auto"/>
                <w:szCs w:val="21"/>
                <w:highlight w:val="none"/>
              </w:rPr>
            </w:pPr>
          </w:p>
        </w:tc>
        <w:tc>
          <w:tcPr>
            <w:tcW w:w="2132" w:type="dxa"/>
            <w:noWrap w:val="0"/>
            <w:vAlign w:val="top"/>
          </w:tcPr>
          <w:p w14:paraId="75E69301">
            <w:pPr>
              <w:spacing w:line="400" w:lineRule="exact"/>
              <w:jc w:val="center"/>
              <w:rPr>
                <w:rFonts w:ascii="宋体" w:hAnsi="宋体"/>
                <w:color w:val="auto"/>
                <w:szCs w:val="21"/>
                <w:highlight w:val="none"/>
              </w:rPr>
            </w:pPr>
          </w:p>
        </w:tc>
        <w:tc>
          <w:tcPr>
            <w:tcW w:w="2132" w:type="dxa"/>
            <w:noWrap w:val="0"/>
            <w:vAlign w:val="top"/>
          </w:tcPr>
          <w:p w14:paraId="45AC9CB5">
            <w:pPr>
              <w:spacing w:line="400" w:lineRule="exact"/>
              <w:jc w:val="center"/>
              <w:rPr>
                <w:rFonts w:ascii="宋体" w:hAnsi="宋体"/>
                <w:color w:val="auto"/>
                <w:szCs w:val="21"/>
                <w:highlight w:val="none"/>
              </w:rPr>
            </w:pPr>
          </w:p>
        </w:tc>
      </w:tr>
      <w:tr w14:paraId="59E2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A2C6D3D">
            <w:pPr>
              <w:spacing w:line="400" w:lineRule="exact"/>
              <w:jc w:val="center"/>
              <w:rPr>
                <w:rFonts w:ascii="宋体" w:hAnsi="宋体"/>
                <w:color w:val="auto"/>
                <w:szCs w:val="21"/>
                <w:highlight w:val="none"/>
              </w:rPr>
            </w:pPr>
          </w:p>
        </w:tc>
        <w:tc>
          <w:tcPr>
            <w:tcW w:w="2132" w:type="dxa"/>
            <w:noWrap w:val="0"/>
            <w:vAlign w:val="top"/>
          </w:tcPr>
          <w:p w14:paraId="6B5B898A">
            <w:pPr>
              <w:spacing w:line="400" w:lineRule="exact"/>
              <w:jc w:val="center"/>
              <w:rPr>
                <w:rFonts w:ascii="宋体" w:hAnsi="宋体"/>
                <w:color w:val="auto"/>
                <w:szCs w:val="21"/>
                <w:highlight w:val="none"/>
              </w:rPr>
            </w:pPr>
          </w:p>
        </w:tc>
        <w:tc>
          <w:tcPr>
            <w:tcW w:w="2132" w:type="dxa"/>
            <w:noWrap w:val="0"/>
            <w:vAlign w:val="top"/>
          </w:tcPr>
          <w:p w14:paraId="4040F722">
            <w:pPr>
              <w:spacing w:line="400" w:lineRule="exact"/>
              <w:jc w:val="center"/>
              <w:rPr>
                <w:rFonts w:ascii="宋体" w:hAnsi="宋体"/>
                <w:color w:val="auto"/>
                <w:szCs w:val="21"/>
                <w:highlight w:val="none"/>
              </w:rPr>
            </w:pPr>
          </w:p>
        </w:tc>
        <w:tc>
          <w:tcPr>
            <w:tcW w:w="2132" w:type="dxa"/>
            <w:noWrap w:val="0"/>
            <w:vAlign w:val="top"/>
          </w:tcPr>
          <w:p w14:paraId="33902354">
            <w:pPr>
              <w:spacing w:line="400" w:lineRule="exact"/>
              <w:jc w:val="center"/>
              <w:rPr>
                <w:rFonts w:ascii="宋体" w:hAnsi="宋体"/>
                <w:color w:val="auto"/>
                <w:szCs w:val="21"/>
                <w:highlight w:val="none"/>
              </w:rPr>
            </w:pPr>
          </w:p>
        </w:tc>
      </w:tr>
      <w:tr w14:paraId="0FD0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0B1F733">
            <w:pPr>
              <w:spacing w:line="400" w:lineRule="exact"/>
              <w:jc w:val="center"/>
              <w:rPr>
                <w:rFonts w:ascii="宋体" w:hAnsi="宋体"/>
                <w:color w:val="auto"/>
                <w:szCs w:val="21"/>
                <w:highlight w:val="none"/>
              </w:rPr>
            </w:pPr>
          </w:p>
        </w:tc>
        <w:tc>
          <w:tcPr>
            <w:tcW w:w="2132" w:type="dxa"/>
            <w:noWrap w:val="0"/>
            <w:vAlign w:val="top"/>
          </w:tcPr>
          <w:p w14:paraId="68CDFC2B">
            <w:pPr>
              <w:spacing w:line="400" w:lineRule="exact"/>
              <w:jc w:val="center"/>
              <w:rPr>
                <w:rFonts w:ascii="宋体" w:hAnsi="宋体"/>
                <w:color w:val="auto"/>
                <w:szCs w:val="21"/>
                <w:highlight w:val="none"/>
              </w:rPr>
            </w:pPr>
          </w:p>
        </w:tc>
        <w:tc>
          <w:tcPr>
            <w:tcW w:w="2132" w:type="dxa"/>
            <w:noWrap w:val="0"/>
            <w:vAlign w:val="top"/>
          </w:tcPr>
          <w:p w14:paraId="160585E6">
            <w:pPr>
              <w:spacing w:line="400" w:lineRule="exact"/>
              <w:jc w:val="center"/>
              <w:rPr>
                <w:rFonts w:ascii="宋体" w:hAnsi="宋体"/>
                <w:color w:val="auto"/>
                <w:szCs w:val="21"/>
                <w:highlight w:val="none"/>
              </w:rPr>
            </w:pPr>
          </w:p>
        </w:tc>
        <w:tc>
          <w:tcPr>
            <w:tcW w:w="2132" w:type="dxa"/>
            <w:noWrap w:val="0"/>
            <w:vAlign w:val="top"/>
          </w:tcPr>
          <w:p w14:paraId="3F04D028">
            <w:pPr>
              <w:spacing w:line="400" w:lineRule="exact"/>
              <w:jc w:val="center"/>
              <w:rPr>
                <w:rFonts w:ascii="宋体" w:hAnsi="宋体"/>
                <w:color w:val="auto"/>
                <w:szCs w:val="21"/>
                <w:highlight w:val="none"/>
              </w:rPr>
            </w:pPr>
          </w:p>
        </w:tc>
      </w:tr>
      <w:tr w14:paraId="3F1A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47844EC">
            <w:pPr>
              <w:spacing w:line="400" w:lineRule="exact"/>
              <w:jc w:val="center"/>
              <w:rPr>
                <w:rFonts w:ascii="宋体" w:hAnsi="宋体"/>
                <w:color w:val="auto"/>
                <w:szCs w:val="21"/>
                <w:highlight w:val="none"/>
              </w:rPr>
            </w:pPr>
          </w:p>
        </w:tc>
        <w:tc>
          <w:tcPr>
            <w:tcW w:w="2132" w:type="dxa"/>
            <w:noWrap w:val="0"/>
            <w:vAlign w:val="top"/>
          </w:tcPr>
          <w:p w14:paraId="6DCCF181">
            <w:pPr>
              <w:spacing w:line="400" w:lineRule="exact"/>
              <w:jc w:val="center"/>
              <w:rPr>
                <w:rFonts w:ascii="宋体" w:hAnsi="宋体"/>
                <w:color w:val="auto"/>
                <w:szCs w:val="21"/>
                <w:highlight w:val="none"/>
              </w:rPr>
            </w:pPr>
          </w:p>
        </w:tc>
        <w:tc>
          <w:tcPr>
            <w:tcW w:w="2132" w:type="dxa"/>
            <w:noWrap w:val="0"/>
            <w:vAlign w:val="top"/>
          </w:tcPr>
          <w:p w14:paraId="3CC275CA">
            <w:pPr>
              <w:spacing w:line="400" w:lineRule="exact"/>
              <w:jc w:val="center"/>
              <w:rPr>
                <w:rFonts w:ascii="宋体" w:hAnsi="宋体"/>
                <w:color w:val="auto"/>
                <w:szCs w:val="21"/>
                <w:highlight w:val="none"/>
              </w:rPr>
            </w:pPr>
          </w:p>
        </w:tc>
        <w:tc>
          <w:tcPr>
            <w:tcW w:w="2132" w:type="dxa"/>
            <w:noWrap w:val="0"/>
            <w:vAlign w:val="top"/>
          </w:tcPr>
          <w:p w14:paraId="2384A459">
            <w:pPr>
              <w:spacing w:line="400" w:lineRule="exact"/>
              <w:jc w:val="center"/>
              <w:rPr>
                <w:rFonts w:ascii="宋体" w:hAnsi="宋体"/>
                <w:color w:val="auto"/>
                <w:szCs w:val="21"/>
                <w:highlight w:val="none"/>
              </w:rPr>
            </w:pPr>
          </w:p>
        </w:tc>
      </w:tr>
      <w:tr w14:paraId="7288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19ADE921">
            <w:pPr>
              <w:spacing w:line="400" w:lineRule="exact"/>
              <w:jc w:val="center"/>
              <w:rPr>
                <w:rFonts w:ascii="宋体" w:hAnsi="宋体"/>
                <w:color w:val="auto"/>
                <w:szCs w:val="21"/>
                <w:highlight w:val="none"/>
              </w:rPr>
            </w:pPr>
          </w:p>
        </w:tc>
        <w:tc>
          <w:tcPr>
            <w:tcW w:w="2132" w:type="dxa"/>
            <w:noWrap w:val="0"/>
            <w:vAlign w:val="top"/>
          </w:tcPr>
          <w:p w14:paraId="3FE16AD1">
            <w:pPr>
              <w:spacing w:line="400" w:lineRule="exact"/>
              <w:jc w:val="center"/>
              <w:rPr>
                <w:rFonts w:ascii="宋体" w:hAnsi="宋体"/>
                <w:color w:val="auto"/>
                <w:szCs w:val="21"/>
                <w:highlight w:val="none"/>
              </w:rPr>
            </w:pPr>
          </w:p>
        </w:tc>
        <w:tc>
          <w:tcPr>
            <w:tcW w:w="2132" w:type="dxa"/>
            <w:noWrap w:val="0"/>
            <w:vAlign w:val="top"/>
          </w:tcPr>
          <w:p w14:paraId="43AFDEC2">
            <w:pPr>
              <w:spacing w:line="400" w:lineRule="exact"/>
              <w:jc w:val="center"/>
              <w:rPr>
                <w:rFonts w:ascii="宋体" w:hAnsi="宋体"/>
                <w:color w:val="auto"/>
                <w:szCs w:val="21"/>
                <w:highlight w:val="none"/>
              </w:rPr>
            </w:pPr>
          </w:p>
        </w:tc>
        <w:tc>
          <w:tcPr>
            <w:tcW w:w="2132" w:type="dxa"/>
            <w:noWrap w:val="0"/>
            <w:vAlign w:val="top"/>
          </w:tcPr>
          <w:p w14:paraId="11CDC710">
            <w:pPr>
              <w:spacing w:line="400" w:lineRule="exact"/>
              <w:jc w:val="center"/>
              <w:rPr>
                <w:rFonts w:ascii="宋体" w:hAnsi="宋体"/>
                <w:color w:val="auto"/>
                <w:szCs w:val="21"/>
                <w:highlight w:val="none"/>
              </w:rPr>
            </w:pPr>
          </w:p>
        </w:tc>
      </w:tr>
      <w:tr w14:paraId="6F35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0A165AD3">
            <w:pPr>
              <w:spacing w:line="400" w:lineRule="exact"/>
              <w:jc w:val="center"/>
              <w:rPr>
                <w:rFonts w:ascii="宋体" w:hAnsi="宋体"/>
                <w:color w:val="auto"/>
                <w:szCs w:val="21"/>
                <w:highlight w:val="none"/>
              </w:rPr>
            </w:pPr>
          </w:p>
        </w:tc>
        <w:tc>
          <w:tcPr>
            <w:tcW w:w="2132" w:type="dxa"/>
            <w:noWrap w:val="0"/>
            <w:vAlign w:val="top"/>
          </w:tcPr>
          <w:p w14:paraId="7F9E2736">
            <w:pPr>
              <w:spacing w:line="400" w:lineRule="exact"/>
              <w:jc w:val="center"/>
              <w:rPr>
                <w:rFonts w:ascii="宋体" w:hAnsi="宋体"/>
                <w:color w:val="auto"/>
                <w:szCs w:val="21"/>
                <w:highlight w:val="none"/>
              </w:rPr>
            </w:pPr>
          </w:p>
        </w:tc>
        <w:tc>
          <w:tcPr>
            <w:tcW w:w="2132" w:type="dxa"/>
            <w:noWrap w:val="0"/>
            <w:vAlign w:val="top"/>
          </w:tcPr>
          <w:p w14:paraId="3EF457F8">
            <w:pPr>
              <w:spacing w:line="400" w:lineRule="exact"/>
              <w:jc w:val="center"/>
              <w:rPr>
                <w:rFonts w:ascii="宋体" w:hAnsi="宋体"/>
                <w:color w:val="auto"/>
                <w:szCs w:val="21"/>
                <w:highlight w:val="none"/>
              </w:rPr>
            </w:pPr>
          </w:p>
        </w:tc>
        <w:tc>
          <w:tcPr>
            <w:tcW w:w="2132" w:type="dxa"/>
            <w:noWrap w:val="0"/>
            <w:vAlign w:val="top"/>
          </w:tcPr>
          <w:p w14:paraId="0F06F897">
            <w:pPr>
              <w:spacing w:line="400" w:lineRule="exact"/>
              <w:jc w:val="center"/>
              <w:rPr>
                <w:rFonts w:ascii="宋体" w:hAnsi="宋体"/>
                <w:color w:val="auto"/>
                <w:szCs w:val="21"/>
                <w:highlight w:val="none"/>
              </w:rPr>
            </w:pPr>
          </w:p>
        </w:tc>
      </w:tr>
      <w:tr w14:paraId="5480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B46FCDC">
            <w:pPr>
              <w:spacing w:line="400" w:lineRule="exact"/>
              <w:jc w:val="center"/>
              <w:rPr>
                <w:rFonts w:ascii="宋体" w:hAnsi="宋体"/>
                <w:color w:val="auto"/>
                <w:szCs w:val="21"/>
                <w:highlight w:val="none"/>
              </w:rPr>
            </w:pPr>
          </w:p>
        </w:tc>
        <w:tc>
          <w:tcPr>
            <w:tcW w:w="2132" w:type="dxa"/>
            <w:noWrap w:val="0"/>
            <w:vAlign w:val="top"/>
          </w:tcPr>
          <w:p w14:paraId="6D11B02D">
            <w:pPr>
              <w:spacing w:line="400" w:lineRule="exact"/>
              <w:jc w:val="center"/>
              <w:rPr>
                <w:rFonts w:ascii="宋体" w:hAnsi="宋体"/>
                <w:color w:val="auto"/>
                <w:szCs w:val="21"/>
                <w:highlight w:val="none"/>
              </w:rPr>
            </w:pPr>
          </w:p>
        </w:tc>
        <w:tc>
          <w:tcPr>
            <w:tcW w:w="2132" w:type="dxa"/>
            <w:noWrap w:val="0"/>
            <w:vAlign w:val="top"/>
          </w:tcPr>
          <w:p w14:paraId="69F111A5">
            <w:pPr>
              <w:spacing w:line="400" w:lineRule="exact"/>
              <w:jc w:val="center"/>
              <w:rPr>
                <w:rFonts w:ascii="宋体" w:hAnsi="宋体"/>
                <w:color w:val="auto"/>
                <w:szCs w:val="21"/>
                <w:highlight w:val="none"/>
              </w:rPr>
            </w:pPr>
          </w:p>
        </w:tc>
        <w:tc>
          <w:tcPr>
            <w:tcW w:w="2132" w:type="dxa"/>
            <w:noWrap w:val="0"/>
            <w:vAlign w:val="top"/>
          </w:tcPr>
          <w:p w14:paraId="51A0CD56">
            <w:pPr>
              <w:spacing w:line="400" w:lineRule="exact"/>
              <w:jc w:val="center"/>
              <w:rPr>
                <w:rFonts w:ascii="宋体" w:hAnsi="宋体"/>
                <w:color w:val="auto"/>
                <w:szCs w:val="21"/>
                <w:highlight w:val="none"/>
              </w:rPr>
            </w:pPr>
          </w:p>
        </w:tc>
      </w:tr>
      <w:tr w14:paraId="19C6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E1BC76F">
            <w:pPr>
              <w:spacing w:line="400" w:lineRule="exact"/>
              <w:jc w:val="center"/>
              <w:rPr>
                <w:rFonts w:ascii="宋体" w:hAnsi="宋体"/>
                <w:color w:val="auto"/>
                <w:szCs w:val="21"/>
                <w:highlight w:val="none"/>
              </w:rPr>
            </w:pPr>
          </w:p>
        </w:tc>
        <w:tc>
          <w:tcPr>
            <w:tcW w:w="2132" w:type="dxa"/>
            <w:noWrap w:val="0"/>
            <w:vAlign w:val="top"/>
          </w:tcPr>
          <w:p w14:paraId="7946D083">
            <w:pPr>
              <w:spacing w:line="400" w:lineRule="exact"/>
              <w:jc w:val="center"/>
              <w:rPr>
                <w:rFonts w:ascii="宋体" w:hAnsi="宋体"/>
                <w:color w:val="auto"/>
                <w:szCs w:val="21"/>
                <w:highlight w:val="none"/>
              </w:rPr>
            </w:pPr>
          </w:p>
        </w:tc>
        <w:tc>
          <w:tcPr>
            <w:tcW w:w="2132" w:type="dxa"/>
            <w:noWrap w:val="0"/>
            <w:vAlign w:val="top"/>
          </w:tcPr>
          <w:p w14:paraId="4A0EAB30">
            <w:pPr>
              <w:spacing w:line="400" w:lineRule="exact"/>
              <w:jc w:val="center"/>
              <w:rPr>
                <w:rFonts w:ascii="宋体" w:hAnsi="宋体"/>
                <w:color w:val="auto"/>
                <w:szCs w:val="21"/>
                <w:highlight w:val="none"/>
              </w:rPr>
            </w:pPr>
          </w:p>
        </w:tc>
        <w:tc>
          <w:tcPr>
            <w:tcW w:w="2132" w:type="dxa"/>
            <w:noWrap w:val="0"/>
            <w:vAlign w:val="top"/>
          </w:tcPr>
          <w:p w14:paraId="1F511B53">
            <w:pPr>
              <w:spacing w:line="400" w:lineRule="exact"/>
              <w:jc w:val="center"/>
              <w:rPr>
                <w:rFonts w:ascii="宋体" w:hAnsi="宋体"/>
                <w:color w:val="auto"/>
                <w:szCs w:val="21"/>
                <w:highlight w:val="none"/>
              </w:rPr>
            </w:pPr>
          </w:p>
        </w:tc>
      </w:tr>
      <w:tr w14:paraId="7F47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CFA3294">
            <w:pPr>
              <w:spacing w:line="400" w:lineRule="exact"/>
              <w:jc w:val="center"/>
              <w:rPr>
                <w:rFonts w:ascii="宋体" w:hAnsi="宋体"/>
                <w:color w:val="auto"/>
                <w:szCs w:val="21"/>
                <w:highlight w:val="none"/>
              </w:rPr>
            </w:pPr>
          </w:p>
        </w:tc>
        <w:tc>
          <w:tcPr>
            <w:tcW w:w="2132" w:type="dxa"/>
            <w:noWrap w:val="0"/>
            <w:vAlign w:val="top"/>
          </w:tcPr>
          <w:p w14:paraId="42E1A63A">
            <w:pPr>
              <w:spacing w:line="400" w:lineRule="exact"/>
              <w:jc w:val="center"/>
              <w:rPr>
                <w:rFonts w:ascii="宋体" w:hAnsi="宋体"/>
                <w:color w:val="auto"/>
                <w:szCs w:val="21"/>
                <w:highlight w:val="none"/>
              </w:rPr>
            </w:pPr>
          </w:p>
        </w:tc>
        <w:tc>
          <w:tcPr>
            <w:tcW w:w="2132" w:type="dxa"/>
            <w:noWrap w:val="0"/>
            <w:vAlign w:val="top"/>
          </w:tcPr>
          <w:p w14:paraId="3D5A034C">
            <w:pPr>
              <w:spacing w:line="400" w:lineRule="exact"/>
              <w:jc w:val="center"/>
              <w:rPr>
                <w:rFonts w:ascii="宋体" w:hAnsi="宋体"/>
                <w:color w:val="auto"/>
                <w:szCs w:val="21"/>
                <w:highlight w:val="none"/>
              </w:rPr>
            </w:pPr>
          </w:p>
        </w:tc>
        <w:tc>
          <w:tcPr>
            <w:tcW w:w="2132" w:type="dxa"/>
            <w:noWrap w:val="0"/>
            <w:vAlign w:val="top"/>
          </w:tcPr>
          <w:p w14:paraId="0F67950B">
            <w:pPr>
              <w:spacing w:line="400" w:lineRule="exact"/>
              <w:jc w:val="center"/>
              <w:rPr>
                <w:rFonts w:ascii="宋体" w:hAnsi="宋体"/>
                <w:color w:val="auto"/>
                <w:szCs w:val="21"/>
                <w:highlight w:val="none"/>
              </w:rPr>
            </w:pPr>
          </w:p>
        </w:tc>
      </w:tr>
      <w:tr w14:paraId="2D1E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56815688">
            <w:pPr>
              <w:spacing w:line="400" w:lineRule="exact"/>
              <w:jc w:val="center"/>
              <w:rPr>
                <w:rFonts w:ascii="宋体" w:hAnsi="宋体"/>
                <w:color w:val="auto"/>
                <w:szCs w:val="21"/>
                <w:highlight w:val="none"/>
              </w:rPr>
            </w:pPr>
          </w:p>
        </w:tc>
        <w:tc>
          <w:tcPr>
            <w:tcW w:w="2132" w:type="dxa"/>
            <w:noWrap w:val="0"/>
            <w:vAlign w:val="top"/>
          </w:tcPr>
          <w:p w14:paraId="6BF359B1">
            <w:pPr>
              <w:spacing w:line="400" w:lineRule="exact"/>
              <w:jc w:val="center"/>
              <w:rPr>
                <w:rFonts w:ascii="宋体" w:hAnsi="宋体"/>
                <w:color w:val="auto"/>
                <w:szCs w:val="21"/>
                <w:highlight w:val="none"/>
              </w:rPr>
            </w:pPr>
          </w:p>
        </w:tc>
        <w:tc>
          <w:tcPr>
            <w:tcW w:w="2132" w:type="dxa"/>
            <w:noWrap w:val="0"/>
            <w:vAlign w:val="top"/>
          </w:tcPr>
          <w:p w14:paraId="53F4BDB8">
            <w:pPr>
              <w:spacing w:line="400" w:lineRule="exact"/>
              <w:jc w:val="center"/>
              <w:rPr>
                <w:rFonts w:ascii="宋体" w:hAnsi="宋体"/>
                <w:color w:val="auto"/>
                <w:szCs w:val="21"/>
                <w:highlight w:val="none"/>
              </w:rPr>
            </w:pPr>
          </w:p>
        </w:tc>
        <w:tc>
          <w:tcPr>
            <w:tcW w:w="2132" w:type="dxa"/>
            <w:noWrap w:val="0"/>
            <w:vAlign w:val="top"/>
          </w:tcPr>
          <w:p w14:paraId="3D452FDD">
            <w:pPr>
              <w:spacing w:line="400" w:lineRule="exact"/>
              <w:jc w:val="center"/>
              <w:rPr>
                <w:rFonts w:ascii="宋体" w:hAnsi="宋体"/>
                <w:color w:val="auto"/>
                <w:szCs w:val="21"/>
                <w:highlight w:val="none"/>
              </w:rPr>
            </w:pPr>
          </w:p>
        </w:tc>
      </w:tr>
      <w:tr w14:paraId="4B6D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DC1F749">
            <w:pPr>
              <w:spacing w:line="400" w:lineRule="exact"/>
              <w:jc w:val="center"/>
              <w:rPr>
                <w:rFonts w:ascii="宋体" w:hAnsi="宋体"/>
                <w:color w:val="auto"/>
                <w:szCs w:val="21"/>
                <w:highlight w:val="none"/>
              </w:rPr>
            </w:pPr>
          </w:p>
        </w:tc>
        <w:tc>
          <w:tcPr>
            <w:tcW w:w="2132" w:type="dxa"/>
            <w:noWrap w:val="0"/>
            <w:vAlign w:val="top"/>
          </w:tcPr>
          <w:p w14:paraId="4DA113FD">
            <w:pPr>
              <w:spacing w:line="400" w:lineRule="exact"/>
              <w:jc w:val="center"/>
              <w:rPr>
                <w:rFonts w:ascii="宋体" w:hAnsi="宋体"/>
                <w:color w:val="auto"/>
                <w:szCs w:val="21"/>
                <w:highlight w:val="none"/>
              </w:rPr>
            </w:pPr>
          </w:p>
        </w:tc>
        <w:tc>
          <w:tcPr>
            <w:tcW w:w="2132" w:type="dxa"/>
            <w:noWrap w:val="0"/>
            <w:vAlign w:val="top"/>
          </w:tcPr>
          <w:p w14:paraId="449022F6">
            <w:pPr>
              <w:spacing w:line="400" w:lineRule="exact"/>
              <w:jc w:val="center"/>
              <w:rPr>
                <w:rFonts w:ascii="宋体" w:hAnsi="宋体"/>
                <w:color w:val="auto"/>
                <w:szCs w:val="21"/>
                <w:highlight w:val="none"/>
              </w:rPr>
            </w:pPr>
          </w:p>
        </w:tc>
        <w:tc>
          <w:tcPr>
            <w:tcW w:w="2132" w:type="dxa"/>
            <w:noWrap w:val="0"/>
            <w:vAlign w:val="top"/>
          </w:tcPr>
          <w:p w14:paraId="7EA7F958">
            <w:pPr>
              <w:spacing w:line="400" w:lineRule="exact"/>
              <w:jc w:val="center"/>
              <w:rPr>
                <w:rFonts w:ascii="宋体" w:hAnsi="宋体"/>
                <w:color w:val="auto"/>
                <w:szCs w:val="21"/>
                <w:highlight w:val="none"/>
              </w:rPr>
            </w:pPr>
          </w:p>
        </w:tc>
      </w:tr>
      <w:tr w14:paraId="3300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C9BB744">
            <w:pPr>
              <w:spacing w:line="400" w:lineRule="exact"/>
              <w:jc w:val="center"/>
              <w:rPr>
                <w:rFonts w:ascii="宋体" w:hAnsi="宋体"/>
                <w:color w:val="auto"/>
                <w:szCs w:val="21"/>
                <w:highlight w:val="none"/>
              </w:rPr>
            </w:pPr>
          </w:p>
        </w:tc>
        <w:tc>
          <w:tcPr>
            <w:tcW w:w="2132" w:type="dxa"/>
            <w:noWrap w:val="0"/>
            <w:vAlign w:val="top"/>
          </w:tcPr>
          <w:p w14:paraId="1BBB11FC">
            <w:pPr>
              <w:spacing w:line="400" w:lineRule="exact"/>
              <w:jc w:val="center"/>
              <w:rPr>
                <w:rFonts w:ascii="宋体" w:hAnsi="宋体"/>
                <w:color w:val="auto"/>
                <w:szCs w:val="21"/>
                <w:highlight w:val="none"/>
              </w:rPr>
            </w:pPr>
          </w:p>
        </w:tc>
        <w:tc>
          <w:tcPr>
            <w:tcW w:w="2132" w:type="dxa"/>
            <w:noWrap w:val="0"/>
            <w:vAlign w:val="top"/>
          </w:tcPr>
          <w:p w14:paraId="32D68DDD">
            <w:pPr>
              <w:spacing w:line="400" w:lineRule="exact"/>
              <w:jc w:val="center"/>
              <w:rPr>
                <w:rFonts w:ascii="宋体" w:hAnsi="宋体"/>
                <w:color w:val="auto"/>
                <w:szCs w:val="21"/>
                <w:highlight w:val="none"/>
              </w:rPr>
            </w:pPr>
          </w:p>
        </w:tc>
        <w:tc>
          <w:tcPr>
            <w:tcW w:w="2132" w:type="dxa"/>
            <w:noWrap w:val="0"/>
            <w:vAlign w:val="top"/>
          </w:tcPr>
          <w:p w14:paraId="35F0FB66">
            <w:pPr>
              <w:spacing w:line="400" w:lineRule="exact"/>
              <w:jc w:val="center"/>
              <w:rPr>
                <w:rFonts w:ascii="宋体" w:hAnsi="宋体"/>
                <w:color w:val="auto"/>
                <w:szCs w:val="21"/>
                <w:highlight w:val="none"/>
              </w:rPr>
            </w:pPr>
          </w:p>
        </w:tc>
      </w:tr>
      <w:tr w14:paraId="201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1DCA8EC">
            <w:pPr>
              <w:spacing w:line="400" w:lineRule="exact"/>
              <w:jc w:val="center"/>
              <w:rPr>
                <w:rFonts w:ascii="宋体" w:hAnsi="宋体"/>
                <w:color w:val="auto"/>
                <w:szCs w:val="21"/>
                <w:highlight w:val="none"/>
              </w:rPr>
            </w:pPr>
          </w:p>
        </w:tc>
        <w:tc>
          <w:tcPr>
            <w:tcW w:w="2132" w:type="dxa"/>
            <w:noWrap w:val="0"/>
            <w:vAlign w:val="top"/>
          </w:tcPr>
          <w:p w14:paraId="2CCA56D1">
            <w:pPr>
              <w:spacing w:line="400" w:lineRule="exact"/>
              <w:jc w:val="center"/>
              <w:rPr>
                <w:rFonts w:ascii="宋体" w:hAnsi="宋体"/>
                <w:color w:val="auto"/>
                <w:szCs w:val="21"/>
                <w:highlight w:val="none"/>
              </w:rPr>
            </w:pPr>
          </w:p>
        </w:tc>
        <w:tc>
          <w:tcPr>
            <w:tcW w:w="2132" w:type="dxa"/>
            <w:noWrap w:val="0"/>
            <w:vAlign w:val="top"/>
          </w:tcPr>
          <w:p w14:paraId="67F40E97">
            <w:pPr>
              <w:spacing w:line="400" w:lineRule="exact"/>
              <w:jc w:val="center"/>
              <w:rPr>
                <w:rFonts w:ascii="宋体" w:hAnsi="宋体"/>
                <w:color w:val="auto"/>
                <w:szCs w:val="21"/>
                <w:highlight w:val="none"/>
              </w:rPr>
            </w:pPr>
          </w:p>
        </w:tc>
        <w:tc>
          <w:tcPr>
            <w:tcW w:w="2132" w:type="dxa"/>
            <w:noWrap w:val="0"/>
            <w:vAlign w:val="top"/>
          </w:tcPr>
          <w:p w14:paraId="4D7902D5">
            <w:pPr>
              <w:spacing w:line="400" w:lineRule="exact"/>
              <w:jc w:val="center"/>
              <w:rPr>
                <w:rFonts w:ascii="宋体" w:hAnsi="宋体"/>
                <w:color w:val="auto"/>
                <w:szCs w:val="21"/>
                <w:highlight w:val="none"/>
              </w:rPr>
            </w:pPr>
          </w:p>
        </w:tc>
      </w:tr>
      <w:tr w14:paraId="3799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3E78606F">
            <w:pPr>
              <w:spacing w:line="400" w:lineRule="exact"/>
              <w:jc w:val="center"/>
              <w:rPr>
                <w:rFonts w:ascii="宋体" w:hAnsi="宋体"/>
                <w:color w:val="auto"/>
                <w:szCs w:val="21"/>
                <w:highlight w:val="none"/>
              </w:rPr>
            </w:pPr>
          </w:p>
        </w:tc>
        <w:tc>
          <w:tcPr>
            <w:tcW w:w="2132" w:type="dxa"/>
            <w:noWrap w:val="0"/>
            <w:vAlign w:val="top"/>
          </w:tcPr>
          <w:p w14:paraId="32CC3345">
            <w:pPr>
              <w:spacing w:line="400" w:lineRule="exact"/>
              <w:jc w:val="center"/>
              <w:rPr>
                <w:rFonts w:ascii="宋体" w:hAnsi="宋体"/>
                <w:color w:val="auto"/>
                <w:szCs w:val="21"/>
                <w:highlight w:val="none"/>
              </w:rPr>
            </w:pPr>
          </w:p>
        </w:tc>
        <w:tc>
          <w:tcPr>
            <w:tcW w:w="2132" w:type="dxa"/>
            <w:noWrap w:val="0"/>
            <w:vAlign w:val="top"/>
          </w:tcPr>
          <w:p w14:paraId="38495A86">
            <w:pPr>
              <w:spacing w:line="400" w:lineRule="exact"/>
              <w:jc w:val="center"/>
              <w:rPr>
                <w:rFonts w:ascii="宋体" w:hAnsi="宋体"/>
                <w:color w:val="auto"/>
                <w:szCs w:val="21"/>
                <w:highlight w:val="none"/>
              </w:rPr>
            </w:pPr>
          </w:p>
        </w:tc>
        <w:tc>
          <w:tcPr>
            <w:tcW w:w="2132" w:type="dxa"/>
            <w:noWrap w:val="0"/>
            <w:vAlign w:val="top"/>
          </w:tcPr>
          <w:p w14:paraId="7A88BE14">
            <w:pPr>
              <w:spacing w:line="400" w:lineRule="exact"/>
              <w:jc w:val="center"/>
              <w:rPr>
                <w:rFonts w:ascii="宋体" w:hAnsi="宋体"/>
                <w:color w:val="auto"/>
                <w:szCs w:val="21"/>
                <w:highlight w:val="none"/>
              </w:rPr>
            </w:pPr>
          </w:p>
        </w:tc>
      </w:tr>
      <w:tr w14:paraId="0B9B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33AD329">
            <w:pPr>
              <w:spacing w:line="400" w:lineRule="exact"/>
              <w:jc w:val="center"/>
              <w:rPr>
                <w:rFonts w:ascii="宋体" w:hAnsi="宋体"/>
                <w:color w:val="auto"/>
                <w:szCs w:val="21"/>
                <w:highlight w:val="none"/>
              </w:rPr>
            </w:pPr>
          </w:p>
        </w:tc>
        <w:tc>
          <w:tcPr>
            <w:tcW w:w="2132" w:type="dxa"/>
            <w:noWrap w:val="0"/>
            <w:vAlign w:val="top"/>
          </w:tcPr>
          <w:p w14:paraId="4102CDD9">
            <w:pPr>
              <w:spacing w:line="400" w:lineRule="exact"/>
              <w:jc w:val="center"/>
              <w:rPr>
                <w:rFonts w:ascii="宋体" w:hAnsi="宋体"/>
                <w:color w:val="auto"/>
                <w:szCs w:val="21"/>
                <w:highlight w:val="none"/>
              </w:rPr>
            </w:pPr>
          </w:p>
        </w:tc>
        <w:tc>
          <w:tcPr>
            <w:tcW w:w="2132" w:type="dxa"/>
            <w:noWrap w:val="0"/>
            <w:vAlign w:val="top"/>
          </w:tcPr>
          <w:p w14:paraId="52258413">
            <w:pPr>
              <w:spacing w:line="400" w:lineRule="exact"/>
              <w:jc w:val="center"/>
              <w:rPr>
                <w:rFonts w:ascii="宋体" w:hAnsi="宋体"/>
                <w:color w:val="auto"/>
                <w:szCs w:val="21"/>
                <w:highlight w:val="none"/>
              </w:rPr>
            </w:pPr>
          </w:p>
        </w:tc>
        <w:tc>
          <w:tcPr>
            <w:tcW w:w="2132" w:type="dxa"/>
            <w:noWrap w:val="0"/>
            <w:vAlign w:val="top"/>
          </w:tcPr>
          <w:p w14:paraId="3069968E">
            <w:pPr>
              <w:spacing w:line="400" w:lineRule="exact"/>
              <w:jc w:val="center"/>
              <w:rPr>
                <w:rFonts w:ascii="宋体" w:hAnsi="宋体"/>
                <w:color w:val="auto"/>
                <w:szCs w:val="21"/>
                <w:highlight w:val="none"/>
              </w:rPr>
            </w:pPr>
          </w:p>
        </w:tc>
      </w:tr>
      <w:tr w14:paraId="37D0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4D648441">
            <w:pPr>
              <w:spacing w:line="400" w:lineRule="exact"/>
              <w:jc w:val="center"/>
              <w:rPr>
                <w:rFonts w:ascii="宋体" w:hAnsi="宋体"/>
                <w:color w:val="auto"/>
                <w:szCs w:val="21"/>
                <w:highlight w:val="none"/>
              </w:rPr>
            </w:pPr>
          </w:p>
        </w:tc>
        <w:tc>
          <w:tcPr>
            <w:tcW w:w="2132" w:type="dxa"/>
            <w:noWrap w:val="0"/>
            <w:vAlign w:val="top"/>
          </w:tcPr>
          <w:p w14:paraId="17403584">
            <w:pPr>
              <w:spacing w:line="400" w:lineRule="exact"/>
              <w:jc w:val="center"/>
              <w:rPr>
                <w:rFonts w:ascii="宋体" w:hAnsi="宋体"/>
                <w:color w:val="auto"/>
                <w:szCs w:val="21"/>
                <w:highlight w:val="none"/>
              </w:rPr>
            </w:pPr>
          </w:p>
        </w:tc>
        <w:tc>
          <w:tcPr>
            <w:tcW w:w="2132" w:type="dxa"/>
            <w:noWrap w:val="0"/>
            <w:vAlign w:val="top"/>
          </w:tcPr>
          <w:p w14:paraId="2978BF1E">
            <w:pPr>
              <w:spacing w:line="400" w:lineRule="exact"/>
              <w:jc w:val="center"/>
              <w:rPr>
                <w:rFonts w:ascii="宋体" w:hAnsi="宋体"/>
                <w:color w:val="auto"/>
                <w:szCs w:val="21"/>
                <w:highlight w:val="none"/>
              </w:rPr>
            </w:pPr>
          </w:p>
        </w:tc>
        <w:tc>
          <w:tcPr>
            <w:tcW w:w="2132" w:type="dxa"/>
            <w:noWrap w:val="0"/>
            <w:vAlign w:val="top"/>
          </w:tcPr>
          <w:p w14:paraId="3ED7A2A6">
            <w:pPr>
              <w:spacing w:line="400" w:lineRule="exact"/>
              <w:jc w:val="center"/>
              <w:rPr>
                <w:rFonts w:ascii="宋体" w:hAnsi="宋体"/>
                <w:color w:val="auto"/>
                <w:szCs w:val="21"/>
                <w:highlight w:val="none"/>
              </w:rPr>
            </w:pPr>
          </w:p>
        </w:tc>
      </w:tr>
      <w:tr w14:paraId="6588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4ED757D4">
            <w:pPr>
              <w:spacing w:line="400" w:lineRule="exact"/>
              <w:jc w:val="center"/>
              <w:rPr>
                <w:rFonts w:ascii="宋体" w:hAnsi="宋体"/>
                <w:color w:val="auto"/>
                <w:szCs w:val="21"/>
                <w:highlight w:val="none"/>
              </w:rPr>
            </w:pPr>
          </w:p>
        </w:tc>
        <w:tc>
          <w:tcPr>
            <w:tcW w:w="2132" w:type="dxa"/>
            <w:noWrap w:val="0"/>
            <w:vAlign w:val="top"/>
          </w:tcPr>
          <w:p w14:paraId="5F44884B">
            <w:pPr>
              <w:spacing w:line="400" w:lineRule="exact"/>
              <w:jc w:val="center"/>
              <w:rPr>
                <w:rFonts w:ascii="宋体" w:hAnsi="宋体"/>
                <w:color w:val="auto"/>
                <w:szCs w:val="21"/>
                <w:highlight w:val="none"/>
              </w:rPr>
            </w:pPr>
          </w:p>
        </w:tc>
        <w:tc>
          <w:tcPr>
            <w:tcW w:w="2132" w:type="dxa"/>
            <w:noWrap w:val="0"/>
            <w:vAlign w:val="top"/>
          </w:tcPr>
          <w:p w14:paraId="34472366">
            <w:pPr>
              <w:spacing w:line="400" w:lineRule="exact"/>
              <w:jc w:val="center"/>
              <w:rPr>
                <w:rFonts w:ascii="宋体" w:hAnsi="宋体"/>
                <w:color w:val="auto"/>
                <w:szCs w:val="21"/>
                <w:highlight w:val="none"/>
              </w:rPr>
            </w:pPr>
          </w:p>
        </w:tc>
        <w:tc>
          <w:tcPr>
            <w:tcW w:w="2132" w:type="dxa"/>
            <w:noWrap w:val="0"/>
            <w:vAlign w:val="top"/>
          </w:tcPr>
          <w:p w14:paraId="401B6BFC">
            <w:pPr>
              <w:spacing w:line="400" w:lineRule="exact"/>
              <w:jc w:val="center"/>
              <w:rPr>
                <w:rFonts w:ascii="宋体" w:hAnsi="宋体"/>
                <w:color w:val="auto"/>
                <w:szCs w:val="21"/>
                <w:highlight w:val="none"/>
              </w:rPr>
            </w:pPr>
          </w:p>
        </w:tc>
      </w:tr>
    </w:tbl>
    <w:p w14:paraId="57C229F1">
      <w:pPr>
        <w:topLinePunct/>
        <w:spacing w:line="400" w:lineRule="exact"/>
        <w:rPr>
          <w:rFonts w:hint="eastAsia"/>
          <w:color w:val="auto"/>
          <w:sz w:val="20"/>
          <w:szCs w:val="20"/>
          <w:highlight w:val="none"/>
        </w:rPr>
      </w:pPr>
    </w:p>
    <w:p w14:paraId="5FA5BB60">
      <w:pPr>
        <w:topLinePunct/>
        <w:spacing w:line="400" w:lineRule="exact"/>
        <w:rPr>
          <w:rFonts w:hint="eastAsia"/>
          <w:color w:val="auto"/>
          <w:sz w:val="20"/>
          <w:szCs w:val="20"/>
          <w:highlight w:val="none"/>
        </w:rPr>
      </w:pPr>
    </w:p>
    <w:p w14:paraId="63A03B93">
      <w:pPr>
        <w:topLinePunct/>
        <w:spacing w:line="400" w:lineRule="exact"/>
        <w:rPr>
          <w:rFonts w:hint="eastAsia"/>
          <w:color w:val="auto"/>
          <w:sz w:val="20"/>
          <w:szCs w:val="20"/>
          <w:highlight w:val="none"/>
        </w:rPr>
      </w:pPr>
    </w:p>
    <w:p w14:paraId="2E19FC16">
      <w:pPr>
        <w:topLinePunct/>
        <w:spacing w:line="400" w:lineRule="exact"/>
        <w:rPr>
          <w:rFonts w:hint="eastAsia"/>
          <w:color w:val="auto"/>
          <w:sz w:val="20"/>
          <w:szCs w:val="20"/>
          <w:highlight w:val="none"/>
        </w:rPr>
      </w:pPr>
    </w:p>
    <w:p w14:paraId="71AB4258">
      <w:pPr>
        <w:topLinePunct/>
        <w:spacing w:line="400" w:lineRule="exact"/>
        <w:rPr>
          <w:rFonts w:hint="eastAsia"/>
          <w:color w:val="auto"/>
          <w:sz w:val="20"/>
          <w:szCs w:val="20"/>
          <w:highlight w:val="none"/>
        </w:rPr>
      </w:pPr>
    </w:p>
    <w:p w14:paraId="5FF8E342">
      <w:pPr>
        <w:jc w:val="center"/>
        <w:rPr>
          <w:rFonts w:hint="eastAsia" w:ascii="宋体" w:hAnsi="宋体"/>
          <w:b/>
          <w:color w:val="auto"/>
          <w:sz w:val="30"/>
          <w:szCs w:val="30"/>
          <w:highlight w:val="none"/>
        </w:rPr>
      </w:pPr>
      <w:bookmarkStart w:id="1116" w:name="_Toc168476333"/>
      <w:bookmarkStart w:id="1117" w:name="_Toc259524421"/>
      <w:bookmarkStart w:id="1118" w:name="_Toc222029567"/>
      <w:bookmarkStart w:id="1119" w:name="_Toc168475930"/>
      <w:bookmarkStart w:id="1120" w:name="_Toc229305427"/>
      <w:bookmarkStart w:id="1121" w:name="_Toc221952115"/>
      <w:bookmarkStart w:id="1122" w:name="_Toc222032736"/>
      <w:bookmarkStart w:id="1123" w:name="_Toc144974871"/>
      <w:bookmarkStart w:id="1124" w:name="_Toc222031069"/>
      <w:bookmarkStart w:id="1125" w:name="_Toc222033918"/>
      <w:r>
        <w:rPr>
          <w:rFonts w:ascii="黑体" w:hAnsi="黑体" w:eastAsia="黑体"/>
          <w:color w:val="auto"/>
          <w:sz w:val="28"/>
          <w:szCs w:val="27"/>
          <w:highlight w:val="none"/>
        </w:rPr>
        <w:br w:type="page"/>
      </w:r>
      <w:r>
        <w:rPr>
          <w:rFonts w:hint="eastAsia" w:ascii="宋体" w:hAnsi="宋体"/>
          <w:b/>
          <w:color w:val="auto"/>
          <w:sz w:val="30"/>
          <w:szCs w:val="30"/>
          <w:highlight w:val="none"/>
        </w:rPr>
        <w:t>施工组织设计要点</w:t>
      </w:r>
    </w:p>
    <w:p w14:paraId="217E9903">
      <w:pPr>
        <w:jc w:val="left"/>
        <w:rPr>
          <w:rFonts w:ascii="宋体" w:hAnsi="宋体"/>
          <w:i/>
          <w:color w:val="auto"/>
          <w:szCs w:val="21"/>
          <w:highlight w:val="none"/>
        </w:rPr>
      </w:pPr>
      <w:r>
        <w:rPr>
          <w:rFonts w:hint="eastAsia" w:ascii="宋体" w:hAnsi="宋体"/>
          <w:i/>
          <w:color w:val="auto"/>
          <w:szCs w:val="21"/>
          <w:highlight w:val="none"/>
        </w:rPr>
        <w:t>(说明：投标人在投标时不需要编制施工组织设计的，中标后需按本施工组织设计要点的内容编制施工组织设计)</w:t>
      </w:r>
    </w:p>
    <w:p w14:paraId="352417AA">
      <w:pPr>
        <w:spacing w:line="400" w:lineRule="exact"/>
        <w:ind w:firstLine="480" w:firstLineChars="200"/>
        <w:rPr>
          <w:rFonts w:ascii="宋体" w:hAnsi="宋体"/>
          <w:color w:val="auto"/>
          <w:sz w:val="24"/>
          <w:highlight w:val="none"/>
        </w:rPr>
      </w:pPr>
    </w:p>
    <w:p w14:paraId="36BDE7F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充分理解本项目的重点、难点，进行有针对性的描述，各部分文字直接简炼，不得出现大量宣传性及无实质性意义或直接引用范本照搬照套的文字，并结合图表说明及表示。施工组织设计应至少包括（但不限于）以下内容：</w:t>
      </w:r>
    </w:p>
    <w:p w14:paraId="05C4F13D">
      <w:pPr>
        <w:spacing w:line="400" w:lineRule="exact"/>
        <w:ind w:firstLine="480" w:firstLineChars="200"/>
        <w:rPr>
          <w:rFonts w:ascii="宋体" w:hAnsi="宋体"/>
          <w:b/>
          <w:color w:val="auto"/>
          <w:sz w:val="30"/>
          <w:szCs w:val="30"/>
          <w:highlight w:val="none"/>
        </w:rPr>
      </w:pPr>
      <w:r>
        <w:rPr>
          <w:rFonts w:hint="eastAsia" w:ascii="宋体" w:hAnsi="宋体"/>
          <w:color w:val="auto"/>
          <w:sz w:val="24"/>
          <w:highlight w:val="none"/>
        </w:rPr>
        <w:t>一、文字部分：</w:t>
      </w:r>
    </w:p>
    <w:p w14:paraId="15200F45">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1.工程概况及工程重点、难点</w:t>
      </w:r>
    </w:p>
    <w:p w14:paraId="2EC234D2">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 项目组织机构</w:t>
      </w:r>
    </w:p>
    <w:p w14:paraId="153469C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要求项目负责人、总工程师、施工计划及财务负责人、质检、地质、实验、测量和机械、土建、机电工程师等组织结构配置合理，满足施工要求。</w:t>
      </w:r>
    </w:p>
    <w:p w14:paraId="607C9FD0">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3.施工总平面布置</w:t>
      </w:r>
    </w:p>
    <w:p w14:paraId="66177C69">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投标人应针对本工程项目场地布置图和现场踏勘的情况进行本工程的施工总平面布置，并结合招标人提供的临时用地位置，合理安排其生活、福利、办公等临时生活设施和材料堆场、仓库、预制场、拌和场及加工场等生产设施的位置，设置完善、高效的临时排水、排污等设施，合理布置场内外交通运输路线。施工现场必须按广州市有关规定设置围蔽结构。</w:t>
      </w:r>
    </w:p>
    <w:p w14:paraId="126A6EC9">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3.1临设平面布置图；</w:t>
      </w:r>
    </w:p>
    <w:p w14:paraId="343F66F8">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3.2临时供水、临时供电；</w:t>
      </w:r>
    </w:p>
    <w:p w14:paraId="1DFF166D">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3.3临时排水、排污；</w:t>
      </w:r>
    </w:p>
    <w:p w14:paraId="438AD569">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3.4围蔽结构；</w:t>
      </w:r>
    </w:p>
    <w:p w14:paraId="2FAA5AB9">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3.5施工通道布置；</w:t>
      </w:r>
    </w:p>
    <w:p w14:paraId="369735FF">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3.6投标人认为需补充的要点。</w:t>
      </w:r>
    </w:p>
    <w:p w14:paraId="0ED16489">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4.主要分项工程的施工方案、施工方法、施工工艺</w:t>
      </w:r>
    </w:p>
    <w:p w14:paraId="20833A12">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根据本工程施工特点，制定各关键工序的施工方案、施工方法和工艺，要求所采用的施工方案、施工方法和工艺具有针对性、先进性和独创性。并对进场施工后保证实施上述施工方案、施工方法和工艺进行承诺；</w:t>
      </w:r>
    </w:p>
    <w:p w14:paraId="4FF2C71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5.施工计划</w:t>
      </w:r>
    </w:p>
    <w:p w14:paraId="47027E62">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5.1总体施工进度计划</w:t>
      </w:r>
    </w:p>
    <w:p w14:paraId="70E295A1">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5.2各阶段施工进度计划及控制措施</w:t>
      </w:r>
    </w:p>
    <w:p w14:paraId="22B5B983">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5.3工、料、机、资金等的使用计划</w:t>
      </w:r>
    </w:p>
    <w:p w14:paraId="773BE656">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5.4主要的工艺流程</w:t>
      </w:r>
    </w:p>
    <w:p w14:paraId="322B8584">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6.环保与文明施工（包括空气污染、水质污染、噪音控制、施工场地和驻地卫生，以及文明施工等方面控制措施）</w:t>
      </w:r>
    </w:p>
    <w:p w14:paraId="6B480EE2">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7.质量、安全生产目标及保证体系和保证措施</w:t>
      </w:r>
    </w:p>
    <w:p w14:paraId="2169FB36">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8.制订完善的成品保护措施。</w:t>
      </w:r>
    </w:p>
    <w:p w14:paraId="467846AD">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9.民工工资支付方案及措施</w:t>
      </w:r>
    </w:p>
    <w:p w14:paraId="37F4459B">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二、图表部分</w:t>
      </w:r>
    </w:p>
    <w:p w14:paraId="6F798A2A">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1. 项目组织机构图</w:t>
      </w:r>
    </w:p>
    <w:p w14:paraId="0CE470E4">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2. 施工平面布置图</w:t>
      </w:r>
    </w:p>
    <w:p w14:paraId="6E056282">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3.施工进度计划网络图及横道图</w:t>
      </w:r>
    </w:p>
    <w:p w14:paraId="1C57E334">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4.劳动力使用计划图（或表）</w:t>
      </w:r>
    </w:p>
    <w:p w14:paraId="49231FE0">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5.拟投入的主要材料、半成品、设备及品牌计划表</w:t>
      </w:r>
    </w:p>
    <w:p w14:paraId="5EF83303">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6.拟投入的主要施工机械设备计划表</w:t>
      </w:r>
    </w:p>
    <w:p w14:paraId="089CD8FF">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7.资金使用计划表</w:t>
      </w:r>
    </w:p>
    <w:p w14:paraId="4565268D">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8.主要施工工艺的工艺流程图</w:t>
      </w:r>
    </w:p>
    <w:p w14:paraId="23B167DB">
      <w:pPr>
        <w:spacing w:line="400" w:lineRule="exact"/>
        <w:ind w:firstLine="360" w:firstLineChars="150"/>
        <w:rPr>
          <w:color w:val="auto"/>
          <w:sz w:val="24"/>
          <w:highlight w:val="none"/>
        </w:rPr>
      </w:pPr>
    </w:p>
    <w:p w14:paraId="391287C6">
      <w:pPr>
        <w:widowControl/>
        <w:jc w:val="left"/>
        <w:rPr>
          <w:rFonts w:hint="eastAsia" w:ascii="黑体" w:hAnsi="黑体" w:eastAsia="黑体"/>
          <w:color w:val="auto"/>
          <w:sz w:val="28"/>
          <w:szCs w:val="27"/>
          <w:highlight w:val="none"/>
        </w:rPr>
      </w:pPr>
    </w:p>
    <w:p w14:paraId="60160F4A">
      <w:pPr>
        <w:pageBreakBefore/>
        <w:widowControl/>
        <w:jc w:val="left"/>
        <w:rPr>
          <w:rFonts w:hint="eastAsia" w:ascii="黑体" w:hAnsi="黑体" w:eastAsia="黑体"/>
          <w:color w:val="auto"/>
          <w:sz w:val="28"/>
          <w:szCs w:val="27"/>
          <w:highlight w:val="none"/>
        </w:rPr>
      </w:pPr>
    </w:p>
    <w:p w14:paraId="6D574F33">
      <w:pPr>
        <w:spacing w:line="360" w:lineRule="auto"/>
        <w:jc w:val="center"/>
        <w:outlineLvl w:val="2"/>
        <w:rPr>
          <w:rFonts w:hint="eastAsia" w:ascii="黑体" w:hAnsi="黑体" w:eastAsia="黑体"/>
          <w:color w:val="auto"/>
          <w:sz w:val="28"/>
          <w:szCs w:val="27"/>
          <w:highlight w:val="none"/>
          <w:lang w:eastAsia="zh-CN"/>
        </w:rPr>
      </w:pPr>
      <w:bookmarkStart w:id="1126" w:name="_Toc23767"/>
      <w:bookmarkStart w:id="1127" w:name="_Toc17556913"/>
      <w:bookmarkStart w:id="1128" w:name="_Toc17454959"/>
      <w:bookmarkStart w:id="1129" w:name="_Toc17454908"/>
      <w:bookmarkStart w:id="1130" w:name="_Toc17451660"/>
      <w:bookmarkStart w:id="1131" w:name="_Toc17451138"/>
      <w:bookmarkStart w:id="1132" w:name="_Toc17452701"/>
      <w:bookmarkStart w:id="1133" w:name="_Toc17451615"/>
      <w:r>
        <w:rPr>
          <w:rFonts w:hint="eastAsia" w:ascii="黑体" w:hAnsi="黑体" w:eastAsia="黑体"/>
          <w:color w:val="auto"/>
          <w:sz w:val="28"/>
          <w:szCs w:val="27"/>
          <w:highlight w:val="none"/>
        </w:rPr>
        <w:t>八</w:t>
      </w:r>
      <w:r>
        <w:rPr>
          <w:rFonts w:ascii="黑体" w:hAnsi="黑体" w:eastAsia="黑体"/>
          <w:color w:val="auto"/>
          <w:sz w:val="28"/>
          <w:szCs w:val="27"/>
          <w:highlight w:val="none"/>
        </w:rPr>
        <w:t>、项目管理机构</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34A92732">
      <w:pPr>
        <w:pageBreakBefore w:val="0"/>
        <w:spacing w:before="0" w:line="400" w:lineRule="exact"/>
        <w:ind w:left="0" w:firstLine="0"/>
        <w:jc w:val="center"/>
        <w:outlineLvl w:val="3"/>
        <w:rPr>
          <w:rFonts w:hint="default" w:ascii="宋体" w:hAnsi="宋体" w:eastAsia="宋体" w:cs="Times New Roman"/>
          <w:b/>
          <w:color w:val="auto"/>
          <w:sz w:val="24"/>
          <w:szCs w:val="31"/>
          <w:highlight w:val="none"/>
        </w:rPr>
      </w:pPr>
      <w:bookmarkStart w:id="1134" w:name="_Toc168476334"/>
      <w:bookmarkStart w:id="1135" w:name="_Toc221952116"/>
      <w:bookmarkStart w:id="1136" w:name="_Toc144974872"/>
      <w:bookmarkStart w:id="1137" w:name="_Toc168475931"/>
      <w:r>
        <w:rPr>
          <w:rFonts w:hint="default" w:ascii="宋体" w:hAnsi="宋体" w:eastAsia="宋体" w:cs="Times New Roman"/>
          <w:b/>
          <w:color w:val="auto"/>
          <w:sz w:val="24"/>
          <w:szCs w:val="31"/>
          <w:highlight w:val="none"/>
        </w:rPr>
        <w:t>项目管理架构人员最低配置承诺书</w:t>
      </w:r>
    </w:p>
    <w:p w14:paraId="231296A6">
      <w:pPr>
        <w:spacing w:before="120" w:line="520" w:lineRule="exact"/>
        <w:ind w:left="960" w:hanging="960"/>
        <w:rPr>
          <w:color w:val="auto"/>
          <w:sz w:val="24"/>
          <w:szCs w:val="24"/>
          <w:highlight w:val="none"/>
        </w:rPr>
      </w:pPr>
      <w:r>
        <w:rPr>
          <w:color w:val="auto"/>
          <w:sz w:val="24"/>
          <w:szCs w:val="24"/>
          <w:highlight w:val="none"/>
        </w:rPr>
        <w:t>致（招标人）：</w:t>
      </w:r>
    </w:p>
    <w:p w14:paraId="1587230A">
      <w:pPr>
        <w:spacing w:before="120" w:line="520" w:lineRule="exact"/>
        <w:ind w:left="6" w:leftChars="3" w:firstLine="480" w:firstLineChars="200"/>
        <w:rPr>
          <w:rFonts w:hint="eastAsia" w:eastAsia="宋体"/>
          <w:b/>
          <w:bCs/>
          <w:color w:val="auto"/>
          <w:sz w:val="24"/>
          <w:szCs w:val="24"/>
          <w:highlight w:val="none"/>
          <w:lang w:eastAsia="zh-CN"/>
        </w:rPr>
      </w:pPr>
      <w:r>
        <w:rPr>
          <w:color w:val="auto"/>
          <w:sz w:val="24"/>
          <w:szCs w:val="24"/>
          <w:highlight w:val="none"/>
        </w:rPr>
        <w:t>我公司参与</w:t>
      </w:r>
      <w:r>
        <w:rPr>
          <w:color w:val="auto"/>
          <w:sz w:val="24"/>
          <w:szCs w:val="24"/>
          <w:highlight w:val="none"/>
          <w:u w:val="single"/>
        </w:rPr>
        <w:t xml:space="preserve">                （项目</w:t>
      </w:r>
      <w:r>
        <w:rPr>
          <w:rFonts w:hint="eastAsia"/>
          <w:color w:val="auto"/>
          <w:sz w:val="24"/>
          <w:szCs w:val="24"/>
          <w:highlight w:val="none"/>
          <w:u w:val="single"/>
          <w:lang w:eastAsia="zh-CN"/>
        </w:rPr>
        <w:t>名称</w:t>
      </w:r>
      <w:r>
        <w:rPr>
          <w:color w:val="auto"/>
          <w:sz w:val="24"/>
          <w:szCs w:val="24"/>
          <w:highlight w:val="none"/>
          <w:u w:val="single"/>
        </w:rPr>
        <w:t>）</w:t>
      </w:r>
      <w:r>
        <w:rPr>
          <w:color w:val="auto"/>
          <w:sz w:val="24"/>
          <w:szCs w:val="24"/>
          <w:highlight w:val="none"/>
        </w:rPr>
        <w:t>投标，郑重承诺如下</w:t>
      </w:r>
      <w:r>
        <w:rPr>
          <w:rFonts w:hint="eastAsia"/>
          <w:color w:val="auto"/>
          <w:sz w:val="24"/>
          <w:szCs w:val="24"/>
          <w:highlight w:val="none"/>
          <w:lang w:eastAsia="zh-CN"/>
        </w:rPr>
        <w:t>：</w:t>
      </w:r>
    </w:p>
    <w:tbl>
      <w:tblPr>
        <w:tblStyle w:val="18"/>
        <w:tblpPr w:leftFromText="180" w:rightFromText="180" w:vertAnchor="page" w:horzAnchor="margin" w:tblpXSpec="center" w:tblpY="4051"/>
        <w:tblW w:w="9183"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60"/>
        <w:gridCol w:w="2868"/>
        <w:gridCol w:w="1378"/>
        <w:gridCol w:w="2739"/>
      </w:tblGrid>
      <w:tr w14:paraId="1061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38" w:type="dxa"/>
            <w:tcBorders>
              <w:top w:val="single" w:color="auto" w:sz="4" w:space="0"/>
              <w:left w:val="single" w:color="auto" w:sz="4" w:space="0"/>
              <w:bottom w:val="single" w:color="auto" w:sz="4" w:space="0"/>
              <w:right w:val="single" w:color="auto" w:sz="4" w:space="0"/>
            </w:tcBorders>
            <w:noWrap w:val="0"/>
            <w:vAlign w:val="center"/>
          </w:tcPr>
          <w:p w14:paraId="621701CB">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序</w:t>
            </w:r>
            <w:r>
              <w:rPr>
                <w:rFonts w:hint="eastAsia" w:ascii="宋体" w:hAnsi="宋体" w:eastAsia="宋体" w:cs="宋体"/>
                <w:color w:val="auto"/>
                <w:sz w:val="24"/>
                <w:szCs w:val="24"/>
                <w:highlight w:val="none"/>
                <w:lang w:val="en-US" w:eastAsia="zh-CN"/>
              </w:rPr>
              <w:t>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F43B64A">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2868" w:type="dxa"/>
            <w:tcBorders>
              <w:top w:val="single" w:color="auto" w:sz="4" w:space="0"/>
              <w:left w:val="single" w:color="auto" w:sz="4" w:space="0"/>
              <w:bottom w:val="single" w:color="auto" w:sz="4" w:space="0"/>
              <w:right w:val="single" w:color="auto" w:sz="4" w:space="0"/>
            </w:tcBorders>
            <w:noWrap w:val="0"/>
            <w:vAlign w:val="center"/>
          </w:tcPr>
          <w:p w14:paraId="241AF6E3">
            <w:pPr>
              <w:spacing w:before="120" w:line="400" w:lineRule="exact"/>
              <w:ind w:left="720" w:right="0" w:rightChars="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资格要求</w:t>
            </w:r>
          </w:p>
        </w:tc>
        <w:tc>
          <w:tcPr>
            <w:tcW w:w="1378" w:type="dxa"/>
            <w:tcBorders>
              <w:top w:val="single" w:color="auto" w:sz="4" w:space="0"/>
              <w:left w:val="single" w:color="auto" w:sz="4" w:space="0"/>
              <w:bottom w:val="single" w:color="auto" w:sz="4" w:space="0"/>
              <w:right w:val="single" w:color="auto" w:sz="4" w:space="0"/>
            </w:tcBorders>
            <w:noWrap w:val="0"/>
            <w:vAlign w:val="center"/>
          </w:tcPr>
          <w:p w14:paraId="0B9F2FC4">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739" w:type="dxa"/>
            <w:tcBorders>
              <w:top w:val="single" w:color="auto" w:sz="4" w:space="0"/>
              <w:left w:val="single" w:color="auto" w:sz="4" w:space="0"/>
              <w:bottom w:val="single" w:color="auto" w:sz="4" w:space="0"/>
              <w:right w:val="single" w:color="auto" w:sz="4" w:space="0"/>
            </w:tcBorders>
            <w:noWrap w:val="0"/>
            <w:vAlign w:val="center"/>
          </w:tcPr>
          <w:p w14:paraId="074BF0E3">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653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638" w:type="dxa"/>
            <w:tcBorders>
              <w:top w:val="single" w:color="auto" w:sz="4" w:space="0"/>
              <w:left w:val="single" w:color="auto" w:sz="4" w:space="0"/>
              <w:bottom w:val="single" w:color="auto" w:sz="4" w:space="0"/>
              <w:right w:val="single" w:color="auto" w:sz="4" w:space="0"/>
            </w:tcBorders>
            <w:noWrap w:val="0"/>
            <w:vAlign w:val="top"/>
          </w:tcPr>
          <w:p w14:paraId="00D44EFD">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60" w:type="dxa"/>
            <w:tcBorders>
              <w:top w:val="single" w:color="auto" w:sz="4" w:space="0"/>
              <w:left w:val="single" w:color="auto" w:sz="4" w:space="0"/>
              <w:bottom w:val="single" w:color="auto" w:sz="4" w:space="0"/>
              <w:right w:val="single" w:color="auto" w:sz="4" w:space="0"/>
            </w:tcBorders>
            <w:noWrap w:val="0"/>
            <w:vAlign w:val="top"/>
          </w:tcPr>
          <w:p w14:paraId="0AE9A873">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2868" w:type="dxa"/>
            <w:tcBorders>
              <w:top w:val="single" w:color="auto" w:sz="4" w:space="0"/>
              <w:left w:val="single" w:color="auto" w:sz="4" w:space="0"/>
              <w:bottom w:val="single" w:color="auto" w:sz="4" w:space="0"/>
              <w:right w:val="single" w:color="auto" w:sz="4" w:space="0"/>
            </w:tcBorders>
            <w:noWrap w:val="0"/>
            <w:vAlign w:val="top"/>
          </w:tcPr>
          <w:p w14:paraId="5FB02671">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与招标公告要求一致</w:t>
            </w:r>
          </w:p>
        </w:tc>
        <w:tc>
          <w:tcPr>
            <w:tcW w:w="1378" w:type="dxa"/>
            <w:tcBorders>
              <w:top w:val="single" w:color="auto" w:sz="4" w:space="0"/>
              <w:left w:val="single" w:color="auto" w:sz="4" w:space="0"/>
              <w:bottom w:val="single" w:color="auto" w:sz="4" w:space="0"/>
              <w:right w:val="single" w:color="auto" w:sz="4" w:space="0"/>
            </w:tcBorders>
            <w:noWrap w:val="0"/>
            <w:vAlign w:val="top"/>
          </w:tcPr>
          <w:p w14:paraId="255B191C">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739" w:type="dxa"/>
            <w:tcBorders>
              <w:top w:val="single" w:color="auto" w:sz="4" w:space="0"/>
              <w:left w:val="single" w:color="auto" w:sz="4" w:space="0"/>
              <w:bottom w:val="single" w:color="auto" w:sz="4" w:space="0"/>
              <w:right w:val="single" w:color="auto" w:sz="4" w:space="0"/>
            </w:tcBorders>
            <w:noWrap w:val="0"/>
            <w:vAlign w:val="top"/>
          </w:tcPr>
          <w:p w14:paraId="6AB9F0A4">
            <w:pPr>
              <w:spacing w:before="120" w:line="400" w:lineRule="exact"/>
              <w:ind w:left="720" w:hanging="720"/>
              <w:jc w:val="center"/>
              <w:rPr>
                <w:rFonts w:hint="eastAsia" w:ascii="宋体" w:hAnsi="宋体" w:eastAsia="宋体" w:cs="宋体"/>
                <w:color w:val="auto"/>
                <w:sz w:val="24"/>
                <w:szCs w:val="24"/>
                <w:highlight w:val="none"/>
              </w:rPr>
            </w:pPr>
          </w:p>
        </w:tc>
      </w:tr>
      <w:tr w14:paraId="2CEE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38" w:type="dxa"/>
            <w:tcBorders>
              <w:top w:val="single" w:color="auto" w:sz="4" w:space="0"/>
              <w:left w:val="single" w:color="auto" w:sz="4" w:space="0"/>
              <w:bottom w:val="single" w:color="auto" w:sz="4" w:space="0"/>
              <w:right w:val="single" w:color="auto" w:sz="4" w:space="0"/>
            </w:tcBorders>
            <w:noWrap w:val="0"/>
            <w:vAlign w:val="center"/>
          </w:tcPr>
          <w:p w14:paraId="65A3AB0A">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B7A19B">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2868" w:type="dxa"/>
            <w:tcBorders>
              <w:top w:val="single" w:color="auto" w:sz="4" w:space="0"/>
              <w:left w:val="single" w:color="auto" w:sz="4" w:space="0"/>
              <w:bottom w:val="single" w:color="auto" w:sz="4" w:space="0"/>
              <w:right w:val="single" w:color="auto" w:sz="4" w:space="0"/>
            </w:tcBorders>
            <w:noWrap w:val="0"/>
            <w:vAlign w:val="center"/>
          </w:tcPr>
          <w:p w14:paraId="5C56F17F">
            <w:pPr>
              <w:spacing w:before="120" w:line="400" w:lineRule="exact"/>
              <w:ind w:left="0" w:firstLine="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与招标公告要求一致</w:t>
            </w:r>
          </w:p>
        </w:tc>
        <w:tc>
          <w:tcPr>
            <w:tcW w:w="1378" w:type="dxa"/>
            <w:tcBorders>
              <w:top w:val="single" w:color="auto" w:sz="4" w:space="0"/>
              <w:left w:val="single" w:color="auto" w:sz="4" w:space="0"/>
              <w:bottom w:val="single" w:color="auto" w:sz="4" w:space="0"/>
              <w:right w:val="single" w:color="auto" w:sz="4" w:space="0"/>
            </w:tcBorders>
            <w:noWrap w:val="0"/>
            <w:vAlign w:val="center"/>
          </w:tcPr>
          <w:p w14:paraId="3DE15F61">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p>
        </w:tc>
        <w:tc>
          <w:tcPr>
            <w:tcW w:w="2739" w:type="dxa"/>
            <w:tcBorders>
              <w:top w:val="single" w:color="auto" w:sz="4" w:space="0"/>
              <w:left w:val="single" w:color="auto" w:sz="4" w:space="0"/>
              <w:bottom w:val="single" w:color="auto" w:sz="4" w:space="0"/>
              <w:right w:val="single" w:color="auto" w:sz="4" w:space="0"/>
            </w:tcBorders>
            <w:noWrap w:val="0"/>
            <w:vAlign w:val="top"/>
          </w:tcPr>
          <w:p w14:paraId="61B71882">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不得由项目负责人或专职安全员兼职</w:t>
            </w:r>
          </w:p>
        </w:tc>
      </w:tr>
      <w:tr w14:paraId="3F3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38" w:type="dxa"/>
            <w:tcBorders>
              <w:top w:val="single" w:color="auto" w:sz="4" w:space="0"/>
              <w:left w:val="single" w:color="auto" w:sz="4" w:space="0"/>
              <w:bottom w:val="single" w:color="auto" w:sz="4" w:space="0"/>
              <w:right w:val="single" w:color="auto" w:sz="4" w:space="0"/>
            </w:tcBorders>
            <w:noWrap w:val="0"/>
            <w:vAlign w:val="top"/>
          </w:tcPr>
          <w:p w14:paraId="32A6139C">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60" w:type="dxa"/>
            <w:tcBorders>
              <w:top w:val="single" w:color="auto" w:sz="4" w:space="0"/>
              <w:left w:val="single" w:color="auto" w:sz="4" w:space="0"/>
              <w:bottom w:val="single" w:color="auto" w:sz="4" w:space="0"/>
              <w:right w:val="single" w:color="auto" w:sz="4" w:space="0"/>
            </w:tcBorders>
            <w:noWrap w:val="0"/>
            <w:vAlign w:val="top"/>
          </w:tcPr>
          <w:p w14:paraId="118E0955">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专职安全员</w:t>
            </w:r>
          </w:p>
        </w:tc>
        <w:tc>
          <w:tcPr>
            <w:tcW w:w="2868" w:type="dxa"/>
            <w:tcBorders>
              <w:top w:val="single" w:color="auto" w:sz="4" w:space="0"/>
              <w:left w:val="single" w:color="auto" w:sz="4" w:space="0"/>
              <w:bottom w:val="single" w:color="auto" w:sz="4" w:space="0"/>
              <w:right w:val="single" w:color="auto" w:sz="4" w:space="0"/>
            </w:tcBorders>
            <w:noWrap w:val="0"/>
            <w:vAlign w:val="top"/>
          </w:tcPr>
          <w:p w14:paraId="2D229896">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与招标公告要求一致</w:t>
            </w:r>
          </w:p>
        </w:tc>
        <w:tc>
          <w:tcPr>
            <w:tcW w:w="1378" w:type="dxa"/>
            <w:tcBorders>
              <w:top w:val="single" w:color="auto" w:sz="4" w:space="0"/>
              <w:left w:val="single" w:color="auto" w:sz="4" w:space="0"/>
              <w:bottom w:val="single" w:color="auto" w:sz="4" w:space="0"/>
              <w:right w:val="single" w:color="auto" w:sz="4" w:space="0"/>
            </w:tcBorders>
            <w:noWrap w:val="0"/>
            <w:vAlign w:val="top"/>
          </w:tcPr>
          <w:p w14:paraId="032A2C86">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739" w:type="dxa"/>
            <w:tcBorders>
              <w:top w:val="single" w:color="auto" w:sz="4" w:space="0"/>
              <w:left w:val="single" w:color="auto" w:sz="4" w:space="0"/>
              <w:bottom w:val="single" w:color="auto" w:sz="4" w:space="0"/>
              <w:right w:val="single" w:color="auto" w:sz="4" w:space="0"/>
            </w:tcBorders>
            <w:noWrap w:val="0"/>
            <w:vAlign w:val="top"/>
          </w:tcPr>
          <w:p w14:paraId="63407FA5">
            <w:pPr>
              <w:spacing w:before="120" w:line="400" w:lineRule="exact"/>
              <w:ind w:left="720" w:hanging="720"/>
              <w:jc w:val="center"/>
              <w:rPr>
                <w:rFonts w:hint="eastAsia" w:ascii="宋体" w:hAnsi="宋体" w:eastAsia="宋体" w:cs="宋体"/>
                <w:color w:val="auto"/>
                <w:sz w:val="24"/>
                <w:szCs w:val="24"/>
                <w:highlight w:val="none"/>
              </w:rPr>
            </w:pPr>
          </w:p>
        </w:tc>
      </w:tr>
      <w:tr w14:paraId="61B3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38" w:type="dxa"/>
            <w:tcBorders>
              <w:top w:val="single" w:color="auto" w:sz="4" w:space="0"/>
              <w:left w:val="single" w:color="auto" w:sz="4" w:space="0"/>
              <w:bottom w:val="single" w:color="auto" w:sz="4" w:space="0"/>
              <w:right w:val="single" w:color="auto" w:sz="4" w:space="0"/>
            </w:tcBorders>
            <w:noWrap w:val="0"/>
            <w:vAlign w:val="top"/>
          </w:tcPr>
          <w:p w14:paraId="5845974D">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560" w:type="dxa"/>
            <w:tcBorders>
              <w:top w:val="single" w:color="auto" w:sz="4" w:space="0"/>
              <w:left w:val="single" w:color="auto" w:sz="4" w:space="0"/>
              <w:bottom w:val="single" w:color="auto" w:sz="4" w:space="0"/>
              <w:right w:val="single" w:color="auto" w:sz="4" w:space="0"/>
            </w:tcBorders>
            <w:noWrap w:val="0"/>
            <w:vAlign w:val="top"/>
          </w:tcPr>
          <w:p w14:paraId="368F89A4">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预结算员</w:t>
            </w:r>
          </w:p>
        </w:tc>
        <w:tc>
          <w:tcPr>
            <w:tcW w:w="2868" w:type="dxa"/>
            <w:tcBorders>
              <w:top w:val="single" w:color="auto" w:sz="4" w:space="0"/>
              <w:left w:val="single" w:color="auto" w:sz="4" w:space="0"/>
              <w:bottom w:val="single" w:color="auto" w:sz="4" w:space="0"/>
              <w:right w:val="single" w:color="auto" w:sz="4" w:space="0"/>
            </w:tcBorders>
            <w:noWrap w:val="0"/>
            <w:vAlign w:val="top"/>
          </w:tcPr>
          <w:p w14:paraId="56C29EC7">
            <w:pPr>
              <w:spacing w:before="120" w:line="400" w:lineRule="exact"/>
              <w:ind w:left="0"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具有二级或以上造价师职业资格</w:t>
            </w:r>
          </w:p>
        </w:tc>
        <w:tc>
          <w:tcPr>
            <w:tcW w:w="1378" w:type="dxa"/>
            <w:tcBorders>
              <w:top w:val="single" w:color="auto" w:sz="4" w:space="0"/>
              <w:left w:val="single" w:color="auto" w:sz="4" w:space="0"/>
              <w:bottom w:val="single" w:color="auto" w:sz="4" w:space="0"/>
              <w:right w:val="single" w:color="auto" w:sz="4" w:space="0"/>
            </w:tcBorders>
            <w:noWrap w:val="0"/>
            <w:vAlign w:val="top"/>
          </w:tcPr>
          <w:p w14:paraId="762D316C">
            <w:pPr>
              <w:spacing w:before="120" w:line="400" w:lineRule="exact"/>
              <w:ind w:left="720" w:hanging="7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739" w:type="dxa"/>
            <w:tcBorders>
              <w:top w:val="single" w:color="auto" w:sz="4" w:space="0"/>
              <w:left w:val="single" w:color="auto" w:sz="4" w:space="0"/>
              <w:bottom w:val="single" w:color="auto" w:sz="4" w:space="0"/>
              <w:right w:val="single" w:color="auto" w:sz="4" w:space="0"/>
            </w:tcBorders>
            <w:noWrap w:val="0"/>
            <w:vAlign w:val="top"/>
          </w:tcPr>
          <w:p w14:paraId="5678EA62">
            <w:pPr>
              <w:spacing w:before="120" w:line="400" w:lineRule="exact"/>
              <w:ind w:left="720" w:hanging="720"/>
              <w:jc w:val="center"/>
              <w:rPr>
                <w:rFonts w:hint="eastAsia" w:ascii="宋体" w:hAnsi="宋体" w:eastAsia="宋体" w:cs="宋体"/>
                <w:color w:val="auto"/>
                <w:sz w:val="24"/>
                <w:szCs w:val="24"/>
                <w:highlight w:val="none"/>
              </w:rPr>
            </w:pPr>
          </w:p>
        </w:tc>
      </w:tr>
      <w:tr w14:paraId="792A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38" w:type="dxa"/>
            <w:tcBorders>
              <w:top w:val="single" w:color="auto" w:sz="4" w:space="0"/>
              <w:left w:val="single" w:color="auto" w:sz="4" w:space="0"/>
              <w:bottom w:val="single" w:color="auto" w:sz="4" w:space="0"/>
              <w:right w:val="single" w:color="auto" w:sz="4" w:space="0"/>
            </w:tcBorders>
            <w:noWrap w:val="0"/>
            <w:vAlign w:val="top"/>
          </w:tcPr>
          <w:p w14:paraId="08571424">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560" w:type="dxa"/>
            <w:tcBorders>
              <w:top w:val="single" w:color="auto" w:sz="4" w:space="0"/>
              <w:left w:val="single" w:color="auto" w:sz="4" w:space="0"/>
              <w:bottom w:val="single" w:color="auto" w:sz="4" w:space="0"/>
              <w:right w:val="single" w:color="auto" w:sz="4" w:space="0"/>
            </w:tcBorders>
            <w:noWrap w:val="0"/>
            <w:vAlign w:val="top"/>
          </w:tcPr>
          <w:p w14:paraId="29602473">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资料员</w:t>
            </w:r>
          </w:p>
        </w:tc>
        <w:tc>
          <w:tcPr>
            <w:tcW w:w="2868" w:type="dxa"/>
            <w:tcBorders>
              <w:top w:val="single" w:color="auto" w:sz="4" w:space="0"/>
              <w:left w:val="single" w:color="auto" w:sz="4" w:space="0"/>
              <w:bottom w:val="single" w:color="auto" w:sz="4" w:space="0"/>
              <w:right w:val="single" w:color="auto" w:sz="4" w:space="0"/>
            </w:tcBorders>
            <w:noWrap w:val="0"/>
            <w:vAlign w:val="top"/>
          </w:tcPr>
          <w:p w14:paraId="28614E94">
            <w:pPr>
              <w:spacing w:before="120" w:line="400" w:lineRule="exact"/>
              <w:ind w:left="720" w:hanging="720"/>
              <w:jc w:val="center"/>
              <w:rPr>
                <w:rFonts w:hint="eastAsia" w:ascii="宋体" w:hAnsi="宋体" w:eastAsia="宋体" w:cs="宋体"/>
                <w:color w:val="auto"/>
                <w:sz w:val="24"/>
                <w:szCs w:val="24"/>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top"/>
          </w:tcPr>
          <w:p w14:paraId="43EAB89E">
            <w:pPr>
              <w:spacing w:before="120" w:line="400" w:lineRule="exact"/>
              <w:ind w:left="720" w:hanging="72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2739" w:type="dxa"/>
            <w:tcBorders>
              <w:top w:val="single" w:color="auto" w:sz="4" w:space="0"/>
              <w:left w:val="single" w:color="auto" w:sz="4" w:space="0"/>
              <w:bottom w:val="single" w:color="auto" w:sz="4" w:space="0"/>
              <w:right w:val="single" w:color="auto" w:sz="4" w:space="0"/>
            </w:tcBorders>
            <w:noWrap w:val="0"/>
            <w:vAlign w:val="top"/>
          </w:tcPr>
          <w:p w14:paraId="42D69053">
            <w:pPr>
              <w:spacing w:before="120" w:line="400" w:lineRule="exact"/>
              <w:ind w:left="720" w:hanging="720"/>
              <w:jc w:val="center"/>
              <w:rPr>
                <w:rFonts w:hint="eastAsia" w:ascii="宋体" w:hAnsi="宋体" w:eastAsia="宋体" w:cs="宋体"/>
                <w:color w:val="auto"/>
                <w:sz w:val="24"/>
                <w:szCs w:val="24"/>
                <w:highlight w:val="none"/>
              </w:rPr>
            </w:pPr>
          </w:p>
        </w:tc>
      </w:tr>
      <w:tr w14:paraId="659A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top w:val="single" w:color="auto" w:sz="4" w:space="0"/>
              <w:left w:val="single" w:color="auto" w:sz="4" w:space="0"/>
              <w:bottom w:val="single" w:color="auto" w:sz="4" w:space="0"/>
              <w:right w:val="single" w:color="auto" w:sz="4" w:space="0"/>
            </w:tcBorders>
            <w:noWrap w:val="0"/>
            <w:vAlign w:val="top"/>
          </w:tcPr>
          <w:p w14:paraId="44BEB1E1">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560" w:type="dxa"/>
            <w:tcBorders>
              <w:top w:val="single" w:color="auto" w:sz="4" w:space="0"/>
              <w:left w:val="single" w:color="auto" w:sz="4" w:space="0"/>
              <w:bottom w:val="single" w:color="auto" w:sz="4" w:space="0"/>
              <w:right w:val="single" w:color="auto" w:sz="4" w:space="0"/>
            </w:tcBorders>
            <w:noWrap w:val="0"/>
            <w:vAlign w:val="top"/>
          </w:tcPr>
          <w:p w14:paraId="33938CA7">
            <w:pPr>
              <w:spacing w:before="120" w:line="400" w:lineRule="exact"/>
              <w:ind w:left="720" w:hanging="7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施工员</w:t>
            </w:r>
          </w:p>
        </w:tc>
        <w:tc>
          <w:tcPr>
            <w:tcW w:w="2868" w:type="dxa"/>
            <w:tcBorders>
              <w:top w:val="single" w:color="auto" w:sz="4" w:space="0"/>
              <w:left w:val="single" w:color="auto" w:sz="4" w:space="0"/>
              <w:bottom w:val="single" w:color="auto" w:sz="4" w:space="0"/>
              <w:right w:val="single" w:color="auto" w:sz="4" w:space="0"/>
            </w:tcBorders>
            <w:noWrap w:val="0"/>
            <w:vAlign w:val="top"/>
          </w:tcPr>
          <w:p w14:paraId="2AF4A54F">
            <w:pPr>
              <w:spacing w:before="120" w:line="400" w:lineRule="exact"/>
              <w:ind w:left="720" w:hanging="720"/>
              <w:jc w:val="center"/>
              <w:rPr>
                <w:rFonts w:hint="eastAsia" w:ascii="宋体" w:hAnsi="宋体" w:eastAsia="宋体" w:cs="宋体"/>
                <w:color w:val="auto"/>
                <w:sz w:val="24"/>
                <w:szCs w:val="24"/>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top"/>
          </w:tcPr>
          <w:p w14:paraId="358D59F8">
            <w:pPr>
              <w:spacing w:before="120" w:line="400" w:lineRule="exact"/>
              <w:ind w:left="720" w:hanging="72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p>
        </w:tc>
        <w:tc>
          <w:tcPr>
            <w:tcW w:w="2739" w:type="dxa"/>
            <w:tcBorders>
              <w:top w:val="single" w:color="auto" w:sz="4" w:space="0"/>
              <w:left w:val="single" w:color="auto" w:sz="4" w:space="0"/>
              <w:bottom w:val="single" w:color="auto" w:sz="4" w:space="0"/>
              <w:right w:val="single" w:color="auto" w:sz="4" w:space="0"/>
            </w:tcBorders>
            <w:noWrap w:val="0"/>
            <w:vAlign w:val="top"/>
          </w:tcPr>
          <w:p w14:paraId="2FE7FDF7">
            <w:pPr>
              <w:spacing w:before="120" w:line="400" w:lineRule="exact"/>
              <w:ind w:left="720" w:hanging="720"/>
              <w:jc w:val="center"/>
              <w:rPr>
                <w:rFonts w:hint="eastAsia" w:ascii="宋体" w:hAnsi="宋体" w:eastAsia="宋体" w:cs="宋体"/>
                <w:color w:val="auto"/>
                <w:sz w:val="24"/>
                <w:szCs w:val="24"/>
                <w:highlight w:val="none"/>
              </w:rPr>
            </w:pPr>
          </w:p>
        </w:tc>
      </w:tr>
      <w:tr w14:paraId="6056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3" w:type="dxa"/>
            <w:gridSpan w:val="5"/>
            <w:tcBorders>
              <w:top w:val="single" w:color="auto" w:sz="4" w:space="0"/>
              <w:left w:val="single" w:color="auto" w:sz="4" w:space="0"/>
              <w:bottom w:val="single" w:color="auto" w:sz="4" w:space="0"/>
              <w:right w:val="single" w:color="auto" w:sz="4" w:space="0"/>
            </w:tcBorders>
            <w:noWrap w:val="0"/>
            <w:vAlign w:val="top"/>
          </w:tcPr>
          <w:p w14:paraId="19CBAF84">
            <w:pPr>
              <w:spacing w:before="0" w:line="400" w:lineRule="exact"/>
              <w:ind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（1）每个项目现场实施人员按4个施工点（一个吊装口为一个施工点）同步施工考虑，每个施工点由1名施工员作为现场统筹，</w:t>
            </w:r>
            <w:r>
              <w:rPr>
                <w:rFonts w:hint="default" w:ascii="宋体" w:hAnsi="宋体" w:eastAsia="宋体" w:cs="宋体"/>
                <w:color w:val="auto"/>
                <w:sz w:val="21"/>
                <w:szCs w:val="21"/>
                <w:highlight w:val="none"/>
                <w:lang w:val="en-US" w:eastAsia="zh-CN"/>
              </w:rPr>
              <w:t>7 名工人分别责现场的管材吊装、管廊内管材运输、支墩安装、管道安装等工作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如涉及多个作业点同时作业的，需按照每个施工点1名施工员作为现场统筹，</w:t>
            </w: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名工人分别负责现场的的标准配备施工人员。</w:t>
            </w:r>
          </w:p>
          <w:p w14:paraId="13C50D0E">
            <w:pPr>
              <w:spacing w:before="0" w:line="400" w:lineRule="exact"/>
              <w:ind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项目负责人、技术负责人、专职安全员在现场进行巡查，落实按图施工，做好现场质量、安全管理工作。如涉及多个作业点同时作业的，应配置足够的具备资质的安全员，每名安全员最多只能监管2个作业点。</w:t>
            </w:r>
          </w:p>
          <w:p w14:paraId="1917339B">
            <w:pPr>
              <w:spacing w:before="120" w:line="400" w:lineRule="exact"/>
              <w:ind w:left="0"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资料员</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及时汇总当天情况、填报进度资料、按要求绘制完工图纸资料，在项目投产一个月内提交完整竣工图纸。预结算及时依据资料开展项目的结算工作</w:t>
            </w:r>
            <w:r>
              <w:rPr>
                <w:rFonts w:hint="eastAsia" w:ascii="宋体" w:hAnsi="宋体" w:eastAsia="宋体" w:cs="宋体"/>
                <w:color w:val="auto"/>
                <w:sz w:val="21"/>
                <w:szCs w:val="21"/>
                <w:highlight w:val="none"/>
                <w:lang w:eastAsia="zh-CN"/>
              </w:rPr>
              <w:t>。</w:t>
            </w:r>
          </w:p>
          <w:p w14:paraId="1B8B7A17">
            <w:pPr>
              <w:spacing w:before="120" w:line="400" w:lineRule="exact"/>
              <w:ind w:left="0"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lang w:val="en-US" w:eastAsia="zh-CN"/>
              </w:rPr>
              <w:t>（4）本项目需至少配备1名具有二级注册造价师或以上资格的预结算员，依据资料及时开展项目的结算工作。</w:t>
            </w:r>
          </w:p>
        </w:tc>
      </w:tr>
    </w:tbl>
    <w:p w14:paraId="17D9F9D6">
      <w:pPr>
        <w:spacing w:before="120" w:line="400" w:lineRule="exact"/>
        <w:ind w:right="42" w:rightChars="20" w:firstLine="480" w:firstLineChars="200"/>
        <w:rPr>
          <w:color w:val="auto"/>
          <w:sz w:val="24"/>
          <w:szCs w:val="24"/>
          <w:highlight w:val="none"/>
        </w:rPr>
      </w:pPr>
      <w:r>
        <w:rPr>
          <w:color w:val="auto"/>
          <w:sz w:val="24"/>
          <w:highlight w:val="none"/>
        </w:rPr>
        <w:t>我公司承诺，若我公司中标，将在合同签订前按照工程需要配备管理和施工技术人员并向业主递交《项目管理架构组成表》，其内容是准确、真实的，且不低于上表所列最低要求，同时提供所投入人员资格证书</w:t>
      </w:r>
      <w:r>
        <w:rPr>
          <w:rFonts w:hint="eastAsia"/>
          <w:color w:val="auto"/>
          <w:sz w:val="24"/>
          <w:highlight w:val="none"/>
          <w:lang w:eastAsia="zh-CN"/>
        </w:rPr>
        <w:t>（</w:t>
      </w:r>
      <w:r>
        <w:rPr>
          <w:rFonts w:hint="eastAsia"/>
          <w:color w:val="auto"/>
          <w:sz w:val="24"/>
          <w:highlight w:val="none"/>
          <w:lang w:val="en-US" w:eastAsia="zh-CN"/>
        </w:rPr>
        <w:t>如有</w:t>
      </w:r>
      <w:r>
        <w:rPr>
          <w:rFonts w:hint="eastAsia"/>
          <w:color w:val="auto"/>
          <w:sz w:val="24"/>
          <w:highlight w:val="none"/>
          <w:lang w:eastAsia="zh-CN"/>
        </w:rPr>
        <w:t>）</w:t>
      </w:r>
      <w:r>
        <w:rPr>
          <w:color w:val="auto"/>
          <w:sz w:val="24"/>
          <w:highlight w:val="none"/>
        </w:rPr>
        <w:t>予业主核实。</w:t>
      </w:r>
    </w:p>
    <w:p w14:paraId="70D5A1B8">
      <w:pPr>
        <w:spacing w:before="120" w:line="400" w:lineRule="exact"/>
        <w:ind w:right="42" w:rightChars="20" w:firstLine="480" w:firstLineChars="200"/>
        <w:rPr>
          <w:color w:val="auto"/>
          <w:sz w:val="24"/>
          <w:highlight w:val="none"/>
        </w:rPr>
      </w:pPr>
      <w:r>
        <w:rPr>
          <w:color w:val="auto"/>
          <w:sz w:val="24"/>
          <w:highlight w:val="none"/>
        </w:rPr>
        <w:t>如我公司违反上述承诺，我公司自愿放弃本项目中标资格。</w:t>
      </w:r>
    </w:p>
    <w:p w14:paraId="4C832AA7">
      <w:pPr>
        <w:spacing w:before="120" w:line="400" w:lineRule="exact"/>
        <w:ind w:right="42" w:rightChars="20" w:firstLine="480" w:firstLineChars="200"/>
        <w:rPr>
          <w:color w:val="auto"/>
          <w:sz w:val="24"/>
          <w:highlight w:val="none"/>
        </w:rPr>
      </w:pPr>
      <w:r>
        <w:rPr>
          <w:color w:val="auto"/>
          <w:sz w:val="24"/>
          <w:highlight w:val="none"/>
        </w:rPr>
        <w:t>若因人员不足或人员素质不能满足工程实际需要时，我方将无条件按照业主和监理工程师的要求更换或增加相关人员。</w:t>
      </w:r>
    </w:p>
    <w:p w14:paraId="1924F710">
      <w:pPr>
        <w:spacing w:before="120" w:line="400" w:lineRule="exact"/>
        <w:ind w:left="720" w:hanging="720"/>
        <w:jc w:val="right"/>
        <w:rPr>
          <w:color w:val="auto"/>
          <w:sz w:val="24"/>
          <w:highlight w:val="none"/>
        </w:rPr>
      </w:pPr>
    </w:p>
    <w:p w14:paraId="658ADBE2">
      <w:pPr>
        <w:spacing w:before="120" w:line="400" w:lineRule="exact"/>
        <w:ind w:left="720" w:hanging="720"/>
        <w:jc w:val="right"/>
        <w:rPr>
          <w:color w:val="auto"/>
          <w:sz w:val="24"/>
          <w:highlight w:val="none"/>
        </w:rPr>
      </w:pPr>
    </w:p>
    <w:p w14:paraId="769B22AB">
      <w:pPr>
        <w:wordWrap w:val="0"/>
        <w:spacing w:before="120" w:line="400" w:lineRule="exact"/>
        <w:ind w:left="720" w:hanging="720"/>
        <w:jc w:val="right"/>
        <w:rPr>
          <w:color w:val="auto"/>
          <w:sz w:val="24"/>
          <w:highlight w:val="none"/>
        </w:rPr>
      </w:pPr>
      <w:r>
        <w:rPr>
          <w:color w:val="auto"/>
          <w:sz w:val="24"/>
          <w:highlight w:val="none"/>
        </w:rPr>
        <w:t>法定代表人或其委托代理人：（</w:t>
      </w:r>
      <w:r>
        <w:rPr>
          <w:rFonts w:hint="eastAsia"/>
          <w:color w:val="auto"/>
          <w:sz w:val="24"/>
          <w:highlight w:val="none"/>
        </w:rPr>
        <w:t>签</w:t>
      </w:r>
      <w:r>
        <w:rPr>
          <w:rFonts w:hint="eastAsia"/>
          <w:color w:val="auto"/>
          <w:sz w:val="24"/>
          <w:highlight w:val="none"/>
          <w:lang w:eastAsia="zh-CN"/>
        </w:rPr>
        <w:t>名或盖章</w:t>
      </w: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p>
    <w:p w14:paraId="03D99A30">
      <w:pPr>
        <w:spacing w:line="400" w:lineRule="exact"/>
        <w:rPr>
          <w:rFonts w:eastAsia="黑体"/>
          <w:color w:val="auto"/>
          <w:sz w:val="19"/>
          <w:szCs w:val="19"/>
          <w:highlight w:val="none"/>
        </w:rPr>
      </w:pPr>
      <w:r>
        <w:rPr>
          <w:color w:val="auto"/>
          <w:sz w:val="24"/>
          <w:highlight w:val="none"/>
        </w:rPr>
        <w:t xml:space="preserve">                           单位名称：（盖</w:t>
      </w:r>
      <w:r>
        <w:rPr>
          <w:rFonts w:hint="eastAsia"/>
          <w:color w:val="auto"/>
          <w:sz w:val="24"/>
          <w:highlight w:val="none"/>
        </w:rPr>
        <w:t>单位</w:t>
      </w:r>
      <w:r>
        <w:rPr>
          <w:color w:val="auto"/>
          <w:sz w:val="24"/>
          <w:highlight w:val="none"/>
        </w:rPr>
        <w:t xml:space="preserve">章）  </w:t>
      </w:r>
    </w:p>
    <w:p w14:paraId="6B493D25">
      <w:pPr>
        <w:topLinePunct/>
        <w:spacing w:line="400" w:lineRule="exact"/>
        <w:jc w:val="center"/>
        <w:rPr>
          <w:color w:val="auto"/>
          <w:sz w:val="20"/>
          <w:szCs w:val="20"/>
          <w:highlight w:val="none"/>
        </w:rPr>
      </w:pPr>
      <w:r>
        <w:rPr>
          <w:rFonts w:ascii="宋体" w:hAnsi="宋体"/>
          <w:b/>
          <w:color w:val="auto"/>
          <w:sz w:val="24"/>
          <w:szCs w:val="31"/>
          <w:highlight w:val="none"/>
        </w:rPr>
        <w:br w:type="page"/>
      </w:r>
    </w:p>
    <w:bookmarkEnd w:id="1134"/>
    <w:bookmarkEnd w:id="1135"/>
    <w:bookmarkEnd w:id="1136"/>
    <w:bookmarkEnd w:id="1137"/>
    <w:p w14:paraId="04DEE10A">
      <w:pPr>
        <w:topLinePunct/>
        <w:spacing w:line="400" w:lineRule="exact"/>
        <w:jc w:val="center"/>
        <w:outlineLvl w:val="9"/>
        <w:rPr>
          <w:rFonts w:ascii="黑体" w:hAnsi="黑体" w:eastAsia="黑体"/>
          <w:color w:val="auto"/>
          <w:sz w:val="28"/>
          <w:szCs w:val="27"/>
          <w:highlight w:val="none"/>
        </w:rPr>
      </w:pPr>
      <w:bookmarkStart w:id="1138" w:name="_Toc222031071"/>
      <w:bookmarkStart w:id="1139" w:name="_Toc17451139"/>
      <w:bookmarkStart w:id="1140" w:name="_Toc17454909"/>
      <w:bookmarkStart w:id="1141" w:name="_Toc17454960"/>
      <w:bookmarkStart w:id="1142" w:name="_Toc17451661"/>
      <w:bookmarkStart w:id="1143" w:name="_Toc221952153"/>
      <w:bookmarkStart w:id="1144" w:name="_Toc229305429"/>
      <w:bookmarkStart w:id="1145" w:name="_Toc222032738"/>
      <w:bookmarkStart w:id="1146" w:name="_Toc221948389"/>
      <w:bookmarkStart w:id="1147" w:name="_Toc17451616"/>
      <w:bookmarkStart w:id="1148" w:name="_Toc17452702"/>
      <w:bookmarkStart w:id="1149" w:name="_Toc222033920"/>
      <w:bookmarkStart w:id="1150" w:name="_Toc8693"/>
      <w:bookmarkStart w:id="1151" w:name="_Toc17556914"/>
      <w:bookmarkStart w:id="1152" w:name="_Toc222029569"/>
      <w:bookmarkStart w:id="1153" w:name="_Toc259524423"/>
      <w:r>
        <w:rPr>
          <w:rFonts w:hint="eastAsia" w:ascii="黑体" w:hAnsi="黑体" w:eastAsia="黑体"/>
          <w:color w:val="auto"/>
          <w:sz w:val="28"/>
          <w:szCs w:val="27"/>
          <w:highlight w:val="none"/>
        </w:rPr>
        <w:t>九、资格审查资料</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8F0C956">
      <w:pPr>
        <w:spacing w:line="400" w:lineRule="exact"/>
        <w:jc w:val="left"/>
        <w:outlineLvl w:val="3"/>
        <w:rPr>
          <w:rFonts w:ascii="宋体" w:hAnsi="宋体"/>
          <w:b/>
          <w:color w:val="auto"/>
          <w:sz w:val="24"/>
          <w:szCs w:val="31"/>
          <w:highlight w:val="none"/>
        </w:rPr>
      </w:pPr>
      <w:bookmarkStart w:id="1154" w:name="_Toc152047266"/>
      <w:bookmarkStart w:id="1155" w:name="_Toc221952154"/>
      <w:bookmarkStart w:id="1156" w:name="_Toc179715759"/>
      <w:bookmarkStart w:id="1157" w:name="_Toc259524424"/>
      <w:r>
        <w:rPr>
          <w:rFonts w:hint="eastAsia" w:ascii="宋体" w:hAnsi="宋体"/>
          <w:b/>
          <w:color w:val="auto"/>
          <w:sz w:val="24"/>
          <w:szCs w:val="31"/>
          <w:highlight w:val="none"/>
        </w:rPr>
        <w:t>（一）投标人基本情况表</w:t>
      </w:r>
      <w:bookmarkEnd w:id="1154"/>
      <w:bookmarkEnd w:id="1155"/>
      <w:bookmarkEnd w:id="1156"/>
      <w:bookmarkEnd w:id="1157"/>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894"/>
        <w:gridCol w:w="947"/>
        <w:gridCol w:w="836"/>
        <w:gridCol w:w="418"/>
        <w:gridCol w:w="138"/>
        <w:gridCol w:w="1245"/>
        <w:gridCol w:w="182"/>
        <w:gridCol w:w="1163"/>
        <w:gridCol w:w="988"/>
      </w:tblGrid>
      <w:tr w14:paraId="56D719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E8AFD46">
            <w:pPr>
              <w:topLinePunct/>
              <w:spacing w:line="400" w:lineRule="exact"/>
              <w:jc w:val="center"/>
              <w:rPr>
                <w:rFonts w:ascii="宋体" w:hAnsi="宋体"/>
                <w:color w:val="auto"/>
                <w:szCs w:val="20"/>
                <w:highlight w:val="none"/>
              </w:rPr>
            </w:pPr>
            <w:bookmarkStart w:id="1158" w:name="_Toc221952155"/>
            <w:r>
              <w:rPr>
                <w:rFonts w:hint="eastAsia" w:ascii="宋体" w:hAnsi="宋体"/>
                <w:color w:val="auto"/>
                <w:szCs w:val="20"/>
                <w:highlight w:val="none"/>
              </w:rPr>
              <w:t>投标人</w:t>
            </w:r>
            <w:r>
              <w:rPr>
                <w:rFonts w:ascii="宋体" w:hAnsi="宋体"/>
                <w:color w:val="auto"/>
                <w:szCs w:val="20"/>
                <w:highlight w:val="none"/>
              </w:rPr>
              <w:t>名称</w:t>
            </w:r>
            <w:bookmarkEnd w:id="1158"/>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14:paraId="30398586">
            <w:pPr>
              <w:topLinePunct/>
              <w:spacing w:line="400" w:lineRule="exact"/>
              <w:jc w:val="center"/>
              <w:rPr>
                <w:rFonts w:ascii="宋体" w:hAnsi="宋体"/>
                <w:color w:val="auto"/>
                <w:szCs w:val="20"/>
                <w:highlight w:val="none"/>
              </w:rPr>
            </w:pPr>
          </w:p>
        </w:tc>
      </w:tr>
      <w:tr w14:paraId="7A2BE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71C12E2">
            <w:pPr>
              <w:topLinePunct/>
              <w:spacing w:line="400" w:lineRule="exact"/>
              <w:jc w:val="center"/>
              <w:rPr>
                <w:rFonts w:ascii="宋体" w:hAnsi="宋体"/>
                <w:color w:val="auto"/>
                <w:szCs w:val="20"/>
                <w:highlight w:val="none"/>
              </w:rPr>
            </w:pPr>
            <w:bookmarkStart w:id="1159" w:name="_Toc221952156"/>
            <w:r>
              <w:rPr>
                <w:rFonts w:ascii="宋体" w:hAnsi="宋体"/>
                <w:color w:val="auto"/>
                <w:szCs w:val="20"/>
                <w:highlight w:val="none"/>
              </w:rPr>
              <w:t>注册地址</w:t>
            </w:r>
            <w:bookmarkEnd w:id="1159"/>
          </w:p>
        </w:tc>
        <w:tc>
          <w:tcPr>
            <w:tcW w:w="3233" w:type="dxa"/>
            <w:gridSpan w:val="5"/>
            <w:tcBorders>
              <w:top w:val="single" w:color="auto" w:sz="4" w:space="0"/>
              <w:left w:val="single" w:color="auto" w:sz="4" w:space="0"/>
              <w:bottom w:val="single" w:color="auto" w:sz="4" w:space="0"/>
              <w:right w:val="single" w:color="auto" w:sz="4" w:space="0"/>
            </w:tcBorders>
            <w:noWrap w:val="0"/>
            <w:vAlign w:val="center"/>
          </w:tcPr>
          <w:p w14:paraId="568F7EA3">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60DC860D">
            <w:pPr>
              <w:topLinePunct/>
              <w:spacing w:line="400" w:lineRule="exact"/>
              <w:jc w:val="center"/>
              <w:rPr>
                <w:rFonts w:ascii="宋体" w:hAnsi="宋体"/>
                <w:color w:val="auto"/>
                <w:szCs w:val="20"/>
                <w:highlight w:val="none"/>
              </w:rPr>
            </w:pPr>
            <w:bookmarkStart w:id="1160" w:name="_Toc221952157"/>
            <w:r>
              <w:rPr>
                <w:rFonts w:ascii="宋体" w:hAnsi="宋体"/>
                <w:color w:val="auto"/>
                <w:szCs w:val="20"/>
                <w:highlight w:val="none"/>
              </w:rPr>
              <w:t>邮政编码</w:t>
            </w:r>
            <w:bookmarkEnd w:id="1160"/>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6D5A48DD">
            <w:pPr>
              <w:topLinePunct/>
              <w:spacing w:line="400" w:lineRule="exact"/>
              <w:jc w:val="center"/>
              <w:rPr>
                <w:rFonts w:ascii="宋体" w:hAnsi="宋体"/>
                <w:color w:val="auto"/>
                <w:szCs w:val="20"/>
                <w:highlight w:val="none"/>
              </w:rPr>
            </w:pPr>
          </w:p>
        </w:tc>
      </w:tr>
      <w:tr w14:paraId="08E7E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17" w:type="dxa"/>
            <w:vMerge w:val="restart"/>
            <w:tcBorders>
              <w:top w:val="single" w:color="auto" w:sz="4" w:space="0"/>
              <w:left w:val="single" w:color="auto" w:sz="4" w:space="0"/>
              <w:bottom w:val="single" w:color="auto" w:sz="4" w:space="0"/>
              <w:right w:val="single" w:color="auto" w:sz="4" w:space="0"/>
            </w:tcBorders>
            <w:noWrap w:val="0"/>
            <w:vAlign w:val="center"/>
          </w:tcPr>
          <w:p w14:paraId="0FD305DB">
            <w:pPr>
              <w:topLinePunct/>
              <w:spacing w:line="400" w:lineRule="exact"/>
              <w:jc w:val="center"/>
              <w:rPr>
                <w:rFonts w:ascii="宋体" w:hAnsi="宋体"/>
                <w:color w:val="auto"/>
                <w:szCs w:val="20"/>
                <w:highlight w:val="none"/>
              </w:rPr>
            </w:pPr>
            <w:bookmarkStart w:id="1161" w:name="_Toc221952158"/>
            <w:r>
              <w:rPr>
                <w:rFonts w:ascii="宋体" w:hAnsi="宋体"/>
                <w:color w:val="auto"/>
                <w:szCs w:val="20"/>
                <w:highlight w:val="none"/>
              </w:rPr>
              <w:t>联系方式</w:t>
            </w:r>
            <w:bookmarkEnd w:id="1161"/>
          </w:p>
        </w:tc>
        <w:tc>
          <w:tcPr>
            <w:tcW w:w="894" w:type="dxa"/>
            <w:tcBorders>
              <w:top w:val="single" w:color="auto" w:sz="4" w:space="0"/>
              <w:left w:val="single" w:color="auto" w:sz="4" w:space="0"/>
              <w:bottom w:val="single" w:color="auto" w:sz="4" w:space="0"/>
              <w:right w:val="single" w:color="auto" w:sz="4" w:space="0"/>
            </w:tcBorders>
            <w:noWrap w:val="0"/>
            <w:vAlign w:val="center"/>
          </w:tcPr>
          <w:p w14:paraId="74832162">
            <w:pPr>
              <w:topLinePunct/>
              <w:spacing w:line="400" w:lineRule="exact"/>
              <w:jc w:val="center"/>
              <w:rPr>
                <w:rFonts w:ascii="宋体" w:hAnsi="宋体"/>
                <w:color w:val="auto"/>
                <w:szCs w:val="20"/>
                <w:highlight w:val="none"/>
              </w:rPr>
            </w:pPr>
            <w:bookmarkStart w:id="1162" w:name="_Toc221952159"/>
            <w:r>
              <w:rPr>
                <w:rFonts w:ascii="宋体" w:hAnsi="宋体"/>
                <w:color w:val="auto"/>
                <w:szCs w:val="20"/>
                <w:highlight w:val="none"/>
              </w:rPr>
              <w:t>联系人</w:t>
            </w:r>
            <w:bookmarkEnd w:id="1162"/>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14:paraId="2E89094F">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49D69D0B">
            <w:pPr>
              <w:topLinePunct/>
              <w:spacing w:line="400" w:lineRule="exact"/>
              <w:jc w:val="center"/>
              <w:rPr>
                <w:rFonts w:ascii="宋体" w:hAnsi="宋体"/>
                <w:color w:val="auto"/>
                <w:szCs w:val="20"/>
                <w:highlight w:val="none"/>
              </w:rPr>
            </w:pPr>
            <w:bookmarkStart w:id="1163" w:name="_Toc221952160"/>
            <w:r>
              <w:rPr>
                <w:rFonts w:ascii="宋体" w:hAnsi="宋体"/>
                <w:color w:val="auto"/>
                <w:szCs w:val="20"/>
                <w:highlight w:val="none"/>
              </w:rPr>
              <w:t>电 话</w:t>
            </w:r>
            <w:bookmarkEnd w:id="1163"/>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3CA784D6">
            <w:pPr>
              <w:topLinePunct/>
              <w:spacing w:line="400" w:lineRule="exact"/>
              <w:jc w:val="center"/>
              <w:rPr>
                <w:rFonts w:ascii="宋体" w:hAnsi="宋体"/>
                <w:color w:val="auto"/>
                <w:szCs w:val="20"/>
                <w:highlight w:val="none"/>
              </w:rPr>
            </w:pPr>
          </w:p>
        </w:tc>
      </w:tr>
      <w:tr w14:paraId="0F688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17" w:type="dxa"/>
            <w:vMerge w:val="continue"/>
            <w:tcBorders>
              <w:top w:val="single" w:color="auto" w:sz="4" w:space="0"/>
              <w:left w:val="single" w:color="auto" w:sz="4" w:space="0"/>
              <w:bottom w:val="single" w:color="auto" w:sz="4" w:space="0"/>
              <w:right w:val="single" w:color="auto" w:sz="4" w:space="0"/>
            </w:tcBorders>
            <w:noWrap w:val="0"/>
            <w:vAlign w:val="center"/>
          </w:tcPr>
          <w:p w14:paraId="0F04B6D9">
            <w:pPr>
              <w:topLinePunct/>
              <w:spacing w:line="400" w:lineRule="exact"/>
              <w:jc w:val="center"/>
              <w:rPr>
                <w:rFonts w:ascii="宋体" w:hAnsi="宋体"/>
                <w:color w:val="auto"/>
                <w:szCs w:val="20"/>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2FAA2770">
            <w:pPr>
              <w:topLinePunct/>
              <w:spacing w:line="400" w:lineRule="exact"/>
              <w:jc w:val="center"/>
              <w:rPr>
                <w:rFonts w:ascii="宋体" w:hAnsi="宋体"/>
                <w:color w:val="auto"/>
                <w:szCs w:val="20"/>
                <w:highlight w:val="none"/>
              </w:rPr>
            </w:pPr>
            <w:bookmarkStart w:id="1164" w:name="_Toc221952161"/>
            <w:r>
              <w:rPr>
                <w:rFonts w:ascii="宋体" w:hAnsi="宋体"/>
                <w:color w:val="auto"/>
                <w:szCs w:val="20"/>
                <w:highlight w:val="none"/>
              </w:rPr>
              <w:t>传  真</w:t>
            </w:r>
            <w:bookmarkEnd w:id="1164"/>
          </w:p>
        </w:tc>
        <w:tc>
          <w:tcPr>
            <w:tcW w:w="2339" w:type="dxa"/>
            <w:gridSpan w:val="4"/>
            <w:tcBorders>
              <w:top w:val="single" w:color="auto" w:sz="4" w:space="0"/>
              <w:left w:val="single" w:color="auto" w:sz="4" w:space="0"/>
              <w:bottom w:val="single" w:color="auto" w:sz="4" w:space="0"/>
              <w:right w:val="single" w:color="auto" w:sz="4" w:space="0"/>
            </w:tcBorders>
            <w:noWrap w:val="0"/>
            <w:vAlign w:val="center"/>
          </w:tcPr>
          <w:p w14:paraId="6A894536">
            <w:pPr>
              <w:topLinePunct/>
              <w:spacing w:line="400" w:lineRule="exact"/>
              <w:jc w:val="center"/>
              <w:rPr>
                <w:rFonts w:ascii="宋体" w:hAnsi="宋体"/>
                <w:color w:val="auto"/>
                <w:szCs w:val="20"/>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4AC0CCA9">
            <w:pPr>
              <w:topLinePunct/>
              <w:spacing w:line="400" w:lineRule="exact"/>
              <w:jc w:val="center"/>
              <w:rPr>
                <w:rFonts w:ascii="宋体" w:hAnsi="宋体"/>
                <w:color w:val="auto"/>
                <w:szCs w:val="20"/>
                <w:highlight w:val="none"/>
              </w:rPr>
            </w:pPr>
            <w:bookmarkStart w:id="1165" w:name="_Toc221952162"/>
            <w:r>
              <w:rPr>
                <w:rFonts w:ascii="宋体" w:hAnsi="宋体"/>
                <w:color w:val="auto"/>
                <w:szCs w:val="20"/>
                <w:highlight w:val="none"/>
              </w:rPr>
              <w:t>网 址</w:t>
            </w:r>
            <w:bookmarkEnd w:id="1165"/>
          </w:p>
        </w:tc>
        <w:tc>
          <w:tcPr>
            <w:tcW w:w="2333" w:type="dxa"/>
            <w:gridSpan w:val="3"/>
            <w:tcBorders>
              <w:top w:val="single" w:color="auto" w:sz="4" w:space="0"/>
              <w:left w:val="single" w:color="auto" w:sz="4" w:space="0"/>
              <w:bottom w:val="single" w:color="auto" w:sz="4" w:space="0"/>
              <w:right w:val="single" w:color="auto" w:sz="4" w:space="0"/>
            </w:tcBorders>
            <w:noWrap w:val="0"/>
            <w:vAlign w:val="center"/>
          </w:tcPr>
          <w:p w14:paraId="3A7400A9">
            <w:pPr>
              <w:topLinePunct/>
              <w:spacing w:line="400" w:lineRule="exact"/>
              <w:jc w:val="center"/>
              <w:rPr>
                <w:rFonts w:ascii="宋体" w:hAnsi="宋体"/>
                <w:color w:val="auto"/>
                <w:szCs w:val="20"/>
                <w:highlight w:val="none"/>
              </w:rPr>
            </w:pPr>
          </w:p>
        </w:tc>
      </w:tr>
      <w:tr w14:paraId="7DFB0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22A8902C">
            <w:pPr>
              <w:topLinePunct/>
              <w:spacing w:line="400" w:lineRule="exact"/>
              <w:jc w:val="center"/>
              <w:rPr>
                <w:rFonts w:ascii="宋体" w:hAnsi="宋体"/>
                <w:color w:val="auto"/>
                <w:szCs w:val="20"/>
                <w:highlight w:val="none"/>
              </w:rPr>
            </w:pPr>
            <w:bookmarkStart w:id="1166" w:name="_Toc221952163"/>
            <w:r>
              <w:rPr>
                <w:rFonts w:ascii="宋体" w:hAnsi="宋体"/>
                <w:color w:val="auto"/>
                <w:szCs w:val="20"/>
                <w:highlight w:val="none"/>
              </w:rPr>
              <w:t>组织结构</w:t>
            </w:r>
            <w:bookmarkEnd w:id="1166"/>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14:paraId="31E42C0C">
            <w:pPr>
              <w:topLinePunct/>
              <w:spacing w:line="400" w:lineRule="exact"/>
              <w:jc w:val="center"/>
              <w:rPr>
                <w:rFonts w:ascii="宋体" w:hAnsi="宋体"/>
                <w:color w:val="auto"/>
                <w:szCs w:val="20"/>
                <w:highlight w:val="none"/>
              </w:rPr>
            </w:pPr>
          </w:p>
        </w:tc>
      </w:tr>
      <w:tr w14:paraId="25CFC5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32323841">
            <w:pPr>
              <w:topLinePunct/>
              <w:spacing w:line="400" w:lineRule="exact"/>
              <w:jc w:val="center"/>
              <w:rPr>
                <w:rFonts w:ascii="宋体" w:hAnsi="宋体"/>
                <w:color w:val="auto"/>
                <w:szCs w:val="20"/>
                <w:highlight w:val="none"/>
              </w:rPr>
            </w:pPr>
            <w:bookmarkStart w:id="1167" w:name="_Toc221952164"/>
            <w:r>
              <w:rPr>
                <w:rFonts w:ascii="宋体" w:hAnsi="宋体"/>
                <w:color w:val="auto"/>
                <w:szCs w:val="20"/>
                <w:highlight w:val="none"/>
              </w:rPr>
              <w:t>法定代表人</w:t>
            </w:r>
            <w:bookmarkEnd w:id="1167"/>
          </w:p>
        </w:tc>
        <w:tc>
          <w:tcPr>
            <w:tcW w:w="894" w:type="dxa"/>
            <w:tcBorders>
              <w:top w:val="single" w:color="auto" w:sz="4" w:space="0"/>
              <w:left w:val="single" w:color="auto" w:sz="4" w:space="0"/>
              <w:bottom w:val="single" w:color="auto" w:sz="4" w:space="0"/>
              <w:right w:val="single" w:color="auto" w:sz="4" w:space="0"/>
            </w:tcBorders>
            <w:noWrap w:val="0"/>
            <w:vAlign w:val="center"/>
          </w:tcPr>
          <w:p w14:paraId="6794286D">
            <w:pPr>
              <w:topLinePunct/>
              <w:spacing w:line="400" w:lineRule="exact"/>
              <w:jc w:val="center"/>
              <w:rPr>
                <w:rFonts w:ascii="宋体" w:hAnsi="宋体"/>
                <w:color w:val="auto"/>
                <w:szCs w:val="20"/>
                <w:highlight w:val="none"/>
              </w:rPr>
            </w:pPr>
            <w:bookmarkStart w:id="1168" w:name="_Toc221952165"/>
            <w:r>
              <w:rPr>
                <w:rFonts w:ascii="宋体" w:hAnsi="宋体"/>
                <w:color w:val="auto"/>
                <w:szCs w:val="20"/>
                <w:highlight w:val="none"/>
              </w:rPr>
              <w:t>姓名</w:t>
            </w:r>
            <w:bookmarkEnd w:id="1168"/>
          </w:p>
        </w:tc>
        <w:tc>
          <w:tcPr>
            <w:tcW w:w="947" w:type="dxa"/>
            <w:tcBorders>
              <w:top w:val="single" w:color="auto" w:sz="4" w:space="0"/>
              <w:left w:val="single" w:color="auto" w:sz="4" w:space="0"/>
              <w:bottom w:val="single" w:color="auto" w:sz="4" w:space="0"/>
              <w:right w:val="single" w:color="auto" w:sz="4" w:space="0"/>
            </w:tcBorders>
            <w:noWrap w:val="0"/>
            <w:vAlign w:val="center"/>
          </w:tcPr>
          <w:p w14:paraId="16EC78CD">
            <w:pPr>
              <w:topLinePunct/>
              <w:spacing w:line="400" w:lineRule="exact"/>
              <w:jc w:val="center"/>
              <w:rPr>
                <w:rFonts w:ascii="宋体" w:hAnsi="宋体"/>
                <w:color w:val="auto"/>
                <w:szCs w:val="20"/>
                <w:highlight w:val="none"/>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77CF17DF">
            <w:pPr>
              <w:topLinePunct/>
              <w:spacing w:line="400" w:lineRule="exact"/>
              <w:jc w:val="center"/>
              <w:rPr>
                <w:rFonts w:ascii="宋体" w:hAnsi="宋体"/>
                <w:color w:val="auto"/>
                <w:szCs w:val="20"/>
                <w:highlight w:val="none"/>
              </w:rPr>
            </w:pPr>
            <w:bookmarkStart w:id="1169" w:name="_Toc221952166"/>
            <w:r>
              <w:rPr>
                <w:rFonts w:ascii="宋体" w:hAnsi="宋体"/>
                <w:color w:val="auto"/>
                <w:szCs w:val="20"/>
                <w:highlight w:val="none"/>
              </w:rPr>
              <w:t>技术职称</w:t>
            </w:r>
            <w:bookmarkEnd w:id="1169"/>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14:paraId="1F54A676">
            <w:pPr>
              <w:topLinePunct/>
              <w:spacing w:line="400" w:lineRule="exact"/>
              <w:jc w:val="center"/>
              <w:rPr>
                <w:rFonts w:ascii="宋体" w:hAnsi="宋体"/>
                <w:color w:val="auto"/>
                <w:szCs w:val="20"/>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37D4A76D">
            <w:pPr>
              <w:topLinePunct/>
              <w:spacing w:line="400" w:lineRule="exact"/>
              <w:jc w:val="center"/>
              <w:rPr>
                <w:rFonts w:ascii="宋体" w:hAnsi="宋体"/>
                <w:color w:val="auto"/>
                <w:szCs w:val="20"/>
                <w:highlight w:val="none"/>
              </w:rPr>
            </w:pPr>
            <w:bookmarkStart w:id="1170" w:name="_Toc221952167"/>
            <w:r>
              <w:rPr>
                <w:rFonts w:ascii="宋体" w:hAnsi="宋体"/>
                <w:color w:val="auto"/>
                <w:szCs w:val="20"/>
                <w:highlight w:val="none"/>
              </w:rPr>
              <w:t>电话</w:t>
            </w:r>
            <w:bookmarkEnd w:id="1170"/>
          </w:p>
        </w:tc>
        <w:tc>
          <w:tcPr>
            <w:tcW w:w="988" w:type="dxa"/>
            <w:tcBorders>
              <w:top w:val="single" w:color="auto" w:sz="4" w:space="0"/>
              <w:left w:val="single" w:color="auto" w:sz="4" w:space="0"/>
              <w:bottom w:val="single" w:color="auto" w:sz="4" w:space="0"/>
              <w:right w:val="single" w:color="auto" w:sz="4" w:space="0"/>
            </w:tcBorders>
            <w:noWrap w:val="0"/>
            <w:vAlign w:val="center"/>
          </w:tcPr>
          <w:p w14:paraId="3D65D038">
            <w:pPr>
              <w:topLinePunct/>
              <w:spacing w:line="400" w:lineRule="exact"/>
              <w:jc w:val="center"/>
              <w:rPr>
                <w:rFonts w:ascii="宋体" w:hAnsi="宋体"/>
                <w:color w:val="auto"/>
                <w:szCs w:val="20"/>
                <w:highlight w:val="none"/>
              </w:rPr>
            </w:pPr>
          </w:p>
        </w:tc>
      </w:tr>
      <w:tr w14:paraId="5690B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BD14541">
            <w:pPr>
              <w:topLinePunct/>
              <w:spacing w:line="400" w:lineRule="exact"/>
              <w:jc w:val="center"/>
              <w:rPr>
                <w:rFonts w:ascii="宋体" w:hAnsi="宋体"/>
                <w:color w:val="auto"/>
                <w:szCs w:val="20"/>
                <w:highlight w:val="none"/>
              </w:rPr>
            </w:pPr>
            <w:bookmarkStart w:id="1171" w:name="_Toc221952168"/>
            <w:r>
              <w:rPr>
                <w:rFonts w:ascii="宋体" w:hAnsi="宋体"/>
                <w:color w:val="auto"/>
                <w:szCs w:val="20"/>
                <w:highlight w:val="none"/>
              </w:rPr>
              <w:t>技术负责人</w:t>
            </w:r>
            <w:bookmarkEnd w:id="1171"/>
          </w:p>
        </w:tc>
        <w:tc>
          <w:tcPr>
            <w:tcW w:w="894" w:type="dxa"/>
            <w:tcBorders>
              <w:top w:val="single" w:color="auto" w:sz="4" w:space="0"/>
              <w:left w:val="single" w:color="auto" w:sz="4" w:space="0"/>
              <w:bottom w:val="single" w:color="auto" w:sz="4" w:space="0"/>
              <w:right w:val="single" w:color="auto" w:sz="4" w:space="0"/>
            </w:tcBorders>
            <w:noWrap w:val="0"/>
            <w:vAlign w:val="center"/>
          </w:tcPr>
          <w:p w14:paraId="100A9C8A">
            <w:pPr>
              <w:topLinePunct/>
              <w:spacing w:line="400" w:lineRule="exact"/>
              <w:jc w:val="center"/>
              <w:rPr>
                <w:rFonts w:ascii="宋体" w:hAnsi="宋体"/>
                <w:color w:val="auto"/>
                <w:szCs w:val="20"/>
                <w:highlight w:val="none"/>
              </w:rPr>
            </w:pPr>
            <w:bookmarkStart w:id="1172" w:name="_Toc221952169"/>
            <w:r>
              <w:rPr>
                <w:rFonts w:ascii="宋体" w:hAnsi="宋体"/>
                <w:color w:val="auto"/>
                <w:szCs w:val="20"/>
                <w:highlight w:val="none"/>
              </w:rPr>
              <w:t>姓名</w:t>
            </w:r>
            <w:bookmarkEnd w:id="1172"/>
          </w:p>
        </w:tc>
        <w:tc>
          <w:tcPr>
            <w:tcW w:w="947" w:type="dxa"/>
            <w:tcBorders>
              <w:top w:val="single" w:color="auto" w:sz="4" w:space="0"/>
              <w:left w:val="single" w:color="auto" w:sz="4" w:space="0"/>
              <w:bottom w:val="single" w:color="auto" w:sz="4" w:space="0"/>
              <w:right w:val="single" w:color="auto" w:sz="4" w:space="0"/>
            </w:tcBorders>
            <w:noWrap w:val="0"/>
            <w:vAlign w:val="center"/>
          </w:tcPr>
          <w:p w14:paraId="60B774C8">
            <w:pPr>
              <w:topLinePunct/>
              <w:spacing w:line="400" w:lineRule="exact"/>
              <w:jc w:val="center"/>
              <w:rPr>
                <w:rFonts w:ascii="宋体" w:hAnsi="宋体"/>
                <w:color w:val="auto"/>
                <w:szCs w:val="20"/>
                <w:highlight w:val="none"/>
              </w:rPr>
            </w:pP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7469C258">
            <w:pPr>
              <w:topLinePunct/>
              <w:spacing w:line="400" w:lineRule="exact"/>
              <w:jc w:val="center"/>
              <w:rPr>
                <w:rFonts w:ascii="宋体" w:hAnsi="宋体"/>
                <w:color w:val="auto"/>
                <w:szCs w:val="20"/>
                <w:highlight w:val="none"/>
              </w:rPr>
            </w:pPr>
            <w:bookmarkStart w:id="1173" w:name="_Toc221952170"/>
            <w:r>
              <w:rPr>
                <w:rFonts w:ascii="宋体" w:hAnsi="宋体"/>
                <w:color w:val="auto"/>
                <w:szCs w:val="20"/>
                <w:highlight w:val="none"/>
              </w:rPr>
              <w:t>技术职称</w:t>
            </w:r>
            <w:bookmarkEnd w:id="1173"/>
          </w:p>
        </w:tc>
        <w:tc>
          <w:tcPr>
            <w:tcW w:w="1565" w:type="dxa"/>
            <w:gridSpan w:val="3"/>
            <w:tcBorders>
              <w:top w:val="single" w:color="auto" w:sz="4" w:space="0"/>
              <w:left w:val="single" w:color="auto" w:sz="4" w:space="0"/>
              <w:bottom w:val="single" w:color="auto" w:sz="4" w:space="0"/>
              <w:right w:val="single" w:color="auto" w:sz="4" w:space="0"/>
            </w:tcBorders>
            <w:noWrap w:val="0"/>
            <w:vAlign w:val="center"/>
          </w:tcPr>
          <w:p w14:paraId="56532038">
            <w:pPr>
              <w:topLinePunct/>
              <w:spacing w:line="400" w:lineRule="exact"/>
              <w:jc w:val="center"/>
              <w:rPr>
                <w:rFonts w:ascii="宋体" w:hAnsi="宋体"/>
                <w:color w:val="auto"/>
                <w:szCs w:val="20"/>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7EB01F08">
            <w:pPr>
              <w:topLinePunct/>
              <w:spacing w:line="400" w:lineRule="exact"/>
              <w:jc w:val="center"/>
              <w:rPr>
                <w:rFonts w:ascii="宋体" w:hAnsi="宋体"/>
                <w:color w:val="auto"/>
                <w:szCs w:val="20"/>
                <w:highlight w:val="none"/>
              </w:rPr>
            </w:pPr>
            <w:bookmarkStart w:id="1174" w:name="_Toc221952171"/>
            <w:r>
              <w:rPr>
                <w:rFonts w:ascii="宋体" w:hAnsi="宋体"/>
                <w:color w:val="auto"/>
                <w:szCs w:val="20"/>
                <w:highlight w:val="none"/>
              </w:rPr>
              <w:t>电话</w:t>
            </w:r>
            <w:bookmarkEnd w:id="1174"/>
          </w:p>
        </w:tc>
        <w:tc>
          <w:tcPr>
            <w:tcW w:w="988" w:type="dxa"/>
            <w:tcBorders>
              <w:top w:val="single" w:color="auto" w:sz="4" w:space="0"/>
              <w:left w:val="single" w:color="auto" w:sz="4" w:space="0"/>
              <w:bottom w:val="single" w:color="auto" w:sz="4" w:space="0"/>
              <w:right w:val="single" w:color="auto" w:sz="4" w:space="0"/>
            </w:tcBorders>
            <w:noWrap w:val="0"/>
            <w:vAlign w:val="center"/>
          </w:tcPr>
          <w:p w14:paraId="7FDA8113">
            <w:pPr>
              <w:topLinePunct/>
              <w:spacing w:line="400" w:lineRule="exact"/>
              <w:jc w:val="center"/>
              <w:rPr>
                <w:rFonts w:ascii="宋体" w:hAnsi="宋体"/>
                <w:color w:val="auto"/>
                <w:szCs w:val="20"/>
                <w:highlight w:val="none"/>
              </w:rPr>
            </w:pPr>
          </w:p>
        </w:tc>
      </w:tr>
      <w:tr w14:paraId="1FC99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18930081">
            <w:pPr>
              <w:topLinePunct/>
              <w:spacing w:line="400" w:lineRule="exact"/>
              <w:jc w:val="center"/>
              <w:rPr>
                <w:rFonts w:ascii="宋体" w:hAnsi="宋体"/>
                <w:color w:val="auto"/>
                <w:szCs w:val="20"/>
                <w:highlight w:val="none"/>
              </w:rPr>
            </w:pPr>
            <w:bookmarkStart w:id="1175" w:name="_Toc221952172"/>
            <w:r>
              <w:rPr>
                <w:rFonts w:ascii="宋体" w:hAnsi="宋体"/>
                <w:color w:val="auto"/>
                <w:szCs w:val="20"/>
                <w:highlight w:val="none"/>
              </w:rPr>
              <w:t>成立时间</w:t>
            </w:r>
            <w:bookmarkEnd w:id="1175"/>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110EDAB7">
            <w:pPr>
              <w:topLinePunct/>
              <w:spacing w:line="400" w:lineRule="exact"/>
              <w:jc w:val="center"/>
              <w:rPr>
                <w:rFonts w:ascii="宋体" w:hAnsi="宋体"/>
                <w:color w:val="auto"/>
                <w:szCs w:val="20"/>
                <w:highlight w:val="none"/>
              </w:rPr>
            </w:pPr>
          </w:p>
        </w:tc>
        <w:tc>
          <w:tcPr>
            <w:tcW w:w="2819" w:type="dxa"/>
            <w:gridSpan w:val="5"/>
            <w:tcBorders>
              <w:top w:val="single" w:color="auto" w:sz="4" w:space="0"/>
              <w:left w:val="single" w:color="auto" w:sz="4" w:space="0"/>
              <w:bottom w:val="single" w:color="auto" w:sz="4" w:space="0"/>
              <w:right w:val="single" w:color="auto" w:sz="4" w:space="0"/>
            </w:tcBorders>
            <w:noWrap w:val="0"/>
            <w:vAlign w:val="center"/>
          </w:tcPr>
          <w:p w14:paraId="4646A50F">
            <w:pPr>
              <w:topLinePunct/>
              <w:spacing w:line="400" w:lineRule="exact"/>
              <w:jc w:val="center"/>
              <w:rPr>
                <w:rFonts w:ascii="宋体" w:hAnsi="宋体"/>
                <w:color w:val="auto"/>
                <w:szCs w:val="20"/>
                <w:highlight w:val="none"/>
              </w:rPr>
            </w:pPr>
            <w:bookmarkStart w:id="1176" w:name="_Toc221952173"/>
            <w:r>
              <w:rPr>
                <w:rFonts w:ascii="宋体" w:hAnsi="宋体"/>
                <w:color w:val="auto"/>
                <w:szCs w:val="20"/>
                <w:highlight w:val="none"/>
              </w:rPr>
              <w:t>员工总人数：</w:t>
            </w:r>
            <w:bookmarkEnd w:id="1176"/>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241ECF40">
            <w:pPr>
              <w:topLinePunct/>
              <w:spacing w:line="400" w:lineRule="exact"/>
              <w:ind w:firstLine="1050" w:firstLineChars="500"/>
              <w:rPr>
                <w:rFonts w:ascii="宋体" w:hAnsi="宋体"/>
                <w:color w:val="auto"/>
                <w:szCs w:val="20"/>
                <w:highlight w:val="none"/>
              </w:rPr>
            </w:pPr>
          </w:p>
        </w:tc>
      </w:tr>
      <w:tr w14:paraId="3B42A9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466099BD">
            <w:pPr>
              <w:topLinePunct/>
              <w:spacing w:line="400" w:lineRule="exact"/>
              <w:jc w:val="center"/>
              <w:rPr>
                <w:rFonts w:ascii="宋体" w:hAnsi="宋体"/>
                <w:color w:val="auto"/>
                <w:szCs w:val="20"/>
                <w:highlight w:val="none"/>
              </w:rPr>
            </w:pPr>
            <w:bookmarkStart w:id="1177" w:name="_Toc221952174"/>
            <w:r>
              <w:rPr>
                <w:rFonts w:ascii="宋体" w:hAnsi="宋体"/>
                <w:color w:val="auto"/>
                <w:szCs w:val="20"/>
                <w:highlight w:val="none"/>
              </w:rPr>
              <w:t>企业资质等级</w:t>
            </w:r>
            <w:bookmarkEnd w:id="1177"/>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551F836C">
            <w:pPr>
              <w:topLinePunct/>
              <w:spacing w:line="400" w:lineRule="exact"/>
              <w:jc w:val="center"/>
              <w:rPr>
                <w:rFonts w:ascii="宋体" w:hAnsi="宋体"/>
                <w:color w:val="auto"/>
                <w:szCs w:val="20"/>
                <w:highlight w:val="none"/>
              </w:rPr>
            </w:pPr>
          </w:p>
        </w:tc>
        <w:tc>
          <w:tcPr>
            <w:tcW w:w="836" w:type="dxa"/>
            <w:vMerge w:val="restart"/>
            <w:tcBorders>
              <w:top w:val="single" w:color="auto" w:sz="4" w:space="0"/>
              <w:left w:val="single" w:color="auto" w:sz="4" w:space="0"/>
              <w:bottom w:val="single" w:color="auto" w:sz="4" w:space="0"/>
              <w:right w:val="single" w:color="auto" w:sz="4" w:space="0"/>
            </w:tcBorders>
            <w:noWrap w:val="0"/>
            <w:vAlign w:val="center"/>
          </w:tcPr>
          <w:p w14:paraId="094C3C89">
            <w:pPr>
              <w:topLinePunct/>
              <w:spacing w:line="400" w:lineRule="exact"/>
              <w:jc w:val="center"/>
              <w:rPr>
                <w:rFonts w:ascii="宋体" w:hAnsi="宋体"/>
                <w:color w:val="auto"/>
                <w:szCs w:val="20"/>
                <w:highlight w:val="none"/>
              </w:rPr>
            </w:pPr>
            <w:bookmarkStart w:id="1178" w:name="_Toc221952175"/>
            <w:r>
              <w:rPr>
                <w:rFonts w:ascii="宋体" w:hAnsi="宋体"/>
                <w:color w:val="auto"/>
                <w:szCs w:val="20"/>
                <w:highlight w:val="none"/>
              </w:rPr>
              <w:t>其中</w:t>
            </w:r>
            <w:bookmarkEnd w:id="1178"/>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7633BAAD">
            <w:pPr>
              <w:topLinePunct/>
              <w:spacing w:line="400" w:lineRule="exact"/>
              <w:jc w:val="center"/>
              <w:rPr>
                <w:rFonts w:ascii="宋体" w:hAnsi="宋体"/>
                <w:color w:val="auto"/>
                <w:szCs w:val="20"/>
                <w:highlight w:val="none"/>
              </w:rPr>
            </w:pPr>
            <w:r>
              <w:rPr>
                <w:rFonts w:ascii="宋体" w:hAnsi="宋体"/>
                <w:color w:val="auto"/>
                <w:szCs w:val="20"/>
                <w:highlight w:val="none"/>
              </w:rPr>
              <w:t>项目负责人</w:t>
            </w:r>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5F7A8D73">
            <w:pPr>
              <w:topLinePunct/>
              <w:spacing w:line="400" w:lineRule="exact"/>
              <w:jc w:val="center"/>
              <w:rPr>
                <w:rFonts w:ascii="宋体" w:hAnsi="宋体"/>
                <w:color w:val="auto"/>
                <w:szCs w:val="20"/>
                <w:highlight w:val="none"/>
              </w:rPr>
            </w:pPr>
          </w:p>
        </w:tc>
      </w:tr>
      <w:tr w14:paraId="35C7C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956A45F">
            <w:pPr>
              <w:topLinePunct/>
              <w:spacing w:line="400" w:lineRule="exact"/>
              <w:jc w:val="center"/>
              <w:rPr>
                <w:rFonts w:ascii="宋体" w:hAnsi="宋体"/>
                <w:color w:val="auto"/>
                <w:szCs w:val="20"/>
                <w:highlight w:val="none"/>
              </w:rPr>
            </w:pPr>
            <w:bookmarkStart w:id="1179" w:name="_Toc221952177"/>
            <w:r>
              <w:rPr>
                <w:rFonts w:ascii="宋体" w:hAnsi="宋体"/>
                <w:color w:val="auto"/>
                <w:szCs w:val="20"/>
                <w:highlight w:val="none"/>
              </w:rPr>
              <w:t>营业执照号</w:t>
            </w:r>
            <w:bookmarkEnd w:id="1179"/>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4B796E08">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4B05A8A1">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0C5DEB43">
            <w:pPr>
              <w:topLinePunct/>
              <w:spacing w:line="400" w:lineRule="exact"/>
              <w:jc w:val="center"/>
              <w:rPr>
                <w:rFonts w:ascii="宋体" w:hAnsi="宋体"/>
                <w:color w:val="auto"/>
                <w:szCs w:val="20"/>
                <w:highlight w:val="none"/>
              </w:rPr>
            </w:pPr>
            <w:bookmarkStart w:id="1180" w:name="_Toc221952178"/>
            <w:r>
              <w:rPr>
                <w:rFonts w:ascii="宋体" w:hAnsi="宋体"/>
                <w:color w:val="auto"/>
                <w:szCs w:val="20"/>
                <w:highlight w:val="none"/>
              </w:rPr>
              <w:t>高级职称人员</w:t>
            </w:r>
            <w:bookmarkEnd w:id="1180"/>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09223807">
            <w:pPr>
              <w:topLinePunct/>
              <w:spacing w:line="400" w:lineRule="exact"/>
              <w:jc w:val="center"/>
              <w:rPr>
                <w:rFonts w:ascii="宋体" w:hAnsi="宋体"/>
                <w:color w:val="auto"/>
                <w:szCs w:val="20"/>
                <w:highlight w:val="none"/>
              </w:rPr>
            </w:pPr>
          </w:p>
        </w:tc>
      </w:tr>
      <w:tr w14:paraId="323A2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AEAF7C0">
            <w:pPr>
              <w:topLinePunct/>
              <w:spacing w:line="400" w:lineRule="exact"/>
              <w:jc w:val="center"/>
              <w:rPr>
                <w:rFonts w:ascii="宋体" w:hAnsi="宋体"/>
                <w:color w:val="auto"/>
                <w:szCs w:val="20"/>
                <w:highlight w:val="none"/>
              </w:rPr>
            </w:pPr>
            <w:bookmarkStart w:id="1181" w:name="_Toc221952179"/>
            <w:r>
              <w:rPr>
                <w:rFonts w:ascii="宋体" w:hAnsi="宋体"/>
                <w:color w:val="auto"/>
                <w:szCs w:val="20"/>
                <w:highlight w:val="none"/>
              </w:rPr>
              <w:t>注册资金</w:t>
            </w:r>
            <w:bookmarkEnd w:id="1181"/>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703140E0">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67A13DB1">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17956B6B">
            <w:pPr>
              <w:topLinePunct/>
              <w:spacing w:line="400" w:lineRule="exact"/>
              <w:jc w:val="center"/>
              <w:rPr>
                <w:rFonts w:ascii="宋体" w:hAnsi="宋体"/>
                <w:color w:val="auto"/>
                <w:szCs w:val="20"/>
                <w:highlight w:val="none"/>
              </w:rPr>
            </w:pPr>
            <w:bookmarkStart w:id="1182" w:name="_Toc221952180"/>
            <w:r>
              <w:rPr>
                <w:rFonts w:ascii="宋体" w:hAnsi="宋体"/>
                <w:color w:val="auto"/>
                <w:szCs w:val="20"/>
                <w:highlight w:val="none"/>
              </w:rPr>
              <w:t>中级职称人员</w:t>
            </w:r>
            <w:bookmarkEnd w:id="1182"/>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6C416AB5">
            <w:pPr>
              <w:topLinePunct/>
              <w:spacing w:line="400" w:lineRule="exact"/>
              <w:jc w:val="center"/>
              <w:rPr>
                <w:rFonts w:ascii="宋体" w:hAnsi="宋体"/>
                <w:color w:val="auto"/>
                <w:szCs w:val="20"/>
                <w:highlight w:val="none"/>
              </w:rPr>
            </w:pPr>
          </w:p>
        </w:tc>
      </w:tr>
      <w:tr w14:paraId="246F4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7302DCBD">
            <w:pPr>
              <w:topLinePunct/>
              <w:spacing w:line="400" w:lineRule="exact"/>
              <w:jc w:val="center"/>
              <w:rPr>
                <w:rFonts w:ascii="宋体" w:hAnsi="宋体"/>
                <w:color w:val="auto"/>
                <w:szCs w:val="20"/>
                <w:highlight w:val="none"/>
              </w:rPr>
            </w:pPr>
            <w:bookmarkStart w:id="1183" w:name="_Toc221952181"/>
            <w:r>
              <w:rPr>
                <w:rFonts w:ascii="宋体" w:hAnsi="宋体"/>
                <w:color w:val="auto"/>
                <w:szCs w:val="20"/>
                <w:highlight w:val="none"/>
              </w:rPr>
              <w:t>开户银行</w:t>
            </w:r>
            <w:bookmarkEnd w:id="1183"/>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443886C2">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384CC871">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3759CC6F">
            <w:pPr>
              <w:topLinePunct/>
              <w:spacing w:line="400" w:lineRule="exact"/>
              <w:jc w:val="center"/>
              <w:rPr>
                <w:rFonts w:ascii="宋体" w:hAnsi="宋体"/>
                <w:color w:val="auto"/>
                <w:szCs w:val="20"/>
                <w:highlight w:val="none"/>
              </w:rPr>
            </w:pPr>
            <w:bookmarkStart w:id="1184" w:name="_Toc221952182"/>
            <w:r>
              <w:rPr>
                <w:rFonts w:ascii="宋体" w:hAnsi="宋体"/>
                <w:color w:val="auto"/>
                <w:szCs w:val="20"/>
                <w:highlight w:val="none"/>
              </w:rPr>
              <w:t>初级职称人员</w:t>
            </w:r>
            <w:bookmarkEnd w:id="1184"/>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6666D575">
            <w:pPr>
              <w:topLinePunct/>
              <w:spacing w:line="400" w:lineRule="exact"/>
              <w:jc w:val="center"/>
              <w:rPr>
                <w:rFonts w:ascii="宋体" w:hAnsi="宋体"/>
                <w:color w:val="auto"/>
                <w:szCs w:val="20"/>
                <w:highlight w:val="none"/>
              </w:rPr>
            </w:pPr>
          </w:p>
        </w:tc>
      </w:tr>
      <w:tr w14:paraId="5CDCC0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2D560B6C">
            <w:pPr>
              <w:topLinePunct/>
              <w:spacing w:line="400" w:lineRule="exact"/>
              <w:jc w:val="center"/>
              <w:rPr>
                <w:rFonts w:ascii="宋体" w:hAnsi="宋体"/>
                <w:color w:val="auto"/>
                <w:szCs w:val="20"/>
                <w:highlight w:val="none"/>
              </w:rPr>
            </w:pPr>
            <w:bookmarkStart w:id="1185" w:name="_Toc221952183"/>
            <w:r>
              <w:rPr>
                <w:rFonts w:ascii="宋体" w:hAnsi="宋体"/>
                <w:color w:val="auto"/>
                <w:szCs w:val="20"/>
                <w:highlight w:val="none"/>
              </w:rPr>
              <w:t>账号</w:t>
            </w:r>
            <w:bookmarkEnd w:id="1185"/>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4A8CD448">
            <w:pPr>
              <w:topLinePunct/>
              <w:spacing w:line="400" w:lineRule="exact"/>
              <w:jc w:val="center"/>
              <w:rPr>
                <w:rFonts w:ascii="宋体" w:hAnsi="宋体"/>
                <w:color w:val="auto"/>
                <w:szCs w:val="20"/>
                <w:highlight w:val="none"/>
              </w:rPr>
            </w:pPr>
          </w:p>
        </w:tc>
        <w:tc>
          <w:tcPr>
            <w:tcW w:w="836" w:type="dxa"/>
            <w:vMerge w:val="continue"/>
            <w:tcBorders>
              <w:top w:val="single" w:color="auto" w:sz="4" w:space="0"/>
              <w:left w:val="single" w:color="auto" w:sz="4" w:space="0"/>
              <w:bottom w:val="single" w:color="auto" w:sz="4" w:space="0"/>
              <w:right w:val="single" w:color="auto" w:sz="4" w:space="0"/>
            </w:tcBorders>
            <w:noWrap w:val="0"/>
            <w:vAlign w:val="center"/>
          </w:tcPr>
          <w:p w14:paraId="1B1D0366">
            <w:pPr>
              <w:topLinePunct/>
              <w:spacing w:line="400" w:lineRule="exact"/>
              <w:jc w:val="center"/>
              <w:rPr>
                <w:rFonts w:ascii="宋体" w:hAnsi="宋体"/>
                <w:color w:val="auto"/>
                <w:szCs w:val="20"/>
                <w:highlight w:val="none"/>
              </w:rPr>
            </w:pPr>
          </w:p>
        </w:tc>
        <w:tc>
          <w:tcPr>
            <w:tcW w:w="1983" w:type="dxa"/>
            <w:gridSpan w:val="4"/>
            <w:tcBorders>
              <w:top w:val="single" w:color="auto" w:sz="4" w:space="0"/>
              <w:left w:val="single" w:color="auto" w:sz="4" w:space="0"/>
              <w:bottom w:val="single" w:color="auto" w:sz="4" w:space="0"/>
              <w:right w:val="single" w:color="auto" w:sz="4" w:space="0"/>
            </w:tcBorders>
            <w:noWrap w:val="0"/>
            <w:vAlign w:val="center"/>
          </w:tcPr>
          <w:p w14:paraId="71CBF3BD">
            <w:pPr>
              <w:spacing w:line="400" w:lineRule="exact"/>
              <w:jc w:val="center"/>
              <w:rPr>
                <w:rFonts w:ascii="宋体" w:hAnsi="宋体"/>
                <w:color w:val="auto"/>
                <w:szCs w:val="20"/>
                <w:highlight w:val="none"/>
              </w:rPr>
            </w:pPr>
            <w:bookmarkStart w:id="1186" w:name="_Toc221952184"/>
            <w:r>
              <w:rPr>
                <w:rFonts w:ascii="宋体" w:hAnsi="宋体"/>
                <w:color w:val="auto"/>
                <w:szCs w:val="20"/>
                <w:highlight w:val="none"/>
              </w:rPr>
              <w:t>技</w:t>
            </w:r>
            <w:r>
              <w:rPr>
                <w:rFonts w:hint="eastAsia" w:ascii="宋体" w:hAnsi="宋体"/>
                <w:color w:val="auto"/>
                <w:szCs w:val="20"/>
                <w:highlight w:val="none"/>
              </w:rPr>
              <w:t xml:space="preserve">  </w:t>
            </w:r>
            <w:r>
              <w:rPr>
                <w:rFonts w:ascii="宋体" w:hAnsi="宋体"/>
                <w:color w:val="auto"/>
                <w:szCs w:val="20"/>
                <w:highlight w:val="none"/>
              </w:rPr>
              <w:t>工</w:t>
            </w:r>
            <w:bookmarkEnd w:id="1186"/>
          </w:p>
        </w:tc>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79E374DB">
            <w:pPr>
              <w:topLinePunct/>
              <w:spacing w:line="400" w:lineRule="exact"/>
              <w:jc w:val="center"/>
              <w:rPr>
                <w:rFonts w:ascii="宋体" w:hAnsi="宋体"/>
                <w:color w:val="auto"/>
                <w:szCs w:val="20"/>
                <w:highlight w:val="none"/>
              </w:rPr>
            </w:pPr>
          </w:p>
        </w:tc>
      </w:tr>
      <w:tr w14:paraId="5FBD0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17" w:type="dxa"/>
            <w:tcBorders>
              <w:top w:val="single" w:color="auto" w:sz="4" w:space="0"/>
              <w:left w:val="single" w:color="auto" w:sz="4" w:space="0"/>
              <w:right w:val="single" w:color="auto" w:sz="4" w:space="0"/>
            </w:tcBorders>
            <w:noWrap w:val="0"/>
            <w:vAlign w:val="center"/>
          </w:tcPr>
          <w:p w14:paraId="332E58BC">
            <w:pPr>
              <w:topLinePunct/>
              <w:spacing w:line="400" w:lineRule="exact"/>
              <w:ind w:firstLine="210" w:firstLineChars="100"/>
              <w:jc w:val="center"/>
              <w:rPr>
                <w:rFonts w:ascii="宋体" w:hAnsi="宋体"/>
                <w:color w:val="auto"/>
                <w:szCs w:val="20"/>
                <w:highlight w:val="none"/>
              </w:rPr>
            </w:pPr>
            <w:bookmarkStart w:id="1187" w:name="_Toc221952185"/>
            <w:r>
              <w:rPr>
                <w:rFonts w:ascii="宋体" w:hAnsi="宋体"/>
                <w:color w:val="auto"/>
                <w:szCs w:val="20"/>
                <w:highlight w:val="none"/>
              </w:rPr>
              <w:t>经营范围</w:t>
            </w:r>
            <w:bookmarkEnd w:id="1187"/>
          </w:p>
        </w:tc>
        <w:tc>
          <w:tcPr>
            <w:tcW w:w="6811" w:type="dxa"/>
            <w:gridSpan w:val="9"/>
            <w:tcBorders>
              <w:top w:val="single" w:color="auto" w:sz="4" w:space="0"/>
              <w:left w:val="single" w:color="auto" w:sz="4" w:space="0"/>
              <w:right w:val="single" w:color="auto" w:sz="4" w:space="0"/>
            </w:tcBorders>
            <w:noWrap w:val="0"/>
            <w:vAlign w:val="center"/>
          </w:tcPr>
          <w:p w14:paraId="32B6B182">
            <w:pPr>
              <w:topLinePunct/>
              <w:spacing w:line="400" w:lineRule="exact"/>
              <w:rPr>
                <w:rFonts w:ascii="宋体" w:hAnsi="宋体"/>
                <w:color w:val="auto"/>
                <w:szCs w:val="20"/>
                <w:highlight w:val="none"/>
              </w:rPr>
            </w:pPr>
          </w:p>
          <w:p w14:paraId="473234C7">
            <w:pPr>
              <w:topLinePunct/>
              <w:spacing w:line="400" w:lineRule="exact"/>
              <w:jc w:val="center"/>
              <w:rPr>
                <w:rFonts w:ascii="宋体" w:hAnsi="宋体"/>
                <w:color w:val="auto"/>
                <w:szCs w:val="20"/>
                <w:highlight w:val="none"/>
              </w:rPr>
            </w:pPr>
          </w:p>
          <w:p w14:paraId="62231FD7">
            <w:pPr>
              <w:topLinePunct/>
              <w:spacing w:line="400" w:lineRule="exact"/>
              <w:jc w:val="center"/>
              <w:rPr>
                <w:rFonts w:ascii="宋体" w:hAnsi="宋体"/>
                <w:color w:val="auto"/>
                <w:szCs w:val="20"/>
                <w:highlight w:val="none"/>
              </w:rPr>
            </w:pPr>
          </w:p>
          <w:p w14:paraId="28E92A5C">
            <w:pPr>
              <w:topLinePunct/>
              <w:spacing w:line="400" w:lineRule="exact"/>
              <w:jc w:val="center"/>
              <w:rPr>
                <w:rFonts w:ascii="宋体" w:hAnsi="宋体"/>
                <w:color w:val="auto"/>
                <w:szCs w:val="20"/>
                <w:highlight w:val="none"/>
              </w:rPr>
            </w:pPr>
          </w:p>
          <w:p w14:paraId="68899715">
            <w:pPr>
              <w:topLinePunct/>
              <w:spacing w:line="400" w:lineRule="exact"/>
              <w:jc w:val="center"/>
              <w:rPr>
                <w:rFonts w:ascii="宋体" w:hAnsi="宋体"/>
                <w:color w:val="auto"/>
                <w:szCs w:val="20"/>
                <w:highlight w:val="none"/>
              </w:rPr>
            </w:pPr>
          </w:p>
          <w:p w14:paraId="6C3A02B0">
            <w:pPr>
              <w:topLinePunct/>
              <w:spacing w:line="400" w:lineRule="exact"/>
              <w:jc w:val="center"/>
              <w:rPr>
                <w:rFonts w:ascii="宋体" w:hAnsi="宋体"/>
                <w:color w:val="auto"/>
                <w:szCs w:val="20"/>
                <w:highlight w:val="none"/>
              </w:rPr>
            </w:pPr>
          </w:p>
          <w:p w14:paraId="63714DA2">
            <w:pPr>
              <w:topLinePunct/>
              <w:spacing w:line="400" w:lineRule="exact"/>
              <w:jc w:val="center"/>
              <w:rPr>
                <w:rFonts w:ascii="宋体" w:hAnsi="宋体"/>
                <w:color w:val="auto"/>
                <w:szCs w:val="20"/>
                <w:highlight w:val="none"/>
              </w:rPr>
            </w:pPr>
          </w:p>
        </w:tc>
      </w:tr>
      <w:tr w14:paraId="71709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2EAFD5A2">
            <w:pPr>
              <w:topLinePunct/>
              <w:spacing w:line="400" w:lineRule="exact"/>
              <w:jc w:val="center"/>
              <w:rPr>
                <w:rFonts w:ascii="宋体" w:hAnsi="宋体"/>
                <w:color w:val="auto"/>
                <w:szCs w:val="20"/>
                <w:highlight w:val="none"/>
              </w:rPr>
            </w:pPr>
            <w:bookmarkStart w:id="1188" w:name="_Toc221952186"/>
            <w:r>
              <w:rPr>
                <w:rFonts w:ascii="宋体" w:hAnsi="宋体"/>
                <w:color w:val="auto"/>
                <w:szCs w:val="20"/>
                <w:highlight w:val="none"/>
              </w:rPr>
              <w:t>备注</w:t>
            </w:r>
            <w:bookmarkEnd w:id="1188"/>
          </w:p>
        </w:tc>
        <w:tc>
          <w:tcPr>
            <w:tcW w:w="6811" w:type="dxa"/>
            <w:gridSpan w:val="9"/>
            <w:tcBorders>
              <w:top w:val="single" w:color="auto" w:sz="4" w:space="0"/>
              <w:left w:val="single" w:color="auto" w:sz="4" w:space="0"/>
              <w:bottom w:val="single" w:color="auto" w:sz="4" w:space="0"/>
              <w:right w:val="single" w:color="auto" w:sz="4" w:space="0"/>
            </w:tcBorders>
            <w:noWrap w:val="0"/>
            <w:vAlign w:val="center"/>
          </w:tcPr>
          <w:p w14:paraId="3B70FB56">
            <w:pPr>
              <w:topLinePunct/>
              <w:spacing w:line="400" w:lineRule="exact"/>
              <w:jc w:val="center"/>
              <w:rPr>
                <w:rFonts w:ascii="宋体" w:hAnsi="宋体"/>
                <w:color w:val="auto"/>
                <w:szCs w:val="20"/>
                <w:highlight w:val="none"/>
              </w:rPr>
            </w:pPr>
          </w:p>
        </w:tc>
      </w:tr>
    </w:tbl>
    <w:p w14:paraId="52C24F9D">
      <w:pPr>
        <w:spacing w:line="400" w:lineRule="exact"/>
        <w:rPr>
          <w:color w:val="auto"/>
          <w:highlight w:val="none"/>
        </w:rPr>
      </w:pPr>
      <w:r>
        <w:rPr>
          <w:rFonts w:hint="eastAsia"/>
          <w:color w:val="auto"/>
          <w:highlight w:val="none"/>
        </w:rPr>
        <w:t>注</w:t>
      </w:r>
      <w:r>
        <w:rPr>
          <w:rFonts w:hint="eastAsia"/>
          <w:color w:val="auto"/>
          <w:highlight w:val="none"/>
          <w:lang w:eastAsia="zh-CN"/>
        </w:rPr>
        <w:t>：需提供相关材料的扫描件</w:t>
      </w:r>
      <w:r>
        <w:rPr>
          <w:rFonts w:hint="eastAsia"/>
          <w:color w:val="auto"/>
          <w:highlight w:val="none"/>
        </w:rPr>
        <w:t>。</w:t>
      </w:r>
      <w:r>
        <w:rPr>
          <w:color w:val="auto"/>
          <w:highlight w:val="none"/>
        </w:rPr>
        <w:br w:type="page"/>
      </w:r>
      <w:bookmarkStart w:id="1189" w:name="_Toc152047267"/>
      <w:bookmarkStart w:id="1190" w:name="_Toc222031072"/>
      <w:bookmarkStart w:id="1191" w:name="_Toc179715760"/>
      <w:bookmarkStart w:id="1192" w:name="_Toc222029570"/>
      <w:bookmarkStart w:id="1193" w:name="_Toc229305430"/>
      <w:bookmarkStart w:id="1194" w:name="_Toc221952187"/>
      <w:bookmarkStart w:id="1195" w:name="_Toc259524425"/>
      <w:bookmarkStart w:id="1196" w:name="_Toc222032739"/>
      <w:bookmarkStart w:id="1197" w:name="_Toc222033921"/>
    </w:p>
    <w:p w14:paraId="126B5817">
      <w:pPr>
        <w:spacing w:line="400" w:lineRule="exact"/>
        <w:jc w:val="left"/>
        <w:outlineLvl w:val="3"/>
        <w:rPr>
          <w:rFonts w:hint="eastAsia" w:ascii="宋体" w:hAnsi="宋体" w:eastAsia="宋体"/>
          <w:b/>
          <w:color w:val="auto"/>
          <w:sz w:val="24"/>
          <w:szCs w:val="31"/>
          <w:highlight w:val="none"/>
          <w:lang w:eastAsia="zh-CN"/>
        </w:rPr>
      </w:pPr>
      <w:bookmarkStart w:id="1198" w:name="_Toc332641444"/>
      <w:bookmarkStart w:id="1199" w:name="_Toc247514301"/>
      <w:bookmarkStart w:id="1200" w:name="_Toc144974877"/>
      <w:bookmarkStart w:id="1201" w:name="_Toc265953295"/>
      <w:bookmarkStart w:id="1202" w:name="_Toc152042598"/>
      <w:bookmarkStart w:id="1203" w:name="_Toc152045809"/>
      <w:bookmarkStart w:id="1204" w:name="_Toc247527849"/>
      <w:r>
        <w:rPr>
          <w:rFonts w:ascii="宋体" w:hAnsi="宋体"/>
          <w:b/>
          <w:color w:val="auto"/>
          <w:sz w:val="24"/>
          <w:szCs w:val="31"/>
          <w:highlight w:val="none"/>
        </w:rPr>
        <w:t>（二）</w:t>
      </w:r>
      <w:r>
        <w:rPr>
          <w:rFonts w:hint="eastAsia" w:ascii="宋体" w:hAnsi="宋体"/>
          <w:b/>
          <w:color w:val="auto"/>
          <w:sz w:val="24"/>
          <w:szCs w:val="31"/>
          <w:highlight w:val="none"/>
        </w:rPr>
        <w:t>拟投入</w:t>
      </w:r>
      <w:bookmarkEnd w:id="1198"/>
      <w:bookmarkEnd w:id="1199"/>
      <w:bookmarkEnd w:id="1200"/>
      <w:bookmarkEnd w:id="1201"/>
      <w:bookmarkEnd w:id="1202"/>
      <w:bookmarkEnd w:id="1203"/>
      <w:bookmarkEnd w:id="1204"/>
      <w:r>
        <w:rPr>
          <w:rFonts w:hint="eastAsia" w:ascii="宋体" w:hAnsi="宋体"/>
          <w:b/>
          <w:color w:val="auto"/>
          <w:sz w:val="24"/>
          <w:szCs w:val="31"/>
          <w:highlight w:val="none"/>
        </w:rPr>
        <w:t>项目负责人</w:t>
      </w:r>
    </w:p>
    <w:p w14:paraId="3FEC1451">
      <w:pPr>
        <w:spacing w:before="260" w:after="260" w:line="415" w:lineRule="auto"/>
        <w:jc w:val="center"/>
        <w:rPr>
          <w:b/>
          <w:color w:val="auto"/>
          <w:sz w:val="32"/>
          <w:szCs w:val="32"/>
          <w:highlight w:val="none"/>
        </w:rPr>
      </w:pPr>
      <w:r>
        <w:rPr>
          <w:rFonts w:hint="eastAsia"/>
          <w:b/>
          <w:color w:val="auto"/>
          <w:sz w:val="32"/>
          <w:szCs w:val="32"/>
          <w:highlight w:val="none"/>
        </w:rPr>
        <w:t>项目负责人</w:t>
      </w:r>
      <w:r>
        <w:rPr>
          <w:b/>
          <w:color w:val="auto"/>
          <w:sz w:val="32"/>
          <w:szCs w:val="32"/>
          <w:highlight w:val="none"/>
        </w:rPr>
        <w:t>简历表</w:t>
      </w:r>
    </w:p>
    <w:tbl>
      <w:tblPr>
        <w:tblStyle w:val="18"/>
        <w:tblpPr w:leftFromText="180" w:rightFromText="180" w:vertAnchor="text" w:horzAnchor="margin"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14:paraId="2EEE6A65">
        <w:tc>
          <w:tcPr>
            <w:tcW w:w="1189" w:type="dxa"/>
            <w:noWrap w:val="0"/>
            <w:vAlign w:val="center"/>
          </w:tcPr>
          <w:p w14:paraId="3A5C5383">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14:paraId="23F13896">
            <w:pPr>
              <w:spacing w:line="440" w:lineRule="exact"/>
              <w:jc w:val="center"/>
              <w:rPr>
                <w:rFonts w:ascii="宋体" w:hAnsi="宋体"/>
                <w:color w:val="auto"/>
                <w:szCs w:val="21"/>
                <w:highlight w:val="none"/>
              </w:rPr>
            </w:pPr>
          </w:p>
        </w:tc>
        <w:tc>
          <w:tcPr>
            <w:tcW w:w="928" w:type="dxa"/>
            <w:noWrap w:val="0"/>
            <w:vAlign w:val="center"/>
          </w:tcPr>
          <w:p w14:paraId="46ECFA41">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14:paraId="1C6888B6">
            <w:pPr>
              <w:spacing w:line="440" w:lineRule="exact"/>
              <w:jc w:val="center"/>
              <w:rPr>
                <w:rFonts w:ascii="宋体" w:hAnsi="宋体"/>
                <w:color w:val="auto"/>
                <w:szCs w:val="21"/>
                <w:highlight w:val="none"/>
              </w:rPr>
            </w:pPr>
          </w:p>
        </w:tc>
        <w:tc>
          <w:tcPr>
            <w:tcW w:w="2131" w:type="dxa"/>
            <w:gridSpan w:val="3"/>
            <w:noWrap w:val="0"/>
            <w:vAlign w:val="center"/>
          </w:tcPr>
          <w:p w14:paraId="58F1AC3A">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14:paraId="3E02CD4D">
            <w:pPr>
              <w:spacing w:line="440" w:lineRule="exact"/>
              <w:rPr>
                <w:rFonts w:ascii="宋体" w:hAnsi="宋体"/>
                <w:color w:val="auto"/>
                <w:szCs w:val="21"/>
                <w:highlight w:val="none"/>
              </w:rPr>
            </w:pPr>
          </w:p>
        </w:tc>
      </w:tr>
      <w:tr w14:paraId="06E0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3D345424">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14:paraId="2A578E9C">
            <w:pPr>
              <w:spacing w:line="440" w:lineRule="exact"/>
              <w:jc w:val="center"/>
              <w:rPr>
                <w:rFonts w:ascii="宋体" w:hAnsi="宋体"/>
                <w:color w:val="auto"/>
                <w:szCs w:val="21"/>
                <w:highlight w:val="none"/>
              </w:rPr>
            </w:pPr>
          </w:p>
        </w:tc>
        <w:tc>
          <w:tcPr>
            <w:tcW w:w="928" w:type="dxa"/>
            <w:noWrap w:val="0"/>
            <w:vAlign w:val="center"/>
          </w:tcPr>
          <w:p w14:paraId="0819C6AE">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14:paraId="684D7D2E">
            <w:pPr>
              <w:spacing w:line="440" w:lineRule="exact"/>
              <w:jc w:val="center"/>
              <w:rPr>
                <w:rFonts w:ascii="宋体" w:hAnsi="宋体"/>
                <w:color w:val="auto"/>
                <w:szCs w:val="21"/>
                <w:highlight w:val="none"/>
              </w:rPr>
            </w:pPr>
          </w:p>
        </w:tc>
        <w:tc>
          <w:tcPr>
            <w:tcW w:w="2131" w:type="dxa"/>
            <w:gridSpan w:val="3"/>
            <w:noWrap w:val="0"/>
            <w:vAlign w:val="center"/>
          </w:tcPr>
          <w:p w14:paraId="34E6E575">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14:paraId="3E0FE239">
            <w:pPr>
              <w:spacing w:line="440" w:lineRule="exact"/>
              <w:rPr>
                <w:rFonts w:ascii="宋体" w:hAnsi="宋体"/>
                <w:color w:val="auto"/>
                <w:szCs w:val="21"/>
                <w:highlight w:val="none"/>
              </w:rPr>
            </w:pPr>
          </w:p>
        </w:tc>
      </w:tr>
      <w:tr w14:paraId="673F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14:paraId="564F8CF9">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14:paraId="194F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713A8072">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14:paraId="16825143">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14:paraId="1E8583AB">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14:paraId="65DAC5CA">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14:paraId="0F03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27449B3">
            <w:pPr>
              <w:spacing w:line="440" w:lineRule="exact"/>
              <w:rPr>
                <w:rFonts w:eastAsia="黑体"/>
                <w:color w:val="auto"/>
                <w:szCs w:val="21"/>
                <w:highlight w:val="none"/>
              </w:rPr>
            </w:pPr>
          </w:p>
        </w:tc>
        <w:tc>
          <w:tcPr>
            <w:tcW w:w="3421" w:type="dxa"/>
            <w:gridSpan w:val="4"/>
            <w:noWrap w:val="0"/>
            <w:vAlign w:val="top"/>
          </w:tcPr>
          <w:p w14:paraId="1638ED3A">
            <w:pPr>
              <w:spacing w:line="440" w:lineRule="exact"/>
              <w:rPr>
                <w:rFonts w:eastAsia="黑体"/>
                <w:color w:val="auto"/>
                <w:szCs w:val="21"/>
                <w:highlight w:val="none"/>
              </w:rPr>
            </w:pPr>
          </w:p>
        </w:tc>
        <w:tc>
          <w:tcPr>
            <w:tcW w:w="1260" w:type="dxa"/>
            <w:noWrap w:val="0"/>
            <w:vAlign w:val="top"/>
          </w:tcPr>
          <w:p w14:paraId="3DE62BAF">
            <w:pPr>
              <w:spacing w:line="440" w:lineRule="exact"/>
              <w:rPr>
                <w:rFonts w:eastAsia="黑体"/>
                <w:color w:val="auto"/>
                <w:szCs w:val="21"/>
                <w:highlight w:val="none"/>
              </w:rPr>
            </w:pPr>
          </w:p>
        </w:tc>
        <w:tc>
          <w:tcPr>
            <w:tcW w:w="2303" w:type="dxa"/>
            <w:gridSpan w:val="2"/>
            <w:noWrap w:val="0"/>
            <w:vAlign w:val="top"/>
          </w:tcPr>
          <w:p w14:paraId="762601D1">
            <w:pPr>
              <w:spacing w:line="440" w:lineRule="exact"/>
              <w:rPr>
                <w:rFonts w:eastAsia="黑体"/>
                <w:color w:val="auto"/>
                <w:szCs w:val="21"/>
                <w:highlight w:val="none"/>
              </w:rPr>
            </w:pPr>
          </w:p>
        </w:tc>
      </w:tr>
      <w:tr w14:paraId="2999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0771F43">
            <w:pPr>
              <w:spacing w:line="440" w:lineRule="exact"/>
              <w:rPr>
                <w:rFonts w:eastAsia="黑体"/>
                <w:color w:val="auto"/>
                <w:szCs w:val="21"/>
                <w:highlight w:val="none"/>
              </w:rPr>
            </w:pPr>
          </w:p>
        </w:tc>
        <w:tc>
          <w:tcPr>
            <w:tcW w:w="3421" w:type="dxa"/>
            <w:gridSpan w:val="4"/>
            <w:noWrap w:val="0"/>
            <w:vAlign w:val="top"/>
          </w:tcPr>
          <w:p w14:paraId="38985216">
            <w:pPr>
              <w:spacing w:line="440" w:lineRule="exact"/>
              <w:rPr>
                <w:rFonts w:eastAsia="黑体"/>
                <w:color w:val="auto"/>
                <w:szCs w:val="21"/>
                <w:highlight w:val="none"/>
              </w:rPr>
            </w:pPr>
          </w:p>
        </w:tc>
        <w:tc>
          <w:tcPr>
            <w:tcW w:w="1260" w:type="dxa"/>
            <w:noWrap w:val="0"/>
            <w:vAlign w:val="top"/>
          </w:tcPr>
          <w:p w14:paraId="517AAB3B">
            <w:pPr>
              <w:spacing w:line="440" w:lineRule="exact"/>
              <w:rPr>
                <w:rFonts w:eastAsia="黑体"/>
                <w:color w:val="auto"/>
                <w:szCs w:val="21"/>
                <w:highlight w:val="none"/>
              </w:rPr>
            </w:pPr>
          </w:p>
        </w:tc>
        <w:tc>
          <w:tcPr>
            <w:tcW w:w="2303" w:type="dxa"/>
            <w:gridSpan w:val="2"/>
            <w:noWrap w:val="0"/>
            <w:vAlign w:val="top"/>
          </w:tcPr>
          <w:p w14:paraId="01D16832">
            <w:pPr>
              <w:spacing w:line="440" w:lineRule="exact"/>
              <w:rPr>
                <w:rFonts w:eastAsia="黑体"/>
                <w:color w:val="auto"/>
                <w:szCs w:val="21"/>
                <w:highlight w:val="none"/>
              </w:rPr>
            </w:pPr>
          </w:p>
        </w:tc>
      </w:tr>
      <w:tr w14:paraId="47A1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20A6A1DA">
            <w:pPr>
              <w:spacing w:line="440" w:lineRule="exact"/>
              <w:rPr>
                <w:rFonts w:eastAsia="黑体"/>
                <w:color w:val="auto"/>
                <w:szCs w:val="21"/>
                <w:highlight w:val="none"/>
              </w:rPr>
            </w:pPr>
          </w:p>
        </w:tc>
        <w:tc>
          <w:tcPr>
            <w:tcW w:w="3421" w:type="dxa"/>
            <w:gridSpan w:val="4"/>
            <w:noWrap w:val="0"/>
            <w:vAlign w:val="top"/>
          </w:tcPr>
          <w:p w14:paraId="407B5E01">
            <w:pPr>
              <w:spacing w:line="440" w:lineRule="exact"/>
              <w:rPr>
                <w:rFonts w:eastAsia="黑体"/>
                <w:color w:val="auto"/>
                <w:szCs w:val="21"/>
                <w:highlight w:val="none"/>
              </w:rPr>
            </w:pPr>
          </w:p>
        </w:tc>
        <w:tc>
          <w:tcPr>
            <w:tcW w:w="1260" w:type="dxa"/>
            <w:noWrap w:val="0"/>
            <w:vAlign w:val="top"/>
          </w:tcPr>
          <w:p w14:paraId="64D340C8">
            <w:pPr>
              <w:spacing w:line="440" w:lineRule="exact"/>
              <w:rPr>
                <w:rFonts w:eastAsia="黑体"/>
                <w:color w:val="auto"/>
                <w:szCs w:val="21"/>
                <w:highlight w:val="none"/>
              </w:rPr>
            </w:pPr>
          </w:p>
        </w:tc>
        <w:tc>
          <w:tcPr>
            <w:tcW w:w="2303" w:type="dxa"/>
            <w:gridSpan w:val="2"/>
            <w:noWrap w:val="0"/>
            <w:vAlign w:val="top"/>
          </w:tcPr>
          <w:p w14:paraId="402EE61A">
            <w:pPr>
              <w:spacing w:line="440" w:lineRule="exact"/>
              <w:rPr>
                <w:rFonts w:eastAsia="黑体"/>
                <w:color w:val="auto"/>
                <w:szCs w:val="21"/>
                <w:highlight w:val="none"/>
              </w:rPr>
            </w:pPr>
          </w:p>
        </w:tc>
      </w:tr>
      <w:tr w14:paraId="559B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F697723">
            <w:pPr>
              <w:spacing w:line="440" w:lineRule="exact"/>
              <w:rPr>
                <w:rFonts w:eastAsia="黑体"/>
                <w:color w:val="auto"/>
                <w:szCs w:val="21"/>
                <w:highlight w:val="none"/>
              </w:rPr>
            </w:pPr>
          </w:p>
        </w:tc>
        <w:tc>
          <w:tcPr>
            <w:tcW w:w="3421" w:type="dxa"/>
            <w:gridSpan w:val="4"/>
            <w:noWrap w:val="0"/>
            <w:vAlign w:val="top"/>
          </w:tcPr>
          <w:p w14:paraId="5A93F7AE">
            <w:pPr>
              <w:spacing w:line="440" w:lineRule="exact"/>
              <w:rPr>
                <w:rFonts w:eastAsia="黑体"/>
                <w:color w:val="auto"/>
                <w:szCs w:val="21"/>
                <w:highlight w:val="none"/>
              </w:rPr>
            </w:pPr>
          </w:p>
        </w:tc>
        <w:tc>
          <w:tcPr>
            <w:tcW w:w="1260" w:type="dxa"/>
            <w:noWrap w:val="0"/>
            <w:vAlign w:val="top"/>
          </w:tcPr>
          <w:p w14:paraId="3641AF68">
            <w:pPr>
              <w:spacing w:line="440" w:lineRule="exact"/>
              <w:rPr>
                <w:rFonts w:eastAsia="黑体"/>
                <w:color w:val="auto"/>
                <w:szCs w:val="21"/>
                <w:highlight w:val="none"/>
              </w:rPr>
            </w:pPr>
          </w:p>
        </w:tc>
        <w:tc>
          <w:tcPr>
            <w:tcW w:w="2303" w:type="dxa"/>
            <w:gridSpan w:val="2"/>
            <w:noWrap w:val="0"/>
            <w:vAlign w:val="top"/>
          </w:tcPr>
          <w:p w14:paraId="3D3AEA0A">
            <w:pPr>
              <w:spacing w:line="440" w:lineRule="exact"/>
              <w:rPr>
                <w:rFonts w:eastAsia="黑体"/>
                <w:color w:val="auto"/>
                <w:szCs w:val="21"/>
                <w:highlight w:val="none"/>
              </w:rPr>
            </w:pPr>
          </w:p>
        </w:tc>
      </w:tr>
      <w:tr w14:paraId="33BA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92B52E6">
            <w:pPr>
              <w:spacing w:line="440" w:lineRule="exact"/>
              <w:rPr>
                <w:rFonts w:eastAsia="黑体"/>
                <w:color w:val="auto"/>
                <w:szCs w:val="21"/>
                <w:highlight w:val="none"/>
              </w:rPr>
            </w:pPr>
          </w:p>
        </w:tc>
        <w:tc>
          <w:tcPr>
            <w:tcW w:w="3421" w:type="dxa"/>
            <w:gridSpan w:val="4"/>
            <w:noWrap w:val="0"/>
            <w:vAlign w:val="top"/>
          </w:tcPr>
          <w:p w14:paraId="2A227EB6">
            <w:pPr>
              <w:spacing w:line="440" w:lineRule="exact"/>
              <w:rPr>
                <w:rFonts w:eastAsia="黑体"/>
                <w:color w:val="auto"/>
                <w:szCs w:val="21"/>
                <w:highlight w:val="none"/>
              </w:rPr>
            </w:pPr>
          </w:p>
        </w:tc>
        <w:tc>
          <w:tcPr>
            <w:tcW w:w="1260" w:type="dxa"/>
            <w:noWrap w:val="0"/>
            <w:vAlign w:val="top"/>
          </w:tcPr>
          <w:p w14:paraId="61786C20">
            <w:pPr>
              <w:spacing w:line="440" w:lineRule="exact"/>
              <w:rPr>
                <w:rFonts w:eastAsia="黑体"/>
                <w:color w:val="auto"/>
                <w:szCs w:val="21"/>
                <w:highlight w:val="none"/>
              </w:rPr>
            </w:pPr>
          </w:p>
        </w:tc>
        <w:tc>
          <w:tcPr>
            <w:tcW w:w="2303" w:type="dxa"/>
            <w:gridSpan w:val="2"/>
            <w:noWrap w:val="0"/>
            <w:vAlign w:val="top"/>
          </w:tcPr>
          <w:p w14:paraId="7A9A33EE">
            <w:pPr>
              <w:spacing w:line="440" w:lineRule="exact"/>
              <w:rPr>
                <w:rFonts w:eastAsia="黑体"/>
                <w:color w:val="auto"/>
                <w:szCs w:val="21"/>
                <w:highlight w:val="none"/>
              </w:rPr>
            </w:pPr>
          </w:p>
        </w:tc>
      </w:tr>
      <w:tr w14:paraId="4728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EBF488D">
            <w:pPr>
              <w:spacing w:line="440" w:lineRule="exact"/>
              <w:rPr>
                <w:rFonts w:eastAsia="黑体"/>
                <w:color w:val="auto"/>
                <w:szCs w:val="21"/>
                <w:highlight w:val="none"/>
              </w:rPr>
            </w:pPr>
          </w:p>
        </w:tc>
        <w:tc>
          <w:tcPr>
            <w:tcW w:w="3421" w:type="dxa"/>
            <w:gridSpan w:val="4"/>
            <w:noWrap w:val="0"/>
            <w:vAlign w:val="top"/>
          </w:tcPr>
          <w:p w14:paraId="4759F987">
            <w:pPr>
              <w:spacing w:line="440" w:lineRule="exact"/>
              <w:rPr>
                <w:rFonts w:eastAsia="黑体"/>
                <w:color w:val="auto"/>
                <w:szCs w:val="21"/>
                <w:highlight w:val="none"/>
              </w:rPr>
            </w:pPr>
          </w:p>
        </w:tc>
        <w:tc>
          <w:tcPr>
            <w:tcW w:w="1260" w:type="dxa"/>
            <w:noWrap w:val="0"/>
            <w:vAlign w:val="top"/>
          </w:tcPr>
          <w:p w14:paraId="2F4F5B23">
            <w:pPr>
              <w:spacing w:line="440" w:lineRule="exact"/>
              <w:rPr>
                <w:rFonts w:eastAsia="黑体"/>
                <w:color w:val="auto"/>
                <w:szCs w:val="21"/>
                <w:highlight w:val="none"/>
              </w:rPr>
            </w:pPr>
          </w:p>
        </w:tc>
        <w:tc>
          <w:tcPr>
            <w:tcW w:w="2303" w:type="dxa"/>
            <w:gridSpan w:val="2"/>
            <w:noWrap w:val="0"/>
            <w:vAlign w:val="top"/>
          </w:tcPr>
          <w:p w14:paraId="0CCEEB04">
            <w:pPr>
              <w:spacing w:line="440" w:lineRule="exact"/>
              <w:rPr>
                <w:rFonts w:eastAsia="黑体"/>
                <w:color w:val="auto"/>
                <w:szCs w:val="21"/>
                <w:highlight w:val="none"/>
              </w:rPr>
            </w:pPr>
          </w:p>
        </w:tc>
      </w:tr>
      <w:tr w14:paraId="25D8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31E6BC1">
            <w:pPr>
              <w:spacing w:line="440" w:lineRule="exact"/>
              <w:rPr>
                <w:rFonts w:eastAsia="黑体"/>
                <w:color w:val="auto"/>
                <w:szCs w:val="21"/>
                <w:highlight w:val="none"/>
              </w:rPr>
            </w:pPr>
          </w:p>
        </w:tc>
        <w:tc>
          <w:tcPr>
            <w:tcW w:w="3421" w:type="dxa"/>
            <w:gridSpan w:val="4"/>
            <w:noWrap w:val="0"/>
            <w:vAlign w:val="top"/>
          </w:tcPr>
          <w:p w14:paraId="1EBCC87D">
            <w:pPr>
              <w:spacing w:line="440" w:lineRule="exact"/>
              <w:rPr>
                <w:rFonts w:eastAsia="黑体"/>
                <w:color w:val="auto"/>
                <w:szCs w:val="21"/>
                <w:highlight w:val="none"/>
              </w:rPr>
            </w:pPr>
          </w:p>
        </w:tc>
        <w:tc>
          <w:tcPr>
            <w:tcW w:w="1260" w:type="dxa"/>
            <w:noWrap w:val="0"/>
            <w:vAlign w:val="top"/>
          </w:tcPr>
          <w:p w14:paraId="5184C1CF">
            <w:pPr>
              <w:spacing w:line="440" w:lineRule="exact"/>
              <w:rPr>
                <w:rFonts w:eastAsia="黑体"/>
                <w:color w:val="auto"/>
                <w:szCs w:val="21"/>
                <w:highlight w:val="none"/>
              </w:rPr>
            </w:pPr>
          </w:p>
        </w:tc>
        <w:tc>
          <w:tcPr>
            <w:tcW w:w="2303" w:type="dxa"/>
            <w:gridSpan w:val="2"/>
            <w:noWrap w:val="0"/>
            <w:vAlign w:val="top"/>
          </w:tcPr>
          <w:p w14:paraId="01F50EBF">
            <w:pPr>
              <w:spacing w:line="440" w:lineRule="exact"/>
              <w:rPr>
                <w:rFonts w:eastAsia="黑体"/>
                <w:color w:val="auto"/>
                <w:szCs w:val="21"/>
                <w:highlight w:val="none"/>
              </w:rPr>
            </w:pPr>
          </w:p>
        </w:tc>
      </w:tr>
      <w:tr w14:paraId="638D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5E60C5FE">
            <w:pPr>
              <w:spacing w:line="440" w:lineRule="exact"/>
              <w:rPr>
                <w:rFonts w:eastAsia="黑体"/>
                <w:color w:val="auto"/>
                <w:szCs w:val="21"/>
                <w:highlight w:val="none"/>
              </w:rPr>
            </w:pPr>
          </w:p>
        </w:tc>
        <w:tc>
          <w:tcPr>
            <w:tcW w:w="3421" w:type="dxa"/>
            <w:gridSpan w:val="4"/>
            <w:noWrap w:val="0"/>
            <w:vAlign w:val="top"/>
          </w:tcPr>
          <w:p w14:paraId="22863D8B">
            <w:pPr>
              <w:spacing w:line="440" w:lineRule="exact"/>
              <w:rPr>
                <w:rFonts w:eastAsia="黑体"/>
                <w:color w:val="auto"/>
                <w:szCs w:val="21"/>
                <w:highlight w:val="none"/>
              </w:rPr>
            </w:pPr>
          </w:p>
        </w:tc>
        <w:tc>
          <w:tcPr>
            <w:tcW w:w="1260" w:type="dxa"/>
            <w:noWrap w:val="0"/>
            <w:vAlign w:val="top"/>
          </w:tcPr>
          <w:p w14:paraId="1305F1E5">
            <w:pPr>
              <w:spacing w:line="440" w:lineRule="exact"/>
              <w:rPr>
                <w:rFonts w:eastAsia="黑体"/>
                <w:color w:val="auto"/>
                <w:szCs w:val="21"/>
                <w:highlight w:val="none"/>
              </w:rPr>
            </w:pPr>
          </w:p>
        </w:tc>
        <w:tc>
          <w:tcPr>
            <w:tcW w:w="2303" w:type="dxa"/>
            <w:gridSpan w:val="2"/>
            <w:noWrap w:val="0"/>
            <w:vAlign w:val="top"/>
          </w:tcPr>
          <w:p w14:paraId="60BFD2DA">
            <w:pPr>
              <w:spacing w:line="440" w:lineRule="exact"/>
              <w:rPr>
                <w:rFonts w:eastAsia="黑体"/>
                <w:color w:val="auto"/>
                <w:szCs w:val="21"/>
                <w:highlight w:val="none"/>
              </w:rPr>
            </w:pPr>
          </w:p>
        </w:tc>
      </w:tr>
      <w:tr w14:paraId="327D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E102680">
            <w:pPr>
              <w:spacing w:line="440" w:lineRule="exact"/>
              <w:rPr>
                <w:rFonts w:eastAsia="黑体"/>
                <w:color w:val="auto"/>
                <w:szCs w:val="21"/>
                <w:highlight w:val="none"/>
              </w:rPr>
            </w:pPr>
          </w:p>
        </w:tc>
        <w:tc>
          <w:tcPr>
            <w:tcW w:w="3421" w:type="dxa"/>
            <w:gridSpan w:val="4"/>
            <w:noWrap w:val="0"/>
            <w:vAlign w:val="top"/>
          </w:tcPr>
          <w:p w14:paraId="50E235F6">
            <w:pPr>
              <w:spacing w:line="440" w:lineRule="exact"/>
              <w:rPr>
                <w:rFonts w:eastAsia="黑体"/>
                <w:color w:val="auto"/>
                <w:szCs w:val="21"/>
                <w:highlight w:val="none"/>
              </w:rPr>
            </w:pPr>
          </w:p>
        </w:tc>
        <w:tc>
          <w:tcPr>
            <w:tcW w:w="1260" w:type="dxa"/>
            <w:noWrap w:val="0"/>
            <w:vAlign w:val="top"/>
          </w:tcPr>
          <w:p w14:paraId="2B54EA7B">
            <w:pPr>
              <w:spacing w:line="440" w:lineRule="exact"/>
              <w:rPr>
                <w:rFonts w:eastAsia="黑体"/>
                <w:color w:val="auto"/>
                <w:szCs w:val="21"/>
                <w:highlight w:val="none"/>
              </w:rPr>
            </w:pPr>
          </w:p>
        </w:tc>
        <w:tc>
          <w:tcPr>
            <w:tcW w:w="2303" w:type="dxa"/>
            <w:gridSpan w:val="2"/>
            <w:noWrap w:val="0"/>
            <w:vAlign w:val="top"/>
          </w:tcPr>
          <w:p w14:paraId="395464A3">
            <w:pPr>
              <w:spacing w:line="440" w:lineRule="exact"/>
              <w:rPr>
                <w:rFonts w:eastAsia="黑体"/>
                <w:color w:val="auto"/>
                <w:szCs w:val="21"/>
                <w:highlight w:val="none"/>
              </w:rPr>
            </w:pPr>
          </w:p>
        </w:tc>
      </w:tr>
      <w:tr w14:paraId="5C9E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F7C0CC0">
            <w:pPr>
              <w:spacing w:line="440" w:lineRule="exact"/>
              <w:rPr>
                <w:rFonts w:eastAsia="黑体"/>
                <w:color w:val="auto"/>
                <w:szCs w:val="21"/>
                <w:highlight w:val="none"/>
              </w:rPr>
            </w:pPr>
          </w:p>
        </w:tc>
        <w:tc>
          <w:tcPr>
            <w:tcW w:w="3421" w:type="dxa"/>
            <w:gridSpan w:val="4"/>
            <w:noWrap w:val="0"/>
            <w:vAlign w:val="top"/>
          </w:tcPr>
          <w:p w14:paraId="35D88549">
            <w:pPr>
              <w:spacing w:line="440" w:lineRule="exact"/>
              <w:rPr>
                <w:rFonts w:eastAsia="黑体"/>
                <w:color w:val="auto"/>
                <w:szCs w:val="21"/>
                <w:highlight w:val="none"/>
              </w:rPr>
            </w:pPr>
          </w:p>
        </w:tc>
        <w:tc>
          <w:tcPr>
            <w:tcW w:w="1260" w:type="dxa"/>
            <w:noWrap w:val="0"/>
            <w:vAlign w:val="top"/>
          </w:tcPr>
          <w:p w14:paraId="06622139">
            <w:pPr>
              <w:spacing w:line="440" w:lineRule="exact"/>
              <w:rPr>
                <w:rFonts w:eastAsia="黑体"/>
                <w:color w:val="auto"/>
                <w:szCs w:val="21"/>
                <w:highlight w:val="none"/>
              </w:rPr>
            </w:pPr>
          </w:p>
        </w:tc>
        <w:tc>
          <w:tcPr>
            <w:tcW w:w="2303" w:type="dxa"/>
            <w:gridSpan w:val="2"/>
            <w:noWrap w:val="0"/>
            <w:vAlign w:val="top"/>
          </w:tcPr>
          <w:p w14:paraId="0ED7AD17">
            <w:pPr>
              <w:spacing w:line="440" w:lineRule="exact"/>
              <w:rPr>
                <w:rFonts w:eastAsia="黑体"/>
                <w:color w:val="auto"/>
                <w:szCs w:val="21"/>
                <w:highlight w:val="none"/>
              </w:rPr>
            </w:pPr>
          </w:p>
        </w:tc>
      </w:tr>
      <w:tr w14:paraId="11DD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2289BD6">
            <w:pPr>
              <w:spacing w:line="440" w:lineRule="exact"/>
              <w:rPr>
                <w:rFonts w:eastAsia="黑体"/>
                <w:color w:val="auto"/>
                <w:szCs w:val="21"/>
                <w:highlight w:val="none"/>
              </w:rPr>
            </w:pPr>
          </w:p>
        </w:tc>
        <w:tc>
          <w:tcPr>
            <w:tcW w:w="3421" w:type="dxa"/>
            <w:gridSpan w:val="4"/>
            <w:noWrap w:val="0"/>
            <w:vAlign w:val="top"/>
          </w:tcPr>
          <w:p w14:paraId="1D8E8551">
            <w:pPr>
              <w:spacing w:line="440" w:lineRule="exact"/>
              <w:rPr>
                <w:rFonts w:eastAsia="黑体"/>
                <w:color w:val="auto"/>
                <w:szCs w:val="21"/>
                <w:highlight w:val="none"/>
              </w:rPr>
            </w:pPr>
          </w:p>
        </w:tc>
        <w:tc>
          <w:tcPr>
            <w:tcW w:w="1260" w:type="dxa"/>
            <w:noWrap w:val="0"/>
            <w:vAlign w:val="top"/>
          </w:tcPr>
          <w:p w14:paraId="4F9AE2BB">
            <w:pPr>
              <w:spacing w:line="440" w:lineRule="exact"/>
              <w:rPr>
                <w:rFonts w:eastAsia="黑体"/>
                <w:color w:val="auto"/>
                <w:szCs w:val="21"/>
                <w:highlight w:val="none"/>
              </w:rPr>
            </w:pPr>
          </w:p>
        </w:tc>
        <w:tc>
          <w:tcPr>
            <w:tcW w:w="2303" w:type="dxa"/>
            <w:gridSpan w:val="2"/>
            <w:noWrap w:val="0"/>
            <w:vAlign w:val="top"/>
          </w:tcPr>
          <w:p w14:paraId="5E001E3B">
            <w:pPr>
              <w:spacing w:line="440" w:lineRule="exact"/>
              <w:rPr>
                <w:rFonts w:eastAsia="黑体"/>
                <w:color w:val="auto"/>
                <w:szCs w:val="21"/>
                <w:highlight w:val="none"/>
              </w:rPr>
            </w:pPr>
          </w:p>
        </w:tc>
      </w:tr>
      <w:tr w14:paraId="41CB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B8B492C">
            <w:pPr>
              <w:spacing w:line="440" w:lineRule="exact"/>
              <w:rPr>
                <w:rFonts w:eastAsia="黑体"/>
                <w:color w:val="auto"/>
                <w:szCs w:val="21"/>
                <w:highlight w:val="none"/>
              </w:rPr>
            </w:pPr>
          </w:p>
        </w:tc>
        <w:tc>
          <w:tcPr>
            <w:tcW w:w="3421" w:type="dxa"/>
            <w:gridSpan w:val="4"/>
            <w:noWrap w:val="0"/>
            <w:vAlign w:val="top"/>
          </w:tcPr>
          <w:p w14:paraId="4552AA3F">
            <w:pPr>
              <w:spacing w:line="440" w:lineRule="exact"/>
              <w:rPr>
                <w:rFonts w:eastAsia="黑体"/>
                <w:color w:val="auto"/>
                <w:szCs w:val="21"/>
                <w:highlight w:val="none"/>
              </w:rPr>
            </w:pPr>
          </w:p>
        </w:tc>
        <w:tc>
          <w:tcPr>
            <w:tcW w:w="1260" w:type="dxa"/>
            <w:noWrap w:val="0"/>
            <w:vAlign w:val="top"/>
          </w:tcPr>
          <w:p w14:paraId="2C414D26">
            <w:pPr>
              <w:spacing w:line="440" w:lineRule="exact"/>
              <w:rPr>
                <w:rFonts w:eastAsia="黑体"/>
                <w:color w:val="auto"/>
                <w:szCs w:val="21"/>
                <w:highlight w:val="none"/>
              </w:rPr>
            </w:pPr>
          </w:p>
        </w:tc>
        <w:tc>
          <w:tcPr>
            <w:tcW w:w="2303" w:type="dxa"/>
            <w:gridSpan w:val="2"/>
            <w:noWrap w:val="0"/>
            <w:vAlign w:val="top"/>
          </w:tcPr>
          <w:p w14:paraId="2EA07BDE">
            <w:pPr>
              <w:spacing w:line="440" w:lineRule="exact"/>
              <w:rPr>
                <w:rFonts w:eastAsia="黑体"/>
                <w:color w:val="auto"/>
                <w:szCs w:val="21"/>
                <w:highlight w:val="none"/>
              </w:rPr>
            </w:pPr>
          </w:p>
        </w:tc>
      </w:tr>
    </w:tbl>
    <w:p w14:paraId="2CF9B51B">
      <w:pPr>
        <w:spacing w:line="400" w:lineRule="exact"/>
        <w:ind w:firstLine="420"/>
        <w:rPr>
          <w:color w:val="auto"/>
          <w:highlight w:val="none"/>
        </w:rPr>
      </w:pPr>
      <w:r>
        <w:rPr>
          <w:rFonts w:hint="eastAsia"/>
          <w:color w:val="auto"/>
          <w:highlight w:val="none"/>
        </w:rPr>
        <w:t>注：应附注册建造师执业资格证书、职称证、</w:t>
      </w:r>
      <w:r>
        <w:rPr>
          <w:rFonts w:hint="eastAsia"/>
          <w:color w:val="auto"/>
          <w:highlight w:val="none"/>
          <w:u w:val="single"/>
        </w:rPr>
        <w:t>社保证明</w:t>
      </w:r>
      <w:r>
        <w:rPr>
          <w:rFonts w:hint="eastAsia"/>
          <w:color w:val="auto"/>
          <w:highlight w:val="none"/>
        </w:rPr>
        <w:t>、</w:t>
      </w:r>
      <w:r>
        <w:rPr>
          <w:rFonts w:hint="eastAsia" w:ascii="宋体" w:hAnsi="宋体" w:eastAsia="宋体" w:cs="宋体"/>
          <w:color w:val="auto"/>
          <w:sz w:val="21"/>
          <w:szCs w:val="21"/>
          <w:highlight w:val="none"/>
          <w:lang w:eastAsia="zh-CN"/>
        </w:rPr>
        <w:t>安全生产考核合格证</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B类）或建筑施工企业项目负责人安全生产考核合格证书</w:t>
      </w:r>
      <w:r>
        <w:rPr>
          <w:rFonts w:hint="eastAsia"/>
          <w:color w:val="auto"/>
          <w:highlight w:val="none"/>
          <w:lang w:eastAsia="zh-CN"/>
        </w:rPr>
        <w:t>。</w:t>
      </w:r>
    </w:p>
    <w:p w14:paraId="424AEEB0">
      <w:pPr>
        <w:spacing w:line="400" w:lineRule="exact"/>
        <w:jc w:val="left"/>
        <w:outlineLvl w:val="3"/>
        <w:rPr>
          <w:rFonts w:ascii="宋体" w:hAnsi="宋体"/>
          <w:b/>
          <w:color w:val="auto"/>
          <w:sz w:val="24"/>
          <w:szCs w:val="31"/>
          <w:highlight w:val="none"/>
        </w:rPr>
      </w:pPr>
      <w:bookmarkStart w:id="1205" w:name="_Toc246997117"/>
      <w:bookmarkStart w:id="1206" w:name="_Toc247085892"/>
      <w:bookmarkStart w:id="1207" w:name="_Toc246996374"/>
      <w:bookmarkStart w:id="1208" w:name="_Toc332641447"/>
      <w:r>
        <w:rPr>
          <w:rFonts w:ascii="宋体" w:hAnsi="宋体"/>
          <w:b/>
          <w:color w:val="auto"/>
          <w:sz w:val="24"/>
          <w:szCs w:val="31"/>
          <w:highlight w:val="none"/>
        </w:rPr>
        <w:br w:type="page"/>
      </w:r>
      <w:r>
        <w:rPr>
          <w:rFonts w:ascii="宋体" w:hAnsi="宋体"/>
          <w:b/>
          <w:color w:val="auto"/>
          <w:sz w:val="24"/>
          <w:szCs w:val="31"/>
          <w:highlight w:val="none"/>
        </w:rPr>
        <w:t>（</w:t>
      </w:r>
      <w:r>
        <w:rPr>
          <w:rFonts w:hint="eastAsia" w:ascii="宋体" w:hAnsi="宋体"/>
          <w:b/>
          <w:color w:val="auto"/>
          <w:sz w:val="24"/>
          <w:szCs w:val="31"/>
          <w:highlight w:val="none"/>
        </w:rPr>
        <w:t>三</w:t>
      </w:r>
      <w:r>
        <w:rPr>
          <w:rFonts w:ascii="宋体" w:hAnsi="宋体"/>
          <w:b/>
          <w:color w:val="auto"/>
          <w:sz w:val="24"/>
          <w:szCs w:val="31"/>
          <w:highlight w:val="none"/>
        </w:rPr>
        <w:t>）</w:t>
      </w:r>
      <w:r>
        <w:rPr>
          <w:rFonts w:hint="eastAsia" w:ascii="宋体" w:hAnsi="宋体"/>
          <w:b/>
          <w:color w:val="auto"/>
          <w:sz w:val="24"/>
          <w:szCs w:val="31"/>
          <w:highlight w:val="none"/>
        </w:rPr>
        <w:t>拟投入</w:t>
      </w:r>
      <w:r>
        <w:rPr>
          <w:rFonts w:hint="eastAsia" w:ascii="宋体" w:hAnsi="宋体"/>
          <w:b/>
          <w:color w:val="auto"/>
          <w:sz w:val="24"/>
          <w:szCs w:val="31"/>
          <w:highlight w:val="none"/>
          <w:lang w:eastAsia="zh-CN"/>
        </w:rPr>
        <w:t>技术</w:t>
      </w:r>
      <w:r>
        <w:rPr>
          <w:rFonts w:hint="eastAsia" w:ascii="宋体" w:hAnsi="宋体"/>
          <w:b/>
          <w:color w:val="auto"/>
          <w:sz w:val="24"/>
          <w:szCs w:val="31"/>
          <w:highlight w:val="none"/>
        </w:rPr>
        <w:t>负责人</w:t>
      </w:r>
    </w:p>
    <w:p w14:paraId="4170A7D7">
      <w:pPr>
        <w:spacing w:before="260" w:after="260" w:line="415" w:lineRule="auto"/>
        <w:jc w:val="center"/>
        <w:rPr>
          <w:rFonts w:hint="eastAsia"/>
          <w:b/>
          <w:color w:val="auto"/>
          <w:sz w:val="32"/>
          <w:szCs w:val="32"/>
          <w:highlight w:val="none"/>
        </w:rPr>
      </w:pPr>
      <w:r>
        <w:rPr>
          <w:rFonts w:hint="eastAsia"/>
          <w:b/>
          <w:color w:val="auto"/>
          <w:sz w:val="32"/>
          <w:szCs w:val="32"/>
          <w:highlight w:val="none"/>
        </w:rPr>
        <w:t>技术负责人</w:t>
      </w:r>
      <w:r>
        <w:rPr>
          <w:b/>
          <w:color w:val="auto"/>
          <w:sz w:val="32"/>
          <w:szCs w:val="32"/>
          <w:highlight w:val="none"/>
        </w:rPr>
        <w:t>简历表</w:t>
      </w:r>
    </w:p>
    <w:tbl>
      <w:tblPr>
        <w:tblStyle w:val="18"/>
        <w:tblpPr w:leftFromText="180" w:rightFromText="180" w:vertAnchor="text" w:horzAnchor="margin" w:tblpY="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55"/>
        <w:gridCol w:w="723"/>
        <w:gridCol w:w="928"/>
        <w:gridCol w:w="1066"/>
        <w:gridCol w:w="704"/>
        <w:gridCol w:w="1260"/>
        <w:gridCol w:w="167"/>
        <w:gridCol w:w="2136"/>
      </w:tblGrid>
      <w:tr w14:paraId="6CD3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5345AD8B">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8" w:type="dxa"/>
            <w:gridSpan w:val="2"/>
            <w:noWrap w:val="0"/>
            <w:vAlign w:val="center"/>
          </w:tcPr>
          <w:p w14:paraId="53724A7E">
            <w:pPr>
              <w:spacing w:line="440" w:lineRule="exact"/>
              <w:jc w:val="center"/>
              <w:rPr>
                <w:rFonts w:ascii="宋体" w:hAnsi="宋体"/>
                <w:color w:val="auto"/>
                <w:szCs w:val="21"/>
                <w:highlight w:val="none"/>
              </w:rPr>
            </w:pPr>
          </w:p>
        </w:tc>
        <w:tc>
          <w:tcPr>
            <w:tcW w:w="928" w:type="dxa"/>
            <w:noWrap w:val="0"/>
            <w:vAlign w:val="center"/>
          </w:tcPr>
          <w:p w14:paraId="6CED6C9B">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6" w:type="dxa"/>
            <w:noWrap w:val="0"/>
            <w:vAlign w:val="center"/>
          </w:tcPr>
          <w:p w14:paraId="0C363625">
            <w:pPr>
              <w:spacing w:line="440" w:lineRule="exact"/>
              <w:jc w:val="center"/>
              <w:rPr>
                <w:rFonts w:ascii="宋体" w:hAnsi="宋体"/>
                <w:color w:val="auto"/>
                <w:szCs w:val="21"/>
                <w:highlight w:val="none"/>
              </w:rPr>
            </w:pPr>
          </w:p>
        </w:tc>
        <w:tc>
          <w:tcPr>
            <w:tcW w:w="2131" w:type="dxa"/>
            <w:gridSpan w:val="3"/>
            <w:noWrap w:val="0"/>
            <w:vAlign w:val="center"/>
          </w:tcPr>
          <w:p w14:paraId="2999F015">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6" w:type="dxa"/>
            <w:noWrap w:val="0"/>
            <w:vAlign w:val="center"/>
          </w:tcPr>
          <w:p w14:paraId="51A9D17C">
            <w:pPr>
              <w:spacing w:line="440" w:lineRule="exact"/>
              <w:rPr>
                <w:rFonts w:ascii="宋体" w:hAnsi="宋体"/>
                <w:color w:val="auto"/>
                <w:szCs w:val="21"/>
                <w:highlight w:val="none"/>
              </w:rPr>
            </w:pPr>
          </w:p>
        </w:tc>
      </w:tr>
      <w:tr w14:paraId="6333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0"/>
            <w:vAlign w:val="center"/>
          </w:tcPr>
          <w:p w14:paraId="3E5DAA79">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8" w:type="dxa"/>
            <w:gridSpan w:val="2"/>
            <w:noWrap w:val="0"/>
            <w:vAlign w:val="center"/>
          </w:tcPr>
          <w:p w14:paraId="776F4C6D">
            <w:pPr>
              <w:spacing w:line="440" w:lineRule="exact"/>
              <w:jc w:val="center"/>
              <w:rPr>
                <w:rFonts w:ascii="宋体" w:hAnsi="宋体"/>
                <w:color w:val="auto"/>
                <w:szCs w:val="21"/>
                <w:highlight w:val="none"/>
              </w:rPr>
            </w:pPr>
          </w:p>
        </w:tc>
        <w:tc>
          <w:tcPr>
            <w:tcW w:w="928" w:type="dxa"/>
            <w:noWrap w:val="0"/>
            <w:vAlign w:val="center"/>
          </w:tcPr>
          <w:p w14:paraId="4CEC8D76">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6" w:type="dxa"/>
            <w:noWrap w:val="0"/>
            <w:vAlign w:val="center"/>
          </w:tcPr>
          <w:p w14:paraId="132F9241">
            <w:pPr>
              <w:spacing w:line="440" w:lineRule="exact"/>
              <w:jc w:val="center"/>
              <w:rPr>
                <w:rFonts w:ascii="宋体" w:hAnsi="宋体"/>
                <w:color w:val="auto"/>
                <w:szCs w:val="21"/>
                <w:highlight w:val="none"/>
              </w:rPr>
            </w:pPr>
          </w:p>
        </w:tc>
        <w:tc>
          <w:tcPr>
            <w:tcW w:w="2131" w:type="dxa"/>
            <w:gridSpan w:val="3"/>
            <w:noWrap w:val="0"/>
            <w:vAlign w:val="center"/>
          </w:tcPr>
          <w:p w14:paraId="5AB11D69">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6" w:type="dxa"/>
            <w:noWrap w:val="0"/>
            <w:vAlign w:val="center"/>
          </w:tcPr>
          <w:p w14:paraId="72925A64">
            <w:pPr>
              <w:spacing w:line="440" w:lineRule="exact"/>
              <w:rPr>
                <w:rFonts w:ascii="宋体" w:hAnsi="宋体"/>
                <w:color w:val="auto"/>
                <w:szCs w:val="21"/>
                <w:highlight w:val="none"/>
              </w:rPr>
            </w:pPr>
          </w:p>
        </w:tc>
      </w:tr>
      <w:tr w14:paraId="0F94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9"/>
            <w:noWrap w:val="0"/>
            <w:vAlign w:val="center"/>
          </w:tcPr>
          <w:p w14:paraId="10A415E5">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14:paraId="618F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429FD836">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14:paraId="0E75E69A">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0" w:type="dxa"/>
            <w:noWrap w:val="0"/>
            <w:vAlign w:val="center"/>
          </w:tcPr>
          <w:p w14:paraId="0CF6FE69">
            <w:pPr>
              <w:spacing w:line="440" w:lineRule="exact"/>
              <w:rPr>
                <w:rFonts w:ascii="宋体" w:hAnsi="宋体"/>
                <w:color w:val="auto"/>
                <w:szCs w:val="21"/>
                <w:highlight w:val="none"/>
              </w:rPr>
            </w:pPr>
            <w:r>
              <w:rPr>
                <w:rFonts w:ascii="宋体" w:hAnsi="宋体"/>
                <w:color w:val="auto"/>
                <w:szCs w:val="21"/>
                <w:highlight w:val="none"/>
              </w:rPr>
              <w:t>担任职务</w:t>
            </w:r>
          </w:p>
        </w:tc>
        <w:tc>
          <w:tcPr>
            <w:tcW w:w="2303" w:type="dxa"/>
            <w:gridSpan w:val="2"/>
            <w:noWrap w:val="0"/>
            <w:vAlign w:val="center"/>
          </w:tcPr>
          <w:p w14:paraId="128EE37A">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14:paraId="4FE2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4F15B6F">
            <w:pPr>
              <w:spacing w:line="440" w:lineRule="exact"/>
              <w:rPr>
                <w:rFonts w:eastAsia="黑体"/>
                <w:color w:val="auto"/>
                <w:szCs w:val="21"/>
                <w:highlight w:val="none"/>
              </w:rPr>
            </w:pPr>
          </w:p>
        </w:tc>
        <w:tc>
          <w:tcPr>
            <w:tcW w:w="3421" w:type="dxa"/>
            <w:gridSpan w:val="4"/>
            <w:noWrap w:val="0"/>
            <w:vAlign w:val="top"/>
          </w:tcPr>
          <w:p w14:paraId="7F7530F3">
            <w:pPr>
              <w:spacing w:line="440" w:lineRule="exact"/>
              <w:rPr>
                <w:rFonts w:eastAsia="黑体"/>
                <w:color w:val="auto"/>
                <w:szCs w:val="21"/>
                <w:highlight w:val="none"/>
              </w:rPr>
            </w:pPr>
          </w:p>
        </w:tc>
        <w:tc>
          <w:tcPr>
            <w:tcW w:w="1260" w:type="dxa"/>
            <w:noWrap w:val="0"/>
            <w:vAlign w:val="top"/>
          </w:tcPr>
          <w:p w14:paraId="6B89DD74">
            <w:pPr>
              <w:spacing w:line="440" w:lineRule="exact"/>
              <w:rPr>
                <w:rFonts w:eastAsia="黑体"/>
                <w:color w:val="auto"/>
                <w:szCs w:val="21"/>
                <w:highlight w:val="none"/>
              </w:rPr>
            </w:pPr>
          </w:p>
        </w:tc>
        <w:tc>
          <w:tcPr>
            <w:tcW w:w="2303" w:type="dxa"/>
            <w:gridSpan w:val="2"/>
            <w:noWrap w:val="0"/>
            <w:vAlign w:val="top"/>
          </w:tcPr>
          <w:p w14:paraId="373BFC8C">
            <w:pPr>
              <w:spacing w:line="440" w:lineRule="exact"/>
              <w:rPr>
                <w:rFonts w:eastAsia="黑体"/>
                <w:color w:val="auto"/>
                <w:szCs w:val="21"/>
                <w:highlight w:val="none"/>
              </w:rPr>
            </w:pPr>
          </w:p>
        </w:tc>
      </w:tr>
      <w:tr w14:paraId="2EA9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2CC869D7">
            <w:pPr>
              <w:spacing w:line="440" w:lineRule="exact"/>
              <w:rPr>
                <w:rFonts w:eastAsia="黑体"/>
                <w:color w:val="auto"/>
                <w:szCs w:val="21"/>
                <w:highlight w:val="none"/>
              </w:rPr>
            </w:pPr>
          </w:p>
        </w:tc>
        <w:tc>
          <w:tcPr>
            <w:tcW w:w="3421" w:type="dxa"/>
            <w:gridSpan w:val="4"/>
            <w:noWrap w:val="0"/>
            <w:vAlign w:val="top"/>
          </w:tcPr>
          <w:p w14:paraId="20C38767">
            <w:pPr>
              <w:spacing w:line="440" w:lineRule="exact"/>
              <w:rPr>
                <w:rFonts w:eastAsia="黑体"/>
                <w:color w:val="auto"/>
                <w:szCs w:val="21"/>
                <w:highlight w:val="none"/>
              </w:rPr>
            </w:pPr>
          </w:p>
        </w:tc>
        <w:tc>
          <w:tcPr>
            <w:tcW w:w="1260" w:type="dxa"/>
            <w:noWrap w:val="0"/>
            <w:vAlign w:val="top"/>
          </w:tcPr>
          <w:p w14:paraId="160DAB30">
            <w:pPr>
              <w:spacing w:line="440" w:lineRule="exact"/>
              <w:rPr>
                <w:rFonts w:eastAsia="黑体"/>
                <w:color w:val="auto"/>
                <w:szCs w:val="21"/>
                <w:highlight w:val="none"/>
              </w:rPr>
            </w:pPr>
          </w:p>
        </w:tc>
        <w:tc>
          <w:tcPr>
            <w:tcW w:w="2303" w:type="dxa"/>
            <w:gridSpan w:val="2"/>
            <w:noWrap w:val="0"/>
            <w:vAlign w:val="top"/>
          </w:tcPr>
          <w:p w14:paraId="7B1F6CCF">
            <w:pPr>
              <w:spacing w:line="440" w:lineRule="exact"/>
              <w:rPr>
                <w:rFonts w:eastAsia="黑体"/>
                <w:color w:val="auto"/>
                <w:szCs w:val="21"/>
                <w:highlight w:val="none"/>
              </w:rPr>
            </w:pPr>
          </w:p>
        </w:tc>
      </w:tr>
      <w:tr w14:paraId="525D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539C293F">
            <w:pPr>
              <w:spacing w:line="440" w:lineRule="exact"/>
              <w:rPr>
                <w:rFonts w:eastAsia="黑体"/>
                <w:color w:val="auto"/>
                <w:szCs w:val="21"/>
                <w:highlight w:val="none"/>
              </w:rPr>
            </w:pPr>
          </w:p>
        </w:tc>
        <w:tc>
          <w:tcPr>
            <w:tcW w:w="3421" w:type="dxa"/>
            <w:gridSpan w:val="4"/>
            <w:noWrap w:val="0"/>
            <w:vAlign w:val="top"/>
          </w:tcPr>
          <w:p w14:paraId="4653F020">
            <w:pPr>
              <w:spacing w:line="440" w:lineRule="exact"/>
              <w:rPr>
                <w:rFonts w:eastAsia="黑体"/>
                <w:color w:val="auto"/>
                <w:szCs w:val="21"/>
                <w:highlight w:val="none"/>
              </w:rPr>
            </w:pPr>
          </w:p>
        </w:tc>
        <w:tc>
          <w:tcPr>
            <w:tcW w:w="1260" w:type="dxa"/>
            <w:noWrap w:val="0"/>
            <w:vAlign w:val="top"/>
          </w:tcPr>
          <w:p w14:paraId="41FF4A7F">
            <w:pPr>
              <w:spacing w:line="440" w:lineRule="exact"/>
              <w:rPr>
                <w:rFonts w:eastAsia="黑体"/>
                <w:color w:val="auto"/>
                <w:szCs w:val="21"/>
                <w:highlight w:val="none"/>
              </w:rPr>
            </w:pPr>
          </w:p>
        </w:tc>
        <w:tc>
          <w:tcPr>
            <w:tcW w:w="2303" w:type="dxa"/>
            <w:gridSpan w:val="2"/>
            <w:noWrap w:val="0"/>
            <w:vAlign w:val="top"/>
          </w:tcPr>
          <w:p w14:paraId="1FE16E74">
            <w:pPr>
              <w:spacing w:line="440" w:lineRule="exact"/>
              <w:rPr>
                <w:rFonts w:eastAsia="黑体"/>
                <w:color w:val="auto"/>
                <w:szCs w:val="21"/>
                <w:highlight w:val="none"/>
              </w:rPr>
            </w:pPr>
          </w:p>
        </w:tc>
      </w:tr>
      <w:tr w14:paraId="5229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E9ACF0D">
            <w:pPr>
              <w:spacing w:line="440" w:lineRule="exact"/>
              <w:rPr>
                <w:rFonts w:eastAsia="黑体"/>
                <w:color w:val="auto"/>
                <w:szCs w:val="21"/>
                <w:highlight w:val="none"/>
              </w:rPr>
            </w:pPr>
          </w:p>
        </w:tc>
        <w:tc>
          <w:tcPr>
            <w:tcW w:w="3421" w:type="dxa"/>
            <w:gridSpan w:val="4"/>
            <w:noWrap w:val="0"/>
            <w:vAlign w:val="top"/>
          </w:tcPr>
          <w:p w14:paraId="0447B7F4">
            <w:pPr>
              <w:spacing w:line="440" w:lineRule="exact"/>
              <w:rPr>
                <w:rFonts w:eastAsia="黑体"/>
                <w:color w:val="auto"/>
                <w:szCs w:val="21"/>
                <w:highlight w:val="none"/>
              </w:rPr>
            </w:pPr>
          </w:p>
        </w:tc>
        <w:tc>
          <w:tcPr>
            <w:tcW w:w="1260" w:type="dxa"/>
            <w:noWrap w:val="0"/>
            <w:vAlign w:val="top"/>
          </w:tcPr>
          <w:p w14:paraId="2A2A7D3E">
            <w:pPr>
              <w:spacing w:line="440" w:lineRule="exact"/>
              <w:rPr>
                <w:rFonts w:eastAsia="黑体"/>
                <w:color w:val="auto"/>
                <w:szCs w:val="21"/>
                <w:highlight w:val="none"/>
              </w:rPr>
            </w:pPr>
          </w:p>
        </w:tc>
        <w:tc>
          <w:tcPr>
            <w:tcW w:w="2303" w:type="dxa"/>
            <w:gridSpan w:val="2"/>
            <w:noWrap w:val="0"/>
            <w:vAlign w:val="top"/>
          </w:tcPr>
          <w:p w14:paraId="62829BF3">
            <w:pPr>
              <w:spacing w:line="440" w:lineRule="exact"/>
              <w:rPr>
                <w:rFonts w:eastAsia="黑体"/>
                <w:color w:val="auto"/>
                <w:szCs w:val="21"/>
                <w:highlight w:val="none"/>
              </w:rPr>
            </w:pPr>
          </w:p>
        </w:tc>
      </w:tr>
      <w:tr w14:paraId="2A84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196CE43">
            <w:pPr>
              <w:spacing w:line="440" w:lineRule="exact"/>
              <w:rPr>
                <w:rFonts w:eastAsia="黑体"/>
                <w:color w:val="auto"/>
                <w:szCs w:val="21"/>
                <w:highlight w:val="none"/>
              </w:rPr>
            </w:pPr>
          </w:p>
        </w:tc>
        <w:tc>
          <w:tcPr>
            <w:tcW w:w="3421" w:type="dxa"/>
            <w:gridSpan w:val="4"/>
            <w:noWrap w:val="0"/>
            <w:vAlign w:val="top"/>
          </w:tcPr>
          <w:p w14:paraId="1FA36FF2">
            <w:pPr>
              <w:spacing w:line="440" w:lineRule="exact"/>
              <w:rPr>
                <w:rFonts w:eastAsia="黑体"/>
                <w:color w:val="auto"/>
                <w:szCs w:val="21"/>
                <w:highlight w:val="none"/>
              </w:rPr>
            </w:pPr>
          </w:p>
        </w:tc>
        <w:tc>
          <w:tcPr>
            <w:tcW w:w="1260" w:type="dxa"/>
            <w:noWrap w:val="0"/>
            <w:vAlign w:val="top"/>
          </w:tcPr>
          <w:p w14:paraId="6568B853">
            <w:pPr>
              <w:spacing w:line="440" w:lineRule="exact"/>
              <w:rPr>
                <w:rFonts w:eastAsia="黑体"/>
                <w:color w:val="auto"/>
                <w:szCs w:val="21"/>
                <w:highlight w:val="none"/>
              </w:rPr>
            </w:pPr>
          </w:p>
        </w:tc>
        <w:tc>
          <w:tcPr>
            <w:tcW w:w="2303" w:type="dxa"/>
            <w:gridSpan w:val="2"/>
            <w:noWrap w:val="0"/>
            <w:vAlign w:val="top"/>
          </w:tcPr>
          <w:p w14:paraId="4E3067C2">
            <w:pPr>
              <w:spacing w:line="440" w:lineRule="exact"/>
              <w:rPr>
                <w:rFonts w:eastAsia="黑体"/>
                <w:color w:val="auto"/>
                <w:szCs w:val="21"/>
                <w:highlight w:val="none"/>
              </w:rPr>
            </w:pPr>
          </w:p>
        </w:tc>
      </w:tr>
      <w:tr w14:paraId="1779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7C7515E">
            <w:pPr>
              <w:spacing w:line="440" w:lineRule="exact"/>
              <w:rPr>
                <w:rFonts w:eastAsia="黑体"/>
                <w:color w:val="auto"/>
                <w:szCs w:val="21"/>
                <w:highlight w:val="none"/>
              </w:rPr>
            </w:pPr>
          </w:p>
        </w:tc>
        <w:tc>
          <w:tcPr>
            <w:tcW w:w="3421" w:type="dxa"/>
            <w:gridSpan w:val="4"/>
            <w:noWrap w:val="0"/>
            <w:vAlign w:val="top"/>
          </w:tcPr>
          <w:p w14:paraId="0FE9D150">
            <w:pPr>
              <w:spacing w:line="440" w:lineRule="exact"/>
              <w:rPr>
                <w:rFonts w:eastAsia="黑体"/>
                <w:color w:val="auto"/>
                <w:szCs w:val="21"/>
                <w:highlight w:val="none"/>
              </w:rPr>
            </w:pPr>
          </w:p>
        </w:tc>
        <w:tc>
          <w:tcPr>
            <w:tcW w:w="1260" w:type="dxa"/>
            <w:noWrap w:val="0"/>
            <w:vAlign w:val="top"/>
          </w:tcPr>
          <w:p w14:paraId="39DAD2B6">
            <w:pPr>
              <w:spacing w:line="440" w:lineRule="exact"/>
              <w:rPr>
                <w:rFonts w:eastAsia="黑体"/>
                <w:color w:val="auto"/>
                <w:szCs w:val="21"/>
                <w:highlight w:val="none"/>
              </w:rPr>
            </w:pPr>
          </w:p>
        </w:tc>
        <w:tc>
          <w:tcPr>
            <w:tcW w:w="2303" w:type="dxa"/>
            <w:gridSpan w:val="2"/>
            <w:noWrap w:val="0"/>
            <w:vAlign w:val="top"/>
          </w:tcPr>
          <w:p w14:paraId="59EEE5D3">
            <w:pPr>
              <w:spacing w:line="440" w:lineRule="exact"/>
              <w:rPr>
                <w:rFonts w:eastAsia="黑体"/>
                <w:color w:val="auto"/>
                <w:szCs w:val="21"/>
                <w:highlight w:val="none"/>
              </w:rPr>
            </w:pPr>
          </w:p>
        </w:tc>
      </w:tr>
      <w:tr w14:paraId="5C1A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6CFC27F">
            <w:pPr>
              <w:spacing w:line="440" w:lineRule="exact"/>
              <w:rPr>
                <w:rFonts w:eastAsia="黑体"/>
                <w:color w:val="auto"/>
                <w:szCs w:val="21"/>
                <w:highlight w:val="none"/>
              </w:rPr>
            </w:pPr>
          </w:p>
        </w:tc>
        <w:tc>
          <w:tcPr>
            <w:tcW w:w="3421" w:type="dxa"/>
            <w:gridSpan w:val="4"/>
            <w:noWrap w:val="0"/>
            <w:vAlign w:val="top"/>
          </w:tcPr>
          <w:p w14:paraId="6BDD8DCD">
            <w:pPr>
              <w:spacing w:line="440" w:lineRule="exact"/>
              <w:rPr>
                <w:rFonts w:eastAsia="黑体"/>
                <w:color w:val="auto"/>
                <w:szCs w:val="21"/>
                <w:highlight w:val="none"/>
              </w:rPr>
            </w:pPr>
          </w:p>
        </w:tc>
        <w:tc>
          <w:tcPr>
            <w:tcW w:w="1260" w:type="dxa"/>
            <w:noWrap w:val="0"/>
            <w:vAlign w:val="top"/>
          </w:tcPr>
          <w:p w14:paraId="2FC87FB4">
            <w:pPr>
              <w:spacing w:line="440" w:lineRule="exact"/>
              <w:rPr>
                <w:rFonts w:eastAsia="黑体"/>
                <w:color w:val="auto"/>
                <w:szCs w:val="21"/>
                <w:highlight w:val="none"/>
              </w:rPr>
            </w:pPr>
          </w:p>
        </w:tc>
        <w:tc>
          <w:tcPr>
            <w:tcW w:w="2303" w:type="dxa"/>
            <w:gridSpan w:val="2"/>
            <w:noWrap w:val="0"/>
            <w:vAlign w:val="top"/>
          </w:tcPr>
          <w:p w14:paraId="5DBB1CCF">
            <w:pPr>
              <w:spacing w:line="440" w:lineRule="exact"/>
              <w:rPr>
                <w:rFonts w:eastAsia="黑体"/>
                <w:color w:val="auto"/>
                <w:szCs w:val="21"/>
                <w:highlight w:val="none"/>
              </w:rPr>
            </w:pPr>
          </w:p>
        </w:tc>
      </w:tr>
      <w:tr w14:paraId="28E3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61AE82B">
            <w:pPr>
              <w:spacing w:line="440" w:lineRule="exact"/>
              <w:rPr>
                <w:rFonts w:eastAsia="黑体"/>
                <w:color w:val="auto"/>
                <w:szCs w:val="21"/>
                <w:highlight w:val="none"/>
              </w:rPr>
            </w:pPr>
          </w:p>
        </w:tc>
        <w:tc>
          <w:tcPr>
            <w:tcW w:w="3421" w:type="dxa"/>
            <w:gridSpan w:val="4"/>
            <w:noWrap w:val="0"/>
            <w:vAlign w:val="top"/>
          </w:tcPr>
          <w:p w14:paraId="668CD78E">
            <w:pPr>
              <w:spacing w:line="440" w:lineRule="exact"/>
              <w:rPr>
                <w:rFonts w:eastAsia="黑体"/>
                <w:color w:val="auto"/>
                <w:szCs w:val="21"/>
                <w:highlight w:val="none"/>
              </w:rPr>
            </w:pPr>
          </w:p>
        </w:tc>
        <w:tc>
          <w:tcPr>
            <w:tcW w:w="1260" w:type="dxa"/>
            <w:noWrap w:val="0"/>
            <w:vAlign w:val="top"/>
          </w:tcPr>
          <w:p w14:paraId="0F889CDF">
            <w:pPr>
              <w:spacing w:line="440" w:lineRule="exact"/>
              <w:rPr>
                <w:rFonts w:eastAsia="黑体"/>
                <w:color w:val="auto"/>
                <w:szCs w:val="21"/>
                <w:highlight w:val="none"/>
              </w:rPr>
            </w:pPr>
          </w:p>
        </w:tc>
        <w:tc>
          <w:tcPr>
            <w:tcW w:w="2303" w:type="dxa"/>
            <w:gridSpan w:val="2"/>
            <w:noWrap w:val="0"/>
            <w:vAlign w:val="top"/>
          </w:tcPr>
          <w:p w14:paraId="77098493">
            <w:pPr>
              <w:spacing w:line="440" w:lineRule="exact"/>
              <w:rPr>
                <w:rFonts w:eastAsia="黑体"/>
                <w:color w:val="auto"/>
                <w:szCs w:val="21"/>
                <w:highlight w:val="none"/>
              </w:rPr>
            </w:pPr>
          </w:p>
        </w:tc>
      </w:tr>
      <w:tr w14:paraId="44B1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8A26420">
            <w:pPr>
              <w:spacing w:line="440" w:lineRule="exact"/>
              <w:rPr>
                <w:rFonts w:eastAsia="黑体"/>
                <w:color w:val="auto"/>
                <w:szCs w:val="21"/>
                <w:highlight w:val="none"/>
              </w:rPr>
            </w:pPr>
          </w:p>
        </w:tc>
        <w:tc>
          <w:tcPr>
            <w:tcW w:w="3421" w:type="dxa"/>
            <w:gridSpan w:val="4"/>
            <w:noWrap w:val="0"/>
            <w:vAlign w:val="top"/>
          </w:tcPr>
          <w:p w14:paraId="244FD5F2">
            <w:pPr>
              <w:spacing w:line="440" w:lineRule="exact"/>
              <w:rPr>
                <w:rFonts w:eastAsia="黑体"/>
                <w:color w:val="auto"/>
                <w:szCs w:val="21"/>
                <w:highlight w:val="none"/>
              </w:rPr>
            </w:pPr>
          </w:p>
        </w:tc>
        <w:tc>
          <w:tcPr>
            <w:tcW w:w="1260" w:type="dxa"/>
            <w:noWrap w:val="0"/>
            <w:vAlign w:val="top"/>
          </w:tcPr>
          <w:p w14:paraId="0BAB7E61">
            <w:pPr>
              <w:spacing w:line="440" w:lineRule="exact"/>
              <w:rPr>
                <w:rFonts w:eastAsia="黑体"/>
                <w:color w:val="auto"/>
                <w:szCs w:val="21"/>
                <w:highlight w:val="none"/>
              </w:rPr>
            </w:pPr>
          </w:p>
        </w:tc>
        <w:tc>
          <w:tcPr>
            <w:tcW w:w="2303" w:type="dxa"/>
            <w:gridSpan w:val="2"/>
            <w:noWrap w:val="0"/>
            <w:vAlign w:val="top"/>
          </w:tcPr>
          <w:p w14:paraId="2379B156">
            <w:pPr>
              <w:spacing w:line="440" w:lineRule="exact"/>
              <w:rPr>
                <w:rFonts w:eastAsia="黑体"/>
                <w:color w:val="auto"/>
                <w:szCs w:val="21"/>
                <w:highlight w:val="none"/>
              </w:rPr>
            </w:pPr>
          </w:p>
        </w:tc>
      </w:tr>
      <w:tr w14:paraId="5A52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40F0755">
            <w:pPr>
              <w:spacing w:line="440" w:lineRule="exact"/>
              <w:rPr>
                <w:rFonts w:eastAsia="黑体"/>
                <w:color w:val="auto"/>
                <w:szCs w:val="21"/>
                <w:highlight w:val="none"/>
              </w:rPr>
            </w:pPr>
          </w:p>
        </w:tc>
        <w:tc>
          <w:tcPr>
            <w:tcW w:w="3421" w:type="dxa"/>
            <w:gridSpan w:val="4"/>
            <w:noWrap w:val="0"/>
            <w:vAlign w:val="top"/>
          </w:tcPr>
          <w:p w14:paraId="1BCD9C8D">
            <w:pPr>
              <w:spacing w:line="440" w:lineRule="exact"/>
              <w:rPr>
                <w:rFonts w:eastAsia="黑体"/>
                <w:color w:val="auto"/>
                <w:szCs w:val="21"/>
                <w:highlight w:val="none"/>
              </w:rPr>
            </w:pPr>
          </w:p>
        </w:tc>
        <w:tc>
          <w:tcPr>
            <w:tcW w:w="1260" w:type="dxa"/>
            <w:noWrap w:val="0"/>
            <w:vAlign w:val="top"/>
          </w:tcPr>
          <w:p w14:paraId="16583262">
            <w:pPr>
              <w:spacing w:line="440" w:lineRule="exact"/>
              <w:rPr>
                <w:rFonts w:eastAsia="黑体"/>
                <w:color w:val="auto"/>
                <w:szCs w:val="21"/>
                <w:highlight w:val="none"/>
              </w:rPr>
            </w:pPr>
          </w:p>
        </w:tc>
        <w:tc>
          <w:tcPr>
            <w:tcW w:w="2303" w:type="dxa"/>
            <w:gridSpan w:val="2"/>
            <w:noWrap w:val="0"/>
            <w:vAlign w:val="top"/>
          </w:tcPr>
          <w:p w14:paraId="649C27E4">
            <w:pPr>
              <w:spacing w:line="440" w:lineRule="exact"/>
              <w:rPr>
                <w:rFonts w:eastAsia="黑体"/>
                <w:color w:val="auto"/>
                <w:szCs w:val="21"/>
                <w:highlight w:val="none"/>
              </w:rPr>
            </w:pPr>
          </w:p>
        </w:tc>
      </w:tr>
      <w:tr w14:paraId="1911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041FC7C">
            <w:pPr>
              <w:spacing w:line="440" w:lineRule="exact"/>
              <w:rPr>
                <w:rFonts w:eastAsia="黑体"/>
                <w:color w:val="auto"/>
                <w:szCs w:val="21"/>
                <w:highlight w:val="none"/>
              </w:rPr>
            </w:pPr>
          </w:p>
        </w:tc>
        <w:tc>
          <w:tcPr>
            <w:tcW w:w="3421" w:type="dxa"/>
            <w:gridSpan w:val="4"/>
            <w:noWrap w:val="0"/>
            <w:vAlign w:val="top"/>
          </w:tcPr>
          <w:p w14:paraId="7A5CEAB7">
            <w:pPr>
              <w:spacing w:line="440" w:lineRule="exact"/>
              <w:rPr>
                <w:rFonts w:eastAsia="黑体"/>
                <w:color w:val="auto"/>
                <w:szCs w:val="21"/>
                <w:highlight w:val="none"/>
              </w:rPr>
            </w:pPr>
          </w:p>
        </w:tc>
        <w:tc>
          <w:tcPr>
            <w:tcW w:w="1260" w:type="dxa"/>
            <w:noWrap w:val="0"/>
            <w:vAlign w:val="top"/>
          </w:tcPr>
          <w:p w14:paraId="027EB08B">
            <w:pPr>
              <w:spacing w:line="440" w:lineRule="exact"/>
              <w:rPr>
                <w:rFonts w:eastAsia="黑体"/>
                <w:color w:val="auto"/>
                <w:szCs w:val="21"/>
                <w:highlight w:val="none"/>
              </w:rPr>
            </w:pPr>
          </w:p>
        </w:tc>
        <w:tc>
          <w:tcPr>
            <w:tcW w:w="2303" w:type="dxa"/>
            <w:gridSpan w:val="2"/>
            <w:noWrap w:val="0"/>
            <w:vAlign w:val="top"/>
          </w:tcPr>
          <w:p w14:paraId="019E8423">
            <w:pPr>
              <w:spacing w:line="440" w:lineRule="exact"/>
              <w:rPr>
                <w:rFonts w:eastAsia="黑体"/>
                <w:color w:val="auto"/>
                <w:szCs w:val="21"/>
                <w:highlight w:val="none"/>
              </w:rPr>
            </w:pPr>
          </w:p>
        </w:tc>
      </w:tr>
      <w:tr w14:paraId="5B11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5D8C15C">
            <w:pPr>
              <w:spacing w:line="440" w:lineRule="exact"/>
              <w:rPr>
                <w:rFonts w:eastAsia="黑体"/>
                <w:color w:val="auto"/>
                <w:szCs w:val="21"/>
                <w:highlight w:val="none"/>
              </w:rPr>
            </w:pPr>
          </w:p>
        </w:tc>
        <w:tc>
          <w:tcPr>
            <w:tcW w:w="3421" w:type="dxa"/>
            <w:gridSpan w:val="4"/>
            <w:noWrap w:val="0"/>
            <w:vAlign w:val="top"/>
          </w:tcPr>
          <w:p w14:paraId="314216BF">
            <w:pPr>
              <w:spacing w:line="440" w:lineRule="exact"/>
              <w:rPr>
                <w:rFonts w:eastAsia="黑体"/>
                <w:color w:val="auto"/>
                <w:szCs w:val="21"/>
                <w:highlight w:val="none"/>
              </w:rPr>
            </w:pPr>
          </w:p>
        </w:tc>
        <w:tc>
          <w:tcPr>
            <w:tcW w:w="1260" w:type="dxa"/>
            <w:noWrap w:val="0"/>
            <w:vAlign w:val="top"/>
          </w:tcPr>
          <w:p w14:paraId="32C973B5">
            <w:pPr>
              <w:spacing w:line="440" w:lineRule="exact"/>
              <w:rPr>
                <w:rFonts w:eastAsia="黑体"/>
                <w:color w:val="auto"/>
                <w:szCs w:val="21"/>
                <w:highlight w:val="none"/>
              </w:rPr>
            </w:pPr>
          </w:p>
        </w:tc>
        <w:tc>
          <w:tcPr>
            <w:tcW w:w="2303" w:type="dxa"/>
            <w:gridSpan w:val="2"/>
            <w:noWrap w:val="0"/>
            <w:vAlign w:val="top"/>
          </w:tcPr>
          <w:p w14:paraId="08606B8E">
            <w:pPr>
              <w:spacing w:line="440" w:lineRule="exact"/>
              <w:rPr>
                <w:rFonts w:eastAsia="黑体"/>
                <w:color w:val="auto"/>
                <w:szCs w:val="21"/>
                <w:highlight w:val="none"/>
              </w:rPr>
            </w:pPr>
          </w:p>
        </w:tc>
      </w:tr>
    </w:tbl>
    <w:p w14:paraId="799CEC97">
      <w:pPr>
        <w:spacing w:before="260" w:after="260" w:line="415" w:lineRule="auto"/>
        <w:jc w:val="left"/>
        <w:rPr>
          <w:color w:val="auto"/>
          <w:szCs w:val="21"/>
          <w:highlight w:val="none"/>
        </w:rPr>
      </w:pPr>
      <w:r>
        <w:rPr>
          <w:rFonts w:hint="eastAsia"/>
          <w:color w:val="auto"/>
          <w:highlight w:val="none"/>
        </w:rPr>
        <w:t>注：</w:t>
      </w:r>
      <w:r>
        <w:rPr>
          <w:rFonts w:hint="eastAsia"/>
          <w:color w:val="auto"/>
          <w:szCs w:val="21"/>
          <w:highlight w:val="none"/>
        </w:rPr>
        <w:t>应附职称证书、</w:t>
      </w:r>
      <w:r>
        <w:rPr>
          <w:rFonts w:hint="eastAsia"/>
          <w:color w:val="auto"/>
          <w:highlight w:val="none"/>
          <w:u w:val="single"/>
        </w:rPr>
        <w:t>社保证明</w:t>
      </w:r>
      <w:r>
        <w:rPr>
          <w:rFonts w:hint="eastAsia"/>
          <w:color w:val="auto"/>
          <w:szCs w:val="21"/>
          <w:highlight w:val="none"/>
        </w:rPr>
        <w:t>。</w:t>
      </w:r>
    </w:p>
    <w:p w14:paraId="20D77CA9">
      <w:pPr>
        <w:pageBreakBefore/>
        <w:widowControl/>
        <w:jc w:val="left"/>
        <w:rPr>
          <w:rFonts w:ascii="宋体" w:hAnsi="宋体"/>
          <w:b/>
          <w:color w:val="auto"/>
          <w:sz w:val="24"/>
          <w:szCs w:val="31"/>
          <w:highlight w:val="none"/>
        </w:rPr>
      </w:pPr>
    </w:p>
    <w:p w14:paraId="5F3A2833">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w:t>
      </w:r>
      <w:r>
        <w:rPr>
          <w:rFonts w:hint="eastAsia" w:ascii="宋体" w:hAnsi="宋体"/>
          <w:b/>
          <w:color w:val="auto"/>
          <w:sz w:val="24"/>
          <w:szCs w:val="31"/>
          <w:highlight w:val="none"/>
          <w:lang w:eastAsia="zh-CN"/>
        </w:rPr>
        <w:t>四</w:t>
      </w:r>
      <w:r>
        <w:rPr>
          <w:rFonts w:hint="eastAsia" w:ascii="宋体" w:hAnsi="宋体"/>
          <w:b/>
          <w:color w:val="auto"/>
          <w:sz w:val="24"/>
          <w:szCs w:val="31"/>
          <w:highlight w:val="none"/>
        </w:rPr>
        <w:t>）</w:t>
      </w:r>
      <w:r>
        <w:rPr>
          <w:rFonts w:hint="eastAsia" w:ascii="宋体" w:hAnsi="宋体"/>
          <w:b/>
          <w:color w:val="auto"/>
          <w:sz w:val="24"/>
          <w:szCs w:val="31"/>
          <w:highlight w:val="none"/>
          <w:lang w:eastAsia="zh-CN"/>
        </w:rPr>
        <w:t>拟投入</w:t>
      </w:r>
      <w:r>
        <w:rPr>
          <w:rFonts w:hint="eastAsia" w:ascii="宋体" w:hAnsi="宋体"/>
          <w:b/>
          <w:color w:val="auto"/>
          <w:sz w:val="24"/>
          <w:szCs w:val="31"/>
          <w:highlight w:val="none"/>
        </w:rPr>
        <w:t>专职安全员</w:t>
      </w:r>
      <w:bookmarkEnd w:id="1205"/>
      <w:bookmarkEnd w:id="1206"/>
      <w:bookmarkEnd w:id="1207"/>
      <w:bookmarkEnd w:id="1208"/>
    </w:p>
    <w:p w14:paraId="2A028D6B">
      <w:pPr>
        <w:spacing w:before="260" w:after="260" w:line="415" w:lineRule="auto"/>
        <w:jc w:val="center"/>
        <w:rPr>
          <w:b/>
          <w:color w:val="auto"/>
          <w:sz w:val="32"/>
          <w:szCs w:val="32"/>
          <w:highlight w:val="none"/>
        </w:rPr>
      </w:pPr>
      <w:r>
        <w:rPr>
          <w:rFonts w:hint="eastAsia" w:ascii="Times New Roman" w:hAnsi="Times New Roman"/>
          <w:b/>
          <w:color w:val="auto"/>
          <w:sz w:val="32"/>
          <w:szCs w:val="32"/>
          <w:highlight w:val="none"/>
        </w:rPr>
        <w:t>专职安全员</w:t>
      </w:r>
      <w:r>
        <w:rPr>
          <w:rFonts w:hint="eastAsia"/>
          <w:b/>
          <w:color w:val="auto"/>
          <w:sz w:val="32"/>
          <w:szCs w:val="32"/>
          <w:highlight w:val="none"/>
        </w:rPr>
        <w:t>简历</w:t>
      </w:r>
      <w:r>
        <w:rPr>
          <w:rFonts w:hint="eastAsia" w:ascii="Times New Roman" w:hAnsi="Times New Roman"/>
          <w:b/>
          <w:color w:val="auto"/>
          <w:sz w:val="32"/>
          <w:szCs w:val="32"/>
          <w:highlight w:val="none"/>
        </w:rPr>
        <w:t>表</w:t>
      </w:r>
    </w:p>
    <w:p w14:paraId="57EAE122">
      <w:pPr>
        <w:spacing w:line="400" w:lineRule="exact"/>
        <w:ind w:firstLine="420" w:firstLineChars="200"/>
        <w:rPr>
          <w:color w:val="auto"/>
          <w:highlight w:val="none"/>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9"/>
        <w:gridCol w:w="1314"/>
        <w:gridCol w:w="1264"/>
        <w:gridCol w:w="1378"/>
      </w:tblGrid>
      <w:tr w14:paraId="333EF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14:paraId="0FC316E1">
            <w:pPr>
              <w:pStyle w:val="2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16" w:type="dxa"/>
            <w:noWrap w:val="0"/>
            <w:vAlign w:val="center"/>
          </w:tcPr>
          <w:p w14:paraId="168CC68E">
            <w:pPr>
              <w:pStyle w:val="28"/>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14:paraId="07BA4631">
            <w:pPr>
              <w:pStyle w:val="2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1314" w:type="dxa"/>
            <w:noWrap w:val="0"/>
            <w:vAlign w:val="center"/>
          </w:tcPr>
          <w:p w14:paraId="16AB6DDE">
            <w:pPr>
              <w:pStyle w:val="28"/>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14:paraId="78AB3216">
            <w:pPr>
              <w:pStyle w:val="2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职称</w:t>
            </w:r>
          </w:p>
        </w:tc>
        <w:tc>
          <w:tcPr>
            <w:tcW w:w="1378" w:type="dxa"/>
            <w:noWrap w:val="0"/>
            <w:vAlign w:val="center"/>
          </w:tcPr>
          <w:p w14:paraId="48CB159B">
            <w:pPr>
              <w:pStyle w:val="28"/>
              <w:adjustRightInd w:val="0"/>
              <w:snapToGrid w:val="0"/>
              <w:spacing w:before="0" w:after="0"/>
              <w:jc w:val="center"/>
              <w:rPr>
                <w:rFonts w:ascii="宋体" w:hAnsi="宋体" w:eastAsia="宋体"/>
                <w:color w:val="auto"/>
                <w:sz w:val="21"/>
                <w:szCs w:val="21"/>
                <w:highlight w:val="none"/>
              </w:rPr>
            </w:pPr>
          </w:p>
        </w:tc>
      </w:tr>
      <w:tr w14:paraId="32708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14:paraId="6BD4C201">
            <w:pPr>
              <w:pStyle w:val="2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从事本工作时间</w:t>
            </w:r>
          </w:p>
        </w:tc>
        <w:tc>
          <w:tcPr>
            <w:tcW w:w="1916" w:type="dxa"/>
            <w:noWrap w:val="0"/>
            <w:vAlign w:val="center"/>
          </w:tcPr>
          <w:p w14:paraId="53A7D44F">
            <w:pPr>
              <w:pStyle w:val="28"/>
              <w:adjustRightInd w:val="0"/>
              <w:snapToGrid w:val="0"/>
              <w:spacing w:before="0" w:after="0"/>
              <w:jc w:val="center"/>
              <w:rPr>
                <w:rFonts w:ascii="宋体" w:hAnsi="宋体" w:eastAsia="宋体"/>
                <w:color w:val="auto"/>
                <w:sz w:val="21"/>
                <w:szCs w:val="21"/>
                <w:highlight w:val="none"/>
              </w:rPr>
            </w:pPr>
          </w:p>
        </w:tc>
        <w:tc>
          <w:tcPr>
            <w:tcW w:w="1329" w:type="dxa"/>
            <w:noWrap w:val="0"/>
            <w:vAlign w:val="center"/>
          </w:tcPr>
          <w:p w14:paraId="0FC61DEA">
            <w:pPr>
              <w:pStyle w:val="2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学历</w:t>
            </w:r>
          </w:p>
        </w:tc>
        <w:tc>
          <w:tcPr>
            <w:tcW w:w="1314" w:type="dxa"/>
            <w:noWrap w:val="0"/>
            <w:vAlign w:val="center"/>
          </w:tcPr>
          <w:p w14:paraId="62E67E93">
            <w:pPr>
              <w:pStyle w:val="28"/>
              <w:adjustRightInd w:val="0"/>
              <w:snapToGrid w:val="0"/>
              <w:spacing w:before="0" w:after="0"/>
              <w:jc w:val="center"/>
              <w:rPr>
                <w:rFonts w:ascii="宋体" w:hAnsi="宋体" w:eastAsia="宋体"/>
                <w:color w:val="auto"/>
                <w:sz w:val="21"/>
                <w:szCs w:val="21"/>
                <w:highlight w:val="none"/>
              </w:rPr>
            </w:pPr>
          </w:p>
        </w:tc>
        <w:tc>
          <w:tcPr>
            <w:tcW w:w="1264" w:type="dxa"/>
            <w:noWrap w:val="0"/>
            <w:vAlign w:val="center"/>
          </w:tcPr>
          <w:p w14:paraId="17FD7915">
            <w:pPr>
              <w:pStyle w:val="2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专业</w:t>
            </w:r>
          </w:p>
        </w:tc>
        <w:tc>
          <w:tcPr>
            <w:tcW w:w="1378" w:type="dxa"/>
            <w:noWrap w:val="0"/>
            <w:vAlign w:val="center"/>
          </w:tcPr>
          <w:p w14:paraId="65070850">
            <w:pPr>
              <w:pStyle w:val="28"/>
              <w:adjustRightInd w:val="0"/>
              <w:snapToGrid w:val="0"/>
              <w:spacing w:before="0" w:after="0"/>
              <w:jc w:val="center"/>
              <w:rPr>
                <w:rFonts w:ascii="宋体" w:hAnsi="宋体" w:eastAsia="宋体"/>
                <w:color w:val="auto"/>
                <w:sz w:val="21"/>
                <w:szCs w:val="21"/>
                <w:highlight w:val="none"/>
              </w:rPr>
            </w:pPr>
          </w:p>
        </w:tc>
      </w:tr>
    </w:tbl>
    <w:p w14:paraId="0141BD8C">
      <w:pPr>
        <w:widowControl/>
        <w:jc w:val="left"/>
        <w:rPr>
          <w:color w:val="auto"/>
          <w:highlight w:val="none"/>
        </w:rPr>
      </w:pPr>
      <w:r>
        <w:rPr>
          <w:rFonts w:hint="eastAsia"/>
          <w:color w:val="auto"/>
          <w:highlight w:val="none"/>
        </w:rPr>
        <w:t>注：应附安全生产考核合格证（C类）或建筑施工企业专职安全生产管理人员安全生产考核合格证书(C</w:t>
      </w:r>
      <w:r>
        <w:rPr>
          <w:rFonts w:hint="eastAsia"/>
          <w:color w:val="auto"/>
          <w:highlight w:val="none"/>
          <w:u w:val="single"/>
          <w:lang w:val="en-US" w:eastAsia="zh-CN"/>
        </w:rPr>
        <w:t>3</w:t>
      </w:r>
      <w:r>
        <w:rPr>
          <w:rFonts w:hint="eastAsia"/>
          <w:color w:val="auto"/>
          <w:highlight w:val="none"/>
        </w:rPr>
        <w:t>类)、</w:t>
      </w:r>
      <w:r>
        <w:rPr>
          <w:rFonts w:hint="eastAsia"/>
          <w:color w:val="auto"/>
          <w:highlight w:val="none"/>
          <w:u w:val="single"/>
        </w:rPr>
        <w:t>社保证明</w:t>
      </w:r>
      <w:r>
        <w:rPr>
          <w:rFonts w:hint="eastAsia"/>
          <w:color w:val="auto"/>
          <w:highlight w:val="none"/>
          <w:u w:val="single"/>
          <w:lang w:eastAsia="zh-CN"/>
        </w:rPr>
        <w:t>。</w:t>
      </w:r>
      <w:r>
        <w:rPr>
          <w:rFonts w:ascii="宋体" w:hAnsi="宋体"/>
          <w:b/>
          <w:color w:val="auto"/>
          <w:sz w:val="24"/>
          <w:szCs w:val="31"/>
          <w:highlight w:val="none"/>
        </w:rPr>
        <w:br w:type="page"/>
      </w:r>
      <w:bookmarkEnd w:id="1189"/>
      <w:bookmarkEnd w:id="1190"/>
      <w:bookmarkEnd w:id="1191"/>
      <w:bookmarkEnd w:id="1192"/>
      <w:bookmarkEnd w:id="1193"/>
      <w:bookmarkEnd w:id="1194"/>
      <w:bookmarkEnd w:id="1195"/>
      <w:bookmarkEnd w:id="1196"/>
      <w:bookmarkEnd w:id="1197"/>
    </w:p>
    <w:p w14:paraId="37568783">
      <w:pPr>
        <w:spacing w:line="360" w:lineRule="auto"/>
        <w:jc w:val="left"/>
        <w:outlineLvl w:val="3"/>
        <w:rPr>
          <w:rFonts w:ascii="宋体" w:hAnsi="宋体"/>
          <w:b/>
          <w:color w:val="auto"/>
          <w:sz w:val="24"/>
          <w:szCs w:val="31"/>
          <w:highlight w:val="none"/>
        </w:rPr>
      </w:pPr>
      <w:bookmarkStart w:id="1209" w:name="_Toc229474018"/>
      <w:bookmarkStart w:id="1210" w:name="_Toc222029457"/>
      <w:bookmarkStart w:id="1211" w:name="_Toc227133884"/>
      <w:bookmarkStart w:id="1212" w:name="_Toc221949861"/>
      <w:r>
        <w:rPr>
          <w:rFonts w:hint="eastAsia" w:ascii="宋体" w:hAnsi="宋体"/>
          <w:b/>
          <w:color w:val="auto"/>
          <w:sz w:val="24"/>
          <w:szCs w:val="31"/>
          <w:highlight w:val="none"/>
        </w:rPr>
        <w:t>（</w:t>
      </w:r>
      <w:r>
        <w:rPr>
          <w:rFonts w:hint="eastAsia" w:ascii="宋体" w:hAnsi="宋体"/>
          <w:b/>
          <w:color w:val="auto"/>
          <w:sz w:val="24"/>
          <w:szCs w:val="31"/>
          <w:highlight w:val="none"/>
          <w:lang w:val="en-US" w:eastAsia="zh-CN"/>
        </w:rPr>
        <w:t>五</w:t>
      </w:r>
      <w:r>
        <w:rPr>
          <w:rFonts w:hint="eastAsia" w:ascii="宋体" w:hAnsi="宋体"/>
          <w:b/>
          <w:color w:val="auto"/>
          <w:sz w:val="24"/>
          <w:szCs w:val="31"/>
          <w:highlight w:val="none"/>
        </w:rPr>
        <w:t>）近3年完成的类似项目情况表</w:t>
      </w:r>
      <w:bookmarkEnd w:id="1209"/>
      <w:bookmarkEnd w:id="1210"/>
      <w:bookmarkEnd w:id="1211"/>
      <w:bookmarkEnd w:id="1212"/>
    </w:p>
    <w:p w14:paraId="25E7BF23">
      <w:pPr>
        <w:topLinePunct/>
        <w:spacing w:line="360" w:lineRule="auto"/>
        <w:jc w:val="center"/>
        <w:rPr>
          <w:color w:val="auto"/>
          <w:szCs w:val="21"/>
          <w:highlight w:val="none"/>
        </w:rPr>
      </w:pPr>
      <w:r>
        <w:rPr>
          <w:rFonts w:hint="eastAsia"/>
          <w:color w:val="auto"/>
          <w:szCs w:val="21"/>
          <w:highlight w:val="none"/>
        </w:rPr>
        <w:t>（近3年指</w:t>
      </w:r>
      <w:r>
        <w:rPr>
          <w:rFonts w:hint="eastAsia"/>
          <w:color w:val="auto"/>
          <w:szCs w:val="21"/>
          <w:highlight w:val="none"/>
          <w:u w:val="single"/>
        </w:rPr>
        <w:t xml:space="preserve"> </w:t>
      </w:r>
      <w:r>
        <w:rPr>
          <w:rFonts w:hint="eastAsia"/>
          <w:color w:val="auto"/>
          <w:szCs w:val="21"/>
          <w:highlight w:val="none"/>
          <w:u w:val="single"/>
          <w:lang w:val="en-US" w:eastAsia="zh-CN"/>
        </w:rPr>
        <w:t>2022</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u w:val="single"/>
          <w:lang w:val="en-US" w:eastAsia="zh-CN"/>
        </w:rPr>
        <w:t>1</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lang w:val="en-US" w:eastAsia="zh-CN"/>
        </w:rPr>
        <w:t xml:space="preserve"> 1 日至今</w:t>
      </w:r>
      <w:r>
        <w:rPr>
          <w:rFonts w:hint="eastAsia"/>
          <w:color w:val="auto"/>
          <w:szCs w:val="21"/>
          <w:highlight w:val="none"/>
        </w:rPr>
        <w:t>）</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5182"/>
      </w:tblGrid>
      <w:tr w14:paraId="3509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1B39BB2">
            <w:pPr>
              <w:topLinePunct/>
              <w:spacing w:line="360" w:lineRule="auto"/>
              <w:jc w:val="center"/>
              <w:rPr>
                <w:rFonts w:ascii="宋体" w:hAnsi="宋体"/>
                <w:color w:val="auto"/>
                <w:szCs w:val="21"/>
                <w:highlight w:val="none"/>
              </w:rPr>
            </w:pPr>
            <w:bookmarkStart w:id="1213" w:name="_Toc221949862"/>
            <w:r>
              <w:rPr>
                <w:rFonts w:hint="eastAsia" w:ascii="宋体" w:hAnsi="宋体"/>
                <w:color w:val="auto"/>
                <w:szCs w:val="21"/>
                <w:highlight w:val="none"/>
              </w:rPr>
              <w:t>合同</w:t>
            </w:r>
            <w:r>
              <w:rPr>
                <w:rFonts w:ascii="宋体" w:hAnsi="宋体"/>
                <w:color w:val="auto"/>
                <w:szCs w:val="21"/>
                <w:highlight w:val="none"/>
              </w:rPr>
              <w:t>名称</w:t>
            </w:r>
            <w:bookmarkEnd w:id="1213"/>
          </w:p>
        </w:tc>
        <w:tc>
          <w:tcPr>
            <w:tcW w:w="5182" w:type="dxa"/>
            <w:noWrap w:val="0"/>
            <w:vAlign w:val="center"/>
          </w:tcPr>
          <w:p w14:paraId="2B95D551">
            <w:pPr>
              <w:topLinePunct/>
              <w:spacing w:line="360" w:lineRule="auto"/>
              <w:jc w:val="center"/>
              <w:rPr>
                <w:rFonts w:ascii="宋体" w:hAnsi="宋体"/>
                <w:color w:val="auto"/>
                <w:szCs w:val="21"/>
                <w:highlight w:val="none"/>
              </w:rPr>
            </w:pPr>
          </w:p>
        </w:tc>
      </w:tr>
      <w:tr w14:paraId="6F07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4255CDB">
            <w:pPr>
              <w:topLinePunct/>
              <w:spacing w:line="360" w:lineRule="auto"/>
              <w:jc w:val="center"/>
              <w:rPr>
                <w:rFonts w:ascii="宋体" w:hAnsi="宋体"/>
                <w:color w:val="auto"/>
                <w:szCs w:val="21"/>
                <w:highlight w:val="none"/>
              </w:rPr>
            </w:pPr>
            <w:bookmarkStart w:id="1214" w:name="_Toc221949863"/>
            <w:r>
              <w:rPr>
                <w:rFonts w:hint="eastAsia" w:ascii="宋体" w:hAnsi="宋体"/>
                <w:color w:val="auto"/>
                <w:szCs w:val="21"/>
                <w:highlight w:val="none"/>
              </w:rPr>
              <w:t>合同</w:t>
            </w:r>
            <w:r>
              <w:rPr>
                <w:rFonts w:ascii="宋体" w:hAnsi="宋体"/>
                <w:color w:val="auto"/>
                <w:szCs w:val="21"/>
                <w:highlight w:val="none"/>
              </w:rPr>
              <w:t>项目所在地</w:t>
            </w:r>
            <w:bookmarkEnd w:id="1214"/>
          </w:p>
        </w:tc>
        <w:tc>
          <w:tcPr>
            <w:tcW w:w="5182" w:type="dxa"/>
            <w:noWrap w:val="0"/>
            <w:vAlign w:val="center"/>
          </w:tcPr>
          <w:p w14:paraId="3510D426">
            <w:pPr>
              <w:topLinePunct/>
              <w:spacing w:line="360" w:lineRule="auto"/>
              <w:jc w:val="center"/>
              <w:rPr>
                <w:rFonts w:ascii="宋体" w:hAnsi="宋体"/>
                <w:color w:val="auto"/>
                <w:szCs w:val="21"/>
                <w:highlight w:val="none"/>
              </w:rPr>
            </w:pPr>
          </w:p>
        </w:tc>
      </w:tr>
      <w:tr w14:paraId="259D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8424B75">
            <w:pPr>
              <w:topLinePunct/>
              <w:spacing w:line="360" w:lineRule="auto"/>
              <w:jc w:val="center"/>
              <w:rPr>
                <w:rFonts w:ascii="宋体" w:hAnsi="宋体"/>
                <w:color w:val="auto"/>
                <w:szCs w:val="21"/>
                <w:highlight w:val="none"/>
              </w:rPr>
            </w:pPr>
            <w:bookmarkStart w:id="1215" w:name="_Toc221949864"/>
            <w:r>
              <w:rPr>
                <w:rFonts w:ascii="宋体" w:hAnsi="宋体"/>
                <w:color w:val="auto"/>
                <w:szCs w:val="21"/>
                <w:highlight w:val="none"/>
              </w:rPr>
              <w:t>发包人名称</w:t>
            </w:r>
            <w:bookmarkEnd w:id="1215"/>
          </w:p>
        </w:tc>
        <w:tc>
          <w:tcPr>
            <w:tcW w:w="5182" w:type="dxa"/>
            <w:noWrap w:val="0"/>
            <w:vAlign w:val="center"/>
          </w:tcPr>
          <w:p w14:paraId="79467D22">
            <w:pPr>
              <w:topLinePunct/>
              <w:spacing w:line="360" w:lineRule="auto"/>
              <w:jc w:val="center"/>
              <w:rPr>
                <w:rFonts w:ascii="宋体" w:hAnsi="宋体"/>
                <w:color w:val="auto"/>
                <w:szCs w:val="21"/>
                <w:highlight w:val="none"/>
              </w:rPr>
            </w:pPr>
          </w:p>
        </w:tc>
      </w:tr>
      <w:tr w14:paraId="64A6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77A0C1F6">
            <w:pPr>
              <w:topLinePunct/>
              <w:spacing w:line="360" w:lineRule="auto"/>
              <w:jc w:val="center"/>
              <w:rPr>
                <w:rFonts w:ascii="宋体" w:hAnsi="宋体"/>
                <w:color w:val="auto"/>
                <w:szCs w:val="21"/>
                <w:highlight w:val="none"/>
              </w:rPr>
            </w:pPr>
            <w:bookmarkStart w:id="1216" w:name="_Toc221949865"/>
            <w:r>
              <w:rPr>
                <w:rFonts w:ascii="宋体" w:hAnsi="宋体"/>
                <w:color w:val="auto"/>
                <w:szCs w:val="21"/>
                <w:highlight w:val="none"/>
              </w:rPr>
              <w:t>发包人地址</w:t>
            </w:r>
            <w:bookmarkEnd w:id="1216"/>
          </w:p>
        </w:tc>
        <w:tc>
          <w:tcPr>
            <w:tcW w:w="5182" w:type="dxa"/>
            <w:noWrap w:val="0"/>
            <w:vAlign w:val="center"/>
          </w:tcPr>
          <w:p w14:paraId="432354C5">
            <w:pPr>
              <w:topLinePunct/>
              <w:spacing w:line="360" w:lineRule="auto"/>
              <w:jc w:val="center"/>
              <w:rPr>
                <w:rFonts w:ascii="宋体" w:hAnsi="宋体"/>
                <w:color w:val="auto"/>
                <w:szCs w:val="21"/>
                <w:highlight w:val="none"/>
              </w:rPr>
            </w:pPr>
          </w:p>
        </w:tc>
      </w:tr>
      <w:tr w14:paraId="7220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3671C93">
            <w:pPr>
              <w:topLinePunct/>
              <w:spacing w:line="360" w:lineRule="auto"/>
              <w:jc w:val="center"/>
              <w:rPr>
                <w:rFonts w:ascii="宋体" w:hAnsi="宋体"/>
                <w:color w:val="auto"/>
                <w:szCs w:val="21"/>
                <w:highlight w:val="none"/>
              </w:rPr>
            </w:pPr>
            <w:bookmarkStart w:id="1217" w:name="_Toc221949866"/>
            <w:r>
              <w:rPr>
                <w:rFonts w:ascii="宋体" w:hAnsi="宋体"/>
                <w:color w:val="auto"/>
                <w:szCs w:val="21"/>
                <w:highlight w:val="none"/>
              </w:rPr>
              <w:t>发包人电话</w:t>
            </w:r>
            <w:bookmarkEnd w:id="1217"/>
          </w:p>
        </w:tc>
        <w:tc>
          <w:tcPr>
            <w:tcW w:w="5182" w:type="dxa"/>
            <w:noWrap w:val="0"/>
            <w:vAlign w:val="center"/>
          </w:tcPr>
          <w:p w14:paraId="7E34B99B">
            <w:pPr>
              <w:topLinePunct/>
              <w:spacing w:line="360" w:lineRule="auto"/>
              <w:jc w:val="center"/>
              <w:rPr>
                <w:rFonts w:ascii="宋体" w:hAnsi="宋体"/>
                <w:color w:val="auto"/>
                <w:szCs w:val="21"/>
                <w:highlight w:val="none"/>
              </w:rPr>
            </w:pPr>
          </w:p>
        </w:tc>
      </w:tr>
      <w:tr w14:paraId="47A7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4BBFC685">
            <w:pPr>
              <w:topLinePunct/>
              <w:spacing w:line="360" w:lineRule="auto"/>
              <w:jc w:val="center"/>
              <w:rPr>
                <w:rFonts w:ascii="宋体" w:hAnsi="宋体"/>
                <w:color w:val="auto"/>
                <w:szCs w:val="21"/>
                <w:highlight w:val="none"/>
              </w:rPr>
            </w:pPr>
            <w:bookmarkStart w:id="1218" w:name="_Toc221949867"/>
            <w:r>
              <w:rPr>
                <w:rFonts w:hint="eastAsia" w:ascii="宋体" w:hAnsi="宋体"/>
                <w:color w:val="auto"/>
                <w:szCs w:val="21"/>
                <w:highlight w:val="none"/>
              </w:rPr>
              <w:t>签约</w:t>
            </w:r>
            <w:r>
              <w:rPr>
                <w:rFonts w:ascii="宋体" w:hAnsi="宋体"/>
                <w:color w:val="auto"/>
                <w:szCs w:val="21"/>
                <w:highlight w:val="none"/>
              </w:rPr>
              <w:t>合同价</w:t>
            </w:r>
            <w:bookmarkEnd w:id="1218"/>
          </w:p>
        </w:tc>
        <w:tc>
          <w:tcPr>
            <w:tcW w:w="5182" w:type="dxa"/>
            <w:noWrap w:val="0"/>
            <w:vAlign w:val="center"/>
          </w:tcPr>
          <w:p w14:paraId="0C9EA645">
            <w:pPr>
              <w:topLinePunct/>
              <w:spacing w:line="360" w:lineRule="auto"/>
              <w:jc w:val="center"/>
              <w:rPr>
                <w:rFonts w:ascii="宋体" w:hAnsi="宋体"/>
                <w:color w:val="auto"/>
                <w:szCs w:val="21"/>
                <w:highlight w:val="none"/>
              </w:rPr>
            </w:pPr>
          </w:p>
        </w:tc>
      </w:tr>
      <w:tr w14:paraId="446D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AF231ED">
            <w:pPr>
              <w:topLinePunct/>
              <w:spacing w:line="360" w:lineRule="auto"/>
              <w:jc w:val="center"/>
              <w:rPr>
                <w:rFonts w:ascii="宋体" w:hAnsi="宋体"/>
                <w:color w:val="auto"/>
                <w:szCs w:val="21"/>
                <w:highlight w:val="none"/>
              </w:rPr>
            </w:pPr>
            <w:bookmarkStart w:id="1219" w:name="_Toc221949868"/>
            <w:r>
              <w:rPr>
                <w:rFonts w:ascii="宋体" w:hAnsi="宋体"/>
                <w:color w:val="auto"/>
                <w:szCs w:val="21"/>
                <w:highlight w:val="none"/>
              </w:rPr>
              <w:t>开工日期</w:t>
            </w:r>
            <w:bookmarkEnd w:id="1219"/>
          </w:p>
        </w:tc>
        <w:tc>
          <w:tcPr>
            <w:tcW w:w="5182" w:type="dxa"/>
            <w:noWrap w:val="0"/>
            <w:vAlign w:val="center"/>
          </w:tcPr>
          <w:p w14:paraId="14C55E19">
            <w:pPr>
              <w:topLinePunct/>
              <w:spacing w:line="360" w:lineRule="auto"/>
              <w:jc w:val="center"/>
              <w:rPr>
                <w:rFonts w:ascii="宋体" w:hAnsi="宋体"/>
                <w:color w:val="auto"/>
                <w:szCs w:val="21"/>
                <w:highlight w:val="none"/>
              </w:rPr>
            </w:pPr>
          </w:p>
        </w:tc>
      </w:tr>
      <w:tr w14:paraId="393D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71E0FC72">
            <w:pPr>
              <w:topLinePunct/>
              <w:spacing w:line="360" w:lineRule="auto"/>
              <w:jc w:val="center"/>
              <w:rPr>
                <w:rFonts w:ascii="宋体" w:hAnsi="宋体"/>
                <w:color w:val="auto"/>
                <w:szCs w:val="21"/>
                <w:highlight w:val="none"/>
              </w:rPr>
            </w:pPr>
            <w:bookmarkStart w:id="1220" w:name="_Toc221949869"/>
            <w:r>
              <w:rPr>
                <w:rFonts w:hint="eastAsia" w:ascii="宋体" w:hAnsi="宋体"/>
                <w:color w:val="auto"/>
                <w:szCs w:val="21"/>
                <w:highlight w:val="none"/>
              </w:rPr>
              <w:t>完工</w:t>
            </w:r>
            <w:r>
              <w:rPr>
                <w:rFonts w:ascii="宋体" w:hAnsi="宋体"/>
                <w:color w:val="auto"/>
                <w:szCs w:val="21"/>
                <w:highlight w:val="none"/>
              </w:rPr>
              <w:t>日期</w:t>
            </w:r>
            <w:bookmarkEnd w:id="1220"/>
          </w:p>
        </w:tc>
        <w:tc>
          <w:tcPr>
            <w:tcW w:w="5182" w:type="dxa"/>
            <w:noWrap w:val="0"/>
            <w:vAlign w:val="center"/>
          </w:tcPr>
          <w:p w14:paraId="75B7EE7B">
            <w:pPr>
              <w:topLinePunct/>
              <w:spacing w:line="360" w:lineRule="auto"/>
              <w:jc w:val="center"/>
              <w:rPr>
                <w:rFonts w:ascii="宋体" w:hAnsi="宋体"/>
                <w:color w:val="auto"/>
                <w:szCs w:val="21"/>
                <w:highlight w:val="none"/>
              </w:rPr>
            </w:pPr>
          </w:p>
        </w:tc>
      </w:tr>
      <w:tr w14:paraId="6B7D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643C11FC">
            <w:pPr>
              <w:topLinePunct/>
              <w:spacing w:line="360" w:lineRule="auto"/>
              <w:jc w:val="center"/>
              <w:rPr>
                <w:rFonts w:ascii="宋体" w:hAnsi="宋体"/>
                <w:color w:val="auto"/>
                <w:szCs w:val="21"/>
                <w:highlight w:val="none"/>
              </w:rPr>
            </w:pPr>
            <w:bookmarkStart w:id="1221" w:name="_Toc221949870"/>
            <w:r>
              <w:rPr>
                <w:rFonts w:ascii="宋体" w:hAnsi="宋体"/>
                <w:color w:val="auto"/>
                <w:szCs w:val="21"/>
                <w:highlight w:val="none"/>
              </w:rPr>
              <w:t>承担的工作</w:t>
            </w:r>
            <w:bookmarkEnd w:id="1221"/>
          </w:p>
        </w:tc>
        <w:tc>
          <w:tcPr>
            <w:tcW w:w="5182" w:type="dxa"/>
            <w:noWrap w:val="0"/>
            <w:vAlign w:val="center"/>
          </w:tcPr>
          <w:p w14:paraId="1E58B932">
            <w:pPr>
              <w:topLinePunct/>
              <w:spacing w:line="360" w:lineRule="auto"/>
              <w:jc w:val="center"/>
              <w:rPr>
                <w:rFonts w:ascii="宋体" w:hAnsi="宋体"/>
                <w:color w:val="auto"/>
                <w:szCs w:val="21"/>
                <w:highlight w:val="none"/>
              </w:rPr>
            </w:pPr>
          </w:p>
        </w:tc>
      </w:tr>
      <w:tr w14:paraId="4C3E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C56C2A9">
            <w:pPr>
              <w:topLinePunct/>
              <w:spacing w:line="360" w:lineRule="auto"/>
              <w:jc w:val="center"/>
              <w:rPr>
                <w:rFonts w:ascii="宋体" w:hAnsi="宋体"/>
                <w:color w:val="auto"/>
                <w:szCs w:val="21"/>
                <w:highlight w:val="none"/>
              </w:rPr>
            </w:pPr>
            <w:bookmarkStart w:id="1222" w:name="_Toc221949871"/>
            <w:r>
              <w:rPr>
                <w:rFonts w:ascii="宋体" w:hAnsi="宋体"/>
                <w:color w:val="auto"/>
                <w:szCs w:val="21"/>
                <w:highlight w:val="none"/>
              </w:rPr>
              <w:t>工程质量</w:t>
            </w:r>
            <w:bookmarkEnd w:id="1222"/>
          </w:p>
        </w:tc>
        <w:tc>
          <w:tcPr>
            <w:tcW w:w="5182" w:type="dxa"/>
            <w:noWrap w:val="0"/>
            <w:vAlign w:val="center"/>
          </w:tcPr>
          <w:p w14:paraId="0C53E3E0">
            <w:pPr>
              <w:topLinePunct/>
              <w:spacing w:line="360" w:lineRule="auto"/>
              <w:jc w:val="center"/>
              <w:rPr>
                <w:rFonts w:ascii="宋体" w:hAnsi="宋体"/>
                <w:color w:val="auto"/>
                <w:szCs w:val="21"/>
                <w:highlight w:val="none"/>
              </w:rPr>
            </w:pPr>
          </w:p>
        </w:tc>
      </w:tr>
      <w:tr w14:paraId="3527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62F80BE">
            <w:pPr>
              <w:topLinePunct/>
              <w:spacing w:line="360" w:lineRule="auto"/>
              <w:jc w:val="center"/>
              <w:rPr>
                <w:rFonts w:ascii="宋体" w:hAnsi="宋体"/>
                <w:color w:val="auto"/>
                <w:szCs w:val="21"/>
                <w:highlight w:val="none"/>
              </w:rPr>
            </w:pPr>
            <w:r>
              <w:rPr>
                <w:rFonts w:ascii="宋体" w:hAnsi="宋体"/>
                <w:color w:val="auto"/>
                <w:szCs w:val="21"/>
                <w:highlight w:val="none"/>
              </w:rPr>
              <w:t>项目负责人</w:t>
            </w:r>
          </w:p>
        </w:tc>
        <w:tc>
          <w:tcPr>
            <w:tcW w:w="5182" w:type="dxa"/>
            <w:noWrap w:val="0"/>
            <w:vAlign w:val="center"/>
          </w:tcPr>
          <w:p w14:paraId="408A2167">
            <w:pPr>
              <w:topLinePunct/>
              <w:spacing w:line="360" w:lineRule="auto"/>
              <w:jc w:val="center"/>
              <w:rPr>
                <w:rFonts w:ascii="宋体" w:hAnsi="宋体"/>
                <w:color w:val="auto"/>
                <w:szCs w:val="21"/>
                <w:highlight w:val="none"/>
              </w:rPr>
            </w:pPr>
          </w:p>
        </w:tc>
      </w:tr>
      <w:tr w14:paraId="657E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C1C5B11">
            <w:pPr>
              <w:topLinePunct/>
              <w:spacing w:line="360" w:lineRule="auto"/>
              <w:jc w:val="center"/>
              <w:rPr>
                <w:rFonts w:ascii="宋体" w:hAnsi="宋体"/>
                <w:color w:val="auto"/>
                <w:szCs w:val="21"/>
                <w:highlight w:val="none"/>
              </w:rPr>
            </w:pPr>
            <w:bookmarkStart w:id="1223" w:name="_Toc221949873"/>
            <w:r>
              <w:rPr>
                <w:rFonts w:ascii="宋体" w:hAnsi="宋体"/>
                <w:color w:val="auto"/>
                <w:szCs w:val="21"/>
                <w:highlight w:val="none"/>
              </w:rPr>
              <w:t>技术负责人</w:t>
            </w:r>
            <w:bookmarkEnd w:id="1223"/>
          </w:p>
        </w:tc>
        <w:tc>
          <w:tcPr>
            <w:tcW w:w="5182" w:type="dxa"/>
            <w:noWrap w:val="0"/>
            <w:vAlign w:val="center"/>
          </w:tcPr>
          <w:p w14:paraId="2D55E03A">
            <w:pPr>
              <w:topLinePunct/>
              <w:spacing w:line="360" w:lineRule="auto"/>
              <w:jc w:val="center"/>
              <w:rPr>
                <w:rFonts w:ascii="宋体" w:hAnsi="宋体"/>
                <w:color w:val="auto"/>
                <w:szCs w:val="21"/>
                <w:highlight w:val="none"/>
              </w:rPr>
            </w:pPr>
          </w:p>
        </w:tc>
      </w:tr>
      <w:tr w14:paraId="557C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15480031">
            <w:pPr>
              <w:topLinePunct/>
              <w:spacing w:line="360" w:lineRule="auto"/>
              <w:jc w:val="center"/>
              <w:rPr>
                <w:rFonts w:ascii="宋体" w:hAnsi="宋体"/>
                <w:color w:val="auto"/>
                <w:szCs w:val="21"/>
                <w:highlight w:val="none"/>
              </w:rPr>
            </w:pPr>
            <w:bookmarkStart w:id="1224" w:name="_Toc221949874"/>
            <w:r>
              <w:rPr>
                <w:rFonts w:hint="eastAsia" w:ascii="宋体" w:hAnsi="宋体"/>
                <w:color w:val="auto"/>
                <w:szCs w:val="21"/>
                <w:highlight w:val="none"/>
              </w:rPr>
              <w:t>监理人以</w:t>
            </w:r>
            <w:r>
              <w:rPr>
                <w:rFonts w:ascii="宋体" w:hAnsi="宋体"/>
                <w:color w:val="auto"/>
                <w:szCs w:val="21"/>
                <w:highlight w:val="none"/>
              </w:rPr>
              <w:t>及电话</w:t>
            </w:r>
            <w:bookmarkEnd w:id="1224"/>
          </w:p>
        </w:tc>
        <w:tc>
          <w:tcPr>
            <w:tcW w:w="5182" w:type="dxa"/>
            <w:noWrap w:val="0"/>
            <w:vAlign w:val="center"/>
          </w:tcPr>
          <w:p w14:paraId="6ECF5AA3">
            <w:pPr>
              <w:topLinePunct/>
              <w:spacing w:line="360" w:lineRule="auto"/>
              <w:jc w:val="center"/>
              <w:rPr>
                <w:rFonts w:ascii="宋体" w:hAnsi="宋体"/>
                <w:color w:val="auto"/>
                <w:szCs w:val="21"/>
                <w:highlight w:val="none"/>
              </w:rPr>
            </w:pPr>
          </w:p>
        </w:tc>
      </w:tr>
      <w:tr w14:paraId="1039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0579334D">
            <w:pPr>
              <w:topLinePunct/>
              <w:spacing w:line="360" w:lineRule="auto"/>
              <w:jc w:val="center"/>
              <w:rPr>
                <w:rFonts w:ascii="宋体" w:hAnsi="宋体"/>
                <w:color w:val="auto"/>
                <w:szCs w:val="21"/>
                <w:highlight w:val="none"/>
              </w:rPr>
            </w:pPr>
            <w:bookmarkStart w:id="1225" w:name="_Toc221949875"/>
            <w:r>
              <w:rPr>
                <w:rFonts w:hint="eastAsia" w:ascii="宋体" w:hAnsi="宋体"/>
                <w:color w:val="auto"/>
                <w:szCs w:val="21"/>
                <w:highlight w:val="none"/>
              </w:rPr>
              <w:t>合同</w:t>
            </w:r>
            <w:r>
              <w:rPr>
                <w:rFonts w:ascii="宋体" w:hAnsi="宋体"/>
                <w:color w:val="auto"/>
                <w:szCs w:val="21"/>
                <w:highlight w:val="none"/>
              </w:rPr>
              <w:t>项目描述</w:t>
            </w:r>
            <w:bookmarkEnd w:id="1225"/>
          </w:p>
        </w:tc>
        <w:tc>
          <w:tcPr>
            <w:tcW w:w="5182" w:type="dxa"/>
            <w:noWrap w:val="0"/>
            <w:vAlign w:val="center"/>
          </w:tcPr>
          <w:p w14:paraId="7ED2C2F3">
            <w:pPr>
              <w:topLinePunct/>
              <w:spacing w:line="360" w:lineRule="auto"/>
              <w:jc w:val="center"/>
              <w:rPr>
                <w:rFonts w:ascii="宋体" w:hAnsi="宋体"/>
                <w:color w:val="auto"/>
                <w:szCs w:val="21"/>
                <w:highlight w:val="none"/>
              </w:rPr>
            </w:pPr>
          </w:p>
          <w:p w14:paraId="32735559">
            <w:pPr>
              <w:topLinePunct/>
              <w:spacing w:line="360" w:lineRule="auto"/>
              <w:jc w:val="center"/>
              <w:rPr>
                <w:rFonts w:ascii="宋体" w:hAnsi="宋体"/>
                <w:color w:val="auto"/>
                <w:szCs w:val="21"/>
                <w:highlight w:val="none"/>
              </w:rPr>
            </w:pPr>
          </w:p>
          <w:p w14:paraId="49CE1050">
            <w:pPr>
              <w:topLinePunct/>
              <w:spacing w:line="360" w:lineRule="auto"/>
              <w:jc w:val="center"/>
              <w:rPr>
                <w:rFonts w:ascii="宋体" w:hAnsi="宋体"/>
                <w:color w:val="auto"/>
                <w:szCs w:val="21"/>
                <w:highlight w:val="none"/>
              </w:rPr>
            </w:pPr>
          </w:p>
        </w:tc>
      </w:tr>
      <w:tr w14:paraId="1603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6" w:type="dxa"/>
            <w:noWrap w:val="0"/>
            <w:vAlign w:val="center"/>
          </w:tcPr>
          <w:p w14:paraId="17EC1FFB">
            <w:pPr>
              <w:topLinePunct/>
              <w:spacing w:line="360" w:lineRule="auto"/>
              <w:jc w:val="center"/>
              <w:rPr>
                <w:rFonts w:ascii="宋体" w:hAnsi="宋体"/>
                <w:color w:val="auto"/>
                <w:szCs w:val="21"/>
                <w:highlight w:val="none"/>
              </w:rPr>
            </w:pPr>
            <w:bookmarkStart w:id="1226" w:name="_Toc221949876"/>
            <w:r>
              <w:rPr>
                <w:rFonts w:ascii="宋体" w:hAnsi="宋体"/>
                <w:color w:val="auto"/>
                <w:szCs w:val="21"/>
                <w:highlight w:val="none"/>
              </w:rPr>
              <w:t>备注</w:t>
            </w:r>
            <w:bookmarkEnd w:id="1226"/>
          </w:p>
        </w:tc>
        <w:tc>
          <w:tcPr>
            <w:tcW w:w="5182" w:type="dxa"/>
            <w:noWrap w:val="0"/>
            <w:vAlign w:val="center"/>
          </w:tcPr>
          <w:p w14:paraId="63B24325">
            <w:pPr>
              <w:topLinePunct/>
              <w:spacing w:line="360" w:lineRule="auto"/>
              <w:jc w:val="center"/>
              <w:rPr>
                <w:rFonts w:ascii="宋体" w:hAnsi="宋体"/>
                <w:color w:val="auto"/>
                <w:szCs w:val="21"/>
                <w:highlight w:val="none"/>
              </w:rPr>
            </w:pPr>
            <w:r>
              <w:rPr>
                <w:rFonts w:hint="eastAsia" w:ascii="宋体" w:hAnsi="宋体"/>
                <w:color w:val="auto"/>
                <w:szCs w:val="21"/>
                <w:highlight w:val="none"/>
              </w:rPr>
              <w:t>合同项目描述内容至少包括项目概况、本合同在项目中的地位（部位、合同价格所占比例）和合同工程完工验收鉴定书有关验收结论</w:t>
            </w:r>
          </w:p>
        </w:tc>
      </w:tr>
    </w:tbl>
    <w:p w14:paraId="1D82BF6D">
      <w:pPr>
        <w:spacing w:line="400" w:lineRule="exact"/>
        <w:rPr>
          <w:color w:val="auto"/>
          <w:highlight w:val="none"/>
        </w:rPr>
      </w:pPr>
      <w:r>
        <w:rPr>
          <w:rFonts w:hint="eastAsia"/>
          <w:color w:val="auto"/>
          <w:highlight w:val="none"/>
        </w:rPr>
        <w:t>注：</w:t>
      </w:r>
      <w:r>
        <w:rPr>
          <w:rFonts w:hint="eastAsia"/>
          <w:color w:val="auto"/>
          <w:highlight w:val="none"/>
          <w:u w:val="single"/>
          <w:lang w:val="en-US" w:eastAsia="zh-CN"/>
        </w:rPr>
        <w:t>需提供</w:t>
      </w:r>
      <w:r>
        <w:rPr>
          <w:rFonts w:hint="eastAsia"/>
          <w:color w:val="auto"/>
          <w:highlight w:val="none"/>
          <w:u w:val="single"/>
        </w:rPr>
        <w:t>相关材料</w:t>
      </w:r>
      <w:r>
        <w:rPr>
          <w:rFonts w:hint="eastAsia" w:ascii="宋体" w:hAnsi="宋体"/>
          <w:bCs/>
          <w:color w:val="auto"/>
          <w:szCs w:val="21"/>
          <w:highlight w:val="none"/>
          <w:u w:val="single"/>
        </w:rPr>
        <w:t>的扫描件</w:t>
      </w:r>
    </w:p>
    <w:p w14:paraId="299976DF">
      <w:pPr>
        <w:rPr>
          <w:rFonts w:hint="eastAsia"/>
          <w:color w:val="auto"/>
          <w:highlight w:val="none"/>
        </w:rPr>
      </w:pPr>
      <w:bookmarkStart w:id="1227" w:name="_Toc229474023"/>
      <w:bookmarkStart w:id="1228" w:name="_Toc222029460"/>
      <w:bookmarkStart w:id="1229" w:name="_Toc221949894"/>
      <w:bookmarkStart w:id="1230" w:name="_Toc227133887"/>
      <w:bookmarkStart w:id="1231" w:name="_Toc152047271"/>
      <w:bookmarkStart w:id="1232" w:name="_Toc179715764"/>
    </w:p>
    <w:p w14:paraId="2229732F">
      <w:pPr>
        <w:pageBreakBefore/>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eastAsia="zh-CN"/>
        </w:rPr>
        <w:t>五</w:t>
      </w:r>
      <w:r>
        <w:rPr>
          <w:rFonts w:hint="eastAsia"/>
          <w:b/>
          <w:color w:val="auto"/>
          <w:sz w:val="24"/>
          <w:szCs w:val="24"/>
          <w:highlight w:val="none"/>
        </w:rPr>
        <w:t>）投标人廉洁承诺书（格式）</w:t>
      </w:r>
    </w:p>
    <w:p w14:paraId="53D13395">
      <w:pPr>
        <w:pStyle w:val="15"/>
        <w:spacing w:before="157" w:beforeLines="50" w:beforeAutospacing="0" w:after="157" w:afterLines="50" w:afterAutospacing="0" w:line="360" w:lineRule="auto"/>
        <w:ind w:firstLine="482"/>
        <w:jc w:val="center"/>
        <w:rPr>
          <w:rFonts w:hint="eastAsia" w:ascii="宋体" w:hAnsi="宋体" w:cs="宋体"/>
          <w:b/>
          <w:bCs/>
          <w:color w:val="auto"/>
          <w:sz w:val="36"/>
          <w:szCs w:val="36"/>
          <w:highlight w:val="none"/>
        </w:rPr>
      </w:pPr>
      <w:r>
        <w:rPr>
          <w:rFonts w:hint="eastAsia" w:ascii="宋体" w:hAnsi="宋体" w:eastAsia="宋体" w:cs="宋体"/>
          <w:b/>
          <w:bCs/>
          <w:color w:val="auto"/>
          <w:sz w:val="36"/>
          <w:szCs w:val="36"/>
          <w:highlight w:val="none"/>
        </w:rPr>
        <w:t>投标人廉洁承诺书</w:t>
      </w:r>
    </w:p>
    <w:p w14:paraId="606189A8">
      <w:pPr>
        <w:pStyle w:val="15"/>
        <w:shd w:val="clear" w:color="auto" w:fill="FFFFFF"/>
        <w:spacing w:before="0" w:beforeAutospacing="0" w:after="0" w:afterAutospacing="0" w:line="360" w:lineRule="auto"/>
        <w:ind w:firstLine="0"/>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广州市水务局、本招标项目招标人及招标监管机构：</w:t>
      </w:r>
    </w:p>
    <w:p w14:paraId="41574CEC">
      <w:pPr>
        <w:pStyle w:val="15"/>
        <w:shd w:val="clear" w:color="auto" w:fill="FFFFFF"/>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本公司参加了</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（项目名称/标段名称）</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事项：</w:t>
      </w:r>
    </w:p>
    <w:p w14:paraId="5F39B0A3">
      <w:pPr>
        <w:pStyle w:val="15"/>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一、自觉遵守国家有关法律法规及廉洁规定。</w:t>
      </w:r>
    </w:p>
    <w:p w14:paraId="7951C195">
      <w:pPr>
        <w:pStyle w:val="15"/>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二、不与招标单位工作人员串通投标，损害国家利益、企业利益以及他人的合法利益；</w:t>
      </w:r>
    </w:p>
    <w:p w14:paraId="665E2817">
      <w:pPr>
        <w:pStyle w:val="15"/>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三、不与其他单位围标、串标，不出让投标资格，不向招标人或评标委员会成员行贿。</w:t>
      </w:r>
    </w:p>
    <w:p w14:paraId="5CB3919E">
      <w:pPr>
        <w:pStyle w:val="15"/>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四、不以任何名义向参与招标、评标工作的有关人员提供高消费宴请及娱乐活动和赠送回扣、红包、礼金、购物卡、有价证券、贵重物品和好处费、感谢费等； </w:t>
      </w:r>
    </w:p>
    <w:p w14:paraId="5D2A3474">
      <w:pPr>
        <w:pStyle w:val="15"/>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五、不以任何名义为参与招标、评标工作的有关人员装修住房、婚丧嫁取、配偶子女的工作安排以及境内外旅游等提供方便；</w:t>
      </w:r>
    </w:p>
    <w:p w14:paraId="16B6A8B2">
      <w:pPr>
        <w:pStyle w:val="15"/>
        <w:shd w:val="clear" w:color="auto" w:fill="FFFFFF"/>
        <w:ind w:firstLine="48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六、不以谋取非正当利益为目的，擅自与参与招标、评标工作的有关人员就业务问题进行私下商谈或者达成利益默契</w:t>
      </w:r>
      <w:r>
        <w:rPr>
          <w:rFonts w:hint="eastAsia" w:ascii="宋体" w:hAnsi="宋体" w:eastAsia="宋体" w:cs="宋体"/>
          <w:color w:val="auto"/>
          <w:sz w:val="24"/>
          <w:szCs w:val="24"/>
          <w:highlight w:val="none"/>
          <w:lang w:eastAsia="zh-CN"/>
        </w:rPr>
        <w:t>。</w:t>
      </w:r>
    </w:p>
    <w:p w14:paraId="5678828D">
      <w:pPr>
        <w:pStyle w:val="15"/>
        <w:shd w:val="clear" w:color="auto" w:fill="FFFFFF"/>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本公司违反上述承诺，或本承诺陈述与事实不符，经查实，本公司愿意接受公开通报，承担由此带来的法律后果。</w:t>
      </w:r>
    </w:p>
    <w:p w14:paraId="02CCAB7E">
      <w:pPr>
        <w:pStyle w:val="15"/>
        <w:shd w:val="clear" w:color="auto" w:fill="FFFFFF"/>
        <w:spacing w:before="0" w:beforeAutospacing="0" w:after="0" w:afterAutospacing="0" w:line="360" w:lineRule="auto"/>
        <w:ind w:firstLine="48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特此承诺</w:t>
      </w:r>
      <w:r>
        <w:rPr>
          <w:rFonts w:hint="eastAsia" w:ascii="宋体" w:hAnsi="宋体" w:eastAsia="宋体" w:cs="宋体"/>
          <w:color w:val="auto"/>
          <w:sz w:val="24"/>
          <w:szCs w:val="24"/>
          <w:highlight w:val="none"/>
          <w:lang w:eastAsia="zh-CN"/>
        </w:rPr>
        <w:t>。</w:t>
      </w:r>
    </w:p>
    <w:p w14:paraId="74CA19DF">
      <w:pPr>
        <w:pStyle w:val="15"/>
        <w:shd w:val="clear" w:color="auto" w:fill="FFFFFF"/>
        <w:spacing w:before="0" w:beforeAutospacing="0" w:after="0" w:afterAutospacing="0" w:line="360" w:lineRule="auto"/>
        <w:ind w:right="1455" w:firstLine="28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承诺企业（</w:t>
      </w:r>
      <w:r>
        <w:rPr>
          <w:rFonts w:hint="eastAsia" w:ascii="宋体" w:hAnsi="宋体" w:cs="宋体"/>
          <w:color w:val="auto"/>
          <w:sz w:val="24"/>
          <w:szCs w:val="24"/>
          <w:highlight w:val="none"/>
          <w:lang w:eastAsia="zh-CN"/>
        </w:rPr>
        <w:t>盖</w:t>
      </w:r>
      <w:r>
        <w:rPr>
          <w:rFonts w:hint="eastAsia" w:ascii="宋体" w:hAnsi="宋体" w:eastAsia="宋体" w:cs="宋体"/>
          <w:color w:val="auto"/>
          <w:sz w:val="24"/>
          <w:szCs w:val="24"/>
          <w:highlight w:val="none"/>
        </w:rPr>
        <w:t>单位章）：</w:t>
      </w:r>
    </w:p>
    <w:p w14:paraId="4A5E2738">
      <w:pPr>
        <w:pStyle w:val="15"/>
        <w:shd w:val="clear" w:color="auto" w:fill="FFFFFF"/>
        <w:spacing w:before="0" w:beforeAutospacing="0" w:after="0" w:afterAutospacing="0" w:line="360" w:lineRule="auto"/>
        <w:ind w:firstLine="4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法定代表人签字：</w:t>
      </w:r>
    </w:p>
    <w:p w14:paraId="3F588287">
      <w:pPr>
        <w:pStyle w:val="15"/>
        <w:shd w:val="clear" w:color="auto" w:fill="FFFFFF"/>
        <w:spacing w:before="0" w:beforeAutospacing="0" w:after="0" w:afterAutospacing="0" w:line="360" w:lineRule="auto"/>
        <w:ind w:firstLine="480"/>
        <w:jc w:val="right"/>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7DD98612">
      <w:pPr>
        <w:spacing w:line="240" w:lineRule="auto"/>
        <w:jc w:val="left"/>
        <w:outlineLvl w:val="9"/>
        <w:rPr>
          <w:color w:val="auto"/>
          <w:highlight w:val="none"/>
        </w:rPr>
      </w:pPr>
      <w:r>
        <w:rPr>
          <w:color w:val="auto"/>
          <w:highlight w:val="none"/>
        </w:rPr>
        <w:t xml:space="preserve"> </w:t>
      </w:r>
      <w:r>
        <w:rPr>
          <w:color w:val="auto"/>
          <w:highlight w:val="none"/>
        </w:rPr>
        <w:br w:type="page"/>
      </w:r>
      <w:bookmarkEnd w:id="1227"/>
      <w:bookmarkStart w:id="1233" w:name="_Toc229474024"/>
    </w:p>
    <w:p w14:paraId="4EEE6BF9">
      <w:pPr>
        <w:spacing w:line="360" w:lineRule="auto"/>
        <w:jc w:val="center"/>
        <w:outlineLvl w:val="2"/>
        <w:rPr>
          <w:rFonts w:ascii="黑体" w:hAnsi="黑体" w:eastAsia="黑体"/>
          <w:color w:val="auto"/>
          <w:sz w:val="28"/>
          <w:szCs w:val="27"/>
          <w:highlight w:val="none"/>
        </w:rPr>
      </w:pPr>
      <w:bookmarkStart w:id="1234" w:name="_Toc17451662"/>
      <w:bookmarkStart w:id="1235" w:name="_Toc17454910"/>
      <w:bookmarkStart w:id="1236" w:name="_Toc17452703"/>
      <w:bookmarkStart w:id="1237" w:name="_Toc17454961"/>
      <w:bookmarkStart w:id="1238" w:name="_Toc17556915"/>
      <w:bookmarkStart w:id="1239" w:name="_Toc17451140"/>
      <w:bookmarkStart w:id="1240" w:name="_Toc17451617"/>
      <w:bookmarkStart w:id="1241" w:name="_Toc17180"/>
      <w:r>
        <w:rPr>
          <w:rFonts w:hint="eastAsia" w:ascii="黑体" w:hAnsi="黑体" w:eastAsia="黑体"/>
          <w:color w:val="auto"/>
          <w:sz w:val="28"/>
          <w:szCs w:val="27"/>
          <w:highlight w:val="none"/>
        </w:rPr>
        <w:t>十、</w:t>
      </w:r>
      <w:bookmarkEnd w:id="1228"/>
      <w:bookmarkEnd w:id="1229"/>
      <w:bookmarkEnd w:id="1230"/>
      <w:bookmarkEnd w:id="1231"/>
      <w:bookmarkEnd w:id="1232"/>
      <w:bookmarkEnd w:id="1233"/>
      <w:r>
        <w:rPr>
          <w:rFonts w:hint="eastAsia" w:ascii="黑体" w:hAnsi="黑体" w:eastAsia="黑体"/>
          <w:color w:val="auto"/>
          <w:sz w:val="28"/>
          <w:szCs w:val="27"/>
          <w:highlight w:val="none"/>
        </w:rPr>
        <w:t>投标人须知前附表规定的其他材料</w:t>
      </w:r>
      <w:bookmarkEnd w:id="1234"/>
      <w:bookmarkEnd w:id="1235"/>
      <w:bookmarkEnd w:id="1236"/>
      <w:bookmarkEnd w:id="1237"/>
      <w:bookmarkEnd w:id="1238"/>
      <w:bookmarkEnd w:id="1239"/>
      <w:bookmarkEnd w:id="1240"/>
      <w:bookmarkEnd w:id="1241"/>
    </w:p>
    <w:p w14:paraId="11D8D6DD">
      <w:pPr>
        <w:spacing w:line="360" w:lineRule="auto"/>
        <w:rPr>
          <w:rFonts w:hint="eastAsia" w:ascii="宋体" w:hAnsi="宋体"/>
          <w:color w:val="auto"/>
          <w:sz w:val="24"/>
          <w:highlight w:val="none"/>
        </w:rPr>
      </w:pPr>
      <w:r>
        <w:rPr>
          <w:rFonts w:hint="eastAsia" w:ascii="宋体" w:hAnsi="宋体"/>
          <w:color w:val="auto"/>
          <w:sz w:val="24"/>
          <w:highlight w:val="none"/>
        </w:rPr>
        <w:t>（如投标报价低于工程成本警示价的，提供投标报价不低于成本价的证明材料。）</w:t>
      </w:r>
    </w:p>
    <w:p w14:paraId="6507E592">
      <w:pPr>
        <w:spacing w:line="600" w:lineRule="exact"/>
        <w:ind w:firstLine="0"/>
        <w:jc w:val="left"/>
        <w:rPr>
          <w:rFonts w:hint="eastAsia" w:ascii="Times New Roman"/>
          <w:bCs/>
          <w:color w:val="auto"/>
          <w:kern w:val="0"/>
          <w:sz w:val="24"/>
          <w:szCs w:val="24"/>
          <w:highlight w:val="none"/>
          <w:lang w:val="en-US" w:eastAsia="zh-CN"/>
        </w:rPr>
      </w:pPr>
      <w:bookmarkStart w:id="1242" w:name="_Toc245024005"/>
      <w:bookmarkStart w:id="1243" w:name="_Toc266093553"/>
      <w:bookmarkStart w:id="1244" w:name="_Toc416358163"/>
      <w:bookmarkStart w:id="1245" w:name="_Toc416357992"/>
      <w:bookmarkStart w:id="1246" w:name="_Toc249845977"/>
      <w:bookmarkStart w:id="1247" w:name="_Toc266881405"/>
      <w:bookmarkStart w:id="1248" w:name="_Toc253143224"/>
      <w:bookmarkStart w:id="1249" w:name="_Toc249846232"/>
      <w:r>
        <w:rPr>
          <w:rFonts w:hint="eastAsia" w:ascii="Times New Roman"/>
          <w:bCs/>
          <w:color w:val="auto"/>
          <w:kern w:val="0"/>
          <w:sz w:val="24"/>
          <w:szCs w:val="24"/>
          <w:highlight w:val="none"/>
          <w:lang w:val="en-US" w:eastAsia="zh-CN"/>
        </w:rPr>
        <w:t>附件1</w:t>
      </w:r>
    </w:p>
    <w:p w14:paraId="2EA4E09A">
      <w:pPr>
        <w:tabs>
          <w:tab w:val="left" w:pos="720"/>
        </w:tabs>
        <w:snapToGrid w:val="0"/>
        <w:spacing w:line="360" w:lineRule="auto"/>
        <w:jc w:val="center"/>
        <w:rPr>
          <w:rFonts w:hint="eastAsia" w:ascii="Times New Roman" w:hAnsi="Times New Roman" w:eastAsia="宋体" w:cs="Times New Roman"/>
          <w:b/>
          <w:color w:val="auto"/>
          <w:sz w:val="32"/>
          <w:szCs w:val="32"/>
          <w:highlight w:val="none"/>
        </w:rPr>
      </w:pPr>
      <w:r>
        <w:rPr>
          <w:rFonts w:hint="eastAsia" w:ascii="Times New Roman" w:hAnsi="Times New Roman" w:eastAsia="宋体" w:cs="Times New Roman"/>
          <w:b/>
          <w:color w:val="auto"/>
          <w:sz w:val="32"/>
          <w:szCs w:val="32"/>
          <w:highlight w:val="none"/>
        </w:rPr>
        <w:t>关于建筑垃圾源头控制、建筑垃圾综合利用</w:t>
      </w:r>
    </w:p>
    <w:p w14:paraId="77B4DE7F">
      <w:pPr>
        <w:tabs>
          <w:tab w:val="left" w:pos="720"/>
        </w:tabs>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b/>
          <w:color w:val="auto"/>
          <w:sz w:val="32"/>
          <w:szCs w:val="32"/>
          <w:highlight w:val="none"/>
        </w:rPr>
        <w:t>产品的使用和运输措施</w:t>
      </w:r>
      <w:r>
        <w:rPr>
          <w:rFonts w:hint="eastAsia" w:ascii="Times New Roman" w:hAnsi="Times New Roman" w:eastAsia="宋体" w:cs="Times New Roman"/>
          <w:b/>
          <w:color w:val="auto"/>
          <w:sz w:val="32"/>
          <w:szCs w:val="32"/>
          <w:highlight w:val="none"/>
          <w:lang w:val="en-US" w:eastAsia="zh-CN"/>
        </w:rPr>
        <w:t>承诺书</w:t>
      </w:r>
    </w:p>
    <w:p w14:paraId="309B1940">
      <w:pPr>
        <w:bidi w:val="0"/>
        <w:rPr>
          <w:rFonts w:hint="eastAsia"/>
          <w:color w:val="auto"/>
          <w:highlight w:val="none"/>
        </w:rPr>
      </w:pPr>
    </w:p>
    <w:p w14:paraId="04EE46B8">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（招标人）：</w:t>
      </w:r>
    </w:p>
    <w:p w14:paraId="2830A70E">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我方承诺，如中标承建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，将按招标文件所附的本工程</w:t>
      </w:r>
      <w:r>
        <w:rPr>
          <w:rFonts w:hint="eastAsia" w:ascii="宋体" w:hAnsi="宋体" w:eastAsia="宋体" w:cs="宋体"/>
          <w:color w:val="auto"/>
          <w:sz w:val="24"/>
          <w:szCs w:val="24"/>
          <w:highlight w:val="none"/>
          <w:u w:val="single"/>
        </w:rPr>
        <w:t>（施工组织设计要点或施工方案）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进行响应的基础上自行组织施工。并承诺在中标后按招标文件所附的</w:t>
      </w:r>
      <w:r>
        <w:rPr>
          <w:rFonts w:hint="eastAsia" w:ascii="宋体" w:hAnsi="宋体" w:eastAsia="宋体" w:cs="宋体"/>
          <w:color w:val="auto"/>
          <w:sz w:val="24"/>
          <w:szCs w:val="24"/>
          <w:highlight w:val="none"/>
          <w:u w:val="single"/>
        </w:rPr>
        <w:t>（施工组织设计要点或施工方案）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基础上编制详细的施工组织设计，按照招标人提出的施工现场建筑垃圾源头减量的具体要求以及建筑垃圾综合利用产品的使用要求提供相应措施，并报经监理单位和建设单位审批后实施，具体内容如下：</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一、建筑垃圾源头控制措施</w:t>
      </w:r>
    </w:p>
    <w:p w14:paraId="25B42C32">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14:paraId="05F1B901">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建筑垃圾综合利用产品的使用</w:t>
      </w:r>
    </w:p>
    <w:p w14:paraId="401B9CF5">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43DC298C">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建筑垃圾运输措施</w:t>
      </w:r>
    </w:p>
    <w:p w14:paraId="25A3DFF7">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2833DD19">
      <w:pPr>
        <w:spacing w:line="360" w:lineRule="auto"/>
        <w:ind w:right="90"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0C647507">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投标人名称（盖</w:t>
      </w:r>
      <w:r>
        <w:rPr>
          <w:rFonts w:hint="eastAsia" w:ascii="宋体" w:hAnsi="宋体" w:eastAsia="宋体" w:cs="宋体"/>
          <w:color w:val="auto"/>
          <w:sz w:val="24"/>
          <w:szCs w:val="24"/>
          <w:highlight w:val="none"/>
          <w:lang w:eastAsia="zh-CN"/>
        </w:rPr>
        <w:t>法人公</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14:paraId="5432BFDF">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3C99D39E">
      <w:pPr>
        <w:spacing w:line="600" w:lineRule="exact"/>
        <w:ind w:firstLine="480"/>
        <w:jc w:val="right"/>
        <w:rPr>
          <w:rFonts w:hint="eastAsia" w:ascii="宋体" w:hAnsi="宋体" w:eastAsia="宋体" w:cs="宋体"/>
          <w:color w:val="auto"/>
          <w:sz w:val="24"/>
          <w:szCs w:val="24"/>
          <w:highlight w:val="none"/>
          <w:lang w:val="en-US" w:eastAsia="zh-CN"/>
        </w:rPr>
        <w:sectPr>
          <w:pgSz w:w="11906" w:h="16838"/>
          <w:pgMar w:top="1440" w:right="1797" w:bottom="1440" w:left="1797" w:header="851" w:footer="992" w:gutter="0"/>
          <w:pgNumType w:fmt="decimal"/>
          <w:cols w:space="720" w:num="1"/>
          <w:docGrid w:linePitch="312" w:charSpace="0"/>
        </w:sectPr>
      </w:pPr>
      <w:r>
        <w:rPr>
          <w:rFonts w:hint="eastAsia" w:ascii="宋体" w:hAnsi="宋体" w:eastAsia="宋体" w:cs="宋体"/>
          <w:color w:val="auto"/>
          <w:sz w:val="24"/>
          <w:szCs w:val="24"/>
          <w:highlight w:val="none"/>
        </w:rPr>
        <w:t xml:space="preserve"> 日期：      年   月   日</w:t>
      </w:r>
    </w:p>
    <w:p w14:paraId="0E3F55F0">
      <w:pPr>
        <w:spacing w:line="600" w:lineRule="exact"/>
        <w:ind w:firstLine="0"/>
        <w:jc w:val="left"/>
        <w:rPr>
          <w:rFonts w:hint="eastAsia" w:eastAsia="宋体"/>
          <w:color w:val="auto"/>
          <w:sz w:val="30"/>
          <w:szCs w:val="30"/>
          <w:highlight w:val="none"/>
          <w:lang w:val="en-US" w:eastAsia="zh-CN"/>
        </w:rPr>
      </w:pPr>
      <w:r>
        <w:rPr>
          <w:rFonts w:hint="eastAsia" w:ascii="Times New Roman"/>
          <w:bCs/>
          <w:color w:val="auto"/>
          <w:kern w:val="0"/>
          <w:sz w:val="24"/>
          <w:szCs w:val="24"/>
          <w:highlight w:val="none"/>
        </w:rPr>
        <w:t>附件</w:t>
      </w:r>
      <w:bookmarkEnd w:id="1242"/>
      <w:bookmarkEnd w:id="1243"/>
      <w:bookmarkEnd w:id="1244"/>
      <w:bookmarkEnd w:id="1245"/>
      <w:bookmarkEnd w:id="1246"/>
      <w:bookmarkEnd w:id="1247"/>
      <w:bookmarkEnd w:id="1248"/>
      <w:bookmarkEnd w:id="1249"/>
      <w:r>
        <w:rPr>
          <w:rFonts w:hint="eastAsia" w:ascii="Times New Roman"/>
          <w:bCs/>
          <w:color w:val="auto"/>
          <w:kern w:val="0"/>
          <w:sz w:val="24"/>
          <w:szCs w:val="24"/>
          <w:highlight w:val="none"/>
          <w:lang w:val="en-US" w:eastAsia="zh-CN"/>
        </w:rPr>
        <w:t>2</w:t>
      </w:r>
    </w:p>
    <w:p w14:paraId="5C9BA5C2">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14:paraId="7C71989F">
      <w:pPr>
        <w:tabs>
          <w:tab w:val="left" w:pos="720"/>
        </w:tabs>
        <w:snapToGrid w:val="0"/>
        <w:spacing w:line="360" w:lineRule="auto"/>
        <w:rPr>
          <w:color w:val="auto"/>
          <w:sz w:val="24"/>
          <w:szCs w:val="24"/>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14:paraId="6223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58877721">
            <w:pPr>
              <w:tabs>
                <w:tab w:val="left" w:pos="720"/>
              </w:tabs>
              <w:snapToGrid w:val="0"/>
              <w:spacing w:line="360" w:lineRule="auto"/>
              <w:rPr>
                <w:rFonts w:ascii="宋体" w:hAnsi="宋体"/>
                <w:color w:val="auto"/>
                <w:szCs w:val="21"/>
                <w:highlight w:val="none"/>
              </w:rPr>
            </w:pPr>
            <w:r>
              <w:rPr>
                <w:rFonts w:hint="eastAsia" w:ascii="宋体" w:hAnsi="宋体"/>
                <w:color w:val="auto"/>
                <w:szCs w:val="21"/>
                <w:highlight w:val="none"/>
              </w:rPr>
              <w:t>投标人名称：</w:t>
            </w:r>
          </w:p>
        </w:tc>
      </w:tr>
      <w:tr w14:paraId="4ACF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519B2A6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A55D71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14:paraId="4D2DB85F">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166BEDE1">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14:paraId="291FEF28">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7F15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4A301516">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54E0E32">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7EFE91E6">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70CFFEBD">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7DDF5422">
            <w:pPr>
              <w:tabs>
                <w:tab w:val="left" w:pos="720"/>
              </w:tabs>
              <w:snapToGrid w:val="0"/>
              <w:spacing w:line="360" w:lineRule="auto"/>
              <w:jc w:val="center"/>
              <w:rPr>
                <w:rFonts w:ascii="宋体" w:hAnsi="宋体"/>
                <w:color w:val="auto"/>
                <w:szCs w:val="21"/>
                <w:highlight w:val="none"/>
              </w:rPr>
            </w:pPr>
          </w:p>
        </w:tc>
      </w:tr>
      <w:tr w14:paraId="5AEF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00105358">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75E38343">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49DEA0EE">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C5CF3F5">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2CF78A6B">
            <w:pPr>
              <w:tabs>
                <w:tab w:val="left" w:pos="720"/>
              </w:tabs>
              <w:snapToGrid w:val="0"/>
              <w:spacing w:line="360" w:lineRule="auto"/>
              <w:jc w:val="center"/>
              <w:rPr>
                <w:rFonts w:ascii="宋体" w:hAnsi="宋体"/>
                <w:color w:val="auto"/>
                <w:szCs w:val="21"/>
                <w:highlight w:val="none"/>
              </w:rPr>
            </w:pPr>
          </w:p>
        </w:tc>
      </w:tr>
      <w:tr w14:paraId="723C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40B28982">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5F709586">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2F7721B">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17894C4E">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B61F85E">
            <w:pPr>
              <w:tabs>
                <w:tab w:val="left" w:pos="720"/>
              </w:tabs>
              <w:snapToGrid w:val="0"/>
              <w:spacing w:line="360" w:lineRule="auto"/>
              <w:jc w:val="center"/>
              <w:rPr>
                <w:rFonts w:ascii="宋体" w:hAnsi="宋体"/>
                <w:color w:val="auto"/>
                <w:szCs w:val="21"/>
                <w:highlight w:val="none"/>
              </w:rPr>
            </w:pPr>
          </w:p>
        </w:tc>
      </w:tr>
      <w:tr w14:paraId="0CE1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803EF3A">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6EB8D91">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FB373B4">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114FD20">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CBF6F12">
            <w:pPr>
              <w:tabs>
                <w:tab w:val="left" w:pos="720"/>
              </w:tabs>
              <w:snapToGrid w:val="0"/>
              <w:spacing w:line="360" w:lineRule="auto"/>
              <w:jc w:val="center"/>
              <w:rPr>
                <w:rFonts w:ascii="宋体" w:hAnsi="宋体"/>
                <w:color w:val="auto"/>
                <w:szCs w:val="21"/>
                <w:highlight w:val="none"/>
              </w:rPr>
            </w:pPr>
          </w:p>
        </w:tc>
      </w:tr>
      <w:tr w14:paraId="1D8B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4AF36D5B">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860AFF7">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472A9BB7">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277E012">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289A5E7">
            <w:pPr>
              <w:tabs>
                <w:tab w:val="left" w:pos="720"/>
              </w:tabs>
              <w:snapToGrid w:val="0"/>
              <w:spacing w:line="360" w:lineRule="auto"/>
              <w:jc w:val="center"/>
              <w:rPr>
                <w:rFonts w:ascii="宋体" w:hAnsi="宋体"/>
                <w:color w:val="auto"/>
                <w:szCs w:val="21"/>
                <w:highlight w:val="none"/>
              </w:rPr>
            </w:pPr>
          </w:p>
        </w:tc>
      </w:tr>
      <w:tr w14:paraId="2C0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23498FDE">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3E6B717B">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71876176">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40A63A29">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31528FB">
            <w:pPr>
              <w:tabs>
                <w:tab w:val="left" w:pos="720"/>
              </w:tabs>
              <w:snapToGrid w:val="0"/>
              <w:spacing w:line="360" w:lineRule="auto"/>
              <w:jc w:val="center"/>
              <w:rPr>
                <w:rFonts w:ascii="宋体" w:hAnsi="宋体"/>
                <w:color w:val="auto"/>
                <w:szCs w:val="21"/>
                <w:highlight w:val="none"/>
              </w:rPr>
            </w:pPr>
          </w:p>
        </w:tc>
      </w:tr>
      <w:tr w14:paraId="7DEE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3ADC782">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661985C">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48F8090D">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A949322">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5A600F5">
            <w:pPr>
              <w:tabs>
                <w:tab w:val="left" w:pos="720"/>
              </w:tabs>
              <w:snapToGrid w:val="0"/>
              <w:spacing w:line="360" w:lineRule="auto"/>
              <w:jc w:val="center"/>
              <w:rPr>
                <w:rFonts w:ascii="宋体" w:hAnsi="宋体"/>
                <w:color w:val="auto"/>
                <w:szCs w:val="21"/>
                <w:highlight w:val="none"/>
              </w:rPr>
            </w:pPr>
          </w:p>
        </w:tc>
      </w:tr>
      <w:tr w14:paraId="677A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60F501E2">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79C94F20">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1D317B70">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9FB6C24">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4171F89F">
            <w:pPr>
              <w:tabs>
                <w:tab w:val="left" w:pos="720"/>
              </w:tabs>
              <w:snapToGrid w:val="0"/>
              <w:spacing w:line="360" w:lineRule="auto"/>
              <w:jc w:val="center"/>
              <w:rPr>
                <w:rFonts w:ascii="宋体" w:hAnsi="宋体"/>
                <w:color w:val="auto"/>
                <w:szCs w:val="21"/>
                <w:highlight w:val="none"/>
              </w:rPr>
            </w:pPr>
          </w:p>
        </w:tc>
      </w:tr>
    </w:tbl>
    <w:p w14:paraId="4D81FAB6">
      <w:pPr>
        <w:tabs>
          <w:tab w:val="left" w:pos="720"/>
        </w:tabs>
        <w:snapToGrid w:val="0"/>
        <w:spacing w:line="360" w:lineRule="auto"/>
        <w:rPr>
          <w:color w:val="auto"/>
          <w:sz w:val="24"/>
          <w:szCs w:val="24"/>
          <w:highlight w:val="none"/>
        </w:rPr>
      </w:pPr>
    </w:p>
    <w:p w14:paraId="5802A9ED">
      <w:pPr>
        <w:pStyle w:val="16"/>
        <w:spacing w:after="0" w:line="360" w:lineRule="auto"/>
        <w:ind w:left="0" w:leftChars="0" w:firstLine="400" w:firstLineChars="200"/>
        <w:jc w:val="left"/>
        <w:rPr>
          <w:color w:val="auto"/>
          <w:szCs w:val="21"/>
          <w:highlight w:val="none"/>
        </w:rPr>
      </w:pPr>
      <w:r>
        <w:rPr>
          <w:rFonts w:hint="eastAsia" w:ascii="宋体" w:hAnsi="宋体" w:eastAsia="宋体" w:cs="宋体"/>
          <w:color w:val="auto"/>
          <w:szCs w:val="21"/>
          <w:highlight w:val="none"/>
        </w:rPr>
        <w:t>注：参与编制投标文件所有人员名单应包括如编制技术投标方案、编制各种专业工程量清单投标报价、负责清样校对、负责打印及复印等所有人员在内的人员名单。</w:t>
      </w:r>
    </w:p>
    <w:p w14:paraId="544D581A">
      <w:pPr>
        <w:pStyle w:val="16"/>
        <w:spacing w:after="0" w:line="360" w:lineRule="auto"/>
        <w:ind w:left="-2" w:leftChars="-1" w:firstLineChars="175"/>
        <w:jc w:val="center"/>
        <w:rPr>
          <w:color w:val="auto"/>
          <w:sz w:val="24"/>
          <w:szCs w:val="24"/>
          <w:highlight w:val="none"/>
        </w:rPr>
      </w:pPr>
    </w:p>
    <w:p w14:paraId="48C98B98">
      <w:pPr>
        <w:pStyle w:val="16"/>
        <w:spacing w:after="0" w:line="360" w:lineRule="auto"/>
        <w:ind w:left="0" w:leftChars="0" w:firstLine="0" w:firstLineChars="0"/>
        <w:rPr>
          <w:color w:val="auto"/>
          <w:szCs w:val="21"/>
          <w:highlight w:val="none"/>
          <w:lang w:eastAsia="zh-CN"/>
        </w:rPr>
      </w:pPr>
      <w:r>
        <w:rPr>
          <w:color w:val="auto"/>
          <w:sz w:val="24"/>
          <w:szCs w:val="24"/>
          <w:highlight w:val="none"/>
        </w:rPr>
        <w:br w:type="page"/>
      </w:r>
      <w:r>
        <w:rPr>
          <w:rFonts w:hint="eastAsia" w:ascii="Times New Roman" w:hAnsi="Times New Roman" w:eastAsia="宋体" w:cs="Times New Roman"/>
          <w:color w:val="auto"/>
          <w:kern w:val="2"/>
          <w:sz w:val="24"/>
          <w:szCs w:val="24"/>
          <w:highlight w:val="none"/>
        </w:rPr>
        <w:t>附件</w:t>
      </w:r>
      <w:r>
        <w:rPr>
          <w:rFonts w:hint="eastAsia" w:eastAsia="宋体" w:cs="Times New Roman"/>
          <w:color w:val="auto"/>
          <w:kern w:val="2"/>
          <w:sz w:val="24"/>
          <w:szCs w:val="24"/>
          <w:highlight w:val="none"/>
          <w:lang w:val="en-US" w:eastAsia="zh-CN"/>
        </w:rPr>
        <w:t>3</w:t>
      </w:r>
    </w:p>
    <w:p w14:paraId="5E875E58">
      <w:pPr>
        <w:pStyle w:val="16"/>
        <w:spacing w:after="157" w:afterLines="50"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14:paraId="2AD4BCE0">
      <w:pPr>
        <w:pStyle w:val="1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14:paraId="4F72D789">
      <w:pPr>
        <w:pStyle w:val="1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14:paraId="260D2D30">
      <w:pPr>
        <w:pStyle w:val="1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14:paraId="4E46C79A">
      <w:pPr>
        <w:pStyle w:val="1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14:paraId="2072763B">
      <w:pPr>
        <w:pStyle w:val="16"/>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如由于未遵守上述承诺内容之一导致无法进行澄清的，我公司认可和接受评标委员会作出的评审结论。                                 </w:t>
      </w:r>
    </w:p>
    <w:p w14:paraId="2979BF0A">
      <w:pPr>
        <w:pStyle w:val="16"/>
        <w:spacing w:after="0"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F399345">
      <w:pPr>
        <w:pStyle w:val="16"/>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14:paraId="069D0B5F">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投标人名称（盖</w:t>
      </w:r>
      <w:r>
        <w:rPr>
          <w:rFonts w:hint="eastAsia" w:ascii="宋体" w:hAnsi="宋体" w:eastAsia="宋体" w:cs="宋体"/>
          <w:color w:val="auto"/>
          <w:sz w:val="24"/>
          <w:szCs w:val="24"/>
          <w:highlight w:val="none"/>
          <w:lang w:eastAsia="zh-CN"/>
        </w:rPr>
        <w:t>法人公</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14:paraId="743D8730">
      <w:pPr>
        <w:spacing w:line="360" w:lineRule="auto"/>
        <w:ind w:firstLine="2880" w:firstLineChars="1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w:t>
      </w:r>
      <w:r>
        <w:rPr>
          <w:rFonts w:hint="eastAsia" w:ascii="宋体" w:hAnsi="宋体" w:eastAsia="宋体" w:cs="宋体"/>
          <w:color w:val="auto"/>
          <w:sz w:val="24"/>
          <w:szCs w:val="24"/>
          <w:highlight w:val="none"/>
          <w:lang w:eastAsia="zh-CN"/>
        </w:rPr>
        <w:t>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5FB5437A">
      <w:pPr>
        <w:spacing w:line="360" w:lineRule="auto"/>
        <w:ind w:firstLine="4440" w:firstLineChars="18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 </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24"/>
          <w:szCs w:val="24"/>
          <w:highlight w:val="none"/>
        </w:rPr>
        <w:t xml:space="preserve">   </w:t>
      </w:r>
    </w:p>
    <w:p w14:paraId="314E7513">
      <w:pPr>
        <w:spacing w:line="360" w:lineRule="auto"/>
        <w:jc w:val="left"/>
        <w:rPr>
          <w:rFonts w:hint="eastAsia" w:eastAsia="宋体"/>
          <w:b/>
          <w:color w:val="auto"/>
          <w:sz w:val="32"/>
          <w:szCs w:val="32"/>
          <w:highlight w:val="none"/>
          <w:lang w:eastAsia="zh-CN"/>
        </w:rPr>
      </w:pPr>
      <w:r>
        <w:rPr>
          <w:color w:val="auto"/>
          <w:sz w:val="24"/>
          <w:szCs w:val="24"/>
          <w:highlight w:val="none"/>
        </w:rPr>
        <w:br w:type="page"/>
      </w:r>
      <w:r>
        <w:rPr>
          <w:rFonts w:hint="eastAsia"/>
          <w:color w:val="auto"/>
          <w:sz w:val="24"/>
          <w:szCs w:val="24"/>
          <w:highlight w:val="none"/>
        </w:rPr>
        <w:t>附件</w:t>
      </w:r>
      <w:r>
        <w:rPr>
          <w:rFonts w:hint="eastAsia"/>
          <w:color w:val="auto"/>
          <w:sz w:val="24"/>
          <w:szCs w:val="24"/>
          <w:highlight w:val="none"/>
          <w:lang w:val="en-US" w:eastAsia="zh-CN"/>
        </w:rPr>
        <w:t>4</w:t>
      </w:r>
    </w:p>
    <w:p w14:paraId="2D9CAE77">
      <w:pPr>
        <w:pStyle w:val="16"/>
        <w:spacing w:after="157" w:afterLines="50" w:line="360" w:lineRule="auto"/>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14:paraId="231D08B3">
      <w:pPr>
        <w:pStyle w:val="16"/>
        <w:spacing w:after="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 xml:space="preserve"> （盖造价工程师执业专用章，执业单位应与投标人一致） </w:t>
      </w:r>
      <w:r>
        <w:rPr>
          <w:rFonts w:hint="eastAsia" w:ascii="宋体" w:hAnsi="宋体" w:eastAsia="宋体" w:cs="宋体"/>
          <w:color w:val="auto"/>
          <w:sz w:val="24"/>
          <w:szCs w:val="24"/>
          <w:highlight w:val="none"/>
        </w:rPr>
        <w:t>。□委托编制的，受委托单位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（盖造价工程师执业专用章或全国建设工程造价员章，执业单位应与受委托单位一致） </w:t>
      </w:r>
      <w:r>
        <w:rPr>
          <w:rFonts w:hint="eastAsia" w:ascii="宋体" w:hAnsi="宋体" w:eastAsia="宋体" w:cs="宋体"/>
          <w:color w:val="auto"/>
          <w:sz w:val="24"/>
          <w:szCs w:val="24"/>
          <w:highlight w:val="none"/>
        </w:rPr>
        <w:t>。</w:t>
      </w:r>
    </w:p>
    <w:p w14:paraId="61BC8C3A">
      <w:pPr>
        <w:pStyle w:val="16"/>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18"/>
        <w:tblW w:w="0" w:type="auto"/>
        <w:tblInd w:w="0" w:type="dxa"/>
        <w:tblLayout w:type="fixed"/>
        <w:tblCellMar>
          <w:top w:w="0" w:type="dxa"/>
          <w:left w:w="108" w:type="dxa"/>
          <w:bottom w:w="0" w:type="dxa"/>
          <w:right w:w="108" w:type="dxa"/>
        </w:tblCellMar>
      </w:tblPr>
      <w:tblGrid>
        <w:gridCol w:w="8528"/>
      </w:tblGrid>
      <w:tr w14:paraId="6D755A99">
        <w:tblPrEx>
          <w:tblCellMar>
            <w:top w:w="0" w:type="dxa"/>
            <w:left w:w="108" w:type="dxa"/>
            <w:bottom w:w="0" w:type="dxa"/>
            <w:right w:w="108" w:type="dxa"/>
          </w:tblCellMar>
        </w:tblPrEx>
        <w:trPr>
          <w:trHeight w:val="2819" w:hRule="atLeast"/>
        </w:trPr>
        <w:tc>
          <w:tcPr>
            <w:tcW w:w="8528" w:type="dxa"/>
            <w:noWrap w:val="0"/>
            <w:vAlign w:val="top"/>
          </w:tcPr>
          <w:p w14:paraId="62EE1F5B">
            <w:pPr>
              <w:pStyle w:val="1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投标文件加密打包的电脑     自有    □      外包    □     其他    □</w:t>
            </w:r>
          </w:p>
          <w:p w14:paraId="40FD4ABD">
            <w:pPr>
              <w:pStyle w:val="1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电脑类型</w:t>
            </w:r>
          </w:p>
          <w:p w14:paraId="0DE82CBB">
            <w:pPr>
              <w:pStyle w:val="1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电脑所属单位</w:t>
            </w:r>
          </w:p>
          <w:p w14:paraId="0A98741D">
            <w:pPr>
              <w:pStyle w:val="16"/>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电脑所在地址        （如××市××区(县) ××街（路）××号××大厦××房）</w:t>
            </w:r>
          </w:p>
        </w:tc>
      </w:tr>
    </w:tbl>
    <w:p w14:paraId="644D0ECF">
      <w:pPr>
        <w:spacing w:line="360" w:lineRule="auto"/>
        <w:rPr>
          <w:rFonts w:hint="eastAsia" w:ascii="宋体" w:hAnsi="宋体"/>
          <w:color w:val="auto"/>
          <w:sz w:val="24"/>
          <w:highlight w:val="none"/>
        </w:rPr>
      </w:pPr>
    </w:p>
    <w:p w14:paraId="6D3C2AAD">
      <w:pPr>
        <w:spacing w:line="360" w:lineRule="auto"/>
        <w:rPr>
          <w:rFonts w:hint="eastAsia" w:ascii="宋体" w:hAnsi="宋体"/>
          <w:color w:val="auto"/>
          <w:sz w:val="24"/>
          <w:highlight w:val="none"/>
        </w:rPr>
      </w:pPr>
    </w:p>
    <w:p w14:paraId="4D78B440">
      <w:pPr>
        <w:spacing w:line="360" w:lineRule="auto"/>
        <w:rPr>
          <w:rFonts w:hint="eastAsia" w:ascii="宋体" w:hAnsi="宋体"/>
          <w:color w:val="auto"/>
          <w:sz w:val="24"/>
          <w:highlight w:val="none"/>
        </w:rPr>
      </w:pPr>
    </w:p>
    <w:p w14:paraId="5985D9BA">
      <w:pPr>
        <w:spacing w:line="360" w:lineRule="auto"/>
        <w:jc w:val="center"/>
        <w:outlineLvl w:val="1"/>
        <w:rPr>
          <w:rFonts w:hint="eastAsia" w:ascii="黑体" w:hAnsi="宋体" w:eastAsia="黑体"/>
          <w:color w:val="auto"/>
          <w:sz w:val="32"/>
          <w:szCs w:val="32"/>
          <w:highlight w:val="none"/>
        </w:rPr>
        <w:sectPr>
          <w:pgSz w:w="11906" w:h="16838"/>
          <w:pgMar w:top="1440" w:right="1797" w:bottom="1440" w:left="1797" w:header="851" w:footer="992" w:gutter="0"/>
          <w:pgNumType w:fmt="decimal"/>
          <w:cols w:space="720" w:num="1"/>
          <w:docGrid w:linePitch="312" w:charSpace="0"/>
        </w:sectPr>
      </w:pPr>
      <w:bookmarkStart w:id="1250" w:name="_Toc10968"/>
      <w:bookmarkStart w:id="1251" w:name="_Toc17556916"/>
      <w:bookmarkStart w:id="1252" w:name="_Toc17451141"/>
      <w:bookmarkStart w:id="1253" w:name="_Toc17451618"/>
      <w:bookmarkStart w:id="1254" w:name="_Toc17454911"/>
      <w:bookmarkStart w:id="1255" w:name="_Toc17451663"/>
      <w:bookmarkStart w:id="1256" w:name="_Toc17452704"/>
      <w:bookmarkStart w:id="1257" w:name="_Toc17454962"/>
    </w:p>
    <w:p w14:paraId="66591453">
      <w:pPr>
        <w:pStyle w:val="17"/>
        <w:ind w:firstLine="0"/>
        <w:jc w:val="both"/>
        <w:rPr>
          <w:rFonts w:hint="eastAsia" w:ascii="宋体" w:hAnsi="宋体" w:eastAsia="宋体" w:cs="宋体"/>
          <w:b/>
          <w:bCs/>
          <w:color w:val="auto"/>
          <w:sz w:val="32"/>
          <w:szCs w:val="32"/>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5</w:t>
      </w:r>
    </w:p>
    <w:tbl>
      <w:tblPr>
        <w:tblStyle w:val="18"/>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6"/>
        <w:gridCol w:w="2372"/>
        <w:gridCol w:w="2646"/>
        <w:gridCol w:w="1316"/>
        <w:gridCol w:w="1763"/>
        <w:gridCol w:w="1763"/>
        <w:gridCol w:w="1065"/>
        <w:gridCol w:w="1771"/>
        <w:gridCol w:w="811"/>
      </w:tblGrid>
      <w:tr w14:paraId="754C9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5000" w:type="pct"/>
            <w:gridSpan w:val="9"/>
            <w:tcBorders>
              <w:top w:val="nil"/>
              <w:left w:val="nil"/>
              <w:bottom w:val="nil"/>
              <w:right w:val="nil"/>
            </w:tcBorders>
            <w:noWrap w:val="0"/>
            <w:vAlign w:val="center"/>
          </w:tcPr>
          <w:p w14:paraId="43140B72">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highlight w:val="none"/>
                <w:u w:val="none"/>
                <w:lang w:val="en-US" w:eastAsia="zh-CN" w:bidi="ar"/>
              </w:rPr>
            </w:pPr>
            <w:r>
              <w:rPr>
                <w:rFonts w:hint="eastAsia" w:ascii="宋体" w:hAnsi="宋体" w:cs="宋体"/>
                <w:b/>
                <w:bCs/>
                <w:color w:val="auto"/>
                <w:sz w:val="32"/>
                <w:szCs w:val="32"/>
                <w:highlight w:val="none"/>
                <w:lang w:eastAsia="zh-CN"/>
              </w:rPr>
              <w:t>车陂加压站复建工程第二阶段(附属设施用房)施工总承包</w:t>
            </w:r>
            <w:r>
              <w:rPr>
                <w:rStyle w:val="29"/>
                <w:rFonts w:hint="eastAsia" w:ascii="宋体" w:hAnsi="宋体" w:eastAsia="宋体" w:cs="宋体"/>
                <w:color w:val="auto"/>
                <w:highlight w:val="none"/>
                <w:lang w:val="en-US" w:eastAsia="zh-CN" w:bidi="ar"/>
              </w:rPr>
              <w:t>非竞争性费用明细表</w:t>
            </w:r>
          </w:p>
        </w:tc>
      </w:tr>
      <w:tr w14:paraId="7511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4708" w:type="pct"/>
            <w:gridSpan w:val="8"/>
            <w:tcBorders>
              <w:top w:val="nil"/>
              <w:left w:val="nil"/>
              <w:bottom w:val="nil"/>
              <w:right w:val="nil"/>
            </w:tcBorders>
            <w:noWrap w:val="0"/>
            <w:vAlign w:val="bottom"/>
          </w:tcPr>
          <w:p w14:paraId="3D0CF72D">
            <w:pPr>
              <w:keepNext w:val="0"/>
              <w:keepLines w:val="0"/>
              <w:widowControl/>
              <w:suppressLineNumbers w:val="0"/>
              <w:jc w:val="right"/>
              <w:textAlignment w:val="center"/>
              <w:rPr>
                <w:rFonts w:hint="eastAsia" w:ascii="宋体" w:hAnsi="宋体" w:eastAsia="宋体" w:cs="宋体"/>
                <w:b/>
                <w:bCs/>
                <w:i w:val="0"/>
                <w:iCs w:val="0"/>
                <w:color w:val="auto"/>
                <w:kern w:val="0"/>
                <w:sz w:val="32"/>
                <w:szCs w:val="3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291" w:type="pct"/>
            <w:tcBorders>
              <w:top w:val="nil"/>
              <w:left w:val="nil"/>
              <w:bottom w:val="nil"/>
              <w:right w:val="nil"/>
            </w:tcBorders>
            <w:noWrap w:val="0"/>
            <w:vAlign w:val="bottom"/>
          </w:tcPr>
          <w:p w14:paraId="021B75E0">
            <w:pPr>
              <w:keepNext w:val="0"/>
              <w:keepLines w:val="0"/>
              <w:widowControl/>
              <w:suppressLineNumbers w:val="0"/>
              <w:jc w:val="both"/>
              <w:textAlignment w:val="center"/>
              <w:rPr>
                <w:rFonts w:hint="eastAsia" w:ascii="宋体" w:hAnsi="宋体" w:eastAsia="宋体" w:cs="宋体"/>
                <w:b/>
                <w:bCs/>
                <w:i w:val="0"/>
                <w:iCs w:val="0"/>
                <w:color w:val="auto"/>
                <w:kern w:val="0"/>
                <w:sz w:val="32"/>
                <w:szCs w:val="32"/>
                <w:highlight w:val="none"/>
                <w:u w:val="none"/>
                <w:lang w:val="en-US" w:eastAsia="zh-CN" w:bidi="ar"/>
              </w:rPr>
            </w:pPr>
          </w:p>
        </w:tc>
      </w:tr>
      <w:tr w14:paraId="562F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7E98772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bidi="ar"/>
              </w:rPr>
            </w:pPr>
            <w:r>
              <w:rPr>
                <w:rFonts w:hint="eastAsia" w:ascii="宋体" w:hAnsi="宋体" w:eastAsia="宋体" w:cs="宋体"/>
                <w:b w:val="0"/>
                <w:bCs w:val="0"/>
                <w:i w:val="0"/>
                <w:iCs w:val="0"/>
                <w:color w:val="auto"/>
                <w:kern w:val="0"/>
                <w:sz w:val="22"/>
                <w:szCs w:val="22"/>
                <w:u w:val="none"/>
                <w:lang w:val="en-US" w:eastAsia="zh-CN" w:bidi="ar"/>
              </w:rPr>
              <w:t>序号</w:t>
            </w:r>
          </w:p>
        </w:tc>
        <w:tc>
          <w:tcPr>
            <w:tcW w:w="849" w:type="pct"/>
            <w:tcBorders>
              <w:top w:val="single" w:color="000000" w:sz="4" w:space="0"/>
              <w:left w:val="single" w:color="000000" w:sz="4" w:space="0"/>
              <w:bottom w:val="single" w:color="000000" w:sz="4" w:space="0"/>
              <w:right w:val="single" w:color="000000" w:sz="4" w:space="0"/>
            </w:tcBorders>
            <w:noWrap/>
            <w:vAlign w:val="center"/>
          </w:tcPr>
          <w:p w14:paraId="5556DBB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单位工程名称</w:t>
            </w:r>
          </w:p>
        </w:tc>
        <w:tc>
          <w:tcPr>
            <w:tcW w:w="934" w:type="pct"/>
            <w:tcBorders>
              <w:top w:val="single" w:color="000000" w:sz="4" w:space="0"/>
              <w:left w:val="single" w:color="000000" w:sz="4" w:space="0"/>
              <w:bottom w:val="single" w:color="000000" w:sz="4" w:space="0"/>
              <w:right w:val="single" w:color="000000" w:sz="4" w:space="0"/>
            </w:tcBorders>
            <w:noWrap/>
            <w:vAlign w:val="center"/>
          </w:tcPr>
          <w:p w14:paraId="397AFD2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bidi="ar"/>
              </w:rPr>
            </w:pPr>
            <w:r>
              <w:rPr>
                <w:rFonts w:hint="eastAsia" w:ascii="宋体" w:hAnsi="宋体" w:eastAsia="宋体" w:cs="宋体"/>
                <w:b w:val="0"/>
                <w:bCs w:val="0"/>
                <w:i w:val="0"/>
                <w:iCs w:val="0"/>
                <w:color w:val="auto"/>
                <w:kern w:val="0"/>
                <w:sz w:val="22"/>
                <w:szCs w:val="22"/>
                <w:u w:val="none"/>
                <w:lang w:val="en-US" w:eastAsia="zh-CN" w:bidi="ar"/>
              </w:rPr>
              <w:t>绿色施工安全防护措施费</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744BD56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暂列金额</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7E1700D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专业工程暂估价</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24CE1D1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bidi="ar"/>
              </w:rPr>
            </w:pPr>
            <w:r>
              <w:rPr>
                <w:rFonts w:hint="eastAsia" w:ascii="宋体" w:hAnsi="宋体" w:eastAsia="宋体" w:cs="宋体"/>
                <w:b w:val="0"/>
                <w:bCs w:val="0"/>
                <w:i w:val="0"/>
                <w:iCs w:val="0"/>
                <w:color w:val="auto"/>
                <w:kern w:val="0"/>
                <w:sz w:val="22"/>
                <w:szCs w:val="22"/>
                <w:u w:val="none"/>
                <w:lang w:val="en-US" w:eastAsia="zh-CN" w:bidi="ar"/>
              </w:rPr>
              <w:t>建筑垃圾消纳费</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4996EA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bidi="ar"/>
              </w:rPr>
            </w:pPr>
            <w:r>
              <w:rPr>
                <w:rFonts w:hint="eastAsia" w:ascii="宋体" w:hAnsi="宋体" w:eastAsia="宋体" w:cs="宋体"/>
                <w:b w:val="0"/>
                <w:bCs w:val="0"/>
                <w:i w:val="0"/>
                <w:iCs w:val="0"/>
                <w:color w:val="auto"/>
                <w:kern w:val="0"/>
                <w:sz w:val="22"/>
                <w:szCs w:val="22"/>
                <w:u w:val="none"/>
                <w:lang w:val="en-US" w:eastAsia="zh-CN" w:bidi="ar"/>
              </w:rPr>
              <w:t>耗水费</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4ED5DD4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bidi="ar"/>
              </w:rPr>
            </w:pPr>
            <w:r>
              <w:rPr>
                <w:rFonts w:hint="eastAsia" w:ascii="宋体" w:hAnsi="宋体" w:eastAsia="宋体" w:cs="宋体"/>
                <w:b w:val="0"/>
                <w:bCs w:val="0"/>
                <w:i w:val="0"/>
                <w:iCs w:val="0"/>
                <w:color w:val="auto"/>
                <w:kern w:val="0"/>
                <w:sz w:val="22"/>
                <w:szCs w:val="22"/>
                <w:u w:val="none"/>
                <w:lang w:val="en-US" w:eastAsia="zh-CN" w:bidi="ar"/>
              </w:rPr>
              <w:t>甲供材料运输费</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5432CC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备注</w:t>
            </w:r>
          </w:p>
        </w:tc>
      </w:tr>
      <w:tr w14:paraId="62EC7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70CA391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072649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地下部分</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174F38D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279,985.73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03BF0CC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253,114.83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5CA0D0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86A680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47,758.20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3561259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6206E3C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347BF49">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6C34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47B8182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1.1</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D2C44E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桩基工程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2D41381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43,888.24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21CEFB1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57,163.30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686ADA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AC4A29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269.40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6B7243D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EAB018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A232561">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7CA0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3B55FDF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1.2</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A60905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基坑工程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4F62FF2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83,093.66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7AC4EAC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37,208.54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2809F3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10E35CD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47,488.80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4DC64D9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2A9E1D1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B5D4FA5">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2D6D2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56ECE5C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1.3</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17298B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地下建筑工程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56F6EBA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106,578.57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4A40073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120,590.20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448FD2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045E83E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79C6A8A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060B58C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B803518">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4789F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5575981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1.4</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C0C89A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地下强电工程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69F41C5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12,775.06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75E3EF5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16,355.96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76C2195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EF8AE5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39C5ABE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EAB1B0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0634BAC">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4E724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64E8521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1.5</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71355C1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地下弱电工程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51F3E9F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1,489.38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7899A26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567.36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3C7F6E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7B03DAD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55B4638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969ECE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7A755C2">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646E7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21A51B0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1.6</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31A8BA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地下消防电气工程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6A078C3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3,054.94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0AAE997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1,183.59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D705D8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512C2D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4EBA215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0C0B88B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67E6CBD">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E036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2091C4A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1.7</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532234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地下给排水工程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6BD500E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22,834.00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7FF1777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17,324.05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9D7D29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A9817F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3C6C2B6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368024B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FBB0DF1">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122C5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342BEBE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1.8</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1A8D82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地下通风空调工程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3A12E2F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6,271.88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4E283B8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2,721.83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378427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47ADAC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4F1DB0E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27C326B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168B1F4">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38ADF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514730D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7D13A12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地上部分</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6A75560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733,481.84</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368FA97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626,569.96</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ADA186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05FE8AB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78F97ED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529CA44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4A8C98B1">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042BE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04F55F7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2.1</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ECCBE1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地上建筑工程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3584485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512,520.95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101451C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431,780.22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8A4D6A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182BFCC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34CC790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50793BE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4F71BEC">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7E71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2CF37AF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2.2</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80404D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地上强电工程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7B0AC8B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74,989.24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3971AD4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80,110.90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D18608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691ED2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7481BF0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1C97B69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74D6C6B6">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6E35E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2F83F6F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2.3</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52621A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地上弱电工程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7F9EB91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27,175.44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390B08B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28,871.55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74B66AA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48B788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6772632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11C4511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C0A294C">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106C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0BE43A2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2.4</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C18574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地上消防电气工程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50480BD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17,133.40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20E94DE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7,765.95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F447F0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8A1F1D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6315CCE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59FE81F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63A4A1E">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D481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78EE94E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2.5</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6FC57C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地上给排水工程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26696CF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31,005.71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2E17D90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17,900.10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0AC29A0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046A08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0F1F628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A741D1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AF8F5A4">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36FA6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6952A1C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2.6</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F5E372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地上通风空调工程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2AB2E73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47,086.59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4087543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43,084.78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18FA00B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A3FA88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4F55440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0170DE3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5883395">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BB94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267FE92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2.7</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2D8A47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电梯工程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4B5F428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23,570.51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79ACC65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17,056.46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FA5C6B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17F58AC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2E824E2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9004C1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184D7D7">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1C7E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7ADDFC5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7713454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室外部分</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59322C3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88,360.48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4B43C2B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75,228.11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032352A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529173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21,126.95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53094DB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66AA7F3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CECB809">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2301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2EEE2AA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3.1</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7F027F2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室外电气工程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213CC14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7,865.34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6F715FA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4,293.74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06DD892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42DA30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22612A5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232716E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5FA0E78">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436B6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0B88941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3.2</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5A49FF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室外给排水工程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4D2726A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39,774.43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544EED9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28,429.26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12A462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0EFD8BD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9,503.25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269026E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432B6E3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6BCAFFD">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027B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12E1807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3.3</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FA64DD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绿化喷灌工程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1410DCB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4,973.08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1D823C6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2,389.10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17EBD67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5B0DDB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1,227.15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7C67BA6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628242C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19273E1">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70E5D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7E8BB8C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3.4</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2950E7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绿化工程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3117CFD7">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2,834.35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6E510A4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3,764.19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72F12E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6281099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1,206.00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32EF372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559A9CA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0F8E4BE">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0EE81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060764F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3.5</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C012DB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园建工程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0E4F36ED">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14,035.39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4B674E19">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27,392.68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3E519C5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D05BD2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6,961.95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51B65BA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350A1D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8E746F5">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3FFE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433A8D8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3.6</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3D59D8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围墙工程</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1518CC3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18,335.20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19C6F01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8,435.60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3351EF5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5EBF7AC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1,022.60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5F05B03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59C01AC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9A3A88E">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12193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7BCA500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3.7</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1CFB29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海绵城市</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793DC81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542.69 </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4DC6BD15">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523.54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49E0EA3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3230352B">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1,206.00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0AF162A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7C32615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639B13E9">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r w14:paraId="49712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232" w:type="pct"/>
            <w:tcBorders>
              <w:top w:val="single" w:color="000000" w:sz="4" w:space="0"/>
              <w:left w:val="single" w:color="000000" w:sz="4" w:space="0"/>
              <w:bottom w:val="single" w:color="000000" w:sz="4" w:space="0"/>
              <w:right w:val="single" w:color="000000" w:sz="4" w:space="0"/>
            </w:tcBorders>
            <w:noWrap/>
            <w:vAlign w:val="center"/>
          </w:tcPr>
          <w:p w14:paraId="3BAF0969">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D81127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合计</w:t>
            </w:r>
          </w:p>
        </w:tc>
        <w:tc>
          <w:tcPr>
            <w:tcW w:w="2646" w:type="dxa"/>
            <w:tcBorders>
              <w:top w:val="single" w:color="000000" w:sz="4" w:space="0"/>
              <w:left w:val="single" w:color="000000" w:sz="4" w:space="0"/>
              <w:bottom w:val="single" w:color="000000" w:sz="4" w:space="0"/>
              <w:right w:val="single" w:color="000000" w:sz="4" w:space="0"/>
            </w:tcBorders>
            <w:noWrap/>
            <w:vAlign w:val="center"/>
          </w:tcPr>
          <w:p w14:paraId="212E41C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1,101,828.05</w:t>
            </w:r>
          </w:p>
        </w:tc>
        <w:tc>
          <w:tcPr>
            <w:tcW w:w="1268" w:type="dxa"/>
            <w:tcBorders>
              <w:top w:val="single" w:color="000000" w:sz="4" w:space="0"/>
              <w:left w:val="single" w:color="000000" w:sz="4" w:space="0"/>
              <w:bottom w:val="single" w:color="000000" w:sz="4" w:space="0"/>
              <w:right w:val="single" w:color="000000" w:sz="4" w:space="0"/>
            </w:tcBorders>
            <w:noWrap/>
            <w:vAlign w:val="center"/>
          </w:tcPr>
          <w:p w14:paraId="60D4D47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954,912.90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1C9DF08A">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63" w:type="dxa"/>
            <w:tcBorders>
              <w:top w:val="single" w:color="000000" w:sz="4" w:space="0"/>
              <w:left w:val="single" w:color="000000" w:sz="4" w:space="0"/>
              <w:bottom w:val="single" w:color="000000" w:sz="4" w:space="0"/>
              <w:right w:val="single" w:color="000000" w:sz="4" w:space="0"/>
            </w:tcBorders>
            <w:noWrap/>
            <w:vAlign w:val="center"/>
          </w:tcPr>
          <w:p w14:paraId="27A394C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68,885.15 </w:t>
            </w:r>
          </w:p>
        </w:tc>
        <w:tc>
          <w:tcPr>
            <w:tcW w:w="1065" w:type="dxa"/>
            <w:tcBorders>
              <w:top w:val="single" w:color="000000" w:sz="4" w:space="0"/>
              <w:left w:val="single" w:color="000000" w:sz="4" w:space="0"/>
              <w:bottom w:val="single" w:color="000000" w:sz="4" w:space="0"/>
              <w:right w:val="single" w:color="000000" w:sz="4" w:space="0"/>
            </w:tcBorders>
            <w:noWrap/>
            <w:vAlign w:val="center"/>
          </w:tcPr>
          <w:p w14:paraId="1EA2901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1771" w:type="dxa"/>
            <w:tcBorders>
              <w:top w:val="single" w:color="000000" w:sz="4" w:space="0"/>
              <w:left w:val="single" w:color="000000" w:sz="4" w:space="0"/>
              <w:bottom w:val="single" w:color="000000" w:sz="4" w:space="0"/>
              <w:right w:val="single" w:color="000000" w:sz="4" w:space="0"/>
            </w:tcBorders>
            <w:noWrap/>
            <w:vAlign w:val="center"/>
          </w:tcPr>
          <w:p w14:paraId="605FDF1E">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 xml:space="preserve">0.00 </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3E9CF58">
            <w:pPr>
              <w:widowControl/>
              <w:jc w:val="center"/>
              <w:textAlignment w:val="center"/>
              <w:rPr>
                <w:rFonts w:hint="eastAsia" w:ascii="宋体" w:hAnsi="宋体" w:eastAsia="宋体" w:cs="宋体"/>
                <w:b w:val="0"/>
                <w:bCs w:val="0"/>
                <w:i w:val="0"/>
                <w:iCs w:val="0"/>
                <w:color w:val="auto"/>
                <w:kern w:val="0"/>
                <w:sz w:val="22"/>
                <w:szCs w:val="22"/>
                <w:u w:val="none"/>
                <w:lang w:val="en-US" w:eastAsia="zh-CN" w:bidi="ar"/>
              </w:rPr>
            </w:pPr>
          </w:p>
        </w:tc>
      </w:tr>
    </w:tbl>
    <w:p w14:paraId="6C78AF9F">
      <w:pPr>
        <w:widowControl/>
        <w:spacing w:line="240" w:lineRule="auto"/>
        <w:jc w:val="center"/>
        <w:textAlignment w:val="center"/>
        <w:outlineLvl w:val="9"/>
        <w:rPr>
          <w:rFonts w:hint="eastAsia" w:ascii="宋体" w:hAnsi="宋体" w:eastAsia="宋体" w:cs="宋体"/>
          <w:color w:val="auto"/>
          <w:kern w:val="0"/>
          <w:sz w:val="22"/>
          <w:szCs w:val="22"/>
          <w:u w:val="none"/>
          <w:lang w:bidi="ar"/>
        </w:rPr>
        <w:sectPr>
          <w:pgSz w:w="16838" w:h="11906" w:orient="landscape"/>
          <w:pgMar w:top="1797" w:right="1440" w:bottom="1797" w:left="1440" w:header="851" w:footer="992" w:gutter="0"/>
          <w:pgNumType w:fmt="decimal"/>
          <w:cols w:space="720" w:num="1"/>
          <w:docGrid w:linePitch="312" w:charSpace="0"/>
        </w:sectPr>
      </w:pPr>
    </w:p>
    <w:p w14:paraId="598C2C8A">
      <w:pPr>
        <w:pStyle w:val="17"/>
        <w:spacing w:after="0"/>
        <w:ind w:firstLine="0"/>
        <w:jc w:val="both"/>
        <w:rPr>
          <w:rFonts w:hint="eastAsia" w:ascii="宋体" w:hAnsi="宋体" w:eastAsia="宋体" w:cs="宋体"/>
          <w:b/>
          <w:bCs/>
          <w:color w:val="auto"/>
          <w:sz w:val="32"/>
          <w:szCs w:val="32"/>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6</w:t>
      </w:r>
    </w:p>
    <w:p w14:paraId="3791E744">
      <w:pPr>
        <w:numPr>
          <w:ilvl w:val="0"/>
          <w:numId w:val="0"/>
        </w:numPr>
        <w:spacing w:line="360" w:lineRule="auto"/>
        <w:jc w:val="both"/>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针对绿色施工的</w:t>
      </w:r>
      <w:r>
        <w:rPr>
          <w:rFonts w:hint="eastAsia" w:ascii="宋体" w:hAnsi="宋体" w:eastAsia="宋体" w:cs="宋体"/>
          <w:b/>
          <w:color w:val="auto"/>
          <w:sz w:val="32"/>
          <w:szCs w:val="32"/>
          <w:highlight w:val="none"/>
        </w:rPr>
        <w:t>绿色施工组织机构图及《绿色施工</w:t>
      </w:r>
      <w:r>
        <w:rPr>
          <w:rFonts w:hint="eastAsia" w:ascii="宋体" w:hAnsi="宋体" w:eastAsia="宋体" w:cs="宋体"/>
          <w:b/>
          <w:color w:val="auto"/>
          <w:sz w:val="32"/>
          <w:szCs w:val="32"/>
          <w:highlight w:val="none"/>
          <w:lang w:val="en-US" w:eastAsia="zh-CN"/>
        </w:rPr>
        <w:t>承诺函</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（格式自拟）</w:t>
      </w:r>
    </w:p>
    <w:p w14:paraId="26B36471">
      <w:pPr>
        <w:pStyle w:val="17"/>
        <w:spacing w:after="0"/>
        <w:ind w:firstLine="0"/>
        <w:jc w:val="both"/>
        <w:rPr>
          <w:rFonts w:hint="eastAsia"/>
          <w:color w:val="auto"/>
          <w:sz w:val="24"/>
          <w:szCs w:val="24"/>
          <w:highlight w:val="none"/>
        </w:rPr>
      </w:pPr>
    </w:p>
    <w:p w14:paraId="5F5E249A">
      <w:pPr>
        <w:pStyle w:val="17"/>
        <w:spacing w:after="0"/>
        <w:ind w:firstLine="0"/>
        <w:jc w:val="both"/>
        <w:rPr>
          <w:rFonts w:hint="eastAsia" w:ascii="宋体" w:hAnsi="宋体" w:eastAsia="宋体" w:cs="宋体"/>
          <w:b/>
          <w:bCs/>
          <w:color w:val="auto"/>
          <w:sz w:val="32"/>
          <w:szCs w:val="32"/>
          <w:highlight w:val="none"/>
          <w:lang w:eastAsia="zh-CN"/>
        </w:rPr>
      </w:pPr>
      <w:r>
        <w:rPr>
          <w:rFonts w:hint="eastAsia"/>
          <w:color w:val="auto"/>
          <w:sz w:val="24"/>
          <w:szCs w:val="24"/>
          <w:highlight w:val="none"/>
        </w:rPr>
        <w:t>附件</w:t>
      </w:r>
      <w:r>
        <w:rPr>
          <w:rFonts w:hint="eastAsia"/>
          <w:color w:val="auto"/>
          <w:sz w:val="24"/>
          <w:szCs w:val="24"/>
          <w:highlight w:val="none"/>
          <w:lang w:val="en-US" w:eastAsia="zh-CN"/>
        </w:rPr>
        <w:t>7</w:t>
      </w:r>
    </w:p>
    <w:p w14:paraId="3F8129FD">
      <w:pPr>
        <w:numPr>
          <w:ilvl w:val="0"/>
          <w:numId w:val="0"/>
        </w:numPr>
        <w:spacing w:line="360" w:lineRule="auto"/>
        <w:jc w:val="both"/>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针对</w:t>
      </w:r>
      <w:r>
        <w:rPr>
          <w:rFonts w:hint="eastAsia" w:ascii="宋体" w:hAnsi="宋体" w:eastAsia="宋体" w:cs="宋体"/>
          <w:b/>
          <w:color w:val="auto"/>
          <w:sz w:val="32"/>
          <w:szCs w:val="32"/>
          <w:highlight w:val="none"/>
        </w:rPr>
        <w:t>拟投入的机械设备情况</w:t>
      </w:r>
      <w:r>
        <w:rPr>
          <w:rFonts w:hint="eastAsia" w:ascii="宋体" w:hAnsi="宋体" w:eastAsia="宋体" w:cs="宋体"/>
          <w:b/>
          <w:color w:val="auto"/>
          <w:sz w:val="32"/>
          <w:szCs w:val="32"/>
          <w:highlight w:val="none"/>
          <w:lang w:eastAsia="zh-CN"/>
        </w:rPr>
        <w:t>的</w:t>
      </w:r>
      <w:r>
        <w:rPr>
          <w:rFonts w:hint="eastAsia" w:ascii="宋体" w:hAnsi="宋体" w:eastAsia="宋体" w:cs="宋体"/>
          <w:b/>
          <w:color w:val="auto"/>
          <w:sz w:val="32"/>
          <w:szCs w:val="32"/>
          <w:highlight w:val="none"/>
          <w:lang w:val="en-US" w:eastAsia="zh-CN"/>
        </w:rPr>
        <w:t>《拟投入的机械设备承诺函》（格式自拟）</w:t>
      </w:r>
    </w:p>
    <w:p w14:paraId="75B845CC">
      <w:pPr>
        <w:numPr>
          <w:ilvl w:val="0"/>
          <w:numId w:val="0"/>
        </w:numPr>
        <w:spacing w:line="360" w:lineRule="auto"/>
        <w:jc w:val="both"/>
        <w:rPr>
          <w:rFonts w:hint="eastAsia"/>
          <w:color w:val="auto"/>
          <w:sz w:val="24"/>
          <w:szCs w:val="24"/>
          <w:highlight w:val="none"/>
        </w:rPr>
      </w:pPr>
    </w:p>
    <w:p w14:paraId="2E911601">
      <w:pPr>
        <w:numPr>
          <w:ilvl w:val="0"/>
          <w:numId w:val="0"/>
        </w:numPr>
        <w:spacing w:line="360" w:lineRule="auto"/>
        <w:jc w:val="both"/>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8</w:t>
      </w:r>
    </w:p>
    <w:p w14:paraId="41B563D0">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针对产业工人队伍</w:t>
      </w:r>
      <w:r>
        <w:rPr>
          <w:rFonts w:hint="eastAsia" w:ascii="宋体" w:hAnsi="宋体" w:eastAsia="宋体" w:cs="宋体"/>
          <w:b/>
          <w:color w:val="auto"/>
          <w:sz w:val="32"/>
          <w:szCs w:val="32"/>
          <w:highlight w:val="none"/>
        </w:rPr>
        <w:t>的</w:t>
      </w:r>
      <w:r>
        <w:rPr>
          <w:rFonts w:hint="eastAsia" w:ascii="宋体" w:hAnsi="宋体" w:eastAsia="宋体" w:cs="宋体"/>
          <w:b/>
          <w:color w:val="auto"/>
          <w:sz w:val="32"/>
          <w:szCs w:val="32"/>
          <w:highlight w:val="none"/>
          <w:lang w:val="en-US" w:eastAsia="zh-CN"/>
        </w:rPr>
        <w:t>证明资料</w:t>
      </w:r>
    </w:p>
    <w:p w14:paraId="7D20C909">
      <w:pPr>
        <w:pageBreakBefore w:val="0"/>
        <w:numPr>
          <w:ilvl w:val="0"/>
          <w:numId w:val="0"/>
        </w:numPr>
        <w:spacing w:line="360" w:lineRule="auto"/>
        <w:outlineLvl w:val="9"/>
        <w:rPr>
          <w:rFonts w:hint="eastAsia"/>
          <w:color w:val="auto"/>
          <w:sz w:val="24"/>
          <w:szCs w:val="24"/>
          <w:highlight w:val="none"/>
        </w:rPr>
      </w:pPr>
    </w:p>
    <w:p w14:paraId="75F05541">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9</w:t>
      </w:r>
    </w:p>
    <w:p w14:paraId="3F1C346E">
      <w:pPr>
        <w:pageBreakBefore w:val="0"/>
        <w:numPr>
          <w:ilvl w:val="0"/>
          <w:numId w:val="0"/>
        </w:numPr>
        <w:spacing w:line="360" w:lineRule="auto"/>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针对项目负责人的执业能力的证明资料</w:t>
      </w:r>
    </w:p>
    <w:p w14:paraId="6460A4C2">
      <w:pPr>
        <w:pageBreakBefore w:val="0"/>
        <w:numPr>
          <w:ilvl w:val="0"/>
          <w:numId w:val="0"/>
        </w:numPr>
        <w:spacing w:line="360" w:lineRule="auto"/>
        <w:outlineLvl w:val="9"/>
        <w:rPr>
          <w:rFonts w:hint="eastAsia"/>
          <w:color w:val="auto"/>
          <w:sz w:val="24"/>
          <w:szCs w:val="24"/>
          <w:highlight w:val="none"/>
        </w:rPr>
      </w:pPr>
    </w:p>
    <w:p w14:paraId="5A39B9B9">
      <w:pPr>
        <w:pageBreakBefore w:val="0"/>
        <w:numPr>
          <w:ilvl w:val="0"/>
          <w:numId w:val="0"/>
        </w:numPr>
        <w:spacing w:line="360" w:lineRule="auto"/>
        <w:outlineLvl w:val="9"/>
        <w:rPr>
          <w:rFonts w:hint="default"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10</w:t>
      </w:r>
    </w:p>
    <w:p w14:paraId="3FC81FCB">
      <w:pPr>
        <w:numPr>
          <w:ilvl w:val="0"/>
          <w:numId w:val="0"/>
        </w:numPr>
        <w:spacing w:line="360" w:lineRule="auto"/>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针对组织机构及主要管理人员的证明资料</w:t>
      </w:r>
    </w:p>
    <w:p w14:paraId="21867CBE">
      <w:pPr>
        <w:numPr>
          <w:ilvl w:val="0"/>
          <w:numId w:val="0"/>
        </w:numPr>
        <w:spacing w:line="360" w:lineRule="auto"/>
        <w:rPr>
          <w:rFonts w:hint="eastAsia"/>
          <w:color w:val="auto"/>
          <w:sz w:val="24"/>
          <w:szCs w:val="24"/>
          <w:highlight w:val="none"/>
        </w:rPr>
      </w:pPr>
    </w:p>
    <w:p w14:paraId="6A0671BE">
      <w:pPr>
        <w:numPr>
          <w:ilvl w:val="0"/>
          <w:numId w:val="0"/>
        </w:numPr>
        <w:spacing w:line="360" w:lineRule="auto"/>
        <w:rPr>
          <w:rFonts w:hint="default" w:ascii="宋体" w:hAnsi="宋体" w:eastAsia="宋体" w:cs="宋体"/>
          <w:b/>
          <w:color w:val="auto"/>
          <w:sz w:val="32"/>
          <w:szCs w:val="32"/>
          <w:highlight w:val="none"/>
          <w:lang w:val="en-US" w:eastAsia="zh-CN"/>
        </w:rPr>
      </w:pPr>
      <w:r>
        <w:rPr>
          <w:rFonts w:hint="eastAsia"/>
          <w:color w:val="auto"/>
          <w:sz w:val="24"/>
          <w:szCs w:val="24"/>
          <w:highlight w:val="none"/>
        </w:rPr>
        <w:t>附件</w:t>
      </w:r>
      <w:r>
        <w:rPr>
          <w:rFonts w:hint="eastAsia"/>
          <w:color w:val="auto"/>
          <w:sz w:val="24"/>
          <w:szCs w:val="24"/>
          <w:highlight w:val="none"/>
          <w:lang w:val="en-US" w:eastAsia="zh-CN"/>
        </w:rPr>
        <w:t>11</w:t>
      </w:r>
    </w:p>
    <w:p w14:paraId="0F5C7C5E">
      <w:pPr>
        <w:spacing w:line="360" w:lineRule="auto"/>
        <w:jc w:val="both"/>
        <w:outlineLvl w:val="1"/>
        <w:rPr>
          <w:rFonts w:hint="eastAsia" w:ascii="黑体" w:hAnsi="宋体" w:eastAsia="黑体"/>
          <w:color w:val="auto"/>
          <w:sz w:val="32"/>
          <w:szCs w:val="32"/>
          <w:highlight w:val="none"/>
        </w:rPr>
        <w:sectPr>
          <w:pgSz w:w="11906" w:h="16838"/>
          <w:pgMar w:top="1440" w:right="1797" w:bottom="1440" w:left="1797" w:header="851" w:footer="992" w:gutter="0"/>
          <w:pgNumType w:fmt="decimal"/>
          <w:cols w:space="720" w:num="1"/>
          <w:docGrid w:linePitch="312" w:charSpace="0"/>
        </w:sectPr>
      </w:pPr>
      <w:r>
        <w:rPr>
          <w:rFonts w:hint="eastAsia" w:ascii="宋体" w:hAnsi="宋体" w:eastAsia="宋体" w:cs="宋体"/>
          <w:b/>
          <w:color w:val="auto"/>
          <w:sz w:val="32"/>
          <w:szCs w:val="32"/>
          <w:highlight w:val="none"/>
          <w:lang w:val="en-US" w:eastAsia="zh-CN"/>
        </w:rPr>
        <w:t>针对投标人的业绩、类似工程经历的证明资料</w:t>
      </w:r>
    </w:p>
    <w:p w14:paraId="0585DAFC">
      <w:pPr>
        <w:spacing w:line="360" w:lineRule="auto"/>
        <w:jc w:val="center"/>
        <w:outlineLvl w:val="1"/>
        <w:rPr>
          <w:rFonts w:hint="eastAsia" w:ascii="黑体" w:hAnsi="黑体" w:eastAsia="黑体"/>
          <w:color w:val="auto"/>
          <w:sz w:val="32"/>
          <w:szCs w:val="32"/>
          <w:highlight w:val="none"/>
        </w:rPr>
      </w:pPr>
      <w:r>
        <w:rPr>
          <w:rFonts w:hint="eastAsia" w:ascii="黑体" w:hAnsi="宋体" w:eastAsia="黑体"/>
          <w:color w:val="auto"/>
          <w:sz w:val="32"/>
          <w:szCs w:val="32"/>
          <w:highlight w:val="none"/>
        </w:rPr>
        <w:t>第九章 否决性条款汇总</w:t>
      </w:r>
      <w:bookmarkEnd w:id="1250"/>
      <w:bookmarkEnd w:id="1251"/>
      <w:bookmarkEnd w:id="1252"/>
      <w:bookmarkEnd w:id="1253"/>
      <w:bookmarkEnd w:id="1254"/>
      <w:bookmarkEnd w:id="1255"/>
      <w:bookmarkEnd w:id="1256"/>
      <w:bookmarkEnd w:id="1257"/>
    </w:p>
    <w:p w14:paraId="08551E19">
      <w:pPr>
        <w:spacing w:line="240" w:lineRule="auto"/>
        <w:ind w:firstLine="0" w:firstLineChars="0"/>
        <w:jc w:val="left"/>
        <w:outlineLvl w:val="9"/>
        <w:rPr>
          <w:rFonts w:hint="eastAsia"/>
          <w:color w:val="auto"/>
          <w:highlight w:val="none"/>
        </w:rPr>
      </w:pPr>
    </w:p>
    <w:p w14:paraId="79B6F602">
      <w:pPr>
        <w:widowControl/>
        <w:spacing w:after="0" w:line="240" w:lineRule="auto"/>
        <w:ind w:firstLine="482"/>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否决性条款单列参考格式</w:t>
      </w:r>
    </w:p>
    <w:p w14:paraId="3FB4D28F">
      <w:pPr>
        <w:widowControl/>
        <w:spacing w:after="135" w:line="585" w:lineRule="atLeast"/>
        <w:ind w:firstLine="480"/>
        <w:jc w:val="both"/>
        <w:rPr>
          <w:rFonts w:hint="eastAsia" w:ascii="宋体" w:hAnsi="宋体" w:eastAsia="宋体" w:cs="宋体"/>
          <w:color w:val="auto"/>
          <w:kern w:val="0"/>
          <w:sz w:val="24"/>
          <w:szCs w:val="24"/>
          <w:highlight w:val="none"/>
        </w:rPr>
      </w:pPr>
    </w:p>
    <w:p w14:paraId="58467AF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人应当在招标文件中将否决性条款集中载明，未集中载明的否决性投标条款，评标时不予认可。如招标文件澄清或修改的内容中增加、删除、修改否决性条款的，招标人应当集中载明调整后完整的否决性条款，并依法发给潜在投标人或投标人。</w:t>
      </w:r>
    </w:p>
    <w:p w14:paraId="7B72D98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否决性条款指招标文件中规定的拒绝受理或者作无效标以及不合格标处理等否定投标文件效力的条款。否决性条款应当意思表示明确、易于判断，不得含有“实质性不响应招标文件要求”、“投标文件中附有招标人不可接受的条件”等评标委员会难以界定的条款。</w:t>
      </w:r>
    </w:p>
    <w:p w14:paraId="77D1265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不得将文件顺序、明显的文字错误、表格填写信息增加或格式调整等内容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0BEF95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一、开标时，出现下列情形之一的，不参与资格审查和评标</w:t>
      </w:r>
    </w:p>
    <w:p w14:paraId="6CA6B2C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1.未成功递交投标文件的；</w:t>
      </w:r>
    </w:p>
    <w:p w14:paraId="258382B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因投标人原因造成投标文件未解密的；</w:t>
      </w:r>
    </w:p>
    <w:p w14:paraId="2B6CB65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二、作无效投标的情形</w:t>
      </w:r>
    </w:p>
    <w:p w14:paraId="169932B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投标文件不符合招标文件评标办法中形式评审标准、资格评审标准、响应性评审标准的要求。</w:t>
      </w:r>
    </w:p>
    <w:p w14:paraId="22A8C85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项目负责人和安全员为同一人的；</w:t>
      </w:r>
    </w:p>
    <w:p w14:paraId="408F2FE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投标文件中的投标人、项目负责人、安全员与投标登记时的信息不一致的；</w:t>
      </w:r>
    </w:p>
    <w:p w14:paraId="0C8A639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第二章“投标人须知”第1.4.3项规定的任何一种情形的；</w:t>
      </w:r>
    </w:p>
    <w:p w14:paraId="770B96D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不按评标委员会要求澄清、说明或补正的；</w:t>
      </w:r>
    </w:p>
    <w:p w14:paraId="4133AF5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trike w:val="0"/>
          <w:color w:val="auto"/>
          <w:kern w:val="0"/>
          <w:sz w:val="24"/>
          <w:szCs w:val="24"/>
          <w:highlight w:val="none"/>
        </w:rPr>
      </w:pPr>
      <w:r>
        <w:rPr>
          <w:rFonts w:hint="eastAsia" w:ascii="宋体" w:hAnsi="宋体" w:eastAsia="宋体" w:cs="宋体"/>
          <w:strike w:val="0"/>
          <w:color w:val="auto"/>
          <w:kern w:val="0"/>
          <w:sz w:val="24"/>
          <w:szCs w:val="24"/>
          <w:highlight w:val="none"/>
        </w:rPr>
        <w:t>6. 投标人的报价明显低于其他投标报价，或者低于成本警示价的报价，投标人不能合理说明或者不能提供相应证明材料的；</w:t>
      </w:r>
    </w:p>
    <w:p w14:paraId="719BEEB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7.不对评标委员会修正后的价格进行书面确认。</w:t>
      </w:r>
    </w:p>
    <w:p w14:paraId="0ED7409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三、作不合格标处理的情形</w:t>
      </w:r>
    </w:p>
    <w:p w14:paraId="4327C73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投标文件不符合招标文件评标办法中技术部分的要求。</w:t>
      </w:r>
    </w:p>
    <w:p w14:paraId="354F409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四、其他否定投标文件效力情形</w:t>
      </w:r>
    </w:p>
    <w:p w14:paraId="1EAB3E2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两个（含两个）以上的投标人加密打包投标文件电脑机器码一致的；</w:t>
      </w:r>
    </w:p>
    <w:p w14:paraId="44DA910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串通投标或弄虚作假或有其他违法行为的。</w:t>
      </w:r>
    </w:p>
    <w:p w14:paraId="56FAAF1F">
      <w:pPr>
        <w:widowControl/>
        <w:spacing w:after="135" w:line="360" w:lineRule="auto"/>
        <w:ind w:firstLine="480" w:firstLineChars="200"/>
        <w:jc w:val="left"/>
        <w:outlineLvl w:val="9"/>
        <w:rPr>
          <w:rFonts w:hint="eastAsia" w:ascii="宋体" w:hAnsi="宋体" w:eastAsia="宋体" w:cs="宋体"/>
          <w:color w:val="auto"/>
          <w:kern w:val="0"/>
          <w:sz w:val="24"/>
          <w:szCs w:val="24"/>
          <w:highlight w:val="none"/>
        </w:rPr>
        <w:sectPr>
          <w:pgSz w:w="11906" w:h="16838"/>
          <w:pgMar w:top="1440" w:right="1797" w:bottom="1440" w:left="1797" w:header="851" w:footer="992" w:gutter="0"/>
          <w:pgNumType w:fmt="decimal"/>
          <w:cols w:space="720" w:num="1"/>
          <w:docGrid w:linePitch="312" w:charSpace="0"/>
        </w:sectPr>
      </w:pPr>
    </w:p>
    <w:p w14:paraId="7F9CC5DD">
      <w:pPr>
        <w:spacing w:line="240" w:lineRule="auto"/>
        <w:jc w:val="left"/>
        <w:outlineLvl w:val="9"/>
        <w:rPr>
          <w:color w:val="auto"/>
          <w:highlight w:val="none"/>
        </w:rPr>
      </w:pPr>
    </w:p>
    <w:p w14:paraId="31A2546F">
      <w:pPr>
        <w:pStyle w:val="3"/>
        <w:rPr>
          <w:rFonts w:ascii="宋体" w:hAnsi="宋体"/>
          <w:color w:val="auto"/>
          <w:sz w:val="24"/>
          <w:highlight w:val="none"/>
        </w:rPr>
      </w:pPr>
      <w:bookmarkStart w:id="1258" w:name="_Toc31743"/>
      <w:bookmarkStart w:id="1259" w:name="_Toc17556918"/>
      <w:bookmarkStart w:id="1260" w:name="_Toc17472014"/>
      <w:r>
        <w:rPr>
          <w:rFonts w:hint="eastAsia"/>
          <w:color w:val="auto"/>
          <w:highlight w:val="none"/>
        </w:rPr>
        <w:t>第十章</w:t>
      </w:r>
      <w:r>
        <w:rPr>
          <w:rFonts w:hint="eastAsia"/>
          <w:color w:val="auto"/>
          <w:highlight w:val="none"/>
          <w:lang w:val="en-US" w:eastAsia="zh-CN"/>
        </w:rPr>
        <w:t xml:space="preserve"> </w:t>
      </w:r>
      <w:r>
        <w:rPr>
          <w:rFonts w:hint="eastAsia"/>
          <w:color w:val="auto"/>
          <w:highlight w:val="none"/>
        </w:rPr>
        <w:t>最高投标限价（招标控制价）</w:t>
      </w:r>
      <w:bookmarkEnd w:id="1258"/>
      <w:bookmarkEnd w:id="1259"/>
      <w:bookmarkEnd w:id="1260"/>
    </w:p>
    <w:p w14:paraId="2ED7A468">
      <w:pPr>
        <w:spacing w:line="360" w:lineRule="auto"/>
        <w:rPr>
          <w:rFonts w:hint="eastAsia" w:ascii="宋体" w:hAnsi="宋体"/>
          <w:color w:val="auto"/>
          <w:sz w:val="24"/>
          <w:highlight w:val="none"/>
        </w:rPr>
      </w:pPr>
      <w:r>
        <w:rPr>
          <w:rFonts w:hint="eastAsia" w:ascii="宋体" w:hAnsi="宋体" w:eastAsia="宋体" w:cs="宋体"/>
          <w:color w:val="auto"/>
          <w:sz w:val="24"/>
          <w:szCs w:val="24"/>
          <w:highlight w:val="none"/>
        </w:rPr>
        <w:t>注：本章详见招标公告发布网页附件“最高投标限价（招标控制价）公布函”</w:t>
      </w:r>
    </w:p>
    <w:p w14:paraId="5BA66E59">
      <w:pPr>
        <w:rPr>
          <w:color w:val="auto"/>
          <w:highlight w:val="none"/>
        </w:rPr>
      </w:pPr>
    </w:p>
    <w:sectPr>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方正楷体_GBK">
    <w:altName w:val="Arial Unicode MS"/>
    <w:panose1 w:val="02000000000000000000"/>
    <w:charset w:val="86"/>
    <w:family w:val="auto"/>
    <w:pitch w:val="default"/>
    <w:sig w:usb0="00000000" w:usb1="00000000" w:usb2="00000016" w:usb3="00000000" w:csb0="00040000"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Arial Unicode MS"/>
    <w:panose1 w:val="03000509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9658">
    <w:pPr>
      <w:pStyle w:val="11"/>
      <w:jc w:val="center"/>
    </w:pPr>
  </w:p>
  <w:p w14:paraId="2736DEDA">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200A6">
    <w:pPr>
      <w:pStyle w:val="11"/>
      <w:jc w:val="center"/>
    </w:pPr>
    <w:r>
      <w:fldChar w:fldCharType="begin"/>
    </w:r>
    <w:r>
      <w:instrText xml:space="preserve"> PAGE   \* MERGEFORMAT </w:instrText>
    </w:r>
    <w:r>
      <w:fldChar w:fldCharType="separate"/>
    </w:r>
    <w:r>
      <w:rPr>
        <w:lang w:val="zh-CN"/>
      </w:rPr>
      <w:t>60</w:t>
    </w:r>
    <w:r>
      <w:fldChar w:fldCharType="end"/>
    </w:r>
  </w:p>
  <w:p w14:paraId="1127FC49">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78AF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-127000</wp:posOffset>
              </wp:positionV>
              <wp:extent cx="1828800" cy="195580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1828800" cy="195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BE5AA">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0pt;height:154pt;width:144pt;mso-position-horizontal:center;mso-position-horizontal-relative:margin;mso-wrap-style:none;z-index:251661312;mso-width-relative:page;mso-height-relative:page;" filled="f" stroked="f" coordsize="21600,21600" o:gfxdata="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7oYcdQAAAAIAQAADwAAAAAAAAABACAAAAAiAAAAZHJzL2Rvd25yZXYu&#10;eG1sUEsBAhQAFAAAAAgAh07iQIz2rM84AgAAZQQAAA4AAAAAAAAAAQAgAAAAIwEAAGRycy9lMm9E&#10;b2MueG1sUEsFBgAAAAAGAAYAWQEAAM0FAAAAAA==&#10;">
              <v:fill on="f" focussize="0,0"/>
              <v:stroke on="f" weight="0.5pt"/>
              <v:imagedata o:title=""/>
              <o:lock v:ext="edit" aspectratio="f"/>
              <v:textbox inset="0mm,0mm,0mm,0mm">
                <w:txbxContent>
                  <w:p w14:paraId="3A8BE5AA">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14:paraId="39585D17">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2B0C5">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68C8E">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iHqA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o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iIeoDUCAABlBAAADgAAAAAAAAABACAAAAAfAQAAZHJzL2Uyb0RvYy54bWxQ&#10;SwUGAAAAAAYABgBZAQAAxgUAAAAA&#10;">
              <v:fill on="f" focussize="0,0"/>
              <v:stroke on="f" weight="0.5pt"/>
              <v:imagedata o:title=""/>
              <o:lock v:ext="edit" aspectratio="f"/>
              <v:textbox inset="0mm,0mm,0mm,0mm" style="mso-fit-shape-to-text:t;">
                <w:txbxContent>
                  <w:p w14:paraId="44C68C8E">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8BD3">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CDD3E">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bJcE0AgAAZQQAAA4AAABkcnMvZTJvRG9jLnhtbK1UzY7TMBC+I/EO&#10;lu80aSm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lBLNFEp++f7t&#10;8uPX5edXEg8hUW39HJE7i9jQvDUNGmc49ziMzJvCqfgFJwI/BD5fBRZNIDxemk1msxQuDt+wAX7y&#10;eN06H94Jo0g0MupQwVZYdtr60IUOITGbNptKyraKUpM6ozev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5GyXBNAIAAGUEAAAOAAAAAAAAAAEAIAAAAB8BAABkcnMvZTJvRG9jLnhtbFBL&#10;BQYAAAAABgAGAFkBAADFBQAAAAA=&#10;">
              <v:fill on="f" focussize="0,0"/>
              <v:stroke on="f" weight="0.5pt"/>
              <v:imagedata o:title=""/>
              <o:lock v:ext="edit" aspectratio="f"/>
              <v:textbox inset="0mm,0mm,0mm,0mm" style="mso-fit-shape-to-text:t;">
                <w:txbxContent>
                  <w:p w14:paraId="0CFCDD3E">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3</w:t>
                    </w:r>
                    <w:r>
                      <w:rPr>
                        <w:rFonts w:ascii="Calibri" w:hAnsi="Calibri" w:eastAsia="宋体" w:cs="Calibri"/>
                        <w:kern w:val="2"/>
                        <w:sz w:val="18"/>
                        <w:szCs w:val="18"/>
                        <w:lang w:val="en-US" w:eastAsia="zh-CN" w:bidi="ar-SA"/>
                      </w:rPr>
                      <w:fldChar w:fldCharType="end"/>
                    </w:r>
                  </w:p>
                </w:txbxContent>
              </v:textbox>
            </v:shape>
          </w:pict>
        </mc:Fallback>
      </mc:AlternateContent>
    </w:r>
  </w:p>
  <w:p w14:paraId="2B64714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3C203">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7BFF2">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nu101AgAAZQQAAA4AAABkcnMvZTJvRG9jLnhtbK1US27bMBDdF+gd&#10;CO5ryW4S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6poSzRRKfv7x&#10;/fzz8fzrG4mHkKi2fobIrUVsaN6ZBo0znHscRuZN4VT8ghOBHwKfLgKLJhAeL00n02kKF4dv2AA/&#10;ebpunQ/vhVEkGhl1qGArLDtufOhCh5CYTZt1JWVbRalJndGbt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qe7XTUCAABlBAAADgAAAAAAAAABACAAAAAfAQAAZHJzL2Uyb0RvYy54bWxQ&#10;SwUGAAAAAAYABgBZAQAAxgUAAAAA&#10;">
              <v:fill on="f" focussize="0,0"/>
              <v:stroke on="f" weight="0.5pt"/>
              <v:imagedata o:title=""/>
              <o:lock v:ext="edit" aspectratio="f"/>
              <v:textbox inset="0mm,0mm,0mm,0mm" style="mso-fit-shape-to-text:t;">
                <w:txbxContent>
                  <w:p w14:paraId="5127BFF2">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145</w:t>
                    </w:r>
                    <w:r>
                      <w:rPr>
                        <w:rFonts w:ascii="Calibri" w:hAnsi="Calibri" w:eastAsia="宋体" w:cs="Calibri"/>
                        <w:kern w:val="2"/>
                        <w:sz w:val="18"/>
                        <w:szCs w:val="18"/>
                        <w:lang w:val="en-US" w:eastAsia="zh-CN" w:bidi="ar-SA"/>
                      </w:rPr>
                      <w:fldChar w:fldCharType="end"/>
                    </w:r>
                  </w:p>
                </w:txbxContent>
              </v:textbox>
            </v:shape>
          </w:pict>
        </mc:Fallback>
      </mc:AlternateContent>
    </w:r>
  </w:p>
  <w:p w14:paraId="6E404D91">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DD228">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15EEA">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laSM0AgAAZQQAAA4AAABkcnMvZTJvRG9jLnhtbK1UzY7TMBC+I/EO&#10;lu80aVm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ubKSWaKZT88v3b&#10;5cevy8+vJB5Cotr6OSJ3FrGheWsaNM5w7nEYmTeFU/ELTgR+CHy+CiyaQHi8NJvMZilcHL5hA/zk&#10;8bp1PrwTRpFoZNShgq2w7LT1oQsdQmI2bTaVlG0VpSZ1Rqev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uZWkjNAIAAGUEAAAOAAAAAAAAAAEAIAAAAB8BAABkcnMvZTJvRG9jLnhtbFBL&#10;BQYAAAAABgAGAFkBAADFBQAAAAA=&#10;">
              <v:fill on="f" focussize="0,0"/>
              <v:stroke on="f" weight="0.5pt"/>
              <v:imagedata o:title=""/>
              <o:lock v:ext="edit" aspectratio="f"/>
              <v:textbox inset="0mm,0mm,0mm,0mm" style="mso-fit-shape-to-text:t;">
                <w:txbxContent>
                  <w:p w14:paraId="4A115EEA">
                    <w:pPr>
                      <w:widowControl w:val="0"/>
                      <w:tabs>
                        <w:tab w:val="center" w:pos="4153"/>
                        <w:tab w:val="right" w:pos="8306"/>
                      </w:tabs>
                      <w:snapToGrid w:val="0"/>
                      <w:jc w:val="center"/>
                    </w:pPr>
                    <w:r>
                      <w:rPr>
                        <w:rFonts w:ascii="Calibri" w:hAnsi="Calibri" w:eastAsia="宋体" w:cs="Calibri"/>
                        <w:kern w:val="2"/>
                        <w:sz w:val="18"/>
                        <w:szCs w:val="18"/>
                        <w:lang w:val="en-US" w:eastAsia="zh-CN" w:bidi="ar-SA"/>
                      </w:rPr>
                      <w:fldChar w:fldCharType="begin"/>
                    </w:r>
                    <w:r>
                      <w:rPr>
                        <w:rFonts w:ascii="Calibri" w:hAnsi="Calibri" w:eastAsia="宋体" w:cs="Calibri"/>
                        <w:kern w:val="2"/>
                        <w:sz w:val="18"/>
                        <w:szCs w:val="18"/>
                        <w:lang w:val="en-US" w:eastAsia="zh-CN" w:bidi="ar-SA"/>
                      </w:rPr>
                      <w:instrText xml:space="preserve"> PAGE   \* MERGEFORMAT </w:instrText>
                    </w:r>
                    <w:r>
                      <w:rPr>
                        <w:rFonts w:ascii="Calibri" w:hAnsi="Calibri" w:eastAsia="宋体" w:cs="Calibri"/>
                        <w:kern w:val="2"/>
                        <w:sz w:val="18"/>
                        <w:szCs w:val="18"/>
                        <w:lang w:val="en-US" w:eastAsia="zh-CN" w:bidi="ar-SA"/>
                      </w:rPr>
                      <w:fldChar w:fldCharType="separate"/>
                    </w:r>
                    <w:r>
                      <w:rPr>
                        <w:rFonts w:ascii="Calibri" w:hAnsi="Calibri" w:eastAsia="宋体" w:cs="Calibri"/>
                        <w:kern w:val="2"/>
                        <w:sz w:val="18"/>
                        <w:szCs w:val="18"/>
                        <w:lang w:val="zh-CN" w:eastAsia="zh-CN" w:bidi="ar-SA"/>
                      </w:rPr>
                      <w:t>1</w:t>
                    </w:r>
                    <w:r>
                      <w:rPr>
                        <w:rFonts w:ascii="Calibri" w:hAnsi="Calibri" w:eastAsia="宋体" w:cs="Calibri"/>
                        <w:kern w:val="2"/>
                        <w:sz w:val="18"/>
                        <w:szCs w:val="18"/>
                        <w:lang w:val="en-US" w:eastAsia="zh-CN" w:bidi="ar-SA"/>
                      </w:rPr>
                      <w:fldChar w:fldCharType="end"/>
                    </w:r>
                  </w:p>
                </w:txbxContent>
              </v:textbox>
            </v:shape>
          </w:pict>
        </mc:Fallback>
      </mc:AlternateContent>
    </w:r>
  </w:p>
  <w:p w14:paraId="4937C097">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A5FF">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4236B1">
                          <w:pPr>
                            <w:pStyle w:val="11"/>
                          </w:pPr>
                          <w:r>
                            <w:fldChar w:fldCharType="begin"/>
                          </w:r>
                          <w:r>
                            <w:instrText xml:space="preserve"> PAGE  \* MERGEFORMAT </w:instrText>
                          </w:r>
                          <w:r>
                            <w:fldChar w:fldCharType="separate"/>
                          </w:r>
                          <w:r>
                            <w:t>66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74236B1">
                    <w:pPr>
                      <w:pStyle w:val="11"/>
                    </w:pPr>
                    <w:r>
                      <w:fldChar w:fldCharType="begin"/>
                    </w:r>
                    <w:r>
                      <w:instrText xml:space="preserve"> PAGE  \* MERGEFORMAT </w:instrText>
                    </w:r>
                    <w:r>
                      <w:fldChar w:fldCharType="separate"/>
                    </w:r>
                    <w:r>
                      <w:t>66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92628"/>
    <w:multiLevelType w:val="singleLevel"/>
    <w:tmpl w:val="8E692628"/>
    <w:lvl w:ilvl="0" w:tentative="0">
      <w:start w:val="3"/>
      <w:numFmt w:val="decimal"/>
      <w:suff w:val="nothing"/>
      <w:lvlText w:val="（%1）"/>
      <w:lvlJc w:val="left"/>
    </w:lvl>
  </w:abstractNum>
  <w:abstractNum w:abstractNumId="1">
    <w:nsid w:val="96F8074E"/>
    <w:multiLevelType w:val="singleLevel"/>
    <w:tmpl w:val="96F8074E"/>
    <w:lvl w:ilvl="0" w:tentative="0">
      <w:start w:val="11"/>
      <w:numFmt w:val="decimal"/>
      <w:suff w:val="nothing"/>
      <w:lvlText w:val="（%1）"/>
      <w:lvlJc w:val="left"/>
    </w:lvl>
  </w:abstractNum>
  <w:abstractNum w:abstractNumId="2">
    <w:nsid w:val="99213298"/>
    <w:multiLevelType w:val="singleLevel"/>
    <w:tmpl w:val="99213298"/>
    <w:lvl w:ilvl="0" w:tentative="0">
      <w:start w:val="3"/>
      <w:numFmt w:val="chineseCounting"/>
      <w:suff w:val="space"/>
      <w:lvlText w:val="第%1章"/>
      <w:lvlJc w:val="left"/>
      <w:rPr>
        <w:rFonts w:hint="eastAsia"/>
      </w:rPr>
    </w:lvl>
  </w:abstractNum>
  <w:abstractNum w:abstractNumId="3">
    <w:nsid w:val="B851896E"/>
    <w:multiLevelType w:val="singleLevel"/>
    <w:tmpl w:val="B851896E"/>
    <w:lvl w:ilvl="0" w:tentative="0">
      <w:start w:val="48"/>
      <w:numFmt w:val="decimal"/>
      <w:suff w:val="space"/>
      <w:lvlText w:val="%1."/>
      <w:lvlJc w:val="left"/>
    </w:lvl>
  </w:abstractNum>
  <w:abstractNum w:abstractNumId="4">
    <w:nsid w:val="B9DD5580"/>
    <w:multiLevelType w:val="singleLevel"/>
    <w:tmpl w:val="B9DD5580"/>
    <w:lvl w:ilvl="0" w:tentative="0">
      <w:start w:val="62"/>
      <w:numFmt w:val="decimal"/>
      <w:suff w:val="space"/>
      <w:lvlText w:val="%1."/>
      <w:lvlJc w:val="left"/>
    </w:lvl>
  </w:abstractNum>
  <w:abstractNum w:abstractNumId="5">
    <w:nsid w:val="D824A416"/>
    <w:multiLevelType w:val="singleLevel"/>
    <w:tmpl w:val="D824A416"/>
    <w:lvl w:ilvl="0" w:tentative="0">
      <w:start w:val="2"/>
      <w:numFmt w:val="chineseCounting"/>
      <w:suff w:val="nothing"/>
      <w:lvlText w:val="（%1）"/>
      <w:lvlJc w:val="left"/>
      <w:rPr>
        <w:rFonts w:hint="eastAsia"/>
      </w:rPr>
    </w:lvl>
  </w:abstractNum>
  <w:abstractNum w:abstractNumId="6">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94E6C37"/>
    <w:multiLevelType w:val="singleLevel"/>
    <w:tmpl w:val="194E6C37"/>
    <w:lvl w:ilvl="0" w:tentative="0">
      <w:start w:val="77"/>
      <w:numFmt w:val="decimal"/>
      <w:suff w:val="space"/>
      <w:lvlText w:val="%1."/>
      <w:lvlJc w:val="left"/>
    </w:lvl>
  </w:abstractNum>
  <w:abstractNum w:abstractNumId="8">
    <w:nsid w:val="198C4EF6"/>
    <w:multiLevelType w:val="multilevel"/>
    <w:tmpl w:val="198C4EF6"/>
    <w:lvl w:ilvl="0" w:tentative="0">
      <w:start w:val="1"/>
      <w:numFmt w:val="decimal"/>
      <w:lvlText w:val="5.%1"/>
      <w:lvlJc w:val="left"/>
      <w:pPr>
        <w:ind w:left="846" w:hanging="420"/>
      </w:pPr>
      <w:rPr>
        <w:rFonts w:hint="eastAsia"/>
      </w:rPr>
    </w:lvl>
    <w:lvl w:ilvl="1" w:tentative="0">
      <w:start w:val="1"/>
      <w:numFmt w:val="lowerLetter"/>
      <w:lvlText w:val="%2)"/>
      <w:lvlJc w:val="left"/>
      <w:pPr>
        <w:ind w:left="726" w:hanging="420"/>
      </w:pPr>
    </w:lvl>
    <w:lvl w:ilvl="2" w:tentative="0">
      <w:start w:val="1"/>
      <w:numFmt w:val="lowerRoman"/>
      <w:lvlText w:val="%3."/>
      <w:lvlJc w:val="right"/>
      <w:pPr>
        <w:ind w:left="1146" w:hanging="420"/>
      </w:pPr>
    </w:lvl>
    <w:lvl w:ilvl="3" w:tentative="0">
      <w:start w:val="1"/>
      <w:numFmt w:val="decimal"/>
      <w:lvlText w:val="%4."/>
      <w:lvlJc w:val="left"/>
      <w:pPr>
        <w:ind w:left="1566" w:hanging="420"/>
      </w:pPr>
    </w:lvl>
    <w:lvl w:ilvl="4" w:tentative="0">
      <w:start w:val="1"/>
      <w:numFmt w:val="lowerLetter"/>
      <w:lvlText w:val="%5)"/>
      <w:lvlJc w:val="left"/>
      <w:pPr>
        <w:ind w:left="1986" w:hanging="420"/>
      </w:pPr>
    </w:lvl>
    <w:lvl w:ilvl="5" w:tentative="0">
      <w:start w:val="1"/>
      <w:numFmt w:val="lowerRoman"/>
      <w:lvlText w:val="%6."/>
      <w:lvlJc w:val="right"/>
      <w:pPr>
        <w:ind w:left="2406" w:hanging="420"/>
      </w:pPr>
    </w:lvl>
    <w:lvl w:ilvl="6" w:tentative="0">
      <w:start w:val="1"/>
      <w:numFmt w:val="decimal"/>
      <w:lvlText w:val="%7."/>
      <w:lvlJc w:val="left"/>
      <w:pPr>
        <w:ind w:left="2826" w:hanging="420"/>
      </w:pPr>
    </w:lvl>
    <w:lvl w:ilvl="7" w:tentative="0">
      <w:start w:val="1"/>
      <w:numFmt w:val="lowerLetter"/>
      <w:lvlText w:val="%8)"/>
      <w:lvlJc w:val="left"/>
      <w:pPr>
        <w:ind w:left="3246" w:hanging="420"/>
      </w:pPr>
    </w:lvl>
    <w:lvl w:ilvl="8" w:tentative="0">
      <w:start w:val="1"/>
      <w:numFmt w:val="lowerRoman"/>
      <w:lvlText w:val="%9."/>
      <w:lvlJc w:val="right"/>
      <w:pPr>
        <w:ind w:left="3666" w:hanging="420"/>
      </w:pPr>
    </w:lvl>
  </w:abstractNum>
  <w:abstractNum w:abstractNumId="9">
    <w:nsid w:val="259905B5"/>
    <w:multiLevelType w:val="multilevel"/>
    <w:tmpl w:val="259905B5"/>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suff w:val="space"/>
      <w:lvlText w:val="%2.%3.%4"/>
      <w:lvlJc w:val="left"/>
      <w:pPr>
        <w:ind w:left="284" w:hanging="284"/>
      </w:pPr>
      <w:rPr>
        <w:rFonts w:hint="eastAsia" w:ascii="宋体" w:eastAsia="宋体"/>
        <w:b/>
        <w:i w:val="0"/>
        <w:sz w:val="28"/>
      </w:rPr>
    </w:lvl>
    <w:lvl w:ilvl="4" w:tentative="0">
      <w:start w:val="1"/>
      <w:numFmt w:val="decimal"/>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4"/>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0">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58A6469F"/>
    <w:multiLevelType w:val="singleLevel"/>
    <w:tmpl w:val="58A6469F"/>
    <w:lvl w:ilvl="0" w:tentative="0">
      <w:start w:val="1"/>
      <w:numFmt w:val="decimal"/>
      <w:suff w:val="nothing"/>
      <w:lvlText w:val="（%1）"/>
      <w:lvlJc w:val="left"/>
    </w:lvl>
  </w:abstractNum>
  <w:abstractNum w:abstractNumId="13">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114CA86"/>
    <w:multiLevelType w:val="singleLevel"/>
    <w:tmpl w:val="6114CA86"/>
    <w:lvl w:ilvl="0" w:tentative="0">
      <w:start w:val="57"/>
      <w:numFmt w:val="decimal"/>
      <w:suff w:val="space"/>
      <w:lvlText w:val="%1."/>
      <w:lvlJc w:val="left"/>
    </w:lvl>
  </w:abstractNum>
  <w:abstractNum w:abstractNumId="15">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9"/>
  </w:num>
  <w:num w:numId="2">
    <w:abstractNumId w:val="0"/>
  </w:num>
  <w:num w:numId="3">
    <w:abstractNumId w:val="8"/>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14"/>
  </w:num>
  <w:num w:numId="13">
    <w:abstractNumId w:val="4"/>
  </w:num>
  <w:num w:numId="14">
    <w:abstractNumId w:val="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1"/>
  <w:bordersDoNotSurroundFooter w:val="1"/>
  <w:trackRevisions w:val="1"/>
  <w:documentProtection w:edit="trackedChanges"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wNGNkOWNlNzhkYTNjYjc1YzY1NzAyNjVlNDkzZmEifQ=="/>
    <w:docVar w:name="KSO_WPS_MARK_KEY" w:val="6a816640-66b3-48ed-a990-88c319571ac6"/>
  </w:docVars>
  <w:rsids>
    <w:rsidRoot w:val="38E513B3"/>
    <w:rsid w:val="00382DEE"/>
    <w:rsid w:val="022E7825"/>
    <w:rsid w:val="02C3407C"/>
    <w:rsid w:val="02F01D6D"/>
    <w:rsid w:val="0457400E"/>
    <w:rsid w:val="051261E1"/>
    <w:rsid w:val="069C729B"/>
    <w:rsid w:val="06DF3FC3"/>
    <w:rsid w:val="0A9018F8"/>
    <w:rsid w:val="0DAC48EC"/>
    <w:rsid w:val="0E7F6277"/>
    <w:rsid w:val="0E8F2773"/>
    <w:rsid w:val="0EAD7F0B"/>
    <w:rsid w:val="0EC7786E"/>
    <w:rsid w:val="10EF25C5"/>
    <w:rsid w:val="11900011"/>
    <w:rsid w:val="12CE4756"/>
    <w:rsid w:val="1554390E"/>
    <w:rsid w:val="15A97C80"/>
    <w:rsid w:val="15C8008E"/>
    <w:rsid w:val="15F768EA"/>
    <w:rsid w:val="16806A99"/>
    <w:rsid w:val="18466191"/>
    <w:rsid w:val="1CD269E9"/>
    <w:rsid w:val="1D2E736A"/>
    <w:rsid w:val="22CA6202"/>
    <w:rsid w:val="233F60BE"/>
    <w:rsid w:val="23B674DC"/>
    <w:rsid w:val="240A3AB2"/>
    <w:rsid w:val="245E524F"/>
    <w:rsid w:val="253D327F"/>
    <w:rsid w:val="299A642B"/>
    <w:rsid w:val="2A226FEC"/>
    <w:rsid w:val="2A405D5A"/>
    <w:rsid w:val="2B0F0627"/>
    <w:rsid w:val="2BDF19A0"/>
    <w:rsid w:val="2DA55C65"/>
    <w:rsid w:val="2FFA5054"/>
    <w:rsid w:val="33926062"/>
    <w:rsid w:val="3599495A"/>
    <w:rsid w:val="35F80D11"/>
    <w:rsid w:val="36ED6030"/>
    <w:rsid w:val="373B05AC"/>
    <w:rsid w:val="38E513B3"/>
    <w:rsid w:val="39961DA1"/>
    <w:rsid w:val="3C3A2054"/>
    <w:rsid w:val="3CB306AC"/>
    <w:rsid w:val="3DC15091"/>
    <w:rsid w:val="42B764DC"/>
    <w:rsid w:val="4503389D"/>
    <w:rsid w:val="461F52F7"/>
    <w:rsid w:val="46FB1346"/>
    <w:rsid w:val="48AD64D9"/>
    <w:rsid w:val="4BDD2223"/>
    <w:rsid w:val="4D7545F6"/>
    <w:rsid w:val="4E626CE6"/>
    <w:rsid w:val="4E6A1AB5"/>
    <w:rsid w:val="51EB0AE4"/>
    <w:rsid w:val="54EF2BF0"/>
    <w:rsid w:val="5A654D5B"/>
    <w:rsid w:val="5B550550"/>
    <w:rsid w:val="5F596A68"/>
    <w:rsid w:val="5FCD55C9"/>
    <w:rsid w:val="60813B63"/>
    <w:rsid w:val="69321694"/>
    <w:rsid w:val="6A2603C4"/>
    <w:rsid w:val="6AA87773"/>
    <w:rsid w:val="6B9449F2"/>
    <w:rsid w:val="6E0B6E30"/>
    <w:rsid w:val="6E22326F"/>
    <w:rsid w:val="6F343802"/>
    <w:rsid w:val="71F415DE"/>
    <w:rsid w:val="76A00F69"/>
    <w:rsid w:val="7857412D"/>
    <w:rsid w:val="7AB64509"/>
    <w:rsid w:val="7AF01476"/>
    <w:rsid w:val="7B5A7E6E"/>
    <w:rsid w:val="7D3A0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jc w:val="center"/>
      <w:outlineLvl w:val="1"/>
    </w:pPr>
    <w:rPr>
      <w:rFonts w:ascii="黑体" w:hAnsi="黑体" w:eastAsia="黑体"/>
      <w:sz w:val="30"/>
      <w:szCs w:val="30"/>
    </w:rPr>
  </w:style>
  <w:style w:type="paragraph" w:styleId="4">
    <w:name w:val="heading 7"/>
    <w:basedOn w:val="1"/>
    <w:next w:val="5"/>
    <w:qFormat/>
    <w:uiPriority w:val="0"/>
    <w:pPr>
      <w:keepNext/>
      <w:keepLines/>
      <w:numPr>
        <w:ilvl w:val="6"/>
        <w:numId w:val="1"/>
      </w:numPr>
      <w:spacing w:before="240" w:after="64" w:line="320" w:lineRule="auto"/>
      <w:outlineLvl w:val="6"/>
    </w:pPr>
    <w:rPr>
      <w:rFonts w:ascii="Times New Roman" w:hAnsi="Times New Roman"/>
      <w:b/>
      <w:kern w:val="0"/>
      <w:sz w:val="24"/>
      <w:szCs w:val="2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style>
  <w:style w:type="paragraph" w:styleId="6">
    <w:name w:val="annotation text"/>
    <w:basedOn w:val="1"/>
    <w:next w:val="1"/>
    <w:unhideWhenUsed/>
    <w:qFormat/>
    <w:uiPriority w:val="99"/>
    <w:pPr>
      <w:jc w:val="left"/>
    </w:pPr>
  </w:style>
  <w:style w:type="paragraph" w:styleId="7">
    <w:name w:val="Body Text 3"/>
    <w:basedOn w:val="1"/>
    <w:unhideWhenUsed/>
    <w:qFormat/>
    <w:uiPriority w:val="99"/>
    <w:pPr>
      <w:spacing w:after="120"/>
    </w:pPr>
    <w:rPr>
      <w:kern w:val="0"/>
      <w:sz w:val="16"/>
      <w:szCs w:val="16"/>
    </w:rPr>
  </w:style>
  <w:style w:type="paragraph" w:styleId="8">
    <w:name w:val="Body Text"/>
    <w:basedOn w:val="1"/>
    <w:next w:val="1"/>
    <w:unhideWhenUsed/>
    <w:qFormat/>
    <w:uiPriority w:val="0"/>
    <w:pPr>
      <w:spacing w:after="120"/>
    </w:pPr>
  </w:style>
  <w:style w:type="paragraph" w:styleId="9">
    <w:name w:val="Body Text Indent"/>
    <w:basedOn w:val="1"/>
    <w:next w:val="10"/>
    <w:qFormat/>
    <w:uiPriority w:val="0"/>
    <w:pPr>
      <w:spacing w:after="120"/>
      <w:ind w:left="420" w:leftChars="200"/>
    </w:pPr>
    <w:rPr>
      <w:rFonts w:ascii="Times New Roman" w:hAnsi="Times New Roman"/>
      <w:kern w:val="0"/>
      <w:sz w:val="20"/>
      <w:szCs w:val="24"/>
    </w:rPr>
  </w:style>
  <w:style w:type="paragraph" w:styleId="10">
    <w:name w:val="envelope return"/>
    <w:basedOn w:val="1"/>
    <w:qFormat/>
    <w:uiPriority w:val="0"/>
    <w:pPr>
      <w:snapToGrid w:val="0"/>
    </w:pPr>
    <w:rPr>
      <w:rFonts w:ascii="Arial" w:hAnsi="Arial"/>
    </w:rPr>
  </w:style>
  <w:style w:type="paragraph" w:styleId="11">
    <w:name w:val="footer"/>
    <w:basedOn w:val="1"/>
    <w:unhideWhenUsed/>
    <w:qFormat/>
    <w:uiPriority w:val="99"/>
    <w:pPr>
      <w:tabs>
        <w:tab w:val="center" w:pos="4153"/>
        <w:tab w:val="right" w:pos="8306"/>
      </w:tabs>
      <w:snapToGrid w:val="0"/>
      <w:jc w:val="left"/>
    </w:pPr>
    <w:rPr>
      <w:kern w:val="0"/>
      <w:sz w:val="18"/>
      <w:szCs w:val="18"/>
    </w:rPr>
  </w:style>
  <w:style w:type="paragraph" w:styleId="12">
    <w:name w:val="toc 1"/>
    <w:basedOn w:val="1"/>
    <w:next w:val="1"/>
    <w:qFormat/>
    <w:uiPriority w:val="39"/>
    <w:pPr>
      <w:tabs>
        <w:tab w:val="right" w:leader="dot" w:pos="9060"/>
      </w:tabs>
      <w:spacing w:before="120" w:after="120"/>
      <w:jc w:val="center"/>
    </w:pPr>
    <w:rPr>
      <w:rFonts w:ascii="Times New Roman" w:hAnsi="Times New Roman" w:eastAsia="宋体" w:cs="Times New Roman"/>
      <w:b/>
      <w:bCs/>
      <w:caps/>
      <w:sz w:val="24"/>
      <w:szCs w:val="24"/>
    </w:rPr>
  </w:style>
  <w:style w:type="paragraph" w:styleId="13">
    <w:name w:val="toc 2"/>
    <w:basedOn w:val="1"/>
    <w:next w:val="1"/>
    <w:qFormat/>
    <w:uiPriority w:val="39"/>
    <w:pPr>
      <w:tabs>
        <w:tab w:val="right" w:leader="dot" w:pos="8302"/>
      </w:tabs>
      <w:ind w:left="210"/>
      <w:jc w:val="left"/>
    </w:pPr>
    <w:rPr>
      <w:rFonts w:ascii="Times New Roman" w:hAnsi="Times New Roman" w:eastAsia="宋体" w:cs="Times New Roman"/>
      <w:smallCaps/>
      <w:sz w:val="20"/>
      <w:szCs w:val="20"/>
    </w:rPr>
  </w:style>
  <w:style w:type="paragraph" w:styleId="14">
    <w:name w:val="Body Text 2"/>
    <w:basedOn w:val="1"/>
    <w:unhideWhenUsed/>
    <w:qFormat/>
    <w:uiPriority w:val="0"/>
    <w:rPr>
      <w:rFonts w:ascii="宋体" w:hAnsi="宋体" w:eastAsia="楷体_GB2312"/>
      <w:kern w:val="0"/>
      <w:sz w:val="20"/>
      <w:szCs w:val="24"/>
      <w:u w:val="single"/>
    </w:rPr>
  </w:style>
  <w:style w:type="paragraph" w:styleId="15">
    <w:name w:val="Normal (Web)"/>
    <w:basedOn w:val="1"/>
    <w:qFormat/>
    <w:uiPriority w:val="99"/>
    <w:pPr>
      <w:widowControl/>
      <w:spacing w:before="100" w:beforeAutospacing="1" w:after="100" w:afterAutospacing="1"/>
      <w:jc w:val="left"/>
    </w:pPr>
    <w:rPr>
      <w:rFonts w:ascii="Times New Roman" w:hAnsi="Times New Roman" w:eastAsia="宋体" w:cs="Times New Roman"/>
      <w:kern w:val="0"/>
      <w:sz w:val="24"/>
      <w:szCs w:val="24"/>
    </w:rPr>
  </w:style>
  <w:style w:type="paragraph" w:styleId="16">
    <w:name w:val="Body Text First Indent"/>
    <w:basedOn w:val="8"/>
    <w:qFormat/>
    <w:uiPriority w:val="0"/>
    <w:pPr>
      <w:ind w:firstLine="420"/>
    </w:pPr>
    <w:rPr>
      <w:rFonts w:ascii="Times New Roman" w:hAnsi="Times New Roman" w:eastAsia="楷体_GB2312"/>
      <w:kern w:val="0"/>
      <w:sz w:val="20"/>
      <w:szCs w:val="20"/>
    </w:rPr>
  </w:style>
  <w:style w:type="paragraph" w:styleId="17">
    <w:name w:val="Body Text First Indent 2"/>
    <w:basedOn w:val="9"/>
    <w:qFormat/>
    <w:uiPriority w:val="0"/>
    <w:pPr>
      <w:adjustRightInd w:val="0"/>
      <w:spacing w:line="360" w:lineRule="auto"/>
      <w:ind w:left="0" w:leftChars="0" w:firstLine="420"/>
      <w:textAlignment w:val="baseline"/>
    </w:pPr>
    <w:rPr>
      <w:color w:val="000000"/>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ascii="Arial" w:hAnsi="Arial" w:eastAsia="黑体"/>
      <w:color w:val="0000FF"/>
      <w:kern w:val="2"/>
      <w:sz w:val="21"/>
      <w:szCs w:val="21"/>
      <w:u w:val="single"/>
      <w:lang w:val="en-US" w:eastAsia="zh-CN" w:bidi="ar-SA"/>
    </w:rPr>
  </w:style>
  <w:style w:type="paragraph" w:customStyle="1" w:styleId="22">
    <w:name w:val="正文缩进1"/>
    <w:basedOn w:val="23"/>
    <w:unhideWhenUsed/>
    <w:qFormat/>
    <w:uiPriority w:val="0"/>
    <w:pPr>
      <w:spacing w:beforeLines="0" w:afterLines="0" w:line="360" w:lineRule="auto"/>
      <w:ind w:firstLine="200" w:firstLineChars="200"/>
      <w:jc w:val="both"/>
    </w:pPr>
    <w:rPr>
      <w:rFonts w:hint="eastAsia" w:ascii="Times New Roman" w:hAnsi="Times New Roman" w:eastAsia="Times New Roman" w:cs="Times New Roman"/>
      <w:kern w:val="2"/>
      <w:sz w:val="24"/>
      <w:szCs w:val="22"/>
      <w:lang w:val="en-US" w:eastAsia="zh-CN" w:bidi="ar"/>
    </w:rPr>
  </w:style>
  <w:style w:type="paragraph" w:customStyle="1" w:styleId="23">
    <w:name w:val="正文1"/>
    <w:basedOn w:val="1"/>
    <w:unhideWhenUsed/>
    <w:qFormat/>
    <w:uiPriority w:val="0"/>
    <w:pPr>
      <w:spacing w:beforeLines="0" w:afterLines="0" w:line="240" w:lineRule="atLeast"/>
      <w:jc w:val="center"/>
      <w:textAlignment w:val="baseline"/>
    </w:pPr>
    <w:rPr>
      <w:rFonts w:hint="default" w:ascii="Tahoma" w:hAnsi="Tahoma" w:eastAsia="宋体"/>
      <w:sz w:val="24"/>
      <w:szCs w:val="24"/>
    </w:rPr>
  </w:style>
  <w:style w:type="paragraph" w:customStyle="1" w:styleId="24">
    <w:name w:val="_Style 12"/>
    <w:basedOn w:val="2"/>
    <w:next w:val="1"/>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customStyle="1" w:styleId="25">
    <w:name w:val="p0"/>
    <w:basedOn w:val="1"/>
    <w:qFormat/>
    <w:uiPriority w:val="0"/>
    <w:pPr>
      <w:widowControl/>
      <w:spacing w:before="75" w:after="75"/>
      <w:jc w:val="left"/>
    </w:pPr>
    <w:rPr>
      <w:rFonts w:ascii="宋体" w:hAnsi="宋体" w:cs="宋体"/>
      <w:kern w:val="0"/>
      <w:sz w:val="24"/>
      <w:szCs w:val="24"/>
    </w:rPr>
  </w:style>
  <w:style w:type="paragraph" w:customStyle="1" w:styleId="2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7">
    <w:name w:val="发文落款"/>
    <w:basedOn w:val="26"/>
    <w:qFormat/>
    <w:uiPriority w:val="99"/>
    <w:pPr>
      <w:ind w:left="4094" w:right="607" w:firstLine="0"/>
      <w:jc w:val="center"/>
    </w:pPr>
    <w:rPr>
      <w:rFonts w:cs="仿宋_GB2312"/>
      <w:szCs w:val="32"/>
    </w:rPr>
  </w:style>
  <w:style w:type="paragraph" w:customStyle="1" w:styleId="28">
    <w:name w:val="普通 (Web)"/>
    <w:basedOn w:val="1"/>
    <w:qFormat/>
    <w:uiPriority w:val="0"/>
    <w:pPr>
      <w:widowControl/>
      <w:spacing w:before="100" w:after="100"/>
      <w:jc w:val="left"/>
    </w:pPr>
    <w:rPr>
      <w:rFonts w:ascii="Arial Unicode MS" w:hAnsi="Arial Unicode MS" w:eastAsia="Arial Unicode MS" w:cs="Times New Roman"/>
      <w:kern w:val="0"/>
      <w:sz w:val="24"/>
      <w:szCs w:val="20"/>
    </w:rPr>
  </w:style>
  <w:style w:type="character" w:customStyle="1" w:styleId="29">
    <w:name w:val="font11"/>
    <w:basedOn w:val="20"/>
    <w:qFormat/>
    <w:uiPriority w:val="0"/>
    <w:rPr>
      <w:rFonts w:hint="eastAsia" w:ascii="宋体" w:hAnsi="宋体" w:eastAsia="宋体" w:cs="宋体"/>
      <w:b/>
      <w:bCs/>
      <w:color w:val="000000"/>
      <w:sz w:val="32"/>
      <w:szCs w:val="32"/>
      <w:u w:val="none"/>
    </w:rPr>
  </w:style>
  <w:style w:type="character" w:customStyle="1" w:styleId="30">
    <w:name w:val="font31"/>
    <w:basedOn w:val="20"/>
    <w:qFormat/>
    <w:uiPriority w:val="0"/>
    <w:rPr>
      <w:rFonts w:ascii="仿宋_GB2312" w:hAns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449" textRotate="1"/>
    <customShpInfo spid="_x0000_s1450"/>
    <customShpInfo spid="_x0000_s1451"/>
    <customShpInfo spid="_x0000_s14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364</Pages>
  <Words>10746</Words>
  <Characters>11418</Characters>
  <Lines>0</Lines>
  <Paragraphs>0</Paragraphs>
  <TotalTime>2</TotalTime>
  <ScaleCrop>false</ScaleCrop>
  <LinksUpToDate>false</LinksUpToDate>
  <CharactersWithSpaces>11840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2024-11-29T02:04:00Z</dcterms:created>
  <dc:creator>何国杰</dc:creator>
  <cp:lastModifiedBy>何国杰</cp:lastModifiedBy>
  <dcterms:modified xsi:type="dcterms:W3CDTF">2025-02-18T07:36:26Z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75B3296EBA3546F4AE71D00B50B855B3_13</vt:lpwstr>
  </property>
  <property fmtid="{D5CDD505-2E9C-101B-9397-08002B2CF9AE}" pid="4" name="KSOTemplateDocerSaveRecord">
    <vt:lpwstr>eyJoZGlkIjoiMjY3OTM5ZGY5ODQxNjc4NTc5ZGU1MDQxZTVjNDU0OTUiLCJ1c2VySWQiOiI0NTk0NDg0MDYifQ==</vt:lpwstr>
  </property>
</Properties>
</file>