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仿宋" w:hAnsi="仿宋" w:eastAsia="仿宋" w:cs="仿宋"/>
          <w:sz w:val="36"/>
          <w:szCs w:val="36"/>
        </w:rPr>
      </w:pPr>
      <w:bookmarkStart w:id="0" w:name="_Toc6884"/>
      <w:r>
        <w:rPr>
          <w:rFonts w:hint="eastAsia" w:ascii="仿宋" w:hAnsi="仿宋" w:eastAsia="仿宋" w:cs="仿宋"/>
          <w:sz w:val="36"/>
          <w:szCs w:val="36"/>
          <w:lang w:val="en-US" w:eastAsia="zh-CN"/>
        </w:rPr>
        <w:t>明珠工业园明珠能源站配套管线工程</w:t>
      </w:r>
      <w:r>
        <w:rPr>
          <w:rFonts w:hint="eastAsia" w:ascii="仿宋" w:hAnsi="仿宋" w:eastAsia="仿宋" w:cs="仿宋"/>
          <w:sz w:val="36"/>
          <w:szCs w:val="36"/>
          <w:lang w:eastAsia="zh-CN"/>
        </w:rPr>
        <w:t>施工监理服务</w:t>
      </w:r>
      <w:bookmarkStart w:id="34" w:name="_GoBack"/>
      <w:bookmarkEnd w:id="34"/>
      <w:r>
        <w:rPr>
          <w:rFonts w:hint="eastAsia" w:ascii="仿宋" w:hAnsi="仿宋" w:eastAsia="仿宋" w:cs="仿宋"/>
          <w:sz w:val="36"/>
          <w:szCs w:val="36"/>
        </w:rPr>
        <w:t>招标公告</w:t>
      </w:r>
      <w:bookmarkEnd w:id="0"/>
    </w:p>
    <w:p>
      <w:pPr>
        <w:spacing w:before="156" w:beforeLines="50" w:after="156" w:afterLines="50"/>
        <w:jc w:val="left"/>
        <w:outlineLvl w:val="1"/>
        <w:rPr>
          <w:rFonts w:ascii="宋体" w:hAnsi="宋体" w:eastAsia="宋体" w:cs="宋体"/>
          <w:b/>
          <w:bCs/>
          <w:kern w:val="0"/>
          <w:sz w:val="36"/>
          <w:szCs w:val="32"/>
        </w:rPr>
      </w:pPr>
      <w:bookmarkStart w:id="1" w:name="_Toc535938695"/>
      <w:bookmarkStart w:id="2" w:name="_Toc511557025"/>
      <w:bookmarkStart w:id="3" w:name="_Toc529196504"/>
      <w:bookmarkStart w:id="4" w:name="_Toc529196507"/>
      <w:bookmarkStart w:id="5" w:name="_Toc511557028"/>
      <w:r>
        <w:rPr>
          <w:rFonts w:hint="eastAsia" w:ascii="宋体" w:hAnsi="宋体" w:eastAsia="宋体" w:cs="宋体"/>
          <w:b/>
          <w:bCs/>
          <w:kern w:val="0"/>
          <w:sz w:val="36"/>
          <w:szCs w:val="32"/>
        </w:rPr>
        <w:t>1. 招标条件</w:t>
      </w:r>
      <w:bookmarkEnd w:id="1"/>
      <w:bookmarkEnd w:id="2"/>
      <w:bookmarkEnd w:id="3"/>
    </w:p>
    <w:p>
      <w:pPr>
        <w:tabs>
          <w:tab w:val="left" w:pos="7513"/>
        </w:tabs>
        <w:spacing w:line="360" w:lineRule="auto"/>
        <w:ind w:firstLine="480" w:firstLineChars="200"/>
        <w:rPr>
          <w:rFonts w:ascii="宋体" w:hAnsi="宋体" w:eastAsia="宋体" w:cs="宋体"/>
          <w:sz w:val="24"/>
          <w:szCs w:val="24"/>
        </w:rPr>
      </w:pPr>
      <w:bookmarkStart w:id="6" w:name="_Toc511557026"/>
      <w:r>
        <w:rPr>
          <w:rFonts w:hint="eastAsia" w:ascii="宋体" w:hAnsi="宋体" w:eastAsia="宋体" w:cs="宋体"/>
          <w:sz w:val="24"/>
          <w:szCs w:val="24"/>
        </w:rPr>
        <w:t>本招标项目</w:t>
      </w:r>
      <w:r>
        <w:rPr>
          <w:rFonts w:hint="eastAsia" w:ascii="宋体" w:hAnsi="宋体" w:eastAsia="宋体" w:cs="宋体"/>
          <w:sz w:val="24"/>
          <w:szCs w:val="24"/>
          <w:u w:val="single"/>
          <w:lang w:val="en-US" w:eastAsia="zh-CN"/>
        </w:rPr>
        <w:t>明珠工业园明珠能源站配套管线工程</w:t>
      </w:r>
      <w:r>
        <w:rPr>
          <w:rFonts w:hint="eastAsia" w:ascii="宋体" w:hAnsi="宋体" w:eastAsia="宋体"/>
          <w:sz w:val="24"/>
        </w:rPr>
        <w:t>以</w:t>
      </w:r>
      <w:r>
        <w:rPr>
          <w:rFonts w:hint="eastAsia" w:ascii="宋体" w:hAnsi="宋体" w:eastAsia="宋体"/>
          <w:sz w:val="24"/>
          <w:u w:val="single"/>
        </w:rPr>
        <w:t>穗发改核准[202</w:t>
      </w:r>
      <w:r>
        <w:rPr>
          <w:rFonts w:hint="eastAsia" w:ascii="宋体" w:hAnsi="宋体" w:eastAsia="宋体"/>
          <w:sz w:val="24"/>
          <w:u w:val="single"/>
          <w:lang w:val="en-US" w:eastAsia="zh-CN"/>
        </w:rPr>
        <w:t>1</w:t>
      </w:r>
      <w:r>
        <w:rPr>
          <w:rFonts w:hint="eastAsia" w:ascii="宋体" w:hAnsi="宋体" w:eastAsia="宋体"/>
          <w:sz w:val="24"/>
          <w:u w:val="single"/>
        </w:rPr>
        <w:t xml:space="preserve">] </w:t>
      </w:r>
      <w:r>
        <w:rPr>
          <w:rFonts w:hint="eastAsia" w:ascii="宋体" w:hAnsi="宋体" w:eastAsia="宋体"/>
          <w:sz w:val="24"/>
          <w:u w:val="single"/>
          <w:lang w:val="en-US" w:eastAsia="zh-CN"/>
        </w:rPr>
        <w:t>4</w:t>
      </w:r>
      <w:r>
        <w:rPr>
          <w:rFonts w:hint="eastAsia" w:ascii="宋体" w:hAnsi="宋体" w:eastAsia="宋体"/>
          <w:sz w:val="24"/>
          <w:u w:val="single"/>
        </w:rPr>
        <w:t>1号文</w:t>
      </w:r>
      <w:r>
        <w:rPr>
          <w:rFonts w:hint="eastAsia" w:ascii="宋体" w:hAnsi="宋体" w:eastAsia="宋体"/>
          <w:sz w:val="24"/>
        </w:rPr>
        <w:t>批准建设</w:t>
      </w:r>
      <w:r>
        <w:rPr>
          <w:rFonts w:hint="eastAsia" w:ascii="宋体" w:hAnsi="宋体" w:eastAsia="宋体" w:cs="宋体"/>
          <w:sz w:val="24"/>
          <w:szCs w:val="24"/>
        </w:rPr>
        <w:t>，项目业主为</w:t>
      </w:r>
      <w:r>
        <w:rPr>
          <w:rFonts w:hint="eastAsia" w:ascii="宋体" w:hAnsi="宋体" w:eastAsia="宋体" w:cs="宋体"/>
          <w:sz w:val="24"/>
          <w:szCs w:val="24"/>
          <w:u w:val="single"/>
        </w:rPr>
        <w:t>广州燃气集团有限公司</w:t>
      </w:r>
      <w:r>
        <w:rPr>
          <w:rFonts w:hint="eastAsia" w:ascii="宋体" w:hAnsi="宋体" w:eastAsia="宋体" w:cs="宋体"/>
          <w:sz w:val="24"/>
          <w:szCs w:val="24"/>
        </w:rPr>
        <w:t>，建设资金来自</w:t>
      </w:r>
      <w:r>
        <w:rPr>
          <w:rFonts w:hint="eastAsia" w:ascii="宋体" w:hAnsi="宋体" w:eastAsia="宋体" w:cs="宋体"/>
          <w:sz w:val="24"/>
          <w:szCs w:val="24"/>
          <w:u w:val="single"/>
        </w:rPr>
        <w:t>企业自筹和银行贷款</w:t>
      </w:r>
      <w:r>
        <w:rPr>
          <w:rFonts w:hint="eastAsia" w:ascii="宋体" w:hAnsi="宋体" w:eastAsia="宋体" w:cs="宋体"/>
          <w:sz w:val="24"/>
          <w:szCs w:val="24"/>
        </w:rPr>
        <w:t>，出资比例为</w:t>
      </w:r>
      <w:r>
        <w:rPr>
          <w:rFonts w:hint="eastAsia" w:ascii="宋体" w:hAnsi="宋体" w:eastAsia="宋体" w:cs="宋体"/>
          <w:sz w:val="24"/>
          <w:szCs w:val="24"/>
          <w:u w:val="single"/>
        </w:rPr>
        <w:t>100%</w:t>
      </w:r>
      <w:r>
        <w:rPr>
          <w:rFonts w:hint="eastAsia" w:ascii="宋体" w:hAnsi="宋体" w:eastAsia="宋体" w:cs="宋体"/>
          <w:sz w:val="24"/>
          <w:szCs w:val="24"/>
        </w:rPr>
        <w:t>，招标人为</w:t>
      </w:r>
      <w:r>
        <w:rPr>
          <w:rFonts w:hint="eastAsia" w:ascii="宋体" w:hAnsi="宋体" w:eastAsia="宋体" w:cs="宋体"/>
          <w:sz w:val="24"/>
          <w:szCs w:val="24"/>
          <w:u w:val="single"/>
        </w:rPr>
        <w:t>广州燃气集团有限公司</w:t>
      </w:r>
      <w:r>
        <w:rPr>
          <w:rFonts w:hint="eastAsia" w:ascii="宋体" w:hAnsi="宋体" w:eastAsia="宋体" w:cs="宋体"/>
          <w:sz w:val="24"/>
          <w:szCs w:val="24"/>
        </w:rPr>
        <w:t>。项目已具备招标条件，现对该项目的监理进行公开招标。</w:t>
      </w:r>
    </w:p>
    <w:p>
      <w:pPr>
        <w:spacing w:before="312" w:beforeLines="100" w:after="156" w:afterLines="50"/>
        <w:jc w:val="left"/>
        <w:outlineLvl w:val="1"/>
        <w:rPr>
          <w:rFonts w:ascii="宋体" w:hAnsi="宋体" w:eastAsia="宋体" w:cs="宋体"/>
          <w:b/>
          <w:bCs/>
          <w:kern w:val="0"/>
          <w:sz w:val="36"/>
          <w:szCs w:val="32"/>
        </w:rPr>
      </w:pPr>
      <w:bookmarkStart w:id="7" w:name="_Toc535938696"/>
      <w:bookmarkStart w:id="8" w:name="_Toc529196505"/>
      <w:r>
        <w:rPr>
          <w:rFonts w:hint="eastAsia" w:ascii="宋体" w:hAnsi="宋体" w:eastAsia="宋体" w:cs="宋体"/>
          <w:b/>
          <w:bCs/>
          <w:kern w:val="0"/>
          <w:sz w:val="36"/>
          <w:szCs w:val="32"/>
        </w:rPr>
        <w:t>2. 项目概况与招标范围</w:t>
      </w:r>
      <w:bookmarkEnd w:id="6"/>
      <w:bookmarkEnd w:id="7"/>
      <w:bookmarkEnd w:id="8"/>
    </w:p>
    <w:p>
      <w:pPr>
        <w:tabs>
          <w:tab w:val="left" w:pos="7513"/>
        </w:tabs>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2.1招标项目概况</w:t>
      </w:r>
    </w:p>
    <w:p>
      <w:pPr>
        <w:tabs>
          <w:tab w:val="left" w:pos="7513"/>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2.1.1招标项目名称：</w:t>
      </w:r>
      <w:r>
        <w:rPr>
          <w:rFonts w:hint="eastAsia" w:ascii="宋体" w:hAnsi="宋体" w:eastAsia="宋体" w:cs="宋体"/>
          <w:sz w:val="24"/>
          <w:szCs w:val="24"/>
          <w:u w:val="single"/>
          <w:lang w:val="en-US" w:eastAsia="zh-CN"/>
        </w:rPr>
        <w:t>明珠工业园明珠能源站配套管线工程</w:t>
      </w:r>
      <w:r>
        <w:rPr>
          <w:rFonts w:hint="eastAsia" w:ascii="宋体" w:hAnsi="宋体" w:eastAsia="宋体" w:cs="宋体"/>
          <w:sz w:val="24"/>
          <w:szCs w:val="24"/>
          <w:u w:val="single"/>
        </w:rPr>
        <w:t>施工监理服务</w:t>
      </w:r>
    </w:p>
    <w:p>
      <w:pPr>
        <w:tabs>
          <w:tab w:val="left" w:pos="7513"/>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2.1.2</w:t>
      </w:r>
      <w:r>
        <w:rPr>
          <w:rFonts w:hint="eastAsia" w:ascii="宋体" w:hAnsi="宋体" w:eastAsia="宋体"/>
          <w:bCs/>
          <w:sz w:val="24"/>
        </w:rPr>
        <w:t>工程建设规模</w:t>
      </w:r>
      <w:r>
        <w:rPr>
          <w:rFonts w:hint="eastAsia" w:ascii="宋体" w:hAnsi="宋体" w:eastAsia="宋体" w:cs="宋体"/>
          <w:sz w:val="24"/>
          <w:szCs w:val="24"/>
        </w:rPr>
        <w:t>：</w:t>
      </w:r>
    </w:p>
    <w:p>
      <w:pPr>
        <w:tabs>
          <w:tab w:val="left" w:pos="7513"/>
        </w:tabs>
        <w:spacing w:line="360" w:lineRule="auto"/>
        <w:ind w:firstLine="480" w:firstLineChars="200"/>
        <w:rPr>
          <w:rFonts w:ascii="宋体" w:hAnsi="宋体" w:eastAsia="宋体" w:cs="宋体"/>
          <w:sz w:val="24"/>
          <w:szCs w:val="24"/>
          <w:u w:val="single"/>
        </w:rPr>
      </w:pPr>
      <w:r>
        <w:rPr>
          <w:rFonts w:hint="eastAsia" w:ascii="宋体" w:hAnsi="宋体" w:eastAsia="宋体"/>
          <w:sz w:val="24"/>
          <w:u w:val="single"/>
        </w:rPr>
        <w:t>明珠工业园明珠能源站配套管线工程起点为鳌头门站，终点为明珠调压站。设计管径为 D508×12.7，管材为直缝双面埋弧焊钢管，设计压力为6.3MPa，管线总长度约8100米（其中站内管道长约250米，站外线路管道长约7850米）。管道采用三层PE结构防腐层，外加电流阴极保护，管道焊接应严格按照焊接工艺评定试验结果进行；新增鳌头门站工艺装置；新建明珠调压站计量装置。</w:t>
      </w:r>
    </w:p>
    <w:p>
      <w:pPr>
        <w:tabs>
          <w:tab w:val="left" w:pos="7513"/>
        </w:tabs>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2.1.3工程建设地点：</w:t>
      </w:r>
      <w:r>
        <w:rPr>
          <w:rFonts w:hint="eastAsia" w:ascii="宋体" w:hAnsi="宋体" w:eastAsia="宋体" w:cs="宋体"/>
          <w:sz w:val="24"/>
          <w:szCs w:val="24"/>
          <w:u w:val="single"/>
        </w:rPr>
        <w:t>广州市</w:t>
      </w:r>
      <w:r>
        <w:rPr>
          <w:rFonts w:hint="eastAsia" w:ascii="宋体" w:hAnsi="宋体" w:eastAsia="宋体" w:cs="宋体"/>
          <w:sz w:val="24"/>
          <w:szCs w:val="24"/>
          <w:u w:val="single"/>
          <w:lang w:val="en-US" w:eastAsia="zh-CN"/>
        </w:rPr>
        <w:t>从化</w:t>
      </w:r>
      <w:r>
        <w:rPr>
          <w:rFonts w:hint="eastAsia" w:ascii="宋体" w:hAnsi="宋体" w:eastAsia="宋体" w:cs="宋体"/>
          <w:sz w:val="24"/>
          <w:szCs w:val="24"/>
          <w:u w:val="single"/>
        </w:rPr>
        <w:t>区。</w:t>
      </w:r>
    </w:p>
    <w:p>
      <w:pPr>
        <w:tabs>
          <w:tab w:val="left" w:pos="7513"/>
        </w:tabs>
        <w:spacing w:line="360" w:lineRule="auto"/>
        <w:ind w:firstLine="480" w:firstLineChars="200"/>
        <w:rPr>
          <w:rFonts w:ascii="宋体" w:hAnsi="宋体" w:eastAsia="宋体" w:cs="宋体"/>
          <w:sz w:val="24"/>
        </w:rPr>
      </w:pPr>
      <w:r>
        <w:rPr>
          <w:rFonts w:hint="eastAsia" w:ascii="宋体" w:hAnsi="宋体" w:eastAsia="宋体"/>
          <w:sz w:val="24"/>
          <w:szCs w:val="24"/>
        </w:rPr>
        <w:t>2.1.4工程概算/建筑安装工程费：</w:t>
      </w:r>
      <w:r>
        <w:rPr>
          <w:rFonts w:hint="eastAsia" w:ascii="宋体" w:hAnsi="宋体" w:eastAsia="宋体"/>
          <w:sz w:val="24"/>
          <w:szCs w:val="24"/>
          <w:u w:val="single"/>
        </w:rPr>
        <w:t>工程</w:t>
      </w:r>
      <w:r>
        <w:rPr>
          <w:rFonts w:hint="eastAsia" w:ascii="宋体" w:hAnsi="宋体" w:eastAsia="宋体"/>
          <w:kern w:val="0"/>
          <w:sz w:val="24"/>
          <w:szCs w:val="24"/>
          <w:u w:val="single"/>
        </w:rPr>
        <w:t>概算总投资约</w:t>
      </w:r>
      <w:r>
        <w:rPr>
          <w:rFonts w:hint="eastAsia" w:ascii="宋体" w:hAnsi="宋体" w:eastAsia="宋体"/>
          <w:kern w:val="0"/>
          <w:sz w:val="24"/>
          <w:szCs w:val="24"/>
          <w:u w:val="single"/>
          <w:lang w:val="en-US" w:eastAsia="zh-CN"/>
        </w:rPr>
        <w:t>2.04</w:t>
      </w:r>
      <w:r>
        <w:rPr>
          <w:rFonts w:hint="eastAsia" w:ascii="宋体" w:hAnsi="宋体" w:eastAsia="宋体"/>
          <w:kern w:val="0"/>
          <w:sz w:val="24"/>
          <w:szCs w:val="24"/>
          <w:u w:val="single"/>
        </w:rPr>
        <w:t>亿</w:t>
      </w:r>
      <w:r>
        <w:rPr>
          <w:rFonts w:hint="eastAsia" w:ascii="宋体" w:hAnsi="宋体" w:eastAsia="宋体" w:cs="宋体"/>
          <w:kern w:val="0"/>
          <w:sz w:val="24"/>
          <w:szCs w:val="24"/>
          <w:u w:val="single"/>
        </w:rPr>
        <w:t>。</w:t>
      </w:r>
    </w:p>
    <w:p>
      <w:pPr>
        <w:tabs>
          <w:tab w:val="left" w:pos="7513"/>
        </w:tabs>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2.2招标范围</w:t>
      </w:r>
    </w:p>
    <w:p>
      <w:pPr>
        <w:tabs>
          <w:tab w:val="left" w:pos="7513"/>
        </w:tabs>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bCs/>
          <w:sz w:val="24"/>
        </w:rPr>
        <w:t>标段划分：</w:t>
      </w:r>
      <w:r>
        <w:rPr>
          <w:rFonts w:hint="eastAsia" w:ascii="宋体" w:hAnsi="宋体" w:eastAsia="宋体"/>
          <w:sz w:val="24"/>
          <w:u w:val="single"/>
        </w:rPr>
        <w:t>本项目设1个标段。</w:t>
      </w:r>
    </w:p>
    <w:p>
      <w:pPr>
        <w:tabs>
          <w:tab w:val="left" w:pos="7513"/>
        </w:tabs>
        <w:adjustRightInd w:val="0"/>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2.2.2监理范围：</w:t>
      </w:r>
      <w:r>
        <w:rPr>
          <w:rFonts w:hint="eastAsia" w:ascii="宋体" w:hAnsi="宋体" w:eastAsia="宋体" w:cs="宋体"/>
          <w:sz w:val="24"/>
          <w:szCs w:val="24"/>
          <w:u w:val="single"/>
        </w:rPr>
        <w:t>上述工程的工程施工准备阶段、工程施工阶段、竣工结算阶段和工程保修阶段的质量控制、投资控制、进度控制、组织协调、合同及信息管理、安全文明、结算管理等监理服务工作。</w:t>
      </w:r>
    </w:p>
    <w:p>
      <w:pPr>
        <w:tabs>
          <w:tab w:val="left" w:pos="7513"/>
        </w:tabs>
        <w:adjustRightInd w:val="0"/>
        <w:snapToGrid w:val="0"/>
        <w:spacing w:line="360" w:lineRule="auto"/>
        <w:ind w:firstLine="480" w:firstLineChars="200"/>
        <w:rPr>
          <w:rFonts w:ascii="宋体" w:hAnsi="宋体" w:eastAsia="宋体"/>
          <w:sz w:val="24"/>
          <w:szCs w:val="24"/>
          <w:u w:val="single"/>
        </w:rPr>
      </w:pPr>
      <w:r>
        <w:rPr>
          <w:rFonts w:hint="eastAsia" w:ascii="宋体" w:hAnsi="宋体" w:eastAsia="宋体" w:cs="宋体"/>
          <w:sz w:val="24"/>
          <w:szCs w:val="24"/>
        </w:rPr>
        <w:t>2.2.3监理服务期限：</w:t>
      </w:r>
      <w:r>
        <w:rPr>
          <w:rFonts w:hint="eastAsia" w:ascii="宋体" w:hAnsi="宋体" w:eastAsia="宋体"/>
          <w:bCs/>
          <w:snapToGrid w:val="0"/>
          <w:spacing w:val="4"/>
          <w:kern w:val="0"/>
          <w:sz w:val="24"/>
          <w:szCs w:val="20"/>
          <w:u w:val="single"/>
        </w:rPr>
        <w:t>自监理合同签订之日起至工程项目全部完成竣工验收和工程质量保修期满止。</w:t>
      </w:r>
    </w:p>
    <w:p>
      <w:pPr>
        <w:tabs>
          <w:tab w:val="left" w:pos="7513"/>
        </w:tabs>
        <w:adjustRightInd w:val="0"/>
        <w:snapToGrid w:val="0"/>
        <w:spacing w:line="360" w:lineRule="auto"/>
        <w:ind w:firstLine="482" w:firstLineChars="200"/>
        <w:rPr>
          <w:rFonts w:ascii="宋体" w:hAnsi="宋体" w:eastAsia="宋体" w:cs="宋体"/>
          <w:b/>
          <w:sz w:val="24"/>
          <w:szCs w:val="24"/>
          <w:u w:val="single"/>
        </w:rPr>
      </w:pPr>
      <w:r>
        <w:rPr>
          <w:rFonts w:hint="eastAsia" w:ascii="宋体" w:hAnsi="宋体" w:eastAsia="宋体" w:cs="宋体"/>
          <w:b/>
          <w:sz w:val="24"/>
          <w:szCs w:val="24"/>
        </w:rPr>
        <w:t>2.3监理服务最高投标限价：</w:t>
      </w:r>
      <w:r>
        <w:rPr>
          <w:rFonts w:hint="eastAsia" w:ascii="宋体" w:hAnsi="宋体" w:eastAsia="宋体" w:cs="宋体"/>
          <w:b/>
          <w:sz w:val="24"/>
          <w:szCs w:val="24"/>
          <w:u w:val="single"/>
        </w:rPr>
        <w:t>人民币</w:t>
      </w:r>
      <w:r>
        <w:rPr>
          <w:rFonts w:hint="eastAsia" w:ascii="宋体" w:hAnsi="宋体" w:eastAsia="宋体" w:cs="宋体"/>
          <w:b/>
          <w:sz w:val="24"/>
          <w:szCs w:val="24"/>
          <w:highlight w:val="none"/>
          <w:u w:val="single"/>
          <w:lang w:val="en-US" w:eastAsia="zh-CN"/>
        </w:rPr>
        <w:t>135.13</w:t>
      </w:r>
      <w:r>
        <w:rPr>
          <w:rFonts w:hint="eastAsia" w:ascii="宋体" w:hAnsi="宋体" w:eastAsia="宋体" w:cs="宋体"/>
          <w:b/>
          <w:sz w:val="24"/>
          <w:szCs w:val="24"/>
          <w:u w:val="single"/>
        </w:rPr>
        <w:t>万元</w:t>
      </w:r>
    </w:p>
    <w:p>
      <w:pPr>
        <w:spacing w:before="312" w:beforeLines="100" w:after="156" w:afterLines="50"/>
        <w:jc w:val="left"/>
        <w:outlineLvl w:val="1"/>
        <w:rPr>
          <w:rFonts w:ascii="宋体" w:hAnsi="宋体" w:eastAsia="宋体" w:cs="宋体"/>
          <w:b/>
          <w:bCs/>
          <w:kern w:val="0"/>
          <w:sz w:val="36"/>
          <w:szCs w:val="32"/>
        </w:rPr>
      </w:pPr>
      <w:bookmarkStart w:id="9" w:name="_Toc529196506"/>
      <w:bookmarkStart w:id="10" w:name="_Toc511557027"/>
      <w:bookmarkStart w:id="11" w:name="_Toc535938697"/>
      <w:r>
        <w:rPr>
          <w:rFonts w:hint="eastAsia" w:ascii="宋体" w:hAnsi="宋体" w:eastAsia="宋体" w:cs="宋体"/>
          <w:b/>
          <w:bCs/>
          <w:kern w:val="0"/>
          <w:sz w:val="36"/>
          <w:szCs w:val="32"/>
        </w:rPr>
        <w:t>3. 投标人资格要求</w:t>
      </w:r>
      <w:bookmarkEnd w:id="9"/>
      <w:bookmarkEnd w:id="10"/>
      <w:bookmarkEnd w:id="11"/>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3.1投标人须具备建设行政主管部门颁发的</w:t>
      </w:r>
      <w:r>
        <w:rPr>
          <w:rFonts w:hint="eastAsia" w:ascii="宋体" w:hAnsi="宋体" w:eastAsia="宋体" w:cs="宋体"/>
          <w:sz w:val="24"/>
          <w:szCs w:val="24"/>
          <w:u w:val="single"/>
        </w:rPr>
        <w:t>以下之一资质：</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（1）工程监理综合资质；</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（2）市政公用工程监理专业甲级资质；</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（3）化工石油工程监理专业甲级资质。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 本次招标</w:t>
      </w:r>
      <w:r>
        <w:rPr>
          <w:rFonts w:hint="eastAsia" w:ascii="宋体" w:hAnsi="宋体" w:eastAsia="宋体" w:cs="宋体"/>
          <w:sz w:val="24"/>
          <w:szCs w:val="24"/>
          <w:u w:val="single"/>
        </w:rPr>
        <w:t xml:space="preserve"> 不接受 </w:t>
      </w:r>
      <w:r>
        <w:rPr>
          <w:rFonts w:hint="eastAsia" w:ascii="宋体" w:hAnsi="宋体" w:eastAsia="宋体" w:cs="宋体"/>
          <w:sz w:val="24"/>
          <w:szCs w:val="24"/>
        </w:rPr>
        <w:t>联合体投标。</w:t>
      </w:r>
    </w:p>
    <w:p>
      <w:pPr>
        <w:spacing w:line="360" w:lineRule="auto"/>
        <w:ind w:firstLine="480" w:firstLineChars="200"/>
        <w:rPr>
          <w:rFonts w:ascii="宋体" w:hAnsi="宋体" w:eastAsia="宋体" w:cs="楷体"/>
          <w:sz w:val="24"/>
          <w:szCs w:val="24"/>
          <w:u w:val="single"/>
        </w:rPr>
      </w:pPr>
      <w:r>
        <w:rPr>
          <w:rFonts w:hint="eastAsia" w:ascii="宋体" w:hAnsi="宋体" w:eastAsia="宋体" w:cs="宋体"/>
          <w:sz w:val="24"/>
          <w:szCs w:val="24"/>
        </w:rPr>
        <w:t>3.3拟派项目总监理工程师须具有建设部2006年4月1日后颁发的中华人民共和国注册监理工程师注册执业证书，且其注册专业为</w:t>
      </w:r>
      <w:r>
        <w:rPr>
          <w:rFonts w:hint="eastAsia" w:ascii="宋体" w:hAnsi="宋体" w:eastAsia="宋体" w:cs="宋体"/>
          <w:sz w:val="24"/>
          <w:szCs w:val="24"/>
          <w:u w:val="single"/>
        </w:rPr>
        <w:t>市政公用工程或化工石油工程</w:t>
      </w:r>
      <w:r>
        <w:rPr>
          <w:rFonts w:hint="eastAsia" w:ascii="宋体" w:hAnsi="宋体" w:eastAsia="宋体" w:cs="宋体"/>
          <w:sz w:val="24"/>
          <w:szCs w:val="24"/>
        </w:rPr>
        <w:t>，注册执业单位为本公司，并具备本科或以上学历</w:t>
      </w:r>
      <w:r>
        <w:rPr>
          <w:rFonts w:hint="eastAsia" w:ascii="宋体" w:hAnsi="宋体" w:eastAsia="宋体" w:cs="楷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3.4其他要求：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①投标人参加投标的意思表达清楚，投标人代表被授权有效。</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②投标人均具有独立法人资格，持有工商行政管理部门核发的法人营业执照，按国家法律经营。</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③投标人已按规定格式签名盖章《投标人声明》（详见附件一）。</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④</w:t>
      </w:r>
      <w:r>
        <w:rPr>
          <w:rFonts w:hint="eastAsia" w:ascii="宋体" w:hAnsi="宋体" w:eastAsia="宋体" w:cs="楷体"/>
          <w:sz w:val="24"/>
          <w:szCs w:val="24"/>
          <w:u w:val="single"/>
        </w:rPr>
        <w:t>投标人未被纳入国家、市、区的失信联合惩戒名单的（按广州公共资源交易中心交易系统比对结果进行评审）。</w:t>
      </w:r>
    </w:p>
    <w:p>
      <w:pPr>
        <w:spacing w:line="360" w:lineRule="auto"/>
        <w:ind w:firstLine="480" w:firstLineChars="200"/>
        <w:rPr>
          <w:rFonts w:ascii="宋体" w:hAnsi="宋体" w:eastAsia="宋体" w:cs="宋体"/>
          <w:sz w:val="24"/>
        </w:rPr>
      </w:pPr>
      <w:r>
        <w:rPr>
          <w:rFonts w:hint="eastAsia" w:ascii="宋体" w:hAnsi="宋体" w:eastAsia="宋体" w:cs="宋体"/>
          <w:sz w:val="24"/>
          <w:szCs w:val="24"/>
          <w:u w:val="single"/>
        </w:rPr>
        <w:t>⑤</w:t>
      </w:r>
      <w:r>
        <w:rPr>
          <w:rFonts w:hint="eastAsia" w:ascii="宋体" w:hAnsi="宋体" w:eastAsia="宋体" w:cs="楷体"/>
          <w:sz w:val="24"/>
          <w:szCs w:val="24"/>
          <w:u w:val="single"/>
        </w:rPr>
        <w:t>投标人未在以往工程中因不诚信行为或不充分履约行为被本项目招标人书面拒绝投标的或未被纳入联合惩戒范围的（</w:t>
      </w:r>
      <w:r>
        <w:rPr>
          <w:rFonts w:hint="eastAsia" w:ascii="宋体" w:hAnsi="宋体" w:eastAsia="宋体" w:cs="宋体"/>
          <w:sz w:val="24"/>
          <w:szCs w:val="24"/>
          <w:u w:val="single"/>
        </w:rPr>
        <w:t>详见附件二</w:t>
      </w:r>
      <w:r>
        <w:rPr>
          <w:rFonts w:hint="eastAsia" w:ascii="宋体" w:hAnsi="宋体" w:eastAsia="宋体" w:cs="楷体"/>
          <w:sz w:val="24"/>
          <w:szCs w:val="24"/>
          <w:u w:val="single"/>
        </w:rPr>
        <w:t>）。</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u w:val="single"/>
        </w:rPr>
        <w:t>注：参加投标之前，投标人应在广州公共资源交易中心办理企业信息登记，并查询广州公共资源交易中心企业库、拟报总监理工程师的使用状态，以免出广州公共资源交易中心企业库、拟报总监理工程师不能被使用的问题。上述情况有可能导致投标信息无法录入广州公共资源交易中心交易服务系统。如出现上述情况，投标人有可能失去投标机会，因其可能所引起的一切后果由投标人自行承担。有关广州公共资源交易中心企业库信息登记的办理事宜，详见广州公共资源交易中心网站服务指南。未在招标公告第3条单列的投标人资格要求条件，不作为资审不合格的依据。</w:t>
      </w:r>
    </w:p>
    <w:p>
      <w:pPr>
        <w:spacing w:before="312" w:beforeLines="100" w:after="156" w:afterLines="50"/>
        <w:jc w:val="left"/>
        <w:outlineLvl w:val="1"/>
        <w:rPr>
          <w:rFonts w:ascii="宋体" w:hAnsi="宋体" w:eastAsia="宋体" w:cs="宋体"/>
          <w:b/>
          <w:bCs/>
          <w:kern w:val="0"/>
          <w:sz w:val="36"/>
          <w:szCs w:val="32"/>
        </w:rPr>
      </w:pPr>
      <w:bookmarkStart w:id="12" w:name="_Toc535938699"/>
      <w:r>
        <w:rPr>
          <w:rFonts w:hint="eastAsia" w:ascii="宋体" w:hAnsi="宋体" w:eastAsia="宋体" w:cs="宋体"/>
          <w:b/>
          <w:bCs/>
          <w:kern w:val="0"/>
          <w:sz w:val="36"/>
          <w:szCs w:val="32"/>
        </w:rPr>
        <w:t>4.招标文件的获取</w:t>
      </w:r>
    </w:p>
    <w:p>
      <w:pPr>
        <w:wordWrap w:val="0"/>
        <w:spacing w:line="360" w:lineRule="auto"/>
        <w:ind w:firstLine="480" w:firstLineChars="200"/>
        <w:rPr>
          <w:rFonts w:ascii="宋体" w:hAnsi="宋体" w:eastAsia="宋体" w:cs="宋体"/>
          <w:sz w:val="24"/>
          <w:szCs w:val="24"/>
        </w:rPr>
      </w:pPr>
      <w:bookmarkStart w:id="13" w:name="_Toc514099628"/>
      <w:bookmarkStart w:id="14" w:name="_Toc3471142"/>
      <w:r>
        <w:rPr>
          <w:rFonts w:hint="eastAsia" w:ascii="宋体" w:hAnsi="宋体" w:eastAsia="宋体" w:cs="宋体"/>
          <w:sz w:val="24"/>
          <w:szCs w:val="24"/>
        </w:rPr>
        <w:t>4.1凡有意参加投标者，请于</w:t>
      </w:r>
      <w:r>
        <w:rPr>
          <w:rFonts w:hint="eastAsia" w:ascii="宋体" w:hAnsi="宋体" w:eastAsia="宋体" w:cs="宋体"/>
          <w:sz w:val="24"/>
          <w:szCs w:val="24"/>
          <w:u w:val="single"/>
        </w:rPr>
        <w:t>2022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00</w:t>
      </w:r>
      <w:r>
        <w:rPr>
          <w:rFonts w:hint="eastAsia" w:ascii="宋体" w:hAnsi="宋体" w:eastAsia="宋体" w:cs="宋体"/>
          <w:sz w:val="24"/>
          <w:szCs w:val="24"/>
        </w:rPr>
        <w:t>时</w:t>
      </w:r>
      <w:r>
        <w:rPr>
          <w:rFonts w:hint="eastAsia" w:ascii="宋体" w:hAnsi="宋体" w:eastAsia="宋体" w:cs="宋体"/>
          <w:sz w:val="24"/>
          <w:szCs w:val="24"/>
          <w:u w:val="single"/>
        </w:rPr>
        <w:t>00</w:t>
      </w:r>
      <w:r>
        <w:rPr>
          <w:rFonts w:hint="eastAsia" w:ascii="宋体" w:hAnsi="宋体" w:eastAsia="宋体" w:cs="宋体"/>
          <w:sz w:val="24"/>
          <w:szCs w:val="24"/>
        </w:rPr>
        <w:t>分至</w:t>
      </w:r>
      <w:r>
        <w:rPr>
          <w:rFonts w:hint="eastAsia" w:ascii="宋体" w:hAnsi="宋体" w:eastAsia="宋体" w:cs="宋体"/>
          <w:sz w:val="24"/>
          <w:szCs w:val="24"/>
          <w:u w:val="single"/>
        </w:rPr>
        <w:t>2022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分(北京时间，下同)，登录广州公共资源交易中心网站（http://www.gzggzy.cn）</w:t>
      </w:r>
      <w:r>
        <w:rPr>
          <w:rFonts w:hint="eastAsia" w:ascii="宋体" w:hAnsi="宋体" w:eastAsia="宋体"/>
          <w:sz w:val="24"/>
          <w:szCs w:val="24"/>
        </w:rPr>
        <w:t>下载电子招标文件。</w:t>
      </w:r>
    </w:p>
    <w:p>
      <w:pPr>
        <w:wordWrap w:val="0"/>
        <w:spacing w:line="360" w:lineRule="auto"/>
        <w:ind w:firstLine="480" w:firstLineChars="200"/>
        <w:rPr>
          <w:rFonts w:ascii="宋体" w:hAnsi="宋体" w:eastAsia="宋体" w:cs="宋体"/>
          <w:sz w:val="24"/>
          <w:szCs w:val="24"/>
        </w:rPr>
      </w:pPr>
      <w:bookmarkStart w:id="15" w:name="_Toc511557030"/>
      <w:r>
        <w:rPr>
          <w:rFonts w:hint="eastAsia" w:ascii="宋体" w:hAnsi="宋体" w:eastAsia="宋体" w:cs="宋体"/>
          <w:sz w:val="24"/>
          <w:szCs w:val="24"/>
        </w:rPr>
        <w:t>4.2 发布招标公告时间（含本日）：</w:t>
      </w:r>
      <w:r>
        <w:rPr>
          <w:rFonts w:hint="eastAsia" w:ascii="宋体" w:hAnsi="宋体" w:eastAsia="宋体" w:cs="宋体"/>
          <w:sz w:val="24"/>
          <w:szCs w:val="24"/>
          <w:u w:val="single"/>
        </w:rPr>
        <w:t>2022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00</w:t>
      </w:r>
      <w:r>
        <w:rPr>
          <w:rFonts w:hint="eastAsia" w:ascii="宋体" w:hAnsi="宋体" w:eastAsia="宋体" w:cs="宋体"/>
          <w:sz w:val="24"/>
          <w:szCs w:val="24"/>
        </w:rPr>
        <w:t>时</w:t>
      </w:r>
      <w:r>
        <w:rPr>
          <w:rFonts w:hint="eastAsia" w:ascii="宋体" w:hAnsi="宋体" w:eastAsia="宋体" w:cs="宋体"/>
          <w:sz w:val="24"/>
          <w:szCs w:val="24"/>
          <w:u w:val="single"/>
        </w:rPr>
        <w:t>00</w:t>
      </w:r>
      <w:r>
        <w:rPr>
          <w:rFonts w:hint="eastAsia" w:ascii="宋体" w:hAnsi="宋体" w:eastAsia="宋体" w:cs="宋体"/>
          <w:sz w:val="24"/>
          <w:szCs w:val="24"/>
        </w:rPr>
        <w:t>分至</w:t>
      </w:r>
      <w:r>
        <w:rPr>
          <w:rFonts w:hint="eastAsia" w:ascii="宋体" w:hAnsi="宋体" w:eastAsia="宋体" w:cs="宋体"/>
          <w:sz w:val="24"/>
          <w:szCs w:val="24"/>
          <w:u w:val="single"/>
        </w:rPr>
        <w:t>2022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注：发布招标公告的时间为招标公告发出之日起至递交投标文件截止时间止。</w:t>
      </w:r>
    </w:p>
    <w:p>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4.2.1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 </w:t>
      </w:r>
    </w:p>
    <w:p>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4.2.2开标时间：</w:t>
      </w:r>
      <w:r>
        <w:rPr>
          <w:rFonts w:hint="eastAsia" w:ascii="宋体" w:hAnsi="宋体" w:eastAsia="宋体" w:cs="宋体"/>
          <w:sz w:val="24"/>
          <w:szCs w:val="24"/>
          <w:u w:val="single"/>
        </w:rPr>
        <w:t>2022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4.3 本项目采用资格后审方式。</w:t>
      </w:r>
    </w:p>
    <w:p>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注：（1）电子招投标操作流程详见广州公共资源交易中心网站发布的最新版操作指引。</w:t>
      </w:r>
    </w:p>
    <w:p>
      <w:pPr>
        <w:wordWrap w:val="0"/>
        <w:spacing w:line="360" w:lineRule="auto"/>
        <w:ind w:firstLine="480" w:firstLineChars="200"/>
        <w:rPr>
          <w:rFonts w:ascii="宋体" w:hAnsi="宋体" w:eastAsia="宋体" w:cs="宋体"/>
          <w:sz w:val="24"/>
          <w:szCs w:val="24"/>
        </w:rPr>
      </w:pPr>
      <w:bookmarkStart w:id="16" w:name="_Toc27470_WPSOffice_Level3"/>
      <w:r>
        <w:rPr>
          <w:rFonts w:hint="eastAsia" w:ascii="宋体" w:hAnsi="宋体" w:eastAsia="宋体" w:cs="宋体"/>
          <w:sz w:val="24"/>
          <w:szCs w:val="24"/>
        </w:rPr>
        <w:t>（2）本公告发布之日起开始计算备标时间。</w:t>
      </w:r>
      <w:bookmarkEnd w:id="16"/>
    </w:p>
    <w:p>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4.4 潜在投标人或利害关系人对本招标公告及招标内容异议的，可向招标人书面提出。</w:t>
      </w:r>
      <w:bookmarkEnd w:id="13"/>
      <w:bookmarkEnd w:id="14"/>
      <w:bookmarkEnd w:id="15"/>
    </w:p>
    <w:p>
      <w:pPr>
        <w:spacing w:before="312" w:beforeLines="100" w:after="156" w:afterLines="50"/>
        <w:jc w:val="left"/>
        <w:outlineLvl w:val="1"/>
        <w:rPr>
          <w:rFonts w:ascii="宋体" w:hAnsi="宋体" w:eastAsia="宋体" w:cs="宋体"/>
          <w:b/>
          <w:bCs/>
          <w:kern w:val="0"/>
          <w:sz w:val="36"/>
          <w:szCs w:val="32"/>
        </w:rPr>
      </w:pPr>
      <w:r>
        <w:rPr>
          <w:rFonts w:hint="eastAsia" w:ascii="宋体" w:hAnsi="宋体" w:eastAsia="宋体" w:cs="宋体"/>
          <w:b/>
          <w:bCs/>
          <w:kern w:val="0"/>
          <w:sz w:val="36"/>
          <w:szCs w:val="32"/>
        </w:rPr>
        <w:t>5. 投标文件的递交</w:t>
      </w:r>
      <w:bookmarkEnd w:id="12"/>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5.1 投标文件递交的截止时间（投标截止时间，下同）为</w:t>
      </w:r>
      <w:r>
        <w:rPr>
          <w:rFonts w:hint="eastAsia" w:ascii="宋体" w:hAnsi="宋体" w:eastAsia="宋体" w:cs="宋体"/>
          <w:sz w:val="24"/>
          <w:szCs w:val="24"/>
          <w:u w:val="single"/>
        </w:rPr>
        <w:t>2022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分，投标人应在截止时间前通过广州公共资源交易中心数字交易平台（http://www.gzggzy.cn）递交电子投标文件。</w:t>
      </w:r>
    </w:p>
    <w:p>
      <w:pPr>
        <w:snapToGrid w:val="0"/>
        <w:spacing w:line="360" w:lineRule="auto"/>
        <w:ind w:left="120" w:leftChars="57" w:firstLine="360" w:firstLineChars="150"/>
        <w:rPr>
          <w:rFonts w:ascii="宋体" w:hAnsi="宋体" w:eastAsia="宋体" w:cs="宋体"/>
          <w:sz w:val="24"/>
          <w:szCs w:val="24"/>
        </w:rPr>
      </w:pPr>
      <w:r>
        <w:rPr>
          <w:rFonts w:hint="eastAsia" w:ascii="宋体" w:hAnsi="宋体" w:eastAsia="宋体" w:cs="宋体"/>
          <w:sz w:val="24"/>
          <w:szCs w:val="24"/>
        </w:rPr>
        <w:t>递交备用投标文件电子光盘的规定：时间为：</w:t>
      </w:r>
      <w:r>
        <w:rPr>
          <w:rFonts w:hint="eastAsia" w:ascii="宋体" w:hAnsi="宋体" w:eastAsia="宋体" w:cs="宋体"/>
          <w:sz w:val="24"/>
          <w:szCs w:val="24"/>
          <w:u w:val="single"/>
        </w:rPr>
        <w:t>2022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分至</w:t>
      </w:r>
      <w:r>
        <w:rPr>
          <w:rFonts w:hint="eastAsia" w:ascii="宋体" w:hAnsi="宋体" w:eastAsia="宋体" w:cs="宋体"/>
          <w:sz w:val="24"/>
          <w:szCs w:val="24"/>
          <w:u w:val="single"/>
        </w:rPr>
        <w:t>2022</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分；地点：广州公共资源交易中心第</w:t>
      </w:r>
      <w:r>
        <w:rPr>
          <w:rFonts w:hint="eastAsia" w:ascii="宋体" w:hAnsi="宋体" w:eastAsia="宋体" w:cs="宋体"/>
          <w:sz w:val="24"/>
          <w:szCs w:val="24"/>
          <w:u w:val="single"/>
        </w:rPr>
        <w:t xml:space="preserve">   </w:t>
      </w:r>
      <w:r>
        <w:rPr>
          <w:rFonts w:hint="eastAsia" w:ascii="宋体" w:hAnsi="宋体" w:eastAsia="宋体" w:cs="宋体"/>
          <w:sz w:val="24"/>
          <w:szCs w:val="24"/>
        </w:rPr>
        <w:t>开标室。（电子光盘需按规定封装。投标人将数据刻录到光盘之后，投标前自行检查文件是否可以读取。）</w:t>
      </w:r>
    </w:p>
    <w:p>
      <w:pPr>
        <w:tabs>
          <w:tab w:val="left" w:pos="1100"/>
        </w:tabs>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5.2  采取电子投标时，逾期送达的投标文件，电子招标投标交易平台将予以拒收。逾期未上传成功的电子投标文件，招标人拒绝接收。</w:t>
      </w:r>
    </w:p>
    <w:p>
      <w:pPr>
        <w:spacing w:before="312" w:beforeLines="100" w:after="156" w:afterLines="50"/>
        <w:jc w:val="left"/>
        <w:outlineLvl w:val="1"/>
        <w:rPr>
          <w:rFonts w:ascii="宋体" w:hAnsi="宋体" w:eastAsia="宋体" w:cs="宋体"/>
          <w:b/>
          <w:bCs/>
          <w:kern w:val="0"/>
          <w:sz w:val="36"/>
          <w:szCs w:val="32"/>
        </w:rPr>
      </w:pPr>
      <w:bookmarkStart w:id="17" w:name="_Toc535938700"/>
      <w:r>
        <w:rPr>
          <w:rFonts w:hint="eastAsia" w:ascii="宋体" w:hAnsi="宋体" w:eastAsia="宋体" w:cs="宋体"/>
          <w:b/>
          <w:bCs/>
          <w:kern w:val="0"/>
          <w:sz w:val="36"/>
          <w:szCs w:val="32"/>
        </w:rPr>
        <w:t>6.</w:t>
      </w:r>
      <w:bookmarkEnd w:id="17"/>
      <w:bookmarkStart w:id="18" w:name="_Toc535938701"/>
      <w:r>
        <w:rPr>
          <w:rFonts w:hint="eastAsia" w:ascii="宋体" w:hAnsi="宋体" w:eastAsia="宋体" w:cs="宋体"/>
          <w:b/>
          <w:bCs/>
          <w:kern w:val="0"/>
          <w:sz w:val="36"/>
          <w:szCs w:val="32"/>
        </w:rPr>
        <w:t>发布公告的媒介</w:t>
      </w:r>
      <w:bookmarkEnd w:id="18"/>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本次招标公告同时在</w:t>
      </w:r>
      <w:r>
        <w:rPr>
          <w:rFonts w:hint="eastAsia" w:ascii="宋体" w:hAnsi="宋体" w:eastAsia="宋体" w:cs="宋体"/>
          <w:sz w:val="24"/>
          <w:szCs w:val="24"/>
          <w:u w:val="single"/>
        </w:rPr>
        <w:t>广州公共资源交易中心网（网址：http://www.gzggzy.cn）、广东省招标投标监管网（网址：</w:t>
      </w:r>
      <w:r>
        <w:rPr>
          <w:rFonts w:hint="eastAsia" w:ascii="宋体" w:hAnsi="宋体" w:eastAsia="宋体"/>
          <w:sz w:val="24"/>
          <w:u w:val="single"/>
        </w:rPr>
        <w:t>http://zbtb.gd.gov.cn</w:t>
      </w:r>
      <w:r>
        <w:rPr>
          <w:rFonts w:hint="eastAsia" w:ascii="宋体" w:hAnsi="宋体" w:eastAsia="宋体" w:cs="宋体"/>
          <w:sz w:val="24"/>
          <w:szCs w:val="24"/>
          <w:u w:val="single"/>
        </w:rPr>
        <w:t>）、广州发展电子采购平台（网址：https://eps.gdg.com.cn）和中国招标投标公共服务平台（网址：http：//www.cebpubservice.com/）等媒体</w:t>
      </w:r>
      <w:r>
        <w:rPr>
          <w:rFonts w:hint="eastAsia" w:ascii="宋体" w:hAnsi="宋体" w:eastAsia="宋体" w:cs="宋体"/>
          <w:sz w:val="24"/>
          <w:szCs w:val="24"/>
        </w:rPr>
        <w:t>上发布</w:t>
      </w:r>
      <w:r>
        <w:rPr>
          <w:rFonts w:hint="eastAsia" w:ascii="宋体" w:hAnsi="宋体" w:eastAsia="宋体" w:cs="宋体"/>
          <w:sz w:val="24"/>
          <w:szCs w:val="24"/>
          <w:u w:val="single"/>
        </w:rPr>
        <w:t>，本公告的修改、补充，在广州公共资源交易中心网站</w:t>
      </w:r>
      <w:r>
        <w:rPr>
          <w:rFonts w:hint="eastAsia" w:ascii="宋体" w:hAnsi="宋体" w:eastAsia="宋体" w:cs="宋体"/>
          <w:sz w:val="24"/>
          <w:szCs w:val="24"/>
        </w:rPr>
        <w:t>上发布。本公告在各媒体发布的文本如有不同之处，以在广州公共资源交易网发布的文本为准。</w:t>
      </w:r>
    </w:p>
    <w:bookmarkEnd w:id="4"/>
    <w:bookmarkEnd w:id="5"/>
    <w:p>
      <w:pPr>
        <w:spacing w:before="312" w:beforeLines="100" w:after="156" w:afterLines="50"/>
        <w:jc w:val="left"/>
        <w:outlineLvl w:val="1"/>
        <w:rPr>
          <w:rFonts w:ascii="宋体" w:hAnsi="宋体" w:eastAsia="宋体" w:cs="宋体"/>
          <w:b/>
          <w:bCs/>
          <w:kern w:val="0"/>
          <w:sz w:val="36"/>
          <w:szCs w:val="32"/>
        </w:rPr>
      </w:pPr>
      <w:bookmarkStart w:id="19" w:name="_Toc535938702"/>
      <w:bookmarkStart w:id="20" w:name="_Toc511557031"/>
      <w:bookmarkStart w:id="21" w:name="_Toc529196510"/>
      <w:bookmarkStart w:id="22" w:name="_Toc516170523"/>
      <w:bookmarkStart w:id="23" w:name="_Toc144974482"/>
      <w:bookmarkStart w:id="24" w:name="_Toc384308189"/>
      <w:bookmarkStart w:id="25" w:name="_Toc369531499"/>
      <w:bookmarkStart w:id="26" w:name="_Toc361508564"/>
      <w:bookmarkStart w:id="27" w:name="_Toc300834931"/>
      <w:bookmarkStart w:id="28" w:name="_Toc247513936"/>
      <w:bookmarkStart w:id="29" w:name="_Toc152042290"/>
      <w:bookmarkStart w:id="30" w:name="_Toc352691457"/>
      <w:bookmarkStart w:id="31" w:name="_Toc152045514"/>
      <w:bookmarkStart w:id="32" w:name="_Toc247527537"/>
      <w:bookmarkStart w:id="33" w:name="_Toc2312"/>
      <w:r>
        <w:rPr>
          <w:rFonts w:hint="eastAsia" w:ascii="宋体" w:hAnsi="宋体" w:eastAsia="宋体" w:cs="宋体"/>
          <w:b/>
          <w:bCs/>
          <w:kern w:val="0"/>
          <w:sz w:val="36"/>
          <w:szCs w:val="32"/>
        </w:rPr>
        <w:t>7.联系方式</w:t>
      </w:r>
      <w:bookmarkEnd w:id="19"/>
      <w:bookmarkEnd w:id="20"/>
      <w:bookmarkEnd w:id="21"/>
      <w:bookmarkEnd w:id="22"/>
    </w:p>
    <w:bookmarkEnd w:id="23"/>
    <w:bookmarkEnd w:id="24"/>
    <w:bookmarkEnd w:id="25"/>
    <w:bookmarkEnd w:id="26"/>
    <w:bookmarkEnd w:id="27"/>
    <w:bookmarkEnd w:id="28"/>
    <w:bookmarkEnd w:id="29"/>
    <w:bookmarkEnd w:id="30"/>
    <w:bookmarkEnd w:id="31"/>
    <w:bookmarkEnd w:id="32"/>
    <w:bookmarkEnd w:id="33"/>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 xml:space="preserve">招   标   </w:t>
      </w:r>
      <w:r>
        <w:rPr>
          <w:rFonts w:ascii="宋体" w:hAnsi="宋体" w:eastAsia="宋体" w:cs="宋体"/>
          <w:sz w:val="24"/>
        </w:rPr>
        <w:t>人：</w:t>
      </w:r>
      <w:r>
        <w:rPr>
          <w:rFonts w:hint="eastAsia" w:ascii="宋体" w:hAnsi="宋体" w:eastAsia="宋体" w:cs="宋体"/>
          <w:sz w:val="24"/>
          <w:u w:val="single"/>
        </w:rPr>
        <w:t>广州燃气集团有限公司</w:t>
      </w: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广州市天河区临江大道3号10楼</w:t>
      </w: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联   系   人：</w:t>
      </w:r>
      <w:r>
        <w:rPr>
          <w:rFonts w:hint="eastAsia" w:ascii="宋体" w:hAnsi="宋体" w:eastAsia="宋体" w:cs="宋体"/>
          <w:sz w:val="24"/>
          <w:u w:val="single"/>
          <w:lang w:val="en-US" w:eastAsia="zh-CN"/>
        </w:rPr>
        <w:t>潘</w:t>
      </w:r>
      <w:r>
        <w:rPr>
          <w:rFonts w:hint="eastAsia" w:ascii="宋体" w:hAnsi="宋体" w:eastAsia="宋体"/>
          <w:sz w:val="24"/>
          <w:u w:val="single"/>
        </w:rPr>
        <w:t>工</w:t>
      </w:r>
      <w:r>
        <w:rPr>
          <w:rFonts w:hint="eastAsia" w:ascii="宋体" w:hAnsi="宋体" w:eastAsia="宋体" w:cs="宋体"/>
          <w:sz w:val="24"/>
        </w:rPr>
        <w:t xml:space="preserve">    电话：</w:t>
      </w:r>
      <w:r>
        <w:rPr>
          <w:rFonts w:hint="eastAsia" w:ascii="宋体" w:hAnsi="宋体" w:eastAsia="宋体" w:cs="宋体"/>
          <w:sz w:val="24"/>
          <w:u w:val="single"/>
        </w:rPr>
        <w:t>020-3785</w:t>
      </w:r>
      <w:r>
        <w:rPr>
          <w:rFonts w:hint="eastAsia" w:ascii="宋体" w:hAnsi="宋体" w:eastAsia="宋体" w:cs="宋体"/>
          <w:sz w:val="24"/>
          <w:u w:val="single"/>
          <w:lang w:val="en-US" w:eastAsia="zh-CN"/>
        </w:rPr>
        <w:t>3025</w:t>
      </w:r>
    </w:p>
    <w:p>
      <w:pPr>
        <w:snapToGrid w:val="0"/>
        <w:spacing w:line="360" w:lineRule="auto"/>
        <w:ind w:firstLine="480" w:firstLineChars="200"/>
        <w:rPr>
          <w:rFonts w:ascii="宋体" w:hAnsi="宋体" w:eastAsia="宋体" w:cs="宋体"/>
          <w:sz w:val="24"/>
        </w:rPr>
      </w:pP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招标代理机构：</w:t>
      </w:r>
      <w:r>
        <w:rPr>
          <w:rFonts w:hint="eastAsia" w:ascii="宋体" w:hAnsi="宋体" w:eastAsia="宋体" w:cs="宋体"/>
          <w:sz w:val="24"/>
          <w:lang w:val="en-US" w:eastAsia="zh-CN"/>
        </w:rPr>
        <w:t>广东省机电设备招标中心有限公司</w:t>
      </w: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地        址：广东省广州市越秀区东风中路515号东照大厦5楼501房</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   系   人：</w:t>
      </w:r>
      <w:r>
        <w:rPr>
          <w:rFonts w:hint="eastAsia" w:ascii="宋体" w:hAnsi="宋体" w:eastAsia="宋体" w:cs="宋体"/>
          <w:sz w:val="24"/>
          <w:lang w:val="en-US" w:eastAsia="zh-CN"/>
        </w:rPr>
        <w:t>林工/杜工</w:t>
      </w:r>
    </w:p>
    <w:p>
      <w:pPr>
        <w:snapToGrid w:val="0"/>
        <w:spacing w:line="360" w:lineRule="auto"/>
        <w:ind w:firstLine="480" w:firstLineChars="200"/>
        <w:rPr>
          <w:rFonts w:ascii="宋体" w:hAnsi="宋体" w:eastAsia="宋体" w:cs="宋体"/>
          <w:kern w:val="0"/>
          <w:sz w:val="24"/>
          <w:u w:val="single"/>
        </w:rPr>
      </w:pPr>
      <w:r>
        <w:rPr>
          <w:rFonts w:hint="eastAsia" w:ascii="宋体" w:hAnsi="宋体" w:eastAsia="宋体" w:cs="宋体"/>
          <w:sz w:val="24"/>
        </w:rPr>
        <w:t>电</w:t>
      </w:r>
      <w:r>
        <w:rPr>
          <w:rFonts w:hint="eastAsia" w:ascii="宋体" w:hAnsi="宋体" w:eastAsia="宋体" w:cs="宋体"/>
          <w:sz w:val="24"/>
          <w:lang w:val="en-US" w:eastAsia="zh-CN"/>
        </w:rPr>
        <w:t xml:space="preserve">       </w:t>
      </w:r>
      <w:r>
        <w:rPr>
          <w:rFonts w:hint="eastAsia" w:ascii="宋体" w:hAnsi="宋体" w:eastAsia="宋体" w:cs="宋体"/>
          <w:sz w:val="24"/>
        </w:rPr>
        <w:t>话：</w:t>
      </w:r>
      <w:r>
        <w:rPr>
          <w:rFonts w:eastAsia="黑体"/>
          <w:color w:val="000000"/>
          <w:sz w:val="24"/>
          <w:highlight w:val="none"/>
          <w:u w:val="single"/>
        </w:rPr>
        <w:t>020-</w:t>
      </w:r>
      <w:r>
        <w:rPr>
          <w:rFonts w:hint="eastAsia" w:eastAsia="黑体"/>
          <w:color w:val="000000"/>
          <w:sz w:val="24"/>
          <w:highlight w:val="none"/>
          <w:u w:val="single"/>
        </w:rPr>
        <w:t>66341725/66341793</w:t>
      </w:r>
    </w:p>
    <w:p>
      <w:pPr>
        <w:spacing w:line="360" w:lineRule="auto"/>
        <w:rPr>
          <w:rFonts w:ascii="宋体" w:hAnsi="宋体" w:eastAsia="宋体"/>
        </w:rPr>
      </w:pP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异议受理部门：</w:t>
      </w:r>
      <w:r>
        <w:rPr>
          <w:rFonts w:hint="eastAsia" w:ascii="宋体" w:hAnsi="宋体" w:eastAsia="宋体" w:cs="宋体"/>
          <w:sz w:val="24"/>
          <w:u w:val="single"/>
        </w:rPr>
        <w:t>广州燃气集团有限公司</w:t>
      </w: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广州市天河区临江大道3号10楼</w:t>
      </w:r>
    </w:p>
    <w:p>
      <w:pPr>
        <w:snapToGrid w:val="0"/>
        <w:spacing w:line="360" w:lineRule="auto"/>
        <w:ind w:firstLine="480" w:firstLineChars="200"/>
        <w:rPr>
          <w:rFonts w:ascii="宋体" w:hAnsi="宋体" w:eastAsia="宋体"/>
          <w:sz w:val="24"/>
          <w:u w:val="single"/>
        </w:rPr>
      </w:pPr>
      <w:r>
        <w:rPr>
          <w:rFonts w:hint="eastAsia" w:ascii="宋体" w:hAnsi="宋体" w:eastAsia="宋体" w:cs="宋体"/>
          <w:sz w:val="24"/>
        </w:rPr>
        <w:t>联  系 电 话：</w:t>
      </w:r>
      <w:r>
        <w:rPr>
          <w:rFonts w:ascii="宋体" w:hAnsi="宋体" w:eastAsia="宋体"/>
          <w:sz w:val="24"/>
          <w:u w:val="single"/>
        </w:rPr>
        <w:t>020-37853017</w:t>
      </w:r>
    </w:p>
    <w:p>
      <w:pPr>
        <w:spacing w:line="360" w:lineRule="auto"/>
        <w:rPr>
          <w:rFonts w:ascii="宋体" w:hAnsi="宋体" w:eastAsia="宋体"/>
          <w:sz w:val="20"/>
          <w:szCs w:val="20"/>
        </w:rPr>
      </w:pP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招标监督机构：</w:t>
      </w:r>
      <w:r>
        <w:rPr>
          <w:rFonts w:hint="eastAsia" w:ascii="宋体" w:hAnsi="宋体" w:eastAsia="宋体" w:cs="宋体"/>
          <w:sz w:val="24"/>
          <w:u w:val="single"/>
        </w:rPr>
        <w:t>广州市城市管理和综合执法局</w:t>
      </w:r>
    </w:p>
    <w:p>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监  督 电 话：</w:t>
      </w:r>
      <w:r>
        <w:rPr>
          <w:rFonts w:hint="eastAsia" w:ascii="宋体" w:hAnsi="宋体" w:eastAsia="宋体" w:cs="宋体"/>
          <w:sz w:val="24"/>
          <w:u w:val="single"/>
        </w:rPr>
        <w:t>020-83639364</w:t>
      </w:r>
    </w:p>
    <w:p>
      <w:pPr>
        <w:snapToGrid w:val="0"/>
        <w:spacing w:line="360" w:lineRule="auto"/>
        <w:ind w:firstLine="480" w:firstLineChars="200"/>
        <w:rPr>
          <w:rFonts w:ascii="宋体" w:hAnsi="宋体" w:eastAsia="宋体"/>
          <w:sz w:val="24"/>
          <w:u w:val="single"/>
        </w:rPr>
      </w:pPr>
      <w:r>
        <w:rPr>
          <w:rFonts w:hint="eastAsia" w:ascii="宋体" w:hAnsi="宋体" w:eastAsia="宋体" w:cs="宋体"/>
          <w:sz w:val="24"/>
        </w:rPr>
        <w:t>地        址：</w:t>
      </w:r>
      <w:r>
        <w:rPr>
          <w:rFonts w:hint="eastAsia" w:ascii="宋体" w:hAnsi="宋体" w:eastAsia="宋体" w:cs="宋体"/>
          <w:sz w:val="24"/>
          <w:u w:val="single"/>
        </w:rPr>
        <w:t>广东省广州市越秀区文明路贤思路34号</w:t>
      </w:r>
    </w:p>
    <w:p>
      <w:pPr>
        <w:snapToGrid w:val="0"/>
        <w:spacing w:line="360" w:lineRule="auto"/>
        <w:ind w:firstLine="480" w:firstLineChars="200"/>
        <w:rPr>
          <w:rFonts w:ascii="宋体" w:hAnsi="宋体" w:eastAsia="宋体"/>
          <w:sz w:val="24"/>
          <w:u w:val="single"/>
        </w:rPr>
      </w:pPr>
    </w:p>
    <w:p>
      <w:pPr>
        <w:widowControl/>
        <w:jc w:val="left"/>
        <w:rPr>
          <w:rFonts w:ascii="宋体" w:hAnsi="宋体" w:eastAsia="宋体"/>
          <w:sz w:val="24"/>
        </w:rPr>
      </w:pPr>
      <w:r>
        <w:rPr>
          <w:rFonts w:ascii="宋体" w:hAnsi="宋体" w:eastAsia="宋体"/>
          <w:sz w:val="24"/>
        </w:rPr>
        <w:br w:type="page"/>
      </w:r>
    </w:p>
    <w:p>
      <w:pPr>
        <w:pStyle w:val="3"/>
        <w:spacing w:after="0"/>
        <w:rPr>
          <w:rFonts w:hint="eastAsia" w:ascii="宋体" w:hAnsi="宋体"/>
          <w:sz w:val="28"/>
          <w:szCs w:val="28"/>
        </w:rPr>
      </w:pPr>
      <w:r>
        <w:rPr>
          <w:rFonts w:hint="eastAsia" w:ascii="宋体" w:hAnsi="宋体"/>
          <w:sz w:val="28"/>
          <w:szCs w:val="28"/>
        </w:rPr>
        <w:t>附件一：投标人声明</w:t>
      </w:r>
    </w:p>
    <w:p>
      <w:pPr>
        <w:pStyle w:val="3"/>
        <w:spacing w:after="0"/>
        <w:jc w:val="center"/>
        <w:rPr>
          <w:rFonts w:ascii="宋体" w:hAnsi="宋体" w:eastAsia="宋体" w:cs="宋体"/>
          <w:kern w:val="0"/>
          <w:sz w:val="32"/>
          <w:szCs w:val="32"/>
        </w:rPr>
      </w:pPr>
      <w:r>
        <w:rPr>
          <w:rFonts w:hint="eastAsia" w:ascii="宋体" w:hAnsi="宋体" w:eastAsia="宋体" w:cs="宋体"/>
          <w:kern w:val="0"/>
          <w:sz w:val="32"/>
          <w:szCs w:val="32"/>
        </w:rPr>
        <w:t>投标人声明</w:t>
      </w:r>
    </w:p>
    <w:p>
      <w:pPr>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本招标项目招标人及招标监管机构：</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本公司就参加</w:t>
      </w:r>
      <w:r>
        <w:rPr>
          <w:rFonts w:hint="eastAsia" w:ascii="宋体" w:hAnsi="宋体" w:eastAsia="宋体" w:cs="宋体"/>
          <w:kern w:val="0"/>
          <w:sz w:val="24"/>
          <w:szCs w:val="24"/>
          <w:u w:val="single"/>
        </w:rPr>
        <w:t>                </w:t>
      </w:r>
      <w:r>
        <w:rPr>
          <w:rFonts w:hint="eastAsia" w:ascii="宋体" w:hAnsi="宋体" w:eastAsia="宋体" w:cs="宋体"/>
          <w:kern w:val="0"/>
          <w:sz w:val="24"/>
          <w:szCs w:val="24"/>
        </w:rPr>
        <w:t>项目投标工作，作出郑重声明：</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一、本公司保证投标</w:t>
      </w:r>
      <w:r>
        <w:rPr>
          <w:rFonts w:hint="eastAsia" w:ascii="宋体" w:hAnsi="宋体" w:eastAsia="宋体" w:cs="宋体"/>
          <w:kern w:val="0"/>
          <w:sz w:val="24"/>
          <w:szCs w:val="24"/>
          <w:u w:val="single"/>
        </w:rPr>
        <w:t>登记</w:t>
      </w:r>
      <w:r>
        <w:rPr>
          <w:rFonts w:hint="eastAsia" w:ascii="宋体" w:hAnsi="宋体" w:eastAsia="宋体" w:cs="宋体"/>
          <w:kern w:val="0"/>
          <w:sz w:val="24"/>
          <w:szCs w:val="24"/>
        </w:rPr>
        <w:t>材料及其后提供的一切材料都是真实的。如我司成为本项目中标候选人，我司同意并授权招标人将我司投标文件商务部分的人员、业绩、奖项等资料进行公开。</w:t>
      </w:r>
    </w:p>
    <w:p>
      <w:pPr>
        <w:snapToGri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三、本公司不存在招标文件第二章投标人须知第1.4.3项所规定的任何一种情形。</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四、本公司及其有隶属关系的机构，没有参加本项目招标文件的编写工作；本公司与本次招标的招标代理机构没有隶属关系或其他利害关系。</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五、本公司承诺，中标后严格执行安全生产相关管理规定。</w:t>
      </w:r>
    </w:p>
    <w:p>
      <w:pPr>
        <w:snapToGrid w:val="0"/>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本公司违反上述承诺，或本声明陈述与事实不符，经查实，本公司愿意接受公开通报，愿意按照《广州市建筑市场信用管理办法》（穗建规字</w:t>
      </w:r>
      <w:r>
        <w:rPr>
          <w:rFonts w:hint="eastAsia" w:ascii="宋体" w:hAnsi="宋体" w:eastAsia="宋体" w:cs="微软雅黑"/>
          <w:b/>
          <w:kern w:val="0"/>
          <w:sz w:val="24"/>
          <w:szCs w:val="24"/>
        </w:rPr>
        <w:t>﹝</w:t>
      </w:r>
      <w:r>
        <w:rPr>
          <w:rFonts w:hint="eastAsia" w:ascii="宋体" w:hAnsi="宋体" w:eastAsia="宋体" w:cs="宋体"/>
          <w:b/>
          <w:kern w:val="0"/>
          <w:sz w:val="24"/>
          <w:szCs w:val="24"/>
        </w:rPr>
        <w:t>2019</w:t>
      </w:r>
      <w:r>
        <w:rPr>
          <w:rFonts w:hint="eastAsia" w:ascii="宋体" w:hAnsi="宋体" w:eastAsia="宋体" w:cs="微软雅黑"/>
          <w:b/>
          <w:kern w:val="0"/>
          <w:sz w:val="24"/>
          <w:szCs w:val="24"/>
        </w:rPr>
        <w:t>﹞</w:t>
      </w:r>
      <w:r>
        <w:rPr>
          <w:rFonts w:hint="eastAsia" w:ascii="宋体" w:hAnsi="宋体" w:eastAsia="宋体" w:cs="宋体"/>
          <w:b/>
          <w:kern w:val="0"/>
          <w:sz w:val="24"/>
          <w:szCs w:val="24"/>
        </w:rPr>
        <w:t>16号）的规定被记录为失信信息，</w:t>
      </w:r>
      <w:r>
        <w:rPr>
          <w:rFonts w:hint="eastAsia" w:ascii="宋体" w:hAnsi="宋体" w:eastAsia="宋体" w:cs="宋体"/>
          <w:kern w:val="0"/>
          <w:sz w:val="24"/>
          <w:szCs w:val="24"/>
        </w:rPr>
        <w:t>承担由此带来的一切后果，并自愿停止参加广州市行政辖区内的招标投标活动三个月。</w:t>
      </w:r>
    </w:p>
    <w:p>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snapToGrid w:val="0"/>
        <w:spacing w:line="360" w:lineRule="auto"/>
        <w:ind w:firstLine="4320" w:firstLineChars="1800"/>
        <w:rPr>
          <w:rFonts w:ascii="宋体" w:hAnsi="宋体" w:eastAsia="宋体" w:cs="宋体"/>
          <w:kern w:val="0"/>
          <w:sz w:val="24"/>
          <w:szCs w:val="24"/>
        </w:rPr>
      </w:pPr>
      <w:r>
        <w:rPr>
          <w:rFonts w:hint="eastAsia" w:ascii="宋体" w:hAnsi="宋体" w:eastAsia="宋体" w:cs="宋体"/>
          <w:kern w:val="0"/>
          <w:sz w:val="24"/>
          <w:szCs w:val="24"/>
        </w:rPr>
        <w:t>声明企业：            (企业公章)</w:t>
      </w:r>
    </w:p>
    <w:p>
      <w:pPr>
        <w:snapToGrid w:val="0"/>
        <w:spacing w:line="360" w:lineRule="auto"/>
        <w:ind w:firstLine="4320" w:firstLineChars="1800"/>
        <w:rPr>
          <w:rFonts w:ascii="宋体" w:hAnsi="宋体" w:eastAsia="宋体" w:cs="宋体"/>
          <w:kern w:val="0"/>
          <w:sz w:val="24"/>
          <w:szCs w:val="24"/>
        </w:rPr>
      </w:pPr>
      <w:r>
        <w:rPr>
          <w:rFonts w:hint="eastAsia" w:ascii="宋体" w:hAnsi="宋体" w:eastAsia="宋体" w:cs="宋体"/>
          <w:kern w:val="0"/>
          <w:sz w:val="24"/>
          <w:szCs w:val="24"/>
        </w:rPr>
        <w:t>总监理工程师：         （签字）</w:t>
      </w:r>
    </w:p>
    <w:p>
      <w:pPr>
        <w:snapToGrid w:val="0"/>
        <w:spacing w:line="360" w:lineRule="auto"/>
        <w:ind w:firstLine="4252" w:firstLineChars="1772"/>
        <w:rPr>
          <w:rFonts w:ascii="宋体" w:hAnsi="宋体" w:eastAsia="宋体" w:cs="宋体"/>
          <w:kern w:val="0"/>
          <w:sz w:val="24"/>
          <w:szCs w:val="24"/>
        </w:rPr>
      </w:pPr>
      <w:r>
        <w:rPr>
          <w:rFonts w:hint="eastAsia" w:ascii="宋体" w:hAnsi="宋体" w:eastAsia="宋体" w:cs="宋体"/>
          <w:kern w:val="0"/>
          <w:sz w:val="24"/>
          <w:szCs w:val="24"/>
        </w:rPr>
        <w:t>法定代表人签字：</w:t>
      </w:r>
    </w:p>
    <w:p>
      <w:pPr>
        <w:spacing w:line="360" w:lineRule="auto"/>
        <w:ind w:firstLine="4920" w:firstLineChars="2050"/>
        <w:rPr>
          <w:rFonts w:ascii="宋体" w:hAnsi="宋体" w:eastAsia="宋体" w:cs="宋体"/>
          <w:kern w:val="0"/>
          <w:sz w:val="24"/>
          <w:szCs w:val="24"/>
        </w:rPr>
      </w:pPr>
      <w:r>
        <w:rPr>
          <w:rFonts w:hint="eastAsia" w:ascii="宋体" w:hAnsi="宋体" w:eastAsia="宋体" w:cs="宋体"/>
          <w:kern w:val="0"/>
          <w:sz w:val="24"/>
          <w:szCs w:val="24"/>
        </w:rPr>
        <w:t>年   月   日</w:t>
      </w:r>
    </w:p>
    <w:p>
      <w:pPr>
        <w:pStyle w:val="3"/>
        <w:spacing w:after="0"/>
        <w:rPr>
          <w:rFonts w:ascii="宋体" w:hAnsi="宋体"/>
        </w:rPr>
      </w:pPr>
      <w:r>
        <w:rPr>
          <w:rFonts w:ascii="宋体" w:hAnsi="宋体" w:cs="宋体"/>
          <w:kern w:val="0"/>
        </w:rPr>
        <w:br w:type="page"/>
      </w:r>
      <w:r>
        <w:rPr>
          <w:rFonts w:hint="eastAsia" w:ascii="宋体" w:hAnsi="宋体"/>
          <w:sz w:val="28"/>
          <w:szCs w:val="28"/>
        </w:rPr>
        <w:t>附件二：招标人有书面拒绝名单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242" w:type="dxa"/>
            <w:noWrap w:val="0"/>
            <w:vAlign w:val="center"/>
          </w:tcPr>
          <w:p>
            <w:pPr>
              <w:spacing w:line="360" w:lineRule="auto"/>
              <w:jc w:val="center"/>
              <w:rPr>
                <w:rFonts w:ascii="宋体" w:hAnsi="宋体" w:eastAsia="宋体"/>
                <w:b/>
                <w:sz w:val="24"/>
                <w:szCs w:val="24"/>
              </w:rPr>
            </w:pPr>
            <w:r>
              <w:rPr>
                <w:rFonts w:ascii="宋体" w:hAnsi="宋体" w:eastAsia="宋体"/>
                <w:b/>
                <w:sz w:val="24"/>
                <w:szCs w:val="24"/>
              </w:rPr>
              <w:t>序号</w:t>
            </w:r>
          </w:p>
        </w:tc>
        <w:tc>
          <w:tcPr>
            <w:tcW w:w="7280" w:type="dxa"/>
            <w:noWrap w:val="0"/>
            <w:vAlign w:val="center"/>
          </w:tcPr>
          <w:p>
            <w:pPr>
              <w:spacing w:line="360" w:lineRule="auto"/>
              <w:jc w:val="center"/>
              <w:rPr>
                <w:rFonts w:ascii="宋体" w:hAnsi="宋体" w:eastAsia="宋体"/>
                <w:b/>
                <w:sz w:val="24"/>
                <w:szCs w:val="24"/>
              </w:rPr>
            </w:pPr>
            <w:r>
              <w:rPr>
                <w:rFonts w:ascii="宋体" w:hAnsi="宋体" w:eastAsia="宋体"/>
                <w:b/>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2" w:type="dxa"/>
            <w:noWrap w:val="0"/>
            <w:vAlign w:val="center"/>
          </w:tcPr>
          <w:p>
            <w:pPr>
              <w:widowControl/>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280" w:type="dxa"/>
            <w:noWrap w:val="0"/>
            <w:vAlign w:val="center"/>
          </w:tcPr>
          <w:p>
            <w:pPr>
              <w:widowControl/>
              <w:snapToGrid w:val="0"/>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无</w:t>
            </w:r>
          </w:p>
        </w:tc>
      </w:tr>
    </w:tbl>
    <w:p>
      <w:pPr>
        <w:snapToGrid w:val="0"/>
        <w:spacing w:line="360" w:lineRule="auto"/>
        <w:ind w:firstLine="480" w:firstLineChars="200"/>
        <w:rPr>
          <w:rFonts w:ascii="宋体" w:hAnsi="宋体" w:eastAsia="宋体"/>
          <w:sz w:val="24"/>
          <w:u w:val="single"/>
        </w:rPr>
      </w:pPr>
    </w:p>
    <w:p>
      <w:pPr>
        <w:jc w:val="center"/>
        <w:rPr>
          <w:rFonts w:ascii="宋体" w:hAnsi="宋体" w:eastAsia="宋体"/>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MmUyMGEyNGFiYWFhNjlmY2Q0ZjI5ZmY1MWI1ZDcifQ=="/>
  </w:docVars>
  <w:rsids>
    <w:rsidRoot w:val="00F47167"/>
    <w:rsid w:val="00142E87"/>
    <w:rsid w:val="00E952B2"/>
    <w:rsid w:val="00EC5D78"/>
    <w:rsid w:val="00F47167"/>
    <w:rsid w:val="00FA2ADA"/>
    <w:rsid w:val="24CC68C8"/>
    <w:rsid w:val="2D5065C9"/>
    <w:rsid w:val="30750A8C"/>
    <w:rsid w:val="3A0C070A"/>
    <w:rsid w:val="3F95560A"/>
    <w:rsid w:val="637020F5"/>
    <w:rsid w:val="79382D41"/>
    <w:rsid w:val="7BE45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楷体_GB2312" w:cs="Times New Roman"/>
      <w:kern w:val="2"/>
      <w:sz w:val="21"/>
      <w:szCs w:val="22"/>
      <w:lang w:val="en-US" w:eastAsia="zh-CN" w:bidi="ar-SA"/>
    </w:rPr>
  </w:style>
  <w:style w:type="paragraph" w:styleId="3">
    <w:name w:val="heading 1"/>
    <w:basedOn w:val="1"/>
    <w:next w:val="1"/>
    <w:link w:val="14"/>
    <w:qFormat/>
    <w:uiPriority w:val="0"/>
    <w:pPr>
      <w:keepNext/>
      <w:keepLines/>
      <w:spacing w:before="340" w:after="330" w:line="576" w:lineRule="auto"/>
      <w:outlineLvl w:val="0"/>
    </w:pPr>
    <w:rPr>
      <w:rFonts w:ascii="Times New Roman" w:hAnsi="Times New Roman" w:eastAsia="宋体"/>
      <w:b/>
      <w:kern w:val="44"/>
      <w:sz w:val="44"/>
      <w:szCs w:val="20"/>
    </w:rPr>
  </w:style>
  <w:style w:type="paragraph" w:styleId="4">
    <w:name w:val="heading 2"/>
    <w:basedOn w:val="1"/>
    <w:next w:val="1"/>
    <w:qFormat/>
    <w:uiPriority w:val="1"/>
    <w:pPr>
      <w:keepNext/>
      <w:keepLines/>
      <w:spacing w:before="260" w:after="260" w:line="412" w:lineRule="auto"/>
      <w:outlineLvl w:val="1"/>
    </w:pPr>
    <w:rPr>
      <w:rFonts w:ascii="Arial" w:hAnsi="Arial" w:eastAsia="黑体"/>
      <w:b/>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qFormat/>
    <w:uiPriority w:val="0"/>
    <w:pPr>
      <w:spacing w:after="120"/>
    </w:pPr>
    <w:rPr>
      <w:rFonts w:ascii="Times New Roman" w:hAnsi="Times New Roman" w:eastAsia="宋体"/>
      <w:szCs w:val="24"/>
    </w:rPr>
  </w:style>
  <w:style w:type="paragraph" w:styleId="6">
    <w:name w:val="Body Text Indent"/>
    <w:basedOn w:val="1"/>
    <w:link w:val="15"/>
    <w:semiHidden/>
    <w:unhideWhenUsed/>
    <w:qFormat/>
    <w:uiPriority w:val="99"/>
    <w:pPr>
      <w:spacing w:after="120"/>
      <w:ind w:left="420" w:leftChars="200"/>
    </w:pPr>
  </w:style>
  <w:style w:type="paragraph" w:styleId="7">
    <w:name w:val="Plain Text"/>
    <w:basedOn w:val="1"/>
    <w:semiHidden/>
    <w:qFormat/>
    <w:uiPriority w:val="99"/>
    <w:rPr>
      <w:rFonts w:ascii="宋体" w:hAnsi="Courier New"/>
      <w:kern w:val="0"/>
      <w:sz w:val="20"/>
      <w:szCs w:val="24"/>
    </w:rPr>
  </w:style>
  <w:style w:type="paragraph" w:styleId="8">
    <w:name w:val="Body Text First Indent"/>
    <w:basedOn w:val="5"/>
    <w:qFormat/>
    <w:uiPriority w:val="0"/>
    <w:pPr>
      <w:ind w:firstLine="420" w:firstLineChars="100"/>
    </w:pPr>
    <w:rPr>
      <w:rFonts w:ascii="Calibri" w:hAnsi="Calibri"/>
      <w:szCs w:val="22"/>
    </w:rPr>
  </w:style>
  <w:style w:type="paragraph" w:styleId="9">
    <w:name w:val="Body Text First Indent 2"/>
    <w:basedOn w:val="6"/>
    <w:link w:val="16"/>
    <w:semiHidden/>
    <w:unhideWhenUsed/>
    <w:qFormat/>
    <w:uiPriority w:val="99"/>
    <w:pPr>
      <w:ind w:firstLine="420" w:firstLineChars="200"/>
    </w:pPr>
  </w:style>
  <w:style w:type="character" w:styleId="12">
    <w:name w:val="Hyperlink"/>
    <w:basedOn w:val="11"/>
    <w:semiHidden/>
    <w:unhideWhenUsed/>
    <w:qFormat/>
    <w:uiPriority w:val="99"/>
    <w:rPr>
      <w:color w:val="0000FF"/>
      <w:u w:val="single"/>
    </w:rPr>
  </w:style>
  <w:style w:type="character" w:customStyle="1" w:styleId="13">
    <w:name w:val="标题 1 字符"/>
    <w:basedOn w:val="11"/>
    <w:qFormat/>
    <w:uiPriority w:val="9"/>
    <w:rPr>
      <w:rFonts w:ascii="Calibri" w:hAnsi="Calibri" w:eastAsia="楷体_GB2312" w:cs="Times New Roman"/>
      <w:b/>
      <w:bCs/>
      <w:kern w:val="44"/>
      <w:sz w:val="44"/>
      <w:szCs w:val="44"/>
    </w:rPr>
  </w:style>
  <w:style w:type="character" w:customStyle="1" w:styleId="14">
    <w:name w:val="标题 1 Char"/>
    <w:link w:val="3"/>
    <w:qFormat/>
    <w:locked/>
    <w:uiPriority w:val="0"/>
    <w:rPr>
      <w:rFonts w:ascii="Times New Roman" w:hAnsi="Times New Roman" w:eastAsia="宋体" w:cs="Times New Roman"/>
      <w:b/>
      <w:kern w:val="44"/>
      <w:sz w:val="44"/>
      <w:szCs w:val="20"/>
    </w:rPr>
  </w:style>
  <w:style w:type="character" w:customStyle="1" w:styleId="15">
    <w:name w:val="正文文本缩进 Char"/>
    <w:basedOn w:val="11"/>
    <w:link w:val="6"/>
    <w:semiHidden/>
    <w:qFormat/>
    <w:uiPriority w:val="99"/>
    <w:rPr>
      <w:rFonts w:ascii="Calibri" w:hAnsi="Calibri" w:eastAsia="楷体_GB2312" w:cs="Times New Roman"/>
    </w:rPr>
  </w:style>
  <w:style w:type="character" w:customStyle="1" w:styleId="16">
    <w:name w:val="正文首行缩进 2 Char"/>
    <w:basedOn w:val="15"/>
    <w:link w:val="9"/>
    <w:semiHidden/>
    <w:qFormat/>
    <w:uiPriority w:val="99"/>
    <w:rPr>
      <w:rFonts w:ascii="Calibri" w:hAnsi="Calibri" w:eastAsia="楷体_GB2312" w:cs="Times New Roman"/>
    </w:rPr>
  </w:style>
  <w:style w:type="character" w:customStyle="1" w:styleId="17">
    <w:name w:val="fontstyle01"/>
    <w:qFormat/>
    <w:uiPriority w:val="0"/>
    <w:rPr>
      <w:rFonts w:hint="eastAsia" w:ascii="宋体" w:hAnsi="宋体" w:eastAsia="宋体"/>
      <w:color w:val="000000"/>
      <w:sz w:val="24"/>
      <w:szCs w:val="24"/>
    </w:rPr>
  </w:style>
  <w:style w:type="paragraph" w:customStyle="1" w:styleId="18">
    <w:name w:val="公文正文"/>
    <w:qFormat/>
    <w:uiPriority w:val="99"/>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3096</Words>
  <Characters>3481</Characters>
  <Lines>25</Lines>
  <Paragraphs>7</Paragraphs>
  <TotalTime>0</TotalTime>
  <ScaleCrop>false</ScaleCrop>
  <LinksUpToDate>false</LinksUpToDate>
  <CharactersWithSpaces>3794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2022-03-31T02:24:00Z</dcterms:created>
  <dc:creator>杜 湃杰</dc:creator>
  <cp:lastModifiedBy>林斌</cp:lastModifiedBy>
  <dcterms:modified xsi:type="dcterms:W3CDTF">2022-09-01T07:35:07Z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F6C9E93111D543AEA2F9C5C9C6C4BA85</vt:lpwstr>
  </property>
  <property fmtid="{D5CDD505-2E9C-101B-9397-08002B2CF9AE}" pid="4" name="commondata">
    <vt:lpwstr>eyJoZGlkIjoiODRmMmUyMGEyNGFiYWFhNjlmY2Q0ZjI5ZmY1MWI1ZDcifQ==</vt:lpwstr>
  </property>
</Properties>
</file>