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083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21"/>
          <w:szCs w:val="21"/>
          <w:highlight w:val="none"/>
        </w:rPr>
      </w:pPr>
      <w:bookmarkStart w:id="0" w:name="_GoBack"/>
      <w:bookmarkEnd w:id="0"/>
    </w:p>
    <w:p w14:paraId="74CCEC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暨南大学番禺校区二期工程学生宿舍T6T7栋、</w:t>
      </w:r>
    </w:p>
    <w:p w14:paraId="50F063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食堂N-2、教学科研A组团、学生宿舍</w:t>
      </w:r>
    </w:p>
    <w:p w14:paraId="70D355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组团、食堂N-4建设项目钢质门</w:t>
      </w:r>
    </w:p>
    <w:p w14:paraId="1FB847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（宿舍门、防火门）采购及相关</w:t>
      </w:r>
    </w:p>
    <w:p w14:paraId="115B38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spacing w:val="26"/>
          <w:kern w:val="2"/>
          <w:sz w:val="40"/>
          <w:szCs w:val="40"/>
          <w:highlight w:val="none"/>
        </w:rPr>
      </w:pPr>
      <w:r>
        <w:rPr>
          <w:rFonts w:hint="eastAsia" w:ascii="宋体" w:hAnsi="宋体" w:eastAsia="宋体" w:cs="宋体"/>
          <w:b/>
          <w:spacing w:val="26"/>
          <w:kern w:val="2"/>
          <w:sz w:val="40"/>
          <w:szCs w:val="40"/>
          <w:highlight w:val="none"/>
          <w:lang w:val="en-US" w:eastAsia="zh-CN" w:bidi="ar"/>
        </w:rPr>
        <w:t>服务（标段一、标段二）</w:t>
      </w:r>
    </w:p>
    <w:p w14:paraId="11D406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312C5D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2422F1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110"/>
          <w:szCs w:val="110"/>
          <w:highlight w:val="none"/>
        </w:rPr>
      </w:pPr>
      <w:r>
        <w:rPr>
          <w:rFonts w:hint="eastAsia" w:ascii="宋体" w:hAnsi="宋体" w:eastAsia="宋体" w:cs="宋体"/>
          <w:b/>
          <w:spacing w:val="26"/>
          <w:kern w:val="2"/>
          <w:sz w:val="110"/>
          <w:szCs w:val="110"/>
          <w:highlight w:val="none"/>
          <w:lang w:val="en-US" w:eastAsia="zh-CN" w:bidi="ar"/>
        </w:rPr>
        <w:t>招标公告</w:t>
      </w:r>
    </w:p>
    <w:p w14:paraId="22A900E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7D08EC1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8C3EB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EE6F9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282ED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1085968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6D46BD9">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kern w:val="2"/>
          <w:sz w:val="30"/>
          <w:szCs w:val="30"/>
          <w:highlight w:val="none"/>
          <w:u w:val="single"/>
        </w:rPr>
      </w:pPr>
      <w:r>
        <w:rPr>
          <w:rFonts w:hint="eastAsia" w:ascii="宋体" w:hAnsi="宋体" w:eastAsia="宋体" w:cs="宋体"/>
          <w:kern w:val="2"/>
          <w:sz w:val="30"/>
          <w:szCs w:val="30"/>
          <w:highlight w:val="none"/>
          <w:lang w:val="en-US" w:eastAsia="zh-CN" w:bidi="ar"/>
        </w:rPr>
        <w:t>招  标 单 位：</w:t>
      </w:r>
      <w:r>
        <w:rPr>
          <w:rFonts w:hint="eastAsia" w:ascii="宋体" w:hAnsi="宋体" w:eastAsia="宋体" w:cs="宋体"/>
          <w:kern w:val="2"/>
          <w:sz w:val="30"/>
          <w:szCs w:val="30"/>
          <w:highlight w:val="none"/>
          <w:u w:val="single"/>
          <w:lang w:val="en-US" w:eastAsia="zh-CN" w:bidi="ar"/>
        </w:rPr>
        <w:t>广州市重点公共建设项目管理中心</w:t>
      </w:r>
    </w:p>
    <w:p w14:paraId="7E03E0FE">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kern w:val="2"/>
          <w:sz w:val="30"/>
          <w:szCs w:val="30"/>
          <w:highlight w:val="none"/>
          <w:u w:val="single"/>
        </w:rPr>
      </w:pPr>
      <w:r>
        <w:rPr>
          <w:rFonts w:hint="eastAsia" w:ascii="宋体" w:hAnsi="宋体" w:eastAsia="宋体" w:cs="宋体"/>
          <w:kern w:val="2"/>
          <w:sz w:val="30"/>
          <w:szCs w:val="30"/>
          <w:highlight w:val="none"/>
          <w:lang w:val="en-US" w:eastAsia="zh-CN" w:bidi="ar"/>
        </w:rPr>
        <w:t>招标代理机构：</w:t>
      </w:r>
      <w:r>
        <w:rPr>
          <w:rFonts w:hint="eastAsia" w:ascii="宋体" w:hAnsi="宋体" w:eastAsia="宋体" w:cs="宋体"/>
          <w:kern w:val="2"/>
          <w:sz w:val="30"/>
          <w:szCs w:val="30"/>
          <w:highlight w:val="none"/>
          <w:u w:val="single"/>
          <w:lang w:val="en-US" w:eastAsia="zh-CN" w:bidi="ar"/>
        </w:rPr>
        <w:t>广州阳光采购服务有限公司</w:t>
      </w:r>
    </w:p>
    <w:p w14:paraId="36CE6DFC">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宋体"/>
          <w:b/>
          <w:bCs w:val="0"/>
          <w:kern w:val="2"/>
          <w:sz w:val="30"/>
          <w:szCs w:val="30"/>
          <w:highlight w:val="none"/>
        </w:rPr>
      </w:pPr>
      <w:r>
        <w:rPr>
          <w:rFonts w:hint="eastAsia" w:ascii="宋体" w:hAnsi="宋体" w:eastAsia="宋体" w:cs="宋体"/>
          <w:kern w:val="2"/>
          <w:sz w:val="32"/>
          <w:szCs w:val="32"/>
          <w:highlight w:val="none"/>
          <w:lang w:val="en-US" w:eastAsia="zh-CN" w:bidi="ar"/>
        </w:rPr>
        <w:t>日       期：</w:t>
      </w:r>
      <w:r>
        <w:rPr>
          <w:rFonts w:hint="eastAsia" w:ascii="宋体" w:hAnsi="宋体" w:eastAsia="宋体" w:cs="宋体"/>
          <w:kern w:val="2"/>
          <w:sz w:val="32"/>
          <w:szCs w:val="32"/>
          <w:highlight w:val="none"/>
          <w:u w:val="single"/>
          <w:lang w:val="en-US" w:eastAsia="zh-CN" w:bidi="ar"/>
        </w:rPr>
        <w:t>2025</w:t>
      </w:r>
      <w:r>
        <w:rPr>
          <w:rFonts w:hint="eastAsia" w:ascii="宋体" w:hAnsi="宋体" w:eastAsia="宋体" w:cs="宋体"/>
          <w:kern w:val="2"/>
          <w:sz w:val="32"/>
          <w:szCs w:val="32"/>
          <w:highlight w:val="none"/>
          <w:lang w:val="en-US" w:eastAsia="zh-CN" w:bidi="ar"/>
        </w:rPr>
        <w:t>年</w:t>
      </w:r>
      <w:r>
        <w:rPr>
          <w:rFonts w:hint="eastAsia" w:ascii="宋体" w:hAnsi="宋体" w:eastAsia="宋体" w:cs="宋体"/>
          <w:kern w:val="2"/>
          <w:sz w:val="32"/>
          <w:szCs w:val="32"/>
          <w:highlight w:val="none"/>
          <w:u w:val="single"/>
          <w:lang w:val="en-US" w:eastAsia="zh-CN" w:bidi="ar"/>
        </w:rPr>
        <w:t>1</w:t>
      </w:r>
      <w:r>
        <w:rPr>
          <w:rFonts w:hint="eastAsia" w:ascii="宋体" w:hAnsi="宋体" w:eastAsia="宋体" w:cs="宋体"/>
          <w:kern w:val="2"/>
          <w:sz w:val="32"/>
          <w:szCs w:val="32"/>
          <w:highlight w:val="none"/>
          <w:lang w:val="en-US" w:eastAsia="zh-CN" w:bidi="ar"/>
        </w:rPr>
        <w:t>月</w:t>
      </w:r>
    </w:p>
    <w:p w14:paraId="1BCFB82A">
      <w:pPr>
        <w:spacing w:line="360" w:lineRule="auto"/>
        <w:rPr>
          <w:rFonts w:hint="eastAsia" w:ascii="宋体" w:hAnsi="宋体" w:eastAsia="宋体" w:cs="宋体"/>
          <w:b/>
          <w:kern w:val="2"/>
          <w:sz w:val="30"/>
          <w:szCs w:val="30"/>
          <w:highlight w:val="none"/>
        </w:rPr>
        <w:sectPr>
          <w:headerReference r:id="rId3" w:type="default"/>
          <w:footerReference r:id="rId4" w:type="default"/>
          <w:pgSz w:w="11906" w:h="16838"/>
          <w:pgMar w:top="1440" w:right="1440" w:bottom="1440" w:left="1440" w:header="851" w:footer="992" w:gutter="0"/>
          <w:pgNumType w:start="1"/>
          <w:cols w:space="720" w:num="1"/>
          <w:docGrid w:type="lines" w:linePitch="312" w:charSpace="0"/>
        </w:sectPr>
      </w:pPr>
    </w:p>
    <w:p w14:paraId="655111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暨南大学番禺校区二期工程学生宿舍T6T7栋、食堂N-2、教</w:t>
      </w:r>
    </w:p>
    <w:p w14:paraId="1A533D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学科研A组团、学生宿舍组团、食堂N-4建设项目钢质门</w:t>
      </w:r>
    </w:p>
    <w:p w14:paraId="569BBD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0"/>
          <w:szCs w:val="30"/>
          <w:highlight w:val="none"/>
          <w:lang w:val="en-US" w:eastAsia="zh-CN" w:bidi="ar"/>
        </w:rPr>
      </w:pPr>
      <w:r>
        <w:rPr>
          <w:rFonts w:hint="eastAsia" w:ascii="宋体" w:hAnsi="宋体" w:eastAsia="宋体" w:cs="宋体"/>
          <w:b/>
          <w:kern w:val="2"/>
          <w:sz w:val="30"/>
          <w:szCs w:val="30"/>
          <w:highlight w:val="none"/>
          <w:lang w:val="en-US" w:eastAsia="zh-CN" w:bidi="ar"/>
        </w:rPr>
        <w:t>（宿舍门、防火门）采购及相关服务（标段一、</w:t>
      </w:r>
    </w:p>
    <w:p w14:paraId="64C01F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kern w:val="2"/>
          <w:sz w:val="30"/>
          <w:szCs w:val="30"/>
          <w:highlight w:val="none"/>
        </w:rPr>
      </w:pPr>
      <w:r>
        <w:rPr>
          <w:rFonts w:hint="eastAsia" w:ascii="宋体" w:hAnsi="宋体" w:eastAsia="宋体" w:cs="宋体"/>
          <w:b/>
          <w:kern w:val="2"/>
          <w:sz w:val="30"/>
          <w:szCs w:val="30"/>
          <w:highlight w:val="none"/>
          <w:lang w:val="en-US" w:eastAsia="zh-CN" w:bidi="ar"/>
        </w:rPr>
        <w:t>标段二）招标公告</w:t>
      </w:r>
    </w:p>
    <w:p w14:paraId="0B95854A">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1. 招标条件</w:t>
      </w:r>
    </w:p>
    <w:p w14:paraId="38A68A8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暨南大学番禺校区二期工程学生宿舍T6T7栋、食堂N-2、教学科研A组团、学生宿舍组团、食堂N-4建设项目钢质门（宿舍门、防火门）采购及相关服务（标段一、标段二）项目</w:t>
      </w:r>
      <w:r>
        <w:rPr>
          <w:rFonts w:hint="eastAsia" w:ascii="宋体" w:hAnsi="宋体" w:eastAsia="宋体" w:cs="宋体"/>
          <w:kern w:val="2"/>
          <w:sz w:val="24"/>
          <w:szCs w:val="24"/>
          <w:highlight w:val="none"/>
          <w:lang w:val="en-US" w:eastAsia="zh-CN" w:bidi="ar"/>
        </w:rPr>
        <w:t>已</w:t>
      </w:r>
      <w:r>
        <w:rPr>
          <w:rFonts w:hint="eastAsia" w:ascii="宋体" w:hAnsi="宋体" w:eastAsia="宋体" w:cs="宋体"/>
          <w:kern w:val="2"/>
          <w:sz w:val="24"/>
          <w:szCs w:val="24"/>
          <w:highlight w:val="none"/>
          <w:u w:val="single"/>
          <w:lang w:val="en-US" w:eastAsia="zh-CN" w:bidi="ar"/>
        </w:rPr>
        <w:t>按《关于转发&lt;中直管理局关于暨南大学番禺校区二期工程建设方案的批复&gt;的通知》（统办函[2021]359号）</w:t>
      </w:r>
      <w:r>
        <w:rPr>
          <w:rFonts w:hint="eastAsia" w:ascii="宋体" w:hAnsi="宋体" w:eastAsia="宋体" w:cs="宋体"/>
          <w:kern w:val="2"/>
          <w:sz w:val="24"/>
          <w:szCs w:val="24"/>
          <w:highlight w:val="none"/>
          <w:lang w:val="en-US" w:eastAsia="zh-CN" w:bidi="ar"/>
        </w:rPr>
        <w:t>批准建设，项目业主为</w:t>
      </w:r>
      <w:r>
        <w:rPr>
          <w:rFonts w:hint="eastAsia" w:ascii="宋体" w:hAnsi="宋体" w:eastAsia="宋体" w:cs="宋体"/>
          <w:kern w:val="2"/>
          <w:sz w:val="24"/>
          <w:szCs w:val="24"/>
          <w:highlight w:val="none"/>
          <w:u w:val="single"/>
          <w:lang w:val="en-US" w:eastAsia="zh-CN" w:bidi="ar"/>
        </w:rPr>
        <w:t>暨南大学</w:t>
      </w:r>
      <w:r>
        <w:rPr>
          <w:rFonts w:hint="eastAsia" w:ascii="宋体" w:hAnsi="宋体" w:eastAsia="宋体" w:cs="宋体"/>
          <w:kern w:val="2"/>
          <w:sz w:val="24"/>
          <w:szCs w:val="24"/>
          <w:highlight w:val="none"/>
          <w:lang w:val="en-US" w:eastAsia="zh-CN" w:bidi="ar"/>
        </w:rPr>
        <w:t>，建设资金</w:t>
      </w:r>
      <w:r>
        <w:rPr>
          <w:rFonts w:hint="eastAsia" w:ascii="宋体" w:hAnsi="宋体" w:eastAsia="宋体" w:cs="宋体"/>
          <w:kern w:val="2"/>
          <w:sz w:val="24"/>
          <w:szCs w:val="24"/>
          <w:highlight w:val="none"/>
          <w:u w:val="single"/>
          <w:lang w:val="en-US" w:eastAsia="zh-CN" w:bidi="ar"/>
        </w:rPr>
        <w:t>由中央预算投资、广东省财政投资等多渠道筹措解决</w:t>
      </w:r>
      <w:r>
        <w:rPr>
          <w:rFonts w:hint="eastAsia" w:ascii="宋体" w:hAnsi="宋体" w:eastAsia="宋体" w:cs="宋体"/>
          <w:kern w:val="2"/>
          <w:sz w:val="24"/>
          <w:szCs w:val="24"/>
          <w:highlight w:val="none"/>
          <w:lang w:val="en-US" w:eastAsia="zh-CN" w:bidi="ar"/>
        </w:rPr>
        <w:t>，招标人为</w:t>
      </w:r>
      <w:r>
        <w:rPr>
          <w:rFonts w:hint="eastAsia" w:ascii="宋体" w:hAnsi="宋体" w:eastAsia="宋体" w:cs="宋体"/>
          <w:kern w:val="2"/>
          <w:sz w:val="24"/>
          <w:szCs w:val="24"/>
          <w:highlight w:val="none"/>
          <w:u w:val="single"/>
          <w:lang w:val="en-US" w:eastAsia="zh-CN" w:bidi="ar"/>
        </w:rPr>
        <w:t>广州市重点公共建设项目管理中心</w:t>
      </w:r>
      <w:r>
        <w:rPr>
          <w:rFonts w:hint="eastAsia" w:ascii="宋体" w:hAnsi="宋体" w:eastAsia="宋体" w:cs="宋体"/>
          <w:kern w:val="2"/>
          <w:sz w:val="24"/>
          <w:szCs w:val="24"/>
          <w:highlight w:val="none"/>
          <w:lang w:val="en-US" w:eastAsia="zh-CN" w:bidi="ar"/>
        </w:rPr>
        <w:t>。项目已具备招标条件，现对上述项目的</w:t>
      </w:r>
      <w:r>
        <w:rPr>
          <w:rFonts w:hint="eastAsia" w:ascii="宋体" w:hAnsi="宋体" w:eastAsia="宋体" w:cs="宋体"/>
          <w:kern w:val="2"/>
          <w:sz w:val="24"/>
          <w:szCs w:val="24"/>
          <w:highlight w:val="none"/>
          <w:u w:val="single"/>
          <w:lang w:val="en-US" w:eastAsia="zh-CN" w:bidi="ar"/>
        </w:rPr>
        <w:t>钢质门（宿舍门、防火门）采购及相关服务</w:t>
      </w:r>
      <w:r>
        <w:rPr>
          <w:rFonts w:hint="eastAsia" w:ascii="宋体" w:hAnsi="宋体" w:eastAsia="宋体" w:cs="宋体"/>
          <w:kern w:val="2"/>
          <w:sz w:val="24"/>
          <w:szCs w:val="24"/>
          <w:highlight w:val="none"/>
          <w:lang w:val="en-US" w:eastAsia="zh-CN" w:bidi="ar"/>
        </w:rPr>
        <w:t>进行公开招标。</w:t>
      </w:r>
    </w:p>
    <w:p w14:paraId="6EFFA5AA">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2. 项目概况与招标范围</w:t>
      </w:r>
    </w:p>
    <w:p w14:paraId="0AFCBA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2.1招标项目概况</w:t>
      </w:r>
    </w:p>
    <w:p w14:paraId="3F8179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2.1.1招标项目名称：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256"/>
      </w:tblGrid>
      <w:tr w14:paraId="5DB9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54B1C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标段号</w:t>
            </w:r>
          </w:p>
        </w:tc>
        <w:tc>
          <w:tcPr>
            <w:tcW w:w="7256" w:type="dxa"/>
            <w:tcBorders>
              <w:top w:val="single" w:color="auto" w:sz="4" w:space="0"/>
              <w:left w:val="single" w:color="auto" w:sz="4" w:space="0"/>
              <w:bottom w:val="single" w:color="auto" w:sz="4" w:space="0"/>
              <w:right w:val="single" w:color="auto" w:sz="4" w:space="0"/>
            </w:tcBorders>
            <w:noWrap w:val="0"/>
            <w:vAlign w:val="center"/>
          </w:tcPr>
          <w:p w14:paraId="436347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r>
      <w:tr w14:paraId="536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368006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7256" w:type="dxa"/>
            <w:tcBorders>
              <w:top w:val="single" w:color="auto" w:sz="4" w:space="0"/>
              <w:left w:val="single" w:color="auto" w:sz="4" w:space="0"/>
              <w:bottom w:val="single" w:color="auto" w:sz="4" w:space="0"/>
              <w:right w:val="single" w:color="auto" w:sz="4" w:space="0"/>
            </w:tcBorders>
            <w:noWrap w:val="0"/>
            <w:vAlign w:val="center"/>
          </w:tcPr>
          <w:p w14:paraId="4DE2E5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暨南大学番禺校区二期工程学生宿舍T6T7栋、食堂N-2、教学科研A组团、学生宿舍组团、食堂N-4建设项目钢质门（宿舍门）采购及相关服务（标段一）</w:t>
            </w:r>
          </w:p>
        </w:tc>
      </w:tr>
      <w:tr w14:paraId="121B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6CBDF3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7256" w:type="dxa"/>
            <w:tcBorders>
              <w:top w:val="single" w:color="auto" w:sz="4" w:space="0"/>
              <w:left w:val="single" w:color="auto" w:sz="4" w:space="0"/>
              <w:bottom w:val="single" w:color="auto" w:sz="4" w:space="0"/>
              <w:right w:val="single" w:color="auto" w:sz="4" w:space="0"/>
            </w:tcBorders>
            <w:noWrap w:val="0"/>
            <w:vAlign w:val="top"/>
          </w:tcPr>
          <w:p w14:paraId="01E5F48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暨南大学番禺校区二期工程学生宿舍T6T7栋、食堂N-2、教学科研A组团、学生宿舍组团、食堂N-4建设项目钢质门（防火门）采购及相关服务（标段二）</w:t>
            </w:r>
          </w:p>
        </w:tc>
      </w:tr>
    </w:tbl>
    <w:p w14:paraId="2FB75F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2.1.2工程建设地点：</w:t>
      </w:r>
      <w:r>
        <w:rPr>
          <w:rFonts w:hint="eastAsia" w:ascii="宋体" w:hAnsi="宋体" w:eastAsia="宋体" w:cs="宋体"/>
          <w:kern w:val="2"/>
          <w:sz w:val="24"/>
          <w:szCs w:val="24"/>
          <w:highlight w:val="none"/>
          <w:u w:val="single"/>
          <w:lang w:val="en-US" w:eastAsia="zh-CN" w:bidi="ar"/>
        </w:rPr>
        <w:t>广州市番禺区兴业大道855号。</w:t>
      </w:r>
    </w:p>
    <w:p w14:paraId="568592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2.1.3工程建设规模：</w:t>
      </w:r>
      <w:r>
        <w:rPr>
          <w:rFonts w:hint="eastAsia" w:ascii="宋体" w:hAnsi="宋体" w:eastAsia="宋体" w:cs="宋体"/>
          <w:kern w:val="2"/>
          <w:sz w:val="24"/>
          <w:szCs w:val="24"/>
          <w:highlight w:val="none"/>
          <w:u w:val="single"/>
          <w:lang w:val="en-US" w:eastAsia="zh-CN" w:bidi="ar"/>
        </w:rPr>
        <w:t xml:space="preserve"> 暨南大学番禺校区二期工程（学生宿舍T6T7栋、食堂N-2、教学科研A组团）建设项目总建筑面积119577平方米，主要包括学生宿舍T6T7栋、食堂N-2、教学科研A组团及配套基础设施建设。暨南大学番禺校区二期工程（学生宿舍组团、食堂N-4）建设项目总建筑面积148340平方米，主要包括T14-T20等7栋宿舍楼、食堂N-4、配套室外连廊、室外道路及绿化工程。暨南大学番禺校区二期工程学生宿舍T6T7栋、食堂N-2、教学科研A组团、学生宿舍组团、食堂N-4建设项目钢质门（宿舍门、防火门）采购及相关服务（标段一、标段二）钢质门。</w:t>
      </w:r>
    </w:p>
    <w:p w14:paraId="464678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2.1.4标段划分：</w:t>
      </w:r>
      <w:r>
        <w:rPr>
          <w:rFonts w:hint="eastAsia" w:ascii="宋体" w:hAnsi="宋体" w:eastAsia="宋体" w:cs="宋体"/>
          <w:kern w:val="2"/>
          <w:sz w:val="24"/>
          <w:szCs w:val="24"/>
          <w:highlight w:val="none"/>
          <w:u w:val="single"/>
          <w:lang w:val="en-US" w:eastAsia="zh-CN" w:bidi="ar"/>
        </w:rPr>
        <w:t>本项目划分为2个标段。</w:t>
      </w:r>
    </w:p>
    <w:p w14:paraId="600E8D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2.2招标范围</w:t>
      </w:r>
    </w:p>
    <w:p w14:paraId="518992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2.2.1本招标采购设备的名称、数量：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999"/>
        <w:gridCol w:w="5054"/>
      </w:tblGrid>
      <w:tr w14:paraId="6ABC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565294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标段号</w:t>
            </w:r>
          </w:p>
        </w:tc>
        <w:tc>
          <w:tcPr>
            <w:tcW w:w="2999" w:type="dxa"/>
            <w:tcBorders>
              <w:top w:val="single" w:color="auto" w:sz="4" w:space="0"/>
              <w:left w:val="single" w:color="auto" w:sz="4" w:space="0"/>
              <w:bottom w:val="single" w:color="auto" w:sz="4" w:space="0"/>
              <w:right w:val="single" w:color="auto" w:sz="4" w:space="0"/>
            </w:tcBorders>
            <w:noWrap w:val="0"/>
            <w:vAlign w:val="center"/>
          </w:tcPr>
          <w:p w14:paraId="30E9A3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c>
          <w:tcPr>
            <w:tcW w:w="5054" w:type="dxa"/>
            <w:tcBorders>
              <w:top w:val="single" w:color="auto" w:sz="4" w:space="0"/>
              <w:left w:val="single" w:color="auto" w:sz="4" w:space="0"/>
              <w:bottom w:val="single" w:color="auto" w:sz="4" w:space="0"/>
              <w:right w:val="single" w:color="auto" w:sz="4" w:space="0"/>
            </w:tcBorders>
            <w:noWrap w:val="0"/>
            <w:vAlign w:val="center"/>
          </w:tcPr>
          <w:p w14:paraId="757890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招标内容</w:t>
            </w:r>
          </w:p>
        </w:tc>
      </w:tr>
      <w:tr w14:paraId="519B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191DE5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2999" w:type="dxa"/>
            <w:tcBorders>
              <w:top w:val="single" w:color="auto" w:sz="4" w:space="0"/>
              <w:left w:val="single" w:color="auto" w:sz="4" w:space="0"/>
              <w:bottom w:val="single" w:color="auto" w:sz="4" w:space="0"/>
              <w:right w:val="single" w:color="auto" w:sz="4" w:space="0"/>
            </w:tcBorders>
            <w:noWrap w:val="0"/>
            <w:vAlign w:val="top"/>
          </w:tcPr>
          <w:p w14:paraId="67055B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暨南大学番禺校区二期工程学生宿舍T6T7栋、食堂N-2、教学科研A组团、学生宿舍组团、食堂N-4建设项目钢质门（宿舍门）采购及相关服务（标段一）</w:t>
            </w:r>
          </w:p>
        </w:tc>
        <w:tc>
          <w:tcPr>
            <w:tcW w:w="5054" w:type="dxa"/>
            <w:tcBorders>
              <w:top w:val="single" w:color="auto" w:sz="4" w:space="0"/>
              <w:left w:val="single" w:color="auto" w:sz="4" w:space="0"/>
              <w:bottom w:val="single" w:color="auto" w:sz="4" w:space="0"/>
              <w:right w:val="single" w:color="auto" w:sz="4" w:space="0"/>
            </w:tcBorders>
            <w:noWrap w:val="0"/>
            <w:vAlign w:val="top"/>
          </w:tcPr>
          <w:p w14:paraId="3C6E5AD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single"/>
                <w:lang w:val="en-US" w:eastAsia="zh-CN" w:bidi="ar"/>
              </w:rPr>
              <w:t>本标段招标内容为钢质门（宿舍门）包括但不限于钢质门（宿舍门）、门框、门扇、五金配件、密封胶、闭门器、门吸、玻璃、包装、仓储、运输（包括装卸）、安装、相关配合服务（含总承包项目管理和配合服务费）、调试、验收、质量保证期内备品备件、专用工具和易耗品费、验收后的移交结算、培训、技术服务（包括设计联络）、质保期保障及其他相关服务内容。</w:t>
            </w:r>
          </w:p>
        </w:tc>
      </w:tr>
      <w:tr w14:paraId="2EBB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noWrap w:val="0"/>
            <w:vAlign w:val="center"/>
          </w:tcPr>
          <w:p w14:paraId="301D73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2999" w:type="dxa"/>
            <w:tcBorders>
              <w:top w:val="single" w:color="auto" w:sz="4" w:space="0"/>
              <w:left w:val="single" w:color="auto" w:sz="4" w:space="0"/>
              <w:bottom w:val="single" w:color="auto" w:sz="4" w:space="0"/>
              <w:right w:val="single" w:color="auto" w:sz="4" w:space="0"/>
            </w:tcBorders>
            <w:noWrap w:val="0"/>
            <w:vAlign w:val="top"/>
          </w:tcPr>
          <w:p w14:paraId="2574DD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暨南大学番禺校区二期工程学生宿舍T6T7栋、食堂N-2、教学科研A组团、学生宿舍组团、食堂N-4建设项目钢质门（防火门）采购及相关服务（标段二）</w:t>
            </w:r>
          </w:p>
        </w:tc>
        <w:tc>
          <w:tcPr>
            <w:tcW w:w="5054" w:type="dxa"/>
            <w:tcBorders>
              <w:top w:val="single" w:color="auto" w:sz="4" w:space="0"/>
              <w:left w:val="single" w:color="auto" w:sz="4" w:space="0"/>
              <w:bottom w:val="single" w:color="auto" w:sz="4" w:space="0"/>
              <w:right w:val="single" w:color="auto" w:sz="4" w:space="0"/>
            </w:tcBorders>
            <w:noWrap w:val="0"/>
            <w:vAlign w:val="top"/>
          </w:tcPr>
          <w:p w14:paraId="0DD9271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
              </w:rPr>
              <w:t>本标段招标内容为钢质门（防火门），包括但不限于钢质门（防火门）、门框、门扇、五金配件、防火膨胀密封件、防火锁、防火合页（铰链）、防火闭门装置、防火顺序器、防火插销、盖缝板、防火密封件、防火玻璃、包装、仓储、运输（包括装卸）、安装、相关配合服务（含总承包项目管理和配合服务费）、调试、验收、质量保证期内备品备件、专用工具和易耗品费、验收后的移交结算、培训、技术服务（包括设计联络）、质保期保障及其他相关服务内容。</w:t>
            </w:r>
          </w:p>
        </w:tc>
      </w:tr>
    </w:tbl>
    <w:p w14:paraId="5A5561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C2B3EC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注：上述标段的具体采购需求详见附件《技术要求》及招标文件货物分项报价表。</w:t>
      </w:r>
    </w:p>
    <w:p w14:paraId="41E0D1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2.2.2交货地点：</w:t>
      </w:r>
      <w:r>
        <w:rPr>
          <w:rFonts w:hint="eastAsia" w:ascii="宋体" w:hAnsi="宋体" w:eastAsia="宋体" w:cs="宋体"/>
          <w:kern w:val="2"/>
          <w:sz w:val="24"/>
          <w:szCs w:val="24"/>
          <w:highlight w:val="none"/>
          <w:u w:val="single"/>
          <w:lang w:val="en-US" w:eastAsia="zh-CN" w:bidi="ar"/>
        </w:rPr>
        <w:t>广州市番禺区兴业大道855号或招标人指定地点。</w:t>
      </w:r>
    </w:p>
    <w:p w14:paraId="5900F1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2.2.3交货期：</w:t>
      </w:r>
      <w:r>
        <w:rPr>
          <w:rFonts w:hint="eastAsia" w:ascii="宋体" w:hAnsi="宋体" w:eastAsia="宋体" w:cs="宋体"/>
          <w:kern w:val="2"/>
          <w:sz w:val="24"/>
          <w:szCs w:val="24"/>
          <w:highlight w:val="none"/>
          <w:u w:val="single"/>
          <w:lang w:val="en-US" w:eastAsia="zh-CN" w:bidi="ar"/>
        </w:rPr>
        <w:t xml:space="preserve">满足合同等有关资料的要求。建设单位有权根据工程实际进度情况要求暂停安装、工期顺延等措施，因此发生的相关费用包含在投标报价中，中标人不得要求再调整。 </w:t>
      </w:r>
    </w:p>
    <w:p w14:paraId="1FF8A02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2.2.4各标段限价为</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4401"/>
        <w:gridCol w:w="3081"/>
      </w:tblGrid>
      <w:tr w14:paraId="687D7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055487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标段号</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6B3700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项目名称</w:t>
            </w:r>
          </w:p>
        </w:tc>
        <w:tc>
          <w:tcPr>
            <w:tcW w:w="3081" w:type="dxa"/>
            <w:tcBorders>
              <w:top w:val="single" w:color="000000" w:sz="4" w:space="0"/>
              <w:left w:val="single" w:color="000000" w:sz="4" w:space="0"/>
              <w:bottom w:val="single" w:color="000000" w:sz="4" w:space="0"/>
              <w:right w:val="single" w:color="000000" w:sz="4" w:space="0"/>
            </w:tcBorders>
            <w:noWrap w:val="0"/>
            <w:vAlign w:val="top"/>
          </w:tcPr>
          <w:p w14:paraId="60435D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最高投标限价（元）</w:t>
            </w:r>
          </w:p>
        </w:tc>
      </w:tr>
      <w:tr w14:paraId="6AB8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7D602A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标段一</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3AF71B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暨南大学番禺校区二期工程学生宿舍T6T7栋、食堂N-2、教学科研A组团、学生宿舍组团、食堂N-4建设项目钢质门（宿舍门）采购及相关服务（标段一）</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14:paraId="77816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highlight w:val="none"/>
              </w:rPr>
            </w:pPr>
            <w:r>
              <w:rPr>
                <w:rFonts w:hint="eastAsia" w:ascii="宋体" w:hAnsi="宋体" w:eastAsia="宋体" w:cs="宋体"/>
                <w:kern w:val="2"/>
                <w:sz w:val="21"/>
                <w:szCs w:val="21"/>
                <w:highlight w:val="none"/>
                <w:u w:val="single"/>
                <w:lang w:val="en-US" w:eastAsia="zh-CN" w:bidi="ar"/>
              </w:rPr>
              <w:t>10,451,321.24</w:t>
            </w:r>
          </w:p>
        </w:tc>
      </w:tr>
      <w:tr w14:paraId="3CC8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tcBorders>
              <w:top w:val="single" w:color="000000" w:sz="4" w:space="0"/>
              <w:left w:val="single" w:color="000000" w:sz="4" w:space="0"/>
              <w:bottom w:val="single" w:color="000000" w:sz="4" w:space="0"/>
              <w:right w:val="single" w:color="000000" w:sz="4" w:space="0"/>
            </w:tcBorders>
            <w:noWrap w:val="0"/>
            <w:vAlign w:val="top"/>
          </w:tcPr>
          <w:p w14:paraId="36BD2C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标段二</w:t>
            </w:r>
          </w:p>
        </w:tc>
        <w:tc>
          <w:tcPr>
            <w:tcW w:w="4401" w:type="dxa"/>
            <w:tcBorders>
              <w:top w:val="single" w:color="000000" w:sz="4" w:space="0"/>
              <w:left w:val="single" w:color="000000" w:sz="4" w:space="0"/>
              <w:bottom w:val="single" w:color="000000" w:sz="4" w:space="0"/>
              <w:right w:val="single" w:color="000000" w:sz="4" w:space="0"/>
            </w:tcBorders>
            <w:noWrap w:val="0"/>
            <w:vAlign w:val="top"/>
          </w:tcPr>
          <w:p w14:paraId="78B386A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暨南大学番禺校区二期工程学生宿舍T6T7栋、食堂N-2、教学科研A组团、学生宿舍组团、食堂N-4建设项目钢质门（防火门）采购及相关服务（标段二）</w:t>
            </w:r>
          </w:p>
        </w:tc>
        <w:tc>
          <w:tcPr>
            <w:tcW w:w="3081" w:type="dxa"/>
            <w:tcBorders>
              <w:top w:val="single" w:color="000000" w:sz="4" w:space="0"/>
              <w:left w:val="single" w:color="000000" w:sz="4" w:space="0"/>
              <w:bottom w:val="single" w:color="000000" w:sz="4" w:space="0"/>
              <w:right w:val="single" w:color="000000" w:sz="4" w:space="0"/>
            </w:tcBorders>
            <w:noWrap w:val="0"/>
            <w:vAlign w:val="center"/>
          </w:tcPr>
          <w:p w14:paraId="30A6E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highlight w:val="none"/>
              </w:rPr>
            </w:pPr>
            <w:r>
              <w:rPr>
                <w:rFonts w:hint="eastAsia" w:ascii="宋体" w:hAnsi="宋体" w:eastAsia="宋体" w:cs="宋体"/>
                <w:kern w:val="2"/>
                <w:sz w:val="21"/>
                <w:szCs w:val="21"/>
                <w:highlight w:val="none"/>
                <w:u w:val="single"/>
                <w:lang w:val="en-US" w:eastAsia="zh-CN" w:bidi="ar"/>
              </w:rPr>
              <w:t>3,502,619.79</w:t>
            </w:r>
          </w:p>
        </w:tc>
      </w:tr>
    </w:tbl>
    <w:p w14:paraId="370ED6E7">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3. 投标人资格要求</w:t>
      </w:r>
    </w:p>
    <w:p w14:paraId="6416459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3.1投标人须是法人或者其他组织，同时持有工商行政管理部门核发的营业执照，按国家法律经营；法定代表人为同一人的两个及两个以上法人，母公司、全资子公司或存在控股管理关系的不同单位，都不得在同一设备招标中同时投标。</w:t>
      </w:r>
    </w:p>
    <w:p w14:paraId="55557B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3.2投标人必须是投标设备（指钢质门、防火门）的制造商（或制造商集团公司或制造商集团下属的子公司）；</w:t>
      </w:r>
    </w:p>
    <w:p w14:paraId="7BBC488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经营范围含钢质门或类似一项或多项均可（以投标人营业执照经营范围为准）。同一个投标人所投货物均应为同一品牌。同一品牌的钢质门（宿舍门）只接受一名投标人参加投标（同一品牌钢质门（宿舍门）的制造商集团公司与制造商集团下属的子公司同时参加投标的，只接受制造商集团公司投标；同一品牌钢质门（宿舍门）的制造商集团下属的不同子公司同时参加投标的，以在广州交易集团有限公司（广州公共资源交易中心）数字交易平台上</w:t>
      </w:r>
      <w:r>
        <w:rPr>
          <w:rFonts w:hint="eastAsia" w:ascii="宋体" w:hAnsi="宋体" w:eastAsia="宋体" w:cs="宋体"/>
          <w:b w:val="0"/>
          <w:kern w:val="2"/>
          <w:sz w:val="24"/>
          <w:szCs w:val="24"/>
          <w:highlight w:val="none"/>
          <w:u w:val="single"/>
          <w:lang w:val="en-US" w:eastAsia="zh-CN" w:bidi="ar"/>
        </w:rPr>
        <w:t>投标登记时间靠前的</w:t>
      </w:r>
      <w:r>
        <w:rPr>
          <w:rFonts w:hint="eastAsia" w:ascii="宋体" w:hAnsi="宋体" w:eastAsia="宋体" w:cs="宋体"/>
          <w:kern w:val="2"/>
          <w:sz w:val="24"/>
          <w:szCs w:val="24"/>
          <w:highlight w:val="none"/>
          <w:u w:val="single"/>
          <w:lang w:val="en-US" w:eastAsia="zh-CN" w:bidi="ar"/>
        </w:rPr>
        <w:t>确定为正式投标人）。</w:t>
      </w:r>
    </w:p>
    <w:p w14:paraId="4D1277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二：经营范围含防火门或类似一项或多项均可（以投标人营业执照经营范围为准）。同一个投标人所投货物均应为同一品牌。同一品牌的钢质门（防火门）只接受一名投标人参加投标（同一品牌钢质门（防火门）的制造商集团公司与制造商集团下属的子公司同时参加投标的，只接受制造商集团公司投标；同一品牌钢质门（防火门）的制造商集团下属的不同子公司同时参加投标的，以在广州交易集团有限公司（广州公共资源交易中心）数字交易平台上投标登记时间靠前的确定为正式投标人）。</w:t>
      </w:r>
    </w:p>
    <w:p w14:paraId="5E5326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3.3投标人业绩要求：</w:t>
      </w:r>
    </w:p>
    <w:p w14:paraId="4EBB10F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标段一：投标人自2021年1月1日至投标截止时间完成过质量合格的单项合同金额650万元或以上的</w:t>
      </w:r>
      <w:r>
        <w:rPr>
          <w:rFonts w:hint="eastAsia" w:ascii="宋体" w:hAnsi="宋体" w:eastAsia="宋体" w:cs="宋体"/>
          <w:b/>
          <w:bCs/>
          <w:color w:val="FF0000"/>
          <w:kern w:val="2"/>
          <w:sz w:val="24"/>
          <w:szCs w:val="24"/>
          <w:highlight w:val="none"/>
          <w:u w:val="single"/>
          <w:lang w:val="en-US" w:eastAsia="zh-CN" w:bidi="ar"/>
        </w:rPr>
        <w:t>钢质门</w:t>
      </w:r>
      <w:r>
        <w:rPr>
          <w:rFonts w:hint="eastAsia" w:asciiTheme="minorEastAsia" w:hAnsiTheme="minorEastAsia" w:eastAsiaTheme="minorEastAsia" w:cstheme="minorEastAsia"/>
          <w:b/>
          <w:bCs/>
          <w:strike/>
          <w:dstrike w:val="0"/>
          <w:snapToGrid w:val="0"/>
          <w:color w:val="FF0000"/>
          <w:kern w:val="0"/>
          <w:sz w:val="24"/>
          <w:szCs w:val="24"/>
          <w:u w:val="single"/>
          <w:lang w:val="en-US" w:eastAsia="zh-CN" w:bidi="ar-SA"/>
        </w:rPr>
        <w:t>类似</w:t>
      </w:r>
      <w:r>
        <w:rPr>
          <w:rFonts w:hint="eastAsia" w:ascii="宋体" w:hAnsi="宋体" w:eastAsia="宋体" w:cs="宋体"/>
          <w:kern w:val="2"/>
          <w:sz w:val="24"/>
          <w:szCs w:val="24"/>
          <w:highlight w:val="none"/>
          <w:u w:val="single"/>
          <w:lang w:val="en-US" w:eastAsia="zh-CN" w:bidi="ar"/>
        </w:rPr>
        <w:t>项目供货业绩。</w:t>
      </w:r>
    </w:p>
    <w:p w14:paraId="0BB7C2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标段二：投标人自2021年1月1日至投标截止时间完成过质量合格的单项合同金额200万元或以上的</w:t>
      </w:r>
      <w:r>
        <w:rPr>
          <w:rFonts w:hint="eastAsia" w:ascii="宋体" w:hAnsi="宋体" w:cs="宋体"/>
          <w:b/>
          <w:bCs/>
          <w:color w:val="FF0000"/>
          <w:kern w:val="2"/>
          <w:sz w:val="24"/>
          <w:szCs w:val="24"/>
          <w:highlight w:val="none"/>
          <w:u w:val="single"/>
          <w:lang w:val="en-US" w:eastAsia="zh-CN" w:bidi="ar"/>
        </w:rPr>
        <w:t>钢制门（</w:t>
      </w:r>
      <w:r>
        <w:rPr>
          <w:rFonts w:hint="eastAsia" w:ascii="宋体" w:hAnsi="宋体" w:eastAsia="宋体" w:cs="宋体"/>
          <w:b/>
          <w:bCs/>
          <w:color w:val="FF0000"/>
          <w:kern w:val="2"/>
          <w:sz w:val="24"/>
          <w:szCs w:val="24"/>
          <w:highlight w:val="none"/>
          <w:u w:val="single"/>
          <w:lang w:val="en-US" w:eastAsia="zh-CN" w:bidi="ar"/>
        </w:rPr>
        <w:t>防火门</w:t>
      </w:r>
      <w:r>
        <w:rPr>
          <w:rFonts w:hint="eastAsia" w:ascii="宋体" w:hAnsi="宋体" w:cs="宋体"/>
          <w:b/>
          <w:bCs/>
          <w:color w:val="FF0000"/>
          <w:kern w:val="2"/>
          <w:sz w:val="24"/>
          <w:szCs w:val="24"/>
          <w:highlight w:val="none"/>
          <w:u w:val="single"/>
          <w:lang w:val="en-US" w:eastAsia="zh-CN" w:bidi="ar"/>
        </w:rPr>
        <w:t>）</w:t>
      </w:r>
      <w:r>
        <w:rPr>
          <w:rFonts w:hint="eastAsia" w:asciiTheme="minorEastAsia" w:hAnsiTheme="minorEastAsia" w:eastAsiaTheme="minorEastAsia" w:cstheme="minorEastAsia"/>
          <w:b/>
          <w:bCs/>
          <w:strike/>
          <w:dstrike w:val="0"/>
          <w:snapToGrid w:val="0"/>
          <w:color w:val="FF0000"/>
          <w:kern w:val="0"/>
          <w:sz w:val="24"/>
          <w:szCs w:val="24"/>
          <w:u w:val="single"/>
          <w:lang w:val="en-US" w:eastAsia="zh-CN" w:bidi="ar-SA"/>
        </w:rPr>
        <w:t>类似</w:t>
      </w:r>
      <w:r>
        <w:rPr>
          <w:rFonts w:hint="eastAsia" w:ascii="宋体" w:hAnsi="宋体" w:eastAsia="宋体" w:cs="宋体"/>
          <w:kern w:val="2"/>
          <w:sz w:val="24"/>
          <w:szCs w:val="24"/>
          <w:highlight w:val="none"/>
          <w:u w:val="single"/>
          <w:lang w:val="en-US" w:eastAsia="zh-CN" w:bidi="ar"/>
        </w:rPr>
        <w:t>项目供货业绩。</w:t>
      </w:r>
    </w:p>
    <w:p w14:paraId="6F4D7570">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u w:val="single"/>
        </w:rPr>
      </w:pPr>
      <w:r>
        <w:rPr>
          <w:rFonts w:hint="eastAsia" w:ascii="宋体" w:hAnsi="宋体" w:eastAsia="宋体" w:cs="宋体"/>
          <w:b/>
          <w:bCs/>
          <w:color w:val="FF0000"/>
          <w:kern w:val="2"/>
          <w:sz w:val="24"/>
          <w:szCs w:val="24"/>
          <w:highlight w:val="none"/>
          <w:u w:val="single"/>
          <w:lang w:val="en-US" w:eastAsia="zh-CN" w:bidi="ar"/>
        </w:rPr>
        <w:t>注：提供中标通知书或免招标证明，及合同关键页扫描件，金额以合同签订时间为准，业绩完成时间以交货证明或经建设单位确认的验收报告或验收证明为准。合同若以联合体签署的，需体现投标人所承揽的满足上述条件的工作范围（须包含供货内容）及金额，否则不得分</w:t>
      </w:r>
      <w:r>
        <w:rPr>
          <w:rFonts w:hint="eastAsia" w:ascii="宋体" w:hAnsi="宋体" w:eastAsia="宋体" w:cs="宋体"/>
          <w:b/>
          <w:bCs/>
          <w:color w:val="auto"/>
          <w:kern w:val="2"/>
          <w:sz w:val="24"/>
          <w:szCs w:val="24"/>
          <w:highlight w:val="none"/>
          <w:u w:val="single"/>
          <w:lang w:val="en-US" w:eastAsia="zh-CN" w:bidi="ar"/>
        </w:rPr>
        <w:t>。</w:t>
      </w:r>
    </w:p>
    <w:p w14:paraId="514A7E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3.4投标人按照附件一的内容签署的《投标人声明》（格式详见公告附件一格式）。</w:t>
      </w:r>
    </w:p>
    <w:p w14:paraId="7618E98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3.5本次招标不接受联合体投标。</w:t>
      </w:r>
    </w:p>
    <w:p w14:paraId="1B50E58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u w:val="single"/>
          <w:lang w:val="en-US" w:eastAsia="zh-CN" w:bidi="ar"/>
        </w:rPr>
        <w:t>注：1.本项目允许投标人对两个标段同时进行投标，并且允许投标人同时成为两个标段中标人</w:t>
      </w:r>
    </w:p>
    <w:p w14:paraId="59543FD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u w:val="single"/>
        </w:rPr>
      </w:pPr>
      <w:r>
        <w:rPr>
          <w:rFonts w:hint="eastAsia" w:ascii="宋体" w:hAnsi="宋体" w:eastAsia="宋体" w:cs="宋体"/>
          <w:b/>
          <w:kern w:val="2"/>
          <w:sz w:val="24"/>
          <w:szCs w:val="24"/>
          <w:highlight w:val="none"/>
          <w:u w:val="single"/>
          <w:lang w:val="en-US" w:eastAsia="zh-CN" w:bidi="ar"/>
        </w:rPr>
        <w:t>2.若其中一个标段有异议或投诉，有异议或投诉的标段独立处理，其处理结果不影响另一个标段中标人的确认及后续招标流程</w:t>
      </w:r>
      <w:r>
        <w:rPr>
          <w:rFonts w:hint="eastAsia" w:ascii="宋体" w:hAnsi="宋体" w:eastAsia="宋体" w:cs="宋体"/>
          <w:kern w:val="2"/>
          <w:sz w:val="24"/>
          <w:szCs w:val="24"/>
          <w:highlight w:val="none"/>
          <w:u w:val="single"/>
          <w:lang w:val="en-US" w:eastAsia="zh-CN" w:bidi="ar"/>
        </w:rPr>
        <w:t>。</w:t>
      </w:r>
    </w:p>
    <w:p w14:paraId="2B854E0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3.6 投标人未被列入拖欠农民工工资失信联合惩戒对象名单（投标、人无需提供资料，按交易系统比对的结果进行评审）。</w:t>
      </w:r>
    </w:p>
    <w:p w14:paraId="5016999C">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4. 招标文件的获取及招标公告发布</w:t>
      </w:r>
    </w:p>
    <w:p w14:paraId="0FA2ED1A">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4.1凡有意参加投标者，请登录</w:t>
      </w:r>
      <w:r>
        <w:rPr>
          <w:rFonts w:hint="eastAsia" w:ascii="宋体" w:hAnsi="宋体" w:eastAsia="宋体" w:cs="宋体"/>
          <w:kern w:val="2"/>
          <w:sz w:val="24"/>
          <w:szCs w:val="24"/>
          <w:highlight w:val="none"/>
          <w:u w:val="single"/>
          <w:lang w:val="en-US" w:eastAsia="zh-CN" w:bidi="ar"/>
        </w:rPr>
        <w:t>广州交易集团有限公司（广州公共资源交易中心）交易平台网站（http//www.gzggzy.cn）</w:t>
      </w:r>
      <w:r>
        <w:rPr>
          <w:rFonts w:hint="eastAsia" w:ascii="宋体" w:hAnsi="宋体" w:eastAsia="宋体" w:cs="宋体"/>
          <w:kern w:val="2"/>
          <w:sz w:val="24"/>
          <w:szCs w:val="24"/>
          <w:highlight w:val="none"/>
          <w:lang w:val="en-US" w:eastAsia="zh-CN" w:bidi="ar"/>
        </w:rPr>
        <w:t>下载招标文件。</w:t>
      </w:r>
    </w:p>
    <w:p w14:paraId="54EC93D8">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4.2本项目采用资格后审方式，投标人不足3名或通过形式评审、资格评审、响应性评审的投标人不足3名时为招标失败。招标人分析招标失败原因，修正招标方案，重新组织招标</w:t>
      </w:r>
      <w:r>
        <w:rPr>
          <w:rFonts w:hint="eastAsia" w:ascii="宋体" w:hAnsi="宋体" w:eastAsia="宋体" w:cs="宋体"/>
          <w:kern w:val="2"/>
          <w:sz w:val="24"/>
          <w:szCs w:val="24"/>
          <w:highlight w:val="none"/>
          <w:lang w:val="en-US" w:eastAsia="zh-CN" w:bidi="ar"/>
        </w:rPr>
        <w:t>。</w:t>
      </w:r>
    </w:p>
    <w:p w14:paraId="0BFCCCE0">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4.3招标公告发布时间</w:t>
      </w:r>
    </w:p>
    <w:p w14:paraId="5F705557">
      <w:pPr>
        <w:keepNext w:val="0"/>
        <w:keepLines w:val="0"/>
        <w:widowControl w:val="0"/>
        <w:suppressLineNumbers w:val="0"/>
        <w:spacing w:before="0" w:beforeAutospacing="0" w:after="0" w:afterAutospacing="0" w:line="360" w:lineRule="auto"/>
        <w:ind w:left="0" w:right="0" w:firstLine="477" w:firstLineChars="199"/>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发布招标公告时间（含本日）为：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w:t>
      </w:r>
    </w:p>
    <w:p w14:paraId="7D82308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注：（1）发布招标公告的时间为招标公告发出之日起至递交投标文件截止时间止。</w:t>
      </w:r>
    </w:p>
    <w:p w14:paraId="1E11F6E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（2）本公告发布之日起发布招标文件，并从招标公告发布之日起开始计算备标时间。</w:t>
      </w:r>
    </w:p>
    <w:p w14:paraId="789FF36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（3）电子招投标操作流程详见广州交易集团有限公司（广州公共资源交易中心）网站发布的《</w:t>
      </w:r>
      <w:r>
        <w:rPr>
          <w:rFonts w:hint="eastAsia" w:ascii="宋体" w:hAnsi="宋体" w:eastAsia="宋体" w:cs="宋体"/>
          <w:b/>
          <w:kern w:val="2"/>
          <w:sz w:val="24"/>
          <w:szCs w:val="24"/>
          <w:highlight w:val="none"/>
          <w:u w:val="single"/>
          <w:lang w:val="en-US" w:eastAsia="zh-CN" w:bidi="ar"/>
        </w:rPr>
        <w:t>建设工程全流程电子化项目操作指南</w:t>
      </w:r>
      <w:r>
        <w:rPr>
          <w:rFonts w:hint="eastAsia" w:ascii="宋体" w:hAnsi="宋体" w:eastAsia="宋体" w:cs="宋体"/>
          <w:kern w:val="2"/>
          <w:sz w:val="24"/>
          <w:szCs w:val="24"/>
          <w:highlight w:val="none"/>
          <w:u w:val="single"/>
          <w:lang w:val="en-US" w:eastAsia="zh-CN" w:bidi="ar"/>
        </w:rPr>
        <w:t>》。</w:t>
      </w:r>
    </w:p>
    <w:p w14:paraId="756C6334">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28"/>
          <w:szCs w:val="28"/>
          <w:highlight w:val="none"/>
        </w:rPr>
      </w:pPr>
      <w:r>
        <w:rPr>
          <w:rFonts w:hint="eastAsia" w:ascii="宋体" w:hAnsi="宋体" w:eastAsia="宋体" w:cs="宋体"/>
          <w:b/>
          <w:kern w:val="2"/>
          <w:sz w:val="32"/>
          <w:szCs w:val="32"/>
          <w:highlight w:val="none"/>
          <w:lang w:val="en-US" w:eastAsia="zh-CN" w:bidi="ar"/>
        </w:rPr>
        <w:t>5. 投标文件的递交</w:t>
      </w:r>
    </w:p>
    <w:p w14:paraId="646A2DBE">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5.1（B）</w:t>
      </w:r>
    </w:p>
    <w:p w14:paraId="7B3664DE">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5.1.1投标文件递交的截止时间（投标截止时间，下同）为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分，投标人应在截止时间前通过</w:t>
      </w:r>
      <w:r>
        <w:rPr>
          <w:rFonts w:hint="eastAsia" w:ascii="宋体" w:hAnsi="宋体" w:eastAsia="宋体" w:cs="宋体"/>
          <w:kern w:val="2"/>
          <w:sz w:val="24"/>
          <w:szCs w:val="24"/>
          <w:highlight w:val="none"/>
          <w:u w:val="single"/>
          <w:lang w:val="en-US" w:eastAsia="zh-CN" w:bidi="ar"/>
        </w:rPr>
        <w:t>广州交易集团有限公司（广州公共资源交易中心）数字交易平台（http//www.gzggzy.cn）</w:t>
      </w:r>
      <w:r>
        <w:rPr>
          <w:rFonts w:hint="eastAsia" w:ascii="宋体" w:hAnsi="宋体" w:eastAsia="宋体" w:cs="宋体"/>
          <w:kern w:val="2"/>
          <w:sz w:val="24"/>
          <w:szCs w:val="24"/>
          <w:highlight w:val="none"/>
          <w:lang w:val="en-US" w:eastAsia="zh-CN" w:bidi="ar"/>
        </w:rPr>
        <w:t>递交电子投标文件。</w:t>
      </w:r>
    </w:p>
    <w:p w14:paraId="2EFEB0C7">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投标人完成电子投标上传后，电子招标投标交易平台即时向投标人发出递交回执通知。递交时间以递交回执通知载明的传输时间为准。</w:t>
      </w:r>
    </w:p>
    <w:p w14:paraId="49770B60">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5.1.2投标文件光盘（备用）递交时间：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分</w:t>
      </w:r>
      <w:r>
        <w:rPr>
          <w:rFonts w:hint="eastAsia" w:ascii="宋体" w:hAnsi="宋体" w:eastAsia="宋体" w:cs="宋体"/>
          <w:kern w:val="2"/>
          <w:sz w:val="24"/>
          <w:szCs w:val="24"/>
          <w:highlight w:val="none"/>
          <w:lang w:val="en-US" w:eastAsia="zh-CN" w:bidi="ar"/>
        </w:rPr>
        <w:t>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分；地点：</w:t>
      </w:r>
      <w:r>
        <w:rPr>
          <w:rFonts w:hint="eastAsia" w:ascii="宋体" w:hAnsi="宋体" w:eastAsia="宋体" w:cs="宋体"/>
          <w:kern w:val="2"/>
          <w:sz w:val="24"/>
          <w:szCs w:val="24"/>
          <w:highlight w:val="none"/>
          <w:u w:val="single"/>
          <w:lang w:val="en-US" w:eastAsia="zh-CN" w:bidi="ar"/>
        </w:rPr>
        <w:t>广州公共资源交易中心  开标室</w:t>
      </w:r>
      <w:r>
        <w:rPr>
          <w:rFonts w:hint="eastAsia" w:ascii="宋体" w:hAnsi="宋体" w:eastAsia="宋体" w:cs="宋体"/>
          <w:kern w:val="2"/>
          <w:sz w:val="24"/>
          <w:szCs w:val="24"/>
          <w:highlight w:val="none"/>
          <w:lang w:val="en-US" w:eastAsia="zh-CN" w:bidi="ar"/>
        </w:rPr>
        <w:t>。（电子光盘需按规定封装。投标人将数据刻录到光盘之后，投标前自行检查文件是否可以读取）。</w:t>
      </w:r>
    </w:p>
    <w:p w14:paraId="12201BB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5.1.3投标文件解密时间为：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分至</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时</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分，投标人应在截止时间后通过</w:t>
      </w:r>
      <w:r>
        <w:rPr>
          <w:rFonts w:hint="eastAsia" w:ascii="宋体" w:hAnsi="宋体" w:eastAsia="宋体" w:cs="宋体"/>
          <w:kern w:val="2"/>
          <w:sz w:val="24"/>
          <w:szCs w:val="24"/>
          <w:highlight w:val="none"/>
          <w:u w:val="single"/>
          <w:lang w:val="en-US" w:eastAsia="zh-CN" w:bidi="ar"/>
        </w:rPr>
        <w:t>广州交易集团有限公司（广州公共资源交易中心）数字交易平台（网址：http://www.gzggzy.cn/）</w:t>
      </w:r>
      <w:r>
        <w:rPr>
          <w:rFonts w:hint="eastAsia" w:ascii="宋体" w:hAnsi="宋体" w:eastAsia="宋体" w:cs="宋体"/>
          <w:kern w:val="2"/>
          <w:sz w:val="24"/>
          <w:szCs w:val="24"/>
          <w:highlight w:val="none"/>
          <w:lang w:val="en-US" w:eastAsia="zh-CN" w:bidi="ar"/>
        </w:rPr>
        <w:t>对电子投标文件进行投标文件解密。</w:t>
      </w:r>
    </w:p>
    <w:p w14:paraId="32176991">
      <w:pPr>
        <w:keepNext w:val="0"/>
        <w:keepLines w:val="0"/>
        <w:widowControl w:val="0"/>
        <w:suppressLineNumbers w:val="0"/>
        <w:spacing w:before="0" w:beforeAutospacing="0" w:after="0" w:afterAutospacing="0" w:line="360" w:lineRule="auto"/>
        <w:ind w:left="0" w:right="-210" w:rightChars="-100" w:firstLine="42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5.1.4 递交投标文件截止时间与开标时间是否有变化，请密切留意招标答疑中的相关信息。</w:t>
      </w:r>
    </w:p>
    <w:p w14:paraId="649A5F4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5.1.5 投标人通过</w:t>
      </w:r>
      <w:r>
        <w:rPr>
          <w:rFonts w:hint="eastAsia" w:ascii="宋体" w:hAnsi="宋体" w:eastAsia="宋体" w:cs="宋体"/>
          <w:bCs/>
          <w:kern w:val="2"/>
          <w:sz w:val="24"/>
          <w:szCs w:val="24"/>
          <w:highlight w:val="none"/>
          <w:u w:val="single"/>
          <w:lang w:val="en-US" w:eastAsia="zh-CN" w:bidi="ar"/>
        </w:rPr>
        <w:t>广州交易集团有限公司（广州公共资源交易中心）数字</w:t>
      </w:r>
      <w:r>
        <w:rPr>
          <w:rFonts w:hint="eastAsia" w:ascii="宋体" w:hAnsi="宋体" w:eastAsia="宋体" w:cs="宋体"/>
          <w:bCs/>
          <w:kern w:val="2"/>
          <w:sz w:val="24"/>
          <w:szCs w:val="24"/>
          <w:highlight w:val="none"/>
          <w:lang w:val="en-US" w:eastAsia="zh-CN" w:bidi="ar"/>
        </w:rPr>
        <w:t>交易平台递交电子投标文件。投标人应在递交投标文件截止时间前，登录</w:t>
      </w:r>
      <w:r>
        <w:rPr>
          <w:rFonts w:hint="eastAsia" w:ascii="宋体" w:hAnsi="宋体" w:eastAsia="宋体" w:cs="宋体"/>
          <w:bCs/>
          <w:kern w:val="2"/>
          <w:sz w:val="24"/>
          <w:szCs w:val="24"/>
          <w:highlight w:val="none"/>
          <w:u w:val="single"/>
          <w:lang w:val="en-US" w:eastAsia="zh-CN" w:bidi="ar"/>
        </w:rPr>
        <w:t>广州交易集团有限公司（广州公共资源交易中心）数字</w:t>
      </w:r>
      <w:r>
        <w:rPr>
          <w:rFonts w:hint="eastAsia" w:ascii="宋体" w:hAnsi="宋体" w:eastAsia="宋体" w:cs="宋体"/>
          <w:bCs/>
          <w:kern w:val="2"/>
          <w:sz w:val="24"/>
          <w:szCs w:val="24"/>
          <w:highlight w:val="none"/>
          <w:lang w:val="en-US" w:eastAsia="zh-CN" w:bidi="ar"/>
        </w:rPr>
        <w:t>交易平台网站办理网上投标登记手续。按照广州交易集团有限公司（广州公共资源交易中心）交易平台关于全流程电子化项目的相关指南进行操作。详见：</w:t>
      </w:r>
      <w:r>
        <w:rPr>
          <w:rFonts w:hint="eastAsia" w:ascii="宋体" w:hAnsi="宋体" w:eastAsia="宋体" w:cs="宋体"/>
          <w:bCs/>
          <w:kern w:val="2"/>
          <w:sz w:val="24"/>
          <w:szCs w:val="24"/>
          <w:highlight w:val="none"/>
          <w:u w:val="single"/>
          <w:lang w:val="en-US" w:eastAsia="zh-CN" w:bidi="ar"/>
        </w:rPr>
        <w:t>广州交易集团有限公司（广州公共资源交易中心）网站</w:t>
      </w:r>
      <w:r>
        <w:rPr>
          <w:rFonts w:hint="eastAsia" w:ascii="宋体" w:hAnsi="宋体" w:eastAsia="宋体" w:cs="宋体"/>
          <w:bCs/>
          <w:kern w:val="2"/>
          <w:sz w:val="24"/>
          <w:szCs w:val="24"/>
          <w:highlight w:val="none"/>
          <w:lang w:val="en-US" w:eastAsia="zh-CN" w:bidi="ar"/>
        </w:rPr>
        <w:t>。 投标人需在广州交易集团有限公司（广州公共资源交易中心）办理企业信息登记。</w:t>
      </w:r>
    </w:p>
    <w:p w14:paraId="6B60F831">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5.2 （B）逾期送达的投标文件，电子招标投标交易平台将予以拒收。</w:t>
      </w:r>
    </w:p>
    <w:p w14:paraId="2B5B192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6.发布公告的媒介</w:t>
      </w:r>
    </w:p>
    <w:p w14:paraId="3BD669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本次招标公告同时在广州交易集团有限公司（广州公共资源交易中心）官网（网址：http://www.gzggzy.cn）、中国招标投标公共服务平台（网址：http://www.cebpubservice.com/）、广东省招标投标监管网（网址：https://zbtb.gd.gov.cn/）发布，本公告的修改、补充，在广州交易集团有限公司（广州公共资源交易中心）官网发布。本公告在各媒体发布的文本如有不同之处，以在广州交易集团有限公司（广州公共资源交易中心）网站发布的文本为准。</w:t>
      </w:r>
    </w:p>
    <w:p w14:paraId="24ED19E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 xml:space="preserve">7.联系方式 </w:t>
      </w:r>
    </w:p>
    <w:p w14:paraId="527D8DA1">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 标 人：</w:t>
      </w:r>
      <w:r>
        <w:rPr>
          <w:rFonts w:hint="eastAsia" w:ascii="宋体" w:hAnsi="宋体" w:eastAsia="宋体" w:cs="宋体"/>
          <w:kern w:val="2"/>
          <w:sz w:val="24"/>
          <w:szCs w:val="24"/>
          <w:highlight w:val="none"/>
          <w:u w:val="single"/>
          <w:lang w:val="en-US" w:eastAsia="zh-CN" w:bidi="ar"/>
        </w:rPr>
        <w:t>广州市重点公共建设项目管理中心</w:t>
      </w:r>
    </w:p>
    <w:p w14:paraId="3065B9FC">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广州市大学城内环东星运路1号</w:t>
      </w:r>
    </w:p>
    <w:p w14:paraId="13391FAC">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 系 人：</w:t>
      </w:r>
      <w:r>
        <w:rPr>
          <w:rFonts w:hint="eastAsia" w:ascii="宋体" w:hAnsi="宋体" w:eastAsia="宋体" w:cs="宋体"/>
          <w:kern w:val="2"/>
          <w:sz w:val="24"/>
          <w:szCs w:val="24"/>
          <w:highlight w:val="none"/>
          <w:u w:val="single"/>
          <w:lang w:val="en-US" w:eastAsia="zh-CN" w:bidi="ar"/>
        </w:rPr>
        <w:t xml:space="preserve">李工、潘工    </w:t>
      </w:r>
    </w:p>
    <w:p w14:paraId="45C1BC03">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 xml:space="preserve">020-22905680、020-22905681     </w:t>
      </w:r>
    </w:p>
    <w:p w14:paraId="44C8CBB7">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D06ECE4">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招标代理机构：</w:t>
      </w:r>
      <w:r>
        <w:rPr>
          <w:rFonts w:hint="eastAsia" w:ascii="宋体" w:hAnsi="宋体" w:eastAsia="宋体" w:cs="宋体"/>
          <w:kern w:val="2"/>
          <w:sz w:val="24"/>
          <w:szCs w:val="24"/>
          <w:highlight w:val="none"/>
          <w:u w:val="single"/>
          <w:lang w:val="en-US" w:eastAsia="zh-CN" w:bidi="ar"/>
        </w:rPr>
        <w:t>广州阳光采购服务有限公司</w:t>
      </w:r>
    </w:p>
    <w:p w14:paraId="004D713A">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广州市越秀区流花路123号广州越秀国际会议中心北塔9楼</w:t>
      </w:r>
    </w:p>
    <w:p w14:paraId="2BD0246F">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 系 人：</w:t>
      </w:r>
      <w:r>
        <w:rPr>
          <w:rFonts w:hint="eastAsia" w:ascii="宋体" w:hAnsi="宋体" w:eastAsia="宋体" w:cs="宋体"/>
          <w:kern w:val="2"/>
          <w:sz w:val="24"/>
          <w:szCs w:val="24"/>
          <w:highlight w:val="none"/>
          <w:u w:val="single"/>
          <w:lang w:val="en-US" w:eastAsia="zh-CN" w:bidi="ar"/>
        </w:rPr>
        <w:t>刘工</w:t>
      </w:r>
    </w:p>
    <w:p w14:paraId="17DC3527">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020-89160867、020-89160835</w:t>
      </w:r>
      <w:r>
        <w:rPr>
          <w:rFonts w:hint="eastAsia" w:ascii="宋体" w:hAnsi="宋体" w:eastAsia="宋体" w:cs="宋体"/>
          <w:kern w:val="2"/>
          <w:sz w:val="24"/>
          <w:szCs w:val="24"/>
          <w:highlight w:val="none"/>
          <w:lang w:val="en-US" w:eastAsia="zh-CN" w:bidi="ar"/>
        </w:rPr>
        <w:t xml:space="preserve">      </w:t>
      </w:r>
    </w:p>
    <w:p w14:paraId="193D9450">
      <w:pPr>
        <w:keepNext w:val="0"/>
        <w:keepLines w:val="0"/>
        <w:widowControl w:val="0"/>
        <w:suppressLineNumbers w:val="0"/>
        <w:topLinePunct/>
        <w:spacing w:before="0" w:beforeAutospacing="0" w:after="0" w:afterAutospacing="0" w:line="360" w:lineRule="auto"/>
        <w:ind w:left="0" w:right="0"/>
        <w:jc w:val="both"/>
        <w:rPr>
          <w:rFonts w:hint="eastAsia" w:ascii="宋体" w:hAnsi="宋体" w:eastAsia="宋体" w:cs="宋体"/>
          <w:kern w:val="2"/>
          <w:sz w:val="24"/>
          <w:szCs w:val="24"/>
          <w:highlight w:val="none"/>
        </w:rPr>
      </w:pPr>
    </w:p>
    <w:p w14:paraId="62BEAC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潜在投标人或利害关系人对本招标公告及招标文件有异议的，应当在投标截止时间10日前向招标人书面提出。</w:t>
      </w:r>
    </w:p>
    <w:p w14:paraId="315F1F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异议受理部门：</w:t>
      </w:r>
      <w:r>
        <w:rPr>
          <w:rFonts w:hint="eastAsia" w:ascii="宋体" w:hAnsi="宋体" w:eastAsia="宋体" w:cs="宋体"/>
          <w:kern w:val="2"/>
          <w:sz w:val="24"/>
          <w:szCs w:val="24"/>
          <w:highlight w:val="none"/>
          <w:u w:val="single"/>
          <w:lang w:val="en-US" w:eastAsia="zh-CN" w:bidi="ar"/>
        </w:rPr>
        <w:t>广州市重点公共建设项目管理中心</w:t>
      </w:r>
    </w:p>
    <w:p w14:paraId="368C04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广州市大学城内环东星运路1号</w:t>
      </w:r>
    </w:p>
    <w:p w14:paraId="3A73B6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联系人：</w:t>
      </w:r>
      <w:r>
        <w:rPr>
          <w:rFonts w:hint="eastAsia" w:ascii="宋体" w:hAnsi="宋体" w:eastAsia="宋体" w:cs="宋体"/>
          <w:kern w:val="2"/>
          <w:sz w:val="24"/>
          <w:szCs w:val="24"/>
          <w:highlight w:val="none"/>
          <w:u w:val="single"/>
          <w:lang w:val="en-US" w:eastAsia="zh-CN" w:bidi="ar"/>
        </w:rPr>
        <w:t>李工、潘工</w:t>
      </w:r>
    </w:p>
    <w:p w14:paraId="3F47DB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  话：</w:t>
      </w:r>
      <w:r>
        <w:rPr>
          <w:rFonts w:hint="eastAsia" w:ascii="宋体" w:hAnsi="宋体" w:eastAsia="宋体" w:cs="宋体"/>
          <w:kern w:val="2"/>
          <w:sz w:val="24"/>
          <w:szCs w:val="24"/>
          <w:highlight w:val="none"/>
          <w:u w:val="single"/>
          <w:lang w:val="en-US" w:eastAsia="zh-CN" w:bidi="ar"/>
        </w:rPr>
        <w:t>020-22905680、020-22905681</w:t>
      </w:r>
    </w:p>
    <w:p w14:paraId="72DEDB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1C72C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0002C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招标监督机构：</w:t>
      </w:r>
      <w:r>
        <w:rPr>
          <w:rFonts w:hint="eastAsia" w:ascii="宋体" w:hAnsi="宋体" w:eastAsia="宋体" w:cs="宋体"/>
          <w:kern w:val="2"/>
          <w:sz w:val="24"/>
          <w:szCs w:val="24"/>
          <w:highlight w:val="none"/>
          <w:u w:val="single"/>
          <w:lang w:val="en-US" w:eastAsia="zh-CN" w:bidi="ar"/>
        </w:rPr>
        <w:t>广州市建设工程招标管理办公室</w:t>
      </w:r>
    </w:p>
    <w:p w14:paraId="35CC55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广州市天河区天润路333号三楼</w:t>
      </w:r>
    </w:p>
    <w:p w14:paraId="4322F7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kern w:val="2"/>
          <w:sz w:val="24"/>
          <w:szCs w:val="24"/>
          <w:highlight w:val="none"/>
          <w:u w:val="single"/>
          <w:lang w:val="en-US" w:eastAsia="zh-CN" w:bidi="ar"/>
        </w:rPr>
        <w:t>020-28866214</w:t>
      </w:r>
    </w:p>
    <w:p w14:paraId="0CAE271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招标人：</w:t>
      </w:r>
      <w:r>
        <w:rPr>
          <w:rFonts w:hint="eastAsia" w:ascii="宋体" w:hAnsi="宋体" w:eastAsia="宋体" w:cs="宋体"/>
          <w:kern w:val="2"/>
          <w:sz w:val="24"/>
          <w:szCs w:val="24"/>
          <w:highlight w:val="none"/>
          <w:u w:val="single"/>
          <w:lang w:val="en-US" w:eastAsia="zh-CN" w:bidi="ar"/>
        </w:rPr>
        <w:t>广州市重点公共建设项目管理中心</w:t>
      </w:r>
    </w:p>
    <w:p w14:paraId="27E43999">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招标代理机构：</w:t>
      </w:r>
      <w:r>
        <w:rPr>
          <w:rFonts w:hint="eastAsia" w:ascii="宋体" w:hAnsi="宋体" w:eastAsia="宋体" w:cs="宋体"/>
          <w:kern w:val="2"/>
          <w:sz w:val="24"/>
          <w:szCs w:val="24"/>
          <w:highlight w:val="none"/>
          <w:u w:val="single"/>
          <w:lang w:val="en-US" w:eastAsia="zh-CN" w:bidi="ar"/>
        </w:rPr>
        <w:t>广州阳光采购服务有限公司</w:t>
      </w:r>
    </w:p>
    <w:p w14:paraId="7129132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 xml:space="preserve"> </w:t>
      </w:r>
    </w:p>
    <w:p w14:paraId="63C6E725">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t>2025年 1  月  26  日</w:t>
      </w:r>
    </w:p>
    <w:p w14:paraId="2DA096AB">
      <w:pPr>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br w:type="page"/>
      </w:r>
    </w:p>
    <w:p w14:paraId="0961BA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附件一：</w:t>
      </w:r>
    </w:p>
    <w:p w14:paraId="129898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highlight w:val="none"/>
        </w:rPr>
      </w:pPr>
      <w:r>
        <w:rPr>
          <w:rFonts w:hint="eastAsia" w:ascii="宋体" w:hAnsi="宋体" w:eastAsia="宋体" w:cs="宋体"/>
          <w:b/>
          <w:bCs w:val="0"/>
          <w:kern w:val="2"/>
          <w:sz w:val="30"/>
          <w:szCs w:val="30"/>
          <w:highlight w:val="none"/>
          <w:lang w:val="en-US" w:eastAsia="zh-CN" w:bidi="ar"/>
        </w:rPr>
        <w:t>投标人声明</w:t>
      </w:r>
    </w:p>
    <w:p w14:paraId="2290DC10">
      <w:pPr>
        <w:keepNext w:val="0"/>
        <w:keepLines w:val="0"/>
        <w:widowControl/>
        <w:suppressLineNumbers w:val="0"/>
        <w:adjustRightInd w:val="0"/>
        <w:snapToGrid w:val="0"/>
        <w:spacing w:before="260" w:beforeAutospacing="0" w:after="260" w:afterAutospacing="0" w:line="360" w:lineRule="auto"/>
        <w:ind w:left="0" w:right="384"/>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广州市住房和城乡建设局、本招标项目招标人及招标监管机构：</w:t>
      </w:r>
    </w:p>
    <w:p w14:paraId="050DF089">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本公司就参加 </w:t>
      </w:r>
      <w:r>
        <w:rPr>
          <w:rFonts w:hint="eastAsia" w:ascii="宋体" w:hAnsi="宋体" w:eastAsia="宋体" w:cs="宋体"/>
          <w:kern w:val="2"/>
          <w:sz w:val="24"/>
          <w:szCs w:val="24"/>
          <w:highlight w:val="none"/>
          <w:u w:val="single"/>
          <w:lang w:val="en-US" w:eastAsia="zh-CN" w:bidi="ar"/>
        </w:rPr>
        <w:t xml:space="preserve">      （项目名称）         </w:t>
      </w:r>
      <w:r>
        <w:rPr>
          <w:rFonts w:hint="eastAsia" w:ascii="宋体" w:hAnsi="宋体" w:eastAsia="宋体" w:cs="宋体"/>
          <w:kern w:val="2"/>
          <w:sz w:val="24"/>
          <w:szCs w:val="24"/>
          <w:highlight w:val="none"/>
          <w:lang w:val="en-US" w:eastAsia="zh-CN" w:bidi="ar"/>
        </w:rPr>
        <w:t>项目投标工作，作出郑重声明：</w:t>
      </w:r>
    </w:p>
    <w:p w14:paraId="1EC48FA4">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一、本公司保证递交投标文件材料及其后提供的一切材料都是真实的。如我司成为本项目中标候选人，我司同意并授权招标人将我司投标文件商务部分的所有内容（包括人员、业绩、奖项等资料）进行公开。</w:t>
      </w:r>
    </w:p>
    <w:p w14:paraId="53B0AFA4">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二、在本项目投标中不与其他单位围标、串标，不出让投标资格，不向招标人或评标委员会成员行贿。</w:t>
      </w:r>
    </w:p>
    <w:p w14:paraId="3E47342E">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三、本公司不存在招标文件第二章投标人须知第1.4.3项所规定的任何一种情</w:t>
      </w:r>
    </w:p>
    <w:p w14:paraId="12A5D56F">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四、</w:t>
      </w:r>
      <w:r>
        <w:rPr>
          <w:rFonts w:hint="eastAsia" w:ascii="宋体" w:hAnsi="宋体" w:cs="宋体"/>
          <w:sz w:val="24"/>
          <w:szCs w:val="24"/>
          <w:highlight w:val="none"/>
        </w:rPr>
        <w:t>我方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kern w:val="2"/>
          <w:sz w:val="24"/>
          <w:szCs w:val="24"/>
          <w:highlight w:val="none"/>
          <w:lang w:val="en-US" w:eastAsia="zh-CN" w:bidi="ar"/>
        </w:rPr>
        <w:t>。</w:t>
      </w:r>
    </w:p>
    <w:p w14:paraId="579FA82E">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五</w:t>
      </w:r>
      <w:r>
        <w:rPr>
          <w:rFonts w:hint="eastAsia" w:ascii="宋体" w:hAnsi="宋体" w:eastAsia="宋体" w:cs="宋体"/>
          <w:kern w:val="2"/>
          <w:sz w:val="24"/>
          <w:szCs w:val="24"/>
          <w:highlight w:val="none"/>
          <w:lang w:val="en-US" w:eastAsia="zh-CN" w:bidi="ar"/>
        </w:rPr>
        <w:t>、本公司及其有隶属关系的机构，没有参加本项目招标文件的编写工作；本公司与本次招标的招标代理机构没有隶属关系或其他利害关系。没有参加本项目的设计、前期工作、招标文件编写及监理工作；本公司与承担本招标项目监理、检测业务的单位没有隶属关系或其他利害关系。</w:t>
      </w:r>
    </w:p>
    <w:p w14:paraId="11DBDA08">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六</w:t>
      </w:r>
      <w:r>
        <w:rPr>
          <w:rFonts w:hint="eastAsia" w:ascii="宋体" w:hAnsi="宋体" w:eastAsia="宋体" w:cs="宋体"/>
          <w:kern w:val="2"/>
          <w:sz w:val="24"/>
          <w:szCs w:val="24"/>
          <w:highlight w:val="none"/>
          <w:lang w:val="en-US" w:eastAsia="zh-CN" w:bidi="ar"/>
        </w:rPr>
        <w:t>、本公司承诺，中标后严格执行安全生产相关管理规定。</w:t>
      </w:r>
    </w:p>
    <w:p w14:paraId="64496323">
      <w:pPr>
        <w:keepNext w:val="0"/>
        <w:keepLines w:val="0"/>
        <w:widowControl/>
        <w:suppressLineNumbers w:val="0"/>
        <w:adjustRightInd w:val="0"/>
        <w:snapToGrid w:val="0"/>
        <w:spacing w:before="0" w:beforeAutospacing="0" w:after="0" w:afterAutospacing="0" w:line="360" w:lineRule="auto"/>
        <w:ind w:left="0" w:right="386" w:firstLine="482" w:firstLineChars="200"/>
        <w:jc w:val="left"/>
        <w:rPr>
          <w:rFonts w:hint="eastAsia" w:ascii="宋体" w:hAnsi="宋体" w:eastAsia="宋体" w:cs="宋体"/>
          <w:b/>
          <w:bCs w:val="0"/>
          <w:kern w:val="2"/>
          <w:sz w:val="24"/>
          <w:szCs w:val="24"/>
          <w:highlight w:val="none"/>
        </w:rPr>
      </w:pPr>
      <w:r>
        <w:rPr>
          <w:rFonts w:hint="eastAsia" w:ascii="宋体" w:hAnsi="宋体" w:cs="宋体"/>
          <w:b/>
          <w:bCs w:val="0"/>
          <w:kern w:val="2"/>
          <w:sz w:val="24"/>
          <w:szCs w:val="24"/>
          <w:highlight w:val="none"/>
          <w:lang w:val="en-US" w:eastAsia="zh-CN" w:bidi="ar"/>
        </w:rPr>
        <w:t>七</w:t>
      </w:r>
      <w:r>
        <w:rPr>
          <w:rFonts w:hint="eastAsia" w:ascii="宋体" w:hAnsi="宋体" w:eastAsia="宋体" w:cs="宋体"/>
          <w:b/>
          <w:bCs w:val="0"/>
          <w:kern w:val="2"/>
          <w:sz w:val="24"/>
          <w:szCs w:val="24"/>
          <w:highlight w:val="none"/>
          <w:lang w:val="en-US" w:eastAsia="zh-CN" w:bidi="ar"/>
        </w:rPr>
        <w:t>、母公司包括：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。全资子公司包括：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。与本公司单位负责人为同一人或者存在控股、管理关系的具有本招标项目投标资格的企业包括：</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lang w:val="en-US" w:eastAsia="zh-CN" w:bidi="ar"/>
        </w:rPr>
        <w:t>。（注：本条由投标人如实填写，如有，应列出全部相关单位的名称；如无，则填写“无”。）</w:t>
      </w:r>
    </w:p>
    <w:p w14:paraId="175D0AD5">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本公司违反上述保证，或本声明陈述与事实不符，经查实，本公司愿意接受公开通报，承担由此带来的法律后果，并自愿停止参加广州市行政辖区内的招标投标活动三个月。</w:t>
      </w:r>
    </w:p>
    <w:p w14:paraId="06094700">
      <w:pPr>
        <w:keepNext w:val="0"/>
        <w:keepLines w:val="0"/>
        <w:widowControl/>
        <w:suppressLineNumbers w:val="0"/>
        <w:adjustRightInd w:val="0"/>
        <w:snapToGrid w:val="0"/>
        <w:spacing w:before="260" w:beforeAutospacing="0" w:after="260" w:afterAutospacing="0" w:line="360" w:lineRule="auto"/>
        <w:ind w:left="0" w:right="384"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特此声明。</w:t>
      </w:r>
    </w:p>
    <w:p w14:paraId="3875A09F">
      <w:pPr>
        <w:keepNext w:val="0"/>
        <w:keepLines w:val="0"/>
        <w:widowControl/>
        <w:suppressLineNumbers w:val="0"/>
        <w:adjustRightInd w:val="0"/>
        <w:snapToGrid w:val="0"/>
        <w:spacing w:before="0" w:beforeAutospacing="0" w:after="0" w:afterAutospacing="0" w:line="360" w:lineRule="auto"/>
        <w:ind w:left="0" w:right="384"/>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投标单位（盖公章）：</w:t>
      </w:r>
    </w:p>
    <w:p w14:paraId="3EC92BF1">
      <w:pPr>
        <w:keepNext w:val="0"/>
        <w:keepLines w:val="0"/>
        <w:widowControl/>
        <w:suppressLineNumbers w:val="0"/>
        <w:adjustRightInd w:val="0"/>
        <w:snapToGrid w:val="0"/>
        <w:spacing w:before="0" w:beforeAutospacing="0" w:after="0" w:afterAutospacing="0" w:line="360" w:lineRule="auto"/>
        <w:ind w:left="0" w:right="384" w:firstLine="960" w:firstLineChars="4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法定代表人或授权委托人（签名或盖章）：</w:t>
      </w:r>
    </w:p>
    <w:p w14:paraId="796DD004">
      <w:pPr>
        <w:widowControl/>
        <w:adjustRightInd w:val="0"/>
        <w:snapToGrid w:val="0"/>
        <w:spacing w:line="360" w:lineRule="auto"/>
        <w:ind w:left="283" w:leftChars="135" w:right="481" w:rightChars="229" w:firstLine="426"/>
        <w:jc w:val="center"/>
        <w:rPr>
          <w:rFonts w:hint="default"/>
          <w:highlight w:val="none"/>
        </w:rPr>
      </w:pPr>
      <w:r>
        <w:rPr>
          <w:rFonts w:hint="eastAsia" w:ascii="宋体" w:hAnsi="宋体" w:eastAsia="宋体" w:cs="宋体"/>
          <w:kern w:val="2"/>
          <w:sz w:val="24"/>
          <w:szCs w:val="24"/>
          <w:highlight w:val="none"/>
          <w:lang w:val="en-US" w:eastAsia="zh-CN" w:bidi="ar"/>
        </w:rPr>
        <w:t>日期：     年   月   日</w:t>
      </w:r>
      <w:r>
        <w:rPr>
          <w:rFonts w:hint="eastAsia" w:ascii="宋体" w:hAnsi="宋体" w:eastAsia="宋体" w:cs="宋体"/>
          <w:kern w:val="2"/>
          <w:sz w:val="21"/>
          <w:szCs w:val="21"/>
          <w:highlight w:val="none"/>
          <w:u w:val="single"/>
          <w:lang w:val="en-US" w:eastAsia="zh-CN" w:bidi="ar"/>
        </w:rPr>
        <w:t xml:space="preserve"> </w:t>
      </w:r>
    </w:p>
    <w:p w14:paraId="606EC8F1">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highlight w:val="none"/>
          <w:u w:val="single"/>
          <w:lang w:val="en-US" w:eastAsia="zh-CN" w:bidi="ar"/>
        </w:rPr>
      </w:pPr>
    </w:p>
    <w:p w14:paraId="23F764C7"/>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32AF">
    <w:pPr>
      <w:widowControl w:val="0"/>
      <w:tabs>
        <w:tab w:val="center" w:pos="4513"/>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BE571">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22BE571">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2426">
    <w:pPr>
      <w:pStyle w:val="3"/>
      <w:tabs>
        <w:tab w:val="center" w:pos="4513"/>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267C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5267C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7F6D">
    <w:pPr>
      <w:rPr>
        <w:rFonts w:ascii="Times New Roman" w:hAnsi="Times New Roman" w:eastAsia="宋体" w:cs="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632C">
    <w:pPr>
      <w:rPr>
        <w:rFonts w:ascii="Times New Roman" w:hAnsi="Times New Roman" w:eastAsia="宋体" w:cs="Times New Roman"/>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6819"/>
    <w:rsid w:val="098A3A83"/>
    <w:rsid w:val="16DD7C1A"/>
    <w:rsid w:val="197C1F05"/>
    <w:rsid w:val="28297AF3"/>
    <w:rsid w:val="32A223AD"/>
    <w:rsid w:val="37A71450"/>
    <w:rsid w:val="4A061AFF"/>
    <w:rsid w:val="508C6679"/>
    <w:rsid w:val="598C666C"/>
    <w:rsid w:val="725C69C0"/>
    <w:rsid w:val="77F21013"/>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5014</Words>
  <Characters>5464</Characters>
  <Lines>0</Lines>
  <Paragraphs>0</Paragraphs>
  <TotalTime>1</TotalTime>
  <ScaleCrop>false</ScaleCrop>
  <LinksUpToDate>false</LinksUpToDate>
  <CharactersWithSpaces>5711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2025-01-26T14:35:00Z</dcterms:created>
  <dc:creator>boyil</dc:creator>
  <cp:lastModifiedBy>刘博意</cp:lastModifiedBy>
  <dcterms:modified xsi:type="dcterms:W3CDTF">2025-02-07T09:33:40Z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20E696405B47411687920494C8BE4A71_13</vt:lpwstr>
  </property>
</Properties>
</file>