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E43D">
      <w:pPr>
        <w:pStyle w:val="13"/>
        <w:ind w:firstLine="400"/>
        <w:rPr>
          <w:rFonts w:hint="eastAsia" w:ascii="宋体" w:hAnsi="宋体" w:cs="宋体"/>
          <w:color w:val="auto"/>
          <w:sz w:val="20"/>
          <w:szCs w:val="20"/>
          <w:highlight w:val="none"/>
        </w:rPr>
      </w:pPr>
    </w:p>
    <w:p w14:paraId="1EDD0E01">
      <w:pPr>
        <w:spacing w:line="400" w:lineRule="exact"/>
        <w:rPr>
          <w:rFonts w:hint="eastAsia" w:ascii="宋体" w:hAnsi="宋体" w:cs="宋体"/>
          <w:color w:val="auto"/>
          <w:highlight w:val="none"/>
        </w:rPr>
      </w:pPr>
    </w:p>
    <w:p w14:paraId="72428DA0">
      <w:pPr>
        <w:spacing w:line="48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解放北路986号外立面景观室内工程设计施工一体化</w:t>
      </w:r>
    </w:p>
    <w:p w14:paraId="058A3BA1">
      <w:pPr>
        <w:spacing w:line="480" w:lineRule="auto"/>
        <w:rPr>
          <w:rFonts w:hint="eastAsia" w:ascii="宋体" w:hAnsi="宋体" w:cs="宋体"/>
          <w:color w:val="auto"/>
          <w:sz w:val="36"/>
          <w:szCs w:val="36"/>
          <w:highlight w:val="none"/>
        </w:rPr>
      </w:pPr>
    </w:p>
    <w:p w14:paraId="5B8E8E3A">
      <w:pPr>
        <w:rPr>
          <w:rFonts w:hint="eastAsia" w:ascii="宋体" w:hAnsi="宋体" w:cs="宋体"/>
          <w:color w:val="auto"/>
          <w:sz w:val="28"/>
          <w:szCs w:val="28"/>
          <w:highlight w:val="none"/>
        </w:rPr>
      </w:pPr>
    </w:p>
    <w:p w14:paraId="65075941">
      <w:pPr>
        <w:pStyle w:val="36"/>
        <w:rPr>
          <w:rFonts w:hint="eastAsia" w:eastAsia="宋体"/>
          <w:color w:val="auto"/>
          <w:highlight w:val="none"/>
          <w:lang w:eastAsia="zh-CN"/>
        </w:rPr>
      </w:pPr>
    </w:p>
    <w:p w14:paraId="06B729A0">
      <w:pPr>
        <w:pStyle w:val="36"/>
        <w:rPr>
          <w:color w:val="auto"/>
          <w:highlight w:val="none"/>
        </w:rPr>
      </w:pPr>
    </w:p>
    <w:p w14:paraId="0E126C6A">
      <w:pPr>
        <w:pStyle w:val="36"/>
        <w:rPr>
          <w:color w:val="auto"/>
          <w:highlight w:val="none"/>
        </w:rPr>
      </w:pPr>
    </w:p>
    <w:p w14:paraId="7C0A5322">
      <w:pPr>
        <w:pStyle w:val="36"/>
        <w:rPr>
          <w:color w:val="auto"/>
          <w:highlight w:val="none"/>
        </w:rPr>
      </w:pPr>
    </w:p>
    <w:p w14:paraId="1D76F87E">
      <w:pPr>
        <w:pStyle w:val="36"/>
        <w:rPr>
          <w:color w:val="auto"/>
          <w:highlight w:val="none"/>
        </w:rPr>
      </w:pPr>
    </w:p>
    <w:p w14:paraId="1B3889DC">
      <w:pPr>
        <w:jc w:val="center"/>
        <w:rPr>
          <w:rFonts w:hint="eastAsia" w:ascii="宋体" w:hAnsi="宋体" w:cs="宋体"/>
          <w:color w:val="auto"/>
          <w:sz w:val="96"/>
          <w:szCs w:val="96"/>
          <w:highlight w:val="none"/>
        </w:rPr>
      </w:pPr>
      <w:r>
        <w:rPr>
          <w:rFonts w:hint="eastAsia" w:ascii="宋体" w:hAnsi="宋体" w:cs="宋体"/>
          <w:color w:val="auto"/>
          <w:sz w:val="96"/>
          <w:szCs w:val="96"/>
          <w:highlight w:val="none"/>
        </w:rPr>
        <w:t>招标文件</w:t>
      </w:r>
    </w:p>
    <w:p w14:paraId="39D7915C">
      <w:pPr>
        <w:spacing w:line="400" w:lineRule="exact"/>
        <w:rPr>
          <w:rFonts w:hint="eastAsia" w:ascii="宋体" w:hAnsi="宋体" w:cs="宋体"/>
          <w:color w:val="auto"/>
          <w:highlight w:val="none"/>
        </w:rPr>
      </w:pPr>
    </w:p>
    <w:p w14:paraId="57CC194E">
      <w:pPr>
        <w:spacing w:line="400" w:lineRule="exact"/>
        <w:rPr>
          <w:rFonts w:hint="eastAsia" w:ascii="宋体" w:hAnsi="宋体" w:cs="宋体"/>
          <w:color w:val="auto"/>
          <w:highlight w:val="none"/>
        </w:rPr>
      </w:pPr>
    </w:p>
    <w:p w14:paraId="3B81804E">
      <w:pPr>
        <w:spacing w:line="400" w:lineRule="exact"/>
        <w:rPr>
          <w:rFonts w:hint="eastAsia" w:ascii="宋体" w:hAnsi="宋体" w:cs="宋体"/>
          <w:color w:val="auto"/>
          <w:highlight w:val="none"/>
        </w:rPr>
      </w:pPr>
    </w:p>
    <w:p w14:paraId="1F232733">
      <w:pPr>
        <w:spacing w:line="400" w:lineRule="exact"/>
        <w:rPr>
          <w:rFonts w:hint="eastAsia" w:ascii="宋体" w:hAnsi="宋体" w:cs="宋体"/>
          <w:color w:val="auto"/>
          <w:highlight w:val="none"/>
        </w:rPr>
      </w:pPr>
    </w:p>
    <w:p w14:paraId="11EE0F30">
      <w:pPr>
        <w:spacing w:line="400" w:lineRule="exact"/>
        <w:rPr>
          <w:rFonts w:hint="eastAsia" w:ascii="宋体" w:hAnsi="宋体" w:cs="宋体"/>
          <w:color w:val="auto"/>
          <w:highlight w:val="none"/>
        </w:rPr>
      </w:pPr>
      <w:r>
        <w:rPr>
          <w:rFonts w:hint="eastAsia" w:ascii="宋体" w:hAnsi="宋体" w:cs="宋体"/>
          <w:color w:val="auto"/>
          <w:highlight w:val="none"/>
        </w:rPr>
        <w:t xml:space="preserve"> </w:t>
      </w:r>
    </w:p>
    <w:p w14:paraId="54623DFF">
      <w:pPr>
        <w:spacing w:line="400" w:lineRule="exact"/>
        <w:rPr>
          <w:rFonts w:hint="eastAsia" w:ascii="宋体" w:hAnsi="宋体" w:cs="宋体"/>
          <w:color w:val="auto"/>
          <w:highlight w:val="none"/>
        </w:rPr>
      </w:pPr>
    </w:p>
    <w:p w14:paraId="26BA39B2">
      <w:pPr>
        <w:spacing w:line="400" w:lineRule="exact"/>
        <w:rPr>
          <w:rFonts w:hint="eastAsia" w:ascii="宋体" w:hAnsi="宋体" w:cs="宋体"/>
          <w:color w:val="auto"/>
          <w:highlight w:val="none"/>
        </w:rPr>
      </w:pPr>
    </w:p>
    <w:p w14:paraId="30D0E0C5">
      <w:pPr>
        <w:spacing w:line="400" w:lineRule="exact"/>
        <w:rPr>
          <w:rFonts w:hint="eastAsia" w:ascii="宋体" w:hAnsi="宋体" w:cs="宋体"/>
          <w:color w:val="auto"/>
          <w:highlight w:val="none"/>
        </w:rPr>
      </w:pPr>
    </w:p>
    <w:p w14:paraId="38F5E524">
      <w:pPr>
        <w:spacing w:line="400" w:lineRule="exact"/>
        <w:rPr>
          <w:rFonts w:hint="eastAsia" w:ascii="宋体" w:hAnsi="宋体" w:cs="宋体"/>
          <w:color w:val="auto"/>
          <w:highlight w:val="none"/>
        </w:rPr>
      </w:pPr>
    </w:p>
    <w:p w14:paraId="0AE0C018">
      <w:pPr>
        <w:spacing w:line="400" w:lineRule="exact"/>
        <w:rPr>
          <w:rFonts w:hint="eastAsia" w:ascii="宋体" w:hAnsi="宋体" w:cs="宋体"/>
          <w:color w:val="auto"/>
          <w:highlight w:val="none"/>
        </w:rPr>
      </w:pPr>
    </w:p>
    <w:p w14:paraId="000D4A4D">
      <w:pPr>
        <w:spacing w:line="400" w:lineRule="exact"/>
        <w:rPr>
          <w:rFonts w:hint="eastAsia" w:ascii="宋体" w:hAnsi="宋体" w:cs="宋体"/>
          <w:color w:val="auto"/>
          <w:highlight w:val="none"/>
        </w:rPr>
      </w:pPr>
    </w:p>
    <w:p w14:paraId="4433350F">
      <w:pPr>
        <w:ind w:firstLine="1477" w:firstLineChars="211"/>
        <w:jc w:val="left"/>
        <w:rPr>
          <w:rFonts w:hint="eastAsia" w:ascii="宋体" w:hAnsi="宋体" w:eastAsia="宋体" w:cs="宋体"/>
          <w:color w:val="auto"/>
          <w:sz w:val="28"/>
          <w:szCs w:val="28"/>
          <w:highlight w:val="none"/>
          <w:lang w:eastAsia="zh-CN"/>
        </w:rPr>
      </w:pPr>
      <w:r>
        <w:rPr>
          <w:rFonts w:hint="eastAsia" w:ascii="宋体" w:hAnsi="宋体" w:cs="宋体"/>
          <w:color w:val="auto"/>
          <w:spacing w:val="210"/>
          <w:kern w:val="0"/>
          <w:sz w:val="28"/>
          <w:szCs w:val="28"/>
          <w:highlight w:val="none"/>
          <w:fitText w:val="1680" w:id="1210253353"/>
        </w:rPr>
        <w:t>招标</w:t>
      </w:r>
      <w:r>
        <w:rPr>
          <w:rFonts w:hint="eastAsia" w:ascii="宋体" w:hAnsi="宋体" w:cs="宋体"/>
          <w:color w:val="auto"/>
          <w:spacing w:val="0"/>
          <w:kern w:val="0"/>
          <w:sz w:val="28"/>
          <w:szCs w:val="28"/>
          <w:highlight w:val="none"/>
          <w:fitText w:val="1680" w:id="1210253353"/>
        </w:rPr>
        <w:t>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lang w:eastAsia="zh-CN"/>
        </w:rPr>
        <w:t>广州市奥宝物业管理有限公司</w:t>
      </w:r>
    </w:p>
    <w:p w14:paraId="14400C5A">
      <w:pPr>
        <w:ind w:firstLine="1478" w:firstLineChars="528"/>
        <w:jc w:val="left"/>
        <w:rPr>
          <w:rFonts w:hint="eastAsia"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rPr>
        <w:t>招标代理单位：</w:t>
      </w:r>
      <w:r>
        <w:rPr>
          <w:rFonts w:hint="eastAsia" w:ascii="宋体" w:hAnsi="宋体" w:cs="宋体"/>
          <w:color w:val="auto"/>
          <w:sz w:val="28"/>
          <w:szCs w:val="28"/>
          <w:highlight w:val="none"/>
          <w:u w:val="single"/>
          <w:lang w:eastAsia="zh-CN"/>
        </w:rPr>
        <w:t>广州工建工程咨询有限公司</w:t>
      </w:r>
    </w:p>
    <w:p w14:paraId="4E4EAD7A">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1</w:t>
      </w:r>
      <w:r>
        <w:rPr>
          <w:rFonts w:hint="eastAsia" w:ascii="宋体" w:hAnsi="宋体" w:cs="宋体"/>
          <w:color w:val="auto"/>
          <w:sz w:val="28"/>
          <w:szCs w:val="28"/>
          <w:highlight w:val="none"/>
        </w:rPr>
        <w:t>月</w:t>
      </w:r>
    </w:p>
    <w:p w14:paraId="24DCA138">
      <w:pPr>
        <w:spacing w:line="400" w:lineRule="exact"/>
        <w:rPr>
          <w:rFonts w:hint="eastAsia" w:ascii="宋体" w:hAnsi="宋体" w:cs="宋体"/>
          <w:color w:val="auto"/>
          <w:highlight w:val="none"/>
        </w:rPr>
        <w:sectPr>
          <w:footerReference r:id="rId3" w:type="default"/>
          <w:pgSz w:w="11906" w:h="16838"/>
          <w:pgMar w:top="1440" w:right="1800" w:bottom="1440" w:left="1800" w:header="851" w:footer="992" w:gutter="0"/>
          <w:cols w:space="720" w:num="1"/>
          <w:docGrid w:type="lines" w:linePitch="312" w:charSpace="0"/>
        </w:sectPr>
      </w:pPr>
      <w:bookmarkStart w:id="0" w:name="_Toc144974478"/>
      <w:bookmarkStart w:id="1" w:name="_Toc152042286"/>
    </w:p>
    <w:p w14:paraId="77DEABDE">
      <w:pPr>
        <w:pStyle w:val="4"/>
        <w:jc w:val="center"/>
        <w:rPr>
          <w:rFonts w:hint="eastAsia" w:ascii="宋体" w:hAnsi="宋体" w:cs="宋体"/>
          <w:color w:val="auto"/>
          <w:highlight w:val="none"/>
        </w:rPr>
      </w:pPr>
      <w:bookmarkStart w:id="2" w:name="_Toc300834926"/>
      <w:bookmarkStart w:id="3" w:name="_Toc26428"/>
      <w:bookmarkStart w:id="4" w:name="_Toc11895"/>
      <w:bookmarkStart w:id="5" w:name="_Toc247527532"/>
      <w:r>
        <w:rPr>
          <w:rFonts w:hint="eastAsia" w:ascii="宋体" w:hAnsi="宋体" w:cs="宋体"/>
          <w:color w:val="auto"/>
          <w:highlight w:val="none"/>
        </w:rPr>
        <w:t>目     录</w:t>
      </w:r>
      <w:bookmarkEnd w:id="0"/>
      <w:bookmarkEnd w:id="1"/>
      <w:bookmarkEnd w:id="2"/>
      <w:bookmarkEnd w:id="3"/>
      <w:bookmarkEnd w:id="4"/>
      <w:bookmarkEnd w:id="5"/>
    </w:p>
    <w:p w14:paraId="6A27A38E">
      <w:pPr>
        <w:pStyle w:val="26"/>
        <w:tabs>
          <w:tab w:val="right" w:leader="dot" w:pos="9638"/>
        </w:tabs>
        <w:rPr>
          <w:color w:val="auto"/>
          <w:highlight w:val="none"/>
        </w:rPr>
      </w:pPr>
      <w:bookmarkStart w:id="6" w:name="_Toc247527533"/>
      <w:bookmarkStart w:id="7" w:name="_Toc247513932"/>
      <w:bookmarkStart w:id="8" w:name="_Toc152045511"/>
      <w:bookmarkStart w:id="9" w:name="_Toc152042287"/>
      <w:bookmarkStart w:id="10" w:name="_Toc144974479"/>
      <w:r>
        <w:rPr>
          <w:rFonts w:hint="eastAsia" w:ascii="宋体" w:hAnsi="宋体" w:cs="宋体"/>
          <w:caps w:val="0"/>
          <w:color w:val="auto"/>
          <w:highlight w:val="none"/>
        </w:rPr>
        <w:fldChar w:fldCharType="begin"/>
      </w:r>
      <w:r>
        <w:rPr>
          <w:rFonts w:hint="eastAsia" w:ascii="宋体" w:hAnsi="宋体" w:cs="宋体"/>
          <w:caps w:val="0"/>
          <w:color w:val="auto"/>
          <w:highlight w:val="none"/>
        </w:rPr>
        <w:instrText xml:space="preserve"> TOC \o "1-3" \h \z \u </w:instrText>
      </w:r>
      <w:r>
        <w:rPr>
          <w:rFonts w:hint="eastAsia" w:ascii="宋体" w:hAnsi="宋体" w:cs="宋体"/>
          <w:caps w:val="0"/>
          <w:color w:val="auto"/>
          <w:highlight w:val="none"/>
        </w:rPr>
        <w:fldChar w:fldCharType="separate"/>
      </w:r>
      <w:r>
        <w:rPr>
          <w:rFonts w:hint="eastAsia" w:ascii="宋体" w:hAnsi="宋体" w:cs="宋体"/>
          <w:caps w:val="0"/>
          <w:color w:val="auto"/>
          <w:highlight w:val="none"/>
        </w:rPr>
        <w:fldChar w:fldCharType="begin"/>
      </w:r>
      <w:r>
        <w:rPr>
          <w:rFonts w:hint="eastAsia" w:ascii="宋体" w:hAnsi="宋体" w:cs="宋体"/>
          <w:caps w:val="0"/>
          <w:color w:val="auto"/>
          <w:highlight w:val="none"/>
        </w:rPr>
        <w:instrText xml:space="preserve"> HYPERLINK \l _Toc26428 </w:instrText>
      </w:r>
      <w:r>
        <w:rPr>
          <w:rFonts w:hint="eastAsia" w:ascii="宋体" w:hAnsi="宋体" w:cs="宋体"/>
          <w:caps w:val="0"/>
          <w:color w:val="auto"/>
          <w:highlight w:val="none"/>
        </w:rPr>
        <w:fldChar w:fldCharType="separate"/>
      </w:r>
      <w:r>
        <w:rPr>
          <w:rFonts w:hint="eastAsia" w:ascii="宋体" w:hAnsi="宋体" w:cs="宋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_Toc26428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aps w:val="0"/>
          <w:color w:val="auto"/>
          <w:highlight w:val="none"/>
        </w:rPr>
        <w:fldChar w:fldCharType="end"/>
      </w:r>
    </w:p>
    <w:p w14:paraId="1692260B">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_Toc6074 </w:instrText>
      </w:r>
      <w:r>
        <w:rPr>
          <w:rFonts w:hint="eastAsia" w:ascii="宋体" w:hAnsi="宋体" w:cs="宋体"/>
          <w:color w:val="auto"/>
          <w:highlight w:val="none"/>
        </w:rPr>
        <w:fldChar w:fldCharType="separate"/>
      </w:r>
      <w:r>
        <w:rPr>
          <w:rFonts w:hint="eastAsia" w:ascii="宋体" w:hAnsi="宋体" w:cs="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_Toc6074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highlight w:val="none"/>
        </w:rPr>
        <w:fldChar w:fldCharType="end"/>
      </w:r>
    </w:p>
    <w:p w14:paraId="3FDE0EC5">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_Toc18734 </w:instrText>
      </w:r>
      <w:r>
        <w:rPr>
          <w:rFonts w:hint="eastAsia" w:ascii="宋体" w:hAnsi="宋体" w:cs="宋体"/>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_Toc18734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rPr>
        <w:fldChar w:fldCharType="end"/>
      </w:r>
    </w:p>
    <w:p w14:paraId="68F7391C">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_Toc28602 </w:instrText>
      </w:r>
      <w:r>
        <w:rPr>
          <w:rFonts w:hint="eastAsia" w:ascii="宋体" w:hAnsi="宋体" w:cs="宋体"/>
          <w:color w:val="auto"/>
          <w:highlight w:val="none"/>
        </w:rPr>
        <w:fldChar w:fldCharType="separate"/>
      </w:r>
      <w:r>
        <w:rPr>
          <w:rFonts w:hint="eastAsia" w:ascii="宋体" w:hAnsi="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_Toc28602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highlight w:val="none"/>
        </w:rPr>
        <w:fldChar w:fldCharType="end"/>
      </w:r>
    </w:p>
    <w:p w14:paraId="5C352B18">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_Toc77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_Toc77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highlight w:val="none"/>
        </w:rPr>
        <w:fldChar w:fldCharType="end"/>
      </w:r>
    </w:p>
    <w:p w14:paraId="7185A94B">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_Toc25375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_Toc25375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highlight w:val="none"/>
        </w:rPr>
        <w:fldChar w:fldCharType="end"/>
      </w:r>
    </w:p>
    <w:p w14:paraId="467E6402">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_Toc22901 </w:instrText>
      </w:r>
      <w:r>
        <w:rPr>
          <w:rFonts w:hint="eastAsia" w:ascii="宋体" w:hAnsi="宋体" w:cs="宋体"/>
          <w:color w:val="auto"/>
          <w:highlight w:val="none"/>
        </w:rPr>
        <w:fldChar w:fldCharType="separate"/>
      </w:r>
      <w:r>
        <w:rPr>
          <w:rFonts w:hint="eastAsia" w:ascii="宋体" w:eastAsia="宋体" w:cs="宋体"/>
          <w:color w:val="auto"/>
          <w:highlight w:val="none"/>
        </w:rPr>
        <w:t>1.1 项目概况</w:t>
      </w:r>
      <w:r>
        <w:rPr>
          <w:color w:val="auto"/>
          <w:highlight w:val="none"/>
        </w:rPr>
        <w:tab/>
      </w:r>
      <w:r>
        <w:rPr>
          <w:color w:val="auto"/>
          <w:highlight w:val="none"/>
        </w:rPr>
        <w:fldChar w:fldCharType="begin"/>
      </w:r>
      <w:r>
        <w:rPr>
          <w:color w:val="auto"/>
          <w:highlight w:val="none"/>
        </w:rPr>
        <w:instrText xml:space="preserve"> PAGEREF _Toc22901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highlight w:val="none"/>
        </w:rPr>
        <w:fldChar w:fldCharType="end"/>
      </w:r>
    </w:p>
    <w:p w14:paraId="59E90B07">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_Toc17601 </w:instrText>
      </w:r>
      <w:r>
        <w:rPr>
          <w:rFonts w:hint="eastAsia" w:ascii="宋体" w:hAnsi="宋体" w:cs="宋体"/>
          <w:color w:val="auto"/>
          <w:highlight w:val="none"/>
        </w:rPr>
        <w:fldChar w:fldCharType="separate"/>
      </w:r>
      <w:r>
        <w:rPr>
          <w:rFonts w:hint="eastAsia" w:ascii="宋体" w:eastAsia="宋体" w:cs="宋体"/>
          <w:color w:val="auto"/>
          <w:highlight w:val="none"/>
        </w:rPr>
        <w:t>1.2 项目的资金来源和落实情况</w:t>
      </w:r>
      <w:r>
        <w:rPr>
          <w:color w:val="auto"/>
          <w:highlight w:val="none"/>
        </w:rPr>
        <w:tab/>
      </w:r>
      <w:r>
        <w:rPr>
          <w:color w:val="auto"/>
          <w:highlight w:val="none"/>
        </w:rPr>
        <w:fldChar w:fldCharType="begin"/>
      </w:r>
      <w:r>
        <w:rPr>
          <w:color w:val="auto"/>
          <w:highlight w:val="none"/>
        </w:rPr>
        <w:instrText xml:space="preserve"> PAGEREF _Toc17601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highlight w:val="none"/>
        </w:rPr>
        <w:fldChar w:fldCharType="end"/>
      </w:r>
    </w:p>
    <w:p w14:paraId="42DB9C85">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_Toc22496 </w:instrText>
      </w:r>
      <w:r>
        <w:rPr>
          <w:rFonts w:hint="eastAsia" w:ascii="宋体" w:hAnsi="宋体" w:cs="宋体"/>
          <w:color w:val="auto"/>
          <w:highlight w:val="none"/>
        </w:rPr>
        <w:fldChar w:fldCharType="separate"/>
      </w:r>
      <w:r>
        <w:rPr>
          <w:rFonts w:hint="eastAsia" w:ascii="宋体" w:eastAsia="宋体" w:cs="宋体"/>
          <w:color w:val="auto"/>
          <w:highlight w:val="none"/>
        </w:rPr>
        <w:t>1.3 招标范围、计划工期和质量标准</w:t>
      </w:r>
      <w:r>
        <w:rPr>
          <w:color w:val="auto"/>
          <w:highlight w:val="none"/>
        </w:rPr>
        <w:tab/>
      </w:r>
      <w:r>
        <w:rPr>
          <w:color w:val="auto"/>
          <w:highlight w:val="none"/>
        </w:rPr>
        <w:fldChar w:fldCharType="begin"/>
      </w:r>
      <w:r>
        <w:rPr>
          <w:color w:val="auto"/>
          <w:highlight w:val="none"/>
        </w:rPr>
        <w:instrText xml:space="preserve"> PAGEREF _Toc22496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highlight w:val="none"/>
        </w:rPr>
        <w:fldChar w:fldCharType="end"/>
      </w:r>
    </w:p>
    <w:p w14:paraId="756E4A3C">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_Toc8109 </w:instrText>
      </w:r>
      <w:r>
        <w:rPr>
          <w:rFonts w:hint="eastAsia" w:ascii="宋体" w:hAnsi="宋体" w:cs="宋体"/>
          <w:color w:val="auto"/>
          <w:highlight w:val="none"/>
        </w:rPr>
        <w:fldChar w:fldCharType="separate"/>
      </w:r>
      <w:r>
        <w:rPr>
          <w:rFonts w:hint="eastAsia" w:ascii="宋体" w:eastAsia="宋体" w:cs="宋体"/>
          <w:color w:val="auto"/>
          <w:highlight w:val="none"/>
        </w:rPr>
        <w:t>1.4 投标人资格要求</w:t>
      </w:r>
      <w:r>
        <w:rPr>
          <w:rFonts w:hint="eastAsia" w:ascii="新宋体" w:hAnsi="新宋体" w:eastAsia="新宋体" w:cs="新宋体"/>
          <w:color w:val="auto"/>
          <w:highlight w:val="none"/>
        </w:rPr>
        <w:t>（适用于未进行资格预审的）</w:t>
      </w:r>
      <w:r>
        <w:rPr>
          <w:color w:val="auto"/>
          <w:highlight w:val="none"/>
        </w:rPr>
        <w:tab/>
      </w:r>
      <w:r>
        <w:rPr>
          <w:color w:val="auto"/>
          <w:highlight w:val="none"/>
        </w:rPr>
        <w:fldChar w:fldCharType="begin"/>
      </w:r>
      <w:r>
        <w:rPr>
          <w:color w:val="auto"/>
          <w:highlight w:val="none"/>
        </w:rPr>
        <w:instrText xml:space="preserve"> PAGEREF _Toc8109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highlight w:val="none"/>
        </w:rPr>
        <w:fldChar w:fldCharType="end"/>
      </w:r>
    </w:p>
    <w:p w14:paraId="1C8A42C9">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_Toc1082 </w:instrText>
      </w:r>
      <w:r>
        <w:rPr>
          <w:rFonts w:hint="eastAsia" w:ascii="宋体" w:hAnsi="宋体" w:cs="宋体"/>
          <w:color w:val="auto"/>
          <w:highlight w:val="none"/>
        </w:rPr>
        <w:fldChar w:fldCharType="separate"/>
      </w:r>
      <w:r>
        <w:rPr>
          <w:rFonts w:hint="eastAsia" w:ascii="宋体" w:eastAsia="宋体" w:cs="宋体"/>
          <w:color w:val="auto"/>
          <w:highlight w:val="none"/>
        </w:rPr>
        <w:t>1.5 费用承担和设计成果补偿</w:t>
      </w:r>
      <w:r>
        <w:rPr>
          <w:color w:val="auto"/>
          <w:highlight w:val="none"/>
        </w:rPr>
        <w:tab/>
      </w:r>
      <w:r>
        <w:rPr>
          <w:color w:val="auto"/>
          <w:highlight w:val="none"/>
        </w:rPr>
        <w:fldChar w:fldCharType="begin"/>
      </w:r>
      <w:r>
        <w:rPr>
          <w:color w:val="auto"/>
          <w:highlight w:val="none"/>
        </w:rPr>
        <w:instrText xml:space="preserve"> PAGEREF _Toc1082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highlight w:val="none"/>
        </w:rPr>
        <w:fldChar w:fldCharType="end"/>
      </w:r>
    </w:p>
    <w:p w14:paraId="2706FAC5">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_Toc9317 </w:instrText>
      </w:r>
      <w:r>
        <w:rPr>
          <w:rFonts w:hint="eastAsia" w:ascii="宋体" w:hAnsi="宋体" w:cs="宋体"/>
          <w:color w:val="auto"/>
          <w:highlight w:val="none"/>
        </w:rPr>
        <w:fldChar w:fldCharType="separate"/>
      </w:r>
      <w:r>
        <w:rPr>
          <w:rFonts w:hint="eastAsia" w:ascii="宋体" w:eastAsia="宋体" w:cs="宋体"/>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_Toc9317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rPr>
        <w:fldChar w:fldCharType="end"/>
      </w:r>
    </w:p>
    <w:p w14:paraId="4CC53C94">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_Toc5470 </w:instrText>
      </w:r>
      <w:r>
        <w:rPr>
          <w:rFonts w:hint="eastAsia" w:ascii="宋体" w:hAnsi="宋体" w:cs="宋体"/>
          <w:color w:val="auto"/>
          <w:highlight w:val="none"/>
        </w:rPr>
        <w:fldChar w:fldCharType="separate"/>
      </w:r>
      <w:r>
        <w:rPr>
          <w:rFonts w:hint="eastAsia" w:ascii="宋体" w:eastAsia="宋体" w:cs="宋体"/>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_Toc5470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rPr>
        <w:fldChar w:fldCharType="end"/>
      </w:r>
    </w:p>
    <w:p w14:paraId="105C8C6F">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_Toc23862 </w:instrText>
      </w:r>
      <w:r>
        <w:rPr>
          <w:rFonts w:hint="eastAsia" w:ascii="宋体" w:hAnsi="宋体" w:cs="宋体"/>
          <w:color w:val="auto"/>
          <w:highlight w:val="none"/>
        </w:rPr>
        <w:fldChar w:fldCharType="separate"/>
      </w:r>
      <w:r>
        <w:rPr>
          <w:rFonts w:hint="eastAsia" w:ascii="宋体" w:eastAsia="宋体" w:cs="宋体"/>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_Toc23862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rPr>
        <w:fldChar w:fldCharType="end"/>
      </w:r>
    </w:p>
    <w:p w14:paraId="00341572">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_Toc18393 </w:instrText>
      </w:r>
      <w:r>
        <w:rPr>
          <w:rFonts w:hint="eastAsia" w:ascii="宋体" w:hAnsi="宋体" w:cs="宋体"/>
          <w:color w:val="auto"/>
          <w:highlight w:val="none"/>
        </w:rPr>
        <w:fldChar w:fldCharType="separate"/>
      </w:r>
      <w:r>
        <w:rPr>
          <w:rFonts w:hint="eastAsia" w:ascii="宋体" w:eastAsia="宋体" w:cs="宋体"/>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_Toc18393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rPr>
        <w:fldChar w:fldCharType="end"/>
      </w:r>
    </w:p>
    <w:p w14:paraId="3273B528">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_Toc18976 </w:instrText>
      </w:r>
      <w:r>
        <w:rPr>
          <w:rFonts w:hint="eastAsia" w:ascii="宋体" w:hAnsi="宋体" w:cs="宋体"/>
          <w:color w:val="auto"/>
          <w:highlight w:val="none"/>
        </w:rPr>
        <w:fldChar w:fldCharType="separate"/>
      </w:r>
      <w:r>
        <w:rPr>
          <w:rFonts w:hint="eastAsia" w:ascii="宋体" w:hAnsi="宋体" w:cs="宋体"/>
          <w:bCs/>
          <w:color w:val="auto"/>
          <w:szCs w:val="28"/>
          <w:highlight w:val="none"/>
        </w:rPr>
        <w:t>1.10 投标预备会</w:t>
      </w:r>
      <w:r>
        <w:rPr>
          <w:color w:val="auto"/>
          <w:highlight w:val="none"/>
        </w:rPr>
        <w:tab/>
      </w:r>
      <w:r>
        <w:rPr>
          <w:color w:val="auto"/>
          <w:highlight w:val="none"/>
        </w:rPr>
        <w:fldChar w:fldCharType="begin"/>
      </w:r>
      <w:r>
        <w:rPr>
          <w:color w:val="auto"/>
          <w:highlight w:val="none"/>
        </w:rPr>
        <w:instrText xml:space="preserve"> PAGEREF _Toc18976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rPr>
        <w:fldChar w:fldCharType="end"/>
      </w:r>
    </w:p>
    <w:p w14:paraId="50C7259C">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_Toc8871 </w:instrText>
      </w:r>
      <w:r>
        <w:rPr>
          <w:rFonts w:hint="eastAsia" w:ascii="宋体" w:hAnsi="宋体" w:cs="宋体"/>
          <w:color w:val="auto"/>
          <w:highlight w:val="none"/>
        </w:rPr>
        <w:fldChar w:fldCharType="separate"/>
      </w:r>
      <w:r>
        <w:rPr>
          <w:rFonts w:hint="eastAsia" w:ascii="宋体" w:eastAsia="宋体" w:cs="宋体"/>
          <w:color w:val="auto"/>
          <w:highlight w:val="none"/>
        </w:rPr>
        <w:t>1.11 分包</w:t>
      </w:r>
      <w:r>
        <w:rPr>
          <w:color w:val="auto"/>
          <w:highlight w:val="none"/>
        </w:rPr>
        <w:tab/>
      </w:r>
      <w:r>
        <w:rPr>
          <w:color w:val="auto"/>
          <w:highlight w:val="none"/>
        </w:rPr>
        <w:fldChar w:fldCharType="begin"/>
      </w:r>
      <w:r>
        <w:rPr>
          <w:color w:val="auto"/>
          <w:highlight w:val="none"/>
        </w:rPr>
        <w:instrText xml:space="preserve"> PAGEREF _Toc8871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rPr>
        <w:fldChar w:fldCharType="end"/>
      </w:r>
    </w:p>
    <w:p w14:paraId="23B1558A">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_Toc18730 </w:instrText>
      </w:r>
      <w:r>
        <w:rPr>
          <w:rFonts w:hint="eastAsia" w:ascii="宋体" w:hAnsi="宋体" w:cs="宋体"/>
          <w:color w:val="auto"/>
          <w:highlight w:val="none"/>
        </w:rPr>
        <w:fldChar w:fldCharType="separate"/>
      </w:r>
      <w:r>
        <w:rPr>
          <w:rFonts w:hint="eastAsia" w:ascii="宋体" w:eastAsia="宋体" w:cs="宋体"/>
          <w:color w:val="auto"/>
          <w:highlight w:val="none"/>
        </w:rPr>
        <w:t>1.12 偏离</w:t>
      </w:r>
      <w:r>
        <w:rPr>
          <w:color w:val="auto"/>
          <w:highlight w:val="none"/>
        </w:rPr>
        <w:tab/>
      </w:r>
      <w:r>
        <w:rPr>
          <w:color w:val="auto"/>
          <w:highlight w:val="none"/>
        </w:rPr>
        <w:fldChar w:fldCharType="begin"/>
      </w:r>
      <w:r>
        <w:rPr>
          <w:color w:val="auto"/>
          <w:highlight w:val="none"/>
        </w:rPr>
        <w:instrText xml:space="preserve"> PAGEREF _Toc18730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highlight w:val="none"/>
        </w:rPr>
        <w:fldChar w:fldCharType="end"/>
      </w:r>
    </w:p>
    <w:p w14:paraId="70777B0F">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_Toc6861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_Toc6861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highlight w:val="none"/>
        </w:rPr>
        <w:fldChar w:fldCharType="end"/>
      </w:r>
    </w:p>
    <w:p w14:paraId="445F2FE8">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_Toc5648 </w:instrText>
      </w:r>
      <w:r>
        <w:rPr>
          <w:rFonts w:hint="eastAsia" w:ascii="宋体" w:hAnsi="宋体" w:cs="宋体"/>
          <w:color w:val="auto"/>
          <w:highlight w:val="none"/>
        </w:rPr>
        <w:fldChar w:fldCharType="separate"/>
      </w:r>
      <w:r>
        <w:rPr>
          <w:rFonts w:hint="eastAsia" w:ascii="宋体" w:eastAsia="宋体" w:cs="宋体"/>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_Toc5648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highlight w:val="none"/>
        </w:rPr>
        <w:fldChar w:fldCharType="end"/>
      </w:r>
    </w:p>
    <w:p w14:paraId="3C4A4016">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_Toc21684 </w:instrText>
      </w:r>
      <w:r>
        <w:rPr>
          <w:rFonts w:hint="eastAsia" w:ascii="宋体" w:hAnsi="宋体" w:cs="宋体"/>
          <w:color w:val="auto"/>
          <w:highlight w:val="none"/>
        </w:rPr>
        <w:fldChar w:fldCharType="separate"/>
      </w:r>
      <w:r>
        <w:rPr>
          <w:rFonts w:hint="eastAsia" w:ascii="宋体" w:eastAsia="宋体" w:cs="宋体"/>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_Toc21684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highlight w:val="none"/>
        </w:rPr>
        <w:fldChar w:fldCharType="end"/>
      </w:r>
    </w:p>
    <w:p w14:paraId="41B9500B">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_Toc17584 </w:instrText>
      </w:r>
      <w:r>
        <w:rPr>
          <w:rFonts w:hint="eastAsia" w:ascii="宋体" w:hAnsi="宋体" w:cs="宋体"/>
          <w:color w:val="auto"/>
          <w:highlight w:val="none"/>
        </w:rPr>
        <w:fldChar w:fldCharType="separate"/>
      </w:r>
      <w:r>
        <w:rPr>
          <w:rFonts w:hint="eastAsia" w:ascii="宋体" w:eastAsia="宋体" w:cs="宋体"/>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_Toc17584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rPr>
        <w:fldChar w:fldCharType="end"/>
      </w:r>
    </w:p>
    <w:p w14:paraId="49812E29">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_Toc31093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_Toc31093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rPr>
        <w:fldChar w:fldCharType="end"/>
      </w:r>
    </w:p>
    <w:p w14:paraId="5E34628D">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_Toc29607 </w:instrText>
      </w:r>
      <w:r>
        <w:rPr>
          <w:rFonts w:hint="eastAsia" w:ascii="宋体" w:hAnsi="宋体" w:cs="宋体"/>
          <w:color w:val="auto"/>
          <w:highlight w:val="none"/>
        </w:rPr>
        <w:fldChar w:fldCharType="separate"/>
      </w:r>
      <w:r>
        <w:rPr>
          <w:rFonts w:hint="eastAsia" w:ascii="宋体" w:eastAsia="宋体" w:cs="宋体"/>
          <w:color w:val="auto"/>
          <w:szCs w:val="21"/>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_Toc29607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rPr>
        <w:fldChar w:fldCharType="end"/>
      </w:r>
    </w:p>
    <w:p w14:paraId="0F9D9E65">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_Toc1915 </w:instrText>
      </w:r>
      <w:r>
        <w:rPr>
          <w:rFonts w:hint="eastAsia" w:ascii="宋体" w:hAnsi="宋体" w:cs="宋体"/>
          <w:color w:val="auto"/>
          <w:highlight w:val="none"/>
        </w:rPr>
        <w:fldChar w:fldCharType="separate"/>
      </w:r>
      <w:r>
        <w:rPr>
          <w:rFonts w:hint="eastAsia" w:ascii="宋体" w:eastAsia="宋体" w:cs="宋体"/>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_Toc1915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highlight w:val="none"/>
        </w:rPr>
        <w:fldChar w:fldCharType="end"/>
      </w:r>
    </w:p>
    <w:p w14:paraId="696672F4">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_Toc8437 </w:instrText>
      </w:r>
      <w:r>
        <w:rPr>
          <w:rFonts w:hint="eastAsia" w:ascii="宋体" w:hAnsi="宋体" w:cs="宋体"/>
          <w:color w:val="auto"/>
          <w:highlight w:val="none"/>
        </w:rPr>
        <w:fldChar w:fldCharType="separate"/>
      </w:r>
      <w:r>
        <w:rPr>
          <w:rFonts w:hint="eastAsia" w:ascii="宋体" w:eastAsia="宋体" w:cs="宋体"/>
          <w:color w:val="auto"/>
          <w:highlight w:val="none"/>
        </w:rPr>
        <w:t>3.3 投标有效期</w:t>
      </w:r>
      <w:r>
        <w:rPr>
          <w:color w:val="auto"/>
          <w:highlight w:val="none"/>
        </w:rPr>
        <w:tab/>
      </w:r>
      <w:r>
        <w:rPr>
          <w:color w:val="auto"/>
          <w:highlight w:val="none"/>
        </w:rPr>
        <w:fldChar w:fldCharType="begin"/>
      </w:r>
      <w:r>
        <w:rPr>
          <w:color w:val="auto"/>
          <w:highlight w:val="none"/>
        </w:rPr>
        <w:instrText xml:space="preserve"> PAGEREF _Toc8437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highlight w:val="none"/>
        </w:rPr>
        <w:fldChar w:fldCharType="end"/>
      </w:r>
    </w:p>
    <w:p w14:paraId="5882FBF8">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_Toc280 </w:instrText>
      </w:r>
      <w:r>
        <w:rPr>
          <w:rFonts w:hint="eastAsia" w:ascii="宋体" w:hAnsi="宋体" w:cs="宋体"/>
          <w:color w:val="auto"/>
          <w:highlight w:val="none"/>
        </w:rPr>
        <w:fldChar w:fldCharType="separate"/>
      </w:r>
      <w:r>
        <w:rPr>
          <w:rFonts w:hint="eastAsia" w:ascii="宋体" w:eastAsia="宋体" w:cs="宋体"/>
          <w:color w:val="auto"/>
          <w:highlight w:val="none"/>
        </w:rPr>
        <w:t>3.4 投标保证金</w:t>
      </w:r>
      <w:r>
        <w:rPr>
          <w:color w:val="auto"/>
          <w:highlight w:val="none"/>
        </w:rPr>
        <w:tab/>
      </w:r>
      <w:r>
        <w:rPr>
          <w:color w:val="auto"/>
          <w:highlight w:val="none"/>
        </w:rPr>
        <w:fldChar w:fldCharType="begin"/>
      </w:r>
      <w:r>
        <w:rPr>
          <w:color w:val="auto"/>
          <w:highlight w:val="none"/>
        </w:rPr>
        <w:instrText xml:space="preserve"> PAGEREF _Toc280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highlight w:val="none"/>
        </w:rPr>
        <w:fldChar w:fldCharType="end"/>
      </w:r>
    </w:p>
    <w:p w14:paraId="2EE590E4">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_Toc6308 </w:instrText>
      </w:r>
      <w:r>
        <w:rPr>
          <w:rFonts w:hint="eastAsia" w:ascii="宋体" w:hAnsi="宋体" w:cs="宋体"/>
          <w:color w:val="auto"/>
          <w:highlight w:val="none"/>
        </w:rPr>
        <w:fldChar w:fldCharType="separate"/>
      </w:r>
      <w:r>
        <w:rPr>
          <w:rFonts w:hint="eastAsia" w:ascii="宋体" w:eastAsia="宋体" w:cs="宋体"/>
          <w:color w:val="auto"/>
          <w:highlight w:val="none"/>
        </w:rPr>
        <w:t>3.5 资格审查资料（适用于未进行资格预审的）</w:t>
      </w:r>
      <w:r>
        <w:rPr>
          <w:color w:val="auto"/>
          <w:highlight w:val="none"/>
        </w:rPr>
        <w:tab/>
      </w:r>
      <w:r>
        <w:rPr>
          <w:color w:val="auto"/>
          <w:highlight w:val="none"/>
        </w:rPr>
        <w:fldChar w:fldCharType="begin"/>
      </w:r>
      <w:r>
        <w:rPr>
          <w:color w:val="auto"/>
          <w:highlight w:val="none"/>
        </w:rPr>
        <w:instrText xml:space="preserve"> PAGEREF _Toc6308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highlight w:val="none"/>
        </w:rPr>
        <w:fldChar w:fldCharType="end"/>
      </w:r>
    </w:p>
    <w:p w14:paraId="07E0284A">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_Toc12562 </w:instrText>
      </w:r>
      <w:r>
        <w:rPr>
          <w:rFonts w:hint="eastAsia" w:ascii="宋体" w:hAnsi="宋体" w:cs="宋体"/>
          <w:color w:val="auto"/>
          <w:highlight w:val="none"/>
        </w:rPr>
        <w:fldChar w:fldCharType="separate"/>
      </w:r>
      <w:r>
        <w:rPr>
          <w:rFonts w:hint="eastAsia" w:ascii="宋体" w:eastAsia="宋体" w:cs="宋体"/>
          <w:color w:val="auto"/>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_Toc12562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highlight w:val="none"/>
        </w:rPr>
        <w:fldChar w:fldCharType="end"/>
      </w:r>
    </w:p>
    <w:p w14:paraId="74F931C9">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_Toc30148 </w:instrText>
      </w:r>
      <w:r>
        <w:rPr>
          <w:rFonts w:hint="eastAsia" w:ascii="宋体" w:hAnsi="宋体" w:cs="宋体"/>
          <w:color w:val="auto"/>
          <w:highlight w:val="none"/>
        </w:rPr>
        <w:fldChar w:fldCharType="separate"/>
      </w:r>
      <w:r>
        <w:rPr>
          <w:rFonts w:hint="eastAsia" w:ascii="宋体" w:eastAsia="宋体" w:cs="宋体"/>
          <w:color w:val="auto"/>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_Toc30148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highlight w:val="none"/>
        </w:rPr>
        <w:fldChar w:fldCharType="end"/>
      </w:r>
    </w:p>
    <w:p w14:paraId="2EA8E705">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_Toc15400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_Toc15400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highlight w:val="none"/>
        </w:rPr>
        <w:fldChar w:fldCharType="end"/>
      </w:r>
    </w:p>
    <w:p w14:paraId="4BAB46A2">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_Toc12354 </w:instrText>
      </w:r>
      <w:r>
        <w:rPr>
          <w:rFonts w:hint="eastAsia" w:ascii="宋体" w:hAnsi="宋体" w:cs="宋体"/>
          <w:color w:val="auto"/>
          <w:highlight w:val="none"/>
        </w:rPr>
        <w:fldChar w:fldCharType="separate"/>
      </w:r>
      <w:r>
        <w:rPr>
          <w:rFonts w:hint="eastAsia" w:ascii="宋体" w:eastAsia="宋体" w:cs="宋体"/>
          <w:color w:val="auto"/>
          <w:highlight w:val="none"/>
        </w:rPr>
        <w:t>4.1 投标文件的密封和标记</w:t>
      </w:r>
      <w:r>
        <w:rPr>
          <w:color w:val="auto"/>
          <w:highlight w:val="none"/>
        </w:rPr>
        <w:tab/>
      </w:r>
      <w:r>
        <w:rPr>
          <w:color w:val="auto"/>
          <w:highlight w:val="none"/>
        </w:rPr>
        <w:fldChar w:fldCharType="begin"/>
      </w:r>
      <w:r>
        <w:rPr>
          <w:color w:val="auto"/>
          <w:highlight w:val="none"/>
        </w:rPr>
        <w:instrText xml:space="preserve"> PAGEREF _Toc12354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highlight w:val="none"/>
        </w:rPr>
        <w:fldChar w:fldCharType="end"/>
      </w:r>
    </w:p>
    <w:p w14:paraId="2260E325">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_Toc12312 </w:instrText>
      </w:r>
      <w:r>
        <w:rPr>
          <w:rFonts w:hint="eastAsia" w:ascii="宋体" w:hAnsi="宋体" w:cs="宋体"/>
          <w:color w:val="auto"/>
          <w:highlight w:val="none"/>
        </w:rPr>
        <w:fldChar w:fldCharType="separate"/>
      </w:r>
      <w:r>
        <w:rPr>
          <w:rFonts w:hint="eastAsia" w:ascii="宋体" w:eastAsia="宋体" w:cs="宋体"/>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_Toc12312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highlight w:val="none"/>
        </w:rPr>
        <w:fldChar w:fldCharType="end"/>
      </w:r>
    </w:p>
    <w:p w14:paraId="27E49317">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_Toc18008 </w:instrText>
      </w:r>
      <w:r>
        <w:rPr>
          <w:rFonts w:hint="eastAsia" w:ascii="宋体" w:hAnsi="宋体" w:cs="宋体"/>
          <w:color w:val="auto"/>
          <w:highlight w:val="none"/>
        </w:rPr>
        <w:fldChar w:fldCharType="separate"/>
      </w:r>
      <w:r>
        <w:rPr>
          <w:rFonts w:hint="eastAsia" w:ascii="宋体" w:eastAsia="宋体" w:cs="宋体"/>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_Toc18008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highlight w:val="none"/>
        </w:rPr>
        <w:fldChar w:fldCharType="end"/>
      </w:r>
    </w:p>
    <w:p w14:paraId="1197BEC6">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_Toc963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_Toc963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highlight w:val="none"/>
        </w:rPr>
        <w:fldChar w:fldCharType="end"/>
      </w:r>
    </w:p>
    <w:p w14:paraId="2C017A1A">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_Toc18095 </w:instrText>
      </w:r>
      <w:r>
        <w:rPr>
          <w:rFonts w:hint="eastAsia" w:ascii="宋体" w:hAnsi="宋体" w:cs="宋体"/>
          <w:color w:val="auto"/>
          <w:highlight w:val="none"/>
        </w:rPr>
        <w:fldChar w:fldCharType="separate"/>
      </w:r>
      <w:r>
        <w:rPr>
          <w:rFonts w:hint="eastAsia" w:ascii="宋体" w:eastAsia="宋体" w:cs="宋体"/>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_Toc18095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highlight w:val="none"/>
        </w:rPr>
        <w:fldChar w:fldCharType="end"/>
      </w:r>
    </w:p>
    <w:p w14:paraId="49B13EAB">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_Toc22865 </w:instrText>
      </w:r>
      <w:r>
        <w:rPr>
          <w:rFonts w:hint="eastAsia" w:ascii="宋体" w:hAnsi="宋体" w:cs="宋体"/>
          <w:color w:val="auto"/>
          <w:highlight w:val="none"/>
        </w:rPr>
        <w:fldChar w:fldCharType="separate"/>
      </w:r>
      <w:r>
        <w:rPr>
          <w:rFonts w:hint="eastAsia" w:ascii="宋体" w:eastAsia="宋体" w:cs="宋体"/>
          <w:color w:val="auto"/>
          <w:highlight w:val="none"/>
        </w:rPr>
        <w:t>5.2 开标程序</w:t>
      </w:r>
      <w:r>
        <w:rPr>
          <w:color w:val="auto"/>
          <w:highlight w:val="none"/>
        </w:rPr>
        <w:tab/>
      </w:r>
      <w:r>
        <w:rPr>
          <w:color w:val="auto"/>
          <w:highlight w:val="none"/>
        </w:rPr>
        <w:fldChar w:fldCharType="begin"/>
      </w:r>
      <w:r>
        <w:rPr>
          <w:color w:val="auto"/>
          <w:highlight w:val="none"/>
        </w:rPr>
        <w:instrText xml:space="preserve"> PAGEREF _Toc22865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highlight w:val="none"/>
        </w:rPr>
        <w:fldChar w:fldCharType="end"/>
      </w:r>
    </w:p>
    <w:p w14:paraId="733C09E7">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_Toc26734 </w:instrText>
      </w:r>
      <w:r>
        <w:rPr>
          <w:rFonts w:hint="eastAsia" w:ascii="宋体" w:hAnsi="宋体" w:cs="宋体"/>
          <w:color w:val="auto"/>
          <w:highlight w:val="none"/>
        </w:rPr>
        <w:fldChar w:fldCharType="separate"/>
      </w:r>
      <w:r>
        <w:rPr>
          <w:rFonts w:hint="eastAsia" w:ascii="宋体" w:eastAsia="宋体" w:cs="宋体"/>
          <w:color w:val="auto"/>
          <w:highlight w:val="none"/>
        </w:rPr>
        <w:t>5.3 开标异议</w:t>
      </w:r>
      <w:r>
        <w:rPr>
          <w:color w:val="auto"/>
          <w:highlight w:val="none"/>
        </w:rPr>
        <w:tab/>
      </w:r>
      <w:r>
        <w:rPr>
          <w:color w:val="auto"/>
          <w:highlight w:val="none"/>
        </w:rPr>
        <w:fldChar w:fldCharType="begin"/>
      </w:r>
      <w:r>
        <w:rPr>
          <w:color w:val="auto"/>
          <w:highlight w:val="none"/>
        </w:rPr>
        <w:instrText xml:space="preserve"> PAGEREF _Toc26734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highlight w:val="none"/>
        </w:rPr>
        <w:fldChar w:fldCharType="end"/>
      </w:r>
    </w:p>
    <w:p w14:paraId="06CA0B86">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_Toc6783 </w:instrText>
      </w:r>
      <w:r>
        <w:rPr>
          <w:rFonts w:hint="eastAsia" w:ascii="宋体" w:hAnsi="宋体" w:cs="宋体"/>
          <w:color w:val="auto"/>
          <w:highlight w:val="none"/>
        </w:rPr>
        <w:fldChar w:fldCharType="separate"/>
      </w:r>
      <w:r>
        <w:rPr>
          <w:rFonts w:hint="eastAsia" w:ascii="宋体" w:hAnsi="宋体" w:cs="宋体"/>
          <w:bCs/>
          <w:color w:val="auto"/>
          <w:szCs w:val="28"/>
          <w:highlight w:val="none"/>
        </w:rPr>
        <w:t>6. 评标</w:t>
      </w:r>
      <w:r>
        <w:rPr>
          <w:color w:val="auto"/>
          <w:highlight w:val="none"/>
        </w:rPr>
        <w:tab/>
      </w:r>
      <w:r>
        <w:rPr>
          <w:color w:val="auto"/>
          <w:highlight w:val="none"/>
        </w:rPr>
        <w:fldChar w:fldCharType="begin"/>
      </w:r>
      <w:r>
        <w:rPr>
          <w:color w:val="auto"/>
          <w:highlight w:val="none"/>
        </w:rPr>
        <w:instrText xml:space="preserve"> PAGEREF _Toc6783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highlight w:val="none"/>
        </w:rPr>
        <w:fldChar w:fldCharType="end"/>
      </w:r>
    </w:p>
    <w:p w14:paraId="5BF372E7">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_Toc2239 </w:instrText>
      </w:r>
      <w:r>
        <w:rPr>
          <w:rFonts w:hint="eastAsia" w:ascii="宋体" w:hAnsi="宋体" w:cs="宋体"/>
          <w:color w:val="auto"/>
          <w:highlight w:val="none"/>
        </w:rPr>
        <w:fldChar w:fldCharType="separate"/>
      </w:r>
      <w:r>
        <w:rPr>
          <w:rFonts w:hint="eastAsia" w:ascii="宋体" w:hAnsi="宋体" w:cs="宋体"/>
          <w:color w:val="auto"/>
          <w:highlight w:val="none"/>
        </w:rPr>
        <w:t>6.1 评标委员会</w:t>
      </w:r>
      <w:r>
        <w:rPr>
          <w:color w:val="auto"/>
          <w:highlight w:val="none"/>
        </w:rPr>
        <w:tab/>
      </w:r>
      <w:r>
        <w:rPr>
          <w:color w:val="auto"/>
          <w:highlight w:val="none"/>
        </w:rPr>
        <w:fldChar w:fldCharType="begin"/>
      </w:r>
      <w:r>
        <w:rPr>
          <w:color w:val="auto"/>
          <w:highlight w:val="none"/>
        </w:rPr>
        <w:instrText xml:space="preserve"> PAGEREF _Toc2239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rPr>
        <w:fldChar w:fldCharType="end"/>
      </w:r>
    </w:p>
    <w:p w14:paraId="342358DD">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_Toc2192 </w:instrText>
      </w:r>
      <w:r>
        <w:rPr>
          <w:rFonts w:hint="eastAsia" w:ascii="宋体" w:hAnsi="宋体" w:cs="宋体"/>
          <w:color w:val="auto"/>
          <w:highlight w:val="none"/>
        </w:rPr>
        <w:fldChar w:fldCharType="separate"/>
      </w:r>
      <w:r>
        <w:rPr>
          <w:rFonts w:hint="eastAsia" w:ascii="宋体" w:eastAsia="宋体" w:cs="宋体"/>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_Toc2192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rPr>
        <w:fldChar w:fldCharType="end"/>
      </w:r>
    </w:p>
    <w:p w14:paraId="15BADD05">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_Toc24990 </w:instrText>
      </w:r>
      <w:r>
        <w:rPr>
          <w:rFonts w:hint="eastAsia" w:ascii="宋体" w:hAnsi="宋体" w:cs="宋体"/>
          <w:color w:val="auto"/>
          <w:highlight w:val="none"/>
        </w:rPr>
        <w:fldChar w:fldCharType="separate"/>
      </w:r>
      <w:r>
        <w:rPr>
          <w:rFonts w:hint="eastAsia" w:ascii="宋体" w:eastAsia="宋体" w:cs="宋体"/>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_Toc24990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rPr>
        <w:fldChar w:fldCharType="end"/>
      </w:r>
    </w:p>
    <w:p w14:paraId="398D93BD">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_Toc25703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_Toc25703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14:paraId="442DA01E">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_Toc11234 </w:instrText>
      </w:r>
      <w:r>
        <w:rPr>
          <w:rFonts w:hint="eastAsia" w:ascii="宋体" w:hAnsi="宋体" w:cs="宋体"/>
          <w:color w:val="auto"/>
          <w:highlight w:val="none"/>
        </w:rPr>
        <w:fldChar w:fldCharType="separate"/>
      </w:r>
      <w:r>
        <w:rPr>
          <w:rFonts w:hint="eastAsia" w:ascii="宋体" w:eastAsia="宋体" w:cs="宋体"/>
          <w:color w:val="auto"/>
          <w:highlight w:val="none"/>
        </w:rPr>
        <w:t>7.1 定标方式</w:t>
      </w:r>
      <w:r>
        <w:rPr>
          <w:color w:val="auto"/>
          <w:highlight w:val="none"/>
        </w:rPr>
        <w:tab/>
      </w:r>
      <w:r>
        <w:rPr>
          <w:color w:val="auto"/>
          <w:highlight w:val="none"/>
        </w:rPr>
        <w:fldChar w:fldCharType="begin"/>
      </w:r>
      <w:r>
        <w:rPr>
          <w:color w:val="auto"/>
          <w:highlight w:val="none"/>
        </w:rPr>
        <w:instrText xml:space="preserve"> PAGEREF _Toc11234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14:paraId="41142286">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_Toc14554 </w:instrText>
      </w:r>
      <w:r>
        <w:rPr>
          <w:rFonts w:hint="eastAsia" w:ascii="宋体" w:hAnsi="宋体" w:cs="宋体"/>
          <w:color w:val="auto"/>
          <w:highlight w:val="none"/>
        </w:rPr>
        <w:fldChar w:fldCharType="separate"/>
      </w:r>
      <w:r>
        <w:rPr>
          <w:rFonts w:hint="eastAsia" w:ascii="宋体" w:eastAsia="宋体" w:cs="宋体"/>
          <w:color w:val="auto"/>
          <w:highlight w:val="none"/>
        </w:rPr>
        <w:t>7.2 中标候选人公示</w:t>
      </w:r>
      <w:r>
        <w:rPr>
          <w:color w:val="auto"/>
          <w:highlight w:val="none"/>
        </w:rPr>
        <w:tab/>
      </w:r>
      <w:r>
        <w:rPr>
          <w:color w:val="auto"/>
          <w:highlight w:val="none"/>
        </w:rPr>
        <w:fldChar w:fldCharType="begin"/>
      </w:r>
      <w:r>
        <w:rPr>
          <w:color w:val="auto"/>
          <w:highlight w:val="none"/>
        </w:rPr>
        <w:instrText xml:space="preserve"> PAGEREF _Toc14554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14:paraId="3ACC550C">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_Toc12010 </w:instrText>
      </w:r>
      <w:r>
        <w:rPr>
          <w:rFonts w:hint="eastAsia" w:ascii="宋体" w:hAnsi="宋体" w:cs="宋体"/>
          <w:color w:val="auto"/>
          <w:highlight w:val="none"/>
        </w:rPr>
        <w:fldChar w:fldCharType="separate"/>
      </w:r>
      <w:r>
        <w:rPr>
          <w:rFonts w:hint="eastAsia" w:ascii="宋体" w:eastAsia="宋体" w:cs="宋体"/>
          <w:color w:val="auto"/>
          <w:highlight w:val="none"/>
        </w:rPr>
        <w:t>7.3 中标通知</w:t>
      </w:r>
      <w:r>
        <w:rPr>
          <w:color w:val="auto"/>
          <w:highlight w:val="none"/>
        </w:rPr>
        <w:tab/>
      </w:r>
      <w:r>
        <w:rPr>
          <w:color w:val="auto"/>
          <w:highlight w:val="none"/>
        </w:rPr>
        <w:fldChar w:fldCharType="begin"/>
      </w:r>
      <w:r>
        <w:rPr>
          <w:color w:val="auto"/>
          <w:highlight w:val="none"/>
        </w:rPr>
        <w:instrText xml:space="preserve"> PAGEREF _Toc12010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14:paraId="564E1939">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_Toc24641 </w:instrText>
      </w:r>
      <w:r>
        <w:rPr>
          <w:rFonts w:hint="eastAsia" w:ascii="宋体" w:hAnsi="宋体" w:cs="宋体"/>
          <w:color w:val="auto"/>
          <w:highlight w:val="none"/>
        </w:rPr>
        <w:fldChar w:fldCharType="separate"/>
      </w:r>
      <w:r>
        <w:rPr>
          <w:rFonts w:hint="eastAsia" w:ascii="宋体" w:eastAsia="宋体" w:cs="宋体"/>
          <w:color w:val="auto"/>
          <w:highlight w:val="none"/>
        </w:rPr>
        <w:t>7.4 履约担保</w:t>
      </w:r>
      <w:r>
        <w:rPr>
          <w:color w:val="auto"/>
          <w:highlight w:val="none"/>
        </w:rPr>
        <w:tab/>
      </w:r>
      <w:r>
        <w:rPr>
          <w:color w:val="auto"/>
          <w:highlight w:val="none"/>
        </w:rPr>
        <w:fldChar w:fldCharType="begin"/>
      </w:r>
      <w:r>
        <w:rPr>
          <w:color w:val="auto"/>
          <w:highlight w:val="none"/>
        </w:rPr>
        <w:instrText xml:space="preserve"> PAGEREF _Toc24641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14:paraId="5DB53AC5">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_Toc4692 </w:instrText>
      </w:r>
      <w:r>
        <w:rPr>
          <w:rFonts w:hint="eastAsia" w:ascii="宋体" w:hAnsi="宋体" w:cs="宋体"/>
          <w:color w:val="auto"/>
          <w:highlight w:val="none"/>
        </w:rPr>
        <w:fldChar w:fldCharType="separate"/>
      </w:r>
      <w:r>
        <w:rPr>
          <w:rFonts w:hint="eastAsia" w:ascii="宋体" w:eastAsia="宋体" w:cs="宋体"/>
          <w:color w:val="auto"/>
          <w:highlight w:val="none"/>
        </w:rPr>
        <w:t>7.5 签订合同</w:t>
      </w:r>
      <w:r>
        <w:rPr>
          <w:color w:val="auto"/>
          <w:highlight w:val="none"/>
        </w:rPr>
        <w:tab/>
      </w:r>
      <w:r>
        <w:rPr>
          <w:color w:val="auto"/>
          <w:highlight w:val="none"/>
        </w:rPr>
        <w:fldChar w:fldCharType="begin"/>
      </w:r>
      <w:r>
        <w:rPr>
          <w:color w:val="auto"/>
          <w:highlight w:val="none"/>
        </w:rPr>
        <w:instrText xml:space="preserve"> PAGEREF _Toc4692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14:paraId="177504D2">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_Toc26568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8. 纪律和监督</w:t>
      </w:r>
      <w:r>
        <w:rPr>
          <w:color w:val="auto"/>
          <w:highlight w:val="none"/>
        </w:rPr>
        <w:tab/>
      </w:r>
      <w:r>
        <w:rPr>
          <w:color w:val="auto"/>
          <w:highlight w:val="none"/>
        </w:rPr>
        <w:fldChar w:fldCharType="begin"/>
      </w:r>
      <w:r>
        <w:rPr>
          <w:color w:val="auto"/>
          <w:highlight w:val="none"/>
        </w:rPr>
        <w:instrText xml:space="preserve"> PAGEREF _Toc26568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rPr>
        <w:fldChar w:fldCharType="end"/>
      </w:r>
    </w:p>
    <w:p w14:paraId="3E63914D">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_Toc10904 </w:instrText>
      </w:r>
      <w:r>
        <w:rPr>
          <w:rFonts w:hint="eastAsia" w:ascii="宋体" w:hAnsi="宋体" w:cs="宋体"/>
          <w:color w:val="auto"/>
          <w:highlight w:val="none"/>
        </w:rPr>
        <w:fldChar w:fldCharType="separate"/>
      </w:r>
      <w:r>
        <w:rPr>
          <w:rFonts w:hint="eastAsia" w:ascii="宋体" w:eastAsia="宋体" w:cs="宋体"/>
          <w:color w:val="auto"/>
          <w:highlight w:val="none"/>
        </w:rPr>
        <w:t>8.1 对招标人的纪律要求</w:t>
      </w:r>
      <w:r>
        <w:rPr>
          <w:color w:val="auto"/>
          <w:highlight w:val="none"/>
        </w:rPr>
        <w:tab/>
      </w:r>
      <w:r>
        <w:rPr>
          <w:color w:val="auto"/>
          <w:highlight w:val="none"/>
        </w:rPr>
        <w:fldChar w:fldCharType="begin"/>
      </w:r>
      <w:r>
        <w:rPr>
          <w:color w:val="auto"/>
          <w:highlight w:val="none"/>
        </w:rPr>
        <w:instrText xml:space="preserve"> PAGEREF _Toc10904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rPr>
        <w:fldChar w:fldCharType="end"/>
      </w:r>
    </w:p>
    <w:p w14:paraId="1295E3FD">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_Toc17939 </w:instrText>
      </w:r>
      <w:r>
        <w:rPr>
          <w:rFonts w:hint="eastAsia" w:ascii="宋体" w:hAnsi="宋体" w:cs="宋体"/>
          <w:color w:val="auto"/>
          <w:highlight w:val="none"/>
        </w:rPr>
        <w:fldChar w:fldCharType="separate"/>
      </w:r>
      <w:r>
        <w:rPr>
          <w:rFonts w:hint="eastAsia" w:ascii="宋体" w:eastAsia="宋体" w:cs="宋体"/>
          <w:color w:val="auto"/>
          <w:highlight w:val="none"/>
        </w:rPr>
        <w:t>8.2 对投标人的纪律要求</w:t>
      </w:r>
      <w:r>
        <w:rPr>
          <w:color w:val="auto"/>
          <w:highlight w:val="none"/>
        </w:rPr>
        <w:tab/>
      </w:r>
      <w:r>
        <w:rPr>
          <w:color w:val="auto"/>
          <w:highlight w:val="none"/>
        </w:rPr>
        <w:fldChar w:fldCharType="begin"/>
      </w:r>
      <w:r>
        <w:rPr>
          <w:color w:val="auto"/>
          <w:highlight w:val="none"/>
        </w:rPr>
        <w:instrText xml:space="preserve"> PAGEREF _Toc17939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rPr>
        <w:fldChar w:fldCharType="end"/>
      </w:r>
    </w:p>
    <w:p w14:paraId="14D778BB">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_Toc32659 </w:instrText>
      </w:r>
      <w:r>
        <w:rPr>
          <w:rFonts w:hint="eastAsia" w:ascii="宋体" w:hAnsi="宋体" w:cs="宋体"/>
          <w:color w:val="auto"/>
          <w:highlight w:val="none"/>
        </w:rPr>
        <w:fldChar w:fldCharType="separate"/>
      </w:r>
      <w:r>
        <w:rPr>
          <w:rFonts w:hint="eastAsia" w:ascii="宋体" w:eastAsia="宋体" w:cs="宋体"/>
          <w:color w:val="auto"/>
          <w:highlight w:val="none"/>
        </w:rPr>
        <w:t>8.3 对评标委员会成员的纪律要求</w:t>
      </w:r>
      <w:r>
        <w:rPr>
          <w:color w:val="auto"/>
          <w:highlight w:val="none"/>
        </w:rPr>
        <w:tab/>
      </w:r>
      <w:r>
        <w:rPr>
          <w:color w:val="auto"/>
          <w:highlight w:val="none"/>
        </w:rPr>
        <w:fldChar w:fldCharType="begin"/>
      </w:r>
      <w:r>
        <w:rPr>
          <w:color w:val="auto"/>
          <w:highlight w:val="none"/>
        </w:rPr>
        <w:instrText xml:space="preserve"> PAGEREF _Toc32659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rPr>
        <w:fldChar w:fldCharType="end"/>
      </w:r>
    </w:p>
    <w:p w14:paraId="52BAAD56">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_Toc18477 </w:instrText>
      </w:r>
      <w:r>
        <w:rPr>
          <w:rFonts w:hint="eastAsia" w:ascii="宋体" w:hAnsi="宋体" w:cs="宋体"/>
          <w:color w:val="auto"/>
          <w:highlight w:val="none"/>
        </w:rPr>
        <w:fldChar w:fldCharType="separate"/>
      </w:r>
      <w:r>
        <w:rPr>
          <w:rFonts w:hint="eastAsia" w:ascii="宋体" w:eastAsia="宋体" w:cs="宋体"/>
          <w:color w:val="auto"/>
          <w:highlight w:val="none"/>
        </w:rPr>
        <w:t>8.4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_Toc18477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rPr>
        <w:fldChar w:fldCharType="end"/>
      </w:r>
    </w:p>
    <w:p w14:paraId="70C1E23D">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_Toc1085 </w:instrText>
      </w:r>
      <w:r>
        <w:rPr>
          <w:rFonts w:hint="eastAsia" w:ascii="宋体" w:hAnsi="宋体" w:cs="宋体"/>
          <w:color w:val="auto"/>
          <w:highlight w:val="none"/>
        </w:rPr>
        <w:fldChar w:fldCharType="separate"/>
      </w:r>
      <w:r>
        <w:rPr>
          <w:rFonts w:hint="eastAsia" w:ascii="宋体" w:eastAsia="宋体" w:cs="宋体"/>
          <w:color w:val="auto"/>
          <w:highlight w:val="none"/>
        </w:rPr>
        <w:t>8.5 投诉</w:t>
      </w:r>
      <w:r>
        <w:rPr>
          <w:color w:val="auto"/>
          <w:highlight w:val="none"/>
        </w:rPr>
        <w:tab/>
      </w:r>
      <w:r>
        <w:rPr>
          <w:color w:val="auto"/>
          <w:highlight w:val="none"/>
        </w:rPr>
        <w:fldChar w:fldCharType="begin"/>
      </w:r>
      <w:r>
        <w:rPr>
          <w:color w:val="auto"/>
          <w:highlight w:val="none"/>
        </w:rPr>
        <w:instrText xml:space="preserve"> PAGEREF _Toc1085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rPr>
        <w:fldChar w:fldCharType="end"/>
      </w:r>
    </w:p>
    <w:p w14:paraId="5873FC86">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_Toc28389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9. 需要补充的其他内容</w:t>
      </w:r>
      <w:r>
        <w:rPr>
          <w:color w:val="auto"/>
          <w:highlight w:val="none"/>
        </w:rPr>
        <w:tab/>
      </w:r>
      <w:r>
        <w:rPr>
          <w:color w:val="auto"/>
          <w:highlight w:val="none"/>
        </w:rPr>
        <w:fldChar w:fldCharType="begin"/>
      </w:r>
      <w:r>
        <w:rPr>
          <w:color w:val="auto"/>
          <w:highlight w:val="none"/>
        </w:rPr>
        <w:instrText xml:space="preserve"> PAGEREF _Toc28389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rPr>
        <w:fldChar w:fldCharType="end"/>
      </w:r>
    </w:p>
    <w:p w14:paraId="2CF1F187">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_Toc28950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10. 电子招标投标</w:t>
      </w:r>
      <w:r>
        <w:rPr>
          <w:color w:val="auto"/>
          <w:highlight w:val="none"/>
        </w:rPr>
        <w:tab/>
      </w:r>
      <w:r>
        <w:rPr>
          <w:color w:val="auto"/>
          <w:highlight w:val="none"/>
        </w:rPr>
        <w:fldChar w:fldCharType="begin"/>
      </w:r>
      <w:r>
        <w:rPr>
          <w:color w:val="auto"/>
          <w:highlight w:val="none"/>
        </w:rPr>
        <w:instrText xml:space="preserve"> PAGEREF _Toc28950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color w:val="auto"/>
          <w:highlight w:val="none"/>
        </w:rPr>
        <w:fldChar w:fldCharType="end"/>
      </w:r>
    </w:p>
    <w:p w14:paraId="4483A835">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_Toc2041 </w:instrText>
      </w:r>
      <w:r>
        <w:rPr>
          <w:rFonts w:hint="eastAsia" w:ascii="宋体" w:hAnsi="宋体" w:cs="宋体"/>
          <w:color w:val="auto"/>
          <w:highlight w:val="none"/>
        </w:rPr>
        <w:fldChar w:fldCharType="separate"/>
      </w:r>
      <w:r>
        <w:rPr>
          <w:rFonts w:hint="eastAsia" w:ascii="宋体" w:hAnsi="宋体" w:cs="宋体"/>
          <w:bCs/>
          <w:color w:val="auto"/>
          <w:szCs w:val="28"/>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_Toc2041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highlight w:val="none"/>
        </w:rPr>
        <w:fldChar w:fldCharType="end"/>
      </w:r>
    </w:p>
    <w:p w14:paraId="4BB92321">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_Toc32539 </w:instrText>
      </w:r>
      <w:r>
        <w:rPr>
          <w:rFonts w:hint="eastAsia" w:ascii="宋体" w:hAnsi="宋体" w:cs="宋体"/>
          <w:color w:val="auto"/>
          <w:highlight w:val="none"/>
        </w:rPr>
        <w:fldChar w:fldCharType="separate"/>
      </w:r>
      <w:r>
        <w:rPr>
          <w:rFonts w:hint="eastAsia" w:ascii="宋体" w:eastAsia="宋体" w:cs="宋体"/>
          <w:color w:val="auto"/>
          <w:highlight w:val="none"/>
        </w:rPr>
        <w:t>附件二：问题澄清通知</w:t>
      </w:r>
      <w:r>
        <w:rPr>
          <w:color w:val="auto"/>
          <w:highlight w:val="none"/>
        </w:rPr>
        <w:tab/>
      </w:r>
      <w:r>
        <w:rPr>
          <w:color w:val="auto"/>
          <w:highlight w:val="none"/>
        </w:rPr>
        <w:fldChar w:fldCharType="begin"/>
      </w:r>
      <w:r>
        <w:rPr>
          <w:color w:val="auto"/>
          <w:highlight w:val="none"/>
        </w:rPr>
        <w:instrText xml:space="preserve"> PAGEREF _Toc32539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highlight w:val="none"/>
        </w:rPr>
        <w:fldChar w:fldCharType="end"/>
      </w:r>
    </w:p>
    <w:p w14:paraId="5FAFC5D9">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_Toc27079 </w:instrText>
      </w:r>
      <w:r>
        <w:rPr>
          <w:rFonts w:hint="eastAsia" w:ascii="宋体" w:hAnsi="宋体" w:cs="宋体"/>
          <w:color w:val="auto"/>
          <w:highlight w:val="none"/>
        </w:rPr>
        <w:fldChar w:fldCharType="separate"/>
      </w:r>
      <w:r>
        <w:rPr>
          <w:rFonts w:hint="eastAsia" w:ascii="宋体" w:eastAsia="宋体" w:cs="宋体"/>
          <w:color w:val="auto"/>
          <w:highlight w:val="none"/>
        </w:rPr>
        <w:t>附件三：问题的澄清</w:t>
      </w:r>
      <w:r>
        <w:rPr>
          <w:color w:val="auto"/>
          <w:highlight w:val="none"/>
        </w:rPr>
        <w:tab/>
      </w:r>
      <w:r>
        <w:rPr>
          <w:color w:val="auto"/>
          <w:highlight w:val="none"/>
        </w:rPr>
        <w:fldChar w:fldCharType="begin"/>
      </w:r>
      <w:r>
        <w:rPr>
          <w:color w:val="auto"/>
          <w:highlight w:val="none"/>
        </w:rPr>
        <w:instrText xml:space="preserve"> PAGEREF _Toc27079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highlight w:val="none"/>
        </w:rPr>
        <w:fldChar w:fldCharType="end"/>
      </w:r>
    </w:p>
    <w:p w14:paraId="7A3AFEE0">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_Toc28476 </w:instrText>
      </w:r>
      <w:r>
        <w:rPr>
          <w:rFonts w:hint="eastAsia" w:ascii="宋体" w:hAnsi="宋体" w:cs="宋体"/>
          <w:color w:val="auto"/>
          <w:highlight w:val="none"/>
        </w:rPr>
        <w:fldChar w:fldCharType="separate"/>
      </w:r>
      <w:r>
        <w:rPr>
          <w:rFonts w:hint="eastAsia" w:ascii="宋体" w:eastAsia="宋体" w:cs="宋体"/>
          <w:color w:val="auto"/>
          <w:highlight w:val="none"/>
        </w:rPr>
        <w:t>附件四：评标委员会成员声明</w:t>
      </w:r>
      <w:r>
        <w:rPr>
          <w:color w:val="auto"/>
          <w:highlight w:val="none"/>
        </w:rPr>
        <w:tab/>
      </w:r>
      <w:r>
        <w:rPr>
          <w:color w:val="auto"/>
          <w:highlight w:val="none"/>
        </w:rPr>
        <w:fldChar w:fldCharType="begin"/>
      </w:r>
      <w:r>
        <w:rPr>
          <w:color w:val="auto"/>
          <w:highlight w:val="none"/>
        </w:rPr>
        <w:instrText xml:space="preserve"> PAGEREF _Toc28476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color w:val="auto"/>
          <w:highlight w:val="none"/>
        </w:rPr>
        <w:fldChar w:fldCharType="end"/>
      </w:r>
    </w:p>
    <w:p w14:paraId="467A48BD">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_Toc11613 </w:instrText>
      </w:r>
      <w:r>
        <w:rPr>
          <w:rFonts w:hint="eastAsia" w:ascii="宋体" w:hAnsi="宋体" w:cs="宋体"/>
          <w:color w:val="auto"/>
          <w:highlight w:val="none"/>
        </w:rPr>
        <w:fldChar w:fldCharType="separate"/>
      </w:r>
      <w:r>
        <w:rPr>
          <w:rFonts w:hint="eastAsia" w:ascii="宋体" w:hAnsi="宋体" w:cs="宋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_Toc11613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highlight w:val="none"/>
        </w:rPr>
        <w:fldChar w:fldCharType="end"/>
      </w:r>
    </w:p>
    <w:p w14:paraId="58438C2C">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_Toc27308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_Toc27308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highlight w:val="none"/>
        </w:rPr>
        <w:fldChar w:fldCharType="end"/>
      </w:r>
    </w:p>
    <w:p w14:paraId="605D2D89">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_Toc25110 </w:instrText>
      </w:r>
      <w:r>
        <w:rPr>
          <w:rFonts w:hint="eastAsia" w:ascii="宋体" w:hAnsi="宋体" w:cs="宋体"/>
          <w:color w:val="auto"/>
          <w:highlight w:val="none"/>
        </w:rPr>
        <w:fldChar w:fldCharType="separate"/>
      </w:r>
      <w:r>
        <w:rPr>
          <w:rFonts w:hint="eastAsia" w:ascii="宋体" w:hAnsi="宋体" w:cs="宋体"/>
          <w:bCs/>
          <w:color w:val="auto"/>
          <w:szCs w:val="32"/>
          <w:highlight w:val="none"/>
        </w:rPr>
        <w:t>1. 评标方法</w:t>
      </w:r>
      <w:r>
        <w:rPr>
          <w:color w:val="auto"/>
          <w:highlight w:val="none"/>
        </w:rPr>
        <w:tab/>
      </w:r>
      <w:r>
        <w:rPr>
          <w:color w:val="auto"/>
          <w:highlight w:val="none"/>
        </w:rPr>
        <w:fldChar w:fldCharType="begin"/>
      </w:r>
      <w:r>
        <w:rPr>
          <w:color w:val="auto"/>
          <w:highlight w:val="none"/>
        </w:rPr>
        <w:instrText xml:space="preserve"> PAGEREF _Toc25110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highlight w:val="none"/>
        </w:rPr>
        <w:fldChar w:fldCharType="end"/>
      </w:r>
    </w:p>
    <w:p w14:paraId="678AE29A">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_Toc27267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_Toc27267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highlight w:val="none"/>
        </w:rPr>
        <w:fldChar w:fldCharType="end"/>
      </w:r>
    </w:p>
    <w:p w14:paraId="3AB6A142">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_Toc20272 </w:instrText>
      </w:r>
      <w:r>
        <w:rPr>
          <w:rFonts w:hint="eastAsia" w:ascii="宋体" w:hAnsi="宋体" w:cs="宋体"/>
          <w:color w:val="auto"/>
          <w:highlight w:val="none"/>
        </w:rPr>
        <w:fldChar w:fldCharType="separate"/>
      </w:r>
      <w:r>
        <w:rPr>
          <w:rFonts w:hint="eastAsia" w:ascii="宋体" w:eastAsia="宋体" w:cs="宋体"/>
          <w:color w:val="auto"/>
          <w:highlight w:val="none"/>
        </w:rPr>
        <w:t>2.1 初步评审标准</w:t>
      </w:r>
      <w:r>
        <w:rPr>
          <w:color w:val="auto"/>
          <w:highlight w:val="none"/>
        </w:rPr>
        <w:tab/>
      </w:r>
      <w:r>
        <w:rPr>
          <w:color w:val="auto"/>
          <w:highlight w:val="none"/>
        </w:rPr>
        <w:fldChar w:fldCharType="begin"/>
      </w:r>
      <w:r>
        <w:rPr>
          <w:color w:val="auto"/>
          <w:highlight w:val="none"/>
        </w:rPr>
        <w:instrText xml:space="preserve"> PAGEREF _Toc20272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highlight w:val="none"/>
        </w:rPr>
        <w:fldChar w:fldCharType="end"/>
      </w:r>
    </w:p>
    <w:p w14:paraId="1FF15F22">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_Toc2431 </w:instrText>
      </w:r>
      <w:r>
        <w:rPr>
          <w:rFonts w:hint="eastAsia" w:ascii="宋体" w:hAnsi="宋体" w:cs="宋体"/>
          <w:color w:val="auto"/>
          <w:highlight w:val="none"/>
        </w:rPr>
        <w:fldChar w:fldCharType="separate"/>
      </w:r>
      <w:r>
        <w:rPr>
          <w:rFonts w:hint="eastAsia" w:ascii="宋体" w:eastAsia="宋体" w:cs="宋体"/>
          <w:color w:val="auto"/>
          <w:highlight w:val="none"/>
        </w:rPr>
        <w:t>2.2 分值构成与评分标准</w:t>
      </w:r>
      <w:r>
        <w:rPr>
          <w:color w:val="auto"/>
          <w:highlight w:val="none"/>
        </w:rPr>
        <w:tab/>
      </w:r>
      <w:r>
        <w:rPr>
          <w:color w:val="auto"/>
          <w:highlight w:val="none"/>
        </w:rPr>
        <w:fldChar w:fldCharType="begin"/>
      </w:r>
      <w:r>
        <w:rPr>
          <w:color w:val="auto"/>
          <w:highlight w:val="none"/>
        </w:rPr>
        <w:instrText xml:space="preserve"> PAGEREF _Toc2431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highlight w:val="none"/>
        </w:rPr>
        <w:fldChar w:fldCharType="end"/>
      </w:r>
    </w:p>
    <w:p w14:paraId="4BDD3FC8">
      <w:pPr>
        <w:pStyle w:val="30"/>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_Toc15100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_Toc15100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highlight w:val="none"/>
        </w:rPr>
        <w:fldChar w:fldCharType="end"/>
      </w:r>
    </w:p>
    <w:p w14:paraId="7690BE88">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_Toc30970 </w:instrText>
      </w:r>
      <w:r>
        <w:rPr>
          <w:rFonts w:hint="eastAsia" w:ascii="宋体" w:hAnsi="宋体" w:cs="宋体"/>
          <w:color w:val="auto"/>
          <w:highlight w:val="none"/>
        </w:rPr>
        <w:fldChar w:fldCharType="separate"/>
      </w:r>
      <w:r>
        <w:rPr>
          <w:rFonts w:hint="eastAsia" w:ascii="宋体" w:eastAsia="宋体" w:cs="宋体"/>
          <w:color w:val="auto"/>
          <w:highlight w:val="none"/>
        </w:rPr>
        <w:t>3.1设计方案评审</w:t>
      </w:r>
      <w:r>
        <w:rPr>
          <w:color w:val="auto"/>
          <w:highlight w:val="none"/>
        </w:rPr>
        <w:tab/>
      </w:r>
      <w:r>
        <w:rPr>
          <w:color w:val="auto"/>
          <w:highlight w:val="none"/>
        </w:rPr>
        <w:fldChar w:fldCharType="begin"/>
      </w:r>
      <w:r>
        <w:rPr>
          <w:color w:val="auto"/>
          <w:highlight w:val="none"/>
        </w:rPr>
        <w:instrText xml:space="preserve"> PAGEREF _Toc30970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highlight w:val="none"/>
        </w:rPr>
        <w:fldChar w:fldCharType="end"/>
      </w:r>
    </w:p>
    <w:p w14:paraId="3DCDF0E4">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_Toc11410 </w:instrText>
      </w:r>
      <w:r>
        <w:rPr>
          <w:rFonts w:hint="eastAsia" w:ascii="宋体" w:hAnsi="宋体" w:cs="宋体"/>
          <w:color w:val="auto"/>
          <w:highlight w:val="none"/>
        </w:rPr>
        <w:fldChar w:fldCharType="separate"/>
      </w:r>
      <w:r>
        <w:rPr>
          <w:rFonts w:hint="eastAsia" w:ascii="宋体" w:eastAsia="宋体" w:cs="宋体"/>
          <w:color w:val="auto"/>
          <w:highlight w:val="none"/>
        </w:rPr>
        <w:t>3.2形式审查及资格审查</w:t>
      </w:r>
      <w:r>
        <w:rPr>
          <w:color w:val="auto"/>
          <w:highlight w:val="none"/>
        </w:rPr>
        <w:tab/>
      </w:r>
      <w:r>
        <w:rPr>
          <w:color w:val="auto"/>
          <w:highlight w:val="none"/>
        </w:rPr>
        <w:fldChar w:fldCharType="begin"/>
      </w:r>
      <w:r>
        <w:rPr>
          <w:color w:val="auto"/>
          <w:highlight w:val="none"/>
        </w:rPr>
        <w:instrText xml:space="preserve"> PAGEREF _Toc11410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highlight w:val="none"/>
        </w:rPr>
        <w:fldChar w:fldCharType="end"/>
      </w:r>
    </w:p>
    <w:p w14:paraId="7F3D54F9">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_Toc23107 </w:instrText>
      </w:r>
      <w:r>
        <w:rPr>
          <w:rFonts w:hint="eastAsia" w:ascii="宋体" w:hAnsi="宋体" w:cs="宋体"/>
          <w:color w:val="auto"/>
          <w:highlight w:val="none"/>
        </w:rPr>
        <w:fldChar w:fldCharType="separate"/>
      </w:r>
      <w:r>
        <w:rPr>
          <w:rFonts w:hint="eastAsia" w:ascii="宋体" w:eastAsia="宋体" w:cs="宋体"/>
          <w:color w:val="auto"/>
          <w:highlight w:val="none"/>
        </w:rPr>
        <w:t>3.3工程承包实施方案评审</w:t>
      </w:r>
      <w:r>
        <w:rPr>
          <w:color w:val="auto"/>
          <w:highlight w:val="none"/>
        </w:rPr>
        <w:tab/>
      </w:r>
      <w:r>
        <w:rPr>
          <w:color w:val="auto"/>
          <w:highlight w:val="none"/>
        </w:rPr>
        <w:fldChar w:fldCharType="begin"/>
      </w:r>
      <w:r>
        <w:rPr>
          <w:color w:val="auto"/>
          <w:highlight w:val="none"/>
        </w:rPr>
        <w:instrText xml:space="preserve"> PAGEREF _Toc23107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highlight w:val="none"/>
        </w:rPr>
        <w:fldChar w:fldCharType="end"/>
      </w:r>
    </w:p>
    <w:p w14:paraId="029E87A3">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_Toc1078 </w:instrText>
      </w:r>
      <w:r>
        <w:rPr>
          <w:rFonts w:hint="eastAsia" w:ascii="宋体" w:hAnsi="宋体" w:cs="宋体"/>
          <w:color w:val="auto"/>
          <w:highlight w:val="none"/>
        </w:rPr>
        <w:fldChar w:fldCharType="separate"/>
      </w:r>
      <w:r>
        <w:rPr>
          <w:rFonts w:hint="eastAsia" w:ascii="宋体" w:eastAsia="宋体" w:cs="宋体"/>
          <w:color w:val="auto"/>
          <w:highlight w:val="none"/>
        </w:rPr>
        <w:t>3.4投标报价得分</w:t>
      </w:r>
      <w:r>
        <w:rPr>
          <w:color w:val="auto"/>
          <w:highlight w:val="none"/>
        </w:rPr>
        <w:tab/>
      </w:r>
      <w:r>
        <w:rPr>
          <w:color w:val="auto"/>
          <w:highlight w:val="none"/>
        </w:rPr>
        <w:fldChar w:fldCharType="begin"/>
      </w:r>
      <w:r>
        <w:rPr>
          <w:color w:val="auto"/>
          <w:highlight w:val="none"/>
        </w:rPr>
        <w:instrText xml:space="preserve"> PAGEREF _Toc1078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highlight w:val="none"/>
        </w:rPr>
        <w:fldChar w:fldCharType="end"/>
      </w:r>
    </w:p>
    <w:p w14:paraId="2021ECC3">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_Toc26575 </w:instrText>
      </w:r>
      <w:r>
        <w:rPr>
          <w:rFonts w:hint="eastAsia" w:ascii="宋体" w:hAnsi="宋体" w:cs="宋体"/>
          <w:color w:val="auto"/>
          <w:highlight w:val="none"/>
        </w:rPr>
        <w:fldChar w:fldCharType="separate"/>
      </w:r>
      <w:r>
        <w:rPr>
          <w:rFonts w:hint="eastAsia" w:ascii="宋体" w:eastAsia="宋体" w:cs="宋体"/>
          <w:color w:val="auto"/>
          <w:highlight w:val="none"/>
        </w:rPr>
        <w:t>3.5评审汇总</w:t>
      </w:r>
      <w:r>
        <w:rPr>
          <w:color w:val="auto"/>
          <w:highlight w:val="none"/>
        </w:rPr>
        <w:tab/>
      </w:r>
      <w:r>
        <w:rPr>
          <w:color w:val="auto"/>
          <w:highlight w:val="none"/>
        </w:rPr>
        <w:fldChar w:fldCharType="begin"/>
      </w:r>
      <w:r>
        <w:rPr>
          <w:color w:val="auto"/>
          <w:highlight w:val="none"/>
        </w:rPr>
        <w:instrText xml:space="preserve"> PAGEREF _Toc26575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highlight w:val="none"/>
        </w:rPr>
        <w:fldChar w:fldCharType="end"/>
      </w:r>
    </w:p>
    <w:p w14:paraId="13265583">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_Toc30498 </w:instrText>
      </w:r>
      <w:r>
        <w:rPr>
          <w:rFonts w:hint="eastAsia" w:ascii="宋体" w:hAnsi="宋体" w:cs="宋体"/>
          <w:color w:val="auto"/>
          <w:highlight w:val="none"/>
        </w:rPr>
        <w:fldChar w:fldCharType="separate"/>
      </w:r>
      <w:r>
        <w:rPr>
          <w:rFonts w:hint="eastAsia" w:ascii="宋体" w:eastAsia="宋体" w:cs="宋体"/>
          <w:color w:val="auto"/>
          <w:highlight w:val="none"/>
        </w:rPr>
        <w:t>3.6投标文件的澄清和补正</w:t>
      </w:r>
      <w:r>
        <w:rPr>
          <w:color w:val="auto"/>
          <w:highlight w:val="none"/>
        </w:rPr>
        <w:tab/>
      </w:r>
      <w:r>
        <w:rPr>
          <w:color w:val="auto"/>
          <w:highlight w:val="none"/>
        </w:rPr>
        <w:fldChar w:fldCharType="begin"/>
      </w:r>
      <w:r>
        <w:rPr>
          <w:color w:val="auto"/>
          <w:highlight w:val="none"/>
        </w:rPr>
        <w:instrText xml:space="preserve"> PAGEREF _Toc30498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highlight w:val="none"/>
        </w:rPr>
        <w:fldChar w:fldCharType="end"/>
      </w:r>
    </w:p>
    <w:p w14:paraId="6FBFAD61">
      <w:pPr>
        <w:pStyle w:val="19"/>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_Toc11290 </w:instrText>
      </w:r>
      <w:r>
        <w:rPr>
          <w:rFonts w:hint="eastAsia" w:ascii="宋体" w:hAnsi="宋体" w:cs="宋体"/>
          <w:color w:val="auto"/>
          <w:highlight w:val="none"/>
        </w:rPr>
        <w:fldChar w:fldCharType="separate"/>
      </w:r>
      <w:r>
        <w:rPr>
          <w:rFonts w:hint="eastAsia" w:ascii="宋体" w:eastAsia="宋体" w:cs="宋体"/>
          <w:color w:val="auto"/>
          <w:highlight w:val="none"/>
        </w:rPr>
        <w:t>3.7评标结果</w:t>
      </w:r>
      <w:r>
        <w:rPr>
          <w:color w:val="auto"/>
          <w:highlight w:val="none"/>
        </w:rPr>
        <w:tab/>
      </w:r>
      <w:r>
        <w:rPr>
          <w:color w:val="auto"/>
          <w:highlight w:val="none"/>
        </w:rPr>
        <w:fldChar w:fldCharType="begin"/>
      </w:r>
      <w:r>
        <w:rPr>
          <w:color w:val="auto"/>
          <w:highlight w:val="none"/>
        </w:rPr>
        <w:instrText xml:space="preserve"> PAGEREF _Toc11290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highlight w:val="none"/>
        </w:rPr>
        <w:fldChar w:fldCharType="end"/>
      </w:r>
    </w:p>
    <w:p w14:paraId="087F31C5">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_Toc22031 </w:instrText>
      </w:r>
      <w:r>
        <w:rPr>
          <w:rFonts w:hint="eastAsia" w:ascii="宋体" w:hAnsi="宋体" w:cs="宋体"/>
          <w:color w:val="auto"/>
          <w:highlight w:val="none"/>
        </w:rPr>
        <w:fldChar w:fldCharType="separate"/>
      </w:r>
      <w:r>
        <w:rPr>
          <w:rFonts w:hint="eastAsia" w:ascii="宋体" w:hAnsi="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_Toc22031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highlight w:val="none"/>
        </w:rPr>
        <w:fldChar w:fldCharType="end"/>
      </w:r>
    </w:p>
    <w:p w14:paraId="649C32F5">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_Toc26758 </w:instrText>
      </w:r>
      <w:r>
        <w:rPr>
          <w:rFonts w:hint="eastAsia" w:ascii="宋体" w:hAnsi="宋体" w:cs="宋体"/>
          <w:color w:val="auto"/>
          <w:highlight w:val="none"/>
        </w:rPr>
        <w:fldChar w:fldCharType="separate"/>
      </w:r>
      <w:r>
        <w:rPr>
          <w:rFonts w:hint="eastAsia" w:ascii="宋体" w:hAnsi="宋体" w:cs="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_Toc26758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highlight w:val="none"/>
        </w:rPr>
        <w:fldChar w:fldCharType="end"/>
      </w:r>
    </w:p>
    <w:p w14:paraId="2C53DBEB">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_Toc32592 </w:instrText>
      </w:r>
      <w:r>
        <w:rPr>
          <w:rFonts w:hint="eastAsia" w:ascii="宋体" w:hAnsi="宋体" w:cs="宋体"/>
          <w:color w:val="auto"/>
          <w:highlight w:val="none"/>
        </w:rPr>
        <w:fldChar w:fldCharType="separate"/>
      </w:r>
      <w:r>
        <w:rPr>
          <w:rFonts w:hint="eastAsia" w:ascii="宋体" w:hAnsi="宋体" w:cs="宋体"/>
          <w:color w:val="auto"/>
          <w:highlight w:val="none"/>
        </w:rPr>
        <w:t>第五章  招标人要求</w:t>
      </w:r>
      <w:r>
        <w:rPr>
          <w:color w:val="auto"/>
          <w:highlight w:val="none"/>
        </w:rPr>
        <w:tab/>
      </w:r>
      <w:r>
        <w:rPr>
          <w:color w:val="auto"/>
          <w:highlight w:val="none"/>
        </w:rPr>
        <w:fldChar w:fldCharType="begin"/>
      </w:r>
      <w:r>
        <w:rPr>
          <w:color w:val="auto"/>
          <w:highlight w:val="none"/>
        </w:rPr>
        <w:instrText xml:space="preserve"> PAGEREF _Toc32592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highlight w:val="none"/>
        </w:rPr>
        <w:fldChar w:fldCharType="end"/>
      </w:r>
    </w:p>
    <w:p w14:paraId="3436E811">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_Toc4824 </w:instrText>
      </w:r>
      <w:r>
        <w:rPr>
          <w:rFonts w:hint="eastAsia" w:ascii="宋体" w:hAnsi="宋体" w:cs="宋体"/>
          <w:color w:val="auto"/>
          <w:highlight w:val="none"/>
        </w:rPr>
        <w:fldChar w:fldCharType="separate"/>
      </w:r>
      <w:r>
        <w:rPr>
          <w:rFonts w:ascii="Times New Roman" w:hAnsi="Times New Roman" w:eastAsia="黑体" w:cs="Times New Roman"/>
          <w:color w:val="auto"/>
          <w:szCs w:val="44"/>
          <w:highlight w:val="none"/>
        </w:rPr>
        <w:t>设计任务书</w:t>
      </w:r>
      <w:r>
        <w:rPr>
          <w:color w:val="auto"/>
          <w:highlight w:val="none"/>
        </w:rPr>
        <w:tab/>
      </w:r>
      <w:r>
        <w:rPr>
          <w:color w:val="auto"/>
          <w:highlight w:val="none"/>
        </w:rPr>
        <w:fldChar w:fldCharType="begin"/>
      </w:r>
      <w:r>
        <w:rPr>
          <w:color w:val="auto"/>
          <w:highlight w:val="none"/>
        </w:rPr>
        <w:instrText xml:space="preserve"> PAGEREF _Toc4824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highlight w:val="none"/>
        </w:rPr>
        <w:fldChar w:fldCharType="end"/>
      </w:r>
    </w:p>
    <w:p w14:paraId="203B822C">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_Toc18748 </w:instrText>
      </w:r>
      <w:r>
        <w:rPr>
          <w:rFonts w:hint="eastAsia" w:ascii="宋体" w:hAnsi="宋体" w:cs="宋体"/>
          <w:color w:val="auto"/>
          <w:highlight w:val="none"/>
        </w:rPr>
        <w:fldChar w:fldCharType="separate"/>
      </w:r>
      <w:r>
        <w:rPr>
          <w:rFonts w:hint="eastAsia" w:ascii="宋体" w:hAnsi="宋体" w:cs="宋体"/>
          <w:color w:val="auto"/>
          <w:highlight w:val="none"/>
        </w:rPr>
        <w:t>第六章  招标人提供的资料</w:t>
      </w:r>
      <w:r>
        <w:rPr>
          <w:color w:val="auto"/>
          <w:highlight w:val="none"/>
        </w:rPr>
        <w:tab/>
      </w:r>
      <w:r>
        <w:rPr>
          <w:color w:val="auto"/>
          <w:highlight w:val="none"/>
        </w:rPr>
        <w:fldChar w:fldCharType="begin"/>
      </w:r>
      <w:r>
        <w:rPr>
          <w:color w:val="auto"/>
          <w:highlight w:val="none"/>
        </w:rPr>
        <w:instrText xml:space="preserve"> PAGEREF _Toc18748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color w:val="auto"/>
          <w:highlight w:val="none"/>
        </w:rPr>
        <w:fldChar w:fldCharType="end"/>
      </w:r>
    </w:p>
    <w:p w14:paraId="05973211">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_Toc10506 </w:instrText>
      </w:r>
      <w:r>
        <w:rPr>
          <w:rFonts w:hint="eastAsia" w:ascii="宋体" w:hAnsi="宋体" w:cs="宋体"/>
          <w:color w:val="auto"/>
          <w:highlight w:val="none"/>
        </w:rPr>
        <w:fldChar w:fldCharType="separate"/>
      </w:r>
      <w:r>
        <w:rPr>
          <w:rFonts w:hint="eastAsia" w:ascii="宋体" w:hAnsi="宋体" w:cs="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_Toc10506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s="宋体"/>
          <w:color w:val="auto"/>
          <w:highlight w:val="none"/>
        </w:rPr>
        <w:fldChar w:fldCharType="end"/>
      </w:r>
    </w:p>
    <w:p w14:paraId="3574EF7C">
      <w:pPr>
        <w:pStyle w:val="26"/>
        <w:tabs>
          <w:tab w:val="right" w:leader="dot" w:pos="9638"/>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_Toc16099 </w:instrText>
      </w:r>
      <w:r>
        <w:rPr>
          <w:rFonts w:hint="eastAsia" w:ascii="宋体" w:hAnsi="宋体" w:cs="宋体"/>
          <w:color w:val="auto"/>
          <w:highlight w:val="none"/>
        </w:rPr>
        <w:fldChar w:fldCharType="separate"/>
      </w:r>
      <w:r>
        <w:rPr>
          <w:rFonts w:hint="eastAsia" w:ascii="宋体" w:hAnsi="宋体" w:cs="宋体"/>
          <w:color w:val="auto"/>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_Toc16099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highlight w:val="none"/>
        </w:rPr>
        <w:fldChar w:fldCharType="end"/>
      </w:r>
    </w:p>
    <w:p w14:paraId="1C066F7D">
      <w:pPr>
        <w:pStyle w:val="4"/>
        <w:jc w:val="center"/>
        <w:rPr>
          <w:rFonts w:hint="eastAsia" w:ascii="宋体" w:hAnsi="宋体" w:cs="宋体"/>
          <w:color w:val="auto"/>
          <w:highlight w:val="none"/>
        </w:rPr>
        <w:sectPr>
          <w:footerReference r:id="rId4" w:type="default"/>
          <w:pgSz w:w="11906" w:h="16838"/>
          <w:pgMar w:top="1418" w:right="1134" w:bottom="1418" w:left="1134" w:header="851" w:footer="992" w:gutter="0"/>
          <w:cols w:space="720" w:num="1"/>
          <w:docGrid w:type="lines" w:linePitch="312" w:charSpace="0"/>
        </w:sectPr>
      </w:pPr>
      <w:r>
        <w:rPr>
          <w:rFonts w:hint="eastAsia" w:ascii="宋体" w:hAnsi="宋体" w:cs="宋体"/>
          <w:color w:val="auto"/>
          <w:highlight w:val="none"/>
        </w:rPr>
        <w:fldChar w:fldCharType="end"/>
      </w:r>
    </w:p>
    <w:p w14:paraId="014F1814">
      <w:pPr>
        <w:pStyle w:val="4"/>
        <w:jc w:val="center"/>
        <w:rPr>
          <w:rFonts w:hint="eastAsia" w:ascii="宋体" w:hAnsi="宋体" w:cs="宋体"/>
          <w:caps/>
          <w:color w:val="auto"/>
          <w:kern w:val="2"/>
          <w:sz w:val="20"/>
          <w:szCs w:val="20"/>
          <w:highlight w:val="none"/>
        </w:rPr>
      </w:pPr>
    </w:p>
    <w:p w14:paraId="768EFCBC">
      <w:pPr>
        <w:pStyle w:val="4"/>
        <w:jc w:val="center"/>
        <w:rPr>
          <w:rFonts w:hint="eastAsia" w:ascii="宋体" w:hAnsi="宋体" w:cs="宋体"/>
          <w:color w:val="auto"/>
          <w:highlight w:val="none"/>
        </w:rPr>
      </w:pPr>
      <w:bookmarkStart w:id="11" w:name="_Toc31879"/>
      <w:bookmarkStart w:id="12" w:name="_Toc6074"/>
      <w:r>
        <w:rPr>
          <w:rFonts w:hint="eastAsia" w:ascii="宋体" w:hAnsi="宋体" w:cs="宋体"/>
          <w:color w:val="auto"/>
          <w:highlight w:val="none"/>
        </w:rPr>
        <w:t>第一卷</w:t>
      </w:r>
      <w:bookmarkEnd w:id="6"/>
      <w:bookmarkEnd w:id="7"/>
      <w:bookmarkEnd w:id="11"/>
      <w:bookmarkEnd w:id="12"/>
    </w:p>
    <w:p w14:paraId="7F5917C0">
      <w:pPr>
        <w:pStyle w:val="4"/>
        <w:jc w:val="center"/>
        <w:rPr>
          <w:rFonts w:hint="eastAsia" w:ascii="宋体" w:hAnsi="宋体" w:cs="宋体"/>
          <w:color w:val="auto"/>
          <w:highlight w:val="none"/>
        </w:rPr>
      </w:pPr>
      <w:r>
        <w:rPr>
          <w:rFonts w:hint="eastAsia" w:ascii="宋体" w:hAnsi="宋体" w:cs="宋体"/>
          <w:color w:val="auto"/>
          <w:highlight w:val="none"/>
        </w:rPr>
        <w:br w:type="page"/>
      </w:r>
    </w:p>
    <w:p w14:paraId="1AA6B293">
      <w:pPr>
        <w:pStyle w:val="4"/>
        <w:jc w:val="center"/>
        <w:rPr>
          <w:rFonts w:hint="eastAsia" w:ascii="宋体" w:hAnsi="宋体" w:cs="宋体"/>
          <w:color w:val="auto"/>
          <w:highlight w:val="none"/>
        </w:rPr>
      </w:pPr>
      <w:bookmarkStart w:id="13" w:name="_Toc247513933"/>
      <w:bookmarkStart w:id="14" w:name="_Toc18734"/>
      <w:bookmarkStart w:id="15" w:name="_Toc29409"/>
      <w:bookmarkStart w:id="16" w:name="_Toc247527534"/>
      <w:r>
        <w:rPr>
          <w:rFonts w:hint="eastAsia" w:ascii="宋体" w:hAnsi="宋体" w:cs="宋体"/>
          <w:color w:val="auto"/>
          <w:highlight w:val="none"/>
        </w:rPr>
        <w:t>第一章 招标公告</w:t>
      </w:r>
      <w:bookmarkEnd w:id="8"/>
      <w:bookmarkEnd w:id="9"/>
      <w:bookmarkEnd w:id="10"/>
      <w:bookmarkEnd w:id="13"/>
      <w:bookmarkEnd w:id="14"/>
      <w:bookmarkEnd w:id="15"/>
      <w:bookmarkEnd w:id="16"/>
    </w:p>
    <w:p w14:paraId="253E6F42">
      <w:pPr>
        <w:jc w:val="center"/>
        <w:rPr>
          <w:rFonts w:hint="eastAsia" w:ascii="宋体" w:hAnsi="宋体" w:cs="宋体"/>
          <w:color w:val="auto"/>
          <w:highlight w:val="none"/>
        </w:rPr>
      </w:pPr>
      <w:r>
        <w:rPr>
          <w:rFonts w:hint="eastAsia" w:ascii="宋体" w:hAnsi="宋体" w:cs="宋体"/>
          <w:color w:val="auto"/>
          <w:highlight w:val="none"/>
        </w:rPr>
        <w:t>（另册）</w:t>
      </w:r>
    </w:p>
    <w:p w14:paraId="6D1928BB">
      <w:pPr>
        <w:rPr>
          <w:rFonts w:hint="eastAsia" w:ascii="宋体" w:hAnsi="宋体" w:cs="宋体"/>
          <w:b/>
          <w:bCs/>
          <w:color w:val="auto"/>
          <w:highlight w:val="none"/>
        </w:rPr>
      </w:pPr>
    </w:p>
    <w:p w14:paraId="00C1D997">
      <w:pPr>
        <w:pStyle w:val="20"/>
        <w:rPr>
          <w:rFonts w:hint="eastAsia" w:ascii="宋体" w:hAnsi="宋体" w:eastAsia="宋体" w:cs="宋体"/>
          <w:b/>
          <w:bCs/>
          <w:color w:val="auto"/>
          <w:highlight w:val="none"/>
        </w:rPr>
      </w:pPr>
    </w:p>
    <w:p w14:paraId="0EECA870">
      <w:pPr>
        <w:pStyle w:val="20"/>
        <w:rPr>
          <w:rFonts w:hint="eastAsia" w:ascii="宋体" w:hAnsi="宋体" w:eastAsia="宋体" w:cs="宋体"/>
          <w:b/>
          <w:bCs/>
          <w:color w:val="auto"/>
          <w:highlight w:val="none"/>
        </w:rPr>
      </w:pPr>
    </w:p>
    <w:p w14:paraId="6F3C34AF">
      <w:pPr>
        <w:pStyle w:val="20"/>
        <w:rPr>
          <w:rFonts w:hint="eastAsia" w:ascii="宋体" w:hAnsi="宋体" w:eastAsia="宋体" w:cs="宋体"/>
          <w:b/>
          <w:bCs/>
          <w:color w:val="auto"/>
          <w:highlight w:val="none"/>
        </w:rPr>
      </w:pPr>
    </w:p>
    <w:p w14:paraId="2DFAD8F4">
      <w:pPr>
        <w:pStyle w:val="20"/>
        <w:rPr>
          <w:rFonts w:hint="eastAsia" w:ascii="宋体" w:hAnsi="宋体" w:eastAsia="宋体" w:cs="宋体"/>
          <w:b/>
          <w:bCs/>
          <w:color w:val="auto"/>
          <w:highlight w:val="none"/>
        </w:rPr>
      </w:pPr>
    </w:p>
    <w:p w14:paraId="4AFFC091">
      <w:pPr>
        <w:pStyle w:val="20"/>
        <w:rPr>
          <w:rFonts w:hint="eastAsia" w:ascii="宋体" w:hAnsi="宋体" w:eastAsia="宋体" w:cs="宋体"/>
          <w:b/>
          <w:bCs/>
          <w:color w:val="auto"/>
          <w:highlight w:val="none"/>
        </w:rPr>
      </w:pPr>
    </w:p>
    <w:p w14:paraId="393D5DC6">
      <w:pPr>
        <w:pStyle w:val="20"/>
        <w:rPr>
          <w:rFonts w:hint="eastAsia" w:ascii="宋体" w:hAnsi="宋体" w:eastAsia="宋体" w:cs="宋体"/>
          <w:b/>
          <w:bCs/>
          <w:color w:val="auto"/>
          <w:highlight w:val="none"/>
        </w:rPr>
      </w:pPr>
    </w:p>
    <w:p w14:paraId="33DBB010">
      <w:pPr>
        <w:pStyle w:val="20"/>
        <w:rPr>
          <w:rFonts w:hint="eastAsia" w:ascii="宋体" w:hAnsi="宋体" w:eastAsia="宋体" w:cs="宋体"/>
          <w:b/>
          <w:bCs/>
          <w:color w:val="auto"/>
          <w:highlight w:val="none"/>
        </w:rPr>
      </w:pPr>
    </w:p>
    <w:p w14:paraId="7D311AFE">
      <w:pPr>
        <w:pStyle w:val="20"/>
        <w:rPr>
          <w:rFonts w:hint="eastAsia" w:ascii="宋体" w:hAnsi="宋体" w:eastAsia="宋体" w:cs="宋体"/>
          <w:b/>
          <w:bCs/>
          <w:color w:val="auto"/>
          <w:highlight w:val="none"/>
        </w:rPr>
      </w:pPr>
    </w:p>
    <w:p w14:paraId="3B1DB15C">
      <w:pPr>
        <w:pStyle w:val="20"/>
        <w:rPr>
          <w:rFonts w:hint="eastAsia" w:ascii="宋体" w:hAnsi="宋体" w:eastAsia="宋体" w:cs="宋体"/>
          <w:b/>
          <w:bCs/>
          <w:color w:val="auto"/>
          <w:highlight w:val="none"/>
        </w:rPr>
      </w:pPr>
    </w:p>
    <w:p w14:paraId="1DE0B830">
      <w:pPr>
        <w:pStyle w:val="20"/>
        <w:rPr>
          <w:rFonts w:hint="eastAsia" w:ascii="宋体" w:hAnsi="宋体" w:eastAsia="宋体" w:cs="宋体"/>
          <w:b/>
          <w:bCs/>
          <w:color w:val="auto"/>
          <w:highlight w:val="none"/>
        </w:rPr>
      </w:pPr>
    </w:p>
    <w:p w14:paraId="5B9040D4">
      <w:pPr>
        <w:pStyle w:val="20"/>
        <w:rPr>
          <w:rFonts w:hint="eastAsia" w:ascii="宋体" w:hAnsi="宋体" w:eastAsia="宋体" w:cs="宋体"/>
          <w:b/>
          <w:bCs/>
          <w:color w:val="auto"/>
          <w:highlight w:val="none"/>
        </w:rPr>
      </w:pPr>
    </w:p>
    <w:p w14:paraId="2BB857D6">
      <w:pPr>
        <w:pStyle w:val="20"/>
        <w:rPr>
          <w:rFonts w:hint="eastAsia" w:ascii="宋体" w:hAnsi="宋体" w:eastAsia="宋体" w:cs="宋体"/>
          <w:b/>
          <w:bCs/>
          <w:color w:val="auto"/>
          <w:highlight w:val="none"/>
        </w:rPr>
      </w:pPr>
    </w:p>
    <w:p w14:paraId="795A55A3">
      <w:pPr>
        <w:pStyle w:val="20"/>
        <w:rPr>
          <w:rFonts w:hint="eastAsia" w:ascii="宋体" w:hAnsi="宋体" w:eastAsia="宋体" w:cs="宋体"/>
          <w:b/>
          <w:bCs/>
          <w:color w:val="auto"/>
          <w:highlight w:val="none"/>
        </w:rPr>
      </w:pPr>
    </w:p>
    <w:p w14:paraId="0F5492B0">
      <w:pPr>
        <w:pStyle w:val="20"/>
        <w:rPr>
          <w:rFonts w:hint="eastAsia" w:ascii="宋体" w:hAnsi="宋体" w:eastAsia="宋体" w:cs="宋体"/>
          <w:b/>
          <w:bCs/>
          <w:color w:val="auto"/>
          <w:highlight w:val="none"/>
        </w:rPr>
      </w:pPr>
    </w:p>
    <w:p w14:paraId="72FF67C5">
      <w:pPr>
        <w:pStyle w:val="20"/>
        <w:rPr>
          <w:rFonts w:hint="eastAsia" w:ascii="宋体" w:hAnsi="宋体" w:eastAsia="宋体" w:cs="宋体"/>
          <w:b/>
          <w:bCs/>
          <w:color w:val="auto"/>
          <w:highlight w:val="none"/>
        </w:rPr>
      </w:pPr>
    </w:p>
    <w:p w14:paraId="64830770">
      <w:pPr>
        <w:pStyle w:val="20"/>
        <w:rPr>
          <w:rFonts w:hint="eastAsia" w:ascii="宋体" w:hAnsi="宋体" w:eastAsia="宋体" w:cs="宋体"/>
          <w:b/>
          <w:bCs/>
          <w:color w:val="auto"/>
          <w:highlight w:val="none"/>
        </w:rPr>
      </w:pPr>
    </w:p>
    <w:p w14:paraId="500A38E7">
      <w:pPr>
        <w:pStyle w:val="20"/>
        <w:rPr>
          <w:rFonts w:hint="eastAsia" w:ascii="宋体" w:hAnsi="宋体" w:eastAsia="宋体" w:cs="宋体"/>
          <w:b/>
          <w:bCs/>
          <w:color w:val="auto"/>
          <w:highlight w:val="none"/>
        </w:rPr>
      </w:pPr>
    </w:p>
    <w:p w14:paraId="65307D1C">
      <w:pPr>
        <w:pStyle w:val="20"/>
        <w:rPr>
          <w:rFonts w:hint="eastAsia" w:ascii="宋体" w:hAnsi="宋体" w:eastAsia="宋体" w:cs="宋体"/>
          <w:b/>
          <w:bCs/>
          <w:color w:val="auto"/>
          <w:highlight w:val="none"/>
        </w:rPr>
      </w:pPr>
    </w:p>
    <w:p w14:paraId="314EFABC">
      <w:pPr>
        <w:rPr>
          <w:rFonts w:hint="eastAsia" w:ascii="宋体" w:hAnsi="宋体" w:cs="宋体"/>
          <w:color w:val="auto"/>
          <w:highlight w:val="none"/>
        </w:rPr>
      </w:pPr>
      <w:bookmarkStart w:id="17" w:name="_Toc28794"/>
    </w:p>
    <w:p w14:paraId="3F7BBAA6">
      <w:pPr>
        <w:pStyle w:val="20"/>
        <w:rPr>
          <w:rFonts w:hint="eastAsia" w:ascii="宋体" w:hAnsi="宋体" w:eastAsia="宋体" w:cs="宋体"/>
          <w:color w:val="auto"/>
          <w:highlight w:val="none"/>
        </w:rPr>
      </w:pPr>
    </w:p>
    <w:p w14:paraId="69813E22">
      <w:pPr>
        <w:rPr>
          <w:color w:val="auto"/>
          <w:highlight w:val="none"/>
        </w:rPr>
      </w:pPr>
    </w:p>
    <w:p w14:paraId="4FD0A09E">
      <w:pPr>
        <w:pStyle w:val="20"/>
        <w:rPr>
          <w:rFonts w:hint="eastAsia" w:ascii="宋体" w:hAnsi="宋体" w:eastAsia="宋体" w:cs="宋体"/>
          <w:color w:val="auto"/>
          <w:highlight w:val="none"/>
        </w:rPr>
      </w:pPr>
    </w:p>
    <w:p w14:paraId="446F0852">
      <w:pPr>
        <w:pStyle w:val="20"/>
        <w:rPr>
          <w:rFonts w:hint="eastAsia" w:ascii="宋体" w:hAnsi="宋体" w:eastAsia="宋体" w:cs="宋体"/>
          <w:color w:val="auto"/>
          <w:highlight w:val="none"/>
        </w:rPr>
      </w:pPr>
    </w:p>
    <w:p w14:paraId="583AEE76">
      <w:pPr>
        <w:pStyle w:val="20"/>
        <w:rPr>
          <w:rFonts w:hint="eastAsia" w:ascii="宋体" w:hAnsi="宋体" w:eastAsia="宋体" w:cs="宋体"/>
          <w:color w:val="auto"/>
          <w:highlight w:val="none"/>
        </w:rPr>
      </w:pPr>
    </w:p>
    <w:p w14:paraId="0BD46847">
      <w:pPr>
        <w:pStyle w:val="20"/>
        <w:rPr>
          <w:rFonts w:hint="eastAsia" w:ascii="宋体" w:hAnsi="宋体" w:eastAsia="宋体" w:cs="宋体"/>
          <w:color w:val="auto"/>
          <w:highlight w:val="none"/>
        </w:rPr>
      </w:pPr>
    </w:p>
    <w:bookmarkEnd w:id="17"/>
    <w:p w14:paraId="6030CC9D">
      <w:pPr>
        <w:spacing w:line="400" w:lineRule="exact"/>
        <w:rPr>
          <w:rFonts w:hint="eastAsia" w:ascii="宋体" w:hAnsi="宋体" w:cs="宋体"/>
          <w:color w:val="auto"/>
          <w:highlight w:val="none"/>
        </w:rPr>
      </w:pPr>
    </w:p>
    <w:p w14:paraId="164CC756">
      <w:pPr>
        <w:widowControl/>
        <w:jc w:val="left"/>
        <w:rPr>
          <w:rFonts w:hint="eastAsia" w:ascii="宋体" w:hAnsi="宋体" w:cs="宋体"/>
          <w:b/>
          <w:bCs/>
          <w:color w:val="auto"/>
          <w:kern w:val="44"/>
          <w:sz w:val="44"/>
          <w:szCs w:val="44"/>
          <w:highlight w:val="none"/>
        </w:rPr>
      </w:pPr>
      <w:bookmarkStart w:id="18" w:name="_Toc247513950"/>
      <w:bookmarkStart w:id="19" w:name="_Toc247527551"/>
      <w:bookmarkStart w:id="20" w:name="_Toc16711"/>
      <w:bookmarkStart w:id="21" w:name="_Toc144974495"/>
      <w:bookmarkStart w:id="22" w:name="_Toc152042303"/>
      <w:bookmarkStart w:id="23" w:name="_Toc152045527"/>
      <w:r>
        <w:rPr>
          <w:rFonts w:ascii="宋体" w:hAnsi="宋体" w:cs="宋体"/>
          <w:color w:val="auto"/>
          <w:highlight w:val="none"/>
        </w:rPr>
        <w:br w:type="page"/>
      </w:r>
    </w:p>
    <w:p w14:paraId="1B00D74C">
      <w:pPr>
        <w:pStyle w:val="4"/>
        <w:jc w:val="center"/>
        <w:rPr>
          <w:rFonts w:hint="eastAsia" w:ascii="宋体" w:hAnsi="宋体" w:cs="宋体"/>
          <w:color w:val="auto"/>
          <w:highlight w:val="none"/>
        </w:rPr>
      </w:pPr>
      <w:bookmarkStart w:id="24" w:name="_Toc28602"/>
      <w:r>
        <w:rPr>
          <w:rFonts w:hint="eastAsia" w:ascii="宋体" w:hAnsi="宋体" w:cs="宋体"/>
          <w:color w:val="auto"/>
          <w:highlight w:val="none"/>
        </w:rPr>
        <w:t>第二章 投标人须知</w:t>
      </w:r>
      <w:bookmarkEnd w:id="18"/>
      <w:bookmarkEnd w:id="19"/>
      <w:bookmarkEnd w:id="20"/>
      <w:bookmarkEnd w:id="21"/>
      <w:bookmarkEnd w:id="22"/>
      <w:bookmarkEnd w:id="23"/>
      <w:bookmarkEnd w:id="24"/>
    </w:p>
    <w:p w14:paraId="2EA106F8">
      <w:pPr>
        <w:pStyle w:val="5"/>
        <w:spacing w:before="0" w:after="0" w:line="0" w:lineRule="atLeast"/>
        <w:jc w:val="center"/>
        <w:rPr>
          <w:rFonts w:hint="eastAsia" w:ascii="宋体" w:hAnsi="宋体" w:eastAsia="宋体" w:cs="宋体"/>
          <w:color w:val="auto"/>
          <w:highlight w:val="none"/>
        </w:rPr>
      </w:pPr>
      <w:bookmarkStart w:id="25" w:name="_Toc152042304"/>
      <w:bookmarkStart w:id="26" w:name="_Toc247513951"/>
      <w:bookmarkStart w:id="27" w:name="_Toc77"/>
      <w:bookmarkStart w:id="28" w:name="_Toc9681"/>
      <w:bookmarkStart w:id="29" w:name="_Toc144974496"/>
      <w:bookmarkStart w:id="30" w:name="_Toc152045528"/>
      <w:bookmarkStart w:id="31" w:name="_Toc247527552"/>
      <w:r>
        <w:rPr>
          <w:rFonts w:hint="eastAsia" w:ascii="宋体" w:hAnsi="宋体" w:eastAsia="宋体" w:cs="宋体"/>
          <w:color w:val="auto"/>
          <w:highlight w:val="none"/>
        </w:rPr>
        <w:t>投标人须知前附表</w:t>
      </w:r>
      <w:bookmarkEnd w:id="25"/>
      <w:bookmarkEnd w:id="26"/>
      <w:bookmarkEnd w:id="27"/>
      <w:bookmarkEnd w:id="28"/>
      <w:bookmarkEnd w:id="29"/>
      <w:bookmarkEnd w:id="30"/>
      <w:bookmarkEnd w:id="31"/>
    </w:p>
    <w:tbl>
      <w:tblPr>
        <w:tblStyle w:val="37"/>
        <w:tblW w:w="0" w:type="auto"/>
        <w:tblInd w:w="0" w:type="dxa"/>
        <w:tblLayout w:type="fixed"/>
        <w:tblCellMar>
          <w:top w:w="0" w:type="dxa"/>
          <w:left w:w="108" w:type="dxa"/>
          <w:bottom w:w="0" w:type="dxa"/>
          <w:right w:w="108" w:type="dxa"/>
        </w:tblCellMar>
      </w:tblPr>
      <w:tblGrid>
        <w:gridCol w:w="1165"/>
        <w:gridCol w:w="2353"/>
        <w:gridCol w:w="5659"/>
      </w:tblGrid>
      <w:tr w14:paraId="33812FA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E8AF5AE">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353" w:type="dxa"/>
            <w:tcBorders>
              <w:top w:val="single" w:color="auto" w:sz="4" w:space="0"/>
              <w:left w:val="single" w:color="auto" w:sz="4" w:space="0"/>
              <w:bottom w:val="single" w:color="auto" w:sz="4" w:space="0"/>
              <w:right w:val="single" w:color="auto" w:sz="4" w:space="0"/>
            </w:tcBorders>
            <w:vAlign w:val="center"/>
          </w:tcPr>
          <w:p w14:paraId="5FB969E3">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5659" w:type="dxa"/>
            <w:tcBorders>
              <w:top w:val="single" w:color="auto" w:sz="4" w:space="0"/>
              <w:left w:val="single" w:color="auto" w:sz="4" w:space="0"/>
              <w:bottom w:val="single" w:color="auto" w:sz="4" w:space="0"/>
              <w:right w:val="single" w:color="auto" w:sz="4" w:space="0"/>
            </w:tcBorders>
            <w:vAlign w:val="center"/>
          </w:tcPr>
          <w:p w14:paraId="26BA8B5C">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14:paraId="622F419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FD53FBA">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353" w:type="dxa"/>
            <w:tcBorders>
              <w:top w:val="single" w:color="auto" w:sz="4" w:space="0"/>
              <w:left w:val="single" w:color="auto" w:sz="4" w:space="0"/>
              <w:bottom w:val="single" w:color="auto" w:sz="4" w:space="0"/>
              <w:right w:val="single" w:color="auto" w:sz="4" w:space="0"/>
            </w:tcBorders>
            <w:vAlign w:val="center"/>
          </w:tcPr>
          <w:p w14:paraId="2D799E0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5659" w:type="dxa"/>
            <w:tcBorders>
              <w:top w:val="single" w:color="auto" w:sz="4" w:space="0"/>
              <w:left w:val="single" w:color="auto" w:sz="4" w:space="0"/>
              <w:bottom w:val="single" w:color="auto" w:sz="4" w:space="0"/>
              <w:right w:val="single" w:color="auto" w:sz="4" w:space="0"/>
            </w:tcBorders>
            <w:vAlign w:val="center"/>
          </w:tcPr>
          <w:p w14:paraId="5CE4AFF1">
            <w:pPr>
              <w:spacing w:line="0" w:lineRule="atLeas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广州市奥宝物业管理有限公司</w:t>
            </w:r>
          </w:p>
          <w:p w14:paraId="2CF3113F">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地址：广州市越秀区东风东路765、767、769号东宝大厦 </w:t>
            </w:r>
          </w:p>
          <w:p w14:paraId="5E3BA07F">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何</w:t>
            </w:r>
            <w:r>
              <w:rPr>
                <w:rFonts w:hint="eastAsia" w:ascii="宋体" w:hAnsi="宋体" w:cs="宋体"/>
                <w:color w:val="auto"/>
                <w:szCs w:val="21"/>
                <w:highlight w:val="none"/>
              </w:rPr>
              <w:t xml:space="preserve">工   </w:t>
            </w:r>
          </w:p>
          <w:p w14:paraId="4A2B246C">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电话：020-38320188-1306</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tc>
      </w:tr>
      <w:tr w14:paraId="01F34B8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5D10E01">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353" w:type="dxa"/>
            <w:tcBorders>
              <w:top w:val="single" w:color="auto" w:sz="4" w:space="0"/>
              <w:left w:val="single" w:color="auto" w:sz="4" w:space="0"/>
              <w:bottom w:val="single" w:color="auto" w:sz="4" w:space="0"/>
              <w:right w:val="single" w:color="auto" w:sz="4" w:space="0"/>
            </w:tcBorders>
            <w:vAlign w:val="center"/>
          </w:tcPr>
          <w:p w14:paraId="292B307B">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5659" w:type="dxa"/>
            <w:tcBorders>
              <w:top w:val="single" w:color="auto" w:sz="4" w:space="0"/>
              <w:left w:val="single" w:color="auto" w:sz="4" w:space="0"/>
              <w:bottom w:val="single" w:color="auto" w:sz="4" w:space="0"/>
              <w:right w:val="single" w:color="auto" w:sz="4" w:space="0"/>
            </w:tcBorders>
            <w:vAlign w:val="center"/>
          </w:tcPr>
          <w:p w14:paraId="778043B7">
            <w:pPr>
              <w:spacing w:line="0" w:lineRule="atLeas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广州工建工程咨询有限公司</w:t>
            </w:r>
          </w:p>
          <w:p w14:paraId="76C4FFC3">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地址：广州市</w:t>
            </w:r>
            <w:r>
              <w:rPr>
                <w:rFonts w:hint="eastAsia" w:ascii="宋体" w:hAnsi="宋体" w:cs="宋体"/>
                <w:color w:val="auto"/>
                <w:szCs w:val="21"/>
                <w:highlight w:val="none"/>
                <w:lang w:val="en-US" w:eastAsia="zh-CN"/>
              </w:rPr>
              <w:t>南沙</w:t>
            </w:r>
            <w:r>
              <w:rPr>
                <w:rFonts w:hint="eastAsia" w:ascii="宋体" w:hAnsi="宋体" w:cs="宋体"/>
                <w:color w:val="auto"/>
                <w:szCs w:val="21"/>
                <w:highlight w:val="none"/>
              </w:rPr>
              <w:t>区</w:t>
            </w:r>
            <w:r>
              <w:rPr>
                <w:rFonts w:hint="eastAsia" w:ascii="宋体" w:hAnsi="宋体" w:cs="宋体"/>
                <w:color w:val="auto"/>
                <w:szCs w:val="21"/>
                <w:highlight w:val="none"/>
                <w:lang w:val="en-US" w:eastAsia="zh-CN"/>
              </w:rPr>
              <w:t>进港大道10号1706-1707-1708-1709</w:t>
            </w:r>
            <w:r>
              <w:rPr>
                <w:rFonts w:hint="eastAsia" w:ascii="宋体" w:hAnsi="宋体" w:cs="宋体"/>
                <w:color w:val="auto"/>
                <w:szCs w:val="21"/>
                <w:highlight w:val="none"/>
              </w:rPr>
              <w:t xml:space="preserve"> </w:t>
            </w:r>
          </w:p>
          <w:p w14:paraId="16AC6350">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陈</w:t>
            </w:r>
            <w:r>
              <w:rPr>
                <w:rFonts w:hint="eastAsia" w:ascii="宋体" w:hAnsi="宋体" w:cs="宋体"/>
                <w:color w:val="auto"/>
                <w:szCs w:val="21"/>
                <w:highlight w:val="none"/>
              </w:rPr>
              <w:t>工</w:t>
            </w:r>
          </w:p>
          <w:p w14:paraId="197F3F93">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电话： 020-88529135 </w:t>
            </w:r>
          </w:p>
        </w:tc>
      </w:tr>
      <w:tr w14:paraId="71C4372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D1FF5E7">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353" w:type="dxa"/>
            <w:tcBorders>
              <w:top w:val="single" w:color="auto" w:sz="4" w:space="0"/>
              <w:left w:val="single" w:color="auto" w:sz="4" w:space="0"/>
              <w:bottom w:val="single" w:color="auto" w:sz="4" w:space="0"/>
              <w:right w:val="single" w:color="auto" w:sz="4" w:space="0"/>
            </w:tcBorders>
            <w:vAlign w:val="center"/>
          </w:tcPr>
          <w:p w14:paraId="29018D7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659" w:type="dxa"/>
            <w:tcBorders>
              <w:top w:val="single" w:color="auto" w:sz="4" w:space="0"/>
              <w:left w:val="single" w:color="auto" w:sz="4" w:space="0"/>
              <w:bottom w:val="single" w:color="auto" w:sz="4" w:space="0"/>
              <w:right w:val="single" w:color="auto" w:sz="4" w:space="0"/>
            </w:tcBorders>
            <w:vAlign w:val="center"/>
          </w:tcPr>
          <w:p w14:paraId="7182DB8E">
            <w:pPr>
              <w:spacing w:line="0" w:lineRule="atLeas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解放北路986号外立面景观室内工程设计施工一体化</w:t>
            </w:r>
          </w:p>
        </w:tc>
      </w:tr>
      <w:tr w14:paraId="703CFB1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DEE5296">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353" w:type="dxa"/>
            <w:tcBorders>
              <w:top w:val="single" w:color="auto" w:sz="4" w:space="0"/>
              <w:left w:val="single" w:color="auto" w:sz="4" w:space="0"/>
              <w:bottom w:val="single" w:color="auto" w:sz="4" w:space="0"/>
              <w:right w:val="single" w:color="auto" w:sz="4" w:space="0"/>
            </w:tcBorders>
            <w:vAlign w:val="center"/>
          </w:tcPr>
          <w:p w14:paraId="5941A3A0">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5659" w:type="dxa"/>
            <w:tcBorders>
              <w:top w:val="single" w:color="auto" w:sz="4" w:space="0"/>
              <w:left w:val="single" w:color="auto" w:sz="4" w:space="0"/>
              <w:bottom w:val="single" w:color="auto" w:sz="4" w:space="0"/>
              <w:right w:val="single" w:color="auto" w:sz="4" w:space="0"/>
            </w:tcBorders>
            <w:vAlign w:val="center"/>
          </w:tcPr>
          <w:p w14:paraId="631C3E62">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详</w:t>
            </w:r>
            <w:r>
              <w:rPr>
                <w:rFonts w:hint="eastAsia" w:ascii="宋体" w:hAnsi="宋体" w:cs="宋体"/>
                <w:color w:val="auto"/>
                <w:kern w:val="0"/>
                <w:szCs w:val="21"/>
                <w:highlight w:val="none"/>
              </w:rPr>
              <w:t>见本项目招标公告</w:t>
            </w:r>
          </w:p>
        </w:tc>
      </w:tr>
      <w:tr w14:paraId="59DEE84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0206CCD">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353" w:type="dxa"/>
            <w:tcBorders>
              <w:top w:val="single" w:color="auto" w:sz="4" w:space="0"/>
              <w:left w:val="single" w:color="auto" w:sz="4" w:space="0"/>
              <w:bottom w:val="single" w:color="auto" w:sz="4" w:space="0"/>
              <w:right w:val="single" w:color="auto" w:sz="4" w:space="0"/>
            </w:tcBorders>
            <w:vAlign w:val="center"/>
          </w:tcPr>
          <w:p w14:paraId="426F099D">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5659" w:type="dxa"/>
            <w:tcBorders>
              <w:top w:val="single" w:color="auto" w:sz="4" w:space="0"/>
              <w:left w:val="single" w:color="auto" w:sz="4" w:space="0"/>
              <w:bottom w:val="single" w:color="auto" w:sz="4" w:space="0"/>
              <w:right w:val="single" w:color="auto" w:sz="4" w:space="0"/>
            </w:tcBorders>
            <w:vAlign w:val="center"/>
          </w:tcPr>
          <w:p w14:paraId="296280F9">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详</w:t>
            </w:r>
            <w:r>
              <w:rPr>
                <w:rFonts w:hint="eastAsia" w:ascii="宋体" w:hAnsi="宋体" w:cs="宋体"/>
                <w:color w:val="auto"/>
                <w:kern w:val="0"/>
                <w:szCs w:val="21"/>
                <w:highlight w:val="none"/>
              </w:rPr>
              <w:t>见本项目招标公告</w:t>
            </w:r>
          </w:p>
        </w:tc>
      </w:tr>
      <w:tr w14:paraId="7E1F79D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983B795">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353" w:type="dxa"/>
            <w:tcBorders>
              <w:top w:val="single" w:color="auto" w:sz="4" w:space="0"/>
              <w:left w:val="single" w:color="auto" w:sz="4" w:space="0"/>
              <w:bottom w:val="single" w:color="auto" w:sz="4" w:space="0"/>
              <w:right w:val="single" w:color="auto" w:sz="4" w:space="0"/>
            </w:tcBorders>
            <w:vAlign w:val="center"/>
          </w:tcPr>
          <w:p w14:paraId="75622DC0">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5659" w:type="dxa"/>
            <w:tcBorders>
              <w:top w:val="single" w:color="auto" w:sz="4" w:space="0"/>
              <w:left w:val="single" w:color="auto" w:sz="4" w:space="0"/>
              <w:bottom w:val="single" w:color="auto" w:sz="4" w:space="0"/>
              <w:right w:val="single" w:color="auto" w:sz="4" w:space="0"/>
            </w:tcBorders>
            <w:vAlign w:val="center"/>
          </w:tcPr>
          <w:p w14:paraId="0B4A56D7">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资金已落实</w:t>
            </w:r>
          </w:p>
        </w:tc>
      </w:tr>
      <w:tr w14:paraId="762AB96C">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53EC7FD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353" w:type="dxa"/>
            <w:tcBorders>
              <w:top w:val="single" w:color="auto" w:sz="4" w:space="0"/>
              <w:left w:val="single" w:color="auto" w:sz="4" w:space="0"/>
              <w:bottom w:val="single" w:color="auto" w:sz="4" w:space="0"/>
              <w:right w:val="single" w:color="auto" w:sz="4" w:space="0"/>
            </w:tcBorders>
            <w:vAlign w:val="center"/>
          </w:tcPr>
          <w:p w14:paraId="34B612D4">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5659" w:type="dxa"/>
            <w:tcBorders>
              <w:top w:val="single" w:color="auto" w:sz="4" w:space="0"/>
              <w:left w:val="single" w:color="auto" w:sz="4" w:space="0"/>
              <w:bottom w:val="single" w:color="auto" w:sz="4" w:space="0"/>
              <w:right w:val="single" w:color="auto" w:sz="4" w:space="0"/>
            </w:tcBorders>
            <w:vAlign w:val="center"/>
          </w:tcPr>
          <w:p w14:paraId="48901C80">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详见本项目招标公告及合同约定条款</w:t>
            </w:r>
          </w:p>
        </w:tc>
      </w:tr>
      <w:tr w14:paraId="6DA653A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C9464D3">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353" w:type="dxa"/>
            <w:tcBorders>
              <w:top w:val="single" w:color="auto" w:sz="4" w:space="0"/>
              <w:left w:val="single" w:color="auto" w:sz="4" w:space="0"/>
              <w:bottom w:val="single" w:color="auto" w:sz="4" w:space="0"/>
              <w:right w:val="single" w:color="auto" w:sz="4" w:space="0"/>
            </w:tcBorders>
            <w:vAlign w:val="center"/>
          </w:tcPr>
          <w:p w14:paraId="66CAF8D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计划工期</w:t>
            </w:r>
          </w:p>
        </w:tc>
        <w:tc>
          <w:tcPr>
            <w:tcW w:w="5659" w:type="dxa"/>
            <w:tcBorders>
              <w:top w:val="single" w:color="auto" w:sz="4" w:space="0"/>
              <w:left w:val="single" w:color="auto" w:sz="4" w:space="0"/>
              <w:bottom w:val="single" w:color="auto" w:sz="4" w:space="0"/>
              <w:right w:val="single" w:color="auto" w:sz="4" w:space="0"/>
            </w:tcBorders>
            <w:vAlign w:val="center"/>
          </w:tcPr>
          <w:p w14:paraId="1E9EAB50">
            <w:pPr>
              <w:adjustRightInd w:val="0"/>
              <w:snapToGrid w:val="0"/>
              <w:ind w:right="11"/>
              <w:rPr>
                <w:rFonts w:hint="eastAsia" w:ascii="宋体" w:hAnsi="宋体" w:cs="宋体"/>
                <w:color w:val="auto"/>
                <w:szCs w:val="21"/>
                <w:highlight w:val="none"/>
              </w:rPr>
            </w:pPr>
            <w:r>
              <w:rPr>
                <w:rFonts w:hint="eastAsia" w:ascii="宋体" w:hAnsi="宋体"/>
                <w:bCs/>
                <w:snapToGrid w:val="0"/>
                <w:color w:val="auto"/>
                <w:kern w:val="0"/>
                <w:szCs w:val="21"/>
                <w:highlight w:val="none"/>
              </w:rPr>
              <w:t>总工期1</w:t>
            </w:r>
            <w:r>
              <w:rPr>
                <w:rFonts w:hint="eastAsia" w:ascii="宋体" w:hAnsi="宋体"/>
                <w:bCs/>
                <w:snapToGrid w:val="0"/>
                <w:color w:val="auto"/>
                <w:kern w:val="0"/>
                <w:szCs w:val="21"/>
                <w:highlight w:val="none"/>
                <w:lang w:val="en-US" w:eastAsia="zh-CN"/>
              </w:rPr>
              <w:t>60</w:t>
            </w:r>
            <w:r>
              <w:rPr>
                <w:rFonts w:hint="eastAsia" w:ascii="宋体" w:hAnsi="宋体"/>
                <w:bCs/>
                <w:snapToGrid w:val="0"/>
                <w:color w:val="auto"/>
                <w:kern w:val="0"/>
                <w:szCs w:val="21"/>
                <w:highlight w:val="none"/>
              </w:rPr>
              <w:t>个日历天，其中：设计工期</w:t>
            </w:r>
            <w:r>
              <w:rPr>
                <w:rFonts w:hint="eastAsia" w:ascii="宋体" w:hAnsi="宋体"/>
                <w:bCs/>
                <w:snapToGrid w:val="0"/>
                <w:color w:val="auto"/>
                <w:kern w:val="0"/>
                <w:szCs w:val="21"/>
                <w:highlight w:val="none"/>
                <w:lang w:val="en-US" w:eastAsia="zh-CN"/>
              </w:rPr>
              <w:t>1</w:t>
            </w:r>
            <w:r>
              <w:rPr>
                <w:rFonts w:hint="eastAsia" w:ascii="宋体" w:hAnsi="宋体"/>
                <w:bCs/>
                <w:snapToGrid w:val="0"/>
                <w:color w:val="auto"/>
                <w:kern w:val="0"/>
                <w:szCs w:val="21"/>
                <w:highlight w:val="none"/>
              </w:rPr>
              <w:t>0个日历天（含施工前准备时间），施工工期</w:t>
            </w:r>
            <w:r>
              <w:rPr>
                <w:rFonts w:hint="eastAsia" w:ascii="宋体" w:hAnsi="宋体"/>
                <w:bCs/>
                <w:snapToGrid w:val="0"/>
                <w:color w:val="auto"/>
                <w:kern w:val="0"/>
                <w:szCs w:val="21"/>
                <w:highlight w:val="none"/>
                <w:lang w:val="en-US" w:eastAsia="zh-CN"/>
              </w:rPr>
              <w:t>150</w:t>
            </w:r>
            <w:r>
              <w:rPr>
                <w:rFonts w:hint="eastAsia" w:ascii="宋体" w:hAnsi="宋体"/>
                <w:bCs/>
                <w:snapToGrid w:val="0"/>
                <w:color w:val="auto"/>
                <w:kern w:val="0"/>
                <w:szCs w:val="21"/>
                <w:highlight w:val="none"/>
              </w:rPr>
              <w:t>个日历天。以监理单位发出开工令为准，招标人有权根据实际情况进行调整。</w:t>
            </w:r>
          </w:p>
        </w:tc>
      </w:tr>
      <w:tr w14:paraId="47883E7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4BB0AE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353" w:type="dxa"/>
            <w:tcBorders>
              <w:top w:val="single" w:color="auto" w:sz="4" w:space="0"/>
              <w:left w:val="single" w:color="auto" w:sz="4" w:space="0"/>
              <w:bottom w:val="single" w:color="auto" w:sz="4" w:space="0"/>
              <w:right w:val="single" w:color="auto" w:sz="4" w:space="0"/>
            </w:tcBorders>
            <w:vAlign w:val="center"/>
          </w:tcPr>
          <w:p w14:paraId="36209BC3">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659" w:type="dxa"/>
            <w:tcBorders>
              <w:top w:val="single" w:color="auto" w:sz="4" w:space="0"/>
              <w:left w:val="single" w:color="auto" w:sz="4" w:space="0"/>
              <w:bottom w:val="single" w:color="auto" w:sz="4" w:space="0"/>
              <w:right w:val="single" w:color="auto" w:sz="4" w:space="0"/>
            </w:tcBorders>
            <w:vAlign w:val="center"/>
          </w:tcPr>
          <w:p w14:paraId="013CC3A0">
            <w:pPr>
              <w:adjustRightInd w:val="0"/>
              <w:snapToGrid w:val="0"/>
              <w:ind w:right="11"/>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1.设计要求：符合《建设工程勘察设计管理条例》、《建筑工程设计文件编制深度规范》及《建设工程质量管理条例》等国家及地方有关工程勘察设计管理法规、规章和行业相关规范技术标准等要求；符合本项目设计任务书的要求。</w:t>
            </w:r>
          </w:p>
          <w:p w14:paraId="42F0D103">
            <w:pPr>
              <w:spacing w:line="0" w:lineRule="atLeast"/>
              <w:rPr>
                <w:rFonts w:hint="eastAsia" w:ascii="宋体" w:hAnsi="宋体" w:cs="宋体"/>
                <w:color w:val="auto"/>
                <w:szCs w:val="21"/>
                <w:highlight w:val="none"/>
              </w:rPr>
            </w:pPr>
            <w:r>
              <w:rPr>
                <w:rFonts w:hint="eastAsia" w:ascii="宋体" w:hAnsi="宋体"/>
                <w:bCs/>
                <w:snapToGrid w:val="0"/>
                <w:color w:val="auto"/>
                <w:kern w:val="0"/>
                <w:szCs w:val="21"/>
                <w:highlight w:val="none"/>
              </w:rPr>
              <w:t>2.施工要求：符合设计图纸要求和国家、省、市相关法律法规规定要求及行业颁发的工程质量合格标准。</w:t>
            </w:r>
          </w:p>
        </w:tc>
      </w:tr>
      <w:tr w14:paraId="64BA6E3A">
        <w:tblPrEx>
          <w:tblCellMar>
            <w:top w:w="0" w:type="dxa"/>
            <w:left w:w="108" w:type="dxa"/>
            <w:bottom w:w="0" w:type="dxa"/>
            <w:right w:w="108" w:type="dxa"/>
          </w:tblCellMar>
        </w:tblPrEx>
        <w:trPr>
          <w:trHeight w:val="3049" w:hRule="atLeast"/>
        </w:trPr>
        <w:tc>
          <w:tcPr>
            <w:tcW w:w="1165" w:type="dxa"/>
            <w:tcBorders>
              <w:top w:val="single" w:color="auto" w:sz="4" w:space="0"/>
              <w:left w:val="single" w:color="auto" w:sz="4" w:space="0"/>
              <w:bottom w:val="single" w:color="auto" w:sz="4" w:space="0"/>
              <w:right w:val="single" w:color="auto" w:sz="4" w:space="0"/>
            </w:tcBorders>
            <w:vAlign w:val="center"/>
          </w:tcPr>
          <w:p w14:paraId="22DF44C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353" w:type="dxa"/>
            <w:tcBorders>
              <w:top w:val="single" w:color="auto" w:sz="4" w:space="0"/>
              <w:left w:val="single" w:color="auto" w:sz="4" w:space="0"/>
              <w:bottom w:val="single" w:color="auto" w:sz="4" w:space="0"/>
              <w:right w:val="single" w:color="auto" w:sz="4" w:space="0"/>
            </w:tcBorders>
            <w:vAlign w:val="center"/>
          </w:tcPr>
          <w:p w14:paraId="6380AB1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5659" w:type="dxa"/>
            <w:tcBorders>
              <w:top w:val="single" w:color="auto" w:sz="4" w:space="0"/>
              <w:left w:val="single" w:color="auto" w:sz="4" w:space="0"/>
              <w:bottom w:val="single" w:color="auto" w:sz="4" w:space="0"/>
              <w:right w:val="single" w:color="auto" w:sz="4" w:space="0"/>
            </w:tcBorders>
            <w:vAlign w:val="center"/>
          </w:tcPr>
          <w:p w14:paraId="14E968C1">
            <w:pPr>
              <w:spacing w:line="0" w:lineRule="atLeas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资质条件：</w:t>
            </w:r>
            <w:r>
              <w:rPr>
                <w:rFonts w:hint="eastAsia" w:ascii="新宋体" w:hAnsi="新宋体" w:eastAsia="新宋体" w:cs="新宋体"/>
                <w:color w:val="auto"/>
                <w:szCs w:val="21"/>
                <w:highlight w:val="none"/>
                <w:u w:val="single"/>
              </w:rPr>
              <w:t>见招标公告投标人资格要求。</w:t>
            </w:r>
          </w:p>
          <w:p w14:paraId="3C6C1E66">
            <w:pPr>
              <w:spacing w:line="0" w:lineRule="atLeas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u w:val="single"/>
              </w:rPr>
              <w:t>项目负责人(兼施工负责人)的资格要求</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u w:val="single"/>
              </w:rPr>
              <w:t>见招标公告投标人资格要求。</w:t>
            </w:r>
          </w:p>
          <w:p w14:paraId="4CF5E22F">
            <w:pPr>
              <w:spacing w:line="0" w:lineRule="atLeas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设计负责人的资格要求：</w:t>
            </w:r>
            <w:r>
              <w:rPr>
                <w:rFonts w:hint="eastAsia" w:ascii="新宋体" w:hAnsi="新宋体" w:eastAsia="新宋体" w:cs="新宋体"/>
                <w:color w:val="auto"/>
                <w:szCs w:val="21"/>
                <w:highlight w:val="none"/>
                <w:u w:val="single"/>
              </w:rPr>
              <w:t>见招标公告投标人资格要求。</w:t>
            </w:r>
          </w:p>
          <w:p w14:paraId="55C9BAED">
            <w:pPr>
              <w:spacing w:line="0" w:lineRule="atLeast"/>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施工负责人的资格要求：</w:t>
            </w:r>
            <w:r>
              <w:rPr>
                <w:rFonts w:hint="eastAsia" w:ascii="新宋体" w:hAnsi="新宋体" w:eastAsia="新宋体" w:cs="新宋体"/>
                <w:strike/>
                <w:color w:val="auto"/>
                <w:szCs w:val="21"/>
                <w:highlight w:val="none"/>
                <w:u w:val="single"/>
              </w:rPr>
              <w:t>见招标公告投标人资格要求。</w:t>
            </w:r>
          </w:p>
          <w:p w14:paraId="0C168417">
            <w:pPr>
              <w:spacing w:line="0" w:lineRule="atLeast"/>
              <w:rPr>
                <w:rFonts w:hint="eastAsia" w:ascii="新宋体" w:hAnsi="新宋体" w:eastAsia="新宋体" w:cs="新宋体"/>
                <w:color w:val="auto"/>
                <w:highlight w:val="none"/>
              </w:rPr>
            </w:pPr>
            <w:r>
              <w:rPr>
                <w:rFonts w:hint="eastAsia" w:ascii="新宋体" w:hAnsi="新宋体" w:eastAsia="新宋体" w:cs="新宋体"/>
                <w:color w:val="auto"/>
                <w:highlight w:val="none"/>
              </w:rPr>
              <w:t>施工技术负责人资格要求 ：</w:t>
            </w:r>
            <w:r>
              <w:rPr>
                <w:rFonts w:hint="eastAsia" w:ascii="新宋体" w:hAnsi="新宋体" w:eastAsia="新宋体" w:cs="新宋体"/>
                <w:color w:val="auto"/>
                <w:szCs w:val="21"/>
                <w:highlight w:val="none"/>
                <w:u w:val="single"/>
              </w:rPr>
              <w:t>见招标公告投标人资格要求。</w:t>
            </w:r>
          </w:p>
          <w:p w14:paraId="748B7291">
            <w:pPr>
              <w:spacing w:line="0" w:lineRule="atLeast"/>
              <w:rPr>
                <w:rFonts w:hint="eastAsia" w:ascii="新宋体" w:hAnsi="新宋体" w:eastAsia="新宋体" w:cs="新宋体"/>
                <w:color w:val="auto"/>
                <w:highlight w:val="none"/>
              </w:rPr>
            </w:pPr>
            <w:r>
              <w:rPr>
                <w:rFonts w:hint="eastAsia" w:ascii="新宋体" w:hAnsi="新宋体" w:eastAsia="新宋体" w:cs="新宋体"/>
                <w:color w:val="auto"/>
                <w:highlight w:val="none"/>
              </w:rPr>
              <w:t>专职安全员资格要求：</w:t>
            </w:r>
            <w:r>
              <w:rPr>
                <w:rFonts w:hint="eastAsia" w:ascii="新宋体" w:hAnsi="新宋体" w:eastAsia="新宋体" w:cs="新宋体"/>
                <w:color w:val="auto"/>
                <w:szCs w:val="21"/>
                <w:highlight w:val="none"/>
                <w:u w:val="single"/>
              </w:rPr>
              <w:t>见招标公告投标人资格要求。</w:t>
            </w:r>
          </w:p>
          <w:p w14:paraId="430A3188">
            <w:pPr>
              <w:spacing w:line="0" w:lineRule="atLeas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施工机械设备：</w:t>
            </w:r>
            <w:r>
              <w:rPr>
                <w:rFonts w:hint="eastAsia" w:ascii="新宋体" w:hAnsi="新宋体" w:eastAsia="新宋体" w:cs="新宋体"/>
                <w:color w:val="auto"/>
                <w:highlight w:val="none"/>
                <w:u w:val="single"/>
              </w:rPr>
              <w:t>/。</w:t>
            </w:r>
          </w:p>
          <w:p w14:paraId="1C46822F">
            <w:pPr>
              <w:spacing w:line="0" w:lineRule="atLeas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项目管理机构及人员：</w:t>
            </w:r>
            <w:r>
              <w:rPr>
                <w:rFonts w:hint="eastAsia" w:ascii="新宋体" w:hAnsi="新宋体" w:eastAsia="新宋体" w:cs="新宋体"/>
                <w:color w:val="auto"/>
                <w:highlight w:val="none"/>
                <w:u w:val="single"/>
              </w:rPr>
              <w:t>/。</w:t>
            </w:r>
          </w:p>
          <w:p w14:paraId="1501AB89">
            <w:pPr>
              <w:spacing w:line="0" w:lineRule="atLeast"/>
              <w:rPr>
                <w:rFonts w:hint="eastAsia" w:ascii="宋体" w:hAnsi="宋体" w:cs="宋体"/>
                <w:color w:val="auto"/>
                <w:szCs w:val="21"/>
                <w:highlight w:val="none"/>
              </w:rPr>
            </w:pPr>
            <w:r>
              <w:rPr>
                <w:rFonts w:hint="eastAsia" w:ascii="新宋体" w:hAnsi="新宋体" w:eastAsia="新宋体" w:cs="新宋体"/>
                <w:color w:val="auto"/>
                <w:szCs w:val="21"/>
                <w:highlight w:val="none"/>
              </w:rPr>
              <w:t>其他要求：</w:t>
            </w:r>
            <w:r>
              <w:rPr>
                <w:rFonts w:hint="eastAsia" w:ascii="新宋体" w:hAnsi="新宋体" w:eastAsia="新宋体" w:cs="新宋体"/>
                <w:color w:val="auto"/>
                <w:szCs w:val="21"/>
                <w:highlight w:val="none"/>
                <w:u w:val="single"/>
              </w:rPr>
              <w:t>见招标公告投标人资格要求。</w:t>
            </w:r>
          </w:p>
        </w:tc>
      </w:tr>
      <w:tr w14:paraId="7B4DD76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0021B45">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353" w:type="dxa"/>
            <w:tcBorders>
              <w:top w:val="single" w:color="auto" w:sz="4" w:space="0"/>
              <w:left w:val="single" w:color="auto" w:sz="4" w:space="0"/>
              <w:bottom w:val="single" w:color="auto" w:sz="4" w:space="0"/>
              <w:right w:val="single" w:color="auto" w:sz="4" w:space="0"/>
            </w:tcBorders>
            <w:vAlign w:val="center"/>
          </w:tcPr>
          <w:p w14:paraId="039EF220">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5659" w:type="dxa"/>
            <w:tcBorders>
              <w:top w:val="single" w:color="auto" w:sz="4" w:space="0"/>
              <w:left w:val="single" w:color="auto" w:sz="4" w:space="0"/>
              <w:bottom w:val="single" w:color="auto" w:sz="4" w:space="0"/>
              <w:right w:val="single" w:color="auto" w:sz="4" w:space="0"/>
            </w:tcBorders>
            <w:vAlign w:val="center"/>
          </w:tcPr>
          <w:p w14:paraId="3D2B6EC1">
            <w:pPr>
              <w:pStyle w:val="16"/>
              <w:topLinePunct/>
              <w:spacing w:line="0" w:lineRule="atLeast"/>
              <w:rPr>
                <w:rFonts w:hint="eastAsia" w:hAnsi="宋体" w:cs="宋体"/>
                <w:color w:val="auto"/>
                <w:sz w:val="21"/>
                <w:szCs w:val="21"/>
                <w:highlight w:val="none"/>
              </w:rPr>
            </w:pPr>
            <w:r>
              <w:rPr>
                <w:rFonts w:hint="eastAsia" w:hAnsi="宋体" w:cs="宋体"/>
                <w:color w:val="auto"/>
                <w:sz w:val="32"/>
                <w:szCs w:val="32"/>
                <w:highlight w:val="none"/>
              </w:rPr>
              <w:t>□</w:t>
            </w:r>
            <w:r>
              <w:rPr>
                <w:rFonts w:hint="eastAsia" w:hAnsi="宋体" w:cs="宋体"/>
                <w:color w:val="auto"/>
                <w:sz w:val="21"/>
                <w:szCs w:val="21"/>
                <w:highlight w:val="none"/>
              </w:rPr>
              <w:t>不接受</w:t>
            </w:r>
          </w:p>
          <w:p w14:paraId="5CEA45AF">
            <w:pPr>
              <w:spacing w:line="0" w:lineRule="atLeast"/>
              <w:rPr>
                <w:rFonts w:hint="eastAsia" w:ascii="宋体" w:hAnsi="宋体" w:cs="宋体"/>
                <w:color w:val="auto"/>
                <w:szCs w:val="21"/>
                <w:highlight w:val="none"/>
              </w:rPr>
            </w:pPr>
            <w:r>
              <w:rPr>
                <w:rFonts w:hint="eastAsia" w:ascii="宋体" w:hAnsi="宋体" w:cs="宋体"/>
                <w:color w:val="auto"/>
                <w:sz w:val="32"/>
                <w:szCs w:val="32"/>
                <w:highlight w:val="none"/>
              </w:rPr>
              <w:t>■</w:t>
            </w:r>
            <w:r>
              <w:rPr>
                <w:rFonts w:hint="eastAsia" w:ascii="宋体" w:hAnsi="宋体" w:cs="宋体"/>
                <w:color w:val="auto"/>
                <w:szCs w:val="21"/>
                <w:highlight w:val="none"/>
              </w:rPr>
              <w:t>接受，应满足下列要求：见本项目招标公告要求。</w:t>
            </w:r>
          </w:p>
        </w:tc>
      </w:tr>
      <w:tr w14:paraId="300979C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1740A0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353" w:type="dxa"/>
            <w:tcBorders>
              <w:top w:val="single" w:color="auto" w:sz="4" w:space="0"/>
              <w:left w:val="single" w:color="auto" w:sz="4" w:space="0"/>
              <w:bottom w:val="single" w:color="auto" w:sz="4" w:space="0"/>
              <w:right w:val="single" w:color="auto" w:sz="4" w:space="0"/>
            </w:tcBorders>
            <w:vAlign w:val="center"/>
          </w:tcPr>
          <w:p w14:paraId="2A841CB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费用承担和设计成果补偿</w:t>
            </w:r>
          </w:p>
        </w:tc>
        <w:tc>
          <w:tcPr>
            <w:tcW w:w="5659" w:type="dxa"/>
            <w:tcBorders>
              <w:top w:val="single" w:color="auto" w:sz="4" w:space="0"/>
              <w:left w:val="single" w:color="auto" w:sz="4" w:space="0"/>
              <w:bottom w:val="single" w:color="auto" w:sz="4" w:space="0"/>
              <w:right w:val="single" w:color="auto" w:sz="4" w:space="0"/>
            </w:tcBorders>
            <w:vAlign w:val="center"/>
          </w:tcPr>
          <w:p w14:paraId="05F2E85B">
            <w:pPr>
              <w:spacing w:line="0" w:lineRule="atLeast"/>
              <w:rPr>
                <w:rFonts w:hint="eastAsia" w:ascii="宋体" w:hAnsi="宋体" w:cs="宋体"/>
                <w:color w:val="auto"/>
                <w:szCs w:val="21"/>
                <w:highlight w:val="none"/>
              </w:rPr>
            </w:pPr>
            <w:r>
              <w:rPr>
                <w:rFonts w:hint="eastAsia" w:ascii="宋体" w:hAnsi="宋体" w:cs="宋体"/>
                <w:color w:val="auto"/>
                <w:sz w:val="32"/>
                <w:szCs w:val="32"/>
                <w:highlight w:val="none"/>
              </w:rPr>
              <w:t>■</w:t>
            </w:r>
            <w:r>
              <w:rPr>
                <w:rFonts w:hint="eastAsia" w:ascii="宋体" w:hAnsi="宋体" w:cs="宋体"/>
                <w:color w:val="auto"/>
                <w:szCs w:val="21"/>
                <w:highlight w:val="none"/>
              </w:rPr>
              <w:t>不补偿</w:t>
            </w:r>
          </w:p>
          <w:p w14:paraId="1E5F4892">
            <w:pPr>
              <w:spacing w:line="0" w:lineRule="atLeast"/>
              <w:rPr>
                <w:rFonts w:hint="eastAsia" w:ascii="宋体" w:hAnsi="宋体" w:cs="宋体"/>
                <w:color w:val="auto"/>
                <w:sz w:val="32"/>
                <w:szCs w:val="32"/>
                <w:highlight w:val="none"/>
              </w:rPr>
            </w:pPr>
            <w:r>
              <w:rPr>
                <w:rFonts w:hint="eastAsia" w:ascii="宋体" w:hAnsi="宋体" w:cs="宋体"/>
                <w:color w:val="auto"/>
                <w:sz w:val="32"/>
                <w:szCs w:val="32"/>
                <w:highlight w:val="none"/>
              </w:rPr>
              <w:t>□</w:t>
            </w:r>
            <w:r>
              <w:rPr>
                <w:rFonts w:hint="eastAsia" w:ascii="宋体" w:hAnsi="宋体" w:cs="宋体"/>
                <w:color w:val="auto"/>
                <w:szCs w:val="21"/>
                <w:highlight w:val="none"/>
              </w:rPr>
              <w:t>补偿，补偿标准：</w:t>
            </w:r>
          </w:p>
        </w:tc>
      </w:tr>
      <w:tr w14:paraId="7FE7068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4019C1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353" w:type="dxa"/>
            <w:tcBorders>
              <w:top w:val="single" w:color="auto" w:sz="4" w:space="0"/>
              <w:left w:val="single" w:color="auto" w:sz="4" w:space="0"/>
              <w:bottom w:val="single" w:color="auto" w:sz="4" w:space="0"/>
              <w:right w:val="single" w:color="auto" w:sz="4" w:space="0"/>
            </w:tcBorders>
            <w:vAlign w:val="center"/>
          </w:tcPr>
          <w:p w14:paraId="7EB9492F">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踏勘</w:t>
            </w:r>
          </w:p>
        </w:tc>
        <w:tc>
          <w:tcPr>
            <w:tcW w:w="5659" w:type="dxa"/>
            <w:tcBorders>
              <w:top w:val="single" w:color="auto" w:sz="4" w:space="0"/>
              <w:left w:val="single" w:color="auto" w:sz="4" w:space="0"/>
              <w:bottom w:val="single" w:color="auto" w:sz="4" w:space="0"/>
              <w:right w:val="single" w:color="auto" w:sz="4" w:space="0"/>
            </w:tcBorders>
            <w:vAlign w:val="center"/>
          </w:tcPr>
          <w:p w14:paraId="2F3C7090">
            <w:pPr>
              <w:spacing w:line="0" w:lineRule="atLeast"/>
              <w:ind w:firstLine="1280" w:firstLineChars="400"/>
              <w:rPr>
                <w:rFonts w:hint="eastAsia" w:ascii="宋体" w:hAnsi="宋体" w:cs="宋体"/>
                <w:color w:val="auto"/>
                <w:szCs w:val="21"/>
                <w:highlight w:val="none"/>
              </w:rPr>
            </w:pPr>
            <w:r>
              <w:rPr>
                <w:rFonts w:hint="eastAsia" w:ascii="宋体" w:hAnsi="宋体" w:cs="宋体"/>
                <w:color w:val="auto"/>
                <w:sz w:val="32"/>
                <w:szCs w:val="32"/>
                <w:highlight w:val="none"/>
              </w:rPr>
              <w:t>/</w:t>
            </w:r>
          </w:p>
        </w:tc>
      </w:tr>
      <w:tr w14:paraId="39DD6BC1">
        <w:tblPrEx>
          <w:tblCellMar>
            <w:top w:w="0" w:type="dxa"/>
            <w:left w:w="108" w:type="dxa"/>
            <w:bottom w:w="0" w:type="dxa"/>
            <w:right w:w="108" w:type="dxa"/>
          </w:tblCellMar>
        </w:tblPrEx>
        <w:trPr>
          <w:trHeight w:val="418" w:hRule="atLeast"/>
        </w:trPr>
        <w:tc>
          <w:tcPr>
            <w:tcW w:w="1165" w:type="dxa"/>
            <w:tcBorders>
              <w:top w:val="single" w:color="auto" w:sz="4" w:space="0"/>
              <w:left w:val="single" w:color="auto" w:sz="4" w:space="0"/>
              <w:bottom w:val="single" w:color="auto" w:sz="4" w:space="0"/>
              <w:right w:val="single" w:color="auto" w:sz="4" w:space="0"/>
            </w:tcBorders>
            <w:vAlign w:val="center"/>
          </w:tcPr>
          <w:p w14:paraId="7703EC1A">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353" w:type="dxa"/>
            <w:tcBorders>
              <w:top w:val="single" w:color="auto" w:sz="4" w:space="0"/>
              <w:left w:val="single" w:color="auto" w:sz="4" w:space="0"/>
              <w:bottom w:val="single" w:color="auto" w:sz="4" w:space="0"/>
              <w:right w:val="single" w:color="auto" w:sz="4" w:space="0"/>
            </w:tcBorders>
            <w:vAlign w:val="center"/>
          </w:tcPr>
          <w:p w14:paraId="6A76489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5659" w:type="dxa"/>
            <w:tcBorders>
              <w:top w:val="single" w:color="auto" w:sz="4" w:space="0"/>
              <w:left w:val="single" w:color="auto" w:sz="4" w:space="0"/>
              <w:bottom w:val="single" w:color="auto" w:sz="4" w:space="0"/>
              <w:right w:val="single" w:color="auto" w:sz="4" w:space="0"/>
            </w:tcBorders>
            <w:vAlign w:val="center"/>
          </w:tcPr>
          <w:p w14:paraId="7DE5E563">
            <w:pPr>
              <w:spacing w:line="0" w:lineRule="atLeast"/>
              <w:ind w:firstLine="1280" w:firstLineChars="400"/>
              <w:rPr>
                <w:rFonts w:hint="eastAsia" w:ascii="宋体" w:hAnsi="宋体" w:cs="宋体"/>
                <w:color w:val="auto"/>
                <w:szCs w:val="21"/>
                <w:highlight w:val="none"/>
              </w:rPr>
            </w:pPr>
            <w:r>
              <w:rPr>
                <w:rFonts w:hint="eastAsia" w:ascii="宋体" w:hAnsi="宋体" w:cs="宋体"/>
                <w:color w:val="auto"/>
                <w:sz w:val="32"/>
                <w:szCs w:val="32"/>
                <w:highlight w:val="none"/>
              </w:rPr>
              <w:t>/</w:t>
            </w:r>
          </w:p>
        </w:tc>
      </w:tr>
      <w:tr w14:paraId="70F0A775">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2C1C42F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1.11.1</w:t>
            </w:r>
          </w:p>
        </w:tc>
        <w:tc>
          <w:tcPr>
            <w:tcW w:w="2353" w:type="dxa"/>
            <w:tcBorders>
              <w:top w:val="single" w:color="auto" w:sz="4" w:space="0"/>
              <w:left w:val="single" w:color="auto" w:sz="4" w:space="0"/>
              <w:bottom w:val="single" w:color="auto" w:sz="4" w:space="0"/>
              <w:right w:val="single" w:color="auto" w:sz="4" w:space="0"/>
            </w:tcBorders>
            <w:vAlign w:val="center"/>
          </w:tcPr>
          <w:p w14:paraId="1244F24C">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5659" w:type="dxa"/>
            <w:tcBorders>
              <w:top w:val="single" w:color="auto" w:sz="4" w:space="0"/>
              <w:left w:val="single" w:color="auto" w:sz="4" w:space="0"/>
              <w:bottom w:val="single" w:color="auto" w:sz="4" w:space="0"/>
              <w:right w:val="single" w:color="auto" w:sz="4" w:space="0"/>
            </w:tcBorders>
            <w:vAlign w:val="center"/>
          </w:tcPr>
          <w:p w14:paraId="30F8CBC8">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无</w:t>
            </w:r>
          </w:p>
        </w:tc>
      </w:tr>
      <w:tr w14:paraId="3BF4E80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4F5F23D">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1.11.2</w:t>
            </w:r>
          </w:p>
        </w:tc>
        <w:tc>
          <w:tcPr>
            <w:tcW w:w="2353" w:type="dxa"/>
            <w:tcBorders>
              <w:top w:val="single" w:color="auto" w:sz="4" w:space="0"/>
              <w:left w:val="single" w:color="auto" w:sz="4" w:space="0"/>
              <w:bottom w:val="single" w:color="auto" w:sz="4" w:space="0"/>
              <w:right w:val="single" w:color="auto" w:sz="4" w:space="0"/>
            </w:tcBorders>
            <w:vAlign w:val="center"/>
          </w:tcPr>
          <w:p w14:paraId="5A36E91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投标人拟分包的工作</w:t>
            </w:r>
          </w:p>
        </w:tc>
        <w:tc>
          <w:tcPr>
            <w:tcW w:w="5659" w:type="dxa"/>
            <w:tcBorders>
              <w:top w:val="single" w:color="auto" w:sz="4" w:space="0"/>
              <w:left w:val="single" w:color="auto" w:sz="4" w:space="0"/>
              <w:bottom w:val="single" w:color="auto" w:sz="4" w:space="0"/>
              <w:right w:val="single" w:color="auto" w:sz="4" w:space="0"/>
            </w:tcBorders>
            <w:vAlign w:val="center"/>
          </w:tcPr>
          <w:p w14:paraId="43588CCF">
            <w:pPr>
              <w:pStyle w:val="16"/>
              <w:topLinePunct/>
              <w:spacing w:line="0" w:lineRule="atLeast"/>
              <w:rPr>
                <w:rFonts w:hint="eastAsia" w:hAnsi="宋体" w:eastAsia="宋体" w:cs="宋体"/>
                <w:color w:val="auto"/>
                <w:sz w:val="21"/>
                <w:szCs w:val="21"/>
                <w:highlight w:val="none"/>
                <w:lang w:eastAsia="zh-CN"/>
              </w:rPr>
            </w:pPr>
            <w:r>
              <w:rPr>
                <w:rFonts w:hint="eastAsia" w:hAnsi="宋体" w:cs="宋体"/>
                <w:color w:val="auto"/>
                <w:sz w:val="32"/>
                <w:szCs w:val="32"/>
                <w:highlight w:val="none"/>
                <w:lang w:eastAsia="zh-CN"/>
              </w:rPr>
              <w:t>□</w:t>
            </w:r>
            <w:r>
              <w:rPr>
                <w:rFonts w:hint="eastAsia" w:hAnsi="宋体" w:cs="宋体"/>
                <w:color w:val="auto"/>
                <w:sz w:val="21"/>
                <w:szCs w:val="21"/>
                <w:highlight w:val="none"/>
              </w:rPr>
              <w:t>不允许</w:t>
            </w:r>
          </w:p>
          <w:p w14:paraId="2E0AD726">
            <w:pPr>
              <w:spacing w:line="0" w:lineRule="atLeast"/>
              <w:rPr>
                <w:rFonts w:hint="eastAsia" w:ascii="宋体" w:hAnsi="宋体" w:cs="宋体"/>
                <w:color w:val="auto"/>
                <w:szCs w:val="21"/>
                <w:highlight w:val="none"/>
              </w:rPr>
            </w:pPr>
            <w:r>
              <w:rPr>
                <w:rFonts w:hint="eastAsia" w:hAnsi="宋体" w:cs="宋体"/>
                <w:color w:val="auto"/>
                <w:sz w:val="32"/>
                <w:szCs w:val="32"/>
                <w:highlight w:val="none"/>
              </w:rPr>
              <w:t>■</w:t>
            </w:r>
            <w:r>
              <w:rPr>
                <w:rFonts w:hint="eastAsia" w:ascii="宋体" w:hAnsi="宋体" w:cs="宋体"/>
                <w:color w:val="auto"/>
                <w:szCs w:val="21"/>
                <w:highlight w:val="none"/>
              </w:rPr>
              <w:t>允许</w:t>
            </w:r>
            <w:r>
              <w:rPr>
                <w:rFonts w:hint="eastAsia" w:ascii="宋体" w:hAnsi="宋体" w:cs="宋体"/>
                <w:color w:val="auto"/>
                <w:szCs w:val="21"/>
                <w:highlight w:val="none"/>
                <w:lang w:eastAsia="zh-CN"/>
              </w:rPr>
              <w:t>：对于非主体、非关键性工程，承包人不具备相应资质的，需经招标人审核批准后分包给具有相应资质和能力的专业单位实施，但不得再次分包。</w:t>
            </w:r>
          </w:p>
        </w:tc>
      </w:tr>
      <w:tr w14:paraId="13BF786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6FC46D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353" w:type="dxa"/>
            <w:tcBorders>
              <w:top w:val="single" w:color="auto" w:sz="4" w:space="0"/>
              <w:left w:val="single" w:color="auto" w:sz="4" w:space="0"/>
              <w:bottom w:val="single" w:color="auto" w:sz="4" w:space="0"/>
              <w:right w:val="single" w:color="auto" w:sz="4" w:space="0"/>
            </w:tcBorders>
            <w:vAlign w:val="center"/>
          </w:tcPr>
          <w:p w14:paraId="573B24F6">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偏离</w:t>
            </w:r>
          </w:p>
        </w:tc>
        <w:tc>
          <w:tcPr>
            <w:tcW w:w="5659" w:type="dxa"/>
            <w:tcBorders>
              <w:top w:val="single" w:color="auto" w:sz="4" w:space="0"/>
              <w:left w:val="single" w:color="auto" w:sz="4" w:space="0"/>
              <w:bottom w:val="single" w:color="auto" w:sz="4" w:space="0"/>
              <w:right w:val="single" w:color="auto" w:sz="4" w:space="0"/>
            </w:tcBorders>
            <w:vAlign w:val="center"/>
          </w:tcPr>
          <w:p w14:paraId="5D64108C">
            <w:pPr>
              <w:pStyle w:val="16"/>
              <w:topLinePunct/>
              <w:spacing w:line="0" w:lineRule="atLeast"/>
              <w:rPr>
                <w:rFonts w:hint="eastAsia" w:hAnsi="宋体" w:cs="宋体"/>
                <w:color w:val="auto"/>
                <w:sz w:val="21"/>
                <w:szCs w:val="21"/>
                <w:highlight w:val="none"/>
              </w:rPr>
            </w:pPr>
            <w:r>
              <w:rPr>
                <w:rFonts w:hint="eastAsia" w:hAnsi="宋体" w:cs="宋体"/>
                <w:color w:val="auto"/>
                <w:sz w:val="32"/>
                <w:szCs w:val="32"/>
                <w:highlight w:val="none"/>
              </w:rPr>
              <w:t>■</w:t>
            </w:r>
            <w:r>
              <w:rPr>
                <w:rFonts w:hint="eastAsia" w:hAnsi="宋体" w:cs="宋体"/>
                <w:color w:val="auto"/>
                <w:sz w:val="21"/>
                <w:szCs w:val="21"/>
                <w:highlight w:val="none"/>
              </w:rPr>
              <w:t>不允许</w:t>
            </w:r>
          </w:p>
          <w:p w14:paraId="3F12B15C">
            <w:pPr>
              <w:pStyle w:val="16"/>
              <w:topLinePunct/>
              <w:spacing w:line="0" w:lineRule="atLeast"/>
              <w:rPr>
                <w:rFonts w:hint="eastAsia" w:hAnsi="宋体" w:cs="宋体"/>
                <w:color w:val="auto"/>
                <w:sz w:val="21"/>
                <w:szCs w:val="21"/>
                <w:highlight w:val="none"/>
              </w:rPr>
            </w:pPr>
            <w:r>
              <w:rPr>
                <w:rFonts w:hint="eastAsia" w:hAnsi="宋体" w:cs="宋体"/>
                <w:color w:val="auto"/>
                <w:sz w:val="32"/>
                <w:szCs w:val="32"/>
                <w:highlight w:val="none"/>
              </w:rPr>
              <w:t>□</w:t>
            </w:r>
            <w:r>
              <w:rPr>
                <w:rFonts w:hint="eastAsia" w:hAnsi="宋体" w:cs="宋体"/>
                <w:color w:val="auto"/>
                <w:sz w:val="21"/>
                <w:szCs w:val="21"/>
                <w:highlight w:val="none"/>
              </w:rPr>
              <w:t>允许，允许偏离的内容、偏离范围和幅度：</w:t>
            </w:r>
            <w:r>
              <w:rPr>
                <w:rFonts w:hint="eastAsia" w:hAnsi="宋体" w:cs="宋体"/>
                <w:color w:val="auto"/>
                <w:sz w:val="21"/>
                <w:szCs w:val="21"/>
                <w:highlight w:val="none"/>
                <w:u w:val="single"/>
              </w:rPr>
              <w:t>/</w:t>
            </w:r>
          </w:p>
        </w:tc>
      </w:tr>
      <w:tr w14:paraId="553732FA">
        <w:tblPrEx>
          <w:tblCellMar>
            <w:top w:w="0" w:type="dxa"/>
            <w:left w:w="108" w:type="dxa"/>
            <w:bottom w:w="0" w:type="dxa"/>
            <w:right w:w="108" w:type="dxa"/>
          </w:tblCellMar>
        </w:tblPrEx>
        <w:trPr>
          <w:trHeight w:val="526" w:hRule="atLeast"/>
        </w:trPr>
        <w:tc>
          <w:tcPr>
            <w:tcW w:w="1165" w:type="dxa"/>
            <w:tcBorders>
              <w:top w:val="single" w:color="auto" w:sz="4" w:space="0"/>
              <w:left w:val="single" w:color="auto" w:sz="4" w:space="0"/>
              <w:bottom w:val="single" w:color="auto" w:sz="4" w:space="0"/>
              <w:right w:val="single" w:color="auto" w:sz="4" w:space="0"/>
            </w:tcBorders>
            <w:vAlign w:val="center"/>
          </w:tcPr>
          <w:p w14:paraId="5B77DB3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353" w:type="dxa"/>
            <w:tcBorders>
              <w:top w:val="single" w:color="auto" w:sz="4" w:space="0"/>
              <w:left w:val="single" w:color="auto" w:sz="4" w:space="0"/>
              <w:bottom w:val="single" w:color="auto" w:sz="4" w:space="0"/>
              <w:right w:val="single" w:color="auto" w:sz="4" w:space="0"/>
            </w:tcBorders>
            <w:vAlign w:val="center"/>
          </w:tcPr>
          <w:p w14:paraId="418B91AA">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659" w:type="dxa"/>
            <w:tcBorders>
              <w:top w:val="single" w:color="auto" w:sz="4" w:space="0"/>
              <w:left w:val="single" w:color="auto" w:sz="4" w:space="0"/>
              <w:bottom w:val="single" w:color="auto" w:sz="4" w:space="0"/>
              <w:right w:val="single" w:color="auto" w:sz="4" w:space="0"/>
            </w:tcBorders>
            <w:vAlign w:val="center"/>
          </w:tcPr>
          <w:p w14:paraId="44CA8456">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《设计任务书》</w:t>
            </w:r>
          </w:p>
        </w:tc>
      </w:tr>
      <w:tr w14:paraId="5643998D">
        <w:tblPrEx>
          <w:tblCellMar>
            <w:top w:w="0" w:type="dxa"/>
            <w:left w:w="108" w:type="dxa"/>
            <w:bottom w:w="0" w:type="dxa"/>
            <w:right w:w="108" w:type="dxa"/>
          </w:tblCellMar>
        </w:tblPrEx>
        <w:trPr>
          <w:trHeight w:val="654" w:hRule="atLeast"/>
        </w:trPr>
        <w:tc>
          <w:tcPr>
            <w:tcW w:w="1165" w:type="dxa"/>
            <w:tcBorders>
              <w:top w:val="single" w:color="auto" w:sz="4" w:space="0"/>
              <w:left w:val="single" w:color="auto" w:sz="4" w:space="0"/>
              <w:bottom w:val="single" w:color="auto" w:sz="4" w:space="0"/>
              <w:right w:val="single" w:color="auto" w:sz="4" w:space="0"/>
            </w:tcBorders>
            <w:vAlign w:val="center"/>
          </w:tcPr>
          <w:p w14:paraId="75DAFA20">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353" w:type="dxa"/>
            <w:tcBorders>
              <w:top w:val="single" w:color="auto" w:sz="4" w:space="0"/>
              <w:left w:val="single" w:color="auto" w:sz="4" w:space="0"/>
              <w:bottom w:val="single" w:color="auto" w:sz="4" w:space="0"/>
              <w:right w:val="single" w:color="auto" w:sz="4" w:space="0"/>
            </w:tcBorders>
            <w:vAlign w:val="center"/>
          </w:tcPr>
          <w:p w14:paraId="410059DB">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5659" w:type="dxa"/>
            <w:tcBorders>
              <w:top w:val="single" w:color="auto" w:sz="4" w:space="0"/>
              <w:left w:val="single" w:color="auto" w:sz="4" w:space="0"/>
              <w:bottom w:val="single" w:color="auto" w:sz="4" w:space="0"/>
              <w:right w:val="single" w:color="auto" w:sz="4" w:space="0"/>
            </w:tcBorders>
            <w:vAlign w:val="center"/>
          </w:tcPr>
          <w:p w14:paraId="61492913">
            <w:pPr>
              <w:spacing w:line="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1、本项目采用网上答疑方式。</w:t>
            </w:r>
          </w:p>
          <w:p w14:paraId="245EDCB5">
            <w:pPr>
              <w:spacing w:line="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2、投标人疑问期限：在投标截止日期18日前，将投标疑问通过广州交易集团有限公司（广州公共资源交易中心）交易平台提交。</w:t>
            </w:r>
          </w:p>
          <w:p w14:paraId="738C35B6">
            <w:pPr>
              <w:spacing w:line="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3、招标人澄清、修补或答疑期限：在递交投标文件截止日期15日前，在广州交易集团有限公司（广州公共资源交易中心）网站“招标答疑”专区发布，一经发布，视作已发放给所有投标人。</w:t>
            </w:r>
          </w:p>
          <w:p w14:paraId="0ED4401A">
            <w:pPr>
              <w:spacing w:line="0" w:lineRule="atLeast"/>
              <w:rPr>
                <w:rFonts w:hint="eastAsia" w:ascii="宋体" w:hAnsi="宋体" w:cs="宋体"/>
                <w:color w:val="auto"/>
                <w:szCs w:val="21"/>
                <w:highlight w:val="none"/>
              </w:rPr>
            </w:pPr>
            <w:r>
              <w:rPr>
                <w:rFonts w:hint="eastAsia" w:ascii="宋体" w:hAnsi="宋体" w:cs="宋体"/>
                <w:color w:val="auto"/>
                <w:kern w:val="0"/>
                <w:szCs w:val="21"/>
                <w:highlight w:val="none"/>
              </w:rPr>
              <w:t>4、网上答疑的相关事项详见本章第2.2款。</w:t>
            </w:r>
          </w:p>
        </w:tc>
      </w:tr>
      <w:tr w14:paraId="32F90C94">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14:paraId="22121B8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353" w:type="dxa"/>
            <w:tcBorders>
              <w:top w:val="single" w:color="auto" w:sz="4" w:space="0"/>
              <w:left w:val="single" w:color="auto" w:sz="4" w:space="0"/>
              <w:bottom w:val="single" w:color="auto" w:sz="4" w:space="0"/>
              <w:right w:val="single" w:color="auto" w:sz="4" w:space="0"/>
            </w:tcBorders>
            <w:vAlign w:val="center"/>
          </w:tcPr>
          <w:p w14:paraId="339732B5">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5659" w:type="dxa"/>
            <w:tcBorders>
              <w:top w:val="single" w:color="auto" w:sz="4" w:space="0"/>
              <w:left w:val="single" w:color="auto" w:sz="4" w:space="0"/>
              <w:bottom w:val="single" w:color="auto" w:sz="4" w:space="0"/>
              <w:right w:val="single" w:color="auto" w:sz="4" w:space="0"/>
            </w:tcBorders>
            <w:vAlign w:val="center"/>
          </w:tcPr>
          <w:p w14:paraId="5CE2A8F7">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详</w:t>
            </w:r>
            <w:r>
              <w:rPr>
                <w:rFonts w:hint="eastAsia" w:ascii="宋体" w:hAnsi="宋体" w:cs="宋体"/>
                <w:color w:val="auto"/>
                <w:kern w:val="0"/>
                <w:szCs w:val="21"/>
                <w:highlight w:val="none"/>
              </w:rPr>
              <w:t>见本项目招标公告</w:t>
            </w:r>
          </w:p>
        </w:tc>
      </w:tr>
      <w:tr w14:paraId="793F2F99">
        <w:tblPrEx>
          <w:tblCellMar>
            <w:top w:w="0" w:type="dxa"/>
            <w:left w:w="108" w:type="dxa"/>
            <w:bottom w:w="0" w:type="dxa"/>
            <w:right w:w="108" w:type="dxa"/>
          </w:tblCellMar>
        </w:tblPrEx>
        <w:trPr>
          <w:trHeight w:val="1087" w:hRule="atLeast"/>
        </w:trPr>
        <w:tc>
          <w:tcPr>
            <w:tcW w:w="1165" w:type="dxa"/>
            <w:tcBorders>
              <w:top w:val="single" w:color="auto" w:sz="4" w:space="0"/>
              <w:left w:val="single" w:color="auto" w:sz="4" w:space="0"/>
              <w:bottom w:val="single" w:color="auto" w:sz="4" w:space="0"/>
              <w:right w:val="single" w:color="auto" w:sz="4" w:space="0"/>
            </w:tcBorders>
            <w:vAlign w:val="center"/>
          </w:tcPr>
          <w:p w14:paraId="5784A6D5">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353" w:type="dxa"/>
            <w:tcBorders>
              <w:top w:val="single" w:color="auto" w:sz="4" w:space="0"/>
              <w:left w:val="single" w:color="auto" w:sz="4" w:space="0"/>
              <w:bottom w:val="single" w:color="auto" w:sz="4" w:space="0"/>
              <w:right w:val="single" w:color="auto" w:sz="4" w:space="0"/>
            </w:tcBorders>
            <w:vAlign w:val="center"/>
          </w:tcPr>
          <w:p w14:paraId="3B66F523">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5659" w:type="dxa"/>
            <w:tcBorders>
              <w:top w:val="single" w:color="auto" w:sz="4" w:space="0"/>
              <w:left w:val="single" w:color="auto" w:sz="4" w:space="0"/>
              <w:bottom w:val="single" w:color="auto" w:sz="4" w:space="0"/>
              <w:right w:val="single" w:color="auto" w:sz="4" w:space="0"/>
            </w:tcBorders>
            <w:vAlign w:val="center"/>
          </w:tcPr>
          <w:p w14:paraId="0DDC817D">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招标文件澄清在交易平台网站通过项目答疑专区网上公开发布，发出即视作收到，以交易平台网站发布时间作为送达时间。无需投标人确认。投标人应自行关注，招标人不再一一通知。</w:t>
            </w:r>
          </w:p>
        </w:tc>
      </w:tr>
      <w:tr w14:paraId="17BDD60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CA14943">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353" w:type="dxa"/>
            <w:tcBorders>
              <w:top w:val="single" w:color="auto" w:sz="4" w:space="0"/>
              <w:left w:val="single" w:color="auto" w:sz="4" w:space="0"/>
              <w:bottom w:val="single" w:color="auto" w:sz="4" w:space="0"/>
              <w:right w:val="single" w:color="auto" w:sz="4" w:space="0"/>
            </w:tcBorders>
            <w:vAlign w:val="center"/>
          </w:tcPr>
          <w:p w14:paraId="74AE5B3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5659" w:type="dxa"/>
            <w:tcBorders>
              <w:top w:val="single" w:color="auto" w:sz="4" w:space="0"/>
              <w:left w:val="single" w:color="auto" w:sz="4" w:space="0"/>
              <w:bottom w:val="single" w:color="auto" w:sz="4" w:space="0"/>
              <w:right w:val="single" w:color="auto" w:sz="4" w:space="0"/>
            </w:tcBorders>
            <w:vAlign w:val="center"/>
          </w:tcPr>
          <w:p w14:paraId="7688AFA6">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招标文件修改（或补充公告）一经在交易平台网站发布，视作已发放给所有投标人，以交易平台网站发布时间作为送达时间。无需投标人确认。投标人应自行关注，招标人不再一一通知。</w:t>
            </w:r>
          </w:p>
        </w:tc>
      </w:tr>
      <w:tr w14:paraId="6011511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F41BA75">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353" w:type="dxa"/>
            <w:tcBorders>
              <w:top w:val="single" w:color="auto" w:sz="4" w:space="0"/>
              <w:left w:val="single" w:color="auto" w:sz="4" w:space="0"/>
              <w:bottom w:val="single" w:color="auto" w:sz="4" w:space="0"/>
              <w:right w:val="single" w:color="auto" w:sz="4" w:space="0"/>
            </w:tcBorders>
            <w:vAlign w:val="center"/>
          </w:tcPr>
          <w:p w14:paraId="7D8638C2">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659" w:type="dxa"/>
            <w:tcBorders>
              <w:top w:val="single" w:color="auto" w:sz="4" w:space="0"/>
              <w:left w:val="single" w:color="auto" w:sz="4" w:space="0"/>
              <w:bottom w:val="single" w:color="auto" w:sz="4" w:space="0"/>
              <w:right w:val="single" w:color="auto" w:sz="4" w:space="0"/>
            </w:tcBorders>
            <w:vAlign w:val="center"/>
          </w:tcPr>
          <w:p w14:paraId="7EFEF798">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75B4FABE">
        <w:tblPrEx>
          <w:tblCellMar>
            <w:top w:w="0" w:type="dxa"/>
            <w:left w:w="108" w:type="dxa"/>
            <w:bottom w:w="0" w:type="dxa"/>
            <w:right w:w="108" w:type="dxa"/>
          </w:tblCellMar>
        </w:tblPrEx>
        <w:trPr>
          <w:trHeight w:val="1437" w:hRule="atLeast"/>
        </w:trPr>
        <w:tc>
          <w:tcPr>
            <w:tcW w:w="1165" w:type="dxa"/>
            <w:tcBorders>
              <w:top w:val="single" w:color="auto" w:sz="4" w:space="0"/>
              <w:left w:val="single" w:color="auto" w:sz="4" w:space="0"/>
              <w:bottom w:val="single" w:color="auto" w:sz="4" w:space="0"/>
              <w:right w:val="single" w:color="auto" w:sz="4" w:space="0"/>
            </w:tcBorders>
            <w:vAlign w:val="center"/>
          </w:tcPr>
          <w:p w14:paraId="11C97F65">
            <w:pPr>
              <w:spacing w:line="0" w:lineRule="atLeast"/>
              <w:jc w:val="center"/>
              <w:rPr>
                <w:rFonts w:hint="eastAsia" w:ascii="宋体" w:hAnsi="宋体" w:cs="宋体"/>
                <w:color w:val="auto"/>
                <w:szCs w:val="21"/>
                <w:highlight w:val="none"/>
              </w:rPr>
            </w:pPr>
            <w:r>
              <w:rPr>
                <w:rFonts w:hint="eastAsia" w:ascii="宋体" w:hAnsi="宋体" w:cs="宋体"/>
                <w:color w:val="auto"/>
                <w:highlight w:val="none"/>
              </w:rPr>
              <w:t>3.2.4</w:t>
            </w:r>
          </w:p>
        </w:tc>
        <w:tc>
          <w:tcPr>
            <w:tcW w:w="2353" w:type="dxa"/>
            <w:tcBorders>
              <w:top w:val="single" w:color="auto" w:sz="4" w:space="0"/>
              <w:left w:val="single" w:color="auto" w:sz="4" w:space="0"/>
              <w:bottom w:val="single" w:color="auto" w:sz="4" w:space="0"/>
              <w:right w:val="single" w:color="auto" w:sz="4" w:space="0"/>
            </w:tcBorders>
            <w:vAlign w:val="center"/>
          </w:tcPr>
          <w:p w14:paraId="27CBA1E7">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最高投标限价或其计算方法</w:t>
            </w:r>
          </w:p>
        </w:tc>
        <w:tc>
          <w:tcPr>
            <w:tcW w:w="5659" w:type="dxa"/>
            <w:tcBorders>
              <w:top w:val="single" w:color="auto" w:sz="4" w:space="0"/>
              <w:left w:val="single" w:color="auto" w:sz="4" w:space="0"/>
              <w:bottom w:val="single" w:color="auto" w:sz="4" w:space="0"/>
              <w:right w:val="single" w:color="auto" w:sz="4" w:space="0"/>
            </w:tcBorders>
            <w:vAlign w:val="center"/>
          </w:tcPr>
          <w:p w14:paraId="4C83C6F1">
            <w:pPr>
              <w:pStyle w:val="20"/>
              <w:spacing w:line="0" w:lineRule="atLeast"/>
              <w:rPr>
                <w:rFonts w:hint="eastAsia" w:ascii="宋体" w:hAnsi="宋体" w:eastAsia="宋体" w:cs="宋体"/>
                <w:color w:val="auto"/>
                <w:szCs w:val="21"/>
                <w:highlight w:val="none"/>
              </w:rPr>
            </w:pPr>
            <w:r>
              <w:rPr>
                <w:rFonts w:hint="eastAsia" w:ascii="宋体" w:hAnsi="宋体" w:eastAsia="宋体"/>
                <w:color w:val="auto"/>
                <w:szCs w:val="24"/>
                <w:highlight w:val="none"/>
              </w:rPr>
              <w:t>本次招标最高投标限价为</w:t>
            </w:r>
            <w:r>
              <w:rPr>
                <w:rFonts w:hint="eastAsia" w:ascii="宋体" w:hAnsi="宋体" w:eastAsia="宋体"/>
                <w:color w:val="auto"/>
                <w:szCs w:val="24"/>
                <w:highlight w:val="none"/>
                <w:lang w:val="en-US" w:eastAsia="zh-CN"/>
              </w:rPr>
              <w:t>人民币2160.00万</w:t>
            </w:r>
            <w:r>
              <w:rPr>
                <w:rFonts w:hint="eastAsia" w:ascii="宋体" w:hAnsi="宋体" w:eastAsia="宋体"/>
                <w:color w:val="auto"/>
                <w:szCs w:val="24"/>
                <w:highlight w:val="none"/>
              </w:rPr>
              <w:t>元，其中：设计费最高投标限价为人民币</w:t>
            </w:r>
            <w:r>
              <w:rPr>
                <w:rFonts w:hint="eastAsia" w:ascii="宋体" w:hAnsi="宋体" w:eastAsia="宋体"/>
                <w:color w:val="auto"/>
                <w:szCs w:val="24"/>
                <w:highlight w:val="none"/>
                <w:lang w:val="en-US" w:eastAsia="zh-CN"/>
              </w:rPr>
              <w:t>70.00万</w:t>
            </w:r>
            <w:r>
              <w:rPr>
                <w:rFonts w:hint="eastAsia" w:ascii="宋体" w:hAnsi="宋体" w:eastAsia="宋体"/>
                <w:color w:val="auto"/>
                <w:szCs w:val="24"/>
                <w:highlight w:val="none"/>
              </w:rPr>
              <w:t>元，</w:t>
            </w:r>
            <w:r>
              <w:rPr>
                <w:rFonts w:hint="eastAsia" w:ascii="宋体" w:hAnsi="宋体" w:eastAsia="宋体"/>
                <w:color w:val="auto"/>
                <w:szCs w:val="24"/>
                <w:highlight w:val="none"/>
                <w:lang w:val="en-US" w:eastAsia="zh-CN"/>
              </w:rPr>
              <w:t>建安工程费</w:t>
            </w:r>
            <w:r>
              <w:rPr>
                <w:rFonts w:hint="eastAsia" w:ascii="宋体" w:hAnsi="宋体" w:eastAsia="宋体"/>
                <w:color w:val="auto"/>
                <w:szCs w:val="24"/>
                <w:highlight w:val="none"/>
              </w:rPr>
              <w:t>最高投标限价为人民币</w:t>
            </w:r>
            <w:r>
              <w:rPr>
                <w:rFonts w:hint="eastAsia" w:ascii="宋体" w:hAnsi="宋体" w:eastAsia="宋体"/>
                <w:color w:val="auto"/>
                <w:szCs w:val="24"/>
                <w:highlight w:val="none"/>
                <w:lang w:val="en-US" w:eastAsia="zh-CN"/>
              </w:rPr>
              <w:t>1990.00万</w:t>
            </w:r>
            <w:r>
              <w:rPr>
                <w:rFonts w:hint="eastAsia" w:ascii="宋体" w:hAnsi="宋体" w:eastAsia="宋体"/>
                <w:color w:val="auto"/>
                <w:szCs w:val="24"/>
                <w:highlight w:val="none"/>
              </w:rPr>
              <w:t>元</w:t>
            </w:r>
            <w:r>
              <w:rPr>
                <w:rFonts w:hint="eastAsia" w:ascii="宋体" w:hAnsi="宋体" w:eastAsia="宋体"/>
                <w:color w:val="auto"/>
                <w:szCs w:val="24"/>
                <w:highlight w:val="none"/>
                <w:lang w:eastAsia="zh-CN"/>
              </w:rPr>
              <w:t>，暂列</w:t>
            </w:r>
            <w:r>
              <w:rPr>
                <w:rFonts w:hint="eastAsia" w:ascii="宋体" w:hAnsi="宋体" w:eastAsia="宋体"/>
                <w:color w:val="auto"/>
                <w:szCs w:val="24"/>
                <w:highlight w:val="none"/>
                <w:lang w:val="en-US" w:eastAsia="zh-CN"/>
              </w:rPr>
              <w:t>金额为人民币</w:t>
            </w:r>
            <w:r>
              <w:rPr>
                <w:rFonts w:hint="eastAsia" w:ascii="宋体" w:hAnsi="宋体" w:eastAsia="宋体"/>
                <w:color w:val="auto"/>
                <w:szCs w:val="24"/>
                <w:highlight w:val="none"/>
                <w:lang w:eastAsia="zh-CN"/>
              </w:rPr>
              <w:t>100</w:t>
            </w:r>
            <w:r>
              <w:rPr>
                <w:rFonts w:hint="eastAsia" w:ascii="宋体" w:hAnsi="宋体" w:eastAsia="宋体"/>
                <w:color w:val="auto"/>
                <w:szCs w:val="24"/>
                <w:highlight w:val="none"/>
                <w:lang w:val="en-US" w:eastAsia="zh-CN"/>
              </w:rPr>
              <w:t>.00万元</w:t>
            </w:r>
            <w:r>
              <w:rPr>
                <w:rFonts w:hint="eastAsia" w:ascii="宋体" w:hAnsi="宋体" w:eastAsia="宋体"/>
                <w:color w:val="auto"/>
                <w:szCs w:val="24"/>
                <w:highlight w:val="none"/>
              </w:rPr>
              <w:t>。</w:t>
            </w:r>
          </w:p>
          <w:p w14:paraId="020E3016">
            <w:pPr>
              <w:pStyle w:val="20"/>
              <w:spacing w:line="0" w:lineRule="atLeast"/>
              <w:rPr>
                <w:rFonts w:ascii="Times New Roman" w:hAnsi="Times New Roman" w:eastAsia="宋体"/>
                <w:b/>
                <w:color w:val="auto"/>
                <w:szCs w:val="24"/>
                <w:highlight w:val="none"/>
              </w:rPr>
            </w:pPr>
            <w:r>
              <w:rPr>
                <w:rFonts w:hint="eastAsia" w:ascii="宋体" w:hAnsi="宋体" w:eastAsia="宋体"/>
                <w:b/>
                <w:color w:val="auto"/>
                <w:szCs w:val="24"/>
                <w:highlight w:val="none"/>
              </w:rPr>
              <w:t>备注：投标人的投标总价或设计费或建安工程费</w:t>
            </w:r>
            <w:r>
              <w:rPr>
                <w:rFonts w:hint="eastAsia" w:ascii="宋体" w:hAnsi="宋体" w:eastAsia="宋体"/>
                <w:b/>
                <w:color w:val="auto"/>
                <w:szCs w:val="24"/>
                <w:highlight w:val="none"/>
                <w:lang w:val="en-US" w:eastAsia="zh-CN"/>
              </w:rPr>
              <w:t>或暂列金额</w:t>
            </w:r>
            <w:r>
              <w:rPr>
                <w:rFonts w:hint="eastAsia" w:ascii="宋体" w:hAnsi="宋体" w:eastAsia="宋体"/>
                <w:b/>
                <w:color w:val="auto"/>
                <w:szCs w:val="24"/>
                <w:highlight w:val="none"/>
              </w:rPr>
              <w:t>超过上述最高投标限价的为无效标。</w:t>
            </w:r>
          </w:p>
        </w:tc>
      </w:tr>
      <w:tr w14:paraId="0B48F0D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C3A840E">
            <w:pPr>
              <w:spacing w:line="0" w:lineRule="atLeast"/>
              <w:jc w:val="center"/>
              <w:rPr>
                <w:rFonts w:hint="eastAsia" w:ascii="宋体" w:hAnsi="宋体" w:cs="宋体"/>
                <w:color w:val="auto"/>
                <w:highlight w:val="none"/>
              </w:rPr>
            </w:pPr>
            <w:r>
              <w:rPr>
                <w:rFonts w:hint="eastAsia" w:ascii="宋体" w:hAnsi="宋体" w:cs="宋体"/>
                <w:color w:val="auto"/>
                <w:highlight w:val="none"/>
              </w:rPr>
              <w:t>3.2.5</w:t>
            </w:r>
          </w:p>
        </w:tc>
        <w:tc>
          <w:tcPr>
            <w:tcW w:w="2353" w:type="dxa"/>
            <w:tcBorders>
              <w:top w:val="single" w:color="auto" w:sz="4" w:space="0"/>
              <w:left w:val="single" w:color="auto" w:sz="4" w:space="0"/>
              <w:bottom w:val="single" w:color="auto" w:sz="4" w:space="0"/>
              <w:right w:val="single" w:color="auto" w:sz="4" w:space="0"/>
            </w:tcBorders>
            <w:vAlign w:val="center"/>
          </w:tcPr>
          <w:p w14:paraId="0F69DFB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5659" w:type="dxa"/>
            <w:tcBorders>
              <w:top w:val="single" w:color="auto" w:sz="4" w:space="0"/>
              <w:left w:val="single" w:color="auto" w:sz="4" w:space="0"/>
              <w:bottom w:val="single" w:color="auto" w:sz="4" w:space="0"/>
              <w:right w:val="single" w:color="auto" w:sz="4" w:space="0"/>
            </w:tcBorders>
            <w:vAlign w:val="center"/>
          </w:tcPr>
          <w:p w14:paraId="114D2044">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1、投标人必须详细审阅全部招标文件,充分考虑职责和义务,全面地理解招标文件对投标报价的要求,并按招标人提出的条件及内容进行报价。</w:t>
            </w:r>
          </w:p>
          <w:p w14:paraId="25FABCD7">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（1）设计费：投标报价不得高于投标最高限价，由投标人根据招标文件要求以及企业自身情况填报投标报价和投标下浮率；结算按照投标下浮率计算，具体以合同相关约定为准。</w:t>
            </w:r>
          </w:p>
          <w:p w14:paraId="36B43544">
            <w:pPr>
              <w:spacing w:line="0" w:lineRule="atLeast"/>
              <w:jc w:val="left"/>
              <w:rPr>
                <w:rFonts w:hint="eastAsia" w:ascii="宋体" w:hAnsi="宋体" w:cs="宋体"/>
                <w:color w:val="auto"/>
                <w:szCs w:val="21"/>
                <w:highlight w:val="none"/>
              </w:rPr>
            </w:pPr>
            <w:r>
              <w:rPr>
                <w:rFonts w:hint="eastAsia" w:ascii="宋体" w:hAnsi="宋体" w:cs="宋体"/>
                <w:color w:val="auto"/>
                <w:szCs w:val="21"/>
                <w:highlight w:val="none"/>
              </w:rPr>
              <w:t>（2）建安工程费：投标报价不得高于投标最高限价，由投标人根据招标文件要求以及企业自身情况填报投标报价和投标下浮率；结算按照投标下浮率计算。</w:t>
            </w:r>
          </w:p>
          <w:p w14:paraId="188CE252">
            <w:pPr>
              <w:spacing w:line="0" w:lineRule="atLeas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）暂列</w:t>
            </w:r>
            <w:r>
              <w:rPr>
                <w:rFonts w:hint="eastAsia" w:ascii="宋体" w:hAnsi="宋体" w:cs="宋体"/>
                <w:color w:val="auto"/>
                <w:szCs w:val="21"/>
                <w:highlight w:val="none"/>
                <w:lang w:val="en-US" w:eastAsia="zh-CN"/>
              </w:rPr>
              <w:t>金额</w:t>
            </w:r>
            <w:r>
              <w:rPr>
                <w:rFonts w:hint="eastAsia" w:ascii="宋体" w:hAnsi="宋体" w:cs="宋体"/>
                <w:color w:val="auto"/>
                <w:szCs w:val="21"/>
                <w:highlight w:val="none"/>
                <w:lang w:eastAsia="zh-CN"/>
              </w:rPr>
              <w:t>：</w:t>
            </w:r>
            <w:r>
              <w:rPr>
                <w:rFonts w:hint="eastAsia" w:ascii="宋体" w:hAnsi="宋体"/>
                <w:color w:val="auto"/>
                <w:szCs w:val="21"/>
                <w:highlight w:val="none"/>
              </w:rPr>
              <w:t>本项目暂列金额为</w:t>
            </w:r>
            <w:r>
              <w:rPr>
                <w:rFonts w:hint="eastAsia"/>
                <w:color w:val="auto"/>
                <w:szCs w:val="21"/>
                <w:highlight w:val="none"/>
              </w:rPr>
              <w:t>非竞争费用，投标人未按招标文件规定的金额填写的，由评标委员会按照招标文件规定的金额进行修正。修正后的投标报价对投标人起约束作用。如果投标人不接受修正后的报价，则取消其投标资格，并且其投标担保也将被没收。</w:t>
            </w:r>
            <w:r>
              <w:rPr>
                <w:rFonts w:hint="eastAsia" w:ascii="宋体" w:hAnsi="宋体" w:cs="宋体"/>
                <w:color w:val="auto"/>
                <w:szCs w:val="21"/>
                <w:highlight w:val="none"/>
              </w:rPr>
              <w:t>。</w:t>
            </w:r>
          </w:p>
        </w:tc>
      </w:tr>
      <w:tr w14:paraId="4CD92E25">
        <w:tblPrEx>
          <w:tblCellMar>
            <w:top w:w="0" w:type="dxa"/>
            <w:left w:w="108" w:type="dxa"/>
            <w:bottom w:w="0" w:type="dxa"/>
            <w:right w:w="108" w:type="dxa"/>
          </w:tblCellMar>
        </w:tblPrEx>
        <w:trPr>
          <w:trHeight w:val="2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5546756">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353" w:type="dxa"/>
            <w:tcBorders>
              <w:top w:val="single" w:color="auto" w:sz="4" w:space="0"/>
              <w:left w:val="single" w:color="auto" w:sz="4" w:space="0"/>
              <w:bottom w:val="single" w:color="auto" w:sz="4" w:space="0"/>
              <w:right w:val="single" w:color="auto" w:sz="4" w:space="0"/>
            </w:tcBorders>
            <w:vAlign w:val="center"/>
          </w:tcPr>
          <w:p w14:paraId="26766DB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659" w:type="dxa"/>
            <w:tcBorders>
              <w:top w:val="single" w:color="auto" w:sz="4" w:space="0"/>
              <w:left w:val="single" w:color="auto" w:sz="4" w:space="0"/>
              <w:bottom w:val="single" w:color="auto" w:sz="4" w:space="0"/>
              <w:right w:val="single" w:color="auto" w:sz="4" w:space="0"/>
            </w:tcBorders>
            <w:vAlign w:val="center"/>
          </w:tcPr>
          <w:p w14:paraId="27F4BB52">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120日历天（从递交投标文件截止之日计起），如出现异议或投诉，则投标有效期自动延长至异议或投诉处理结束，确定中标人并发放中标通知书为止。</w:t>
            </w:r>
          </w:p>
        </w:tc>
      </w:tr>
      <w:tr w14:paraId="30EB44F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3C39A8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353" w:type="dxa"/>
            <w:tcBorders>
              <w:top w:val="single" w:color="auto" w:sz="4" w:space="0"/>
              <w:left w:val="single" w:color="auto" w:sz="4" w:space="0"/>
              <w:bottom w:val="single" w:color="auto" w:sz="4" w:space="0"/>
              <w:right w:val="single" w:color="auto" w:sz="4" w:space="0"/>
            </w:tcBorders>
            <w:vAlign w:val="center"/>
          </w:tcPr>
          <w:p w14:paraId="11358E47">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659" w:type="dxa"/>
            <w:tcBorders>
              <w:top w:val="single" w:color="auto" w:sz="4" w:space="0"/>
              <w:left w:val="single" w:color="auto" w:sz="4" w:space="0"/>
              <w:bottom w:val="single" w:color="auto" w:sz="4" w:space="0"/>
              <w:right w:val="single" w:color="auto" w:sz="4" w:space="0"/>
            </w:tcBorders>
            <w:vAlign w:val="center"/>
          </w:tcPr>
          <w:p w14:paraId="124BF783">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投标保证金的金额：人民币</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万元整 ,缴纳时间：在</w:t>
            </w:r>
            <w:r>
              <w:rPr>
                <w:rFonts w:hint="eastAsia" w:ascii="宋体" w:hAnsi="宋体" w:cs="宋体"/>
                <w:color w:val="auto"/>
                <w:highlight w:val="none"/>
              </w:rPr>
              <w:t>投标截止时间之前</w:t>
            </w:r>
            <w:r>
              <w:rPr>
                <w:rFonts w:hint="eastAsia" w:ascii="宋体" w:hAnsi="宋体" w:cs="宋体"/>
                <w:color w:val="auto"/>
                <w:szCs w:val="21"/>
                <w:highlight w:val="none"/>
              </w:rPr>
              <w:t>。</w:t>
            </w:r>
          </w:p>
          <w:p w14:paraId="36CA1A10">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投标保证金有效期：与投标有效期一致。</w:t>
            </w:r>
          </w:p>
          <w:p w14:paraId="12DAAE3E">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投标保证金可采用现金、支票、投标保证保险、投标保函（银行或专业担保公司出具）的形式，须在递交投标文件截止时间前完成缴纳。</w:t>
            </w:r>
          </w:p>
          <w:p w14:paraId="4A4DD269">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1、投标保证金如采用现金或支票的形式提交的，投标保证金从投标人的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439F5CF1">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2、如采用投标保证保险、投标保函（银行或专业担保公司出具）的形式提交的，在开标前不强制要求提交纸质原件，由中标候选人在中标候选人公示前提交并在网上公示，但投标人应在投标文件中提交投标保函或投标保证保险扫描件并加盖投标人电子印章。</w:t>
            </w:r>
          </w:p>
          <w:p w14:paraId="54B0EFE6">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3、开标时，对于未能按招标文件要求缴纳投标保证金的投标人，招标人将视为不响应招标文件而予以拒绝，其投标无效，责任由投标人自负。</w:t>
            </w:r>
          </w:p>
          <w:p w14:paraId="7D7C37A7">
            <w:pPr>
              <w:spacing w:line="0" w:lineRule="atLeast"/>
              <w:rPr>
                <w:rFonts w:hint="eastAsia" w:hAnsi="宋体" w:cs="宋体"/>
                <w:color w:val="auto"/>
                <w:szCs w:val="21"/>
                <w:highlight w:val="none"/>
              </w:rPr>
            </w:pPr>
            <w:r>
              <w:rPr>
                <w:rFonts w:ascii="宋体" w:hAnsi="宋体" w:cs="宋体"/>
                <w:color w:val="auto"/>
                <w:szCs w:val="21"/>
                <w:highlight w:val="none"/>
                <w:u w:val="single"/>
                <w:lang w:bidi="ar"/>
              </w:rPr>
              <w:t>4</w:t>
            </w:r>
            <w:r>
              <w:rPr>
                <w:rFonts w:hint="eastAsia" w:ascii="宋体" w:hAnsi="宋体" w:cs="宋体"/>
                <w:color w:val="auto"/>
                <w:szCs w:val="21"/>
                <w:highlight w:val="none"/>
                <w:u w:val="single"/>
                <w:lang w:bidi="ar"/>
              </w:rPr>
              <w:t>、如联合体投标，投标保证金由联合体主办方缴纳。</w:t>
            </w:r>
            <w:r>
              <w:rPr>
                <w:rFonts w:hint="eastAsia" w:ascii="宋体" w:hAnsi="宋体" w:cs="宋体"/>
                <w:color w:val="auto"/>
                <w:szCs w:val="21"/>
                <w:highlight w:val="none"/>
              </w:rPr>
              <w:t xml:space="preserve">  </w:t>
            </w:r>
          </w:p>
        </w:tc>
      </w:tr>
      <w:tr w14:paraId="1F780A0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9031892">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353" w:type="dxa"/>
            <w:tcBorders>
              <w:top w:val="single" w:color="auto" w:sz="4" w:space="0"/>
              <w:left w:val="single" w:color="auto" w:sz="4" w:space="0"/>
              <w:bottom w:val="single" w:color="auto" w:sz="4" w:space="0"/>
              <w:right w:val="single" w:color="auto" w:sz="4" w:space="0"/>
            </w:tcBorders>
            <w:vAlign w:val="center"/>
          </w:tcPr>
          <w:p w14:paraId="6C40F84F">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近年财务状况</w:t>
            </w:r>
          </w:p>
        </w:tc>
        <w:tc>
          <w:tcPr>
            <w:tcW w:w="5659" w:type="dxa"/>
            <w:tcBorders>
              <w:top w:val="single" w:color="auto" w:sz="4" w:space="0"/>
              <w:left w:val="single" w:color="auto" w:sz="4" w:space="0"/>
              <w:bottom w:val="single" w:color="auto" w:sz="4" w:space="0"/>
              <w:right w:val="single" w:color="auto" w:sz="4" w:space="0"/>
            </w:tcBorders>
            <w:vAlign w:val="center"/>
          </w:tcPr>
          <w:p w14:paraId="42382021">
            <w:pPr>
              <w:spacing w:line="0" w:lineRule="atLeast"/>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411B7F4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C699A67">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353" w:type="dxa"/>
            <w:tcBorders>
              <w:top w:val="single" w:color="auto" w:sz="4" w:space="0"/>
              <w:left w:val="single" w:color="auto" w:sz="4" w:space="0"/>
              <w:bottom w:val="single" w:color="auto" w:sz="4" w:space="0"/>
              <w:right w:val="single" w:color="auto" w:sz="4" w:space="0"/>
            </w:tcBorders>
            <w:vAlign w:val="center"/>
          </w:tcPr>
          <w:p w14:paraId="3FDB19F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w:t>
            </w:r>
          </w:p>
        </w:tc>
        <w:tc>
          <w:tcPr>
            <w:tcW w:w="5659" w:type="dxa"/>
            <w:tcBorders>
              <w:top w:val="single" w:color="auto" w:sz="4" w:space="0"/>
              <w:left w:val="single" w:color="auto" w:sz="4" w:space="0"/>
              <w:bottom w:val="single" w:color="auto" w:sz="4" w:space="0"/>
              <w:right w:val="single" w:color="auto" w:sz="4" w:space="0"/>
            </w:tcBorders>
            <w:vAlign w:val="center"/>
          </w:tcPr>
          <w:p w14:paraId="23C4001D">
            <w:pPr>
              <w:spacing w:line="0" w:lineRule="atLeast"/>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3197C3D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F74F7E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2353" w:type="dxa"/>
            <w:tcBorders>
              <w:top w:val="single" w:color="auto" w:sz="4" w:space="0"/>
              <w:left w:val="single" w:color="auto" w:sz="4" w:space="0"/>
              <w:bottom w:val="single" w:color="auto" w:sz="4" w:space="0"/>
              <w:right w:val="single" w:color="auto" w:sz="4" w:space="0"/>
            </w:tcBorders>
            <w:vAlign w:val="center"/>
          </w:tcPr>
          <w:p w14:paraId="3B4FCCD0">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近年发生的重大诉讼及仲裁情况</w:t>
            </w:r>
          </w:p>
        </w:tc>
        <w:tc>
          <w:tcPr>
            <w:tcW w:w="5659" w:type="dxa"/>
            <w:tcBorders>
              <w:top w:val="single" w:color="auto" w:sz="4" w:space="0"/>
              <w:left w:val="single" w:color="auto" w:sz="4" w:space="0"/>
              <w:bottom w:val="single" w:color="auto" w:sz="4" w:space="0"/>
              <w:right w:val="single" w:color="auto" w:sz="4" w:space="0"/>
            </w:tcBorders>
            <w:vAlign w:val="center"/>
          </w:tcPr>
          <w:p w14:paraId="081C95CD">
            <w:pPr>
              <w:spacing w:line="0" w:lineRule="atLeast"/>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112C51A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F09056D">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2353" w:type="dxa"/>
            <w:tcBorders>
              <w:top w:val="single" w:color="auto" w:sz="4" w:space="0"/>
              <w:left w:val="single" w:color="auto" w:sz="4" w:space="0"/>
              <w:bottom w:val="single" w:color="auto" w:sz="4" w:space="0"/>
              <w:right w:val="single" w:color="auto" w:sz="4" w:space="0"/>
            </w:tcBorders>
            <w:vAlign w:val="center"/>
          </w:tcPr>
          <w:p w14:paraId="5B606895">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659" w:type="dxa"/>
            <w:tcBorders>
              <w:top w:val="single" w:color="auto" w:sz="4" w:space="0"/>
              <w:left w:val="single" w:color="auto" w:sz="4" w:space="0"/>
              <w:bottom w:val="single" w:color="auto" w:sz="4" w:space="0"/>
              <w:right w:val="single" w:color="auto" w:sz="4" w:space="0"/>
            </w:tcBorders>
            <w:vAlign w:val="center"/>
          </w:tcPr>
          <w:p w14:paraId="51580034">
            <w:pPr>
              <w:pStyle w:val="16"/>
              <w:topLinePunct/>
              <w:spacing w:line="0" w:lineRule="atLeast"/>
              <w:rPr>
                <w:rFonts w:hint="eastAsia" w:hAnsi="宋体" w:cs="宋体"/>
                <w:color w:val="auto"/>
                <w:sz w:val="21"/>
                <w:szCs w:val="21"/>
                <w:highlight w:val="none"/>
              </w:rPr>
            </w:pPr>
            <w:r>
              <w:rPr>
                <w:rFonts w:hint="eastAsia" w:hAnsi="宋体" w:cs="宋体"/>
                <w:color w:val="auto"/>
                <w:sz w:val="32"/>
                <w:szCs w:val="32"/>
                <w:highlight w:val="none"/>
              </w:rPr>
              <w:t>■</w:t>
            </w:r>
            <w:r>
              <w:rPr>
                <w:rFonts w:hint="eastAsia" w:hAnsi="宋体" w:cs="宋体"/>
                <w:color w:val="auto"/>
                <w:sz w:val="21"/>
                <w:szCs w:val="21"/>
                <w:highlight w:val="none"/>
              </w:rPr>
              <w:t>不允许</w:t>
            </w:r>
          </w:p>
          <w:p w14:paraId="2C9D42B4">
            <w:pPr>
              <w:spacing w:line="0" w:lineRule="atLeast"/>
              <w:rPr>
                <w:rFonts w:hint="eastAsia" w:ascii="宋体" w:hAnsi="宋体" w:cs="宋体"/>
                <w:color w:val="auto"/>
                <w:szCs w:val="21"/>
                <w:highlight w:val="none"/>
              </w:rPr>
            </w:pPr>
            <w:r>
              <w:rPr>
                <w:rFonts w:hint="eastAsia" w:ascii="宋体" w:hAnsi="宋体" w:cs="宋体"/>
                <w:color w:val="auto"/>
                <w:sz w:val="32"/>
                <w:szCs w:val="32"/>
                <w:highlight w:val="none"/>
              </w:rPr>
              <w:t>□</w:t>
            </w:r>
            <w:r>
              <w:rPr>
                <w:rFonts w:hint="eastAsia" w:ascii="宋体" w:hAnsi="宋体" w:cs="宋体"/>
                <w:color w:val="auto"/>
                <w:szCs w:val="21"/>
                <w:highlight w:val="none"/>
              </w:rPr>
              <w:t>允许</w:t>
            </w:r>
          </w:p>
        </w:tc>
      </w:tr>
      <w:tr w14:paraId="0DB69DD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1841640">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3.7.3</w:t>
            </w:r>
          </w:p>
        </w:tc>
        <w:tc>
          <w:tcPr>
            <w:tcW w:w="2353" w:type="dxa"/>
            <w:tcBorders>
              <w:top w:val="single" w:color="auto" w:sz="4" w:space="0"/>
              <w:left w:val="single" w:color="auto" w:sz="4" w:space="0"/>
              <w:bottom w:val="single" w:color="auto" w:sz="4" w:space="0"/>
              <w:right w:val="single" w:color="auto" w:sz="4" w:space="0"/>
            </w:tcBorders>
            <w:vAlign w:val="center"/>
          </w:tcPr>
          <w:p w14:paraId="3AB813C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签字或盖章要求</w:t>
            </w:r>
          </w:p>
        </w:tc>
        <w:tc>
          <w:tcPr>
            <w:tcW w:w="5659" w:type="dxa"/>
            <w:tcBorders>
              <w:top w:val="single" w:color="auto" w:sz="4" w:space="0"/>
              <w:left w:val="single" w:color="auto" w:sz="4" w:space="0"/>
              <w:bottom w:val="single" w:color="auto" w:sz="4" w:space="0"/>
              <w:right w:val="single" w:color="auto" w:sz="4" w:space="0"/>
            </w:tcBorders>
            <w:vAlign w:val="center"/>
          </w:tcPr>
          <w:p w14:paraId="5555A375">
            <w:pPr>
              <w:spacing w:line="0" w:lineRule="atLeast"/>
              <w:rPr>
                <w:rFonts w:hint="eastAsia" w:ascii="宋体" w:hAnsi="宋体" w:cs="宋体"/>
                <w:color w:val="auto"/>
                <w:szCs w:val="21"/>
                <w:highlight w:val="none"/>
              </w:rPr>
            </w:pPr>
            <w:r>
              <w:rPr>
                <w:rFonts w:hint="eastAsia" w:ascii="宋体" w:hAnsi="宋体" w:cs="宋体"/>
                <w:color w:val="auto"/>
                <w:szCs w:val="21"/>
                <w:highlight w:val="none"/>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除投标文件中的联合体协议书需联合体各方盖章、签字外，投标文件其他内容中的“投标人”、</w:t>
            </w:r>
            <w:r>
              <w:rPr>
                <w:rFonts w:hint="eastAsia" w:ascii="宋体" w:hAnsi="宋体" w:cs="宋体"/>
                <w:color w:val="auto"/>
                <w:szCs w:val="21"/>
                <w:highlight w:val="none"/>
                <w:u w:val="single"/>
                <w:lang w:bidi="ar"/>
              </w:rPr>
              <w:t>“投标单位”、</w:t>
            </w:r>
            <w:r>
              <w:rPr>
                <w:rFonts w:hint="eastAsia" w:ascii="宋体" w:hAnsi="宋体" w:cs="宋体"/>
                <w:color w:val="auto"/>
                <w:szCs w:val="21"/>
                <w:highlight w:val="none"/>
                <w:u w:val="single"/>
              </w:rPr>
              <w:t>“声明企业”应填写联合体各方的单位全称</w:t>
            </w:r>
            <w:r>
              <w:rPr>
                <w:rFonts w:hint="eastAsia" w:ascii="宋体" w:hAnsi="宋体" w:cs="宋体"/>
                <w:color w:val="auto"/>
                <w:szCs w:val="21"/>
                <w:highlight w:val="none"/>
                <w:u w:val="single"/>
                <w:lang w:bidi="ar"/>
              </w:rPr>
              <w:t>【格式表示为：(主)XXXX公司,(成)XXXX公司,(成)XXXX公司,(成)XXXX公司】</w:t>
            </w:r>
            <w:r>
              <w:rPr>
                <w:rFonts w:hint="eastAsia" w:ascii="宋体" w:hAnsi="宋体" w:cs="宋体"/>
                <w:color w:val="auto"/>
                <w:szCs w:val="21"/>
                <w:highlight w:val="none"/>
                <w:u w:val="single"/>
              </w:rPr>
              <w:t>，但由主办方盖章、签字即可。</w:t>
            </w:r>
          </w:p>
        </w:tc>
      </w:tr>
      <w:tr w14:paraId="32489AB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594823B">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3.7.4</w:t>
            </w:r>
          </w:p>
        </w:tc>
        <w:tc>
          <w:tcPr>
            <w:tcW w:w="2353" w:type="dxa"/>
            <w:tcBorders>
              <w:top w:val="single" w:color="auto" w:sz="4" w:space="0"/>
              <w:left w:val="single" w:color="auto" w:sz="4" w:space="0"/>
              <w:bottom w:val="single" w:color="auto" w:sz="4" w:space="0"/>
              <w:right w:val="single" w:color="auto" w:sz="4" w:space="0"/>
            </w:tcBorders>
            <w:vAlign w:val="center"/>
          </w:tcPr>
          <w:p w14:paraId="1BA23C5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投标文件副本份数</w:t>
            </w:r>
          </w:p>
        </w:tc>
        <w:tc>
          <w:tcPr>
            <w:tcW w:w="5659" w:type="dxa"/>
            <w:tcBorders>
              <w:top w:val="single" w:color="auto" w:sz="4" w:space="0"/>
              <w:left w:val="single" w:color="auto" w:sz="4" w:space="0"/>
              <w:bottom w:val="single" w:color="auto" w:sz="4" w:space="0"/>
              <w:right w:val="single" w:color="auto" w:sz="4" w:space="0"/>
            </w:tcBorders>
            <w:vAlign w:val="center"/>
          </w:tcPr>
          <w:p w14:paraId="309A422B">
            <w:pPr>
              <w:spacing w:line="0" w:lineRule="atLeast"/>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69A6CC0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8CBFFC7">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2353" w:type="dxa"/>
            <w:tcBorders>
              <w:top w:val="single" w:color="auto" w:sz="4" w:space="0"/>
              <w:left w:val="single" w:color="auto" w:sz="4" w:space="0"/>
              <w:bottom w:val="single" w:color="auto" w:sz="4" w:space="0"/>
              <w:right w:val="single" w:color="auto" w:sz="4" w:space="0"/>
            </w:tcBorders>
            <w:vAlign w:val="center"/>
          </w:tcPr>
          <w:p w14:paraId="510DE222">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装订要求</w:t>
            </w:r>
          </w:p>
        </w:tc>
        <w:tc>
          <w:tcPr>
            <w:tcW w:w="5659" w:type="dxa"/>
            <w:tcBorders>
              <w:top w:val="single" w:color="auto" w:sz="4" w:space="0"/>
              <w:left w:val="single" w:color="auto" w:sz="4" w:space="0"/>
              <w:bottom w:val="single" w:color="auto" w:sz="4" w:space="0"/>
              <w:right w:val="single" w:color="auto" w:sz="4" w:space="0"/>
            </w:tcBorders>
            <w:vAlign w:val="center"/>
          </w:tcPr>
          <w:p w14:paraId="7DA886D6">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w:t>
            </w:r>
          </w:p>
        </w:tc>
      </w:tr>
      <w:tr w14:paraId="3DDE1FD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2343A15">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353" w:type="dxa"/>
            <w:tcBorders>
              <w:top w:val="single" w:color="auto" w:sz="4" w:space="0"/>
              <w:left w:val="single" w:color="auto" w:sz="4" w:space="0"/>
              <w:bottom w:val="single" w:color="auto" w:sz="4" w:space="0"/>
              <w:right w:val="single" w:color="auto" w:sz="4" w:space="0"/>
            </w:tcBorders>
            <w:vAlign w:val="center"/>
          </w:tcPr>
          <w:p w14:paraId="7DEADF8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封套上应载明的信息</w:t>
            </w:r>
          </w:p>
        </w:tc>
        <w:tc>
          <w:tcPr>
            <w:tcW w:w="5659" w:type="dxa"/>
            <w:tcBorders>
              <w:top w:val="single" w:color="auto" w:sz="4" w:space="0"/>
              <w:left w:val="single" w:color="auto" w:sz="4" w:space="0"/>
              <w:bottom w:val="single" w:color="auto" w:sz="4" w:space="0"/>
              <w:right w:val="single" w:color="auto" w:sz="4" w:space="0"/>
            </w:tcBorders>
            <w:vAlign w:val="center"/>
          </w:tcPr>
          <w:p w14:paraId="7BD11613">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w:t>
            </w:r>
          </w:p>
        </w:tc>
      </w:tr>
      <w:tr w14:paraId="4436EF3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1F4346F">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353" w:type="dxa"/>
            <w:tcBorders>
              <w:top w:val="single" w:color="auto" w:sz="4" w:space="0"/>
              <w:left w:val="single" w:color="auto" w:sz="4" w:space="0"/>
              <w:bottom w:val="single" w:color="auto" w:sz="4" w:space="0"/>
              <w:right w:val="single" w:color="auto" w:sz="4" w:space="0"/>
            </w:tcBorders>
            <w:vAlign w:val="center"/>
          </w:tcPr>
          <w:p w14:paraId="1D090BD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递交投标文件地点</w:t>
            </w:r>
          </w:p>
        </w:tc>
        <w:tc>
          <w:tcPr>
            <w:tcW w:w="5659" w:type="dxa"/>
            <w:tcBorders>
              <w:top w:val="single" w:color="auto" w:sz="4" w:space="0"/>
              <w:left w:val="single" w:color="auto" w:sz="4" w:space="0"/>
              <w:bottom w:val="single" w:color="auto" w:sz="4" w:space="0"/>
              <w:right w:val="single" w:color="auto" w:sz="4" w:space="0"/>
            </w:tcBorders>
            <w:vAlign w:val="center"/>
          </w:tcPr>
          <w:p w14:paraId="3EC6407B">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投标人应在截止时间前通过电子招标投标交易平台递交电子投标文件。</w:t>
            </w:r>
          </w:p>
        </w:tc>
      </w:tr>
      <w:tr w14:paraId="5AAED4B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4EFE53C">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353" w:type="dxa"/>
            <w:tcBorders>
              <w:top w:val="single" w:color="auto" w:sz="4" w:space="0"/>
              <w:left w:val="single" w:color="auto" w:sz="4" w:space="0"/>
              <w:bottom w:val="single" w:color="auto" w:sz="4" w:space="0"/>
              <w:right w:val="single" w:color="auto" w:sz="4" w:space="0"/>
            </w:tcBorders>
            <w:vAlign w:val="center"/>
          </w:tcPr>
          <w:p w14:paraId="4878243A">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5659" w:type="dxa"/>
            <w:tcBorders>
              <w:top w:val="single" w:color="auto" w:sz="4" w:space="0"/>
              <w:left w:val="single" w:color="auto" w:sz="4" w:space="0"/>
              <w:bottom w:val="single" w:color="auto" w:sz="4" w:space="0"/>
              <w:right w:val="single" w:color="auto" w:sz="4" w:space="0"/>
            </w:tcBorders>
            <w:vAlign w:val="center"/>
          </w:tcPr>
          <w:p w14:paraId="2E60FBE1">
            <w:pPr>
              <w:pStyle w:val="16"/>
              <w:topLinePunct/>
              <w:spacing w:line="0" w:lineRule="atLeast"/>
              <w:rPr>
                <w:rFonts w:hint="eastAsia" w:hAnsi="宋体" w:cs="宋体"/>
                <w:color w:val="auto"/>
                <w:sz w:val="21"/>
                <w:szCs w:val="21"/>
                <w:highlight w:val="none"/>
              </w:rPr>
            </w:pPr>
            <w:r>
              <w:rPr>
                <w:rFonts w:hint="eastAsia" w:hAnsi="宋体" w:cs="宋体"/>
                <w:color w:val="auto"/>
                <w:sz w:val="32"/>
                <w:szCs w:val="32"/>
                <w:highlight w:val="none"/>
              </w:rPr>
              <w:t>■</w:t>
            </w:r>
            <w:r>
              <w:rPr>
                <w:rFonts w:hint="eastAsia" w:hAnsi="宋体" w:cs="宋体"/>
                <w:color w:val="auto"/>
                <w:sz w:val="21"/>
                <w:szCs w:val="21"/>
                <w:highlight w:val="none"/>
              </w:rPr>
              <w:t>否</w:t>
            </w:r>
          </w:p>
          <w:p w14:paraId="35789C92">
            <w:pPr>
              <w:spacing w:line="0" w:lineRule="atLeast"/>
              <w:rPr>
                <w:rFonts w:hint="eastAsia" w:ascii="宋体" w:hAnsi="宋体" w:cs="宋体"/>
                <w:color w:val="auto"/>
                <w:szCs w:val="21"/>
                <w:highlight w:val="none"/>
              </w:rPr>
            </w:pPr>
            <w:r>
              <w:rPr>
                <w:rFonts w:hint="eastAsia" w:ascii="宋体" w:hAnsi="宋体" w:cs="宋体"/>
                <w:color w:val="auto"/>
                <w:sz w:val="32"/>
                <w:szCs w:val="32"/>
                <w:highlight w:val="none"/>
              </w:rPr>
              <w:t>□</w:t>
            </w:r>
            <w:r>
              <w:rPr>
                <w:rFonts w:hint="eastAsia" w:ascii="宋体" w:hAnsi="宋体" w:cs="宋体"/>
                <w:color w:val="auto"/>
                <w:szCs w:val="21"/>
                <w:highlight w:val="none"/>
              </w:rPr>
              <w:t>是</w:t>
            </w:r>
          </w:p>
        </w:tc>
      </w:tr>
      <w:tr w14:paraId="23974B51">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vAlign w:val="center"/>
          </w:tcPr>
          <w:p w14:paraId="02E0FF63">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353" w:type="dxa"/>
            <w:tcBorders>
              <w:top w:val="single" w:color="auto" w:sz="4" w:space="0"/>
              <w:left w:val="single" w:color="auto" w:sz="4" w:space="0"/>
              <w:right w:val="single" w:color="auto" w:sz="4" w:space="0"/>
            </w:tcBorders>
            <w:vAlign w:val="center"/>
          </w:tcPr>
          <w:p w14:paraId="32FDEE36">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5659" w:type="dxa"/>
            <w:tcBorders>
              <w:top w:val="single" w:color="auto" w:sz="4" w:space="0"/>
              <w:left w:val="single" w:color="auto" w:sz="4" w:space="0"/>
              <w:right w:val="single" w:color="auto" w:sz="4" w:space="0"/>
            </w:tcBorders>
            <w:vAlign w:val="center"/>
          </w:tcPr>
          <w:p w14:paraId="797B3137">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开标时间同投标截止时间。在电子招标投标交易平台进行网上开标</w:t>
            </w:r>
          </w:p>
        </w:tc>
      </w:tr>
      <w:tr w14:paraId="7077FEF9">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right w:val="single" w:color="auto" w:sz="4" w:space="0"/>
            </w:tcBorders>
            <w:vAlign w:val="center"/>
          </w:tcPr>
          <w:p w14:paraId="5D4F4386">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353" w:type="dxa"/>
            <w:tcBorders>
              <w:top w:val="single" w:color="auto" w:sz="4" w:space="0"/>
              <w:left w:val="single" w:color="auto" w:sz="4" w:space="0"/>
              <w:right w:val="single" w:color="auto" w:sz="4" w:space="0"/>
            </w:tcBorders>
            <w:vAlign w:val="center"/>
          </w:tcPr>
          <w:p w14:paraId="15BA85E3">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5659" w:type="dxa"/>
            <w:tcBorders>
              <w:top w:val="single" w:color="auto" w:sz="4" w:space="0"/>
              <w:left w:val="single" w:color="auto" w:sz="4" w:space="0"/>
              <w:right w:val="single" w:color="auto" w:sz="4" w:space="0"/>
            </w:tcBorders>
            <w:vAlign w:val="center"/>
          </w:tcPr>
          <w:p w14:paraId="462FCE8D">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主持人按下列程序进行开标：</w:t>
            </w:r>
          </w:p>
          <w:p w14:paraId="4C59B196">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（1）宣布开标纪律；</w:t>
            </w:r>
          </w:p>
          <w:p w14:paraId="02E05E97">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（2）公布在投标截止时间前递交投标文件的投标人名称；</w:t>
            </w:r>
          </w:p>
          <w:p w14:paraId="53BC4E4F">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3）在投标截止时间后60分钟内，投标人通过递交投标文件的交易平台对已递交的电子投标文件进行解密。投标人完成解密后，再由招标人进行解密（投标人只用执行一次解密，招标人执行解密次数根据招标文件开标次数确定）。</w:t>
            </w:r>
          </w:p>
          <w:p w14:paraId="3527E194">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4）解密完成后，公布：a投标人名称；b投标文件递交情况；c投标文件解密情况；d投标担保递交情况；e项目负责人(兼施工负责人)、设计负责人、专职安全员；f投标报价（含设计报价和施工报价）；g工期；h质量标准；i投标人的加密打包投标文件电脑机器特征码等主要内容，并记录在案。未在规定时间内解密的投标文件不参与开标、评标。</w:t>
            </w:r>
          </w:p>
          <w:p w14:paraId="12D19C49">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（5）截标后，开标开始时间因故推迟的，相关评标信息仍以原定的开标开始时间的信息为准。</w:t>
            </w:r>
          </w:p>
          <w:p w14:paraId="75047FD0">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 xml:space="preserve">（6）备用光盘的读取按“10 </w:t>
            </w:r>
            <w:bookmarkStart w:id="32" w:name="OLE_LINK1"/>
            <w:r>
              <w:rPr>
                <w:rFonts w:hint="eastAsia" w:ascii="新宋体" w:hAnsi="新宋体" w:eastAsia="新宋体" w:cs="新宋体"/>
                <w:color w:val="auto"/>
                <w:szCs w:val="21"/>
                <w:highlight w:val="none"/>
                <w:u w:val="single"/>
              </w:rPr>
              <w:t>电子招标投标</w:t>
            </w:r>
            <w:bookmarkEnd w:id="32"/>
            <w:r>
              <w:rPr>
                <w:rFonts w:hint="eastAsia" w:ascii="新宋体" w:hAnsi="新宋体" w:eastAsia="新宋体" w:cs="新宋体"/>
                <w:color w:val="auto"/>
                <w:szCs w:val="21"/>
                <w:highlight w:val="none"/>
                <w:u w:val="single"/>
              </w:rPr>
              <w:t>”第6点的规定执行。</w:t>
            </w:r>
          </w:p>
          <w:p w14:paraId="536B3DE0">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C2C3804">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4CCB260">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（9）投标人未参加开标或在规定的时间内未提出异议的，视为对开标无异议。</w:t>
            </w:r>
          </w:p>
          <w:p w14:paraId="0DBB1B20">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（10）开标时，本项目两个（含两个）以上的投标人加密打包投标文件电脑机器特征码一致的，不参与下一程序，并由评标委员会否决其投标。</w:t>
            </w:r>
          </w:p>
          <w:p w14:paraId="1ECFE53B">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11）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366FC1F0">
            <w:pPr>
              <w:snapToGrid w:val="0"/>
              <w:spacing w:line="0" w:lineRule="atLeast"/>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（12）投标人代表、招标人代表、监标人、记录人等有关人员在开标记录上签字确认；若有关人员不签字的，不影响开标程序；</w:t>
            </w:r>
          </w:p>
          <w:p w14:paraId="0854087C">
            <w:pPr>
              <w:spacing w:line="0" w:lineRule="atLeast"/>
              <w:rPr>
                <w:rFonts w:hint="eastAsia" w:ascii="宋体" w:hAnsi="宋体" w:cs="宋体"/>
                <w:color w:val="auto"/>
                <w:szCs w:val="21"/>
                <w:highlight w:val="none"/>
              </w:rPr>
            </w:pPr>
            <w:r>
              <w:rPr>
                <w:rFonts w:hint="eastAsia" w:ascii="新宋体" w:hAnsi="新宋体" w:eastAsia="新宋体" w:cs="新宋体"/>
                <w:color w:val="auto"/>
                <w:szCs w:val="21"/>
                <w:highlight w:val="none"/>
                <w:u w:val="single"/>
              </w:rPr>
              <w:t>（13）开标结束。</w:t>
            </w:r>
          </w:p>
        </w:tc>
      </w:tr>
      <w:tr w14:paraId="6B2CFAA1">
        <w:tblPrEx>
          <w:tblCellMar>
            <w:top w:w="0" w:type="dxa"/>
            <w:left w:w="108" w:type="dxa"/>
            <w:bottom w:w="0" w:type="dxa"/>
            <w:right w:w="108" w:type="dxa"/>
          </w:tblCellMar>
        </w:tblPrEx>
        <w:trPr>
          <w:trHeight w:val="533" w:hRule="atLeast"/>
        </w:trPr>
        <w:tc>
          <w:tcPr>
            <w:tcW w:w="1165" w:type="dxa"/>
            <w:tcBorders>
              <w:top w:val="single" w:color="auto" w:sz="4" w:space="0"/>
              <w:left w:val="single" w:color="auto" w:sz="4" w:space="0"/>
              <w:bottom w:val="single" w:color="auto" w:sz="4" w:space="0"/>
              <w:right w:val="single" w:color="auto" w:sz="4" w:space="0"/>
            </w:tcBorders>
            <w:vAlign w:val="center"/>
          </w:tcPr>
          <w:p w14:paraId="579A7F69">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353" w:type="dxa"/>
            <w:tcBorders>
              <w:top w:val="single" w:color="auto" w:sz="4" w:space="0"/>
              <w:left w:val="single" w:color="auto" w:sz="4" w:space="0"/>
              <w:bottom w:val="single" w:color="auto" w:sz="4" w:space="0"/>
              <w:right w:val="single" w:color="auto" w:sz="4" w:space="0"/>
            </w:tcBorders>
            <w:vAlign w:val="center"/>
          </w:tcPr>
          <w:p w14:paraId="21AB9D6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5659" w:type="dxa"/>
            <w:tcBorders>
              <w:top w:val="single" w:color="auto" w:sz="4" w:space="0"/>
              <w:left w:val="single" w:color="auto" w:sz="4" w:space="0"/>
              <w:bottom w:val="single" w:color="auto" w:sz="4" w:space="0"/>
              <w:right w:val="single" w:color="auto" w:sz="4" w:space="0"/>
            </w:tcBorders>
            <w:vAlign w:val="center"/>
          </w:tcPr>
          <w:p w14:paraId="45A58697">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1E5FD8AA">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63CF90F8">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353" w:type="dxa"/>
            <w:tcBorders>
              <w:top w:val="single" w:color="auto" w:sz="4" w:space="0"/>
              <w:left w:val="single" w:color="auto" w:sz="4" w:space="0"/>
              <w:bottom w:val="single" w:color="auto" w:sz="4" w:space="0"/>
              <w:right w:val="single" w:color="auto" w:sz="4" w:space="0"/>
            </w:tcBorders>
            <w:vAlign w:val="center"/>
          </w:tcPr>
          <w:p w14:paraId="7247CE26">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659" w:type="dxa"/>
            <w:tcBorders>
              <w:top w:val="single" w:color="auto" w:sz="4" w:space="0"/>
              <w:left w:val="single" w:color="auto" w:sz="4" w:space="0"/>
              <w:bottom w:val="single" w:color="auto" w:sz="4" w:space="0"/>
              <w:right w:val="single" w:color="auto" w:sz="4" w:space="0"/>
            </w:tcBorders>
            <w:vAlign w:val="center"/>
          </w:tcPr>
          <w:p w14:paraId="24D74169">
            <w:pPr>
              <w:spacing w:line="0" w:lineRule="atLeast"/>
              <w:rPr>
                <w:rFonts w:hint="eastAsia" w:ascii="宋体" w:hAnsi="宋体" w:cs="宋体"/>
                <w:color w:val="auto"/>
                <w:szCs w:val="21"/>
                <w:highlight w:val="none"/>
              </w:rPr>
            </w:pPr>
            <w:r>
              <w:rPr>
                <w:rFonts w:hint="eastAsia" w:ascii="宋体" w:hAnsi="宋体" w:cs="宋体"/>
                <w:color w:val="auto"/>
                <w:sz w:val="32"/>
                <w:szCs w:val="32"/>
                <w:highlight w:val="none"/>
              </w:rPr>
              <w:t>□</w:t>
            </w:r>
            <w:r>
              <w:rPr>
                <w:rFonts w:hint="eastAsia" w:ascii="宋体" w:hAnsi="宋体" w:cs="宋体"/>
                <w:color w:val="auto"/>
                <w:szCs w:val="21"/>
                <w:highlight w:val="none"/>
              </w:rPr>
              <w:t>是</w:t>
            </w:r>
          </w:p>
          <w:p w14:paraId="3C925C78">
            <w:pPr>
              <w:spacing w:line="0" w:lineRule="atLeast"/>
              <w:rPr>
                <w:rFonts w:hint="eastAsia" w:ascii="宋体" w:hAnsi="宋体" w:cs="宋体"/>
                <w:color w:val="auto"/>
                <w:szCs w:val="21"/>
                <w:highlight w:val="none"/>
              </w:rPr>
            </w:pPr>
            <w:r>
              <w:rPr>
                <w:rFonts w:hint="eastAsia" w:ascii="宋体" w:hAnsi="宋体" w:cs="宋体"/>
                <w:color w:val="auto"/>
                <w:sz w:val="32"/>
                <w:szCs w:val="32"/>
                <w:highlight w:val="none"/>
              </w:rPr>
              <w:t>■</w:t>
            </w:r>
            <w:r>
              <w:rPr>
                <w:rFonts w:hint="eastAsia" w:ascii="宋体" w:hAnsi="宋体" w:cs="宋体"/>
                <w:color w:val="auto"/>
                <w:szCs w:val="21"/>
                <w:highlight w:val="none"/>
              </w:rPr>
              <w:t>否，推荐的中标候选人数：3人。</w:t>
            </w:r>
          </w:p>
        </w:tc>
      </w:tr>
      <w:tr w14:paraId="63F4809B">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vAlign w:val="center"/>
          </w:tcPr>
          <w:p w14:paraId="04B705CF">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2353" w:type="dxa"/>
            <w:tcBorders>
              <w:top w:val="single" w:color="auto" w:sz="4" w:space="0"/>
              <w:left w:val="single" w:color="auto" w:sz="4" w:space="0"/>
              <w:right w:val="single" w:color="auto" w:sz="4" w:space="0"/>
            </w:tcBorders>
            <w:vAlign w:val="center"/>
          </w:tcPr>
          <w:p w14:paraId="0D6D0EE4">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w:t>
            </w:r>
          </w:p>
        </w:tc>
        <w:tc>
          <w:tcPr>
            <w:tcW w:w="5659" w:type="dxa"/>
            <w:tcBorders>
              <w:top w:val="single" w:color="auto" w:sz="4" w:space="0"/>
              <w:left w:val="single" w:color="auto" w:sz="4" w:space="0"/>
              <w:right w:val="single" w:color="auto" w:sz="4" w:space="0"/>
            </w:tcBorders>
            <w:vAlign w:val="center"/>
          </w:tcPr>
          <w:p w14:paraId="5860DF78">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中国招标投标公共服务平台、广东省招标投标监管网、广州公共资源交易网</w:t>
            </w:r>
          </w:p>
        </w:tc>
      </w:tr>
      <w:tr w14:paraId="2CB8249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0FF67AB">
            <w:pPr>
              <w:spacing w:line="0" w:lineRule="atLeast"/>
              <w:jc w:val="center"/>
              <w:rPr>
                <w:rFonts w:hint="eastAsia" w:ascii="宋体" w:hAnsi="宋体" w:cs="宋体"/>
                <w:strike/>
                <w:color w:val="auto"/>
                <w:szCs w:val="21"/>
                <w:highlight w:val="none"/>
              </w:rPr>
            </w:pPr>
            <w:r>
              <w:rPr>
                <w:rFonts w:hint="eastAsia" w:ascii="宋体" w:hAnsi="宋体" w:cs="宋体"/>
                <w:strike w:val="0"/>
                <w:color w:val="auto"/>
                <w:szCs w:val="21"/>
                <w:highlight w:val="none"/>
              </w:rPr>
              <w:t>7.4.1</w:t>
            </w:r>
          </w:p>
        </w:tc>
        <w:tc>
          <w:tcPr>
            <w:tcW w:w="2353" w:type="dxa"/>
            <w:tcBorders>
              <w:top w:val="single" w:color="auto" w:sz="4" w:space="0"/>
              <w:left w:val="single" w:color="auto" w:sz="4" w:space="0"/>
              <w:bottom w:val="single" w:color="auto" w:sz="4" w:space="0"/>
              <w:right w:val="single" w:color="auto" w:sz="4" w:space="0"/>
            </w:tcBorders>
            <w:vAlign w:val="center"/>
          </w:tcPr>
          <w:p w14:paraId="17027A58">
            <w:pPr>
              <w:spacing w:line="0" w:lineRule="atLeast"/>
              <w:jc w:val="center"/>
              <w:rPr>
                <w:rFonts w:hint="eastAsia" w:ascii="宋体" w:hAnsi="宋体" w:cs="宋体"/>
                <w:strike w:val="0"/>
                <w:color w:val="auto"/>
                <w:szCs w:val="21"/>
                <w:highlight w:val="none"/>
              </w:rPr>
            </w:pPr>
            <w:r>
              <w:rPr>
                <w:rFonts w:hint="eastAsia" w:ascii="宋体" w:hAnsi="宋体" w:cs="宋体"/>
                <w:strike w:val="0"/>
                <w:color w:val="auto"/>
                <w:szCs w:val="21"/>
                <w:highlight w:val="none"/>
              </w:rPr>
              <w:t>履约担保</w:t>
            </w:r>
          </w:p>
        </w:tc>
        <w:tc>
          <w:tcPr>
            <w:tcW w:w="5659" w:type="dxa"/>
            <w:tcBorders>
              <w:top w:val="single" w:color="auto" w:sz="4" w:space="0"/>
              <w:left w:val="single" w:color="auto" w:sz="4" w:space="0"/>
              <w:bottom w:val="single" w:color="auto" w:sz="4" w:space="0"/>
              <w:right w:val="single" w:color="auto" w:sz="4" w:space="0"/>
            </w:tcBorders>
            <w:vAlign w:val="center"/>
          </w:tcPr>
          <w:p w14:paraId="1E10ADED">
            <w:pPr>
              <w:spacing w:line="0" w:lineRule="atLeast"/>
              <w:rPr>
                <w:rFonts w:hint="eastAsia" w:ascii="宋体" w:hAnsi="宋体" w:cs="宋体"/>
                <w:strike w:val="0"/>
                <w:color w:val="auto"/>
                <w:szCs w:val="21"/>
                <w:highlight w:val="none"/>
              </w:rPr>
            </w:pPr>
            <w:r>
              <w:rPr>
                <w:rFonts w:hint="eastAsia" w:ascii="宋体" w:hAnsi="宋体" w:cs="宋体"/>
                <w:strike w:val="0"/>
                <w:color w:val="auto"/>
                <w:szCs w:val="21"/>
                <w:highlight w:val="none"/>
              </w:rPr>
              <w:t>履约担保的形式：</w:t>
            </w:r>
            <w:r>
              <w:rPr>
                <w:rFonts w:hint="eastAsia" w:ascii="宋体" w:hAnsi="宋体" w:cs="宋体"/>
                <w:strike w:val="0"/>
                <w:color w:val="auto"/>
                <w:kern w:val="0"/>
                <w:szCs w:val="21"/>
                <w:highlight w:val="none"/>
              </w:rPr>
              <w:t>以合同约定为准</w:t>
            </w:r>
            <w:r>
              <w:rPr>
                <w:rFonts w:hint="eastAsia" w:ascii="宋体" w:hAnsi="宋体" w:cs="宋体"/>
                <w:strike w:val="0"/>
                <w:color w:val="auto"/>
                <w:szCs w:val="21"/>
                <w:highlight w:val="none"/>
              </w:rPr>
              <w:t>。</w:t>
            </w:r>
          </w:p>
          <w:p w14:paraId="29D66FA2">
            <w:pPr>
              <w:spacing w:line="0" w:lineRule="atLeast"/>
              <w:rPr>
                <w:rFonts w:hint="eastAsia" w:ascii="宋体" w:hAnsi="宋体" w:cs="宋体"/>
                <w:strike w:val="0"/>
                <w:color w:val="auto"/>
                <w:highlight w:val="none"/>
              </w:rPr>
            </w:pPr>
            <w:r>
              <w:rPr>
                <w:rFonts w:hint="eastAsia" w:ascii="宋体" w:hAnsi="宋体" w:cs="宋体"/>
                <w:strike w:val="0"/>
                <w:color w:val="auto"/>
                <w:szCs w:val="21"/>
                <w:highlight w:val="none"/>
              </w:rPr>
              <w:t>履约担保的金额：</w:t>
            </w:r>
            <w:r>
              <w:rPr>
                <w:rFonts w:hint="eastAsia" w:ascii="宋体" w:hAnsi="宋体" w:cs="宋体"/>
                <w:strike w:val="0"/>
                <w:color w:val="auto"/>
                <w:highlight w:val="none"/>
              </w:rPr>
              <w:t>中标总价的</w:t>
            </w:r>
            <w:r>
              <w:rPr>
                <w:rFonts w:hint="eastAsia" w:ascii="宋体" w:hAnsi="宋体" w:cs="宋体"/>
                <w:strike w:val="0"/>
                <w:color w:val="auto"/>
                <w:highlight w:val="none"/>
                <w:u w:val="single"/>
              </w:rPr>
              <w:t>10</w:t>
            </w:r>
            <w:r>
              <w:rPr>
                <w:rFonts w:hint="eastAsia" w:ascii="宋体" w:hAnsi="宋体" w:cs="宋体"/>
                <w:strike w:val="0"/>
                <w:color w:val="auto"/>
                <w:highlight w:val="none"/>
              </w:rPr>
              <w:t>%，联合体投标的由联合体主办方提供。</w:t>
            </w:r>
          </w:p>
          <w:p w14:paraId="2D6B96E2">
            <w:pPr>
              <w:spacing w:line="0" w:lineRule="atLeast"/>
              <w:rPr>
                <w:rFonts w:hint="eastAsia" w:ascii="宋体" w:hAnsi="宋体" w:cs="宋体"/>
                <w:strike w:val="0"/>
                <w:color w:val="auto"/>
                <w:szCs w:val="21"/>
                <w:highlight w:val="none"/>
              </w:rPr>
            </w:pPr>
            <w:r>
              <w:rPr>
                <w:rFonts w:hint="eastAsia" w:ascii="宋体" w:hAnsi="宋体" w:cs="宋体"/>
                <w:strike w:val="0"/>
                <w:color w:val="auto"/>
                <w:szCs w:val="21"/>
                <w:highlight w:val="none"/>
              </w:rPr>
              <w:t>担保期限从提供履约担保之日起至合同工程结算审定完成并移交工程档案后止。（履约保函到期但本项目未工程结算的，无论何种原因，投标人承诺无条件续保，如履约保函到期不提供续保则承担一般违约责任）</w:t>
            </w:r>
          </w:p>
        </w:tc>
      </w:tr>
      <w:tr w14:paraId="483D157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EFF6F36">
            <w:pPr>
              <w:spacing w:line="0" w:lineRule="atLeast"/>
              <w:jc w:val="center"/>
              <w:rPr>
                <w:rFonts w:hint="eastAsia" w:ascii="宋体" w:hAnsi="宋体" w:cs="宋体"/>
                <w:b/>
                <w:color w:val="auto"/>
                <w:szCs w:val="21"/>
                <w:highlight w:val="none"/>
              </w:rPr>
            </w:pPr>
            <w:r>
              <w:rPr>
                <w:rFonts w:hint="eastAsia" w:ascii="宋体" w:hAnsi="宋体" w:cs="宋体"/>
                <w:bCs/>
                <w:color w:val="auto"/>
                <w:szCs w:val="21"/>
                <w:highlight w:val="none"/>
              </w:rPr>
              <w:t>9</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49DB5804">
            <w:pPr>
              <w:spacing w:line="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需要补充的其他内容</w:t>
            </w:r>
          </w:p>
        </w:tc>
      </w:tr>
      <w:tr w14:paraId="173AE3F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1303242">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9.1</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2FF1D988">
            <w:pPr>
              <w:spacing w:line="0" w:lineRule="atLeast"/>
              <w:rPr>
                <w:rFonts w:hint="eastAsia" w:ascii="宋体" w:hAnsi="宋体" w:cs="宋体"/>
                <w:color w:val="auto"/>
                <w:highlight w:val="none"/>
              </w:rPr>
            </w:pPr>
            <w:r>
              <w:rPr>
                <w:rFonts w:hint="eastAsia" w:ascii="宋体" w:hAnsi="宋体" w:cs="宋体"/>
                <w:color w:val="auto"/>
                <w:highlight w:val="none"/>
              </w:rPr>
              <w:t>建设工程质量检测单位：</w:t>
            </w:r>
          </w:p>
          <w:p w14:paraId="4EA2CE43">
            <w:pPr>
              <w:spacing w:line="0" w:lineRule="atLeast"/>
              <w:jc w:val="left"/>
              <w:rPr>
                <w:rFonts w:hint="eastAsia" w:ascii="宋体" w:hAnsi="宋体" w:cs="宋体"/>
                <w:b/>
                <w:color w:val="auto"/>
                <w:szCs w:val="21"/>
                <w:highlight w:val="none"/>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6AC48C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AB73720">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9.2</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6307B8F2">
            <w:pPr>
              <w:spacing w:line="0" w:lineRule="atLeast"/>
              <w:rPr>
                <w:rFonts w:hint="eastAsia" w:ascii="宋体" w:hAnsi="宋体" w:cs="宋体"/>
                <w:color w:val="auto"/>
                <w:highlight w:val="none"/>
              </w:rPr>
            </w:pPr>
            <w:r>
              <w:rPr>
                <w:rFonts w:hint="eastAsia" w:ascii="宋体" w:hAnsi="宋体" w:cs="宋体"/>
                <w:color w:val="auto"/>
                <w:highlight w:val="none"/>
              </w:rPr>
              <w:t>在招标和合同实施期间，招标人要求投标人和承包人遵守最高的道德标准。</w:t>
            </w:r>
          </w:p>
          <w:p w14:paraId="0C1A9110">
            <w:pPr>
              <w:spacing w:line="0" w:lineRule="atLeast"/>
              <w:rPr>
                <w:rFonts w:hint="eastAsia" w:ascii="宋体" w:hAnsi="宋体" w:cs="宋体"/>
                <w:color w:val="auto"/>
                <w:highlight w:val="none"/>
              </w:rPr>
            </w:pPr>
            <w:r>
              <w:rPr>
                <w:rFonts w:hint="eastAsia" w:ascii="宋体" w:hAnsi="宋体" w:cs="宋体"/>
                <w:color w:val="auto"/>
                <w:highlight w:val="none"/>
              </w:rPr>
              <w:t>1、对本条款的规定，特定义如下词汇：</w:t>
            </w:r>
          </w:p>
          <w:p w14:paraId="0EBE7B98">
            <w:pPr>
              <w:spacing w:line="0" w:lineRule="atLeast"/>
              <w:rPr>
                <w:rFonts w:hint="eastAsia" w:ascii="宋体" w:hAnsi="宋体" w:cs="宋体"/>
                <w:color w:val="auto"/>
                <w:highlight w:val="none"/>
              </w:rPr>
            </w:pPr>
            <w:r>
              <w:rPr>
                <w:rFonts w:hint="eastAsia" w:ascii="宋体" w:hAnsi="宋体" w:cs="宋体"/>
                <w:color w:val="auto"/>
                <w:highlight w:val="none"/>
              </w:rPr>
              <w:t>1） “腐败行为”是指在招标或合同执行期间，通过提供、给予、接受或索要任何有价值的东西，从而影响招标人有关人员工作的行为；</w:t>
            </w:r>
          </w:p>
          <w:p w14:paraId="692C78DC">
            <w:pPr>
              <w:spacing w:line="0" w:lineRule="atLeast"/>
              <w:rPr>
                <w:rFonts w:hint="eastAsia" w:ascii="宋体" w:hAnsi="宋体" w:cs="宋体"/>
                <w:color w:val="auto"/>
                <w:highlight w:val="none"/>
              </w:rPr>
            </w:pPr>
            <w:r>
              <w:rPr>
                <w:rFonts w:hint="eastAsia" w:ascii="宋体" w:hAnsi="宋体" w:cs="宋体"/>
                <w:color w:val="auto"/>
                <w:highlight w:val="none"/>
              </w:rPr>
              <w:t>2） “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7043B4C5">
            <w:pPr>
              <w:spacing w:line="0" w:lineRule="atLeast"/>
              <w:jc w:val="left"/>
              <w:rPr>
                <w:rFonts w:hint="eastAsia" w:ascii="宋体" w:hAnsi="宋体" w:cs="宋体"/>
                <w:color w:val="auto"/>
                <w:highlight w:val="none"/>
              </w:rPr>
            </w:pPr>
            <w:r>
              <w:rPr>
                <w:rFonts w:hint="eastAsia" w:ascii="宋体" w:hAnsi="宋体" w:cs="宋体"/>
                <w:color w:val="auto"/>
                <w:highlight w:val="none"/>
              </w:rPr>
              <w:t>2、如果投标人被认定在本招标的竞争中有腐败或欺诈行为，则会被取消投标资格。</w:t>
            </w:r>
          </w:p>
        </w:tc>
      </w:tr>
      <w:tr w14:paraId="77E662A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5B42CC7">
            <w:pPr>
              <w:spacing w:line="0" w:lineRule="atLeast"/>
              <w:jc w:val="center"/>
              <w:rPr>
                <w:rFonts w:hint="eastAsia" w:ascii="宋体" w:hAnsi="宋体" w:cs="宋体"/>
                <w:b/>
                <w:color w:val="auto"/>
                <w:szCs w:val="21"/>
                <w:highlight w:val="none"/>
              </w:rPr>
            </w:pPr>
            <w:r>
              <w:rPr>
                <w:rFonts w:hint="eastAsia" w:ascii="宋体" w:hAnsi="宋体" w:cs="宋体"/>
                <w:color w:val="auto"/>
                <w:szCs w:val="21"/>
                <w:highlight w:val="none"/>
              </w:rPr>
              <w:t>9.3</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01BE01BE">
            <w:pPr>
              <w:rPr>
                <w:rFonts w:hint="eastAsia" w:ascii="宋体" w:hAnsi="宋体"/>
                <w:color w:val="auto"/>
                <w:highlight w:val="none"/>
              </w:rPr>
            </w:pPr>
            <w:r>
              <w:rPr>
                <w:rFonts w:hint="eastAsia" w:ascii="宋体" w:hAnsi="宋体"/>
                <w:color w:val="auto"/>
                <w:highlight w:val="none"/>
              </w:rPr>
              <w:t>1．职业健康安全管理目标：</w:t>
            </w:r>
          </w:p>
          <w:p w14:paraId="30095431">
            <w:pPr>
              <w:rPr>
                <w:rFonts w:hint="eastAsia" w:ascii="宋体" w:hAnsi="宋体"/>
                <w:color w:val="auto"/>
                <w:szCs w:val="21"/>
                <w:highlight w:val="none"/>
              </w:rPr>
            </w:pPr>
            <w:r>
              <w:rPr>
                <w:rFonts w:hint="eastAsia" w:ascii="宋体" w:hAnsi="宋体"/>
                <w:color w:val="auto"/>
                <w:szCs w:val="21"/>
                <w:highlight w:val="none"/>
              </w:rPr>
              <w:t>1）杜绝发生一般事故等级及以上的伤亡事故且工伤责任事故死亡人数为零。</w:t>
            </w:r>
          </w:p>
          <w:p w14:paraId="6679B556">
            <w:pPr>
              <w:rPr>
                <w:rFonts w:hint="eastAsia" w:ascii="宋体" w:hAnsi="宋体"/>
                <w:color w:val="auto"/>
                <w:szCs w:val="21"/>
                <w:highlight w:val="none"/>
              </w:rPr>
            </w:pPr>
            <w:r>
              <w:rPr>
                <w:rFonts w:hint="eastAsia" w:ascii="宋体" w:hAnsi="宋体"/>
                <w:color w:val="auto"/>
                <w:szCs w:val="21"/>
                <w:highlight w:val="none"/>
              </w:rPr>
              <w:t>2．环境管理目标：按相关部门最新文件执行。</w:t>
            </w:r>
          </w:p>
          <w:p w14:paraId="11C6FD5E">
            <w:pPr>
              <w:rPr>
                <w:rFonts w:hint="eastAsia" w:ascii="宋体" w:hAnsi="宋体"/>
                <w:color w:val="auto"/>
                <w:szCs w:val="21"/>
                <w:highlight w:val="none"/>
              </w:rPr>
            </w:pPr>
            <w:r>
              <w:rPr>
                <w:rFonts w:hint="eastAsia" w:ascii="宋体" w:hAnsi="宋体"/>
                <w:color w:val="auto"/>
                <w:szCs w:val="21"/>
                <w:highlight w:val="none"/>
              </w:rPr>
              <w:t>3．质量目标：按招标文件质量标准要求，具体按合同约定；</w:t>
            </w:r>
          </w:p>
          <w:p w14:paraId="4BA9C88F">
            <w:pPr>
              <w:rPr>
                <w:rFonts w:hint="eastAsia" w:ascii="宋体" w:hAnsi="宋体"/>
                <w:color w:val="auto"/>
                <w:szCs w:val="21"/>
                <w:highlight w:val="none"/>
              </w:rPr>
            </w:pPr>
            <w:r>
              <w:rPr>
                <w:rFonts w:hint="eastAsia" w:ascii="宋体" w:hAnsi="宋体"/>
                <w:color w:val="auto"/>
                <w:szCs w:val="21"/>
                <w:highlight w:val="none"/>
              </w:rPr>
              <w:t>4．费用目标：确保项目总投资不超过工程概算金额，具体按合同约定；</w:t>
            </w:r>
          </w:p>
          <w:p w14:paraId="1D5571C8">
            <w:pPr>
              <w:rPr>
                <w:rFonts w:hint="eastAsia" w:ascii="宋体" w:hAnsi="宋体"/>
                <w:color w:val="auto"/>
                <w:szCs w:val="21"/>
                <w:highlight w:val="none"/>
              </w:rPr>
            </w:pPr>
            <w:r>
              <w:rPr>
                <w:rFonts w:hint="eastAsia" w:ascii="宋体" w:hAnsi="宋体"/>
                <w:color w:val="auto"/>
                <w:szCs w:val="21"/>
                <w:highlight w:val="none"/>
              </w:rPr>
              <w:t>5．进度目标：确保项目建设进度满足招标文件工期要求，具体按合同约定。</w:t>
            </w:r>
          </w:p>
          <w:p w14:paraId="349F7EF7">
            <w:pPr>
              <w:spacing w:line="0" w:lineRule="atLeast"/>
              <w:rPr>
                <w:rFonts w:hint="eastAsia" w:ascii="宋体" w:hAnsi="宋体" w:cs="宋体"/>
                <w:color w:val="auto"/>
                <w:highlight w:val="none"/>
              </w:rPr>
            </w:pPr>
            <w:r>
              <w:rPr>
                <w:rFonts w:hint="eastAsia" w:ascii="宋体" w:hAnsi="宋体"/>
                <w:color w:val="auto"/>
                <w:szCs w:val="21"/>
                <w:highlight w:val="none"/>
              </w:rPr>
              <w:t>6. 安全文明标准：</w:t>
            </w:r>
            <w:r>
              <w:rPr>
                <w:rFonts w:hint="eastAsia" w:ascii="宋体" w:hAnsi="宋体"/>
                <w:color w:val="auto"/>
                <w:szCs w:val="21"/>
                <w:highlight w:val="none"/>
                <w:u w:val="single"/>
              </w:rPr>
              <w:t>需要达到安全文明样板工地标准。</w:t>
            </w:r>
          </w:p>
        </w:tc>
      </w:tr>
      <w:tr w14:paraId="3F11AB9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22D53F6">
            <w:pPr>
              <w:jc w:val="center"/>
              <w:rPr>
                <w:rFonts w:hint="eastAsia" w:ascii="宋体" w:hAnsi="宋体"/>
                <w:color w:val="auto"/>
                <w:szCs w:val="21"/>
                <w:highlight w:val="none"/>
              </w:rPr>
            </w:pPr>
            <w:r>
              <w:rPr>
                <w:rFonts w:hint="eastAsia" w:ascii="宋体" w:hAnsi="宋体"/>
                <w:color w:val="auto"/>
                <w:szCs w:val="21"/>
                <w:highlight w:val="none"/>
              </w:rPr>
              <w:t>9.4</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58E947DE">
            <w:pPr>
              <w:rPr>
                <w:rFonts w:hint="eastAsia" w:ascii="宋体" w:hAnsi="宋体"/>
                <w:color w:val="auto"/>
                <w:szCs w:val="21"/>
                <w:highlight w:val="none"/>
              </w:rPr>
            </w:pPr>
            <w:r>
              <w:rPr>
                <w:rFonts w:hint="eastAsia" w:ascii="宋体" w:hAnsi="宋体"/>
                <w:color w:val="auto"/>
                <w:szCs w:val="21"/>
                <w:highlight w:val="none"/>
              </w:rPr>
              <w:t>施工保修期限：按照《建设工程质量管理条例》规定。</w:t>
            </w:r>
          </w:p>
        </w:tc>
      </w:tr>
      <w:tr w14:paraId="24EA766C">
        <w:tblPrEx>
          <w:tblCellMar>
            <w:top w:w="0" w:type="dxa"/>
            <w:left w:w="108" w:type="dxa"/>
            <w:bottom w:w="0" w:type="dxa"/>
            <w:right w:w="108" w:type="dxa"/>
          </w:tblCellMar>
        </w:tblPrEx>
        <w:trPr>
          <w:trHeight w:val="933" w:hRule="atLeast"/>
        </w:trPr>
        <w:tc>
          <w:tcPr>
            <w:tcW w:w="1165" w:type="dxa"/>
            <w:tcBorders>
              <w:top w:val="single" w:color="auto" w:sz="4" w:space="0"/>
              <w:left w:val="single" w:color="auto" w:sz="4" w:space="0"/>
              <w:bottom w:val="single" w:color="auto" w:sz="4" w:space="0"/>
              <w:right w:val="single" w:color="auto" w:sz="4" w:space="0"/>
            </w:tcBorders>
            <w:vAlign w:val="center"/>
          </w:tcPr>
          <w:p w14:paraId="3E278A9E">
            <w:pPr>
              <w:jc w:val="center"/>
              <w:rPr>
                <w:rFonts w:hint="eastAsia" w:ascii="宋体" w:hAnsi="宋体"/>
                <w:color w:val="auto"/>
                <w:szCs w:val="21"/>
                <w:highlight w:val="none"/>
              </w:rPr>
            </w:pPr>
            <w:r>
              <w:rPr>
                <w:rFonts w:hint="eastAsia" w:ascii="宋体" w:hAnsi="宋体"/>
                <w:color w:val="auto"/>
                <w:szCs w:val="21"/>
                <w:highlight w:val="none"/>
              </w:rPr>
              <w:t>9.5</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2AA013F9">
            <w:pPr>
              <w:rPr>
                <w:rFonts w:hint="eastAsia" w:ascii="宋体" w:hAnsi="宋体"/>
                <w:color w:val="auto"/>
                <w:highlight w:val="none"/>
              </w:rPr>
            </w:pPr>
            <w:r>
              <w:rPr>
                <w:rFonts w:hint="eastAsia" w:ascii="宋体" w:hAnsi="宋体"/>
                <w:color w:val="auto"/>
                <w:highlight w:val="none"/>
              </w:rPr>
              <w:t>承包方式（包括但不限于）：本工程为综合单价包干，工程量按实结算，设计费总价包干形式，包设计、包施工，全部工程包工、包材料、包设备、包工期、包质量、包安全生产、包文明施工、包招标范围内工程竣工验收通过、包结算，包缺陷责任期内的保修等。</w:t>
            </w:r>
          </w:p>
          <w:p w14:paraId="3CDCE8D7">
            <w:pPr>
              <w:rPr>
                <w:rFonts w:hint="eastAsia" w:ascii="宋体" w:hAnsi="宋体"/>
                <w:bCs/>
                <w:snapToGrid w:val="0"/>
                <w:color w:val="auto"/>
                <w:kern w:val="0"/>
                <w:szCs w:val="21"/>
                <w:highlight w:val="none"/>
              </w:rPr>
            </w:pPr>
            <w:r>
              <w:rPr>
                <w:rFonts w:hint="eastAsia" w:ascii="宋体" w:hAnsi="宋体"/>
                <w:color w:val="auto"/>
                <w:highlight w:val="none"/>
              </w:rPr>
              <w:t>结算方式具体按合同条款规定。</w:t>
            </w:r>
          </w:p>
        </w:tc>
      </w:tr>
      <w:tr w14:paraId="3B11318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DD9712A">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9.6</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3005D201">
            <w:pPr>
              <w:widowControl/>
              <w:rPr>
                <w:rFonts w:hint="eastAsia" w:ascii="宋体" w:hAnsi="宋体"/>
                <w:color w:val="auto"/>
                <w:highlight w:val="none"/>
              </w:rPr>
            </w:pPr>
            <w:r>
              <w:rPr>
                <w:rFonts w:hint="eastAsia" w:ascii="宋体" w:hAnsi="宋体"/>
                <w:color w:val="auto"/>
                <w:highlight w:val="none"/>
              </w:rPr>
              <w:t>根据相关规定本项目如需办理规划许可证的，投标人需根据相关文件协助招标人办理。</w:t>
            </w:r>
          </w:p>
        </w:tc>
      </w:tr>
      <w:tr w14:paraId="49EFD7B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CB8E57D">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9.7</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18A0127F">
            <w:pPr>
              <w:widowControl/>
              <w:rPr>
                <w:rFonts w:hint="eastAsia" w:ascii="宋体" w:hAnsi="宋体"/>
                <w:color w:val="auto"/>
                <w:highlight w:val="none"/>
              </w:rPr>
            </w:pPr>
            <w:r>
              <w:rPr>
                <w:rFonts w:hint="eastAsia" w:ascii="宋体" w:hAnsi="宋体"/>
                <w:color w:val="auto"/>
                <w:highlight w:val="none"/>
              </w:rPr>
              <w:t>投标总报价下浮大于</w:t>
            </w:r>
            <w:r>
              <w:rPr>
                <w:rFonts w:hint="eastAsia" w:ascii="宋体" w:hAnsi="宋体"/>
                <w:color w:val="auto"/>
                <w:highlight w:val="none"/>
                <w:lang w:val="en-US" w:eastAsia="zh-CN"/>
              </w:rPr>
              <w:t>10</w:t>
            </w:r>
            <w:r>
              <w:rPr>
                <w:rFonts w:hint="eastAsia" w:ascii="宋体" w:hAnsi="宋体"/>
                <w:color w:val="auto"/>
                <w:highlight w:val="none"/>
              </w:rPr>
              <w:t>%不进入评标参考价计算。</w:t>
            </w:r>
          </w:p>
        </w:tc>
      </w:tr>
      <w:tr w14:paraId="30AFA51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475C52F">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9.8</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45130E90">
            <w:pPr>
              <w:pStyle w:val="2"/>
              <w:tabs>
                <w:tab w:val="left" w:pos="7380"/>
              </w:tabs>
              <w:spacing w:after="0" w:line="360" w:lineRule="exact"/>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内容：招标人对中标人参与“百千万工程”的具体要求：无</w:t>
            </w:r>
          </w:p>
          <w:p w14:paraId="48307AE8">
            <w:pPr>
              <w:pStyle w:val="2"/>
              <w:tabs>
                <w:tab w:val="left" w:pos="7380"/>
              </w:tabs>
              <w:spacing w:after="0" w:line="360" w:lineRule="exact"/>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说明与要求：</w:t>
            </w:r>
          </w:p>
          <w:p w14:paraId="5E29C12D">
            <w:pPr>
              <w:spacing w:line="36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□具体要求在中标后按照投标承诺和招标人的要求执行。</w:t>
            </w:r>
          </w:p>
          <w:p w14:paraId="200ABB02">
            <w:pPr>
              <w:widowControl/>
              <w:rPr>
                <w:rFonts w:hint="eastAsia" w:ascii="宋体" w:hAnsi="宋体" w:cs="宋体"/>
                <w:color w:val="auto"/>
                <w:szCs w:val="21"/>
                <w:highlight w:val="none"/>
              </w:rPr>
            </w:pPr>
            <w:r>
              <w:rPr>
                <w:rFonts w:hint="eastAsia" w:ascii="宋体" w:hAnsi="宋体" w:cs="宋体"/>
                <w:color w:val="auto"/>
                <w:kern w:val="0"/>
                <w:szCs w:val="21"/>
                <w:highlight w:val="none"/>
                <w:lang w:val="zh-CN"/>
              </w:rPr>
              <w:t>□具体要求：（由招标人填写）</w:t>
            </w:r>
          </w:p>
        </w:tc>
      </w:tr>
      <w:tr w14:paraId="1E0A602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FC5A9D1">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353" w:type="dxa"/>
            <w:tcBorders>
              <w:top w:val="single" w:color="auto" w:sz="4" w:space="0"/>
              <w:left w:val="single" w:color="auto" w:sz="4" w:space="0"/>
              <w:bottom w:val="single" w:color="auto" w:sz="4" w:space="0"/>
              <w:right w:val="single" w:color="auto" w:sz="4" w:space="0"/>
            </w:tcBorders>
            <w:vAlign w:val="center"/>
          </w:tcPr>
          <w:p w14:paraId="41E79714">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电子招标投标</w:t>
            </w:r>
          </w:p>
        </w:tc>
        <w:tc>
          <w:tcPr>
            <w:tcW w:w="5659" w:type="dxa"/>
            <w:tcBorders>
              <w:top w:val="single" w:color="auto" w:sz="4" w:space="0"/>
              <w:left w:val="single" w:color="auto" w:sz="4" w:space="0"/>
              <w:bottom w:val="single" w:color="auto" w:sz="4" w:space="0"/>
              <w:right w:val="single" w:color="auto" w:sz="4" w:space="0"/>
            </w:tcBorders>
            <w:vAlign w:val="center"/>
          </w:tcPr>
          <w:p w14:paraId="62783965">
            <w:pPr>
              <w:spacing w:line="0" w:lineRule="atLeast"/>
              <w:rPr>
                <w:rFonts w:hint="eastAsia" w:ascii="宋体" w:hAnsi="宋体" w:cs="宋体"/>
                <w:color w:val="auto"/>
                <w:highlight w:val="none"/>
              </w:rPr>
            </w:pPr>
            <w:r>
              <w:rPr>
                <w:rFonts w:hint="eastAsia" w:ascii="宋体" w:hAnsi="宋体" w:cs="宋体"/>
                <w:color w:val="auto"/>
                <w:highlight w:val="none"/>
              </w:rPr>
              <w:t>□否</w:t>
            </w:r>
          </w:p>
          <w:p w14:paraId="5A0036C5">
            <w:pPr>
              <w:spacing w:line="0" w:lineRule="atLeast"/>
              <w:rPr>
                <w:rFonts w:hint="eastAsia" w:ascii="宋体" w:hAnsi="宋体" w:cs="宋体"/>
                <w:color w:val="auto"/>
                <w:highlight w:val="none"/>
              </w:rPr>
            </w:pPr>
            <w:r>
              <w:rPr>
                <w:rFonts w:hint="eastAsia" w:ascii="宋体" w:hAnsi="宋体" w:cs="宋体"/>
                <w:color w:val="auto"/>
                <w:highlight w:val="none"/>
              </w:rPr>
              <w:t>■是，具体要求：</w:t>
            </w:r>
          </w:p>
          <w:p w14:paraId="65C8879D">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4CF21922">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2、投标文件的修改与撤回：投标人修改或撤回已递交的投标文件，需在交易平台发出撤回通知，并按要求加盖电子印章。电子招标投标交易平台收到通知后，即时向投标人发出确认回执通知。</w:t>
            </w:r>
          </w:p>
          <w:p w14:paraId="56347F78">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3、（重要风险提示）</w:t>
            </w:r>
          </w:p>
          <w:p w14:paraId="359D5AB4">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（1）投标人可使用投标文件制作工具生成非加密的电子投标文件载入备用光盘(或U盘)，并分别用不透明信封密封。在规定的时间、地点提交备用，具体要求：</w:t>
            </w:r>
          </w:p>
          <w:p w14:paraId="1696269B">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①备用光盘(或U盘)一：工程总承包实施方案投标文件（含资格审查文件）；</w:t>
            </w:r>
          </w:p>
          <w:p w14:paraId="6BF3C5B3">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②备用光盘(或U盘)二：设计方案投标文件；</w:t>
            </w:r>
          </w:p>
          <w:p w14:paraId="6B256068">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注：设计方案投标文件采用暗标。</w:t>
            </w:r>
          </w:p>
          <w:p w14:paraId="6A3C70AD">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③备用光盘(或U盘)三：保密信封；</w:t>
            </w:r>
          </w:p>
          <w:p w14:paraId="03DB166E">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注：内含A3规格制作的效果表现图电子版1张并加盖投标人电子印章，用于辨认投标人身份。</w:t>
            </w:r>
          </w:p>
          <w:p w14:paraId="7C1A3C96">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（2）封装方式:</w:t>
            </w:r>
          </w:p>
          <w:p w14:paraId="3DF53932">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①“设计方案投标文件”、“保密信封”的备用光盘(或U盘)信封封面除了标注“项目名称设计方案投标文件”、“保密信封”字样外不得出现可以辨认投标人及专业技术人员身份的名称、印章、商标、图形等记认符号。</w:t>
            </w:r>
          </w:p>
          <w:p w14:paraId="4655E486">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②其余备用光盘(或U盘) 信封封面写明：项目名称、      投标文件、投标人单位名称、“年月日”并加盖投标人公章（联合体投标的，“投标人”一栏需书写所有联合体成员的单位全称，由牵头单位签署、盖章）；</w:t>
            </w:r>
          </w:p>
          <w:p w14:paraId="003DDDBD">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（3）备用光盘(或U盘)份数：共3份。</w:t>
            </w:r>
          </w:p>
          <w:p w14:paraId="4B76F5E9">
            <w:pPr>
              <w:spacing w:line="0" w:lineRule="atLeast"/>
              <w:rPr>
                <w:rFonts w:hint="eastAsia" w:ascii="宋体" w:hAnsi="宋体" w:cs="宋体"/>
                <w:color w:val="auto"/>
                <w:szCs w:val="22"/>
                <w:highlight w:val="none"/>
              </w:rPr>
            </w:pPr>
            <w:r>
              <w:rPr>
                <w:rFonts w:hint="eastAsia" w:ascii="宋体" w:hAnsi="宋体" w:cs="宋体"/>
                <w:color w:val="auto"/>
                <w:szCs w:val="22"/>
                <w:highlight w:val="none"/>
              </w:rPr>
              <w:t>（4）投标文件备用光盘(或U盘)无法读取或导入的，则视为未提交投标文件备用光盘(或U盘)。如果投标人没有按规定通过广州交易集团有限公司（广州公共资源交易中心）交易平台网上递交电子投标文件的，不再读取提交的备用光盘(或U盘)。投标人也可不提交投标文件备用光盘(或U盘)。</w:t>
            </w:r>
          </w:p>
          <w:p w14:paraId="09CF1193">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4、投标文件的递交：</w:t>
            </w:r>
          </w:p>
          <w:p w14:paraId="4DA9ABF4">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投标文件递交的截止时间（投标截止时间，下同）为202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  月  日  时  分，投标人应在截止时间前通过电子招标投标交易平台递交电子投标文件。</w:t>
            </w:r>
          </w:p>
          <w:p w14:paraId="1BCF68E9">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提交投标文件备用光盘或u盘。</w:t>
            </w:r>
          </w:p>
          <w:p w14:paraId="1B25CEA6">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投标文件光盘或u盘(备用)递交时间：202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  月  日  时  分至202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  月  日  时  分，地点：广州公共资源交易中心第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室开标室。</w:t>
            </w:r>
          </w:p>
          <w:p w14:paraId="66D1FA19">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投标人完成电子投标上传后，电子招标投标交易平台即时向投标人发出递交回执通知。递交时间以递交回执通知载明的传输时间为准。</w:t>
            </w:r>
          </w:p>
          <w:p w14:paraId="2A5C01AB">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逾期送达的投标文件，电子招标投标交易平台将予以拒收。</w:t>
            </w:r>
          </w:p>
          <w:p w14:paraId="6EF64945">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5、投标文件加密要求：</w:t>
            </w:r>
          </w:p>
          <w:p w14:paraId="2C03DC53">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网上递交的电子投标文件须进行加密。具体操作详见交易平台相关操作指南。</w:t>
            </w:r>
          </w:p>
          <w:p w14:paraId="1A5D6C3A">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未按要求加密的投标文件，招标人将予以拒收。</w:t>
            </w:r>
          </w:p>
          <w:p w14:paraId="0BF5561C">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6、投标文件解密失败的补救方案：</w:t>
            </w:r>
          </w:p>
          <w:p w14:paraId="4331AF66">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5AEBFC37">
            <w:pPr>
              <w:pStyle w:val="20"/>
              <w:spacing w:line="0" w:lineRule="atLeast"/>
              <w:rPr>
                <w:rFonts w:hint="eastAsia" w:ascii="宋体" w:hAnsi="宋体" w:eastAsia="宋体" w:cs="宋体"/>
                <w:color w:val="auto"/>
                <w:highlight w:val="none"/>
              </w:rPr>
            </w:pPr>
            <w:r>
              <w:rPr>
                <w:rFonts w:hint="eastAsia" w:ascii="宋体" w:hAnsi="宋体" w:eastAsia="宋体" w:cs="宋体"/>
                <w:color w:val="auto"/>
                <w:highlight w:val="none"/>
              </w:rPr>
              <w:t>除发生上述情况外，开标评标均以投标人通过交易平台网上递交的电子投标文件为准。</w:t>
            </w:r>
          </w:p>
        </w:tc>
      </w:tr>
      <w:tr w14:paraId="18A714F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72F9230">
            <w:pPr>
              <w:spacing w:line="0" w:lineRule="atLeast"/>
              <w:jc w:val="center"/>
              <w:rPr>
                <w:rFonts w:hint="eastAsia" w:ascii="宋体" w:hAnsi="宋体" w:cs="宋体"/>
                <w:color w:val="auto"/>
                <w:szCs w:val="21"/>
                <w:highlight w:val="none"/>
              </w:rPr>
            </w:pPr>
            <w:r>
              <w:rPr>
                <w:rFonts w:hint="eastAsia" w:ascii="新宋体" w:hAnsi="新宋体" w:eastAsia="新宋体" w:cs="新宋体"/>
                <w:color w:val="auto"/>
                <w:szCs w:val="21"/>
                <w:highlight w:val="none"/>
              </w:rPr>
              <w:t>11</w:t>
            </w:r>
          </w:p>
        </w:tc>
        <w:tc>
          <w:tcPr>
            <w:tcW w:w="2353" w:type="dxa"/>
            <w:tcBorders>
              <w:top w:val="single" w:color="auto" w:sz="4" w:space="0"/>
              <w:left w:val="single" w:color="auto" w:sz="4" w:space="0"/>
              <w:bottom w:val="single" w:color="auto" w:sz="4" w:space="0"/>
              <w:right w:val="single" w:color="auto" w:sz="4" w:space="0"/>
            </w:tcBorders>
            <w:vAlign w:val="center"/>
          </w:tcPr>
          <w:p w14:paraId="201BBA98">
            <w:pPr>
              <w:snapToGrid w:val="0"/>
              <w:spacing w:line="0" w:lineRule="atLeast"/>
              <w:jc w:val="center"/>
              <w:rPr>
                <w:rFonts w:hint="eastAsia" w:ascii="宋体" w:hAnsi="宋体" w:cs="宋体"/>
                <w:color w:val="auto"/>
                <w:szCs w:val="21"/>
                <w:highlight w:val="none"/>
              </w:rPr>
            </w:pPr>
            <w:r>
              <w:rPr>
                <w:rFonts w:hint="eastAsia" w:ascii="新宋体" w:hAnsi="新宋体" w:eastAsia="新宋体" w:cs="新宋体"/>
                <w:color w:val="auto"/>
                <w:szCs w:val="21"/>
                <w:highlight w:val="none"/>
              </w:rPr>
              <w:t>投标人不得存在的情形</w:t>
            </w:r>
          </w:p>
        </w:tc>
        <w:tc>
          <w:tcPr>
            <w:tcW w:w="5659" w:type="dxa"/>
            <w:tcBorders>
              <w:top w:val="single" w:color="auto" w:sz="4" w:space="0"/>
              <w:left w:val="single" w:color="auto" w:sz="4" w:space="0"/>
              <w:bottom w:val="single" w:color="auto" w:sz="4" w:space="0"/>
              <w:right w:val="single" w:color="auto" w:sz="4" w:space="0"/>
            </w:tcBorders>
            <w:vAlign w:val="center"/>
          </w:tcPr>
          <w:p w14:paraId="0E71E43C">
            <w:pPr>
              <w:snapToGrid w:val="0"/>
              <w:spacing w:line="0" w:lineRule="atLeast"/>
              <w:rPr>
                <w:rFonts w:hint="eastAsia" w:ascii="宋体" w:hAnsi="宋体" w:cs="宋体"/>
                <w:color w:val="auto"/>
                <w:highlight w:val="none"/>
              </w:rPr>
            </w:pPr>
            <w:r>
              <w:rPr>
                <w:rFonts w:hint="eastAsia" w:ascii="宋体" w:hAnsi="宋体" w:cs="新宋体"/>
                <w:color w:val="auto"/>
                <w:szCs w:val="21"/>
                <w:highlight w:val="none"/>
              </w:rPr>
              <w:t>删除“1.4.3 投标人不得存在下列情形之一”，投标人不得存在的情形以《投标人声明》第三点的规定为准。</w:t>
            </w:r>
          </w:p>
        </w:tc>
      </w:tr>
      <w:tr w14:paraId="759FD25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C59ABB9">
            <w:pPr>
              <w:spacing w:line="0" w:lineRule="atLeas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12</w:t>
            </w:r>
          </w:p>
        </w:tc>
        <w:tc>
          <w:tcPr>
            <w:tcW w:w="2353" w:type="dxa"/>
            <w:tcBorders>
              <w:top w:val="single" w:color="auto" w:sz="4" w:space="0"/>
              <w:left w:val="single" w:color="auto" w:sz="4" w:space="0"/>
              <w:bottom w:val="single" w:color="auto" w:sz="4" w:space="0"/>
              <w:right w:val="single" w:color="auto" w:sz="4" w:space="0"/>
            </w:tcBorders>
            <w:vAlign w:val="center"/>
          </w:tcPr>
          <w:p w14:paraId="56048F3C">
            <w:pPr>
              <w:snapToGrid w:val="0"/>
              <w:spacing w:line="0" w:lineRule="atLeas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招标失败的情形</w:t>
            </w:r>
          </w:p>
        </w:tc>
        <w:tc>
          <w:tcPr>
            <w:tcW w:w="5659" w:type="dxa"/>
            <w:tcBorders>
              <w:top w:val="single" w:color="auto" w:sz="4" w:space="0"/>
              <w:left w:val="single" w:color="auto" w:sz="4" w:space="0"/>
              <w:bottom w:val="single" w:color="auto" w:sz="4" w:space="0"/>
              <w:right w:val="single" w:color="auto" w:sz="4" w:space="0"/>
            </w:tcBorders>
            <w:vAlign w:val="center"/>
          </w:tcPr>
          <w:p w14:paraId="782542AD">
            <w:pPr>
              <w:spacing w:line="0" w:lineRule="atLeast"/>
              <w:rPr>
                <w:rFonts w:hint="eastAsia" w:ascii="宋体" w:hAnsi="宋体" w:cs="宋体"/>
                <w:color w:val="auto"/>
                <w:szCs w:val="21"/>
                <w:highlight w:val="none"/>
                <w:u w:val="single"/>
              </w:rPr>
            </w:pPr>
            <w:r>
              <w:rPr>
                <w:rFonts w:hint="eastAsia" w:ascii="宋体" w:hAnsi="宋体" w:cs="新宋体"/>
                <w:color w:val="auto"/>
                <w:highlight w:val="none"/>
              </w:rPr>
              <w:t>本项目满足资格形式评审、资格审查合格条件或通过初步评审的投标申请人不足3名时为招标失败。招标人分析招标失败原因，修正招标方案，报有关管理部门核准后，重新组织招标。</w:t>
            </w:r>
          </w:p>
        </w:tc>
      </w:tr>
      <w:tr w14:paraId="6CB014D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4424D6B">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353" w:type="dxa"/>
            <w:tcBorders>
              <w:top w:val="single" w:color="auto" w:sz="4" w:space="0"/>
              <w:left w:val="single" w:color="auto" w:sz="4" w:space="0"/>
              <w:bottom w:val="single" w:color="auto" w:sz="4" w:space="0"/>
              <w:right w:val="single" w:color="auto" w:sz="4" w:space="0"/>
            </w:tcBorders>
            <w:vAlign w:val="center"/>
          </w:tcPr>
          <w:p w14:paraId="7283AD6F">
            <w:pPr>
              <w:pStyle w:val="32"/>
              <w:adjustRightInd w:val="0"/>
              <w:snapToGrid w:val="0"/>
              <w:spacing w:line="320" w:lineRule="exact"/>
              <w:rPr>
                <w:rFonts w:hint="eastAsia" w:ascii="新宋体" w:hAnsi="新宋体" w:eastAsia="新宋体" w:cs="新宋体"/>
                <w:color w:val="auto"/>
                <w:kern w:val="2"/>
                <w:sz w:val="21"/>
                <w:szCs w:val="21"/>
                <w:highlight w:val="none"/>
              </w:rPr>
            </w:pPr>
            <w:r>
              <w:rPr>
                <w:rFonts w:ascii="新宋体" w:hAnsi="新宋体" w:eastAsia="新宋体" w:cs="新宋体"/>
                <w:color w:val="auto"/>
                <w:kern w:val="2"/>
                <w:sz w:val="21"/>
                <w:szCs w:val="21"/>
                <w:highlight w:val="none"/>
              </w:rPr>
              <w:t>关于使用混凝土</w:t>
            </w:r>
            <w:r>
              <w:rPr>
                <w:rFonts w:hint="eastAsia" w:ascii="新宋体" w:hAnsi="新宋体" w:eastAsia="新宋体" w:cs="新宋体"/>
                <w:color w:val="auto"/>
                <w:kern w:val="2"/>
                <w:sz w:val="21"/>
                <w:szCs w:val="21"/>
                <w:highlight w:val="none"/>
              </w:rPr>
              <w:t>等</w:t>
            </w:r>
            <w:r>
              <w:rPr>
                <w:rFonts w:ascii="新宋体" w:hAnsi="新宋体" w:eastAsia="新宋体" w:cs="新宋体"/>
                <w:color w:val="auto"/>
                <w:kern w:val="2"/>
                <w:sz w:val="21"/>
                <w:szCs w:val="21"/>
                <w:highlight w:val="none"/>
              </w:rPr>
              <w:t>建筑材料质量标准的约定</w:t>
            </w:r>
          </w:p>
        </w:tc>
        <w:tc>
          <w:tcPr>
            <w:tcW w:w="5659" w:type="dxa"/>
            <w:tcBorders>
              <w:top w:val="single" w:color="auto" w:sz="4" w:space="0"/>
              <w:left w:val="single" w:color="auto" w:sz="4" w:space="0"/>
              <w:bottom w:val="single" w:color="auto" w:sz="4" w:space="0"/>
              <w:right w:val="single" w:color="auto" w:sz="4" w:space="0"/>
            </w:tcBorders>
            <w:vAlign w:val="center"/>
          </w:tcPr>
          <w:p w14:paraId="363B4C20">
            <w:pPr>
              <w:pStyle w:val="32"/>
              <w:adjustRightInd w:val="0"/>
              <w:snapToGrid w:val="0"/>
              <w:spacing w:line="0" w:lineRule="atLeast"/>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根据《广州市散装水泥管理办公室关于对混凝土和砂浆企业质量监督检查的通报》，为确保工程质量安全，中标单位禁止使用不合格的混凝土和砂浆。</w:t>
            </w:r>
          </w:p>
        </w:tc>
      </w:tr>
      <w:tr w14:paraId="5776BF2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B79713E">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2353" w:type="dxa"/>
            <w:tcBorders>
              <w:top w:val="single" w:color="auto" w:sz="4" w:space="0"/>
              <w:left w:val="single" w:color="auto" w:sz="4" w:space="0"/>
              <w:bottom w:val="single" w:color="auto" w:sz="4" w:space="0"/>
              <w:right w:val="single" w:color="auto" w:sz="4" w:space="0"/>
            </w:tcBorders>
            <w:vAlign w:val="center"/>
          </w:tcPr>
          <w:p w14:paraId="19B2CF06">
            <w:pPr>
              <w:pStyle w:val="32"/>
              <w:adjustRightInd w:val="0"/>
              <w:snapToGrid w:val="0"/>
              <w:spacing w:line="320" w:lineRule="exact"/>
              <w:jc w:val="center"/>
              <w:rPr>
                <w:rFonts w:hint="eastAsia" w:ascii="新宋体" w:hAnsi="新宋体" w:eastAsia="新宋体" w:cs="新宋体"/>
                <w:color w:val="auto"/>
                <w:kern w:val="2"/>
                <w:sz w:val="21"/>
                <w:szCs w:val="21"/>
                <w:highlight w:val="none"/>
              </w:rPr>
            </w:pPr>
            <w:r>
              <w:rPr>
                <w:rFonts w:ascii="新宋体" w:hAnsi="新宋体" w:eastAsia="新宋体" w:cs="新宋体"/>
                <w:color w:val="auto"/>
                <w:kern w:val="2"/>
                <w:sz w:val="21"/>
                <w:szCs w:val="21"/>
                <w:highlight w:val="none"/>
              </w:rPr>
              <w:t>项目负责人证书锁定</w:t>
            </w:r>
          </w:p>
        </w:tc>
        <w:tc>
          <w:tcPr>
            <w:tcW w:w="5659" w:type="dxa"/>
            <w:tcBorders>
              <w:top w:val="single" w:color="auto" w:sz="4" w:space="0"/>
              <w:left w:val="single" w:color="auto" w:sz="4" w:space="0"/>
              <w:bottom w:val="single" w:color="auto" w:sz="4" w:space="0"/>
              <w:right w:val="single" w:color="auto" w:sz="4" w:space="0"/>
            </w:tcBorders>
            <w:vAlign w:val="center"/>
          </w:tcPr>
          <w:p w14:paraId="38C80175">
            <w:pPr>
              <w:pStyle w:val="32"/>
              <w:adjustRightInd w:val="0"/>
              <w:snapToGrid w:val="0"/>
              <w:spacing w:line="0" w:lineRule="atLeast"/>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rPr>
              <w:t>投标前，投标人必须确保拟投入项目负责人为非锁定状态（在全国地区范围）。中标后如因项目负责人在其它地区项目未解锁，而导致未能办理施工许可证等相关报建工作，相关责任由中标人自行承担。</w:t>
            </w:r>
          </w:p>
        </w:tc>
      </w:tr>
      <w:tr w14:paraId="0991066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69A820E">
            <w:pPr>
              <w:spacing w:line="0" w:lineRule="atLeast"/>
              <w:jc w:val="center"/>
              <w:rPr>
                <w:rFonts w:hint="eastAsia" w:ascii="宋体" w:hAnsi="宋体" w:eastAsia="新宋体" w:cs="宋体"/>
                <w:color w:val="auto"/>
                <w:szCs w:val="21"/>
                <w:highlight w:val="none"/>
              </w:rPr>
            </w:pPr>
            <w:r>
              <w:rPr>
                <w:rFonts w:hint="eastAsia" w:ascii="新宋体" w:hAnsi="新宋体" w:eastAsia="新宋体" w:cs="新宋体"/>
                <w:color w:val="auto"/>
                <w:szCs w:val="21"/>
                <w:highlight w:val="none"/>
              </w:rPr>
              <w:t>15</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5EB82926">
            <w:pPr>
              <w:spacing w:line="0" w:lineRule="atLeast"/>
              <w:rPr>
                <w:rFonts w:hint="eastAsia" w:ascii="宋体" w:hAnsi="宋体" w:cs="宋体"/>
                <w:bCs/>
                <w:color w:val="auto"/>
                <w:highlight w:val="none"/>
              </w:rPr>
            </w:pPr>
            <w:r>
              <w:rPr>
                <w:rFonts w:hint="eastAsia" w:ascii="新宋体" w:hAnsi="新宋体" w:eastAsia="新宋体" w:cs="新宋体"/>
                <w:color w:val="auto"/>
                <w:szCs w:val="21"/>
                <w:highlight w:val="none"/>
              </w:rPr>
              <w:t>中标候选人公示后3天内第一中标候选人需提供与广州公共资源交易中心网站提交的电子投标文件一致的纸质版投标文件一正四副（加盖公章），合共5套投标文件提供给招标人，相关费用由中标候选人支付。</w:t>
            </w:r>
          </w:p>
        </w:tc>
      </w:tr>
      <w:tr w14:paraId="05C286D4">
        <w:tblPrEx>
          <w:tblCellMar>
            <w:top w:w="0" w:type="dxa"/>
            <w:left w:w="108" w:type="dxa"/>
            <w:bottom w:w="0" w:type="dxa"/>
            <w:right w:w="108" w:type="dxa"/>
          </w:tblCellMar>
        </w:tblPrEx>
        <w:trPr>
          <w:trHeight w:val="874" w:hRule="atLeast"/>
        </w:trPr>
        <w:tc>
          <w:tcPr>
            <w:tcW w:w="1165" w:type="dxa"/>
            <w:tcBorders>
              <w:top w:val="single" w:color="auto" w:sz="4" w:space="0"/>
              <w:left w:val="single" w:color="auto" w:sz="4" w:space="0"/>
              <w:bottom w:val="single" w:color="auto" w:sz="4" w:space="0"/>
              <w:right w:val="single" w:color="auto" w:sz="4" w:space="0"/>
            </w:tcBorders>
            <w:vAlign w:val="center"/>
          </w:tcPr>
          <w:p w14:paraId="715D3BD9">
            <w:pPr>
              <w:spacing w:line="0" w:lineRule="atLeas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16</w:t>
            </w:r>
          </w:p>
        </w:tc>
        <w:tc>
          <w:tcPr>
            <w:tcW w:w="8012" w:type="dxa"/>
            <w:gridSpan w:val="2"/>
            <w:tcBorders>
              <w:top w:val="single" w:color="auto" w:sz="4" w:space="0"/>
              <w:left w:val="single" w:color="auto" w:sz="4" w:space="0"/>
              <w:bottom w:val="single" w:color="auto" w:sz="4" w:space="0"/>
              <w:right w:val="single" w:color="auto" w:sz="4" w:space="0"/>
            </w:tcBorders>
            <w:vAlign w:val="center"/>
          </w:tcPr>
          <w:p w14:paraId="40D6BE08">
            <w:pPr>
              <w:spacing w:line="0" w:lineRule="atLeast"/>
              <w:rPr>
                <w:rFonts w:hint="eastAsia" w:ascii="新宋体" w:hAnsi="新宋体" w:eastAsia="新宋体" w:cs="新宋体"/>
                <w:b/>
                <w:color w:val="auto"/>
                <w:szCs w:val="21"/>
                <w:highlight w:val="none"/>
              </w:rPr>
            </w:pPr>
            <w:r>
              <w:rPr>
                <w:rFonts w:hint="eastAsia" w:ascii="宋体" w:hAnsi="宋体"/>
                <w:b/>
                <w:color w:val="auto"/>
                <w:szCs w:val="21"/>
                <w:highlight w:val="none"/>
              </w:rPr>
              <w:t>联合体投标的，</w:t>
            </w:r>
            <w:r>
              <w:rPr>
                <w:rFonts w:hint="eastAsia" w:ascii="宋体" w:hAnsi="宋体"/>
                <w:b/>
                <w:color w:val="auto"/>
                <w:highlight w:val="none"/>
              </w:rPr>
              <w:t>投标文件中的联合体协议书需联合体各方均盖章，投标文件其他内容中的“投标人”应填写联合体各方的单位全称，由主办方盖章、签字。</w:t>
            </w:r>
          </w:p>
        </w:tc>
      </w:tr>
    </w:tbl>
    <w:p w14:paraId="64479DE6">
      <w:pPr>
        <w:pStyle w:val="5"/>
        <w:spacing w:before="0" w:after="0" w:line="0" w:lineRule="atLeast"/>
        <w:rPr>
          <w:rFonts w:hint="eastAsia" w:ascii="宋体" w:hAnsi="宋体" w:eastAsia="宋体" w:cs="宋体"/>
          <w:color w:val="auto"/>
          <w:highlight w:val="none"/>
        </w:rPr>
      </w:pPr>
      <w:bookmarkStart w:id="33" w:name="_Toc247527553"/>
      <w:bookmarkStart w:id="34" w:name="_Toc144974497"/>
      <w:bookmarkStart w:id="35" w:name="_Toc152045529"/>
      <w:bookmarkStart w:id="36" w:name="_Toc247513952"/>
      <w:bookmarkStart w:id="37" w:name="_Toc24193"/>
      <w:bookmarkStart w:id="38" w:name="_Toc152042305"/>
      <w:r>
        <w:rPr>
          <w:rFonts w:ascii="宋体" w:hAnsi="宋体" w:eastAsia="宋体" w:cs="宋体"/>
          <w:color w:val="auto"/>
          <w:highlight w:val="none"/>
        </w:rPr>
        <w:br w:type="page"/>
      </w:r>
      <w:bookmarkStart w:id="39" w:name="_Toc25375"/>
      <w:r>
        <w:rPr>
          <w:rFonts w:hint="eastAsia" w:ascii="宋体" w:hAnsi="宋体" w:eastAsia="宋体" w:cs="宋体"/>
          <w:color w:val="auto"/>
          <w:highlight w:val="none"/>
        </w:rPr>
        <w:t>1. 总则</w:t>
      </w:r>
      <w:bookmarkEnd w:id="33"/>
      <w:bookmarkEnd w:id="34"/>
      <w:bookmarkEnd w:id="35"/>
      <w:bookmarkEnd w:id="36"/>
      <w:bookmarkEnd w:id="37"/>
      <w:bookmarkEnd w:id="38"/>
      <w:bookmarkEnd w:id="39"/>
    </w:p>
    <w:p w14:paraId="3D38FF61">
      <w:pPr>
        <w:pStyle w:val="6"/>
        <w:rPr>
          <w:rFonts w:hint="eastAsia" w:ascii="宋体" w:eastAsia="宋体" w:cs="宋体"/>
          <w:color w:val="auto"/>
          <w:highlight w:val="none"/>
        </w:rPr>
      </w:pPr>
      <w:bookmarkStart w:id="40" w:name="_Toc22901"/>
      <w:bookmarkStart w:id="41" w:name="_Toc144974498"/>
      <w:bookmarkStart w:id="42" w:name="_Toc247527554"/>
      <w:bookmarkStart w:id="43" w:name="_Toc13369"/>
      <w:bookmarkStart w:id="44" w:name="_Toc152042306"/>
      <w:bookmarkStart w:id="45" w:name="_Toc247513953"/>
      <w:bookmarkStart w:id="46" w:name="_Toc152045530"/>
      <w:r>
        <w:rPr>
          <w:rFonts w:hint="eastAsia" w:ascii="宋体" w:eastAsia="宋体" w:cs="宋体"/>
          <w:color w:val="auto"/>
          <w:highlight w:val="none"/>
        </w:rPr>
        <w:t>1.1 项目概况</w:t>
      </w:r>
      <w:bookmarkEnd w:id="40"/>
      <w:bookmarkEnd w:id="41"/>
      <w:bookmarkEnd w:id="42"/>
      <w:bookmarkEnd w:id="43"/>
      <w:bookmarkEnd w:id="44"/>
      <w:bookmarkEnd w:id="45"/>
      <w:bookmarkEnd w:id="46"/>
    </w:p>
    <w:p w14:paraId="2CEAB4C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1.1.1根据《中华人民共和国招标投标法》等有关法律、法规和规章的规定，本招标项目已具备招标条件，现对该项目勘察设计施工进行一体化招标。</w:t>
      </w:r>
    </w:p>
    <w:p w14:paraId="149F5BF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1.1.2 招标人：见投标人须知前附表。</w:t>
      </w:r>
    </w:p>
    <w:p w14:paraId="3A5C24B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1.1.3 招标代理机构：见投标人须知前附表。</w:t>
      </w:r>
    </w:p>
    <w:p w14:paraId="10AF52C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1.1.4 招标项目名称：见投标人须知前附表。</w:t>
      </w:r>
    </w:p>
    <w:p w14:paraId="16AD0FD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1.1.5 项目建设地点：见投标人须知前附表。</w:t>
      </w:r>
    </w:p>
    <w:p w14:paraId="52A44367">
      <w:pPr>
        <w:pStyle w:val="6"/>
        <w:rPr>
          <w:rFonts w:hint="eastAsia" w:ascii="宋体" w:eastAsia="宋体" w:cs="宋体"/>
          <w:color w:val="auto"/>
          <w:highlight w:val="none"/>
        </w:rPr>
      </w:pPr>
      <w:bookmarkStart w:id="47" w:name="_Toc152045531"/>
      <w:bookmarkStart w:id="48" w:name="_Toc23462"/>
      <w:bookmarkStart w:id="49" w:name="_Toc247527555"/>
      <w:bookmarkStart w:id="50" w:name="_Toc247513954"/>
      <w:bookmarkStart w:id="51" w:name="_Toc144974499"/>
      <w:bookmarkStart w:id="52" w:name="_Toc17601"/>
      <w:bookmarkStart w:id="53" w:name="_Toc152042307"/>
      <w:r>
        <w:rPr>
          <w:rFonts w:hint="eastAsia" w:ascii="宋体" w:eastAsia="宋体" w:cs="宋体"/>
          <w:color w:val="auto"/>
          <w:highlight w:val="none"/>
        </w:rPr>
        <w:t>1.2 项目的资金来源和落实情况</w:t>
      </w:r>
      <w:bookmarkEnd w:id="47"/>
      <w:bookmarkEnd w:id="48"/>
      <w:bookmarkEnd w:id="49"/>
      <w:bookmarkEnd w:id="50"/>
      <w:bookmarkEnd w:id="51"/>
      <w:bookmarkEnd w:id="52"/>
      <w:bookmarkEnd w:id="53"/>
    </w:p>
    <w:p w14:paraId="0D0A7D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1.2.1 资金来源及比例：见投标人须知前附表。</w:t>
      </w:r>
    </w:p>
    <w:p w14:paraId="1672A1B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1.2.2 资金落实情况：见投标人须知前附表。</w:t>
      </w:r>
    </w:p>
    <w:p w14:paraId="2311C781">
      <w:pPr>
        <w:pStyle w:val="6"/>
        <w:rPr>
          <w:rFonts w:hint="eastAsia" w:ascii="宋体" w:eastAsia="宋体" w:cs="宋体"/>
          <w:color w:val="auto"/>
          <w:highlight w:val="none"/>
        </w:rPr>
      </w:pPr>
      <w:bookmarkStart w:id="54" w:name="_Toc247527556"/>
      <w:bookmarkStart w:id="55" w:name="_Toc144974500"/>
      <w:bookmarkStart w:id="56" w:name="_Toc152045532"/>
      <w:bookmarkStart w:id="57" w:name="_Toc152042308"/>
      <w:bookmarkStart w:id="58" w:name="_Toc247513955"/>
      <w:bookmarkStart w:id="59" w:name="_Toc22496"/>
      <w:bookmarkStart w:id="60" w:name="_Toc13265"/>
      <w:r>
        <w:rPr>
          <w:rFonts w:hint="eastAsia" w:ascii="宋体" w:eastAsia="宋体" w:cs="宋体"/>
          <w:color w:val="auto"/>
          <w:highlight w:val="none"/>
        </w:rPr>
        <w:t>1.3 招标范围、计划工期和</w:t>
      </w:r>
      <w:bookmarkEnd w:id="54"/>
      <w:bookmarkEnd w:id="55"/>
      <w:bookmarkEnd w:id="56"/>
      <w:bookmarkEnd w:id="57"/>
      <w:bookmarkEnd w:id="58"/>
      <w:r>
        <w:rPr>
          <w:rFonts w:hint="eastAsia" w:ascii="宋体" w:eastAsia="宋体" w:cs="宋体"/>
          <w:color w:val="auto"/>
          <w:highlight w:val="none"/>
        </w:rPr>
        <w:t>质量标准</w:t>
      </w:r>
      <w:bookmarkEnd w:id="59"/>
      <w:bookmarkEnd w:id="60"/>
    </w:p>
    <w:p w14:paraId="39AB96C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1.3.1 招标范围：见投标人须知前附表。</w:t>
      </w:r>
    </w:p>
    <w:p w14:paraId="1EA1615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1.3.2 计划工期：见投标人须知前附表。</w:t>
      </w:r>
    </w:p>
    <w:p w14:paraId="5442721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1.3.3 质量标准：见投标人须知前附表。</w:t>
      </w:r>
    </w:p>
    <w:p w14:paraId="038CBE2F">
      <w:pPr>
        <w:pStyle w:val="6"/>
        <w:rPr>
          <w:rFonts w:hint="eastAsia" w:ascii="宋体" w:eastAsia="宋体" w:cs="宋体"/>
          <w:color w:val="auto"/>
          <w:highlight w:val="none"/>
        </w:rPr>
      </w:pPr>
      <w:bookmarkStart w:id="61" w:name="_Toc152045534"/>
      <w:bookmarkStart w:id="62" w:name="_Toc152042310"/>
      <w:bookmarkStart w:id="63" w:name="_Toc247513957"/>
      <w:bookmarkStart w:id="64" w:name="_Toc247527558"/>
      <w:bookmarkStart w:id="65" w:name="_Toc144974502"/>
      <w:bookmarkStart w:id="66" w:name="_Toc25105"/>
      <w:bookmarkStart w:id="67" w:name="_Toc8109"/>
      <w:r>
        <w:rPr>
          <w:rFonts w:hint="eastAsia" w:ascii="宋体" w:eastAsia="宋体" w:cs="宋体"/>
          <w:color w:val="auto"/>
          <w:highlight w:val="none"/>
        </w:rPr>
        <w:t>1.4 投标人资格要求</w:t>
      </w:r>
      <w:bookmarkEnd w:id="61"/>
      <w:bookmarkEnd w:id="62"/>
      <w:bookmarkEnd w:id="63"/>
      <w:bookmarkEnd w:id="64"/>
      <w:bookmarkEnd w:id="65"/>
      <w:bookmarkEnd w:id="66"/>
      <w:r>
        <w:rPr>
          <w:rFonts w:hint="eastAsia" w:ascii="新宋体" w:hAnsi="新宋体" w:eastAsia="新宋体" w:cs="新宋体"/>
          <w:color w:val="auto"/>
          <w:highlight w:val="none"/>
        </w:rPr>
        <w:t>（适用于未进行资格预审的）</w:t>
      </w:r>
      <w:bookmarkEnd w:id="67"/>
    </w:p>
    <w:p w14:paraId="270D0F5F">
      <w:pPr>
        <w:spacing w:line="400" w:lineRule="exact"/>
        <w:ind w:firstLine="420" w:firstLineChars="200"/>
        <w:rPr>
          <w:rFonts w:hint="eastAsia" w:ascii="宋体" w:hAnsi="宋体" w:cs="宋体"/>
          <w:color w:val="auto"/>
          <w:highlight w:val="none"/>
        </w:rPr>
      </w:pPr>
      <w:bookmarkStart w:id="68" w:name="_Toc247527559"/>
      <w:bookmarkStart w:id="69" w:name="_Toc152045535"/>
      <w:bookmarkStart w:id="70" w:name="_Toc247513958"/>
      <w:bookmarkStart w:id="71" w:name="_Toc144974503"/>
      <w:bookmarkStart w:id="72" w:name="_Toc152042311"/>
      <w:bookmarkStart w:id="73" w:name="_Toc5312"/>
      <w:r>
        <w:rPr>
          <w:rFonts w:hint="eastAsia" w:ascii="宋体" w:hAnsi="宋体" w:cs="宋体"/>
          <w:color w:val="auto"/>
          <w:highlight w:val="none"/>
        </w:rPr>
        <w:t>1.4.1 投标人应具备承担本招标项目资质条件、能力和信誉。</w:t>
      </w:r>
    </w:p>
    <w:p w14:paraId="583F2196">
      <w:pPr>
        <w:spacing w:line="440" w:lineRule="exact"/>
        <w:rPr>
          <w:rFonts w:hint="eastAsia" w:ascii="新宋体" w:hAnsi="新宋体" w:eastAsia="新宋体" w:cs="新宋体"/>
          <w:color w:val="auto"/>
          <w:szCs w:val="21"/>
          <w:highlight w:val="none"/>
          <w:u w:val="single"/>
        </w:rPr>
      </w:pPr>
      <w:r>
        <w:rPr>
          <w:rFonts w:hint="eastAsia" w:ascii="宋体" w:hAnsi="宋体" w:cs="宋体"/>
          <w:color w:val="auto"/>
          <w:highlight w:val="none"/>
        </w:rPr>
        <w:t>（1）</w:t>
      </w:r>
      <w:r>
        <w:rPr>
          <w:rFonts w:hint="eastAsia" w:ascii="新宋体" w:hAnsi="新宋体" w:eastAsia="新宋体" w:cs="新宋体"/>
          <w:color w:val="auto"/>
          <w:szCs w:val="21"/>
          <w:highlight w:val="none"/>
        </w:rPr>
        <w:t>资质条件：</w:t>
      </w:r>
      <w:r>
        <w:rPr>
          <w:rFonts w:hint="eastAsia" w:ascii="新宋体" w:hAnsi="新宋体" w:eastAsia="新宋体" w:cs="新宋体"/>
          <w:color w:val="auto"/>
          <w:szCs w:val="21"/>
          <w:highlight w:val="none"/>
          <w:u w:val="single"/>
        </w:rPr>
        <w:t>见招标公告投标人资格要求。</w:t>
      </w:r>
    </w:p>
    <w:p w14:paraId="1E0E67E7">
      <w:pPr>
        <w:pStyle w:val="20"/>
        <w:spacing w:line="440" w:lineRule="exact"/>
        <w:rPr>
          <w:rFonts w:hint="eastAsia" w:ascii="新宋体" w:hAnsi="新宋体" w:eastAsia="新宋体" w:cs="新宋体"/>
          <w:color w:val="auto"/>
          <w:highlight w:val="none"/>
          <w:u w:val="single"/>
        </w:rPr>
      </w:pPr>
      <w:r>
        <w:rPr>
          <w:rFonts w:hint="eastAsia" w:ascii="新宋体" w:hAnsi="新宋体" w:eastAsia="新宋体" w:cs="新宋体"/>
          <w:color w:val="auto"/>
          <w:szCs w:val="21"/>
          <w:highlight w:val="none"/>
        </w:rPr>
        <w:t>（2）财务要求：</w:t>
      </w:r>
      <w:r>
        <w:rPr>
          <w:rFonts w:hint="eastAsia" w:ascii="新宋体" w:hAnsi="新宋体" w:eastAsia="新宋体" w:cs="新宋体"/>
          <w:color w:val="auto"/>
          <w:highlight w:val="none"/>
          <w:u w:val="single"/>
        </w:rPr>
        <w:t>/。</w:t>
      </w:r>
    </w:p>
    <w:p w14:paraId="29AD24F0">
      <w:pPr>
        <w:spacing w:line="440" w:lineRule="exact"/>
        <w:rPr>
          <w:rFonts w:hint="eastAsia" w:ascii="新宋体" w:hAnsi="新宋体" w:eastAsia="新宋体" w:cs="新宋体"/>
          <w:color w:val="auto"/>
          <w:szCs w:val="21"/>
          <w:highlight w:val="none"/>
        </w:rPr>
      </w:pPr>
      <w:r>
        <w:rPr>
          <w:rFonts w:hint="eastAsia" w:ascii="新宋体" w:hAnsi="新宋体" w:eastAsia="新宋体" w:cs="新宋体"/>
          <w:color w:val="auto"/>
          <w:highlight w:val="none"/>
        </w:rPr>
        <w:t>（3）</w:t>
      </w:r>
      <w:r>
        <w:rPr>
          <w:rFonts w:hint="eastAsia" w:ascii="新宋体" w:hAnsi="新宋体" w:eastAsia="新宋体" w:cs="新宋体"/>
          <w:color w:val="auto"/>
          <w:szCs w:val="21"/>
          <w:highlight w:val="none"/>
        </w:rPr>
        <w:t>设计业绩要求：</w:t>
      </w:r>
      <w:r>
        <w:rPr>
          <w:rFonts w:hint="eastAsia" w:ascii="新宋体" w:hAnsi="新宋体" w:eastAsia="新宋体" w:cs="新宋体"/>
          <w:color w:val="auto"/>
          <w:highlight w:val="none"/>
          <w:u w:val="single"/>
        </w:rPr>
        <w:t>/。</w:t>
      </w:r>
    </w:p>
    <w:p w14:paraId="4659401F">
      <w:pPr>
        <w:spacing w:line="44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（4）施工业绩要求：</w:t>
      </w:r>
      <w:r>
        <w:rPr>
          <w:rFonts w:hint="eastAsia" w:ascii="新宋体" w:hAnsi="新宋体" w:eastAsia="新宋体" w:cs="新宋体"/>
          <w:color w:val="auto"/>
          <w:highlight w:val="none"/>
          <w:u w:val="single"/>
        </w:rPr>
        <w:t>/。</w:t>
      </w:r>
    </w:p>
    <w:p w14:paraId="370390D2">
      <w:pPr>
        <w:spacing w:line="44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（5）信誉要求：</w:t>
      </w:r>
      <w:r>
        <w:rPr>
          <w:rFonts w:hint="eastAsia" w:ascii="新宋体" w:hAnsi="新宋体" w:eastAsia="新宋体" w:cs="新宋体"/>
          <w:color w:val="auto"/>
          <w:highlight w:val="none"/>
          <w:u w:val="single"/>
        </w:rPr>
        <w:t>/。</w:t>
      </w:r>
    </w:p>
    <w:p w14:paraId="69BE9B08">
      <w:pPr>
        <w:spacing w:line="44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u w:val="single"/>
        </w:rPr>
        <w:t>（6）项目负责人(兼施工负责人)的资格要求</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u w:val="single"/>
        </w:rPr>
        <w:t>见招标公告投标人资格要求。</w:t>
      </w:r>
    </w:p>
    <w:p w14:paraId="22D8EA2A">
      <w:pPr>
        <w:spacing w:line="44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（7）设计负责人的资格要求：</w:t>
      </w:r>
      <w:r>
        <w:rPr>
          <w:rFonts w:hint="eastAsia" w:ascii="新宋体" w:hAnsi="新宋体" w:eastAsia="新宋体" w:cs="新宋体"/>
          <w:color w:val="auto"/>
          <w:szCs w:val="21"/>
          <w:highlight w:val="none"/>
          <w:u w:val="single"/>
        </w:rPr>
        <w:t>见招标公告投标人资格要求。</w:t>
      </w:r>
    </w:p>
    <w:p w14:paraId="3473E28D">
      <w:pPr>
        <w:spacing w:line="440" w:lineRule="exact"/>
        <w:rPr>
          <w:rFonts w:hint="eastAsia" w:ascii="新宋体" w:hAnsi="新宋体" w:eastAsia="新宋体" w:cs="新宋体"/>
          <w:strike/>
          <w:color w:val="auto"/>
          <w:szCs w:val="21"/>
          <w:highlight w:val="none"/>
        </w:rPr>
      </w:pPr>
      <w:r>
        <w:rPr>
          <w:rFonts w:hint="eastAsia" w:ascii="新宋体" w:hAnsi="新宋体" w:eastAsia="新宋体" w:cs="新宋体"/>
          <w:strike/>
          <w:color w:val="auto"/>
          <w:szCs w:val="21"/>
          <w:highlight w:val="none"/>
        </w:rPr>
        <w:t>（8）施工负责人的资格要求：</w:t>
      </w:r>
      <w:r>
        <w:rPr>
          <w:rFonts w:hint="eastAsia" w:ascii="新宋体" w:hAnsi="新宋体" w:eastAsia="新宋体" w:cs="新宋体"/>
          <w:strike/>
          <w:color w:val="auto"/>
          <w:szCs w:val="21"/>
          <w:highlight w:val="none"/>
          <w:u w:val="single"/>
        </w:rPr>
        <w:t>见招标公告投标人资格要求。</w:t>
      </w:r>
    </w:p>
    <w:p w14:paraId="063F6F8C">
      <w:pPr>
        <w:spacing w:line="44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（9）施工技术负责人资格要求 ：</w:t>
      </w:r>
      <w:r>
        <w:rPr>
          <w:rFonts w:hint="eastAsia" w:ascii="新宋体" w:hAnsi="新宋体" w:eastAsia="新宋体" w:cs="新宋体"/>
          <w:color w:val="auto"/>
          <w:szCs w:val="21"/>
          <w:highlight w:val="none"/>
          <w:u w:val="single"/>
        </w:rPr>
        <w:t>见招标公告投标人资格要求。</w:t>
      </w:r>
    </w:p>
    <w:p w14:paraId="402E6F45">
      <w:pPr>
        <w:spacing w:line="44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（10）专职安全员资格要求：</w:t>
      </w:r>
      <w:r>
        <w:rPr>
          <w:rFonts w:hint="eastAsia" w:ascii="新宋体" w:hAnsi="新宋体" w:eastAsia="新宋体" w:cs="新宋体"/>
          <w:color w:val="auto"/>
          <w:szCs w:val="21"/>
          <w:highlight w:val="none"/>
          <w:u w:val="single"/>
        </w:rPr>
        <w:t>见招标公告投标人资格要求。</w:t>
      </w:r>
    </w:p>
    <w:p w14:paraId="22589609">
      <w:pPr>
        <w:spacing w:line="44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（11）施工机械设备：</w:t>
      </w:r>
      <w:r>
        <w:rPr>
          <w:rFonts w:hint="eastAsia" w:ascii="新宋体" w:hAnsi="新宋体" w:eastAsia="新宋体" w:cs="新宋体"/>
          <w:color w:val="auto"/>
          <w:highlight w:val="none"/>
          <w:u w:val="single"/>
        </w:rPr>
        <w:t>/。</w:t>
      </w:r>
    </w:p>
    <w:p w14:paraId="3C595B8A">
      <w:pPr>
        <w:spacing w:line="44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（12）项目管理机构及人员：/。</w:t>
      </w:r>
    </w:p>
    <w:p w14:paraId="2B4797B5">
      <w:pPr>
        <w:spacing w:line="440" w:lineRule="exact"/>
        <w:rPr>
          <w:rFonts w:hint="eastAsia" w:ascii="新宋体" w:hAnsi="新宋体" w:eastAsia="新宋体" w:cs="新宋体"/>
          <w:color w:val="auto"/>
          <w:highlight w:val="none"/>
          <w:u w:val="single"/>
        </w:rPr>
      </w:pPr>
      <w:r>
        <w:rPr>
          <w:rFonts w:hint="eastAsia" w:ascii="新宋体" w:hAnsi="新宋体" w:eastAsia="新宋体" w:cs="新宋体"/>
          <w:color w:val="auto"/>
          <w:highlight w:val="none"/>
        </w:rPr>
        <w:t>（13）其他要求：</w:t>
      </w:r>
      <w:r>
        <w:rPr>
          <w:rFonts w:hint="eastAsia" w:ascii="新宋体" w:hAnsi="新宋体" w:eastAsia="新宋体" w:cs="新宋体"/>
          <w:color w:val="auto"/>
          <w:highlight w:val="none"/>
          <w:u w:val="single"/>
        </w:rPr>
        <w:t>见招标公告投标人资格要求。</w:t>
      </w:r>
    </w:p>
    <w:p w14:paraId="6AB180D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1.4.2 投标人须知前附表规定接受联合体投标的，除应符合本章第1.4.1项和投标人须知前附表的要求外，还应遵守以下规定： </w:t>
      </w:r>
    </w:p>
    <w:p w14:paraId="7FDAA76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（1）联合体各方应按招标文件提供的格式签订联合体协议书，明确联合体主办人和各方权利义务；</w:t>
      </w:r>
    </w:p>
    <w:p w14:paraId="2E2E1AC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14:paraId="583AD00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（3）联合体各方不得再以自己名义单独或参加其他联合体在本招标项目中投标。</w:t>
      </w:r>
    </w:p>
    <w:p w14:paraId="65BE0863">
      <w:pPr>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1.4.3 投标人不得存在下列情形之一：</w:t>
      </w:r>
      <w:r>
        <w:rPr>
          <w:rFonts w:hint="eastAsia" w:ascii="新宋体" w:hAnsi="新宋体" w:eastAsia="新宋体" w:cs="新宋体"/>
          <w:color w:val="auto"/>
          <w:highlight w:val="none"/>
          <w:u w:val="single"/>
        </w:rPr>
        <w:t>以《投标人声明》第三点的规定为准。</w:t>
      </w:r>
    </w:p>
    <w:p w14:paraId="223B919C">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 xml:space="preserve">（1）为招标人不具有独立法人资格的附属机构（单位）； </w:t>
      </w:r>
    </w:p>
    <w:p w14:paraId="65C1E833">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（2）为招标项目前期工作提供咨询服务的；</w:t>
      </w:r>
    </w:p>
    <w:p w14:paraId="4EDFB80B">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（3）为本招标项目的监理人；</w:t>
      </w:r>
    </w:p>
    <w:p w14:paraId="4EFB0832">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 xml:space="preserve">（4）为本招标项目的代建人； </w:t>
      </w:r>
    </w:p>
    <w:p w14:paraId="63A5DC84">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 xml:space="preserve">（5）为本招标项目提供招标代理服务的； </w:t>
      </w:r>
    </w:p>
    <w:p w14:paraId="0D59E63D">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 xml:space="preserve">（6）被责令停业的； </w:t>
      </w:r>
    </w:p>
    <w:p w14:paraId="126496E9">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 xml:space="preserve">（7）被暂停或取消投标资格的； </w:t>
      </w:r>
    </w:p>
    <w:p w14:paraId="0AEBD906">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（8）财产被接管或冻结的；</w:t>
      </w:r>
    </w:p>
    <w:p w14:paraId="2ECD8957">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（9）在最近三年内有骗取中标或严重违约或重大工程质量问题的；</w:t>
      </w:r>
    </w:p>
    <w:p w14:paraId="0A5E6323">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（10）与本招标项目的监理人或代建人或招标代理机构同为一个法定代表人的；</w:t>
      </w:r>
    </w:p>
    <w:p w14:paraId="7C3D903F">
      <w:pPr>
        <w:spacing w:line="400" w:lineRule="exact"/>
        <w:ind w:firstLine="315" w:firstLineChars="150"/>
        <w:rPr>
          <w:rFonts w:hint="eastAsia" w:ascii="新宋体" w:hAnsi="新宋体" w:eastAsia="新宋体" w:cs="新宋体"/>
          <w:strike/>
          <w:color w:val="auto"/>
          <w:highlight w:val="none"/>
        </w:rPr>
      </w:pPr>
      <w:r>
        <w:rPr>
          <w:rFonts w:hint="eastAsia" w:ascii="新宋体" w:hAnsi="新宋体" w:eastAsia="新宋体" w:cs="新宋体"/>
          <w:strike/>
          <w:color w:val="auto"/>
          <w:highlight w:val="none"/>
        </w:rPr>
        <w:t>（11）与本招标项目的监理人或代建人或招标代理机构相互控股或参股的；</w:t>
      </w:r>
    </w:p>
    <w:p w14:paraId="14C53DCF">
      <w:pPr>
        <w:spacing w:line="400" w:lineRule="exact"/>
        <w:ind w:firstLine="315" w:firstLineChars="150"/>
        <w:rPr>
          <w:rFonts w:hint="eastAsia" w:ascii="新宋体" w:hAnsi="新宋体" w:eastAsia="新宋体" w:cs="新宋体"/>
          <w:color w:val="auto"/>
          <w:highlight w:val="none"/>
        </w:rPr>
      </w:pPr>
      <w:r>
        <w:rPr>
          <w:rFonts w:hint="eastAsia" w:ascii="新宋体" w:hAnsi="新宋体" w:eastAsia="新宋体" w:cs="新宋体"/>
          <w:strike/>
          <w:color w:val="auto"/>
          <w:highlight w:val="none"/>
        </w:rPr>
        <w:t>（12）与本招标项目的监理人或代建人或招标代理机构相互任职或工作的。</w:t>
      </w:r>
    </w:p>
    <w:p w14:paraId="5AEA22A4">
      <w:pPr>
        <w:spacing w:line="400" w:lineRule="exact"/>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1.4.4 单位负责人为同一人或者存在控股、管理关系的不同单位，不得同时参加本招标项目投标。</w:t>
      </w:r>
    </w:p>
    <w:p w14:paraId="3B19A45F">
      <w:pPr>
        <w:pStyle w:val="6"/>
        <w:rPr>
          <w:rFonts w:hint="eastAsia" w:ascii="宋体" w:eastAsia="宋体" w:cs="宋体"/>
          <w:color w:val="auto"/>
          <w:highlight w:val="none"/>
        </w:rPr>
      </w:pPr>
      <w:bookmarkStart w:id="74" w:name="_Toc1082"/>
      <w:r>
        <w:rPr>
          <w:rFonts w:hint="eastAsia" w:ascii="宋体" w:eastAsia="宋体" w:cs="宋体"/>
          <w:color w:val="auto"/>
          <w:highlight w:val="none"/>
        </w:rPr>
        <w:t>1.5 费用承担</w:t>
      </w:r>
      <w:bookmarkEnd w:id="68"/>
      <w:bookmarkEnd w:id="69"/>
      <w:bookmarkEnd w:id="70"/>
      <w:bookmarkEnd w:id="71"/>
      <w:bookmarkEnd w:id="72"/>
      <w:r>
        <w:rPr>
          <w:rFonts w:hint="eastAsia" w:ascii="宋体" w:eastAsia="宋体" w:cs="宋体"/>
          <w:color w:val="auto"/>
          <w:highlight w:val="none"/>
        </w:rPr>
        <w:t>和设计成果补偿</w:t>
      </w:r>
      <w:bookmarkEnd w:id="73"/>
      <w:bookmarkEnd w:id="74"/>
    </w:p>
    <w:p w14:paraId="0EE4B41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1.5.1 投标人准备和参加投标活动发生的费用自理。</w:t>
      </w:r>
    </w:p>
    <w:p w14:paraId="2F252E83">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1.5.2 招标人对符合招标文件规定的未中标人的设计成果进行补偿的，按投标人须知前附表规定给予补偿，并有权免费使用未中标人设计成果。</w:t>
      </w:r>
    </w:p>
    <w:p w14:paraId="1924C441">
      <w:pPr>
        <w:pStyle w:val="6"/>
        <w:rPr>
          <w:rFonts w:hint="eastAsia" w:ascii="宋体" w:eastAsia="宋体" w:cs="宋体"/>
          <w:color w:val="auto"/>
          <w:highlight w:val="none"/>
        </w:rPr>
      </w:pPr>
      <w:bookmarkStart w:id="75" w:name="_Toc144974504"/>
      <w:bookmarkStart w:id="76" w:name="_Toc11231"/>
      <w:bookmarkStart w:id="77" w:name="_Toc9317"/>
      <w:bookmarkStart w:id="78" w:name="_Toc247513959"/>
      <w:bookmarkStart w:id="79" w:name="_Toc152045536"/>
      <w:bookmarkStart w:id="80" w:name="_Toc152042312"/>
      <w:bookmarkStart w:id="81" w:name="_Toc247527560"/>
      <w:r>
        <w:rPr>
          <w:rFonts w:hint="eastAsia" w:ascii="宋体" w:eastAsia="宋体" w:cs="宋体"/>
          <w:color w:val="auto"/>
          <w:highlight w:val="none"/>
        </w:rPr>
        <w:t>1.6 保密</w:t>
      </w:r>
      <w:bookmarkEnd w:id="75"/>
      <w:bookmarkEnd w:id="76"/>
      <w:bookmarkEnd w:id="77"/>
      <w:bookmarkEnd w:id="78"/>
      <w:bookmarkEnd w:id="79"/>
      <w:bookmarkEnd w:id="80"/>
      <w:bookmarkEnd w:id="81"/>
    </w:p>
    <w:p w14:paraId="32C7D30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参与招标投标活动的各方应对招标文件和投标文件中的商业和技术等秘密保密，否则应承担相应的法律责任。 </w:t>
      </w:r>
    </w:p>
    <w:p w14:paraId="0725CC94">
      <w:pPr>
        <w:pStyle w:val="6"/>
        <w:rPr>
          <w:rFonts w:hint="eastAsia" w:ascii="宋体" w:eastAsia="宋体" w:cs="宋体"/>
          <w:color w:val="auto"/>
          <w:highlight w:val="none"/>
        </w:rPr>
      </w:pPr>
      <w:bookmarkStart w:id="82" w:name="_Toc144974505"/>
      <w:bookmarkStart w:id="83" w:name="_Toc152042313"/>
      <w:bookmarkStart w:id="84" w:name="_Toc247513960"/>
      <w:bookmarkStart w:id="85" w:name="_Toc4973"/>
      <w:bookmarkStart w:id="86" w:name="_Toc247527561"/>
      <w:bookmarkStart w:id="87" w:name="_Toc5470"/>
      <w:bookmarkStart w:id="88" w:name="_Toc152045537"/>
      <w:r>
        <w:rPr>
          <w:rFonts w:hint="eastAsia" w:ascii="宋体" w:eastAsia="宋体" w:cs="宋体"/>
          <w:color w:val="auto"/>
          <w:highlight w:val="none"/>
        </w:rPr>
        <w:t>1.7 语言</w:t>
      </w:r>
      <w:bookmarkEnd w:id="82"/>
      <w:r>
        <w:rPr>
          <w:rFonts w:hint="eastAsia" w:ascii="宋体" w:eastAsia="宋体" w:cs="宋体"/>
          <w:color w:val="auto"/>
          <w:highlight w:val="none"/>
        </w:rPr>
        <w:t>文字</w:t>
      </w:r>
      <w:bookmarkEnd w:id="83"/>
      <w:bookmarkEnd w:id="84"/>
      <w:bookmarkEnd w:id="85"/>
      <w:bookmarkEnd w:id="86"/>
      <w:bookmarkEnd w:id="87"/>
      <w:bookmarkEnd w:id="88"/>
    </w:p>
    <w:p w14:paraId="402E287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招标投标文件使用的语言文字为中文。专用术语使用外文的，应附有中文注释。</w:t>
      </w:r>
    </w:p>
    <w:p w14:paraId="1942135F">
      <w:pPr>
        <w:pStyle w:val="6"/>
        <w:rPr>
          <w:rFonts w:hint="eastAsia" w:ascii="宋体" w:eastAsia="宋体" w:cs="宋体"/>
          <w:color w:val="auto"/>
          <w:highlight w:val="none"/>
        </w:rPr>
      </w:pPr>
      <w:bookmarkStart w:id="89" w:name="_Toc144974506"/>
      <w:bookmarkStart w:id="90" w:name="_Toc247513961"/>
      <w:bookmarkStart w:id="91" w:name="_Toc152045538"/>
      <w:bookmarkStart w:id="92" w:name="_Toc23862"/>
      <w:bookmarkStart w:id="93" w:name="_Toc247527562"/>
      <w:bookmarkStart w:id="94" w:name="_Toc26287"/>
      <w:bookmarkStart w:id="95" w:name="_Toc152042314"/>
      <w:r>
        <w:rPr>
          <w:rFonts w:hint="eastAsia" w:ascii="宋体" w:eastAsia="宋体" w:cs="宋体"/>
          <w:color w:val="auto"/>
          <w:highlight w:val="none"/>
        </w:rPr>
        <w:t>1.8 计量单位</w:t>
      </w:r>
      <w:bookmarkEnd w:id="89"/>
      <w:bookmarkEnd w:id="90"/>
      <w:bookmarkEnd w:id="91"/>
      <w:bookmarkEnd w:id="92"/>
      <w:bookmarkEnd w:id="93"/>
      <w:bookmarkEnd w:id="94"/>
      <w:bookmarkEnd w:id="95"/>
    </w:p>
    <w:p w14:paraId="1BA96CB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所有计量均采用中华人民共和国法定计量单位。</w:t>
      </w:r>
    </w:p>
    <w:p w14:paraId="19BA2965">
      <w:pPr>
        <w:pStyle w:val="6"/>
        <w:rPr>
          <w:rFonts w:hint="eastAsia" w:ascii="宋体" w:eastAsia="宋体" w:cs="宋体"/>
          <w:color w:val="auto"/>
          <w:highlight w:val="none"/>
        </w:rPr>
      </w:pPr>
      <w:bookmarkStart w:id="96" w:name="_Toc23833"/>
      <w:bookmarkStart w:id="97" w:name="_Toc247513962"/>
      <w:bookmarkStart w:id="98" w:name="_Toc18393"/>
      <w:bookmarkStart w:id="99" w:name="_Toc152042315"/>
      <w:bookmarkStart w:id="100" w:name="_Toc152045539"/>
      <w:bookmarkStart w:id="101" w:name="_Toc247527563"/>
      <w:bookmarkStart w:id="102" w:name="_Toc144974507"/>
      <w:r>
        <w:rPr>
          <w:rFonts w:hint="eastAsia" w:ascii="宋体" w:eastAsia="宋体" w:cs="宋体"/>
          <w:color w:val="auto"/>
          <w:highlight w:val="none"/>
        </w:rPr>
        <w:t>1.9 踏勘现场</w:t>
      </w:r>
      <w:bookmarkEnd w:id="96"/>
      <w:bookmarkEnd w:id="97"/>
      <w:bookmarkEnd w:id="98"/>
      <w:bookmarkEnd w:id="99"/>
      <w:bookmarkEnd w:id="100"/>
      <w:bookmarkEnd w:id="101"/>
      <w:bookmarkEnd w:id="102"/>
    </w:p>
    <w:p w14:paraId="34D96D1A">
      <w:pPr>
        <w:spacing w:line="400" w:lineRule="exact"/>
        <w:ind w:firstLine="420" w:firstLineChars="200"/>
        <w:rPr>
          <w:rFonts w:hint="eastAsia" w:ascii="宋体" w:hAnsi="宋体" w:cs="宋体"/>
          <w:color w:val="auto"/>
          <w:highlight w:val="none"/>
        </w:rPr>
      </w:pPr>
      <w:bookmarkStart w:id="103" w:name="_Toc152045540"/>
      <w:bookmarkStart w:id="104" w:name="_Toc144974508"/>
      <w:bookmarkStart w:id="105" w:name="_Toc16251"/>
      <w:bookmarkStart w:id="106" w:name="_Toc152042316"/>
      <w:bookmarkStart w:id="107" w:name="_Toc247527564"/>
      <w:bookmarkStart w:id="108" w:name="_Toc247513963"/>
      <w:r>
        <w:rPr>
          <w:rFonts w:hint="eastAsia" w:ascii="宋体" w:hAnsi="宋体" w:cs="宋体"/>
          <w:color w:val="auto"/>
          <w:highlight w:val="none"/>
        </w:rPr>
        <w:t>1.9.1</w:t>
      </w:r>
      <w:r>
        <w:rPr>
          <w:rFonts w:hint="eastAsia" w:ascii="宋体" w:hAnsi="宋体" w:cs="宋体"/>
          <w:color w:val="auto"/>
          <w:highlight w:val="none"/>
          <w:lang w:bidi="ar"/>
        </w:rPr>
        <w:t>投标人须知前附表规定组织踏勘现场的，招标人按投标人须知前附表规定的时间、地点组织投标人踏勘项目现场。部分投标人未按时参加踏勘现场的，不影响踏勘现场的正常进行。</w:t>
      </w:r>
    </w:p>
    <w:p w14:paraId="0087C563">
      <w:pPr>
        <w:spacing w:line="400" w:lineRule="exact"/>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1.9.2投标人踏勘现场发生的费用自理。</w:t>
      </w:r>
    </w:p>
    <w:p w14:paraId="20A97927">
      <w:pPr>
        <w:spacing w:line="400" w:lineRule="exact"/>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1.9.3除招标人的原因外，投标人自行负责在踏勘现场中所发生的人员伤亡和财产损失。</w:t>
      </w:r>
    </w:p>
    <w:p w14:paraId="2D8365E9">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lang w:bidi="ar"/>
        </w:rPr>
        <w:t xml:space="preserve">1.9.4 </w:t>
      </w:r>
      <w:r>
        <w:rPr>
          <w:rFonts w:hint="eastAsia" w:ascii="宋体" w:hAnsi="宋体" w:cs="宋体"/>
          <w:color w:val="auto"/>
          <w:highlight w:val="none"/>
          <w:u w:val="single"/>
          <w:lang w:bidi="ar"/>
        </w:rPr>
        <w:t>现场由投标人自行踏勘，投标人不进行踏勘的，视为已熟知现场条件，自行承担相关风险。招标人不对投标人自行踏勘现场作出的判断和决策负责。</w:t>
      </w:r>
    </w:p>
    <w:p w14:paraId="4CA10866">
      <w:pPr>
        <w:pStyle w:val="20"/>
        <w:rPr>
          <w:color w:val="auto"/>
          <w:highlight w:val="none"/>
        </w:rPr>
      </w:pPr>
    </w:p>
    <w:p w14:paraId="01F6614E">
      <w:pPr>
        <w:spacing w:line="400" w:lineRule="exact"/>
        <w:outlineLvl w:val="2"/>
        <w:rPr>
          <w:rFonts w:hint="eastAsia" w:ascii="宋体" w:hAnsi="宋体" w:cs="宋体"/>
          <w:bCs/>
          <w:color w:val="auto"/>
          <w:sz w:val="28"/>
          <w:szCs w:val="28"/>
          <w:highlight w:val="none"/>
        </w:rPr>
      </w:pPr>
      <w:bookmarkStart w:id="109" w:name="_Toc18976"/>
      <w:r>
        <w:rPr>
          <w:rFonts w:hint="eastAsia" w:ascii="宋体" w:hAnsi="宋体" w:cs="宋体"/>
          <w:bCs/>
          <w:color w:val="auto"/>
          <w:sz w:val="28"/>
          <w:szCs w:val="28"/>
          <w:highlight w:val="none"/>
        </w:rPr>
        <w:t xml:space="preserve">1.10 </w:t>
      </w:r>
      <w:bookmarkEnd w:id="103"/>
      <w:bookmarkEnd w:id="104"/>
      <w:bookmarkEnd w:id="105"/>
      <w:bookmarkEnd w:id="106"/>
      <w:bookmarkEnd w:id="107"/>
      <w:bookmarkEnd w:id="108"/>
      <w:bookmarkStart w:id="110" w:name="_Toc16283"/>
      <w:bookmarkStart w:id="111" w:name="_Toc3889"/>
      <w:bookmarkStart w:id="112" w:name="_Toc152045541"/>
      <w:bookmarkStart w:id="113" w:name="_Toc247513964"/>
      <w:bookmarkStart w:id="114" w:name="_Toc247527565"/>
      <w:bookmarkStart w:id="115" w:name="_Toc152042317"/>
      <w:bookmarkStart w:id="116" w:name="_Toc17636"/>
      <w:bookmarkStart w:id="117" w:name="_Toc144974509"/>
      <w:r>
        <w:rPr>
          <w:rFonts w:hint="eastAsia" w:ascii="宋体" w:hAnsi="宋体" w:cs="宋体"/>
          <w:bCs/>
          <w:color w:val="auto"/>
          <w:sz w:val="28"/>
          <w:szCs w:val="28"/>
          <w:highlight w:val="none"/>
        </w:rPr>
        <w:t>投标预备会</w:t>
      </w:r>
      <w:bookmarkEnd w:id="109"/>
    </w:p>
    <w:p w14:paraId="200B720B">
      <w:pPr>
        <w:pStyle w:val="20"/>
        <w:rPr>
          <w:color w:val="auto"/>
          <w:highlight w:val="none"/>
        </w:rPr>
      </w:pPr>
    </w:p>
    <w:bookmarkEnd w:id="110"/>
    <w:bookmarkEnd w:id="111"/>
    <w:p w14:paraId="4E09A6F6">
      <w:pPr>
        <w:spacing w:line="400" w:lineRule="exact"/>
        <w:ind w:firstLine="420" w:firstLineChars="200"/>
        <w:rPr>
          <w:rFonts w:hint="eastAsia" w:ascii="宋体" w:hAnsi="宋体" w:cs="宋体"/>
          <w:color w:val="auto"/>
          <w:szCs w:val="22"/>
          <w:highlight w:val="none"/>
          <w:u w:val="single"/>
          <w:lang w:bidi="ar"/>
        </w:rPr>
      </w:pPr>
      <w:bookmarkStart w:id="118" w:name="_Toc22640"/>
      <w:bookmarkStart w:id="119" w:name="_Toc23270"/>
      <w:bookmarkStart w:id="120" w:name="_Toc2020"/>
      <w:r>
        <w:rPr>
          <w:rFonts w:hint="eastAsia" w:ascii="宋体" w:hAnsi="宋体" w:cs="宋体"/>
          <w:color w:val="auto"/>
          <w:highlight w:val="none"/>
          <w:u w:val="single"/>
        </w:rPr>
        <w:t xml:space="preserve">1.10.1 </w:t>
      </w:r>
      <w:r>
        <w:rPr>
          <w:rFonts w:hint="eastAsia" w:ascii="宋体" w:hAnsi="宋体" w:cs="宋体"/>
          <w:color w:val="auto"/>
          <w:szCs w:val="22"/>
          <w:highlight w:val="none"/>
          <w:u w:val="single"/>
          <w:lang w:bidi="ar"/>
        </w:rPr>
        <w:t>本项目不召开投标预备会。</w:t>
      </w:r>
    </w:p>
    <w:p w14:paraId="0E7334B3">
      <w:pPr>
        <w:spacing w:line="400" w:lineRule="exact"/>
        <w:ind w:firstLine="420" w:firstLineChars="200"/>
        <w:rPr>
          <w:rFonts w:hint="eastAsia" w:ascii="宋体" w:hAnsi="宋体" w:cs="宋体"/>
          <w:color w:val="auto"/>
          <w:szCs w:val="22"/>
          <w:highlight w:val="none"/>
          <w:u w:val="single"/>
          <w:lang w:bidi="ar"/>
        </w:rPr>
      </w:pPr>
      <w:r>
        <w:rPr>
          <w:rFonts w:hint="eastAsia" w:ascii="宋体" w:cs="宋体"/>
          <w:bCs/>
          <w:color w:val="auto"/>
          <w:highlight w:val="none"/>
          <w:u w:val="single"/>
        </w:rPr>
        <w:t>1.10.2</w:t>
      </w:r>
      <w:r>
        <w:rPr>
          <w:rFonts w:hint="eastAsia" w:ascii="宋体" w:hAnsi="宋体" w:cs="宋体"/>
          <w:color w:val="auto"/>
          <w:highlight w:val="none"/>
          <w:lang w:bidi="ar"/>
        </w:rPr>
        <w:t>投标人</w:t>
      </w:r>
      <w:r>
        <w:rPr>
          <w:rFonts w:hint="eastAsia" w:ascii="宋体" w:hAnsi="宋体" w:cs="宋体"/>
          <w:color w:val="auto"/>
          <w:highlight w:val="none"/>
          <w:u w:val="single"/>
          <w:lang w:bidi="ar"/>
        </w:rPr>
        <w:t>对本项目有疑问</w:t>
      </w:r>
      <w:r>
        <w:rPr>
          <w:rFonts w:hint="eastAsia" w:ascii="宋体" w:hAnsi="宋体" w:cs="宋体"/>
          <w:color w:val="auto"/>
          <w:highlight w:val="none"/>
          <w:lang w:bidi="ar"/>
        </w:rPr>
        <w:t>应在投标人须知前附表规定的时间前，</w:t>
      </w:r>
      <w:r>
        <w:rPr>
          <w:rFonts w:hint="eastAsia" w:ascii="宋体" w:hAnsi="宋体" w:cs="宋体"/>
          <w:color w:val="auto"/>
          <w:highlight w:val="none"/>
          <w:u w:val="single"/>
          <w:lang w:bidi="ar"/>
        </w:rPr>
        <w:t>通过登录广州公共资源交易中心网站交易系统将问题提交给招标人或招标代理机构。</w:t>
      </w:r>
      <w:bookmarkStart w:id="121" w:name="_Toc22325"/>
      <w:bookmarkStart w:id="122" w:name="_Toc31603"/>
      <w:bookmarkStart w:id="123" w:name="_Toc17089"/>
    </w:p>
    <w:p w14:paraId="6C61E79F">
      <w:pPr>
        <w:spacing w:line="400" w:lineRule="exact"/>
        <w:ind w:firstLine="420" w:firstLineChars="200"/>
        <w:rPr>
          <w:rFonts w:ascii="宋体" w:cs="宋体"/>
          <w:bCs/>
          <w:color w:val="auto"/>
          <w:highlight w:val="none"/>
          <w:u w:val="single"/>
        </w:rPr>
      </w:pPr>
      <w:r>
        <w:rPr>
          <w:rFonts w:hint="eastAsia" w:ascii="宋体" w:cs="宋体"/>
          <w:bCs/>
          <w:color w:val="auto"/>
          <w:highlight w:val="none"/>
          <w:u w:val="single"/>
        </w:rPr>
        <w:t>1.10.3</w:t>
      </w:r>
      <w:r>
        <w:rPr>
          <w:rFonts w:hint="eastAsia" w:ascii="宋体" w:hAnsi="宋体" w:cs="宋体"/>
          <w:color w:val="auto"/>
          <w:highlight w:val="none"/>
          <w:lang w:bidi="ar"/>
        </w:rPr>
        <w:t xml:space="preserve"> 招标人在投标人须知前附表规定的时间内，将对投标人所提问题的澄清，</w:t>
      </w:r>
      <w:r>
        <w:rPr>
          <w:rFonts w:hint="eastAsia" w:ascii="宋体" w:hAnsi="宋体" w:cs="宋体"/>
          <w:color w:val="auto"/>
          <w:highlight w:val="none"/>
          <w:u w:val="single"/>
          <w:lang w:bidi="ar"/>
        </w:rPr>
        <w:t>在广州公共资源交易网站通过项目答疑专区网上公开发布，发出即视作收到，以广州公共资源交易网站发布时间作为送达时间。无需投标人确认。投标人应自行关注，招标人不再一一通知。</w:t>
      </w:r>
      <w:r>
        <w:rPr>
          <w:rFonts w:hint="eastAsia" w:ascii="宋体" w:hAnsi="宋体" w:cs="宋体"/>
          <w:color w:val="auto"/>
          <w:highlight w:val="none"/>
          <w:lang w:bidi="ar"/>
        </w:rPr>
        <w:t>该澄清内容为招标文件的组成部分。</w:t>
      </w:r>
      <w:bookmarkEnd w:id="121"/>
      <w:bookmarkEnd w:id="122"/>
      <w:bookmarkEnd w:id="123"/>
    </w:p>
    <w:bookmarkEnd w:id="118"/>
    <w:bookmarkEnd w:id="119"/>
    <w:bookmarkEnd w:id="120"/>
    <w:p w14:paraId="588A3032">
      <w:pPr>
        <w:pStyle w:val="6"/>
        <w:rPr>
          <w:rFonts w:hint="eastAsia" w:ascii="宋体" w:eastAsia="宋体" w:cs="宋体"/>
          <w:color w:val="auto"/>
          <w:highlight w:val="none"/>
          <w:lang w:eastAsia="zh-CN"/>
        </w:rPr>
      </w:pPr>
      <w:bookmarkStart w:id="124" w:name="_Toc8871"/>
      <w:r>
        <w:rPr>
          <w:rFonts w:hint="eastAsia" w:ascii="宋体" w:eastAsia="宋体" w:cs="宋体"/>
          <w:color w:val="auto"/>
          <w:highlight w:val="none"/>
        </w:rPr>
        <w:t>1.11 分包</w:t>
      </w:r>
      <w:bookmarkEnd w:id="112"/>
      <w:bookmarkEnd w:id="113"/>
      <w:bookmarkEnd w:id="114"/>
      <w:bookmarkEnd w:id="115"/>
      <w:bookmarkEnd w:id="116"/>
      <w:bookmarkEnd w:id="117"/>
      <w:bookmarkEnd w:id="124"/>
    </w:p>
    <w:p w14:paraId="54DA9F82">
      <w:pPr>
        <w:spacing w:line="400" w:lineRule="exact"/>
        <w:ind w:firstLine="567" w:firstLineChars="270"/>
        <w:rPr>
          <w:rFonts w:hint="eastAsia" w:ascii="宋体" w:hAnsi="宋体" w:cs="宋体"/>
          <w:strike w:val="0"/>
          <w:color w:val="auto"/>
          <w:highlight w:val="none"/>
        </w:rPr>
      </w:pPr>
      <w:r>
        <w:rPr>
          <w:rFonts w:ascii="宋体" w:hAnsi="宋体" w:cs="宋体"/>
          <w:strike w:val="0"/>
          <w:color w:val="auto"/>
          <w:highlight w:val="none"/>
        </w:rPr>
        <w:t xml:space="preserve">1.11.1 </w:t>
      </w:r>
      <w:r>
        <w:rPr>
          <w:rFonts w:hint="eastAsia" w:ascii="宋体" w:hAnsi="宋体" w:cs="宋体"/>
          <w:strike w:val="0"/>
          <w:color w:val="auto"/>
          <w:highlight w:val="none"/>
        </w:rPr>
        <w:t>投标人须知前附表规定应当由分包人实施的非主体、非关键性工作，投标人应当按照第五章“招标人要求”的规定提供分包人侯选名单及其相应资料。</w:t>
      </w:r>
    </w:p>
    <w:p w14:paraId="1D277F6A">
      <w:pPr>
        <w:spacing w:line="400" w:lineRule="exact"/>
        <w:ind w:firstLine="567" w:firstLineChars="270"/>
        <w:rPr>
          <w:rFonts w:hint="eastAsia" w:ascii="宋体" w:hAnsi="宋体" w:cs="宋体"/>
          <w:strike w:val="0"/>
          <w:color w:val="auto"/>
          <w:highlight w:val="none"/>
        </w:rPr>
      </w:pPr>
      <w:r>
        <w:rPr>
          <w:rFonts w:ascii="宋体" w:hAnsi="宋体" w:cs="宋体"/>
          <w:strike w:val="0"/>
          <w:color w:val="auto"/>
          <w:highlight w:val="none"/>
        </w:rPr>
        <w:t xml:space="preserve">1.11.2 </w:t>
      </w:r>
      <w:r>
        <w:rPr>
          <w:rFonts w:hint="eastAsia" w:ascii="宋体" w:hAnsi="宋体" w:cs="宋体"/>
          <w:strike w:val="0"/>
          <w:color w:val="auto"/>
          <w:highlight w:val="none"/>
        </w:rPr>
        <w:t>投标人拟在中标后将中标项目的部分非主体、非关键性工作进行分包的，应符合投标人须知前附表规定的分包内容、分包金额和资质要求等限制性条件。</w:t>
      </w:r>
    </w:p>
    <w:p w14:paraId="63D54DAE">
      <w:pPr>
        <w:pStyle w:val="6"/>
        <w:rPr>
          <w:rFonts w:hint="eastAsia" w:ascii="宋体" w:eastAsia="宋体" w:cs="宋体"/>
          <w:color w:val="auto"/>
          <w:highlight w:val="none"/>
        </w:rPr>
      </w:pPr>
      <w:bookmarkStart w:id="125" w:name="_Toc30381"/>
      <w:bookmarkStart w:id="126" w:name="_Toc247513965"/>
      <w:bookmarkStart w:id="127" w:name="_Toc18730"/>
      <w:bookmarkStart w:id="128" w:name="_Toc247527566"/>
      <w:r>
        <w:rPr>
          <w:rFonts w:hint="eastAsia" w:ascii="宋体" w:eastAsia="宋体" w:cs="宋体"/>
          <w:color w:val="auto"/>
          <w:highlight w:val="none"/>
        </w:rPr>
        <w:t>1.12 偏离</w:t>
      </w:r>
      <w:bookmarkEnd w:id="125"/>
      <w:bookmarkEnd w:id="126"/>
      <w:bookmarkEnd w:id="127"/>
      <w:bookmarkEnd w:id="128"/>
    </w:p>
    <w:p w14:paraId="01B64D7D">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投标人须知前附表允许投标文件偏离招标文件某些要求的，偏离应当符合招标文件规定的偏离范围和幅度。</w:t>
      </w:r>
    </w:p>
    <w:p w14:paraId="6B6FA2D6">
      <w:pPr>
        <w:pStyle w:val="5"/>
        <w:rPr>
          <w:rFonts w:hint="eastAsia" w:ascii="宋体" w:hAnsi="宋体" w:eastAsia="宋体" w:cs="宋体"/>
          <w:color w:val="auto"/>
          <w:highlight w:val="none"/>
        </w:rPr>
      </w:pPr>
      <w:bookmarkStart w:id="129" w:name="_Toc6861"/>
      <w:bookmarkStart w:id="130" w:name="_Toc247527567"/>
      <w:bookmarkStart w:id="131" w:name="_Toc152042318"/>
      <w:bookmarkStart w:id="132" w:name="_Toc247513966"/>
      <w:bookmarkStart w:id="133" w:name="_Toc144974510"/>
      <w:bookmarkStart w:id="134" w:name="_Toc1073"/>
      <w:bookmarkStart w:id="135" w:name="_Toc152045542"/>
      <w:r>
        <w:rPr>
          <w:rFonts w:hint="eastAsia" w:ascii="宋体" w:hAnsi="宋体" w:eastAsia="宋体" w:cs="宋体"/>
          <w:color w:val="auto"/>
          <w:highlight w:val="none"/>
        </w:rPr>
        <w:t>2. 招标文件</w:t>
      </w:r>
      <w:bookmarkEnd w:id="129"/>
      <w:bookmarkEnd w:id="130"/>
      <w:bookmarkEnd w:id="131"/>
      <w:bookmarkEnd w:id="132"/>
      <w:bookmarkEnd w:id="133"/>
      <w:bookmarkEnd w:id="134"/>
      <w:bookmarkEnd w:id="135"/>
    </w:p>
    <w:p w14:paraId="38460168">
      <w:pPr>
        <w:pStyle w:val="6"/>
        <w:rPr>
          <w:rFonts w:hint="eastAsia" w:ascii="宋体" w:eastAsia="宋体" w:cs="宋体"/>
          <w:color w:val="auto"/>
          <w:highlight w:val="none"/>
        </w:rPr>
      </w:pPr>
      <w:bookmarkStart w:id="136" w:name="_Toc247527568"/>
      <w:bookmarkStart w:id="137" w:name="_Toc5648"/>
      <w:bookmarkStart w:id="138" w:name="_Toc144974511"/>
      <w:bookmarkStart w:id="139" w:name="_Toc152042319"/>
      <w:bookmarkStart w:id="140" w:name="_Toc30775"/>
      <w:bookmarkStart w:id="141" w:name="_Toc152045543"/>
      <w:bookmarkStart w:id="142" w:name="_Toc247513967"/>
      <w:r>
        <w:rPr>
          <w:rFonts w:hint="eastAsia" w:ascii="宋体" w:eastAsia="宋体" w:cs="宋体"/>
          <w:color w:val="auto"/>
          <w:highlight w:val="none"/>
        </w:rPr>
        <w:t>2.1 招标文件的组成</w:t>
      </w:r>
      <w:bookmarkEnd w:id="136"/>
      <w:bookmarkEnd w:id="137"/>
      <w:bookmarkEnd w:id="138"/>
      <w:bookmarkEnd w:id="139"/>
      <w:bookmarkEnd w:id="140"/>
      <w:bookmarkEnd w:id="141"/>
      <w:bookmarkEnd w:id="142"/>
    </w:p>
    <w:p w14:paraId="2ED4BFB3">
      <w:pPr>
        <w:spacing w:line="400" w:lineRule="exact"/>
        <w:rPr>
          <w:rFonts w:hint="eastAsia" w:ascii="宋体" w:hAnsi="宋体" w:cs="宋体"/>
          <w:color w:val="auto"/>
          <w:highlight w:val="none"/>
        </w:rPr>
      </w:pPr>
      <w:r>
        <w:rPr>
          <w:rFonts w:hint="eastAsia" w:ascii="宋体" w:hAnsi="宋体" w:cs="宋体"/>
          <w:color w:val="auto"/>
          <w:highlight w:val="none"/>
        </w:rPr>
        <w:t>　　本招标文件包括：</w:t>
      </w:r>
    </w:p>
    <w:p w14:paraId="15CE0083">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（1）招标公告</w:t>
      </w:r>
      <w:r>
        <w:rPr>
          <w:rFonts w:hint="eastAsia" w:ascii="新宋体" w:hAnsi="新宋体" w:eastAsia="新宋体" w:cs="新宋体"/>
          <w:strike/>
          <w:color w:val="auto"/>
          <w:highlight w:val="none"/>
        </w:rPr>
        <w:t>（或投标邀请书）</w:t>
      </w:r>
      <w:r>
        <w:rPr>
          <w:rFonts w:hint="eastAsia" w:ascii="宋体" w:hAnsi="宋体" w:cs="宋体"/>
          <w:color w:val="auto"/>
          <w:highlight w:val="none"/>
        </w:rPr>
        <w:t>；</w:t>
      </w:r>
    </w:p>
    <w:p w14:paraId="756D4B16">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（2）投标人须知；</w:t>
      </w:r>
    </w:p>
    <w:p w14:paraId="5D06034F">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（3）评标办法；</w:t>
      </w:r>
    </w:p>
    <w:p w14:paraId="70BA98D0">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（4）合同条款及格式</w:t>
      </w:r>
      <w:r>
        <w:rPr>
          <w:rFonts w:hint="eastAsia" w:ascii="宋体" w:hAnsi="宋体" w:cs="宋体"/>
          <w:color w:val="auto"/>
          <w:highlight w:val="none"/>
          <w:u w:val="single"/>
        </w:rPr>
        <w:t>(另册)；</w:t>
      </w:r>
    </w:p>
    <w:p w14:paraId="0AA7A3AE">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u w:val="single"/>
        </w:rPr>
        <w:t>招标人</w:t>
      </w:r>
      <w:r>
        <w:rPr>
          <w:rFonts w:hint="eastAsia" w:ascii="宋体" w:hAnsi="宋体" w:cs="宋体"/>
          <w:color w:val="auto"/>
          <w:highlight w:val="none"/>
        </w:rPr>
        <w:t>要求；</w:t>
      </w:r>
    </w:p>
    <w:p w14:paraId="3A9526D4">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招标人</w:t>
      </w:r>
      <w:r>
        <w:rPr>
          <w:rFonts w:hint="eastAsia" w:ascii="宋体" w:hAnsi="宋体" w:cs="宋体"/>
          <w:color w:val="auto"/>
          <w:highlight w:val="none"/>
        </w:rPr>
        <w:t>提供的资料和条件；</w:t>
      </w:r>
    </w:p>
    <w:p w14:paraId="61BF72A0">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（7）投标文件格式；</w:t>
      </w:r>
    </w:p>
    <w:p w14:paraId="7D67A6D8">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（8）投标人须知前附表规定的其他资料。</w:t>
      </w:r>
    </w:p>
    <w:p w14:paraId="433AC1D4">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rPr>
        <w:t>根据本章第1.10款、第2.2款和第2.3款对招标文件所作的澄清、修改，构成招标文件的组成部分。当招标文件的澄清、修改等在同一内容的表述不一致时，以最后发出的书面文件为准</w:t>
      </w:r>
      <w:r>
        <w:rPr>
          <w:rFonts w:hint="eastAsia" w:ascii="宋体" w:hAnsi="宋体" w:cs="宋体"/>
          <w:color w:val="auto"/>
          <w:highlight w:val="none"/>
          <w:lang w:eastAsia="zh-CN"/>
        </w:rPr>
        <w:t>。</w:t>
      </w:r>
    </w:p>
    <w:p w14:paraId="581437C4">
      <w:pPr>
        <w:spacing w:line="400" w:lineRule="exact"/>
        <w:ind w:firstLine="420" w:firstLineChars="200"/>
        <w:rPr>
          <w:rFonts w:hint="eastAsia" w:ascii="宋体" w:hAnsi="宋体" w:cs="宋体"/>
          <w:color w:val="auto"/>
          <w:highlight w:val="none"/>
          <w:u w:val="single"/>
          <w:lang w:eastAsia="zh-CN"/>
        </w:rPr>
      </w:pPr>
      <w:r>
        <w:rPr>
          <w:rFonts w:hint="eastAsia" w:ascii="宋体" w:hAnsi="宋体" w:cs="宋体"/>
          <w:color w:val="auto"/>
          <w:highlight w:val="none"/>
          <w:u w:val="single"/>
          <w:lang w:eastAsia="zh-CN"/>
        </w:rPr>
        <w:t>2.1.1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64688C35">
      <w:pPr>
        <w:spacing w:line="400" w:lineRule="exact"/>
        <w:ind w:firstLine="420" w:firstLineChars="200"/>
        <w:rPr>
          <w:rFonts w:hint="eastAsia" w:ascii="宋体" w:hAnsi="宋体" w:cs="宋体"/>
          <w:color w:val="auto"/>
          <w:highlight w:val="none"/>
          <w:u w:val="single"/>
          <w:lang w:eastAsia="zh-CN"/>
        </w:rPr>
      </w:pPr>
      <w:r>
        <w:rPr>
          <w:rFonts w:hint="eastAsia" w:ascii="宋体" w:hAnsi="宋体" w:cs="宋体"/>
          <w:color w:val="auto"/>
          <w:highlight w:val="none"/>
          <w:u w:val="single"/>
          <w:lang w:eastAsia="zh-CN"/>
        </w:rPr>
        <w:t>2.1.2投标人一旦中标，招标文件的内容对招标人和中标人双方均有约束力。</w:t>
      </w:r>
    </w:p>
    <w:p w14:paraId="18003D89">
      <w:pPr>
        <w:spacing w:line="400" w:lineRule="exact"/>
        <w:ind w:firstLine="420" w:firstLineChars="200"/>
        <w:rPr>
          <w:rFonts w:hint="eastAsia" w:ascii="宋体" w:hAnsi="宋体" w:cs="宋体"/>
          <w:color w:val="auto"/>
          <w:highlight w:val="none"/>
          <w:u w:val="single"/>
          <w:lang w:eastAsia="zh-CN"/>
        </w:rPr>
      </w:pPr>
      <w:r>
        <w:rPr>
          <w:rFonts w:hint="eastAsia" w:ascii="宋体" w:hAnsi="宋体" w:cs="宋体"/>
          <w:color w:val="auto"/>
          <w:highlight w:val="none"/>
          <w:u w:val="single"/>
          <w:lang w:eastAsia="zh-CN"/>
        </w:rPr>
        <w:t>2.1.3发布招标公告的同时，通过广州公共资源交易中心网站发布电子招标文件、招标控制价。</w:t>
      </w:r>
    </w:p>
    <w:p w14:paraId="185A59D7">
      <w:pPr>
        <w:spacing w:line="400" w:lineRule="exact"/>
        <w:ind w:firstLine="420" w:firstLineChars="200"/>
        <w:rPr>
          <w:rFonts w:hint="eastAsia" w:ascii="宋体" w:hAnsi="宋体" w:cs="宋体"/>
          <w:color w:val="auto"/>
          <w:highlight w:val="none"/>
          <w:u w:val="single"/>
          <w:lang w:eastAsia="zh-CN"/>
        </w:rPr>
      </w:pPr>
      <w:r>
        <w:rPr>
          <w:rFonts w:hint="eastAsia" w:ascii="宋体" w:hAnsi="宋体" w:cs="宋体"/>
          <w:color w:val="auto"/>
          <w:highlight w:val="none"/>
          <w:u w:val="single"/>
          <w:lang w:eastAsia="zh-CN"/>
        </w:rPr>
        <w:t>2.1.4招标文件一经在广州公共资源交易中心网站发布，视作已发放给所有投标人。</w:t>
      </w:r>
    </w:p>
    <w:p w14:paraId="13C92E56">
      <w:pPr>
        <w:spacing w:line="400" w:lineRule="exact"/>
        <w:ind w:firstLine="420" w:firstLineChars="200"/>
        <w:rPr>
          <w:rFonts w:hint="eastAsia" w:ascii="宋体" w:hAnsi="宋体" w:eastAsia="宋体" w:cs="宋体"/>
          <w:color w:val="auto"/>
          <w:highlight w:val="none"/>
          <w:lang w:eastAsia="zh-CN"/>
        </w:rPr>
      </w:pPr>
    </w:p>
    <w:p w14:paraId="35C33AC1">
      <w:pPr>
        <w:pStyle w:val="6"/>
        <w:rPr>
          <w:rFonts w:hint="eastAsia" w:ascii="宋体" w:eastAsia="宋体" w:cs="宋体"/>
          <w:color w:val="auto"/>
          <w:highlight w:val="none"/>
        </w:rPr>
      </w:pPr>
      <w:bookmarkStart w:id="143" w:name="_Toc152045544"/>
      <w:bookmarkStart w:id="144" w:name="_Toc144974512"/>
      <w:bookmarkStart w:id="145" w:name="_Toc152042320"/>
      <w:bookmarkStart w:id="146" w:name="_Toc247527569"/>
      <w:bookmarkStart w:id="147" w:name="_Toc30434"/>
      <w:bookmarkStart w:id="148" w:name="_Toc247513968"/>
      <w:bookmarkStart w:id="149" w:name="_Toc21684"/>
      <w:r>
        <w:rPr>
          <w:rFonts w:hint="eastAsia" w:ascii="宋体" w:eastAsia="宋体" w:cs="宋体"/>
          <w:color w:val="auto"/>
          <w:highlight w:val="none"/>
        </w:rPr>
        <w:t>2.2 招标文件的澄清</w:t>
      </w:r>
      <w:bookmarkEnd w:id="143"/>
      <w:bookmarkEnd w:id="144"/>
      <w:bookmarkEnd w:id="145"/>
      <w:bookmarkEnd w:id="146"/>
      <w:bookmarkEnd w:id="147"/>
      <w:bookmarkEnd w:id="148"/>
      <w:bookmarkEnd w:id="149"/>
    </w:p>
    <w:p w14:paraId="679231A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2.2.1 投标人应仔细阅读和检查招标文件的全部内容。</w:t>
      </w:r>
      <w:r>
        <w:rPr>
          <w:rFonts w:hint="eastAsia" w:ascii="宋体" w:hAnsi="宋体" w:cs="宋体"/>
          <w:color w:val="auto"/>
          <w:szCs w:val="21"/>
          <w:highlight w:val="none"/>
        </w:rPr>
        <w:t>如发现缺页或附件不全，应及时向招标人提出，以便补齐。</w:t>
      </w:r>
      <w:r>
        <w:rPr>
          <w:rFonts w:hint="eastAsia" w:ascii="宋体" w:hAnsi="宋体" w:cs="宋体"/>
          <w:color w:val="auto"/>
          <w:highlight w:val="none"/>
        </w:rPr>
        <w:t>如有疑问，应在投标人须知前附表规定的时间前</w:t>
      </w:r>
      <w:r>
        <w:rPr>
          <w:rFonts w:hint="eastAsia" w:ascii="宋体" w:hAnsi="宋体" w:cs="宋体"/>
          <w:color w:val="auto"/>
          <w:highlight w:val="none"/>
          <w:u w:val="single"/>
        </w:rPr>
        <w:t>通过广州公共资源交易中心网站进入提问区域将问题提交给招标人或招标代理人</w:t>
      </w:r>
      <w:r>
        <w:rPr>
          <w:rFonts w:hint="eastAsia" w:ascii="宋体" w:hAnsi="宋体" w:cs="宋体"/>
          <w:color w:val="auto"/>
          <w:highlight w:val="none"/>
        </w:rPr>
        <w:t>，要求招标人对招标文件予以澄清。</w:t>
      </w:r>
    </w:p>
    <w:p w14:paraId="1E02FE3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2.2.2 招标文件的澄清在</w:t>
      </w:r>
      <w:r>
        <w:rPr>
          <w:rFonts w:hint="eastAsia" w:ascii="宋体" w:hAnsi="宋体" w:cs="宋体"/>
          <w:color w:val="auto"/>
          <w:highlight w:val="none"/>
          <w:u w:val="single"/>
        </w:rPr>
        <w:t>广州公共资源交易中心网站发布</w:t>
      </w:r>
      <w:r>
        <w:rPr>
          <w:rFonts w:hint="eastAsia" w:ascii="宋体" w:hAnsi="宋体" w:cs="宋体"/>
          <w:color w:val="auto"/>
          <w:highlight w:val="none"/>
        </w:rPr>
        <w:t>发给所有投标人，但不指明澄清问题的来源。澄清发出的时间距投标人须知前附表规定的投标截止时间不足15天的，并且澄清内容影响投标文件编制的，将相应延长投标截止时间。</w:t>
      </w:r>
    </w:p>
    <w:p w14:paraId="234A5C4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2.2.3 </w:t>
      </w:r>
      <w:r>
        <w:rPr>
          <w:rFonts w:hint="eastAsia" w:ascii="宋体" w:hAnsi="宋体" w:cs="宋体"/>
          <w:color w:val="auto"/>
          <w:highlight w:val="none"/>
          <w:u w:val="single"/>
        </w:rPr>
        <w:t>招标文件澄清在交易平台网站通过项目答疑专区网上公开发布，发出即视作收到，以交易平台网站发布时间作为送达时间。无需投标人确认。投标人应自行关注，招标人不再一一通知</w:t>
      </w:r>
      <w:r>
        <w:rPr>
          <w:rFonts w:hint="eastAsia" w:ascii="宋体" w:hAnsi="宋体" w:cs="宋体"/>
          <w:color w:val="auto"/>
          <w:highlight w:val="none"/>
        </w:rPr>
        <w:t>。</w:t>
      </w:r>
    </w:p>
    <w:p w14:paraId="195F985A">
      <w:pPr>
        <w:pStyle w:val="6"/>
        <w:rPr>
          <w:rFonts w:hint="eastAsia" w:ascii="宋体" w:eastAsia="宋体" w:cs="宋体"/>
          <w:color w:val="auto"/>
          <w:highlight w:val="none"/>
        </w:rPr>
      </w:pPr>
      <w:bookmarkStart w:id="150" w:name="_Toc17584"/>
      <w:bookmarkStart w:id="151" w:name="_Toc152045545"/>
      <w:bookmarkStart w:id="152" w:name="_Toc247527570"/>
      <w:bookmarkStart w:id="153" w:name="_Toc144974513"/>
      <w:bookmarkStart w:id="154" w:name="_Toc152042321"/>
      <w:bookmarkStart w:id="155" w:name="_Toc247513969"/>
      <w:bookmarkStart w:id="156" w:name="_Toc6494"/>
      <w:r>
        <w:rPr>
          <w:rFonts w:hint="eastAsia" w:ascii="宋体" w:eastAsia="宋体" w:cs="宋体"/>
          <w:color w:val="auto"/>
          <w:highlight w:val="none"/>
        </w:rPr>
        <w:t>2.3 招标文件的修改</w:t>
      </w:r>
      <w:bookmarkEnd w:id="150"/>
      <w:bookmarkEnd w:id="151"/>
      <w:bookmarkEnd w:id="152"/>
      <w:bookmarkEnd w:id="153"/>
      <w:bookmarkEnd w:id="154"/>
      <w:bookmarkEnd w:id="155"/>
      <w:bookmarkEnd w:id="156"/>
    </w:p>
    <w:p w14:paraId="3F436F3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2.3.1 招标人</w:t>
      </w:r>
      <w:r>
        <w:rPr>
          <w:rFonts w:hint="eastAsia" w:ascii="宋体" w:hAnsi="宋体" w:cs="宋体"/>
          <w:color w:val="auto"/>
          <w:highlight w:val="none"/>
          <w:u w:val="single"/>
        </w:rPr>
        <w:t>在交易平台网站发布</w:t>
      </w:r>
      <w:r>
        <w:rPr>
          <w:rFonts w:hint="eastAsia" w:ascii="宋体" w:hAnsi="宋体" w:cs="宋体"/>
          <w:color w:val="auto"/>
          <w:highlight w:val="none"/>
        </w:rPr>
        <w:t xml:space="preserve">形式修改招标文件。修改招标文件的时间距投标人须知前附表规定的投标截止时间不足15天的，并且澄清内容影响投标文件编制的，将相应延长投标截止时间。 </w:t>
      </w:r>
    </w:p>
    <w:p w14:paraId="691AA28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2.3.2 </w:t>
      </w:r>
      <w:r>
        <w:rPr>
          <w:rFonts w:hint="eastAsia" w:ascii="宋体" w:hAnsi="宋体" w:cs="宋体"/>
          <w:color w:val="auto"/>
          <w:highlight w:val="none"/>
          <w:u w:val="single"/>
        </w:rPr>
        <w:t>招标文件</w:t>
      </w:r>
      <w:r>
        <w:rPr>
          <w:rFonts w:hint="eastAsia" w:ascii="宋体" w:hAnsi="宋体" w:cs="宋体"/>
          <w:color w:val="auto"/>
          <w:szCs w:val="21"/>
          <w:highlight w:val="none"/>
          <w:u w:val="single"/>
        </w:rPr>
        <w:t>修改</w:t>
      </w:r>
      <w:r>
        <w:rPr>
          <w:rFonts w:hint="eastAsia" w:ascii="宋体" w:hAnsi="宋体" w:cs="宋体"/>
          <w:color w:val="auto"/>
          <w:highlight w:val="none"/>
          <w:u w:val="single"/>
        </w:rPr>
        <w:t>（或补充公告）一经在交易平台网站发布，视作已发放给所有投标人，以交易平台网站发布时间作为送达时间。无需投标人确认。投标人应自行关注，招标人不再一一通知</w:t>
      </w:r>
      <w:r>
        <w:rPr>
          <w:rFonts w:hint="eastAsia" w:ascii="宋体" w:hAnsi="宋体" w:cs="宋体"/>
          <w:color w:val="auto"/>
          <w:highlight w:val="none"/>
        </w:rPr>
        <w:t>。</w:t>
      </w:r>
    </w:p>
    <w:p w14:paraId="12F42C7F">
      <w:pPr>
        <w:spacing w:line="400" w:lineRule="exact"/>
        <w:ind w:firstLine="42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2.3.3招标文件的修改均以广州公共资源交易中心网站发布的内容为准。当招标文件的修改在同一内容的表述不一致时，以广州公共资源交易中心网站最后发布的内容为准。</w:t>
      </w:r>
    </w:p>
    <w:p w14:paraId="0200C8B6">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u w:val="single"/>
        </w:rPr>
        <w:t>2.3.4为使投标人在编制投标文件时有充分的时间对招标文件的修改、补充等内容考虑进去，招标人将酌情延长提交投标文件的截止时间，具体时间将在招标文件的修改、补充通知中予以明确。若通知中没有明确延长时间，即表示投标时间不延长。</w:t>
      </w:r>
    </w:p>
    <w:p w14:paraId="00002AD7">
      <w:pPr>
        <w:pStyle w:val="5"/>
        <w:rPr>
          <w:rFonts w:hint="eastAsia" w:ascii="宋体" w:hAnsi="宋体" w:eastAsia="宋体" w:cs="宋体"/>
          <w:color w:val="auto"/>
          <w:highlight w:val="none"/>
        </w:rPr>
      </w:pPr>
      <w:bookmarkStart w:id="157" w:name="_Toc152045546"/>
      <w:bookmarkStart w:id="158" w:name="_Toc144974514"/>
      <w:bookmarkStart w:id="159" w:name="_Toc247513970"/>
      <w:bookmarkStart w:id="160" w:name="_Toc152042322"/>
      <w:bookmarkStart w:id="161" w:name="_Toc31093"/>
      <w:bookmarkStart w:id="162" w:name="_Toc247527571"/>
      <w:bookmarkStart w:id="163" w:name="_Toc2660"/>
      <w:r>
        <w:rPr>
          <w:rFonts w:hint="eastAsia" w:ascii="宋体" w:hAnsi="宋体" w:eastAsia="宋体" w:cs="宋体"/>
          <w:color w:val="auto"/>
          <w:highlight w:val="none"/>
        </w:rPr>
        <w:t>3. 投标文件</w:t>
      </w:r>
      <w:bookmarkEnd w:id="157"/>
      <w:bookmarkEnd w:id="158"/>
      <w:bookmarkEnd w:id="159"/>
      <w:bookmarkEnd w:id="160"/>
      <w:bookmarkEnd w:id="161"/>
      <w:bookmarkEnd w:id="162"/>
      <w:bookmarkEnd w:id="163"/>
    </w:p>
    <w:p w14:paraId="7462C6AF">
      <w:pPr>
        <w:pStyle w:val="6"/>
        <w:ind w:firstLine="103"/>
        <w:rPr>
          <w:rFonts w:hint="eastAsia" w:ascii="宋体" w:eastAsia="宋体" w:cs="宋体"/>
          <w:color w:val="auto"/>
          <w:sz w:val="21"/>
          <w:szCs w:val="21"/>
          <w:highlight w:val="none"/>
        </w:rPr>
      </w:pPr>
      <w:bookmarkStart w:id="164" w:name="_Toc247527572"/>
      <w:bookmarkStart w:id="165" w:name="_Toc21008"/>
      <w:bookmarkStart w:id="166" w:name="_Toc247513971"/>
      <w:bookmarkStart w:id="167" w:name="_Toc144974515"/>
      <w:bookmarkStart w:id="168" w:name="_Toc152042323"/>
      <w:bookmarkStart w:id="169" w:name="_Toc29607"/>
      <w:bookmarkStart w:id="170" w:name="_Toc152045547"/>
      <w:r>
        <w:rPr>
          <w:rFonts w:hint="eastAsia" w:ascii="宋体" w:eastAsia="宋体" w:cs="宋体"/>
          <w:color w:val="auto"/>
          <w:sz w:val="21"/>
          <w:szCs w:val="21"/>
          <w:highlight w:val="none"/>
        </w:rPr>
        <w:t>3.1 投标文件的组成</w:t>
      </w:r>
      <w:bookmarkEnd w:id="164"/>
      <w:bookmarkEnd w:id="165"/>
      <w:bookmarkEnd w:id="166"/>
      <w:bookmarkEnd w:id="167"/>
      <w:bookmarkEnd w:id="168"/>
      <w:bookmarkEnd w:id="169"/>
      <w:bookmarkEnd w:id="170"/>
    </w:p>
    <w:p w14:paraId="2DC3FC0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w:t>
      </w:r>
      <w:r>
        <w:rPr>
          <w:rFonts w:hint="eastAsia" w:ascii="宋体" w:hAnsi="宋体" w:cs="宋体"/>
          <w:color w:val="auto"/>
          <w:szCs w:val="21"/>
          <w:highlight w:val="none"/>
          <w:u w:val="single"/>
        </w:rPr>
        <w:t>3.1.1投标文件由资格审查文件、设计方案、工程承包实施方案三部分组成，各部分投标文件应分别编制。如招标文件没有格式规定的，由投标人自行编制。</w:t>
      </w:r>
    </w:p>
    <w:p w14:paraId="0C6F7C6D">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3.1.2资格审查文件</w:t>
      </w:r>
    </w:p>
    <w:p w14:paraId="56068F69">
      <w:pPr>
        <w:numPr>
          <w:ilvl w:val="0"/>
          <w:numId w:val="1"/>
        </w:num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封面</w:t>
      </w:r>
    </w:p>
    <w:p w14:paraId="68658CE2">
      <w:pPr>
        <w:numPr>
          <w:ilvl w:val="0"/>
          <w:numId w:val="1"/>
        </w:num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目录</w:t>
      </w:r>
    </w:p>
    <w:p w14:paraId="6B58BA62">
      <w:pPr>
        <w:numPr>
          <w:ilvl w:val="0"/>
          <w:numId w:val="1"/>
        </w:num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投标单位法定代表人证明书及法人授权委托证明书</w:t>
      </w:r>
      <w:r>
        <w:rPr>
          <w:rFonts w:hint="eastAsia" w:ascii="宋体" w:hAnsi="宋体" w:cs="宋体"/>
          <w:color w:val="auto"/>
          <w:szCs w:val="21"/>
          <w:highlight w:val="none"/>
          <w:u w:val="single"/>
          <w:lang w:val="zh-CN"/>
        </w:rPr>
        <w:t>（</w:t>
      </w:r>
      <w:r>
        <w:rPr>
          <w:rFonts w:hint="eastAsia" w:ascii="宋体" w:hAnsi="宋体" w:cs="宋体"/>
          <w:color w:val="auto"/>
          <w:szCs w:val="21"/>
          <w:highlight w:val="none"/>
          <w:u w:val="single"/>
        </w:rPr>
        <w:t>按招标文件格式1要求填写)；</w:t>
      </w:r>
    </w:p>
    <w:p w14:paraId="0464B8F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（4）企业营业执照（联合体投标的，联合体各方均提供）；</w:t>
      </w:r>
    </w:p>
    <w:p w14:paraId="4239EE4D">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（5）资质证书（联合体投标的，联合体各方均提供）；</w:t>
      </w:r>
    </w:p>
    <w:p w14:paraId="3E70B92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（6）安全生产许可证（联合体投标的，联合体主办方提供）；</w:t>
      </w:r>
    </w:p>
    <w:p w14:paraId="3569FEEE">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（7）项目负责人（兼施工项目负责人）的建造师注册证书（以投标登记时选取的项目负责人为准），有效期内的</w:t>
      </w:r>
      <w:bookmarkStart w:id="171" w:name="OLE_LINK2"/>
      <w:r>
        <w:rPr>
          <w:rFonts w:hint="eastAsia" w:ascii="宋体" w:hAnsi="宋体" w:cs="宋体"/>
          <w:color w:val="auto"/>
          <w:szCs w:val="21"/>
          <w:highlight w:val="none"/>
          <w:u w:val="single"/>
        </w:rPr>
        <w:t>安全生产考核合格证</w:t>
      </w:r>
      <w:bookmarkEnd w:id="171"/>
      <w:r>
        <w:rPr>
          <w:rFonts w:hint="eastAsia" w:ascii="宋体" w:hAnsi="宋体" w:cs="宋体"/>
          <w:color w:val="auto"/>
          <w:szCs w:val="21"/>
          <w:highlight w:val="none"/>
          <w:u w:val="single"/>
        </w:rPr>
        <w:t xml:space="preserve">（B类），或能够提供广东省建筑施工企业管理人员安全生产考核信息系统安全生产管理人员证书信息； </w:t>
      </w:r>
    </w:p>
    <w:p w14:paraId="14736799">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（8）设计负责人（联合体设计成员提供）的执业证书或职称证书（以投标登记时选取的设计负责人为准）；</w:t>
      </w:r>
    </w:p>
    <w:p w14:paraId="7E6B3059">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（9）投标人（或联合体主办方）拟派技术负责人职称证书；</w:t>
      </w:r>
    </w:p>
    <w:p w14:paraId="6C2CD9B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10）投标人（或联合体主办方）拟派专职安全员须具有在有效期内安全生产考核合格证（C证），或能够提供广东省建筑施工企业管理人员安全生产考核信息系统安全生产管理人员证书信息（以投标登记时选取的专职安全员为准）；</w:t>
      </w:r>
    </w:p>
    <w:p w14:paraId="2F2E7BAF">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（11）按招标公告附件一盖章签署的《投标人声明》；</w:t>
      </w:r>
    </w:p>
    <w:p w14:paraId="7DB96782">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（12）按招标公告附件二盖章签署的联合体投标协议书（如有）； </w:t>
      </w:r>
    </w:p>
    <w:p w14:paraId="3990D12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13）资格审查前，投标人（含联合体各方）须建立企业信用档案及拟担任本工程项目负责人（兼施工负责人）、设计负责人、专职安全员须是投标人企业信用档案中的在册人员（联合体投标的，人员在册情况为联合体协议分工对应企业库内信息）（需提供广州市住房和城乡建设局企业信用档案信息库内信息的网上打印页）。</w:t>
      </w:r>
    </w:p>
    <w:p w14:paraId="6A39E0E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（14）投标人认为应该提供的其他资料</w:t>
      </w:r>
    </w:p>
    <w:p w14:paraId="1EAAEF25">
      <w:pPr>
        <w:snapToGrid w:val="0"/>
        <w:spacing w:line="360" w:lineRule="auto"/>
        <w:ind w:firstLine="420" w:firstLineChars="200"/>
        <w:rPr>
          <w:rFonts w:hint="eastAsia" w:ascii="宋体" w:hAnsi="宋体" w:cs="宋体"/>
          <w:color w:val="auto"/>
          <w:szCs w:val="21"/>
          <w:highlight w:val="none"/>
          <w:u w:val="single"/>
        </w:rPr>
      </w:pPr>
      <w:r>
        <w:rPr>
          <w:rFonts w:ascii="宋体" w:hAnsi="宋体" w:cs="宋体"/>
          <w:color w:val="auto"/>
          <w:szCs w:val="21"/>
          <w:highlight w:val="none"/>
          <w:u w:val="single"/>
        </w:rPr>
        <w:t>3.1.3设计方案（采用“暗标”形式，</w:t>
      </w:r>
      <w:r>
        <w:rPr>
          <w:rFonts w:ascii="宋体" w:hAnsi="宋体" w:cs="宋体"/>
          <w:color w:val="auto"/>
          <w:szCs w:val="21"/>
          <w:highlight w:val="none"/>
          <w:u w:val="single"/>
        </w:rPr>
        <w:t>文件大小不得超过500M）</w:t>
      </w:r>
    </w:p>
    <w:p w14:paraId="0919755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设计方案中不得出现可以辨认投标人及专业技术人员身份的名称、印章、商标、图形等记认符号，也不得通过明标、暗标中包含的相同内容（如报价等）互相印证、辨认投标人身份。内容包括：</w:t>
      </w:r>
    </w:p>
    <w:p w14:paraId="70D1731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（1）封面：</w:t>
      </w:r>
      <w:r>
        <w:rPr>
          <w:rFonts w:hint="eastAsia" w:ascii="宋体" w:hAnsi="宋体" w:cs="宋体"/>
          <w:b/>
          <w:bCs/>
          <w:color w:val="auto"/>
          <w:szCs w:val="21"/>
          <w:highlight w:val="none"/>
          <w:u w:val="single"/>
        </w:rPr>
        <w:t>标明项目名称、“投标文件（设计方案部分）”字样、编制时间</w:t>
      </w:r>
    </w:p>
    <w:p w14:paraId="08CE31A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（2）目录</w:t>
      </w:r>
    </w:p>
    <w:p w14:paraId="58C5234D">
      <w:pPr>
        <w:snapToGrid w:val="0"/>
        <w:spacing w:line="360" w:lineRule="auto"/>
        <w:ind w:firstLine="420" w:firstLineChars="200"/>
        <w:rPr>
          <w:rFonts w:hint="eastAsia" w:ascii="宋体" w:hAnsi="宋体" w:cs="宋体"/>
          <w:dstrike/>
          <w:color w:val="auto"/>
          <w:szCs w:val="21"/>
          <w:highlight w:val="none"/>
          <w:u w:val="single"/>
        </w:rPr>
      </w:pPr>
      <w:r>
        <w:rPr>
          <w:rFonts w:hint="eastAsia" w:ascii="宋体" w:hAnsi="宋体" w:cs="宋体"/>
          <w:color w:val="auto"/>
          <w:szCs w:val="21"/>
          <w:highlight w:val="none"/>
          <w:u w:val="single"/>
        </w:rPr>
        <w:t>（3）设计方案</w:t>
      </w:r>
    </w:p>
    <w:p w14:paraId="2E3EEB6B">
      <w:pPr>
        <w:snapToGrid w:val="0"/>
        <w:spacing w:line="360" w:lineRule="auto"/>
        <w:ind w:firstLine="420" w:firstLineChars="200"/>
        <w:rPr>
          <w:rFonts w:hint="eastAsia" w:ascii="宋体" w:hAnsi="宋体" w:cs="宋体"/>
          <w:color w:val="auto"/>
          <w:szCs w:val="21"/>
          <w:highlight w:val="none"/>
          <w:u w:val="single"/>
        </w:rPr>
      </w:pPr>
      <w:bookmarkStart w:id="172" w:name="_Toc32322"/>
      <w:bookmarkStart w:id="173" w:name="_Toc152042324"/>
      <w:bookmarkStart w:id="174" w:name="_Toc144974516"/>
      <w:bookmarkStart w:id="175" w:name="_Toc247513972"/>
      <w:bookmarkStart w:id="176" w:name="_Toc152045548"/>
      <w:bookmarkStart w:id="177" w:name="_Toc247527573"/>
      <w:r>
        <w:rPr>
          <w:rFonts w:hint="eastAsia" w:ascii="宋体" w:hAnsi="宋体" w:cs="宋体"/>
          <w:color w:val="auto"/>
          <w:szCs w:val="21"/>
          <w:highlight w:val="none"/>
          <w:u w:val="single"/>
        </w:rPr>
        <w:t>3.1.4工程承包实施方案（包括但不限于以下内容：）</w:t>
      </w:r>
    </w:p>
    <w:p w14:paraId="79D18517">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（1）封面</w:t>
      </w:r>
    </w:p>
    <w:p w14:paraId="7DD0D0E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（2）目录</w:t>
      </w:r>
    </w:p>
    <w:p w14:paraId="7BFE417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（3）投标书(按招标文件格式2要求填写)</w:t>
      </w:r>
    </w:p>
    <w:p w14:paraId="4157FBB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w:t>
      </w:r>
      <w:r>
        <w:rPr>
          <w:rFonts w:ascii="宋体" w:hAnsi="宋体" w:cs="宋体"/>
          <w:color w:val="auto"/>
          <w:szCs w:val="21"/>
          <w:highlight w:val="none"/>
          <w:u w:val="single"/>
        </w:rPr>
        <w:t>投标人基本情况表（按招标文件格式</w:t>
      </w:r>
      <w:r>
        <w:rPr>
          <w:rFonts w:hint="eastAsia" w:ascii="宋体" w:hAnsi="宋体" w:cs="宋体"/>
          <w:color w:val="auto"/>
          <w:szCs w:val="21"/>
          <w:highlight w:val="none"/>
          <w:u w:val="single"/>
        </w:rPr>
        <w:t>3</w:t>
      </w:r>
      <w:r>
        <w:rPr>
          <w:rFonts w:ascii="宋体" w:hAnsi="宋体" w:cs="宋体"/>
          <w:color w:val="auto"/>
          <w:szCs w:val="21"/>
          <w:highlight w:val="none"/>
          <w:u w:val="single"/>
        </w:rPr>
        <w:t>要求填写)</w:t>
      </w:r>
    </w:p>
    <w:p w14:paraId="6C70EE7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（5）投标承诺函（按招标文件格式4要求填写)</w:t>
      </w:r>
    </w:p>
    <w:p w14:paraId="62EEC8EE">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(6)企业资信实力（如有，按评分表要求提供）</w:t>
      </w:r>
    </w:p>
    <w:p w14:paraId="3358486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A.企业业绩资料（按招标文件格式5要求填写)</w:t>
      </w:r>
    </w:p>
    <w:p w14:paraId="6149250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B.企业获奖资料（按招标文件格式6要求填写)</w:t>
      </w:r>
    </w:p>
    <w:p w14:paraId="075D59A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C.第三方评价资料</w:t>
      </w:r>
    </w:p>
    <w:p w14:paraId="3FBCFA6D">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（7）项目管理机构配备表（按招标文件格式7要求填写)</w:t>
      </w:r>
    </w:p>
    <w:p w14:paraId="6EAE75D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（8）工程承包实施方案（投标人在编制施工组织设计或施工方案时应按照招标人提出的施工现场建筑垃圾源头减量的具体要求以及建筑垃圾综合利用产品的使用要求提供相应措施。）</w:t>
      </w:r>
    </w:p>
    <w:p w14:paraId="1E36CCBD">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（9）投标文件编制人员名单（按招标文件提供的格式8填写）；</w:t>
      </w:r>
    </w:p>
    <w:p w14:paraId="7321D9FF">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（10）投标人认为应该提供的其他资料。</w:t>
      </w:r>
    </w:p>
    <w:p w14:paraId="5E8CB88F">
      <w:pPr>
        <w:pStyle w:val="6"/>
        <w:rPr>
          <w:rFonts w:hint="eastAsia" w:ascii="宋体" w:eastAsia="宋体" w:cs="宋体"/>
          <w:color w:val="auto"/>
          <w:highlight w:val="none"/>
        </w:rPr>
      </w:pPr>
      <w:bookmarkStart w:id="178" w:name="_Toc1915"/>
      <w:r>
        <w:rPr>
          <w:rFonts w:hint="eastAsia" w:ascii="宋体" w:eastAsia="宋体" w:cs="宋体"/>
          <w:color w:val="auto"/>
          <w:highlight w:val="none"/>
        </w:rPr>
        <w:t>3.2 投标报价</w:t>
      </w:r>
      <w:bookmarkEnd w:id="172"/>
      <w:bookmarkEnd w:id="173"/>
      <w:bookmarkEnd w:id="174"/>
      <w:bookmarkEnd w:id="175"/>
      <w:bookmarkEnd w:id="176"/>
      <w:bookmarkEnd w:id="177"/>
      <w:bookmarkEnd w:id="178"/>
      <w:r>
        <w:rPr>
          <w:rFonts w:hint="eastAsia" w:ascii="宋体" w:eastAsia="宋体" w:cs="宋体"/>
          <w:color w:val="auto"/>
          <w:highlight w:val="none"/>
        </w:rPr>
        <w:t xml:space="preserve"> </w:t>
      </w:r>
    </w:p>
    <w:p w14:paraId="11C7FFC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3.2.1 投标人应按第七章“投标文件格式”的要求填写价格清单。</w:t>
      </w:r>
    </w:p>
    <w:p w14:paraId="7975B5C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 xml:space="preserve">3.2.2 </w:t>
      </w:r>
      <w:r>
        <w:rPr>
          <w:rFonts w:hint="eastAsia" w:ascii="宋体" w:hAnsi="宋体" w:cs="宋体"/>
          <w:color w:val="auto"/>
          <w:szCs w:val="21"/>
          <w:highlight w:val="none"/>
        </w:rPr>
        <w:t>投标人应充分了解施工场地的位置、周边环境、道路、装卸、保管、安装限制以及影响投标报价的其他要素。投标人根据投标设计，结合市场情况进行投标报价。</w:t>
      </w:r>
    </w:p>
    <w:p w14:paraId="5F9A570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3.2.3 投标人在投标截止时间前修改投标函中的投标报价总额，应同时修改投标文件“价格清单”中的相应报价，投标报价总额为各分项金额之和。此修改须符合本章第4.3款的有关要求。</w:t>
      </w:r>
    </w:p>
    <w:p w14:paraId="0D26B7A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3.2.4 招标人设有最高投标限价的，投标人的投标报价不得超过最高投标限价，最高投标限价或其计算方法在投标人须知前附表中载明。</w:t>
      </w:r>
    </w:p>
    <w:p w14:paraId="644CEAD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3.2.5 投标报价的其他要求见投标人须知前附表。</w:t>
      </w:r>
    </w:p>
    <w:p w14:paraId="7B1C5844">
      <w:pPr>
        <w:pStyle w:val="6"/>
        <w:rPr>
          <w:rFonts w:hint="eastAsia" w:ascii="宋体" w:eastAsia="宋体" w:cs="宋体"/>
          <w:color w:val="auto"/>
          <w:highlight w:val="none"/>
        </w:rPr>
      </w:pPr>
      <w:bookmarkStart w:id="179" w:name="_Toc8437"/>
      <w:bookmarkStart w:id="180" w:name="_Toc144974517"/>
      <w:bookmarkStart w:id="181" w:name="_Toc152045549"/>
      <w:bookmarkStart w:id="182" w:name="_Toc152042325"/>
      <w:bookmarkStart w:id="183" w:name="_Toc247513973"/>
      <w:bookmarkStart w:id="184" w:name="_Toc247527574"/>
      <w:bookmarkStart w:id="185" w:name="_Toc13756"/>
      <w:r>
        <w:rPr>
          <w:rFonts w:hint="eastAsia" w:ascii="宋体" w:eastAsia="宋体" w:cs="宋体"/>
          <w:color w:val="auto"/>
          <w:highlight w:val="none"/>
        </w:rPr>
        <w:t>3.3 投标有效期</w:t>
      </w:r>
      <w:bookmarkEnd w:id="179"/>
      <w:bookmarkEnd w:id="180"/>
      <w:bookmarkEnd w:id="181"/>
      <w:bookmarkEnd w:id="182"/>
      <w:bookmarkEnd w:id="183"/>
      <w:bookmarkEnd w:id="184"/>
      <w:bookmarkEnd w:id="185"/>
    </w:p>
    <w:p w14:paraId="3799998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3.3.1 </w:t>
      </w:r>
      <w:r>
        <w:rPr>
          <w:rFonts w:hint="eastAsia" w:ascii="宋体" w:cs="宋体"/>
          <w:color w:val="auto"/>
          <w:highlight w:val="none"/>
          <w:u w:val="single"/>
        </w:rPr>
        <w:t>投标有效期按须知前附表的规定。</w:t>
      </w:r>
    </w:p>
    <w:p w14:paraId="08CEC78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3.3.2 在投标有效期内，投标人撤销或修改其投标文件的，应承担招标文件和法律规定的责任。</w:t>
      </w:r>
    </w:p>
    <w:p w14:paraId="19F4564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78000F2A">
      <w:pPr>
        <w:pStyle w:val="6"/>
        <w:rPr>
          <w:rFonts w:hint="eastAsia" w:ascii="宋体" w:eastAsia="宋体" w:cs="宋体"/>
          <w:color w:val="auto"/>
          <w:highlight w:val="none"/>
        </w:rPr>
      </w:pPr>
      <w:bookmarkStart w:id="186" w:name="_Toc280"/>
      <w:bookmarkStart w:id="187" w:name="_Toc152042326"/>
      <w:bookmarkStart w:id="188" w:name="_Toc144974518"/>
      <w:bookmarkStart w:id="189" w:name="_Toc152045550"/>
      <w:bookmarkStart w:id="190" w:name="_Toc18959"/>
      <w:bookmarkStart w:id="191" w:name="_Toc247527575"/>
      <w:bookmarkStart w:id="192" w:name="_Toc247513974"/>
      <w:r>
        <w:rPr>
          <w:rFonts w:hint="eastAsia" w:ascii="宋体" w:eastAsia="宋体" w:cs="宋体"/>
          <w:color w:val="auto"/>
          <w:highlight w:val="none"/>
        </w:rPr>
        <w:t>3.4 投标保证金</w:t>
      </w:r>
      <w:bookmarkEnd w:id="186"/>
      <w:bookmarkEnd w:id="187"/>
      <w:bookmarkEnd w:id="188"/>
      <w:bookmarkEnd w:id="189"/>
      <w:bookmarkEnd w:id="190"/>
      <w:bookmarkEnd w:id="191"/>
      <w:bookmarkEnd w:id="192"/>
    </w:p>
    <w:p w14:paraId="3AD48935">
      <w:pPr>
        <w:spacing w:line="400" w:lineRule="exact"/>
        <w:ind w:firstLine="420" w:firstLineChars="200"/>
        <w:rPr>
          <w:color w:val="auto"/>
          <w:highlight w:val="none"/>
        </w:rPr>
      </w:pPr>
      <w:bookmarkStart w:id="193" w:name="_Toc144974519"/>
      <w:bookmarkStart w:id="194" w:name="_Toc152042327"/>
      <w:bookmarkStart w:id="195" w:name="_Toc247527576"/>
      <w:bookmarkStart w:id="196" w:name="_Toc152045551"/>
      <w:bookmarkStart w:id="197" w:name="_Toc247513975"/>
      <w:bookmarkStart w:id="198" w:name="_Toc20478"/>
      <w:r>
        <w:rPr>
          <w:rFonts w:hint="eastAsia"/>
          <w:color w:val="auto"/>
          <w:highlight w:val="none"/>
        </w:rPr>
        <w:t>3.4.1 投标人在递交投标文件的同时，应按投标人须知前附表规定的金额、担保形式和</w:t>
      </w:r>
      <w:r>
        <w:rPr>
          <w:rFonts w:hint="eastAsia"/>
          <w:color w:val="auto"/>
          <w:highlight w:val="none"/>
        </w:rPr>
        <w:t>第七章“投标文件格式</w:t>
      </w:r>
      <w:r>
        <w:rPr>
          <w:rFonts w:hint="eastAsia"/>
          <w:color w:val="auto"/>
          <w:highlight w:val="none"/>
        </w:rPr>
        <w:t>”规定的投标保证金格式递交投标保证金，并作为其投标文件的组成部分。联合体投标的，其投标保证金由主办人递交，并应符合投标人须知前附表的规定。</w:t>
      </w:r>
    </w:p>
    <w:p w14:paraId="676B2498">
      <w:pPr>
        <w:spacing w:line="400" w:lineRule="exact"/>
        <w:ind w:firstLine="420" w:firstLineChars="200"/>
        <w:rPr>
          <w:color w:val="auto"/>
          <w:highlight w:val="none"/>
        </w:rPr>
      </w:pPr>
      <w:r>
        <w:rPr>
          <w:rFonts w:hint="eastAsia"/>
          <w:color w:val="auto"/>
          <w:highlight w:val="none"/>
        </w:rPr>
        <w:t>3.4.2 投标人不按本章第3.4.1项要求提交投标保证金的，评标委员会将否决其投标。</w:t>
      </w:r>
    </w:p>
    <w:p w14:paraId="17DEC88D">
      <w:pPr>
        <w:spacing w:line="400" w:lineRule="exact"/>
        <w:ind w:firstLine="420" w:firstLineChars="200"/>
        <w:rPr>
          <w:color w:val="auto"/>
          <w:highlight w:val="none"/>
        </w:rPr>
      </w:pPr>
      <w:r>
        <w:rPr>
          <w:rFonts w:hint="eastAsia"/>
          <w:color w:val="auto"/>
          <w:highlight w:val="none"/>
        </w:rPr>
        <w:t>3.4.3 招标人与中标人签订合同后5日内，向未中标的投标人和中标人退还投标保证金及同期银行存款利息。</w:t>
      </w:r>
    </w:p>
    <w:p w14:paraId="1560CE7A">
      <w:pPr>
        <w:spacing w:line="400" w:lineRule="exact"/>
        <w:ind w:firstLine="420" w:firstLineChars="200"/>
        <w:rPr>
          <w:color w:val="auto"/>
          <w:highlight w:val="none"/>
        </w:rPr>
      </w:pPr>
      <w:r>
        <w:rPr>
          <w:rFonts w:hint="eastAsia"/>
          <w:color w:val="auto"/>
          <w:highlight w:val="none"/>
        </w:rPr>
        <w:t xml:space="preserve">3.4.4 有下列情形之一的，投标保证金将不予退还： </w:t>
      </w:r>
    </w:p>
    <w:p w14:paraId="2696AC95">
      <w:pPr>
        <w:spacing w:line="400" w:lineRule="exact"/>
        <w:ind w:firstLine="315" w:firstLineChars="150"/>
        <w:rPr>
          <w:color w:val="auto"/>
          <w:highlight w:val="none"/>
        </w:rPr>
      </w:pPr>
      <w:r>
        <w:rPr>
          <w:rFonts w:hint="eastAsia"/>
          <w:color w:val="auto"/>
          <w:highlight w:val="none"/>
        </w:rPr>
        <w:t>（1）投标人在规定的投标有效期内撤销或修改其投标文件；</w:t>
      </w:r>
    </w:p>
    <w:p w14:paraId="58EFA792">
      <w:pPr>
        <w:spacing w:line="400" w:lineRule="exact"/>
        <w:ind w:firstLine="315" w:firstLineChars="150"/>
        <w:rPr>
          <w:rFonts w:hint="eastAsia" w:ascii="宋体" w:hAnsi="宋体" w:cs="宋体"/>
          <w:strike w:val="0"/>
          <w:color w:val="auto"/>
          <w:highlight w:val="none"/>
          <w:u w:val="single"/>
        </w:rPr>
      </w:pPr>
      <w:r>
        <w:rPr>
          <w:rFonts w:hint="eastAsia"/>
          <w:strike w:val="0"/>
          <w:color w:val="auto"/>
          <w:highlight w:val="none"/>
        </w:rPr>
        <w:t>（2）中标人在收到中标通知书后，无正当理由拒签合同或未按招标文件规定提交履约担保。</w:t>
      </w:r>
    </w:p>
    <w:bookmarkEnd w:id="193"/>
    <w:bookmarkEnd w:id="194"/>
    <w:bookmarkEnd w:id="195"/>
    <w:bookmarkEnd w:id="196"/>
    <w:bookmarkEnd w:id="197"/>
    <w:bookmarkEnd w:id="198"/>
    <w:p w14:paraId="0BF4CC63">
      <w:pPr>
        <w:pStyle w:val="6"/>
        <w:rPr>
          <w:rFonts w:hint="eastAsia" w:ascii="宋体" w:eastAsia="宋体" w:cs="宋体"/>
          <w:color w:val="auto"/>
          <w:highlight w:val="none"/>
        </w:rPr>
      </w:pPr>
      <w:bookmarkStart w:id="199" w:name="_Toc152042328"/>
      <w:bookmarkStart w:id="200" w:name="_Toc247527577"/>
      <w:bookmarkStart w:id="201" w:name="_Toc247513976"/>
      <w:bookmarkStart w:id="202" w:name="_Toc144974520"/>
      <w:bookmarkStart w:id="203" w:name="_Toc152045552"/>
      <w:bookmarkStart w:id="204" w:name="_Toc23531"/>
      <w:bookmarkStart w:id="205" w:name="_Toc6308"/>
      <w:r>
        <w:rPr>
          <w:rFonts w:hint="eastAsia" w:ascii="宋体" w:eastAsia="宋体" w:cs="宋体"/>
          <w:color w:val="auto"/>
          <w:highlight w:val="none"/>
        </w:rPr>
        <w:t>3.5 资格审查资料（适用于未进行资格预审的）</w:t>
      </w:r>
      <w:bookmarkEnd w:id="199"/>
      <w:bookmarkEnd w:id="200"/>
      <w:bookmarkEnd w:id="201"/>
      <w:bookmarkEnd w:id="202"/>
      <w:bookmarkEnd w:id="203"/>
      <w:bookmarkEnd w:id="204"/>
      <w:bookmarkEnd w:id="205"/>
    </w:p>
    <w:p w14:paraId="209AD60B">
      <w:pPr>
        <w:spacing w:line="400" w:lineRule="exact"/>
        <w:ind w:firstLine="420" w:firstLineChars="200"/>
        <w:rPr>
          <w:rFonts w:hint="eastAsia" w:ascii="新宋体" w:hAnsi="新宋体" w:eastAsia="新宋体" w:cs="新宋体"/>
          <w:color w:val="auto"/>
          <w:highlight w:val="none"/>
          <w:u w:val="single"/>
        </w:rPr>
      </w:pPr>
      <w:r>
        <w:rPr>
          <w:rFonts w:hint="eastAsia" w:ascii="新宋体" w:hAnsi="新宋体" w:eastAsia="新宋体" w:cs="新宋体"/>
          <w:color w:val="auto"/>
          <w:highlight w:val="none"/>
          <w:u w:val="single"/>
        </w:rPr>
        <w:t>资格审查资料要求详见本章3.1.2资格审查文件组成。</w:t>
      </w:r>
    </w:p>
    <w:p w14:paraId="106F6860">
      <w:pPr>
        <w:spacing w:line="400" w:lineRule="exact"/>
        <w:ind w:firstLine="420" w:firstLineChars="200"/>
        <w:rPr>
          <w:rFonts w:hint="eastAsia" w:ascii="宋体" w:hAnsi="宋体" w:cs="宋体"/>
          <w:strike/>
          <w:color w:val="auto"/>
          <w:highlight w:val="none"/>
        </w:rPr>
      </w:pPr>
      <w:r>
        <w:rPr>
          <w:rFonts w:hint="eastAsia" w:ascii="宋体" w:hAnsi="宋体" w:cs="宋体"/>
          <w:color w:val="auto"/>
          <w:szCs w:val="21"/>
          <w:highlight w:val="none"/>
          <w:u w:val="single"/>
        </w:rPr>
        <w:t>本项目采用电子化资格后审，由综合评标委员会负责对投标人的资格进行审查，评标时只对通过资格审查的投标人进行下一阶段的评审。</w:t>
      </w:r>
    </w:p>
    <w:p w14:paraId="717FDEC4">
      <w:pPr>
        <w:pStyle w:val="6"/>
        <w:rPr>
          <w:rFonts w:hint="eastAsia" w:ascii="宋体" w:eastAsia="宋体" w:cs="宋体"/>
          <w:color w:val="auto"/>
          <w:highlight w:val="none"/>
        </w:rPr>
      </w:pPr>
      <w:bookmarkStart w:id="206" w:name="_Toc247527578"/>
      <w:bookmarkStart w:id="207" w:name="_Toc27554"/>
      <w:bookmarkStart w:id="208" w:name="_Toc247513977"/>
      <w:bookmarkStart w:id="209" w:name="_Toc12562"/>
      <w:bookmarkStart w:id="210" w:name="_Toc144974521"/>
      <w:bookmarkStart w:id="211" w:name="_Toc152042329"/>
      <w:bookmarkStart w:id="212" w:name="_Toc152045553"/>
      <w:r>
        <w:rPr>
          <w:rFonts w:hint="eastAsia" w:ascii="宋体" w:eastAsia="宋体" w:cs="宋体"/>
          <w:color w:val="auto"/>
          <w:highlight w:val="none"/>
        </w:rPr>
        <w:t>3.6 备选投标方案</w:t>
      </w:r>
      <w:bookmarkEnd w:id="206"/>
      <w:bookmarkEnd w:id="207"/>
      <w:bookmarkEnd w:id="208"/>
      <w:bookmarkEnd w:id="209"/>
      <w:bookmarkEnd w:id="210"/>
      <w:bookmarkEnd w:id="211"/>
      <w:bookmarkEnd w:id="212"/>
    </w:p>
    <w:p w14:paraId="6883B4DD">
      <w:pPr>
        <w:spacing w:line="400" w:lineRule="exact"/>
        <w:ind w:firstLine="420" w:firstLineChars="200"/>
        <w:rPr>
          <w:rFonts w:hint="eastAsia" w:ascii="宋体" w:hAnsi="宋体" w:cs="宋体"/>
          <w:strike/>
          <w:color w:val="auto"/>
          <w:highlight w:val="none"/>
        </w:rPr>
      </w:pPr>
      <w:r>
        <w:rPr>
          <w:rFonts w:hint="eastAsia" w:ascii="宋体" w:hAnsi="宋体" w:cs="宋体"/>
          <w:color w:val="auto"/>
          <w:highlight w:val="none"/>
        </w:rPr>
        <w:t>除投标人须知前附表另有规定外，投标人不得递交备选投标方案。</w:t>
      </w:r>
      <w:r>
        <w:rPr>
          <w:rFonts w:hint="eastAsia" w:ascii="宋体" w:hAnsi="宋体" w:cs="宋体"/>
          <w:strike/>
          <w:color w:val="auto"/>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3BF3E275">
      <w:pPr>
        <w:pStyle w:val="6"/>
        <w:rPr>
          <w:rFonts w:hint="eastAsia" w:ascii="宋体" w:eastAsia="宋体" w:cs="宋体"/>
          <w:color w:val="auto"/>
          <w:highlight w:val="none"/>
        </w:rPr>
      </w:pPr>
      <w:bookmarkStart w:id="213" w:name="_Toc152042330"/>
      <w:bookmarkStart w:id="214" w:name="_Toc247513978"/>
      <w:bookmarkStart w:id="215" w:name="_Toc144974522"/>
      <w:bookmarkStart w:id="216" w:name="_Toc15348"/>
      <w:bookmarkStart w:id="217" w:name="_Toc247527579"/>
      <w:bookmarkStart w:id="218" w:name="_Toc30148"/>
      <w:bookmarkStart w:id="219" w:name="_Toc152045554"/>
      <w:r>
        <w:rPr>
          <w:rFonts w:hint="eastAsia" w:ascii="宋体" w:eastAsia="宋体" w:cs="宋体"/>
          <w:color w:val="auto"/>
          <w:highlight w:val="none"/>
        </w:rPr>
        <w:t>3.7 投标文件的编制</w:t>
      </w:r>
      <w:bookmarkEnd w:id="213"/>
      <w:bookmarkEnd w:id="214"/>
      <w:bookmarkEnd w:id="215"/>
      <w:bookmarkEnd w:id="216"/>
      <w:bookmarkEnd w:id="217"/>
      <w:bookmarkEnd w:id="218"/>
      <w:bookmarkEnd w:id="219"/>
    </w:p>
    <w:p w14:paraId="37AA9AA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780997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3.7.2 投标文件应当对招标文件有关</w:t>
      </w:r>
      <w:r>
        <w:rPr>
          <w:rFonts w:hint="eastAsia" w:ascii="宋体" w:hAnsi="宋体" w:cs="宋体"/>
          <w:color w:val="auto"/>
          <w:szCs w:val="21"/>
          <w:highlight w:val="none"/>
        </w:rPr>
        <w:t>招标范围、投标有效期、工期、质量标准、招标人要求等实质性内容作出响应。</w:t>
      </w:r>
    </w:p>
    <w:p w14:paraId="767D987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3.7.3</w:t>
      </w:r>
      <w:r>
        <w:rPr>
          <w:rFonts w:hint="eastAsia" w:ascii="宋体" w:hAnsi="宋体" w:cs="宋体"/>
          <w:color w:val="auto"/>
          <w:szCs w:val="21"/>
          <w:highlight w:val="none"/>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除投标文件中的联合体协议书需联合体各方盖章、签字外，投标文件其他内容中的“投标人”、</w:t>
      </w:r>
      <w:r>
        <w:rPr>
          <w:rFonts w:hint="eastAsia" w:ascii="宋体" w:hAnsi="宋体" w:cs="宋体"/>
          <w:color w:val="auto"/>
          <w:szCs w:val="21"/>
          <w:highlight w:val="none"/>
          <w:u w:val="single"/>
          <w:lang w:bidi="ar"/>
        </w:rPr>
        <w:t>“投标单位”、</w:t>
      </w:r>
      <w:r>
        <w:rPr>
          <w:rFonts w:hint="eastAsia" w:ascii="宋体" w:hAnsi="宋体" w:cs="宋体"/>
          <w:color w:val="auto"/>
          <w:szCs w:val="21"/>
          <w:highlight w:val="none"/>
          <w:u w:val="single"/>
        </w:rPr>
        <w:t>“声明企业”应填写联合体各方的单位全称</w:t>
      </w:r>
      <w:r>
        <w:rPr>
          <w:rFonts w:hint="eastAsia" w:ascii="宋体" w:hAnsi="宋体" w:cs="宋体"/>
          <w:color w:val="auto"/>
          <w:szCs w:val="21"/>
          <w:highlight w:val="none"/>
          <w:u w:val="single"/>
          <w:lang w:bidi="ar"/>
        </w:rPr>
        <w:t>【格式表示为：(主)XXXX公司,(成)XXXX公司】</w:t>
      </w:r>
      <w:r>
        <w:rPr>
          <w:rFonts w:hint="eastAsia" w:ascii="宋体" w:hAnsi="宋体" w:cs="宋体"/>
          <w:color w:val="auto"/>
          <w:szCs w:val="21"/>
          <w:highlight w:val="none"/>
          <w:u w:val="single"/>
        </w:rPr>
        <w:t>，但由主办方盖章、签字即可</w:t>
      </w:r>
      <w:r>
        <w:rPr>
          <w:rFonts w:hint="eastAsia" w:ascii="宋体" w:hAnsi="宋体" w:cs="宋体"/>
          <w:color w:val="auto"/>
          <w:szCs w:val="21"/>
          <w:highlight w:val="none"/>
        </w:rPr>
        <w:t>。</w:t>
      </w:r>
      <w:r>
        <w:rPr>
          <w:rFonts w:hint="eastAsia" w:ascii="宋体" w:hAnsi="宋体" w:cs="宋体"/>
          <w:color w:val="auto"/>
          <w:highlight w:val="none"/>
        </w:rPr>
        <w:t xml:space="preserve"> </w:t>
      </w:r>
    </w:p>
    <w:p w14:paraId="23E6657E">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3.7.4 投标文件正本一份, 副本份数见投标人须知前附表。正本和副本的封面上应清楚地标记“正本”或“副本”的字样。当副本和正本不一致时，以正本为准。</w:t>
      </w:r>
    </w:p>
    <w:p w14:paraId="302743A8">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3.7.5 投标文件的正本与副本应分别装订成册，具体装订要求见投标人须知前附表规定。</w:t>
      </w:r>
    </w:p>
    <w:p w14:paraId="5A05FC12">
      <w:pPr>
        <w:pStyle w:val="5"/>
        <w:rPr>
          <w:rFonts w:hint="eastAsia" w:ascii="宋体" w:hAnsi="宋体" w:eastAsia="宋体" w:cs="宋体"/>
          <w:color w:val="auto"/>
          <w:highlight w:val="none"/>
        </w:rPr>
      </w:pPr>
      <w:bookmarkStart w:id="220" w:name="_Toc16074"/>
      <w:bookmarkStart w:id="221" w:name="_Toc247513979"/>
      <w:bookmarkStart w:id="222" w:name="_Toc152045555"/>
      <w:bookmarkStart w:id="223" w:name="_Toc152042331"/>
      <w:bookmarkStart w:id="224" w:name="_Toc144974523"/>
      <w:bookmarkStart w:id="225" w:name="_Toc15400"/>
      <w:bookmarkStart w:id="226" w:name="_Toc247527580"/>
      <w:r>
        <w:rPr>
          <w:rFonts w:hint="eastAsia" w:ascii="宋体" w:hAnsi="宋体" w:eastAsia="宋体" w:cs="宋体"/>
          <w:color w:val="auto"/>
          <w:highlight w:val="none"/>
        </w:rPr>
        <w:t>4. 投标</w:t>
      </w:r>
      <w:bookmarkEnd w:id="220"/>
      <w:bookmarkEnd w:id="221"/>
      <w:bookmarkEnd w:id="222"/>
      <w:bookmarkEnd w:id="223"/>
      <w:bookmarkEnd w:id="224"/>
      <w:bookmarkEnd w:id="225"/>
      <w:bookmarkEnd w:id="226"/>
    </w:p>
    <w:p w14:paraId="1780FD2D">
      <w:pPr>
        <w:pStyle w:val="6"/>
        <w:rPr>
          <w:rFonts w:hint="eastAsia" w:ascii="宋体" w:eastAsia="宋体" w:cs="宋体"/>
          <w:color w:val="auto"/>
          <w:highlight w:val="none"/>
        </w:rPr>
      </w:pPr>
      <w:bookmarkStart w:id="227" w:name="_Toc247513980"/>
      <w:bookmarkStart w:id="228" w:name="_Toc12354"/>
      <w:bookmarkStart w:id="229" w:name="_Toc152042332"/>
      <w:bookmarkStart w:id="230" w:name="_Toc247527581"/>
      <w:bookmarkStart w:id="231" w:name="_Toc144974524"/>
      <w:bookmarkStart w:id="232" w:name="_Toc17494"/>
      <w:bookmarkStart w:id="233" w:name="_Toc152045556"/>
      <w:r>
        <w:rPr>
          <w:rFonts w:hint="eastAsia" w:ascii="宋体" w:eastAsia="宋体" w:cs="宋体"/>
          <w:color w:val="auto"/>
          <w:highlight w:val="none"/>
        </w:rPr>
        <w:t>4.1 投标文件的密封和标记</w:t>
      </w:r>
      <w:bookmarkEnd w:id="227"/>
      <w:bookmarkEnd w:id="228"/>
      <w:bookmarkEnd w:id="229"/>
      <w:bookmarkEnd w:id="230"/>
      <w:bookmarkEnd w:id="231"/>
      <w:bookmarkEnd w:id="232"/>
      <w:bookmarkEnd w:id="233"/>
    </w:p>
    <w:p w14:paraId="1B2BA7D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4.1.1 </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人</w:t>
      </w:r>
      <w:r>
        <w:rPr>
          <w:rFonts w:hint="eastAsia" w:ascii="宋体" w:hAnsi="宋体" w:cs="宋体"/>
          <w:color w:val="auto"/>
          <w:spacing w:val="-2"/>
          <w:szCs w:val="21"/>
          <w:highlight w:val="none"/>
          <w:u w:val="single"/>
        </w:rPr>
        <w:t>应</w:t>
      </w:r>
      <w:r>
        <w:rPr>
          <w:rFonts w:hint="eastAsia" w:ascii="宋体" w:hAnsi="宋体" w:cs="宋体"/>
          <w:color w:val="auto"/>
          <w:szCs w:val="21"/>
          <w:highlight w:val="none"/>
          <w:u w:val="single"/>
        </w:rPr>
        <w:t>当</w:t>
      </w:r>
      <w:r>
        <w:rPr>
          <w:rFonts w:hint="eastAsia" w:ascii="宋体" w:hAnsi="宋体" w:cs="宋体"/>
          <w:color w:val="auto"/>
          <w:spacing w:val="-2"/>
          <w:szCs w:val="21"/>
          <w:highlight w:val="none"/>
          <w:u w:val="single"/>
        </w:rPr>
        <w:t>按</w:t>
      </w:r>
      <w:r>
        <w:rPr>
          <w:rFonts w:hint="eastAsia" w:ascii="宋体" w:hAnsi="宋体" w:cs="宋体"/>
          <w:color w:val="auto"/>
          <w:szCs w:val="21"/>
          <w:highlight w:val="none"/>
          <w:u w:val="single"/>
        </w:rPr>
        <w:t>照招</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和</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标交</w:t>
      </w:r>
      <w:r>
        <w:rPr>
          <w:rFonts w:hint="eastAsia" w:ascii="宋体" w:hAnsi="宋体" w:cs="宋体"/>
          <w:color w:val="auto"/>
          <w:spacing w:val="-2"/>
          <w:szCs w:val="21"/>
          <w:highlight w:val="none"/>
          <w:u w:val="single"/>
        </w:rPr>
        <w:t>易</w:t>
      </w:r>
      <w:r>
        <w:rPr>
          <w:rFonts w:hint="eastAsia" w:ascii="宋体" w:hAnsi="宋体" w:cs="宋体"/>
          <w:color w:val="auto"/>
          <w:szCs w:val="21"/>
          <w:highlight w:val="none"/>
          <w:u w:val="single"/>
        </w:rPr>
        <w:t>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的</w:t>
      </w:r>
      <w:r>
        <w:rPr>
          <w:rFonts w:hint="eastAsia" w:ascii="宋体" w:hAnsi="宋体" w:cs="宋体"/>
          <w:color w:val="auto"/>
          <w:spacing w:val="-2"/>
          <w:szCs w:val="21"/>
          <w:highlight w:val="none"/>
          <w:u w:val="single"/>
        </w:rPr>
        <w:t>要</w:t>
      </w:r>
      <w:r>
        <w:rPr>
          <w:rFonts w:hint="eastAsia" w:ascii="宋体" w:hAnsi="宋体" w:cs="宋体"/>
          <w:color w:val="auto"/>
          <w:szCs w:val="21"/>
          <w:highlight w:val="none"/>
          <w:u w:val="single"/>
        </w:rPr>
        <w:t>求</w:t>
      </w:r>
      <w:r>
        <w:rPr>
          <w:rFonts w:hint="eastAsia" w:ascii="宋体" w:hAnsi="宋体" w:cs="宋体"/>
          <w:color w:val="auto"/>
          <w:spacing w:val="-2"/>
          <w:szCs w:val="21"/>
          <w:highlight w:val="none"/>
          <w:u w:val="single"/>
        </w:rPr>
        <w:t>加</w:t>
      </w:r>
      <w:r>
        <w:rPr>
          <w:rFonts w:hint="eastAsia" w:ascii="宋体" w:hAnsi="宋体" w:cs="宋体"/>
          <w:color w:val="auto"/>
          <w:szCs w:val="21"/>
          <w:highlight w:val="none"/>
          <w:u w:val="single"/>
        </w:rPr>
        <w:t>密</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rPr>
        <w:t>具</w:t>
      </w:r>
      <w:r>
        <w:rPr>
          <w:rFonts w:hint="eastAsia" w:ascii="宋体" w:hAnsi="宋体" w:cs="宋体"/>
          <w:color w:val="auto"/>
          <w:szCs w:val="21"/>
          <w:highlight w:val="none"/>
          <w:u w:val="single"/>
        </w:rPr>
        <w:t>体操作详见《房屋建筑和市政基础设施工程全流程电子化项目专章》</w:t>
      </w:r>
      <w:r>
        <w:rPr>
          <w:rFonts w:hint="eastAsia" w:ascii="宋体" w:hAnsi="宋体" w:cs="宋体"/>
          <w:color w:val="auto"/>
          <w:highlight w:val="none"/>
        </w:rPr>
        <w:t>。</w:t>
      </w:r>
    </w:p>
    <w:p w14:paraId="0BE914B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4.1.2 投标文件封套上应写明的内容见投标人须知前附表。</w:t>
      </w:r>
    </w:p>
    <w:p w14:paraId="46D22F6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4.1.3 未按本章第4.1.1项或第4.1.2项要求密封和加写标记的投标文件，招标人不予受理。</w:t>
      </w:r>
    </w:p>
    <w:p w14:paraId="5B0D9CB7">
      <w:pPr>
        <w:pStyle w:val="6"/>
        <w:rPr>
          <w:rFonts w:hint="eastAsia" w:ascii="宋体" w:eastAsia="宋体" w:cs="宋体"/>
          <w:color w:val="auto"/>
          <w:highlight w:val="none"/>
        </w:rPr>
      </w:pPr>
      <w:bookmarkStart w:id="234" w:name="_Toc12312"/>
      <w:bookmarkStart w:id="235" w:name="_Toc152045557"/>
      <w:bookmarkStart w:id="236" w:name="_Toc247527582"/>
      <w:bookmarkStart w:id="237" w:name="_Toc144974525"/>
      <w:bookmarkStart w:id="238" w:name="_Toc247513981"/>
      <w:bookmarkStart w:id="239" w:name="_Toc152042333"/>
      <w:bookmarkStart w:id="240" w:name="_Toc3388"/>
      <w:r>
        <w:rPr>
          <w:rFonts w:hint="eastAsia" w:ascii="宋体" w:eastAsia="宋体" w:cs="宋体"/>
          <w:color w:val="auto"/>
          <w:highlight w:val="none"/>
        </w:rPr>
        <w:t>4.2 投标文件的递交</w:t>
      </w:r>
      <w:bookmarkEnd w:id="234"/>
      <w:bookmarkEnd w:id="235"/>
      <w:bookmarkEnd w:id="236"/>
      <w:bookmarkEnd w:id="237"/>
      <w:bookmarkEnd w:id="238"/>
      <w:bookmarkEnd w:id="239"/>
      <w:bookmarkEnd w:id="240"/>
    </w:p>
    <w:p w14:paraId="419D5AA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4.2.1 投标人应在第2.2.2项规定的投标截止时间前递交投标文件。</w:t>
      </w:r>
    </w:p>
    <w:p w14:paraId="1E1E6E8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4.2.2 投标人递交投标文件的地点：见投标人须知前附表。</w:t>
      </w:r>
    </w:p>
    <w:p w14:paraId="2A19F2C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4.2.3 除投标人须知前附表另有规定外，投标人所递交的投标文件不予退还。</w:t>
      </w:r>
    </w:p>
    <w:p w14:paraId="2F2DDAD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4.2.4 </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人</w:t>
      </w:r>
      <w:r>
        <w:rPr>
          <w:rFonts w:hint="eastAsia" w:ascii="宋体" w:hAnsi="宋体" w:cs="宋体"/>
          <w:color w:val="auto"/>
          <w:spacing w:val="-2"/>
          <w:szCs w:val="21"/>
          <w:highlight w:val="none"/>
          <w:u w:val="single"/>
        </w:rPr>
        <w:t>完</w:t>
      </w:r>
      <w:r>
        <w:rPr>
          <w:rFonts w:hint="eastAsia" w:ascii="宋体" w:hAnsi="宋体" w:cs="宋体"/>
          <w:color w:val="auto"/>
          <w:szCs w:val="21"/>
          <w:highlight w:val="none"/>
          <w:u w:val="single"/>
        </w:rPr>
        <w:t>成</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上</w:t>
      </w:r>
      <w:r>
        <w:rPr>
          <w:rFonts w:hint="eastAsia" w:ascii="宋体" w:hAnsi="宋体" w:cs="宋体"/>
          <w:color w:val="auto"/>
          <w:spacing w:val="-2"/>
          <w:szCs w:val="21"/>
          <w:highlight w:val="none"/>
          <w:u w:val="single"/>
        </w:rPr>
        <w:t>传</w:t>
      </w:r>
      <w:r>
        <w:rPr>
          <w:rFonts w:hint="eastAsia" w:ascii="宋体" w:hAnsi="宋体" w:cs="宋体"/>
          <w:color w:val="auto"/>
          <w:szCs w:val="21"/>
          <w:highlight w:val="none"/>
          <w:u w:val="single"/>
        </w:rPr>
        <w:t>后</w:t>
      </w:r>
      <w:r>
        <w:rPr>
          <w:rFonts w:hint="eastAsia" w:ascii="宋体" w:hAnsi="宋体" w:cs="宋体"/>
          <w:color w:val="auto"/>
          <w:spacing w:val="-5"/>
          <w:szCs w:val="21"/>
          <w:highlight w:val="none"/>
          <w:u w:val="single"/>
        </w:rPr>
        <w:t>，</w:t>
      </w:r>
      <w:r>
        <w:rPr>
          <w:rFonts w:hint="eastAsia" w:ascii="宋体" w:hAnsi="宋体" w:cs="宋体"/>
          <w:color w:val="auto"/>
          <w:szCs w:val="21"/>
          <w:highlight w:val="none"/>
          <w:u w:val="single"/>
        </w:rPr>
        <w:t>电</w:t>
      </w:r>
      <w:r>
        <w:rPr>
          <w:rFonts w:hint="eastAsia" w:ascii="宋体" w:hAnsi="宋体" w:cs="宋体"/>
          <w:color w:val="auto"/>
          <w:spacing w:val="-2"/>
          <w:szCs w:val="21"/>
          <w:highlight w:val="none"/>
          <w:u w:val="single"/>
        </w:rPr>
        <w:t>子</w:t>
      </w:r>
      <w:r>
        <w:rPr>
          <w:rFonts w:hint="eastAsia" w:ascii="宋体" w:hAnsi="宋体" w:cs="宋体"/>
          <w:color w:val="auto"/>
          <w:szCs w:val="21"/>
          <w:highlight w:val="none"/>
          <w:u w:val="single"/>
        </w:rPr>
        <w:t>招标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w:t>
      </w:r>
      <w:r>
        <w:rPr>
          <w:rFonts w:hint="eastAsia" w:ascii="宋体" w:hAnsi="宋体" w:cs="宋体"/>
          <w:color w:val="auto"/>
          <w:spacing w:val="-2"/>
          <w:szCs w:val="21"/>
          <w:highlight w:val="none"/>
          <w:u w:val="single"/>
        </w:rPr>
        <w:t>平</w:t>
      </w:r>
      <w:r>
        <w:rPr>
          <w:rFonts w:hint="eastAsia" w:ascii="宋体" w:hAnsi="宋体" w:cs="宋体"/>
          <w:color w:val="auto"/>
          <w:szCs w:val="21"/>
          <w:highlight w:val="none"/>
          <w:u w:val="single"/>
        </w:rPr>
        <w:t>台</w:t>
      </w:r>
      <w:r>
        <w:rPr>
          <w:rFonts w:hint="eastAsia" w:ascii="宋体" w:hAnsi="宋体" w:cs="宋体"/>
          <w:color w:val="auto"/>
          <w:spacing w:val="-2"/>
          <w:szCs w:val="21"/>
          <w:highlight w:val="none"/>
          <w:u w:val="single"/>
        </w:rPr>
        <w:t>即</w:t>
      </w:r>
      <w:r>
        <w:rPr>
          <w:rFonts w:hint="eastAsia" w:ascii="宋体" w:hAnsi="宋体" w:cs="宋体"/>
          <w:color w:val="auto"/>
          <w:szCs w:val="21"/>
          <w:highlight w:val="none"/>
          <w:u w:val="single"/>
        </w:rPr>
        <w:t>时</w:t>
      </w:r>
      <w:r>
        <w:rPr>
          <w:rFonts w:hint="eastAsia" w:ascii="宋体" w:hAnsi="宋体" w:cs="宋体"/>
          <w:color w:val="auto"/>
          <w:spacing w:val="-2"/>
          <w:szCs w:val="21"/>
          <w:highlight w:val="none"/>
          <w:u w:val="single"/>
        </w:rPr>
        <w:t>向</w:t>
      </w:r>
      <w:r>
        <w:rPr>
          <w:rFonts w:hint="eastAsia" w:ascii="宋体" w:hAnsi="宋体" w:cs="宋体"/>
          <w:color w:val="auto"/>
          <w:szCs w:val="21"/>
          <w:highlight w:val="none"/>
          <w:u w:val="single"/>
        </w:rPr>
        <w:t>投标</w:t>
      </w:r>
      <w:r>
        <w:rPr>
          <w:rFonts w:hint="eastAsia" w:ascii="宋体" w:hAnsi="宋体" w:cs="宋体"/>
          <w:color w:val="auto"/>
          <w:spacing w:val="-2"/>
          <w:szCs w:val="21"/>
          <w:highlight w:val="none"/>
          <w:u w:val="single"/>
        </w:rPr>
        <w:t>人</w:t>
      </w:r>
      <w:r>
        <w:rPr>
          <w:rFonts w:hint="eastAsia" w:ascii="宋体" w:hAnsi="宋体" w:cs="宋体"/>
          <w:color w:val="auto"/>
          <w:szCs w:val="21"/>
          <w:highlight w:val="none"/>
          <w:u w:val="single"/>
        </w:rPr>
        <w:t>发</w:t>
      </w:r>
      <w:r>
        <w:rPr>
          <w:rFonts w:hint="eastAsia" w:ascii="宋体" w:hAnsi="宋体" w:cs="宋体"/>
          <w:color w:val="auto"/>
          <w:spacing w:val="-2"/>
          <w:szCs w:val="21"/>
          <w:highlight w:val="none"/>
          <w:u w:val="single"/>
        </w:rPr>
        <w:t>出</w:t>
      </w:r>
      <w:r>
        <w:rPr>
          <w:rFonts w:hint="eastAsia" w:ascii="宋体" w:hAnsi="宋体" w:cs="宋体"/>
          <w:color w:val="auto"/>
          <w:szCs w:val="21"/>
          <w:highlight w:val="none"/>
          <w:u w:val="single"/>
        </w:rPr>
        <w:t>递交回</w:t>
      </w:r>
      <w:r>
        <w:rPr>
          <w:rFonts w:hint="eastAsia" w:ascii="宋体" w:hAnsi="宋体" w:cs="宋体"/>
          <w:color w:val="auto"/>
          <w:spacing w:val="-2"/>
          <w:szCs w:val="21"/>
          <w:highlight w:val="none"/>
          <w:u w:val="single"/>
        </w:rPr>
        <w:t>执</w:t>
      </w:r>
      <w:r>
        <w:rPr>
          <w:rFonts w:hint="eastAsia" w:ascii="宋体" w:hAnsi="宋体" w:cs="宋体"/>
          <w:color w:val="auto"/>
          <w:szCs w:val="21"/>
          <w:highlight w:val="none"/>
          <w:u w:val="single"/>
        </w:rPr>
        <w:t>通</w:t>
      </w:r>
      <w:r>
        <w:rPr>
          <w:rFonts w:hint="eastAsia" w:ascii="宋体" w:hAnsi="宋体" w:cs="宋体"/>
          <w:color w:val="auto"/>
          <w:spacing w:val="-3"/>
          <w:szCs w:val="21"/>
          <w:highlight w:val="none"/>
          <w:u w:val="single"/>
        </w:rPr>
        <w:t>知</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递</w:t>
      </w:r>
      <w:r>
        <w:rPr>
          <w:rFonts w:hint="eastAsia" w:ascii="宋体" w:hAnsi="宋体" w:cs="宋体"/>
          <w:color w:val="auto"/>
          <w:szCs w:val="21"/>
          <w:highlight w:val="none"/>
          <w:u w:val="single"/>
        </w:rPr>
        <w:t>交</w:t>
      </w:r>
      <w:r>
        <w:rPr>
          <w:rFonts w:hint="eastAsia" w:ascii="宋体" w:hAnsi="宋体" w:cs="宋体"/>
          <w:color w:val="auto"/>
          <w:spacing w:val="-2"/>
          <w:szCs w:val="21"/>
          <w:highlight w:val="none"/>
          <w:u w:val="single"/>
        </w:rPr>
        <w:t>时</w:t>
      </w:r>
      <w:r>
        <w:rPr>
          <w:rFonts w:hint="eastAsia" w:ascii="宋体" w:hAnsi="宋体" w:cs="宋体"/>
          <w:color w:val="auto"/>
          <w:szCs w:val="21"/>
          <w:highlight w:val="none"/>
          <w:u w:val="single"/>
        </w:rPr>
        <w:t>间</w:t>
      </w:r>
      <w:r>
        <w:rPr>
          <w:rFonts w:hint="eastAsia" w:ascii="宋体" w:hAnsi="宋体" w:cs="宋体"/>
          <w:color w:val="auto"/>
          <w:spacing w:val="-2"/>
          <w:szCs w:val="21"/>
          <w:highlight w:val="none"/>
          <w:u w:val="single"/>
        </w:rPr>
        <w:t>以</w:t>
      </w:r>
      <w:r>
        <w:rPr>
          <w:rFonts w:hint="eastAsia" w:ascii="宋体" w:hAnsi="宋体" w:cs="宋体"/>
          <w:color w:val="auto"/>
          <w:szCs w:val="21"/>
          <w:highlight w:val="none"/>
          <w:u w:val="single"/>
        </w:rPr>
        <w:t>递交</w:t>
      </w:r>
      <w:r>
        <w:rPr>
          <w:rFonts w:hint="eastAsia" w:ascii="宋体" w:hAnsi="宋体" w:cs="宋体"/>
          <w:color w:val="auto"/>
          <w:spacing w:val="-2"/>
          <w:szCs w:val="21"/>
          <w:highlight w:val="none"/>
          <w:u w:val="single"/>
        </w:rPr>
        <w:t>回</w:t>
      </w:r>
      <w:r>
        <w:rPr>
          <w:rFonts w:hint="eastAsia" w:ascii="宋体" w:hAnsi="宋体" w:cs="宋体"/>
          <w:color w:val="auto"/>
          <w:szCs w:val="21"/>
          <w:highlight w:val="none"/>
          <w:u w:val="single"/>
        </w:rPr>
        <w:t>执</w:t>
      </w:r>
      <w:r>
        <w:rPr>
          <w:rFonts w:hint="eastAsia" w:ascii="宋体" w:hAnsi="宋体" w:cs="宋体"/>
          <w:color w:val="auto"/>
          <w:spacing w:val="-2"/>
          <w:szCs w:val="21"/>
          <w:highlight w:val="none"/>
          <w:u w:val="single"/>
        </w:rPr>
        <w:t>通</w:t>
      </w:r>
      <w:r>
        <w:rPr>
          <w:rFonts w:hint="eastAsia" w:ascii="宋体" w:hAnsi="宋体" w:cs="宋体"/>
          <w:color w:val="auto"/>
          <w:szCs w:val="21"/>
          <w:highlight w:val="none"/>
          <w:u w:val="single"/>
        </w:rPr>
        <w:t>知</w:t>
      </w:r>
      <w:r>
        <w:rPr>
          <w:rFonts w:hint="eastAsia" w:ascii="宋体" w:hAnsi="宋体" w:cs="宋体"/>
          <w:color w:val="auto"/>
          <w:spacing w:val="-2"/>
          <w:szCs w:val="21"/>
          <w:highlight w:val="none"/>
          <w:u w:val="single"/>
        </w:rPr>
        <w:t>载</w:t>
      </w:r>
      <w:r>
        <w:rPr>
          <w:rFonts w:hint="eastAsia" w:ascii="宋体" w:hAnsi="宋体" w:cs="宋体"/>
          <w:color w:val="auto"/>
          <w:szCs w:val="21"/>
          <w:highlight w:val="none"/>
          <w:u w:val="single"/>
        </w:rPr>
        <w:t>明</w:t>
      </w:r>
      <w:r>
        <w:rPr>
          <w:rFonts w:hint="eastAsia" w:ascii="宋体" w:hAnsi="宋体" w:cs="宋体"/>
          <w:color w:val="auto"/>
          <w:spacing w:val="-2"/>
          <w:szCs w:val="21"/>
          <w:highlight w:val="none"/>
          <w:u w:val="single"/>
        </w:rPr>
        <w:t>的</w:t>
      </w:r>
      <w:r>
        <w:rPr>
          <w:rFonts w:hint="eastAsia" w:ascii="宋体" w:hAnsi="宋体" w:cs="宋体"/>
          <w:color w:val="auto"/>
          <w:szCs w:val="21"/>
          <w:highlight w:val="none"/>
          <w:u w:val="single"/>
        </w:rPr>
        <w:t>传</w:t>
      </w:r>
      <w:r>
        <w:rPr>
          <w:rFonts w:hint="eastAsia" w:ascii="宋体" w:hAnsi="宋体" w:cs="宋体"/>
          <w:color w:val="auto"/>
          <w:spacing w:val="-2"/>
          <w:szCs w:val="21"/>
          <w:highlight w:val="none"/>
          <w:u w:val="single"/>
        </w:rPr>
        <w:t>输</w:t>
      </w:r>
      <w:r>
        <w:rPr>
          <w:rFonts w:hint="eastAsia" w:ascii="宋体" w:hAnsi="宋体" w:cs="宋体"/>
          <w:color w:val="auto"/>
          <w:szCs w:val="21"/>
          <w:highlight w:val="none"/>
          <w:u w:val="single"/>
        </w:rPr>
        <w:t>完成</w:t>
      </w:r>
      <w:r>
        <w:rPr>
          <w:rFonts w:hint="eastAsia" w:ascii="宋体" w:hAnsi="宋体" w:cs="宋体"/>
          <w:color w:val="auto"/>
          <w:spacing w:val="-2"/>
          <w:szCs w:val="21"/>
          <w:highlight w:val="none"/>
          <w:u w:val="single"/>
        </w:rPr>
        <w:t>时</w:t>
      </w:r>
      <w:r>
        <w:rPr>
          <w:rFonts w:hint="eastAsia" w:ascii="宋体" w:hAnsi="宋体" w:cs="宋体"/>
          <w:color w:val="auto"/>
          <w:szCs w:val="21"/>
          <w:highlight w:val="none"/>
          <w:u w:val="single"/>
        </w:rPr>
        <w:t>间</w:t>
      </w:r>
      <w:r>
        <w:rPr>
          <w:rFonts w:hint="eastAsia" w:ascii="宋体" w:hAnsi="宋体" w:cs="宋体"/>
          <w:color w:val="auto"/>
          <w:spacing w:val="-2"/>
          <w:szCs w:val="21"/>
          <w:highlight w:val="none"/>
          <w:u w:val="single"/>
        </w:rPr>
        <w:t>为</w:t>
      </w:r>
      <w:r>
        <w:rPr>
          <w:rFonts w:hint="eastAsia" w:ascii="宋体" w:hAnsi="宋体" w:cs="宋体"/>
          <w:color w:val="auto"/>
          <w:szCs w:val="21"/>
          <w:highlight w:val="none"/>
          <w:u w:val="single"/>
        </w:rPr>
        <w:t>准</w:t>
      </w:r>
      <w:r>
        <w:rPr>
          <w:rFonts w:hint="eastAsia" w:ascii="宋体" w:hAnsi="宋体" w:cs="宋体"/>
          <w:color w:val="auto"/>
          <w:highlight w:val="none"/>
        </w:rPr>
        <w:t>。</w:t>
      </w:r>
    </w:p>
    <w:p w14:paraId="1EFDCAA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4.2.5 </w:t>
      </w:r>
      <w:r>
        <w:rPr>
          <w:rFonts w:hint="eastAsia" w:ascii="宋体" w:hAnsi="宋体" w:cs="宋体"/>
          <w:color w:val="auto"/>
          <w:spacing w:val="-2"/>
          <w:szCs w:val="21"/>
          <w:highlight w:val="none"/>
          <w:u w:val="single"/>
        </w:rPr>
        <w:t>逾</w:t>
      </w:r>
      <w:r>
        <w:rPr>
          <w:rFonts w:hint="eastAsia" w:ascii="宋体" w:hAnsi="宋体" w:cs="宋体"/>
          <w:color w:val="auto"/>
          <w:szCs w:val="21"/>
          <w:highlight w:val="none"/>
          <w:u w:val="single"/>
        </w:rPr>
        <w:t>期</w:t>
      </w:r>
      <w:r>
        <w:rPr>
          <w:rFonts w:hint="eastAsia" w:ascii="宋体" w:hAnsi="宋体" w:cs="宋体"/>
          <w:color w:val="auto"/>
          <w:spacing w:val="-2"/>
          <w:szCs w:val="21"/>
          <w:highlight w:val="none"/>
          <w:u w:val="single"/>
        </w:rPr>
        <w:t>送</w:t>
      </w:r>
      <w:r>
        <w:rPr>
          <w:rFonts w:hint="eastAsia" w:ascii="宋体" w:hAnsi="宋体" w:cs="宋体"/>
          <w:color w:val="auto"/>
          <w:szCs w:val="21"/>
          <w:highlight w:val="none"/>
          <w:u w:val="single"/>
        </w:rPr>
        <w:t>达</w:t>
      </w:r>
      <w:r>
        <w:rPr>
          <w:rFonts w:hint="eastAsia" w:ascii="宋体" w:hAnsi="宋体" w:cs="宋体"/>
          <w:color w:val="auto"/>
          <w:spacing w:val="-2"/>
          <w:szCs w:val="21"/>
          <w:highlight w:val="none"/>
          <w:u w:val="single"/>
        </w:rPr>
        <w:t>的投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将</w:t>
      </w:r>
      <w:r>
        <w:rPr>
          <w:rFonts w:hint="eastAsia" w:ascii="宋体" w:hAnsi="宋体" w:cs="宋体"/>
          <w:color w:val="auto"/>
          <w:spacing w:val="-2"/>
          <w:szCs w:val="21"/>
          <w:highlight w:val="none"/>
          <w:u w:val="single"/>
        </w:rPr>
        <w:t>予</w:t>
      </w:r>
      <w:r>
        <w:rPr>
          <w:rFonts w:hint="eastAsia" w:ascii="宋体" w:hAnsi="宋体" w:cs="宋体"/>
          <w:color w:val="auto"/>
          <w:szCs w:val="21"/>
          <w:highlight w:val="none"/>
          <w:u w:val="single"/>
        </w:rPr>
        <w:t>以</w:t>
      </w:r>
      <w:r>
        <w:rPr>
          <w:rFonts w:hint="eastAsia" w:ascii="宋体" w:hAnsi="宋体" w:cs="宋体"/>
          <w:color w:val="auto"/>
          <w:spacing w:val="-2"/>
          <w:szCs w:val="21"/>
          <w:highlight w:val="none"/>
          <w:u w:val="single"/>
        </w:rPr>
        <w:t>拒</w:t>
      </w:r>
      <w:r>
        <w:rPr>
          <w:rFonts w:hint="eastAsia" w:ascii="宋体" w:hAnsi="宋体" w:cs="宋体"/>
          <w:color w:val="auto"/>
          <w:szCs w:val="21"/>
          <w:highlight w:val="none"/>
          <w:u w:val="single"/>
        </w:rPr>
        <w:t>收</w:t>
      </w:r>
      <w:r>
        <w:rPr>
          <w:rFonts w:hint="eastAsia" w:ascii="宋体" w:hAnsi="宋体" w:cs="宋体"/>
          <w:color w:val="auto"/>
          <w:highlight w:val="none"/>
        </w:rPr>
        <w:t>。</w:t>
      </w:r>
    </w:p>
    <w:p w14:paraId="0BCCE9E5">
      <w:pPr>
        <w:pStyle w:val="6"/>
        <w:rPr>
          <w:rFonts w:hint="eastAsia" w:ascii="宋体" w:eastAsia="宋体" w:cs="宋体"/>
          <w:color w:val="auto"/>
          <w:highlight w:val="none"/>
        </w:rPr>
      </w:pPr>
      <w:bookmarkStart w:id="241" w:name="_Toc152045558"/>
      <w:bookmarkStart w:id="242" w:name="_Toc144974526"/>
      <w:bookmarkStart w:id="243" w:name="_Toc18008"/>
      <w:bookmarkStart w:id="244" w:name="_Toc23264"/>
      <w:bookmarkStart w:id="245" w:name="_Toc247513982"/>
      <w:bookmarkStart w:id="246" w:name="_Toc152042334"/>
      <w:bookmarkStart w:id="247" w:name="_Toc247527583"/>
      <w:r>
        <w:rPr>
          <w:rFonts w:hint="eastAsia" w:ascii="宋体" w:eastAsia="宋体" w:cs="宋体"/>
          <w:color w:val="auto"/>
          <w:highlight w:val="none"/>
        </w:rPr>
        <w:t>4.3 投标文件的修改与撤回</w:t>
      </w:r>
      <w:bookmarkEnd w:id="241"/>
      <w:bookmarkEnd w:id="242"/>
      <w:bookmarkEnd w:id="243"/>
      <w:bookmarkEnd w:id="244"/>
      <w:bookmarkEnd w:id="245"/>
      <w:bookmarkEnd w:id="246"/>
      <w:bookmarkEnd w:id="247"/>
    </w:p>
    <w:p w14:paraId="64CB59F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4.3.1 在本章第2.2.2项规定的投标截止时间前，投标人可以修改或撤回已递交的投标文件，但应以书面形式通知招标人。</w:t>
      </w:r>
    </w:p>
    <w:p w14:paraId="40A823E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4.3.2 </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人</w:t>
      </w:r>
      <w:r>
        <w:rPr>
          <w:rFonts w:hint="eastAsia" w:ascii="宋体" w:hAnsi="宋体" w:cs="宋体"/>
          <w:color w:val="auto"/>
          <w:szCs w:val="21"/>
          <w:highlight w:val="none"/>
          <w:u w:val="single"/>
        </w:rPr>
        <w:t>修</w:t>
      </w:r>
      <w:r>
        <w:rPr>
          <w:rFonts w:hint="eastAsia" w:ascii="宋体" w:hAnsi="宋体" w:cs="宋体"/>
          <w:color w:val="auto"/>
          <w:spacing w:val="-2"/>
          <w:szCs w:val="21"/>
          <w:highlight w:val="none"/>
          <w:u w:val="single"/>
        </w:rPr>
        <w:t>改或</w:t>
      </w:r>
      <w:r>
        <w:rPr>
          <w:rFonts w:hint="eastAsia" w:ascii="宋体" w:hAnsi="宋体" w:cs="宋体"/>
          <w:color w:val="auto"/>
          <w:szCs w:val="21"/>
          <w:highlight w:val="none"/>
          <w:u w:val="single"/>
        </w:rPr>
        <w:t>撤回</w:t>
      </w:r>
      <w:r>
        <w:rPr>
          <w:rFonts w:hint="eastAsia" w:ascii="宋体" w:hAnsi="宋体" w:cs="宋体"/>
          <w:color w:val="auto"/>
          <w:spacing w:val="-2"/>
          <w:szCs w:val="21"/>
          <w:highlight w:val="none"/>
          <w:u w:val="single"/>
        </w:rPr>
        <w:t>已</w:t>
      </w:r>
      <w:r>
        <w:rPr>
          <w:rFonts w:hint="eastAsia" w:ascii="宋体" w:hAnsi="宋体" w:cs="宋体"/>
          <w:color w:val="auto"/>
          <w:szCs w:val="21"/>
          <w:highlight w:val="none"/>
          <w:u w:val="single"/>
        </w:rPr>
        <w:t>递</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的</w:t>
      </w:r>
      <w:r>
        <w:rPr>
          <w:rFonts w:hint="eastAsia" w:ascii="宋体" w:hAnsi="宋体" w:cs="宋体"/>
          <w:color w:val="auto"/>
          <w:spacing w:val="-2"/>
          <w:szCs w:val="21"/>
          <w:highlight w:val="none"/>
          <w:u w:val="single"/>
        </w:rPr>
        <w:t>通</w:t>
      </w:r>
      <w:r>
        <w:rPr>
          <w:rFonts w:hint="eastAsia" w:ascii="宋体" w:hAnsi="宋体" w:cs="宋体"/>
          <w:color w:val="auto"/>
          <w:szCs w:val="21"/>
          <w:highlight w:val="none"/>
          <w:u w:val="single"/>
        </w:rPr>
        <w:t>知，</w:t>
      </w:r>
      <w:r>
        <w:rPr>
          <w:rFonts w:hint="eastAsia" w:ascii="宋体" w:hAnsi="宋体" w:cs="宋体"/>
          <w:color w:val="auto"/>
          <w:spacing w:val="-2"/>
          <w:szCs w:val="21"/>
          <w:highlight w:val="none"/>
          <w:u w:val="single"/>
        </w:rPr>
        <w:t>应</w:t>
      </w:r>
      <w:r>
        <w:rPr>
          <w:rFonts w:hint="eastAsia" w:ascii="宋体" w:hAnsi="宋体" w:cs="宋体"/>
          <w:color w:val="auto"/>
          <w:szCs w:val="21"/>
          <w:highlight w:val="none"/>
          <w:u w:val="single"/>
        </w:rPr>
        <w:t>按</w:t>
      </w:r>
      <w:r>
        <w:rPr>
          <w:rFonts w:hint="eastAsia" w:ascii="宋体" w:hAnsi="宋体" w:cs="宋体"/>
          <w:color w:val="auto"/>
          <w:spacing w:val="-2"/>
          <w:szCs w:val="21"/>
          <w:highlight w:val="none"/>
          <w:u w:val="single"/>
        </w:rPr>
        <w:t>照</w:t>
      </w:r>
      <w:r>
        <w:rPr>
          <w:rFonts w:hint="eastAsia" w:ascii="宋体" w:hAnsi="宋体" w:cs="宋体"/>
          <w:color w:val="auto"/>
          <w:szCs w:val="21"/>
          <w:highlight w:val="none"/>
          <w:u w:val="single"/>
        </w:rPr>
        <w:t>本</w:t>
      </w:r>
      <w:r>
        <w:rPr>
          <w:rFonts w:hint="eastAsia" w:ascii="宋体" w:hAnsi="宋体" w:cs="宋体"/>
          <w:color w:val="auto"/>
          <w:spacing w:val="-2"/>
          <w:szCs w:val="21"/>
          <w:highlight w:val="none"/>
          <w:u w:val="single"/>
        </w:rPr>
        <w:t>章</w:t>
      </w:r>
      <w:r>
        <w:rPr>
          <w:rFonts w:hint="eastAsia" w:ascii="宋体" w:hAnsi="宋体" w:cs="宋体"/>
          <w:color w:val="auto"/>
          <w:szCs w:val="21"/>
          <w:highlight w:val="none"/>
          <w:u w:val="single"/>
        </w:rPr>
        <w:t>第</w:t>
      </w:r>
      <w:r>
        <w:rPr>
          <w:rFonts w:hint="eastAsia" w:ascii="宋体" w:hAnsi="宋体" w:cs="宋体"/>
          <w:color w:val="auto"/>
          <w:spacing w:val="12"/>
          <w:szCs w:val="21"/>
          <w:highlight w:val="none"/>
          <w:u w:val="single"/>
        </w:rPr>
        <w:t xml:space="preserve"> </w:t>
      </w:r>
      <w:r>
        <w:rPr>
          <w:rFonts w:hint="eastAsia" w:ascii="宋体" w:hAnsi="宋体" w:cs="宋体"/>
          <w:color w:val="auto"/>
          <w:szCs w:val="21"/>
          <w:highlight w:val="none"/>
          <w:u w:val="single"/>
        </w:rPr>
        <w:t>3</w:t>
      </w:r>
      <w:r>
        <w:rPr>
          <w:rFonts w:hint="eastAsia" w:ascii="宋体" w:hAnsi="宋体" w:cs="宋体"/>
          <w:color w:val="auto"/>
          <w:spacing w:val="-2"/>
          <w:szCs w:val="21"/>
          <w:highlight w:val="none"/>
          <w:u w:val="single"/>
        </w:rPr>
        <w:t>.</w:t>
      </w:r>
      <w:r>
        <w:rPr>
          <w:rFonts w:hint="eastAsia" w:ascii="宋体" w:hAnsi="宋体" w:cs="宋体"/>
          <w:color w:val="auto"/>
          <w:szCs w:val="21"/>
          <w:highlight w:val="none"/>
          <w:u w:val="single"/>
        </w:rPr>
        <w:t>7.3项</w:t>
      </w:r>
      <w:r>
        <w:rPr>
          <w:rFonts w:hint="eastAsia" w:ascii="宋体" w:hAnsi="宋体" w:cs="宋体"/>
          <w:color w:val="auto"/>
          <w:spacing w:val="-2"/>
          <w:szCs w:val="21"/>
          <w:highlight w:val="none"/>
          <w:u w:val="single"/>
        </w:rPr>
        <w:t>的</w:t>
      </w:r>
      <w:r>
        <w:rPr>
          <w:rFonts w:hint="eastAsia" w:ascii="宋体" w:hAnsi="宋体" w:cs="宋体"/>
          <w:color w:val="auto"/>
          <w:szCs w:val="21"/>
          <w:highlight w:val="none"/>
          <w:u w:val="single"/>
        </w:rPr>
        <w:t>要求加盖</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印</w:t>
      </w:r>
      <w:r>
        <w:rPr>
          <w:rFonts w:hint="eastAsia" w:ascii="宋体" w:hAnsi="宋体" w:cs="宋体"/>
          <w:color w:val="auto"/>
          <w:szCs w:val="21"/>
          <w:highlight w:val="none"/>
          <w:u w:val="single"/>
        </w:rPr>
        <w:t>章</w:t>
      </w:r>
      <w:r>
        <w:rPr>
          <w:rFonts w:hint="eastAsia" w:ascii="宋体" w:hAnsi="宋体" w:cs="宋体"/>
          <w:color w:val="auto"/>
          <w:spacing w:val="-3"/>
          <w:szCs w:val="21"/>
          <w:highlight w:val="none"/>
          <w:u w:val="single"/>
        </w:rPr>
        <w:t>。</w:t>
      </w:r>
      <w:r>
        <w:rPr>
          <w:rFonts w:hint="eastAsia" w:ascii="宋体" w:hAnsi="宋体" w:cs="宋体"/>
          <w:color w:val="auto"/>
          <w:szCs w:val="21"/>
          <w:highlight w:val="none"/>
          <w:u w:val="single"/>
        </w:rPr>
        <w:t>电</w:t>
      </w:r>
      <w:r>
        <w:rPr>
          <w:rFonts w:hint="eastAsia" w:ascii="宋体" w:hAnsi="宋体" w:cs="宋体"/>
          <w:color w:val="auto"/>
          <w:spacing w:val="-2"/>
          <w:szCs w:val="21"/>
          <w:highlight w:val="none"/>
          <w:u w:val="single"/>
        </w:rPr>
        <w:t>子</w:t>
      </w:r>
      <w:r>
        <w:rPr>
          <w:rFonts w:hint="eastAsia" w:ascii="宋体" w:hAnsi="宋体" w:cs="宋体"/>
          <w:color w:val="auto"/>
          <w:szCs w:val="21"/>
          <w:highlight w:val="none"/>
          <w:u w:val="single"/>
        </w:rPr>
        <w:t>招</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投标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w:t>
      </w:r>
      <w:r>
        <w:rPr>
          <w:rFonts w:hint="eastAsia" w:ascii="宋体" w:hAnsi="宋体" w:cs="宋体"/>
          <w:color w:val="auto"/>
          <w:spacing w:val="-2"/>
          <w:szCs w:val="21"/>
          <w:highlight w:val="none"/>
          <w:u w:val="single"/>
        </w:rPr>
        <w:t>平</w:t>
      </w:r>
      <w:r>
        <w:rPr>
          <w:rFonts w:hint="eastAsia" w:ascii="宋体" w:hAnsi="宋体" w:cs="宋体"/>
          <w:color w:val="auto"/>
          <w:szCs w:val="21"/>
          <w:highlight w:val="none"/>
          <w:u w:val="single"/>
        </w:rPr>
        <w:t>台</w:t>
      </w:r>
      <w:r>
        <w:rPr>
          <w:rFonts w:hint="eastAsia" w:ascii="宋体" w:hAnsi="宋体" w:cs="宋体"/>
          <w:color w:val="auto"/>
          <w:spacing w:val="-2"/>
          <w:szCs w:val="21"/>
          <w:highlight w:val="none"/>
          <w:u w:val="single"/>
        </w:rPr>
        <w:t>收</w:t>
      </w:r>
      <w:r>
        <w:rPr>
          <w:rFonts w:hint="eastAsia" w:ascii="宋体" w:hAnsi="宋体" w:cs="宋体"/>
          <w:color w:val="auto"/>
          <w:szCs w:val="21"/>
          <w:highlight w:val="none"/>
          <w:u w:val="single"/>
        </w:rPr>
        <w:t>到</w:t>
      </w:r>
      <w:r>
        <w:rPr>
          <w:rFonts w:hint="eastAsia" w:ascii="宋体" w:hAnsi="宋体" w:cs="宋体"/>
          <w:color w:val="auto"/>
          <w:spacing w:val="-2"/>
          <w:szCs w:val="21"/>
          <w:highlight w:val="none"/>
          <w:u w:val="single"/>
        </w:rPr>
        <w:t>通</w:t>
      </w:r>
      <w:r>
        <w:rPr>
          <w:rFonts w:hint="eastAsia" w:ascii="宋体" w:hAnsi="宋体" w:cs="宋体"/>
          <w:color w:val="auto"/>
          <w:szCs w:val="21"/>
          <w:highlight w:val="none"/>
          <w:u w:val="single"/>
        </w:rPr>
        <w:t>知</w:t>
      </w:r>
      <w:r>
        <w:rPr>
          <w:rFonts w:hint="eastAsia" w:ascii="宋体" w:hAnsi="宋体" w:cs="宋体"/>
          <w:color w:val="auto"/>
          <w:spacing w:val="-2"/>
          <w:szCs w:val="21"/>
          <w:highlight w:val="none"/>
          <w:u w:val="single"/>
        </w:rPr>
        <w:t>后</w:t>
      </w:r>
      <w:r>
        <w:rPr>
          <w:rFonts w:hint="eastAsia" w:ascii="宋体" w:hAnsi="宋体" w:cs="宋体"/>
          <w:color w:val="auto"/>
          <w:szCs w:val="21"/>
          <w:highlight w:val="none"/>
          <w:u w:val="single"/>
        </w:rPr>
        <w:t>，即</w:t>
      </w:r>
      <w:r>
        <w:rPr>
          <w:rFonts w:hint="eastAsia" w:ascii="宋体" w:hAnsi="宋体" w:cs="宋体"/>
          <w:color w:val="auto"/>
          <w:spacing w:val="-2"/>
          <w:szCs w:val="21"/>
          <w:highlight w:val="none"/>
          <w:u w:val="single"/>
        </w:rPr>
        <w:t>时</w:t>
      </w:r>
      <w:r>
        <w:rPr>
          <w:rFonts w:hint="eastAsia" w:ascii="宋体" w:hAnsi="宋体" w:cs="宋体"/>
          <w:color w:val="auto"/>
          <w:szCs w:val="21"/>
          <w:highlight w:val="none"/>
          <w:u w:val="single"/>
        </w:rPr>
        <w:t>向</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人</w:t>
      </w:r>
      <w:r>
        <w:rPr>
          <w:rFonts w:hint="eastAsia" w:ascii="宋体" w:hAnsi="宋体" w:cs="宋体"/>
          <w:color w:val="auto"/>
          <w:szCs w:val="21"/>
          <w:highlight w:val="none"/>
          <w:u w:val="single"/>
        </w:rPr>
        <w:t>发</w:t>
      </w:r>
      <w:r>
        <w:rPr>
          <w:rFonts w:hint="eastAsia" w:ascii="宋体" w:hAnsi="宋体" w:cs="宋体"/>
          <w:color w:val="auto"/>
          <w:spacing w:val="-2"/>
          <w:szCs w:val="21"/>
          <w:highlight w:val="none"/>
          <w:u w:val="single"/>
        </w:rPr>
        <w:t>出</w:t>
      </w:r>
      <w:r>
        <w:rPr>
          <w:rFonts w:hint="eastAsia" w:ascii="宋体" w:hAnsi="宋体" w:cs="宋体"/>
          <w:color w:val="auto"/>
          <w:szCs w:val="21"/>
          <w:highlight w:val="none"/>
          <w:u w:val="single"/>
        </w:rPr>
        <w:t>确</w:t>
      </w:r>
      <w:r>
        <w:rPr>
          <w:rFonts w:hint="eastAsia" w:ascii="宋体" w:hAnsi="宋体" w:cs="宋体"/>
          <w:color w:val="auto"/>
          <w:spacing w:val="-2"/>
          <w:szCs w:val="21"/>
          <w:highlight w:val="none"/>
          <w:u w:val="single"/>
        </w:rPr>
        <w:t>认</w:t>
      </w:r>
      <w:r>
        <w:rPr>
          <w:rFonts w:hint="eastAsia" w:ascii="宋体" w:hAnsi="宋体" w:cs="宋体"/>
          <w:color w:val="auto"/>
          <w:szCs w:val="21"/>
          <w:highlight w:val="none"/>
          <w:u w:val="single"/>
        </w:rPr>
        <w:t>回执</w:t>
      </w:r>
      <w:r>
        <w:rPr>
          <w:rFonts w:hint="eastAsia" w:ascii="宋体" w:hAnsi="宋体" w:cs="宋体"/>
          <w:color w:val="auto"/>
          <w:spacing w:val="-2"/>
          <w:szCs w:val="21"/>
          <w:highlight w:val="none"/>
          <w:u w:val="single"/>
        </w:rPr>
        <w:t>通</w:t>
      </w:r>
      <w:r>
        <w:rPr>
          <w:rFonts w:hint="eastAsia" w:ascii="宋体" w:hAnsi="宋体" w:cs="宋体"/>
          <w:color w:val="auto"/>
          <w:szCs w:val="21"/>
          <w:highlight w:val="none"/>
          <w:u w:val="single"/>
        </w:rPr>
        <w:t>知</w:t>
      </w:r>
      <w:r>
        <w:rPr>
          <w:rFonts w:hint="eastAsia" w:ascii="宋体" w:hAnsi="宋体" w:cs="宋体"/>
          <w:color w:val="auto"/>
          <w:highlight w:val="none"/>
        </w:rPr>
        <w:t>。</w:t>
      </w:r>
    </w:p>
    <w:p w14:paraId="4BEF38D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4.3.3 投标人撤回投标文件的，招标人自收到投标人书面撤回通知之日起5日内退还已收取的投标保证金。</w:t>
      </w:r>
    </w:p>
    <w:p w14:paraId="382CCE3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4.3.4 修改的内容为投标文件的组成部分。修改的投标文件应按照本章第3条、第4条规定进行编制、密封、标记和递交，并标明“修改”字样。</w:t>
      </w:r>
    </w:p>
    <w:p w14:paraId="0561116C">
      <w:pPr>
        <w:pStyle w:val="5"/>
        <w:rPr>
          <w:rFonts w:hint="eastAsia" w:ascii="宋体" w:hAnsi="宋体" w:eastAsia="宋体" w:cs="宋体"/>
          <w:color w:val="auto"/>
          <w:highlight w:val="none"/>
        </w:rPr>
      </w:pPr>
      <w:bookmarkStart w:id="248" w:name="_Toc963"/>
      <w:bookmarkStart w:id="249" w:name="_Toc152042335"/>
      <w:bookmarkStart w:id="250" w:name="_Toc6688"/>
      <w:bookmarkStart w:id="251" w:name="_Toc247513983"/>
      <w:bookmarkStart w:id="252" w:name="_Toc152045559"/>
      <w:bookmarkStart w:id="253" w:name="_Toc144974527"/>
      <w:bookmarkStart w:id="254" w:name="_Toc247527584"/>
      <w:r>
        <w:rPr>
          <w:rFonts w:hint="eastAsia" w:ascii="宋体" w:hAnsi="宋体" w:eastAsia="宋体" w:cs="宋体"/>
          <w:color w:val="auto"/>
          <w:highlight w:val="none"/>
        </w:rPr>
        <w:t>5. 开标</w:t>
      </w:r>
      <w:bookmarkEnd w:id="248"/>
      <w:bookmarkEnd w:id="249"/>
      <w:bookmarkEnd w:id="250"/>
      <w:bookmarkEnd w:id="251"/>
      <w:bookmarkEnd w:id="252"/>
      <w:bookmarkEnd w:id="253"/>
      <w:bookmarkEnd w:id="254"/>
    </w:p>
    <w:p w14:paraId="15DC234D">
      <w:pPr>
        <w:pStyle w:val="6"/>
        <w:rPr>
          <w:rFonts w:hint="eastAsia" w:ascii="宋体" w:eastAsia="宋体" w:cs="宋体"/>
          <w:color w:val="auto"/>
          <w:highlight w:val="none"/>
        </w:rPr>
      </w:pPr>
      <w:bookmarkStart w:id="255" w:name="_Toc247513984"/>
      <w:bookmarkStart w:id="256" w:name="_Toc152045560"/>
      <w:bookmarkStart w:id="257" w:name="_Toc18095"/>
      <w:bookmarkStart w:id="258" w:name="_Toc144974528"/>
      <w:bookmarkStart w:id="259" w:name="_Toc152042336"/>
      <w:bookmarkStart w:id="260" w:name="_Toc16458"/>
      <w:bookmarkStart w:id="261" w:name="_Toc247527585"/>
      <w:r>
        <w:rPr>
          <w:rFonts w:hint="eastAsia" w:ascii="宋体" w:eastAsia="宋体" w:cs="宋体"/>
          <w:color w:val="auto"/>
          <w:highlight w:val="none"/>
        </w:rPr>
        <w:t>5.1 开标时间和地点</w:t>
      </w:r>
      <w:bookmarkEnd w:id="255"/>
      <w:bookmarkEnd w:id="256"/>
      <w:bookmarkEnd w:id="257"/>
      <w:bookmarkEnd w:id="258"/>
      <w:bookmarkEnd w:id="259"/>
      <w:bookmarkEnd w:id="260"/>
      <w:bookmarkEnd w:id="261"/>
    </w:p>
    <w:p w14:paraId="47C2BD7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招标人在本章第2.2.2项规定的投标截止时间（开标时间）和投标人须知前附表规定的地点公开开标，并邀请所有投标人的法定代表人或其委托代理人准时参加。</w:t>
      </w:r>
    </w:p>
    <w:p w14:paraId="6675C342">
      <w:pPr>
        <w:pStyle w:val="6"/>
        <w:rPr>
          <w:rFonts w:hint="eastAsia" w:ascii="宋体" w:eastAsia="宋体" w:cs="宋体"/>
          <w:color w:val="auto"/>
          <w:highlight w:val="none"/>
        </w:rPr>
      </w:pPr>
      <w:bookmarkStart w:id="262" w:name="_Toc152045561"/>
      <w:bookmarkStart w:id="263" w:name="_Toc247527586"/>
      <w:bookmarkStart w:id="264" w:name="_Toc144974529"/>
      <w:bookmarkStart w:id="265" w:name="_Toc19643"/>
      <w:bookmarkStart w:id="266" w:name="_Toc152042337"/>
      <w:bookmarkStart w:id="267" w:name="_Toc22865"/>
      <w:bookmarkStart w:id="268" w:name="_Toc247513985"/>
      <w:r>
        <w:rPr>
          <w:rFonts w:hint="eastAsia" w:ascii="宋体" w:eastAsia="宋体" w:cs="宋体"/>
          <w:color w:val="auto"/>
          <w:highlight w:val="none"/>
        </w:rPr>
        <w:t>5.2 开标程序</w:t>
      </w:r>
      <w:bookmarkEnd w:id="262"/>
      <w:bookmarkEnd w:id="263"/>
      <w:bookmarkEnd w:id="264"/>
      <w:bookmarkEnd w:id="265"/>
      <w:bookmarkEnd w:id="266"/>
      <w:bookmarkEnd w:id="267"/>
      <w:bookmarkEnd w:id="268"/>
    </w:p>
    <w:p w14:paraId="7DF3A438">
      <w:pPr>
        <w:snapToGrid w:val="0"/>
        <w:spacing w:line="360" w:lineRule="auto"/>
        <w:ind w:firstLine="420" w:firstLineChars="200"/>
        <w:rPr>
          <w:rFonts w:hint="eastAsia" w:ascii="新宋体" w:hAnsi="新宋体" w:eastAsia="新宋体" w:cs="新宋体"/>
          <w:color w:val="auto"/>
          <w:szCs w:val="21"/>
          <w:highlight w:val="none"/>
          <w:u w:val="single"/>
        </w:rPr>
      </w:pPr>
      <w:bookmarkStart w:id="269" w:name="_Toc27275"/>
      <w:r>
        <w:rPr>
          <w:rFonts w:hint="eastAsia" w:ascii="新宋体" w:hAnsi="新宋体" w:eastAsia="新宋体" w:cs="新宋体"/>
          <w:color w:val="auto"/>
          <w:szCs w:val="21"/>
          <w:highlight w:val="none"/>
          <w:u w:val="single"/>
        </w:rPr>
        <w:t>主持人按下列程序进行开标：</w:t>
      </w:r>
    </w:p>
    <w:p w14:paraId="527EFAB3">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（1）宣布开标纪律；</w:t>
      </w:r>
    </w:p>
    <w:p w14:paraId="33366877">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（2）公布在投标截止时间前递交投标文件的投标人名称；</w:t>
      </w:r>
    </w:p>
    <w:p w14:paraId="57A2272D">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3）在投标截止时间后60分钟内，投标人通过递交投标文件的交易平台对已递交的电子投标文件进行解密。投标人完成解密后，再由招标人进行解密（投标人只用执行一次解密，招标人执行解密次数根据招标文件开标次数确定）。</w:t>
      </w:r>
    </w:p>
    <w:p w14:paraId="6E0811F3">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（4）解密完成后，公布：a投标人名称；b投标文件递交情况；c投标文件解密情况；d投标担保递交情况；e项目负责人(兼施工负责人)、设计负责人、</w:t>
      </w:r>
      <w:r>
        <w:rPr>
          <w:rFonts w:hint="eastAsia" w:ascii="新宋体" w:hAnsi="新宋体" w:eastAsia="新宋体" w:cs="新宋体"/>
          <w:strike/>
          <w:color w:val="auto"/>
          <w:szCs w:val="21"/>
          <w:highlight w:val="none"/>
          <w:u w:val="single"/>
        </w:rPr>
        <w:t>施工负责人、</w:t>
      </w:r>
      <w:r>
        <w:rPr>
          <w:rFonts w:hint="eastAsia" w:ascii="新宋体" w:hAnsi="新宋体" w:eastAsia="新宋体" w:cs="新宋体"/>
          <w:color w:val="auto"/>
          <w:szCs w:val="21"/>
          <w:highlight w:val="none"/>
          <w:u w:val="single"/>
        </w:rPr>
        <w:t>专职安全员；f投标报价（含设计报价和施工报价）；g工期；h质量标准；i投标人的加密打包投标文件电脑机器特征码等主要内容，并记录在案。未在规定时间内解密的投标文件不参与开标、评标。</w:t>
      </w:r>
    </w:p>
    <w:p w14:paraId="62E9C2F9">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（5）截标后，开标开始时间因故推迟的，相关评标信息仍以原定的开标开始时间的信息为准。</w:t>
      </w:r>
    </w:p>
    <w:p w14:paraId="465C866A">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（6）备用光盘的读取按“10 电子招标投标”第6点的规定执行。</w:t>
      </w:r>
    </w:p>
    <w:p w14:paraId="74804583">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1ECC49C4">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4BE6B6B">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（9）投标人未参加开标或在规定的时间内未提出异议的，视为对开标无异议。</w:t>
      </w:r>
    </w:p>
    <w:p w14:paraId="6358EE8E">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（10）开标时，本项目两个（含两个）以上的投标人加密打包投标文件电脑机器特征码一致的，不参与下一程序，并由评标委员会否决其投标。</w:t>
      </w:r>
    </w:p>
    <w:p w14:paraId="132B8A8A">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11）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3A0722C9">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（12）投标人代表、招标人代表、监标人、记录人等有关人员在开标记录上签字确认；若有关人员不签字的，不影响开标程序；</w:t>
      </w:r>
    </w:p>
    <w:p w14:paraId="743A455C">
      <w:pPr>
        <w:snapToGrid w:val="0"/>
        <w:spacing w:line="360" w:lineRule="auto"/>
        <w:ind w:firstLine="420" w:firstLineChars="200"/>
        <w:rPr>
          <w:rFonts w:hint="eastAsia" w:ascii="新宋体" w:hAnsi="新宋体" w:eastAsia="新宋体" w:cs="新宋体"/>
          <w:color w:val="auto"/>
          <w:szCs w:val="21"/>
          <w:highlight w:val="none"/>
          <w:u w:val="single"/>
        </w:rPr>
      </w:pPr>
      <w:r>
        <w:rPr>
          <w:rFonts w:hint="eastAsia" w:ascii="新宋体" w:hAnsi="新宋体" w:eastAsia="新宋体" w:cs="新宋体"/>
          <w:color w:val="auto"/>
          <w:szCs w:val="21"/>
          <w:highlight w:val="none"/>
          <w:u w:val="single"/>
        </w:rPr>
        <w:t>（13）开标结束。</w:t>
      </w:r>
    </w:p>
    <w:p w14:paraId="21ADD7DC">
      <w:pPr>
        <w:pStyle w:val="6"/>
        <w:rPr>
          <w:rFonts w:hint="eastAsia" w:ascii="宋体" w:eastAsia="宋体" w:cs="宋体"/>
          <w:color w:val="auto"/>
          <w:highlight w:val="none"/>
        </w:rPr>
      </w:pPr>
      <w:bookmarkStart w:id="270" w:name="_Toc26734"/>
      <w:r>
        <w:rPr>
          <w:rFonts w:hint="eastAsia" w:ascii="宋体" w:eastAsia="宋体" w:cs="宋体"/>
          <w:color w:val="auto"/>
          <w:highlight w:val="none"/>
        </w:rPr>
        <w:t>5.3 开标异议</w:t>
      </w:r>
      <w:bookmarkEnd w:id="269"/>
      <w:bookmarkEnd w:id="270"/>
    </w:p>
    <w:p w14:paraId="6EE8D8CC">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投标人对开标有异议的，应当在</w:t>
      </w:r>
      <w:r>
        <w:rPr>
          <w:rFonts w:hint="eastAsia" w:ascii="宋体" w:hAnsi="宋体" w:cs="宋体"/>
          <w:color w:val="auto"/>
          <w:highlight w:val="none"/>
          <w:u w:val="single"/>
        </w:rPr>
        <w:t>交易平台规定的时间内</w:t>
      </w:r>
      <w:r>
        <w:rPr>
          <w:rFonts w:hint="eastAsia" w:ascii="宋体" w:hAnsi="宋体" w:cs="宋体"/>
          <w:color w:val="auto"/>
          <w:highlight w:val="none"/>
        </w:rPr>
        <w:t>提出，招标人当场作出答复，并制作记录。</w:t>
      </w:r>
      <w:bookmarkStart w:id="271" w:name="_Toc152042338"/>
      <w:bookmarkStart w:id="272" w:name="_Toc247513986"/>
      <w:bookmarkStart w:id="273" w:name="_Toc152045562"/>
      <w:bookmarkStart w:id="274" w:name="_Toc18405"/>
      <w:bookmarkStart w:id="275" w:name="_Toc247527587"/>
      <w:bookmarkStart w:id="276" w:name="_Toc144974530"/>
    </w:p>
    <w:p w14:paraId="3EC1647A">
      <w:pPr>
        <w:spacing w:line="400" w:lineRule="exact"/>
        <w:ind w:firstLine="359" w:firstLineChars="171"/>
        <w:rPr>
          <w:rFonts w:hint="eastAsia" w:ascii="宋体" w:hAnsi="宋体" w:cs="宋体"/>
          <w:color w:val="auto"/>
          <w:highlight w:val="none"/>
        </w:rPr>
      </w:pPr>
    </w:p>
    <w:p w14:paraId="29465D73">
      <w:pPr>
        <w:numPr>
          <w:ilvl w:val="0"/>
          <w:numId w:val="2"/>
        </w:numPr>
        <w:spacing w:line="400" w:lineRule="exact"/>
        <w:ind w:firstLine="478" w:firstLineChars="171"/>
        <w:outlineLvl w:val="1"/>
        <w:rPr>
          <w:rFonts w:hint="eastAsia" w:ascii="宋体" w:hAnsi="宋体" w:cs="宋体"/>
          <w:bCs/>
          <w:color w:val="auto"/>
          <w:sz w:val="28"/>
          <w:szCs w:val="28"/>
          <w:highlight w:val="none"/>
        </w:rPr>
      </w:pPr>
      <w:bookmarkStart w:id="277" w:name="_Toc6783"/>
      <w:r>
        <w:rPr>
          <w:rFonts w:hint="eastAsia" w:ascii="宋体" w:hAnsi="宋体" w:cs="宋体"/>
          <w:bCs/>
          <w:color w:val="auto"/>
          <w:sz w:val="28"/>
          <w:szCs w:val="28"/>
          <w:highlight w:val="none"/>
        </w:rPr>
        <w:t>评标</w:t>
      </w:r>
      <w:bookmarkEnd w:id="271"/>
      <w:bookmarkEnd w:id="272"/>
      <w:bookmarkEnd w:id="273"/>
      <w:bookmarkEnd w:id="274"/>
      <w:bookmarkEnd w:id="275"/>
      <w:bookmarkEnd w:id="276"/>
      <w:bookmarkEnd w:id="277"/>
      <w:bookmarkStart w:id="278" w:name="_Toc152042339"/>
      <w:bookmarkStart w:id="279" w:name="_Toc19178"/>
      <w:bookmarkStart w:id="280" w:name="_Toc152045563"/>
      <w:bookmarkStart w:id="281" w:name="_Toc144974531"/>
      <w:bookmarkStart w:id="282" w:name="_Toc247513987"/>
      <w:bookmarkStart w:id="283" w:name="_Toc247527588"/>
    </w:p>
    <w:p w14:paraId="4AB22E47">
      <w:pPr>
        <w:spacing w:line="400" w:lineRule="exact"/>
        <w:rPr>
          <w:rFonts w:hint="eastAsia" w:ascii="宋体" w:hAnsi="宋体" w:cs="宋体"/>
          <w:color w:val="auto"/>
          <w:highlight w:val="none"/>
        </w:rPr>
      </w:pPr>
    </w:p>
    <w:p w14:paraId="3B6FC8E3">
      <w:pPr>
        <w:spacing w:line="400" w:lineRule="exact"/>
        <w:ind w:firstLine="420" w:firstLineChars="200"/>
        <w:outlineLvl w:val="2"/>
        <w:rPr>
          <w:rFonts w:hint="eastAsia" w:ascii="宋体" w:hAnsi="宋体" w:cs="宋体"/>
          <w:color w:val="auto"/>
          <w:highlight w:val="none"/>
        </w:rPr>
      </w:pPr>
      <w:bookmarkStart w:id="284" w:name="_Toc2239"/>
      <w:r>
        <w:rPr>
          <w:rFonts w:hint="eastAsia" w:ascii="宋体" w:hAnsi="宋体" w:cs="宋体"/>
          <w:color w:val="auto"/>
          <w:highlight w:val="none"/>
        </w:rPr>
        <w:t>6.1 评标委员会</w:t>
      </w:r>
      <w:bookmarkEnd w:id="278"/>
      <w:bookmarkEnd w:id="279"/>
      <w:bookmarkEnd w:id="280"/>
      <w:bookmarkEnd w:id="281"/>
      <w:bookmarkEnd w:id="282"/>
      <w:bookmarkEnd w:id="283"/>
      <w:bookmarkEnd w:id="284"/>
    </w:p>
    <w:p w14:paraId="018CA97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417445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6.1.2 评标委员会成员有下列情形之一的，应当回避：</w:t>
      </w:r>
    </w:p>
    <w:p w14:paraId="098FBC3A">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（1）投标人或投标人主要负责人的近亲属；</w:t>
      </w:r>
    </w:p>
    <w:p w14:paraId="1DD70845">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（2）项目主管部门或者行政监督部门的人员；</w:t>
      </w:r>
    </w:p>
    <w:p w14:paraId="5A2A7322">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（3）与投标人有经济利益关系，可能影响对投标公正评审的；</w:t>
      </w:r>
    </w:p>
    <w:p w14:paraId="77BA28DA">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（4）曾因在招标、评标以及其他与招标投标有关活动中从事违法行为而受过行政处罚或刑事处罚的；</w:t>
      </w:r>
    </w:p>
    <w:p w14:paraId="2E0053AD">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（5）与投标人有其他利害关系。</w:t>
      </w:r>
    </w:p>
    <w:p w14:paraId="02DE6AD9">
      <w:pPr>
        <w:pStyle w:val="2"/>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6.1.3 评标过程中，评标委员会成员有回避事由、擅离职守或者因健康等原因不能继续评标的，招标人有权更换。被更换的评标委员会成员作出的评审结论无效，由更换后的评标委员会成员重新进行评审；</w:t>
      </w:r>
    </w:p>
    <w:p w14:paraId="02B72082">
      <w:pPr>
        <w:pStyle w:val="2"/>
        <w:rPr>
          <w:rFonts w:hint="eastAsia" w:ascii="宋体" w:hAnsi="宋体" w:cs="宋体"/>
          <w:b/>
          <w:bCs/>
          <w:color w:val="auto"/>
          <w:sz w:val="21"/>
          <w:szCs w:val="21"/>
          <w:highlight w:val="none"/>
          <w:u w:val="single"/>
        </w:rPr>
      </w:pPr>
      <w:r>
        <w:rPr>
          <w:rFonts w:hint="eastAsia" w:ascii="宋体" w:hAnsi="宋体" w:cs="宋体"/>
          <w:color w:val="auto"/>
          <w:sz w:val="21"/>
          <w:szCs w:val="21"/>
          <w:highlight w:val="none"/>
          <w:u w:val="single"/>
        </w:rPr>
        <w:t>6.1.4评标委员会在开始评标前，应了解评标专家的职责及守则，认真阅读附件《评标委员会成员声明》的内容并签名，签字后方可进行评标。</w:t>
      </w:r>
    </w:p>
    <w:p w14:paraId="7C4F6B13">
      <w:pPr>
        <w:pStyle w:val="6"/>
        <w:rPr>
          <w:rFonts w:hint="eastAsia" w:ascii="宋体" w:eastAsia="宋体" w:cs="宋体"/>
          <w:color w:val="auto"/>
          <w:highlight w:val="none"/>
        </w:rPr>
      </w:pPr>
      <w:bookmarkStart w:id="285" w:name="_Toc29261"/>
      <w:bookmarkStart w:id="286" w:name="_Toc2192"/>
      <w:bookmarkStart w:id="287" w:name="_Toc247513988"/>
      <w:bookmarkStart w:id="288" w:name="_Toc152042340"/>
      <w:bookmarkStart w:id="289" w:name="_Toc247527589"/>
      <w:bookmarkStart w:id="290" w:name="_Toc152045564"/>
      <w:bookmarkStart w:id="291" w:name="_Toc144974532"/>
      <w:r>
        <w:rPr>
          <w:rFonts w:hint="eastAsia" w:ascii="宋体" w:eastAsia="宋体" w:cs="宋体"/>
          <w:color w:val="auto"/>
          <w:highlight w:val="none"/>
        </w:rPr>
        <w:t>6.2 评标原则</w:t>
      </w:r>
      <w:bookmarkEnd w:id="285"/>
      <w:bookmarkEnd w:id="286"/>
      <w:bookmarkEnd w:id="287"/>
      <w:bookmarkEnd w:id="288"/>
      <w:bookmarkEnd w:id="289"/>
      <w:bookmarkEnd w:id="290"/>
      <w:bookmarkEnd w:id="291"/>
      <w:r>
        <w:rPr>
          <w:rFonts w:hint="eastAsia" w:ascii="宋体" w:eastAsia="宋体" w:cs="宋体"/>
          <w:color w:val="auto"/>
          <w:highlight w:val="none"/>
        </w:rPr>
        <w:tab/>
      </w:r>
    </w:p>
    <w:p w14:paraId="4C02E89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评标活动遵循公平、公正、科学和择优的原则。</w:t>
      </w:r>
    </w:p>
    <w:p w14:paraId="55126C99">
      <w:pPr>
        <w:pStyle w:val="6"/>
        <w:rPr>
          <w:rFonts w:hint="eastAsia" w:ascii="宋体" w:eastAsia="宋体" w:cs="宋体"/>
          <w:color w:val="auto"/>
          <w:highlight w:val="none"/>
        </w:rPr>
      </w:pPr>
      <w:bookmarkStart w:id="292" w:name="_Toc247513989"/>
      <w:bookmarkStart w:id="293" w:name="_Toc24990"/>
      <w:bookmarkStart w:id="294" w:name="_Toc144974533"/>
      <w:bookmarkStart w:id="295" w:name="_Toc152042341"/>
      <w:bookmarkStart w:id="296" w:name="_Toc152045565"/>
      <w:bookmarkStart w:id="297" w:name="_Toc9663"/>
      <w:bookmarkStart w:id="298" w:name="_Toc247527590"/>
      <w:r>
        <w:rPr>
          <w:rFonts w:hint="eastAsia" w:ascii="宋体" w:eastAsia="宋体" w:cs="宋体"/>
          <w:color w:val="auto"/>
          <w:highlight w:val="none"/>
        </w:rPr>
        <w:t>6.3 评标</w:t>
      </w:r>
      <w:bookmarkEnd w:id="292"/>
      <w:bookmarkEnd w:id="293"/>
      <w:bookmarkEnd w:id="294"/>
      <w:bookmarkEnd w:id="295"/>
      <w:bookmarkEnd w:id="296"/>
      <w:bookmarkEnd w:id="297"/>
      <w:bookmarkEnd w:id="298"/>
    </w:p>
    <w:p w14:paraId="356F85E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6.3.1评标委员会按照第三章“评标办法”规定的方法、评审因素、标准和程序对投标文件进行评审。第三章“评标办法”没有规定的方法、评审因素和标准，不作为评标依据。</w:t>
      </w:r>
    </w:p>
    <w:p w14:paraId="1B134863">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6.3.2评标完成后，评标委员会应当向招标人提交书面评标报告和中标候选人名单。评标委员会推荐中标候选人的人数见投标人须知前附表。</w:t>
      </w:r>
    </w:p>
    <w:p w14:paraId="45859286">
      <w:pPr>
        <w:spacing w:line="400" w:lineRule="exact"/>
        <w:ind w:firstLine="420" w:firstLineChars="200"/>
        <w:rPr>
          <w:rFonts w:hint="eastAsia" w:ascii="宋体" w:hAnsi="宋体" w:cs="宋体"/>
          <w:color w:val="auto"/>
          <w:highlight w:val="none"/>
        </w:rPr>
      </w:pPr>
    </w:p>
    <w:p w14:paraId="56010DB7">
      <w:pPr>
        <w:pStyle w:val="5"/>
        <w:rPr>
          <w:rFonts w:hint="eastAsia" w:ascii="宋体" w:hAnsi="宋体" w:eastAsia="宋体" w:cs="宋体"/>
          <w:color w:val="auto"/>
          <w:highlight w:val="none"/>
        </w:rPr>
      </w:pPr>
      <w:bookmarkStart w:id="299" w:name="_Toc7626"/>
      <w:bookmarkStart w:id="300" w:name="_Toc144974534"/>
      <w:bookmarkStart w:id="301" w:name="_Toc25703"/>
      <w:bookmarkStart w:id="302" w:name="_Toc247513990"/>
      <w:bookmarkStart w:id="303" w:name="_Toc152045566"/>
      <w:bookmarkStart w:id="304" w:name="_Toc152042342"/>
      <w:bookmarkStart w:id="305" w:name="_Toc247527591"/>
      <w:r>
        <w:rPr>
          <w:rFonts w:hint="eastAsia" w:ascii="宋体" w:hAnsi="宋体" w:eastAsia="宋体" w:cs="宋体"/>
          <w:color w:val="auto"/>
          <w:highlight w:val="none"/>
        </w:rPr>
        <w:t>7. 合同授予</w:t>
      </w:r>
      <w:bookmarkEnd w:id="299"/>
      <w:bookmarkEnd w:id="300"/>
      <w:bookmarkEnd w:id="301"/>
      <w:bookmarkEnd w:id="302"/>
      <w:bookmarkEnd w:id="303"/>
      <w:bookmarkEnd w:id="304"/>
      <w:bookmarkEnd w:id="305"/>
    </w:p>
    <w:p w14:paraId="0760C431">
      <w:pPr>
        <w:pStyle w:val="6"/>
        <w:rPr>
          <w:rFonts w:hint="eastAsia" w:ascii="宋体" w:eastAsia="宋体" w:cs="宋体"/>
          <w:color w:val="auto"/>
          <w:highlight w:val="none"/>
        </w:rPr>
      </w:pPr>
      <w:bookmarkStart w:id="306" w:name="_Toc11234"/>
      <w:bookmarkStart w:id="307" w:name="_Toc144974535"/>
      <w:bookmarkStart w:id="308" w:name="_Toc152045567"/>
      <w:bookmarkStart w:id="309" w:name="_Toc247513991"/>
      <w:bookmarkStart w:id="310" w:name="_Toc4338"/>
      <w:bookmarkStart w:id="311" w:name="_Toc152042343"/>
      <w:bookmarkStart w:id="312" w:name="_Toc247527592"/>
      <w:r>
        <w:rPr>
          <w:rFonts w:hint="eastAsia" w:ascii="宋体" w:eastAsia="宋体" w:cs="宋体"/>
          <w:color w:val="auto"/>
          <w:highlight w:val="none"/>
        </w:rPr>
        <w:t>7.1 定标方式</w:t>
      </w:r>
      <w:bookmarkEnd w:id="306"/>
      <w:bookmarkEnd w:id="307"/>
      <w:bookmarkEnd w:id="308"/>
      <w:bookmarkEnd w:id="309"/>
      <w:bookmarkEnd w:id="310"/>
      <w:bookmarkEnd w:id="311"/>
      <w:bookmarkEnd w:id="312"/>
    </w:p>
    <w:p w14:paraId="5707588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14:paraId="2FAD3EDF">
      <w:pPr>
        <w:pStyle w:val="6"/>
        <w:rPr>
          <w:rFonts w:hint="eastAsia" w:ascii="宋体" w:eastAsia="宋体" w:cs="宋体"/>
          <w:color w:val="auto"/>
          <w:highlight w:val="none"/>
        </w:rPr>
      </w:pPr>
      <w:bookmarkStart w:id="313" w:name="_Toc11852"/>
      <w:bookmarkStart w:id="314" w:name="_Toc14554"/>
      <w:r>
        <w:rPr>
          <w:rFonts w:hint="eastAsia" w:ascii="宋体" w:eastAsia="宋体" w:cs="宋体"/>
          <w:color w:val="auto"/>
          <w:highlight w:val="none"/>
        </w:rPr>
        <w:t>7.2 中标候选人公示</w:t>
      </w:r>
      <w:bookmarkEnd w:id="313"/>
      <w:bookmarkEnd w:id="314"/>
    </w:p>
    <w:p w14:paraId="34A79F5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招标人在投标人须知前附表规定的媒介公示中标候选人。</w:t>
      </w:r>
    </w:p>
    <w:p w14:paraId="4528046C">
      <w:pPr>
        <w:pStyle w:val="6"/>
        <w:rPr>
          <w:rFonts w:hint="eastAsia" w:ascii="宋体" w:eastAsia="宋体" w:cs="宋体"/>
          <w:color w:val="auto"/>
          <w:highlight w:val="none"/>
        </w:rPr>
      </w:pPr>
      <w:bookmarkStart w:id="315" w:name="_Toc247513992"/>
      <w:bookmarkStart w:id="316" w:name="_Toc144974536"/>
      <w:bookmarkStart w:id="317" w:name="_Toc152042344"/>
      <w:bookmarkStart w:id="318" w:name="_Toc152045568"/>
      <w:bookmarkStart w:id="319" w:name="_Toc12010"/>
      <w:bookmarkStart w:id="320" w:name="_Toc6076"/>
      <w:bookmarkStart w:id="321" w:name="_Toc247527593"/>
      <w:r>
        <w:rPr>
          <w:rFonts w:hint="eastAsia" w:ascii="宋体" w:eastAsia="宋体" w:cs="宋体"/>
          <w:color w:val="auto"/>
          <w:highlight w:val="none"/>
        </w:rPr>
        <w:t>7.3 中标通知</w:t>
      </w:r>
      <w:bookmarkEnd w:id="315"/>
      <w:bookmarkEnd w:id="316"/>
      <w:bookmarkEnd w:id="317"/>
      <w:bookmarkEnd w:id="318"/>
      <w:bookmarkEnd w:id="319"/>
      <w:bookmarkEnd w:id="320"/>
      <w:bookmarkEnd w:id="321"/>
    </w:p>
    <w:p w14:paraId="52C82A4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在本章第3.3款规定的投标有效期内，招标人以书面形式向中标人发出中标通知书，同时将中标结果通知未中标的投标人。中标通知书按本章附表格式填写。</w:t>
      </w:r>
    </w:p>
    <w:p w14:paraId="14AC194E">
      <w:pPr>
        <w:pStyle w:val="6"/>
        <w:rPr>
          <w:rFonts w:hint="eastAsia" w:ascii="宋体" w:eastAsia="宋体" w:cs="宋体"/>
          <w:strike w:val="0"/>
          <w:color w:val="auto"/>
          <w:highlight w:val="none"/>
        </w:rPr>
      </w:pPr>
      <w:bookmarkStart w:id="322" w:name="_Toc247527594"/>
      <w:bookmarkStart w:id="323" w:name="_Toc247513993"/>
      <w:bookmarkStart w:id="324" w:name="_Toc25890"/>
      <w:bookmarkStart w:id="325" w:name="_Toc144974537"/>
      <w:bookmarkStart w:id="326" w:name="_Toc24641"/>
      <w:bookmarkStart w:id="327" w:name="_Toc152045569"/>
      <w:bookmarkStart w:id="328" w:name="_Toc152042345"/>
      <w:r>
        <w:rPr>
          <w:rFonts w:hint="eastAsia" w:ascii="宋体" w:eastAsia="宋体" w:cs="宋体"/>
          <w:strike w:val="0"/>
          <w:color w:val="auto"/>
          <w:highlight w:val="none"/>
        </w:rPr>
        <w:t>7.4 履约担保</w:t>
      </w:r>
      <w:bookmarkEnd w:id="322"/>
      <w:bookmarkEnd w:id="323"/>
      <w:bookmarkEnd w:id="324"/>
      <w:bookmarkEnd w:id="325"/>
      <w:bookmarkEnd w:id="326"/>
      <w:bookmarkEnd w:id="327"/>
      <w:bookmarkEnd w:id="328"/>
    </w:p>
    <w:p w14:paraId="106260F5">
      <w:pPr>
        <w:spacing w:line="400" w:lineRule="exact"/>
        <w:ind w:firstLine="420" w:firstLineChars="200"/>
        <w:rPr>
          <w:rFonts w:hint="eastAsia" w:ascii="宋体" w:hAnsi="宋体" w:cs="宋体"/>
          <w:strike w:val="0"/>
          <w:color w:val="auto"/>
          <w:highlight w:val="none"/>
        </w:rPr>
      </w:pPr>
      <w:r>
        <w:rPr>
          <w:rFonts w:hint="eastAsia" w:ascii="宋体" w:hAnsi="宋体" w:cs="宋体"/>
          <w:strike w:val="0"/>
          <w:color w:val="auto"/>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主办人的名义提交。</w:t>
      </w:r>
    </w:p>
    <w:p w14:paraId="5443CB0C">
      <w:pPr>
        <w:spacing w:line="400" w:lineRule="exact"/>
        <w:ind w:firstLine="420" w:firstLineChars="200"/>
        <w:rPr>
          <w:rFonts w:hint="eastAsia" w:ascii="宋体" w:hAnsi="宋体" w:cs="宋体"/>
          <w:strike w:val="0"/>
          <w:color w:val="auto"/>
          <w:highlight w:val="none"/>
        </w:rPr>
      </w:pPr>
      <w:r>
        <w:rPr>
          <w:rFonts w:hint="eastAsia" w:ascii="宋体" w:hAnsi="宋体" w:cs="宋体"/>
          <w:strike w:val="0"/>
          <w:color w:val="auto"/>
          <w:highlight w:val="none"/>
        </w:rPr>
        <w:t>7.4.2 中标人不能按本章第7.4.1项要求提交履约担保的，视为放弃中标，其投标保证金不予退还，给招标人造成的损失超过投标保证金数额的，中标人还应当对超过部分予以赔偿。</w:t>
      </w:r>
    </w:p>
    <w:p w14:paraId="31CA1E0E">
      <w:pPr>
        <w:pStyle w:val="6"/>
        <w:rPr>
          <w:rFonts w:hint="eastAsia" w:ascii="宋体" w:eastAsia="宋体" w:cs="宋体"/>
          <w:color w:val="auto"/>
          <w:highlight w:val="none"/>
        </w:rPr>
      </w:pPr>
      <w:bookmarkStart w:id="329" w:name="_Toc144974538"/>
      <w:bookmarkStart w:id="330" w:name="_Toc247527595"/>
      <w:bookmarkStart w:id="331" w:name="_Toc152045570"/>
      <w:bookmarkStart w:id="332" w:name="_Toc4692"/>
      <w:bookmarkStart w:id="333" w:name="_Toc13630"/>
      <w:bookmarkStart w:id="334" w:name="_Toc152042346"/>
      <w:bookmarkStart w:id="335" w:name="_Toc247513994"/>
      <w:r>
        <w:rPr>
          <w:rFonts w:hint="eastAsia" w:ascii="宋体" w:eastAsia="宋体" w:cs="宋体"/>
          <w:color w:val="auto"/>
          <w:highlight w:val="none"/>
        </w:rPr>
        <w:t>7.5 签订合同</w:t>
      </w:r>
      <w:bookmarkEnd w:id="329"/>
      <w:bookmarkEnd w:id="330"/>
      <w:bookmarkEnd w:id="331"/>
      <w:bookmarkEnd w:id="332"/>
      <w:bookmarkEnd w:id="333"/>
      <w:bookmarkEnd w:id="334"/>
      <w:bookmarkEnd w:id="335"/>
    </w:p>
    <w:p w14:paraId="3B399FA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446265D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7.5.2 发出中标通知书后，招标人无正当理由拒签合同的，招标人向中标人退还投标保证金；给中标人造成损失的，还应当赔偿损失。 </w:t>
      </w:r>
    </w:p>
    <w:p w14:paraId="72BAE4F3">
      <w:pPr>
        <w:pStyle w:val="5"/>
        <w:rPr>
          <w:rFonts w:hint="eastAsia" w:ascii="宋体" w:hAnsi="宋体" w:eastAsia="宋体" w:cs="宋体"/>
          <w:color w:val="auto"/>
          <w:highlight w:val="none"/>
        </w:rPr>
      </w:pPr>
      <w:bookmarkStart w:id="336" w:name="_Toc247513995"/>
      <w:bookmarkStart w:id="337" w:name="_Toc247527596"/>
      <w:bookmarkStart w:id="338" w:name="_Toc152045571"/>
      <w:bookmarkStart w:id="339" w:name="_Toc144974539"/>
      <w:bookmarkStart w:id="340" w:name="_Toc152042347"/>
      <w:bookmarkStart w:id="341" w:name="_Toc23477"/>
      <w:bookmarkStart w:id="342" w:name="_Toc26568"/>
      <w:r>
        <w:rPr>
          <w:rFonts w:hint="eastAsia" w:ascii="宋体" w:hAnsi="宋体" w:eastAsia="宋体" w:cs="宋体"/>
          <w:color w:val="auto"/>
          <w:highlight w:val="none"/>
        </w:rPr>
        <w:t>8.</w:t>
      </w:r>
      <w:bookmarkEnd w:id="336"/>
      <w:bookmarkEnd w:id="337"/>
      <w:bookmarkEnd w:id="338"/>
      <w:bookmarkEnd w:id="339"/>
      <w:bookmarkEnd w:id="340"/>
      <w:bookmarkStart w:id="343" w:name="_Toc152042350"/>
      <w:bookmarkStart w:id="344" w:name="_Toc152045574"/>
      <w:bookmarkStart w:id="345" w:name="_Toc247527599"/>
      <w:bookmarkStart w:id="346" w:name="_Toc247513998"/>
      <w:bookmarkStart w:id="347" w:name="_Toc144974542"/>
      <w:r>
        <w:rPr>
          <w:rFonts w:hint="eastAsia" w:ascii="宋体" w:hAnsi="宋体" w:eastAsia="宋体" w:cs="宋体"/>
          <w:color w:val="auto"/>
          <w:highlight w:val="none"/>
        </w:rPr>
        <w:t xml:space="preserve"> 纪律和监督</w:t>
      </w:r>
      <w:bookmarkEnd w:id="341"/>
      <w:bookmarkEnd w:id="342"/>
      <w:bookmarkEnd w:id="343"/>
      <w:bookmarkEnd w:id="344"/>
      <w:bookmarkEnd w:id="345"/>
      <w:bookmarkEnd w:id="346"/>
      <w:bookmarkEnd w:id="347"/>
    </w:p>
    <w:p w14:paraId="23F756C3">
      <w:pPr>
        <w:pStyle w:val="6"/>
        <w:rPr>
          <w:rFonts w:hint="eastAsia" w:ascii="宋体" w:eastAsia="宋体" w:cs="宋体"/>
          <w:color w:val="auto"/>
          <w:highlight w:val="none"/>
        </w:rPr>
      </w:pPr>
      <w:bookmarkStart w:id="348" w:name="_Toc152045575"/>
      <w:bookmarkStart w:id="349" w:name="_Toc247527600"/>
      <w:bookmarkStart w:id="350" w:name="_Toc144974543"/>
      <w:bookmarkStart w:id="351" w:name="_Toc9436"/>
      <w:bookmarkStart w:id="352" w:name="_Toc10904"/>
      <w:bookmarkStart w:id="353" w:name="_Toc152042351"/>
      <w:bookmarkStart w:id="354" w:name="_Toc247513999"/>
      <w:r>
        <w:rPr>
          <w:rFonts w:hint="eastAsia" w:ascii="宋体" w:eastAsia="宋体" w:cs="宋体"/>
          <w:color w:val="auto"/>
          <w:highlight w:val="none"/>
        </w:rPr>
        <w:t>8.1 对招标人的纪律要求</w:t>
      </w:r>
      <w:bookmarkEnd w:id="348"/>
      <w:bookmarkEnd w:id="349"/>
      <w:bookmarkEnd w:id="350"/>
      <w:bookmarkEnd w:id="351"/>
      <w:bookmarkEnd w:id="352"/>
      <w:bookmarkEnd w:id="353"/>
      <w:bookmarkEnd w:id="354"/>
    </w:p>
    <w:p w14:paraId="60AA6E3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招标人不得泄漏招标投标活动中应当保密的情况和资料，不得与投标人串通损害国家利益、社会公共利益或者他人合法权益。</w:t>
      </w:r>
    </w:p>
    <w:p w14:paraId="69E17005">
      <w:pPr>
        <w:pStyle w:val="6"/>
        <w:rPr>
          <w:rFonts w:hint="eastAsia" w:ascii="宋体" w:eastAsia="宋体" w:cs="宋体"/>
          <w:color w:val="auto"/>
          <w:highlight w:val="none"/>
        </w:rPr>
      </w:pPr>
      <w:bookmarkStart w:id="355" w:name="_Toc152045576"/>
      <w:bookmarkStart w:id="356" w:name="_Toc152042352"/>
      <w:bookmarkStart w:id="357" w:name="_Toc17939"/>
      <w:bookmarkStart w:id="358" w:name="_Toc247527601"/>
      <w:bookmarkStart w:id="359" w:name="_Toc20721"/>
      <w:bookmarkStart w:id="360" w:name="_Toc144974544"/>
      <w:bookmarkStart w:id="361" w:name="_Toc247514000"/>
      <w:r>
        <w:rPr>
          <w:rFonts w:hint="eastAsia" w:ascii="宋体" w:eastAsia="宋体" w:cs="宋体"/>
          <w:color w:val="auto"/>
          <w:highlight w:val="none"/>
        </w:rPr>
        <w:t>8.2 对投标人的纪律要求</w:t>
      </w:r>
      <w:bookmarkEnd w:id="355"/>
      <w:bookmarkEnd w:id="356"/>
      <w:bookmarkEnd w:id="357"/>
      <w:bookmarkEnd w:id="358"/>
      <w:bookmarkEnd w:id="359"/>
      <w:bookmarkEnd w:id="360"/>
      <w:bookmarkEnd w:id="361"/>
    </w:p>
    <w:p w14:paraId="685313C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9F32D42">
      <w:pPr>
        <w:pStyle w:val="6"/>
        <w:rPr>
          <w:rFonts w:hint="eastAsia" w:ascii="宋体" w:eastAsia="宋体" w:cs="宋体"/>
          <w:color w:val="auto"/>
          <w:highlight w:val="none"/>
        </w:rPr>
      </w:pPr>
      <w:bookmarkStart w:id="362" w:name="_Toc16012"/>
      <w:bookmarkStart w:id="363" w:name="_Toc152045577"/>
      <w:bookmarkStart w:id="364" w:name="_Toc152042353"/>
      <w:bookmarkStart w:id="365" w:name="_Toc247514001"/>
      <w:bookmarkStart w:id="366" w:name="_Toc144974545"/>
      <w:bookmarkStart w:id="367" w:name="_Toc32659"/>
      <w:bookmarkStart w:id="368" w:name="_Toc247527602"/>
      <w:r>
        <w:rPr>
          <w:rFonts w:hint="eastAsia" w:ascii="宋体" w:eastAsia="宋体" w:cs="宋体"/>
          <w:color w:val="auto"/>
          <w:highlight w:val="none"/>
        </w:rPr>
        <w:t>8.3 对评标委员会成员的纪律要求</w:t>
      </w:r>
      <w:bookmarkEnd w:id="362"/>
      <w:bookmarkEnd w:id="363"/>
      <w:bookmarkEnd w:id="364"/>
      <w:bookmarkEnd w:id="365"/>
      <w:bookmarkEnd w:id="366"/>
      <w:bookmarkEnd w:id="367"/>
      <w:bookmarkEnd w:id="368"/>
    </w:p>
    <w:p w14:paraId="7EEBFF2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97062A9">
      <w:pPr>
        <w:pStyle w:val="6"/>
        <w:rPr>
          <w:rFonts w:hint="eastAsia" w:ascii="宋体" w:eastAsia="宋体" w:cs="宋体"/>
          <w:color w:val="auto"/>
          <w:highlight w:val="none"/>
        </w:rPr>
      </w:pPr>
      <w:bookmarkStart w:id="369" w:name="_Toc18477"/>
      <w:bookmarkStart w:id="370" w:name="_Toc152042354"/>
      <w:bookmarkStart w:id="371" w:name="_Toc247527603"/>
      <w:bookmarkStart w:id="372" w:name="_Toc152045578"/>
      <w:bookmarkStart w:id="373" w:name="_Toc18141"/>
      <w:bookmarkStart w:id="374" w:name="_Toc247514002"/>
      <w:bookmarkStart w:id="375" w:name="_Toc144974546"/>
      <w:r>
        <w:rPr>
          <w:rFonts w:hint="eastAsia" w:ascii="宋体" w:eastAsia="宋体" w:cs="宋体"/>
          <w:color w:val="auto"/>
          <w:highlight w:val="none"/>
        </w:rPr>
        <w:t>8.4 对与评标活动有关的工作人员的纪律要求</w:t>
      </w:r>
      <w:bookmarkEnd w:id="369"/>
      <w:bookmarkEnd w:id="370"/>
      <w:bookmarkEnd w:id="371"/>
      <w:bookmarkEnd w:id="372"/>
      <w:bookmarkEnd w:id="373"/>
      <w:bookmarkEnd w:id="374"/>
    </w:p>
    <w:p w14:paraId="24BC8B7C">
      <w:pPr>
        <w:spacing w:line="400" w:lineRule="exact"/>
        <w:ind w:firstLine="420" w:firstLineChars="200"/>
        <w:rPr>
          <w:rFonts w:hint="eastAsia" w:ascii="宋体" w:hAnsi="宋体" w:cs="宋体"/>
          <w:color w:val="auto"/>
          <w:highlight w:val="none"/>
        </w:rPr>
      </w:pPr>
      <w:bookmarkStart w:id="376" w:name="_Toc152042355"/>
      <w:r>
        <w:rPr>
          <w:rFonts w:hint="eastAsia" w:ascii="宋体" w:hAnsi="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6"/>
    </w:p>
    <w:p w14:paraId="2B43573A">
      <w:pPr>
        <w:pStyle w:val="6"/>
        <w:rPr>
          <w:rFonts w:hint="eastAsia" w:ascii="宋体" w:eastAsia="宋体" w:cs="宋体"/>
          <w:color w:val="auto"/>
          <w:highlight w:val="none"/>
        </w:rPr>
      </w:pPr>
      <w:bookmarkStart w:id="377" w:name="_Toc1651"/>
      <w:bookmarkStart w:id="378" w:name="_Toc247527604"/>
      <w:bookmarkStart w:id="379" w:name="_Toc152045579"/>
      <w:bookmarkStart w:id="380" w:name="_Toc247514003"/>
      <w:bookmarkStart w:id="381" w:name="_Toc1085"/>
      <w:bookmarkStart w:id="382" w:name="_Toc152042356"/>
      <w:r>
        <w:rPr>
          <w:rFonts w:hint="eastAsia" w:ascii="宋体" w:eastAsia="宋体" w:cs="宋体"/>
          <w:color w:val="auto"/>
          <w:highlight w:val="none"/>
        </w:rPr>
        <w:t>8.5 投诉</w:t>
      </w:r>
      <w:bookmarkEnd w:id="375"/>
      <w:bookmarkEnd w:id="377"/>
      <w:bookmarkEnd w:id="378"/>
      <w:bookmarkEnd w:id="379"/>
      <w:bookmarkEnd w:id="380"/>
      <w:bookmarkEnd w:id="381"/>
      <w:bookmarkEnd w:id="382"/>
    </w:p>
    <w:p w14:paraId="2479171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投标人和其他利害关系人认为本次招标活动违反法律、法规和规章规定的，有权向有关行政监督部门投诉。</w:t>
      </w:r>
    </w:p>
    <w:p w14:paraId="3450D363">
      <w:pPr>
        <w:pStyle w:val="5"/>
        <w:rPr>
          <w:rFonts w:hint="eastAsia" w:ascii="宋体" w:hAnsi="宋体" w:eastAsia="宋体" w:cs="宋体"/>
          <w:color w:val="auto"/>
          <w:highlight w:val="none"/>
        </w:rPr>
      </w:pPr>
      <w:bookmarkStart w:id="383" w:name="_Toc152045580"/>
      <w:bookmarkStart w:id="384" w:name="_Toc144974547"/>
      <w:bookmarkStart w:id="385" w:name="_Toc247514004"/>
      <w:bookmarkStart w:id="386" w:name="_Toc152042357"/>
      <w:bookmarkStart w:id="387" w:name="_Toc28389"/>
      <w:bookmarkStart w:id="388" w:name="_Toc247527605"/>
      <w:bookmarkStart w:id="389" w:name="_Toc6725"/>
      <w:r>
        <w:rPr>
          <w:rFonts w:hint="eastAsia" w:ascii="宋体" w:hAnsi="宋体" w:eastAsia="宋体" w:cs="宋体"/>
          <w:color w:val="auto"/>
          <w:highlight w:val="none"/>
        </w:rPr>
        <w:t>9. 需要补充的其他内容</w:t>
      </w:r>
      <w:bookmarkEnd w:id="383"/>
      <w:bookmarkEnd w:id="384"/>
      <w:bookmarkEnd w:id="385"/>
      <w:bookmarkEnd w:id="386"/>
      <w:bookmarkEnd w:id="387"/>
      <w:bookmarkEnd w:id="388"/>
      <w:bookmarkEnd w:id="389"/>
    </w:p>
    <w:p w14:paraId="48CC04F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需要补充的其他内容：见投标人须知前附表。</w:t>
      </w:r>
    </w:p>
    <w:p w14:paraId="4FF0FA5D">
      <w:pPr>
        <w:pStyle w:val="5"/>
        <w:rPr>
          <w:rFonts w:hint="eastAsia" w:ascii="宋体" w:hAnsi="宋体" w:eastAsia="宋体" w:cs="宋体"/>
          <w:color w:val="auto"/>
          <w:highlight w:val="none"/>
        </w:rPr>
      </w:pPr>
      <w:bookmarkStart w:id="390" w:name="_Toc28950"/>
      <w:bookmarkStart w:id="391" w:name="_Toc4738"/>
      <w:r>
        <w:rPr>
          <w:rFonts w:hint="eastAsia" w:ascii="宋体" w:hAnsi="宋体" w:eastAsia="宋体" w:cs="宋体"/>
          <w:color w:val="auto"/>
          <w:highlight w:val="none"/>
        </w:rPr>
        <w:t>10. 电子招标投标</w:t>
      </w:r>
      <w:bookmarkEnd w:id="390"/>
      <w:bookmarkEnd w:id="391"/>
    </w:p>
    <w:p w14:paraId="0583766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采用电子招标投标，对投标文件的编制、密封和标记、递交、开标、评标等具体要求，见投标人须知前附表。</w:t>
      </w:r>
    </w:p>
    <w:p w14:paraId="0F31DDD6">
      <w:pPr>
        <w:spacing w:line="400" w:lineRule="exact"/>
        <w:ind w:firstLine="420" w:firstLineChars="200"/>
        <w:outlineLvl w:val="2"/>
        <w:rPr>
          <w:rFonts w:hint="eastAsia" w:ascii="宋体" w:hAnsi="宋体" w:cs="宋体"/>
          <w:color w:val="auto"/>
          <w:highlight w:val="none"/>
        </w:rPr>
      </w:pPr>
      <w:r>
        <w:rPr>
          <w:rFonts w:hint="eastAsia" w:ascii="宋体" w:hAnsi="宋体" w:cs="宋体"/>
          <w:color w:val="auto"/>
          <w:highlight w:val="none"/>
        </w:rPr>
        <w:br w:type="page"/>
      </w:r>
      <w:bookmarkStart w:id="392" w:name="_Toc247527606"/>
      <w:bookmarkStart w:id="393" w:name="_Toc2041"/>
      <w:bookmarkStart w:id="394" w:name="_Toc144974548"/>
      <w:bookmarkStart w:id="395" w:name="_Toc19551"/>
      <w:bookmarkStart w:id="396" w:name="_Toc152045581"/>
      <w:bookmarkStart w:id="397" w:name="_Toc247514005"/>
      <w:bookmarkStart w:id="398" w:name="_Toc152042358"/>
      <w:r>
        <w:rPr>
          <w:rFonts w:hint="eastAsia" w:ascii="宋体" w:hAnsi="宋体" w:cs="宋体"/>
          <w:bCs/>
          <w:color w:val="auto"/>
          <w:sz w:val="28"/>
          <w:szCs w:val="28"/>
          <w:highlight w:val="none"/>
        </w:rPr>
        <w:t>附件一：开标记录表</w:t>
      </w:r>
      <w:bookmarkEnd w:id="392"/>
      <w:bookmarkEnd w:id="393"/>
      <w:bookmarkEnd w:id="394"/>
      <w:bookmarkEnd w:id="395"/>
      <w:bookmarkEnd w:id="396"/>
      <w:bookmarkEnd w:id="397"/>
      <w:bookmarkEnd w:id="398"/>
    </w:p>
    <w:p w14:paraId="2D63DCA5">
      <w:pPr>
        <w:spacing w:line="400" w:lineRule="exact"/>
        <w:rPr>
          <w:rFonts w:hint="eastAsia" w:ascii="宋体" w:hAnsi="宋体" w:cs="宋体"/>
          <w:color w:val="auto"/>
          <w:highlight w:val="none"/>
        </w:rPr>
      </w:pPr>
      <w:r>
        <w:rPr>
          <w:rFonts w:hint="eastAsia" w:ascii="宋体" w:hAnsi="宋体" w:cs="宋体"/>
          <w:color w:val="auto"/>
          <w:highlight w:val="none"/>
        </w:rPr>
        <w:t xml:space="preserve">              </w:t>
      </w:r>
    </w:p>
    <w:p w14:paraId="1816F9AD">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（项目名称）招标开标记录表</w:t>
      </w:r>
    </w:p>
    <w:p w14:paraId="56908ED2">
      <w:pPr>
        <w:spacing w:line="400" w:lineRule="exact"/>
        <w:rPr>
          <w:rFonts w:hint="eastAsia" w:ascii="宋体" w:hAnsi="宋体" w:cs="宋体"/>
          <w:color w:val="auto"/>
          <w:highlight w:val="none"/>
        </w:rPr>
      </w:pPr>
    </w:p>
    <w:p w14:paraId="69BB5504">
      <w:pPr>
        <w:spacing w:line="360" w:lineRule="auto"/>
        <w:ind w:right="420"/>
        <w:jc w:val="right"/>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tbl>
      <w:tblPr>
        <w:tblStyle w:val="37"/>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40"/>
        <w:gridCol w:w="795"/>
        <w:gridCol w:w="720"/>
        <w:gridCol w:w="675"/>
        <w:gridCol w:w="769"/>
        <w:gridCol w:w="690"/>
        <w:gridCol w:w="585"/>
        <w:gridCol w:w="615"/>
        <w:gridCol w:w="661"/>
        <w:gridCol w:w="756"/>
        <w:gridCol w:w="709"/>
        <w:gridCol w:w="567"/>
        <w:gridCol w:w="425"/>
        <w:gridCol w:w="270"/>
        <w:gridCol w:w="433"/>
      </w:tblGrid>
      <w:tr w14:paraId="535D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01" w:type="dxa"/>
            <w:vAlign w:val="center"/>
          </w:tcPr>
          <w:p w14:paraId="5F3076A6">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840" w:type="dxa"/>
            <w:vAlign w:val="center"/>
          </w:tcPr>
          <w:p w14:paraId="7E55F4C6">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投标人名称</w:t>
            </w:r>
          </w:p>
        </w:tc>
        <w:tc>
          <w:tcPr>
            <w:tcW w:w="795" w:type="dxa"/>
            <w:vAlign w:val="center"/>
          </w:tcPr>
          <w:p w14:paraId="39BF0B90">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投标文件递交情况</w:t>
            </w:r>
          </w:p>
        </w:tc>
        <w:tc>
          <w:tcPr>
            <w:tcW w:w="720" w:type="dxa"/>
            <w:vAlign w:val="center"/>
          </w:tcPr>
          <w:p w14:paraId="6CBA55F5">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投标文件解密情况</w:t>
            </w:r>
          </w:p>
        </w:tc>
        <w:tc>
          <w:tcPr>
            <w:tcW w:w="675" w:type="dxa"/>
            <w:vAlign w:val="center"/>
          </w:tcPr>
          <w:p w14:paraId="7FC69D36">
            <w:pPr>
              <w:spacing w:line="360" w:lineRule="auto"/>
              <w:jc w:val="center"/>
              <w:rPr>
                <w:rFonts w:hint="eastAsia" w:ascii="宋体" w:hAnsi="宋体" w:cs="宋体"/>
                <w:strike/>
                <w:color w:val="auto"/>
                <w:sz w:val="18"/>
                <w:szCs w:val="18"/>
                <w:highlight w:val="none"/>
              </w:rPr>
            </w:pPr>
            <w:r>
              <w:rPr>
                <w:rFonts w:hint="eastAsia" w:ascii="宋体" w:hAnsi="宋体" w:cs="宋体"/>
                <w:color w:val="auto"/>
                <w:sz w:val="18"/>
                <w:szCs w:val="18"/>
                <w:highlight w:val="none"/>
              </w:rPr>
              <w:t>投标担保递交情况</w:t>
            </w:r>
          </w:p>
        </w:tc>
        <w:tc>
          <w:tcPr>
            <w:tcW w:w="769" w:type="dxa"/>
            <w:vAlign w:val="center"/>
          </w:tcPr>
          <w:p w14:paraId="4644C9D8">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u w:val="single"/>
              </w:rPr>
              <w:t>项目负责人（兼施工负责人）</w:t>
            </w:r>
          </w:p>
        </w:tc>
        <w:tc>
          <w:tcPr>
            <w:tcW w:w="690" w:type="dxa"/>
            <w:vAlign w:val="center"/>
          </w:tcPr>
          <w:p w14:paraId="2BA4C049">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设计负责人</w:t>
            </w:r>
          </w:p>
        </w:tc>
        <w:tc>
          <w:tcPr>
            <w:tcW w:w="585" w:type="dxa"/>
            <w:vAlign w:val="center"/>
          </w:tcPr>
          <w:p w14:paraId="30900235">
            <w:pPr>
              <w:spacing w:line="360" w:lineRule="auto"/>
              <w:jc w:val="center"/>
              <w:rPr>
                <w:rFonts w:hint="eastAsia" w:ascii="宋体" w:hAnsi="宋体" w:cs="宋体"/>
                <w:color w:val="auto"/>
                <w:sz w:val="18"/>
                <w:szCs w:val="18"/>
                <w:highlight w:val="none"/>
              </w:rPr>
            </w:pPr>
            <w:r>
              <w:rPr>
                <w:rFonts w:hint="eastAsia" w:ascii="新宋体" w:hAnsi="新宋体" w:eastAsia="新宋体" w:cs="新宋体"/>
                <w:strike/>
                <w:color w:val="auto"/>
                <w:sz w:val="18"/>
                <w:szCs w:val="18"/>
                <w:highlight w:val="none"/>
              </w:rPr>
              <w:t>施工负责人</w:t>
            </w:r>
          </w:p>
        </w:tc>
        <w:tc>
          <w:tcPr>
            <w:tcW w:w="615" w:type="dxa"/>
            <w:vAlign w:val="center"/>
          </w:tcPr>
          <w:p w14:paraId="0731FA38">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专职安全员</w:t>
            </w:r>
          </w:p>
        </w:tc>
        <w:tc>
          <w:tcPr>
            <w:tcW w:w="661" w:type="dxa"/>
            <w:vAlign w:val="center"/>
          </w:tcPr>
          <w:p w14:paraId="38171404">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投标总报价</w:t>
            </w:r>
          </w:p>
          <w:p w14:paraId="7716B26F">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（元）</w:t>
            </w:r>
          </w:p>
        </w:tc>
        <w:tc>
          <w:tcPr>
            <w:tcW w:w="756" w:type="dxa"/>
            <w:vAlign w:val="center"/>
          </w:tcPr>
          <w:p w14:paraId="04F152C4">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建安工程费报价</w:t>
            </w:r>
          </w:p>
          <w:p w14:paraId="276A9559">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（元）</w:t>
            </w:r>
          </w:p>
        </w:tc>
        <w:tc>
          <w:tcPr>
            <w:tcW w:w="709" w:type="dxa"/>
            <w:vAlign w:val="center"/>
          </w:tcPr>
          <w:p w14:paraId="50F83655">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设计费报价（元）</w:t>
            </w:r>
          </w:p>
        </w:tc>
        <w:tc>
          <w:tcPr>
            <w:tcW w:w="567" w:type="dxa"/>
            <w:vAlign w:val="center"/>
          </w:tcPr>
          <w:p w14:paraId="7B8762A1">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工期</w:t>
            </w:r>
          </w:p>
        </w:tc>
        <w:tc>
          <w:tcPr>
            <w:tcW w:w="425" w:type="dxa"/>
            <w:vAlign w:val="center"/>
          </w:tcPr>
          <w:p w14:paraId="00A3DE56">
            <w:pPr>
              <w:spacing w:line="360" w:lineRule="auto"/>
              <w:jc w:val="center"/>
              <w:rPr>
                <w:rFonts w:hint="eastAsia" w:ascii="宋体" w:hAnsi="宋体" w:cs="宋体"/>
                <w:color w:val="auto"/>
                <w:sz w:val="18"/>
                <w:szCs w:val="18"/>
                <w:highlight w:val="none"/>
                <w:u w:val="single"/>
              </w:rPr>
            </w:pPr>
            <w:r>
              <w:rPr>
                <w:rFonts w:hint="eastAsia" w:ascii="宋体" w:hAnsi="宋体" w:cs="宋体"/>
                <w:color w:val="auto"/>
                <w:sz w:val="18"/>
                <w:szCs w:val="18"/>
                <w:highlight w:val="none"/>
                <w:u w:val="single"/>
              </w:rPr>
              <w:t>质量标准</w:t>
            </w:r>
          </w:p>
        </w:tc>
        <w:tc>
          <w:tcPr>
            <w:tcW w:w="703" w:type="dxa"/>
            <w:gridSpan w:val="2"/>
            <w:vAlign w:val="center"/>
          </w:tcPr>
          <w:p w14:paraId="12697E4D">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电脑机器特征码</w:t>
            </w:r>
          </w:p>
        </w:tc>
      </w:tr>
      <w:tr w14:paraId="776C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tcPr>
          <w:p w14:paraId="6181C82E">
            <w:pPr>
              <w:spacing w:line="360" w:lineRule="auto"/>
              <w:rPr>
                <w:rFonts w:hint="eastAsia" w:ascii="宋体" w:hAnsi="宋体" w:cs="宋体"/>
                <w:color w:val="auto"/>
                <w:szCs w:val="21"/>
                <w:highlight w:val="none"/>
              </w:rPr>
            </w:pPr>
          </w:p>
        </w:tc>
        <w:tc>
          <w:tcPr>
            <w:tcW w:w="840" w:type="dxa"/>
          </w:tcPr>
          <w:p w14:paraId="50AEED05">
            <w:pPr>
              <w:spacing w:line="360" w:lineRule="auto"/>
              <w:rPr>
                <w:rFonts w:hint="eastAsia" w:ascii="宋体" w:hAnsi="宋体" w:cs="宋体"/>
                <w:color w:val="auto"/>
                <w:szCs w:val="21"/>
                <w:highlight w:val="none"/>
              </w:rPr>
            </w:pPr>
          </w:p>
        </w:tc>
        <w:tc>
          <w:tcPr>
            <w:tcW w:w="795" w:type="dxa"/>
          </w:tcPr>
          <w:p w14:paraId="42976E6F">
            <w:pPr>
              <w:spacing w:line="360" w:lineRule="auto"/>
              <w:rPr>
                <w:rFonts w:hint="eastAsia" w:ascii="宋体" w:hAnsi="宋体" w:cs="宋体"/>
                <w:color w:val="auto"/>
                <w:szCs w:val="21"/>
                <w:highlight w:val="none"/>
              </w:rPr>
            </w:pPr>
          </w:p>
        </w:tc>
        <w:tc>
          <w:tcPr>
            <w:tcW w:w="720" w:type="dxa"/>
          </w:tcPr>
          <w:p w14:paraId="7807837E">
            <w:pPr>
              <w:spacing w:line="360" w:lineRule="auto"/>
              <w:rPr>
                <w:rFonts w:hint="eastAsia" w:ascii="宋体" w:hAnsi="宋体" w:cs="宋体"/>
                <w:color w:val="auto"/>
                <w:szCs w:val="21"/>
                <w:highlight w:val="none"/>
              </w:rPr>
            </w:pPr>
          </w:p>
        </w:tc>
        <w:tc>
          <w:tcPr>
            <w:tcW w:w="675" w:type="dxa"/>
          </w:tcPr>
          <w:p w14:paraId="0AD391BE">
            <w:pPr>
              <w:spacing w:line="360" w:lineRule="auto"/>
              <w:rPr>
                <w:rFonts w:hint="eastAsia" w:ascii="宋体" w:hAnsi="宋体" w:cs="宋体"/>
                <w:color w:val="auto"/>
                <w:szCs w:val="21"/>
                <w:highlight w:val="none"/>
              </w:rPr>
            </w:pPr>
          </w:p>
        </w:tc>
        <w:tc>
          <w:tcPr>
            <w:tcW w:w="769" w:type="dxa"/>
          </w:tcPr>
          <w:p w14:paraId="601473A9">
            <w:pPr>
              <w:spacing w:line="360" w:lineRule="auto"/>
              <w:rPr>
                <w:rFonts w:hint="eastAsia" w:ascii="宋体" w:hAnsi="宋体" w:cs="宋体"/>
                <w:color w:val="auto"/>
                <w:szCs w:val="21"/>
                <w:highlight w:val="none"/>
              </w:rPr>
            </w:pPr>
          </w:p>
        </w:tc>
        <w:tc>
          <w:tcPr>
            <w:tcW w:w="690" w:type="dxa"/>
          </w:tcPr>
          <w:p w14:paraId="5F5B0D3B">
            <w:pPr>
              <w:spacing w:line="360" w:lineRule="auto"/>
              <w:rPr>
                <w:rFonts w:hint="eastAsia" w:ascii="宋体" w:hAnsi="宋体" w:cs="宋体"/>
                <w:color w:val="auto"/>
                <w:szCs w:val="21"/>
                <w:highlight w:val="none"/>
              </w:rPr>
            </w:pPr>
          </w:p>
        </w:tc>
        <w:tc>
          <w:tcPr>
            <w:tcW w:w="585" w:type="dxa"/>
          </w:tcPr>
          <w:p w14:paraId="06A97123">
            <w:pPr>
              <w:spacing w:line="360" w:lineRule="auto"/>
              <w:rPr>
                <w:rFonts w:hint="eastAsia" w:ascii="宋体" w:hAnsi="宋体" w:cs="宋体"/>
                <w:color w:val="auto"/>
                <w:szCs w:val="21"/>
                <w:highlight w:val="none"/>
              </w:rPr>
            </w:pPr>
          </w:p>
        </w:tc>
        <w:tc>
          <w:tcPr>
            <w:tcW w:w="615" w:type="dxa"/>
          </w:tcPr>
          <w:p w14:paraId="483C7CFD">
            <w:pPr>
              <w:spacing w:line="360" w:lineRule="auto"/>
              <w:rPr>
                <w:rFonts w:hint="eastAsia" w:ascii="宋体" w:hAnsi="宋体" w:cs="宋体"/>
                <w:color w:val="auto"/>
                <w:szCs w:val="21"/>
                <w:highlight w:val="none"/>
              </w:rPr>
            </w:pPr>
          </w:p>
        </w:tc>
        <w:tc>
          <w:tcPr>
            <w:tcW w:w="661" w:type="dxa"/>
          </w:tcPr>
          <w:p w14:paraId="45F307DE">
            <w:pPr>
              <w:spacing w:line="360" w:lineRule="auto"/>
              <w:rPr>
                <w:rFonts w:hint="eastAsia" w:ascii="宋体" w:hAnsi="宋体" w:cs="宋体"/>
                <w:color w:val="auto"/>
                <w:szCs w:val="21"/>
                <w:highlight w:val="none"/>
              </w:rPr>
            </w:pPr>
          </w:p>
        </w:tc>
        <w:tc>
          <w:tcPr>
            <w:tcW w:w="756" w:type="dxa"/>
          </w:tcPr>
          <w:p w14:paraId="47991C31">
            <w:pPr>
              <w:spacing w:line="360" w:lineRule="auto"/>
              <w:rPr>
                <w:rFonts w:hint="eastAsia" w:ascii="宋体" w:hAnsi="宋体" w:cs="宋体"/>
                <w:color w:val="auto"/>
                <w:szCs w:val="21"/>
                <w:highlight w:val="none"/>
              </w:rPr>
            </w:pPr>
          </w:p>
        </w:tc>
        <w:tc>
          <w:tcPr>
            <w:tcW w:w="709" w:type="dxa"/>
            <w:vAlign w:val="center"/>
          </w:tcPr>
          <w:p w14:paraId="5DB67A78">
            <w:pPr>
              <w:spacing w:line="360" w:lineRule="auto"/>
              <w:jc w:val="center"/>
              <w:rPr>
                <w:rFonts w:hint="eastAsia" w:ascii="宋体" w:hAnsi="宋体" w:cs="宋体"/>
                <w:color w:val="auto"/>
                <w:sz w:val="18"/>
                <w:szCs w:val="18"/>
                <w:highlight w:val="none"/>
              </w:rPr>
            </w:pPr>
          </w:p>
        </w:tc>
        <w:tc>
          <w:tcPr>
            <w:tcW w:w="567" w:type="dxa"/>
          </w:tcPr>
          <w:p w14:paraId="263778B6">
            <w:pPr>
              <w:spacing w:line="360" w:lineRule="auto"/>
              <w:rPr>
                <w:rFonts w:hint="eastAsia" w:ascii="宋体" w:hAnsi="宋体" w:cs="宋体"/>
                <w:color w:val="auto"/>
                <w:szCs w:val="21"/>
                <w:highlight w:val="none"/>
              </w:rPr>
            </w:pPr>
          </w:p>
        </w:tc>
        <w:tc>
          <w:tcPr>
            <w:tcW w:w="425" w:type="dxa"/>
          </w:tcPr>
          <w:p w14:paraId="054BADED">
            <w:pPr>
              <w:spacing w:line="360" w:lineRule="auto"/>
              <w:rPr>
                <w:rFonts w:hint="eastAsia" w:ascii="宋体" w:hAnsi="宋体" w:cs="宋体"/>
                <w:color w:val="auto"/>
                <w:szCs w:val="21"/>
                <w:highlight w:val="none"/>
              </w:rPr>
            </w:pPr>
          </w:p>
        </w:tc>
        <w:tc>
          <w:tcPr>
            <w:tcW w:w="703" w:type="dxa"/>
            <w:gridSpan w:val="2"/>
          </w:tcPr>
          <w:p w14:paraId="51C1A40E">
            <w:pPr>
              <w:spacing w:line="360" w:lineRule="auto"/>
              <w:rPr>
                <w:rFonts w:hint="eastAsia" w:ascii="宋体" w:hAnsi="宋体" w:cs="宋体"/>
                <w:color w:val="auto"/>
                <w:szCs w:val="21"/>
                <w:highlight w:val="none"/>
              </w:rPr>
            </w:pPr>
          </w:p>
        </w:tc>
      </w:tr>
      <w:tr w14:paraId="7312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tcPr>
          <w:p w14:paraId="6903D908">
            <w:pPr>
              <w:spacing w:line="360" w:lineRule="auto"/>
              <w:rPr>
                <w:rFonts w:hint="eastAsia" w:ascii="宋体" w:hAnsi="宋体" w:cs="宋体"/>
                <w:color w:val="auto"/>
                <w:szCs w:val="21"/>
                <w:highlight w:val="none"/>
              </w:rPr>
            </w:pPr>
          </w:p>
        </w:tc>
        <w:tc>
          <w:tcPr>
            <w:tcW w:w="840" w:type="dxa"/>
          </w:tcPr>
          <w:p w14:paraId="48960A9F">
            <w:pPr>
              <w:spacing w:line="360" w:lineRule="auto"/>
              <w:rPr>
                <w:rFonts w:hint="eastAsia" w:ascii="宋体" w:hAnsi="宋体" w:cs="宋体"/>
                <w:color w:val="auto"/>
                <w:szCs w:val="21"/>
                <w:highlight w:val="none"/>
              </w:rPr>
            </w:pPr>
          </w:p>
        </w:tc>
        <w:tc>
          <w:tcPr>
            <w:tcW w:w="795" w:type="dxa"/>
          </w:tcPr>
          <w:p w14:paraId="3738980C">
            <w:pPr>
              <w:spacing w:line="360" w:lineRule="auto"/>
              <w:rPr>
                <w:rFonts w:hint="eastAsia" w:ascii="宋体" w:hAnsi="宋体" w:cs="宋体"/>
                <w:color w:val="auto"/>
                <w:szCs w:val="21"/>
                <w:highlight w:val="none"/>
              </w:rPr>
            </w:pPr>
          </w:p>
        </w:tc>
        <w:tc>
          <w:tcPr>
            <w:tcW w:w="720" w:type="dxa"/>
          </w:tcPr>
          <w:p w14:paraId="3AC8D4D9">
            <w:pPr>
              <w:spacing w:line="360" w:lineRule="auto"/>
              <w:rPr>
                <w:rFonts w:hint="eastAsia" w:ascii="宋体" w:hAnsi="宋体" w:cs="宋体"/>
                <w:color w:val="auto"/>
                <w:szCs w:val="21"/>
                <w:highlight w:val="none"/>
              </w:rPr>
            </w:pPr>
          </w:p>
        </w:tc>
        <w:tc>
          <w:tcPr>
            <w:tcW w:w="675" w:type="dxa"/>
          </w:tcPr>
          <w:p w14:paraId="48B31797">
            <w:pPr>
              <w:spacing w:line="360" w:lineRule="auto"/>
              <w:rPr>
                <w:rFonts w:hint="eastAsia" w:ascii="宋体" w:hAnsi="宋体" w:cs="宋体"/>
                <w:color w:val="auto"/>
                <w:szCs w:val="21"/>
                <w:highlight w:val="none"/>
              </w:rPr>
            </w:pPr>
          </w:p>
        </w:tc>
        <w:tc>
          <w:tcPr>
            <w:tcW w:w="769" w:type="dxa"/>
          </w:tcPr>
          <w:p w14:paraId="09645882">
            <w:pPr>
              <w:spacing w:line="360" w:lineRule="auto"/>
              <w:rPr>
                <w:rFonts w:hint="eastAsia" w:ascii="宋体" w:hAnsi="宋体" w:cs="宋体"/>
                <w:color w:val="auto"/>
                <w:szCs w:val="21"/>
                <w:highlight w:val="none"/>
              </w:rPr>
            </w:pPr>
          </w:p>
        </w:tc>
        <w:tc>
          <w:tcPr>
            <w:tcW w:w="690" w:type="dxa"/>
          </w:tcPr>
          <w:p w14:paraId="15006F11">
            <w:pPr>
              <w:spacing w:line="360" w:lineRule="auto"/>
              <w:rPr>
                <w:rFonts w:hint="eastAsia" w:ascii="宋体" w:hAnsi="宋体" w:cs="宋体"/>
                <w:color w:val="auto"/>
                <w:szCs w:val="21"/>
                <w:highlight w:val="none"/>
              </w:rPr>
            </w:pPr>
          </w:p>
        </w:tc>
        <w:tc>
          <w:tcPr>
            <w:tcW w:w="585" w:type="dxa"/>
          </w:tcPr>
          <w:p w14:paraId="15457FD3">
            <w:pPr>
              <w:spacing w:line="360" w:lineRule="auto"/>
              <w:rPr>
                <w:rFonts w:hint="eastAsia" w:ascii="宋体" w:hAnsi="宋体" w:cs="宋体"/>
                <w:color w:val="auto"/>
                <w:szCs w:val="21"/>
                <w:highlight w:val="none"/>
              </w:rPr>
            </w:pPr>
          </w:p>
        </w:tc>
        <w:tc>
          <w:tcPr>
            <w:tcW w:w="615" w:type="dxa"/>
          </w:tcPr>
          <w:p w14:paraId="61199B16">
            <w:pPr>
              <w:spacing w:line="360" w:lineRule="auto"/>
              <w:rPr>
                <w:rFonts w:hint="eastAsia" w:ascii="宋体" w:hAnsi="宋体" w:cs="宋体"/>
                <w:color w:val="auto"/>
                <w:szCs w:val="21"/>
                <w:highlight w:val="none"/>
              </w:rPr>
            </w:pPr>
          </w:p>
        </w:tc>
        <w:tc>
          <w:tcPr>
            <w:tcW w:w="661" w:type="dxa"/>
          </w:tcPr>
          <w:p w14:paraId="293C2B3F">
            <w:pPr>
              <w:spacing w:line="360" w:lineRule="auto"/>
              <w:rPr>
                <w:rFonts w:hint="eastAsia" w:ascii="宋体" w:hAnsi="宋体" w:cs="宋体"/>
                <w:color w:val="auto"/>
                <w:szCs w:val="21"/>
                <w:highlight w:val="none"/>
              </w:rPr>
            </w:pPr>
          </w:p>
        </w:tc>
        <w:tc>
          <w:tcPr>
            <w:tcW w:w="756" w:type="dxa"/>
          </w:tcPr>
          <w:p w14:paraId="1D5CE699">
            <w:pPr>
              <w:spacing w:line="360" w:lineRule="auto"/>
              <w:rPr>
                <w:rFonts w:hint="eastAsia" w:ascii="宋体" w:hAnsi="宋体" w:cs="宋体"/>
                <w:color w:val="auto"/>
                <w:szCs w:val="21"/>
                <w:highlight w:val="none"/>
              </w:rPr>
            </w:pPr>
          </w:p>
        </w:tc>
        <w:tc>
          <w:tcPr>
            <w:tcW w:w="709" w:type="dxa"/>
          </w:tcPr>
          <w:p w14:paraId="77FE6BC4">
            <w:pPr>
              <w:spacing w:line="360" w:lineRule="auto"/>
              <w:rPr>
                <w:rFonts w:hint="eastAsia" w:ascii="宋体" w:hAnsi="宋体" w:cs="宋体"/>
                <w:color w:val="auto"/>
                <w:szCs w:val="21"/>
                <w:highlight w:val="none"/>
              </w:rPr>
            </w:pPr>
          </w:p>
        </w:tc>
        <w:tc>
          <w:tcPr>
            <w:tcW w:w="567" w:type="dxa"/>
          </w:tcPr>
          <w:p w14:paraId="754A4375">
            <w:pPr>
              <w:spacing w:line="360" w:lineRule="auto"/>
              <w:rPr>
                <w:rFonts w:hint="eastAsia" w:ascii="宋体" w:hAnsi="宋体" w:cs="宋体"/>
                <w:color w:val="auto"/>
                <w:szCs w:val="21"/>
                <w:highlight w:val="none"/>
              </w:rPr>
            </w:pPr>
          </w:p>
        </w:tc>
        <w:tc>
          <w:tcPr>
            <w:tcW w:w="425" w:type="dxa"/>
          </w:tcPr>
          <w:p w14:paraId="570C1A65">
            <w:pPr>
              <w:spacing w:line="360" w:lineRule="auto"/>
              <w:rPr>
                <w:rFonts w:hint="eastAsia" w:ascii="宋体" w:hAnsi="宋体" w:cs="宋体"/>
                <w:color w:val="auto"/>
                <w:szCs w:val="21"/>
                <w:highlight w:val="none"/>
              </w:rPr>
            </w:pPr>
          </w:p>
        </w:tc>
        <w:tc>
          <w:tcPr>
            <w:tcW w:w="703" w:type="dxa"/>
            <w:gridSpan w:val="2"/>
          </w:tcPr>
          <w:p w14:paraId="2EB0CF59">
            <w:pPr>
              <w:spacing w:line="360" w:lineRule="auto"/>
              <w:rPr>
                <w:rFonts w:hint="eastAsia" w:ascii="宋体" w:hAnsi="宋体" w:cs="宋体"/>
                <w:color w:val="auto"/>
                <w:szCs w:val="21"/>
                <w:highlight w:val="none"/>
              </w:rPr>
            </w:pPr>
          </w:p>
        </w:tc>
      </w:tr>
      <w:tr w14:paraId="1DB8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tcPr>
          <w:p w14:paraId="141D48D7">
            <w:pPr>
              <w:spacing w:line="360" w:lineRule="auto"/>
              <w:rPr>
                <w:rFonts w:hint="eastAsia" w:ascii="宋体" w:hAnsi="宋体" w:cs="宋体"/>
                <w:color w:val="auto"/>
                <w:szCs w:val="21"/>
                <w:highlight w:val="none"/>
              </w:rPr>
            </w:pPr>
          </w:p>
        </w:tc>
        <w:tc>
          <w:tcPr>
            <w:tcW w:w="840" w:type="dxa"/>
          </w:tcPr>
          <w:p w14:paraId="58274983">
            <w:pPr>
              <w:spacing w:line="360" w:lineRule="auto"/>
              <w:rPr>
                <w:rFonts w:hint="eastAsia" w:ascii="宋体" w:hAnsi="宋体" w:cs="宋体"/>
                <w:color w:val="auto"/>
                <w:szCs w:val="21"/>
                <w:highlight w:val="none"/>
              </w:rPr>
            </w:pPr>
          </w:p>
        </w:tc>
        <w:tc>
          <w:tcPr>
            <w:tcW w:w="795" w:type="dxa"/>
          </w:tcPr>
          <w:p w14:paraId="7105AEC2">
            <w:pPr>
              <w:spacing w:line="360" w:lineRule="auto"/>
              <w:rPr>
                <w:rFonts w:hint="eastAsia" w:ascii="宋体" w:hAnsi="宋体" w:cs="宋体"/>
                <w:color w:val="auto"/>
                <w:szCs w:val="21"/>
                <w:highlight w:val="none"/>
              </w:rPr>
            </w:pPr>
          </w:p>
        </w:tc>
        <w:tc>
          <w:tcPr>
            <w:tcW w:w="720" w:type="dxa"/>
          </w:tcPr>
          <w:p w14:paraId="6DA1B26A">
            <w:pPr>
              <w:spacing w:line="360" w:lineRule="auto"/>
              <w:rPr>
                <w:rFonts w:hint="eastAsia" w:ascii="宋体" w:hAnsi="宋体" w:cs="宋体"/>
                <w:color w:val="auto"/>
                <w:szCs w:val="21"/>
                <w:highlight w:val="none"/>
              </w:rPr>
            </w:pPr>
          </w:p>
        </w:tc>
        <w:tc>
          <w:tcPr>
            <w:tcW w:w="675" w:type="dxa"/>
          </w:tcPr>
          <w:p w14:paraId="50EF3EA8">
            <w:pPr>
              <w:spacing w:line="360" w:lineRule="auto"/>
              <w:rPr>
                <w:rFonts w:hint="eastAsia" w:ascii="宋体" w:hAnsi="宋体" w:cs="宋体"/>
                <w:color w:val="auto"/>
                <w:szCs w:val="21"/>
                <w:highlight w:val="none"/>
              </w:rPr>
            </w:pPr>
          </w:p>
        </w:tc>
        <w:tc>
          <w:tcPr>
            <w:tcW w:w="769" w:type="dxa"/>
          </w:tcPr>
          <w:p w14:paraId="0A990F53">
            <w:pPr>
              <w:spacing w:line="360" w:lineRule="auto"/>
              <w:rPr>
                <w:rFonts w:hint="eastAsia" w:ascii="宋体" w:hAnsi="宋体" w:cs="宋体"/>
                <w:color w:val="auto"/>
                <w:szCs w:val="21"/>
                <w:highlight w:val="none"/>
              </w:rPr>
            </w:pPr>
          </w:p>
        </w:tc>
        <w:tc>
          <w:tcPr>
            <w:tcW w:w="690" w:type="dxa"/>
          </w:tcPr>
          <w:p w14:paraId="69E35049">
            <w:pPr>
              <w:spacing w:line="360" w:lineRule="auto"/>
              <w:rPr>
                <w:rFonts w:hint="eastAsia" w:ascii="宋体" w:hAnsi="宋体" w:cs="宋体"/>
                <w:color w:val="auto"/>
                <w:szCs w:val="21"/>
                <w:highlight w:val="none"/>
              </w:rPr>
            </w:pPr>
          </w:p>
        </w:tc>
        <w:tc>
          <w:tcPr>
            <w:tcW w:w="585" w:type="dxa"/>
          </w:tcPr>
          <w:p w14:paraId="65845C30">
            <w:pPr>
              <w:spacing w:line="360" w:lineRule="auto"/>
              <w:rPr>
                <w:rFonts w:hint="eastAsia" w:ascii="宋体" w:hAnsi="宋体" w:cs="宋体"/>
                <w:color w:val="auto"/>
                <w:szCs w:val="21"/>
                <w:highlight w:val="none"/>
              </w:rPr>
            </w:pPr>
          </w:p>
        </w:tc>
        <w:tc>
          <w:tcPr>
            <w:tcW w:w="615" w:type="dxa"/>
          </w:tcPr>
          <w:p w14:paraId="4306A3E0">
            <w:pPr>
              <w:spacing w:line="360" w:lineRule="auto"/>
              <w:rPr>
                <w:rFonts w:hint="eastAsia" w:ascii="宋体" w:hAnsi="宋体" w:cs="宋体"/>
                <w:color w:val="auto"/>
                <w:szCs w:val="21"/>
                <w:highlight w:val="none"/>
              </w:rPr>
            </w:pPr>
          </w:p>
        </w:tc>
        <w:tc>
          <w:tcPr>
            <w:tcW w:w="661" w:type="dxa"/>
          </w:tcPr>
          <w:p w14:paraId="12B825A7">
            <w:pPr>
              <w:spacing w:line="360" w:lineRule="auto"/>
              <w:rPr>
                <w:rFonts w:hint="eastAsia" w:ascii="宋体" w:hAnsi="宋体" w:cs="宋体"/>
                <w:color w:val="auto"/>
                <w:szCs w:val="21"/>
                <w:highlight w:val="none"/>
              </w:rPr>
            </w:pPr>
          </w:p>
        </w:tc>
        <w:tc>
          <w:tcPr>
            <w:tcW w:w="756" w:type="dxa"/>
          </w:tcPr>
          <w:p w14:paraId="4156D042">
            <w:pPr>
              <w:spacing w:line="360" w:lineRule="auto"/>
              <w:rPr>
                <w:rFonts w:hint="eastAsia" w:ascii="宋体" w:hAnsi="宋体" w:cs="宋体"/>
                <w:color w:val="auto"/>
                <w:szCs w:val="21"/>
                <w:highlight w:val="none"/>
              </w:rPr>
            </w:pPr>
          </w:p>
        </w:tc>
        <w:tc>
          <w:tcPr>
            <w:tcW w:w="709" w:type="dxa"/>
          </w:tcPr>
          <w:p w14:paraId="1A99E8C5">
            <w:pPr>
              <w:spacing w:line="360" w:lineRule="auto"/>
              <w:rPr>
                <w:rFonts w:hint="eastAsia" w:ascii="宋体" w:hAnsi="宋体" w:cs="宋体"/>
                <w:color w:val="auto"/>
                <w:szCs w:val="21"/>
                <w:highlight w:val="none"/>
              </w:rPr>
            </w:pPr>
          </w:p>
        </w:tc>
        <w:tc>
          <w:tcPr>
            <w:tcW w:w="567" w:type="dxa"/>
          </w:tcPr>
          <w:p w14:paraId="5496B89F">
            <w:pPr>
              <w:spacing w:line="360" w:lineRule="auto"/>
              <w:rPr>
                <w:rFonts w:hint="eastAsia" w:ascii="宋体" w:hAnsi="宋体" w:cs="宋体"/>
                <w:color w:val="auto"/>
                <w:szCs w:val="21"/>
                <w:highlight w:val="none"/>
              </w:rPr>
            </w:pPr>
          </w:p>
        </w:tc>
        <w:tc>
          <w:tcPr>
            <w:tcW w:w="425" w:type="dxa"/>
          </w:tcPr>
          <w:p w14:paraId="323DE3DB">
            <w:pPr>
              <w:spacing w:line="360" w:lineRule="auto"/>
              <w:rPr>
                <w:rFonts w:hint="eastAsia" w:ascii="宋体" w:hAnsi="宋体" w:cs="宋体"/>
                <w:color w:val="auto"/>
                <w:szCs w:val="21"/>
                <w:highlight w:val="none"/>
              </w:rPr>
            </w:pPr>
          </w:p>
        </w:tc>
        <w:tc>
          <w:tcPr>
            <w:tcW w:w="703" w:type="dxa"/>
            <w:gridSpan w:val="2"/>
          </w:tcPr>
          <w:p w14:paraId="01A26D9E">
            <w:pPr>
              <w:spacing w:line="360" w:lineRule="auto"/>
              <w:rPr>
                <w:rFonts w:hint="eastAsia" w:ascii="宋体" w:hAnsi="宋体" w:cs="宋体"/>
                <w:color w:val="auto"/>
                <w:szCs w:val="21"/>
                <w:highlight w:val="none"/>
              </w:rPr>
            </w:pPr>
          </w:p>
        </w:tc>
      </w:tr>
      <w:tr w14:paraId="01CC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tcPr>
          <w:p w14:paraId="06BFB754">
            <w:pPr>
              <w:spacing w:line="360" w:lineRule="auto"/>
              <w:rPr>
                <w:rFonts w:hint="eastAsia" w:ascii="宋体" w:hAnsi="宋体" w:cs="宋体"/>
                <w:color w:val="auto"/>
                <w:szCs w:val="21"/>
                <w:highlight w:val="none"/>
              </w:rPr>
            </w:pPr>
          </w:p>
        </w:tc>
        <w:tc>
          <w:tcPr>
            <w:tcW w:w="840" w:type="dxa"/>
          </w:tcPr>
          <w:p w14:paraId="55492174">
            <w:pPr>
              <w:spacing w:line="360" w:lineRule="auto"/>
              <w:rPr>
                <w:rFonts w:hint="eastAsia" w:ascii="宋体" w:hAnsi="宋体" w:cs="宋体"/>
                <w:color w:val="auto"/>
                <w:szCs w:val="21"/>
                <w:highlight w:val="none"/>
              </w:rPr>
            </w:pPr>
          </w:p>
        </w:tc>
        <w:tc>
          <w:tcPr>
            <w:tcW w:w="795" w:type="dxa"/>
          </w:tcPr>
          <w:p w14:paraId="1F9F6296">
            <w:pPr>
              <w:spacing w:line="360" w:lineRule="auto"/>
              <w:rPr>
                <w:rFonts w:hint="eastAsia" w:ascii="宋体" w:hAnsi="宋体" w:cs="宋体"/>
                <w:color w:val="auto"/>
                <w:szCs w:val="21"/>
                <w:highlight w:val="none"/>
              </w:rPr>
            </w:pPr>
          </w:p>
        </w:tc>
        <w:tc>
          <w:tcPr>
            <w:tcW w:w="720" w:type="dxa"/>
          </w:tcPr>
          <w:p w14:paraId="51711FA8">
            <w:pPr>
              <w:spacing w:line="360" w:lineRule="auto"/>
              <w:rPr>
                <w:rFonts w:hint="eastAsia" w:ascii="宋体" w:hAnsi="宋体" w:cs="宋体"/>
                <w:color w:val="auto"/>
                <w:szCs w:val="21"/>
                <w:highlight w:val="none"/>
              </w:rPr>
            </w:pPr>
          </w:p>
        </w:tc>
        <w:tc>
          <w:tcPr>
            <w:tcW w:w="675" w:type="dxa"/>
          </w:tcPr>
          <w:p w14:paraId="146BC81B">
            <w:pPr>
              <w:spacing w:line="360" w:lineRule="auto"/>
              <w:rPr>
                <w:rFonts w:hint="eastAsia" w:ascii="宋体" w:hAnsi="宋体" w:cs="宋体"/>
                <w:color w:val="auto"/>
                <w:szCs w:val="21"/>
                <w:highlight w:val="none"/>
              </w:rPr>
            </w:pPr>
          </w:p>
        </w:tc>
        <w:tc>
          <w:tcPr>
            <w:tcW w:w="769" w:type="dxa"/>
          </w:tcPr>
          <w:p w14:paraId="57F55ED0">
            <w:pPr>
              <w:spacing w:line="360" w:lineRule="auto"/>
              <w:rPr>
                <w:rFonts w:hint="eastAsia" w:ascii="宋体" w:hAnsi="宋体" w:cs="宋体"/>
                <w:color w:val="auto"/>
                <w:szCs w:val="21"/>
                <w:highlight w:val="none"/>
              </w:rPr>
            </w:pPr>
          </w:p>
        </w:tc>
        <w:tc>
          <w:tcPr>
            <w:tcW w:w="690" w:type="dxa"/>
          </w:tcPr>
          <w:p w14:paraId="159827F9">
            <w:pPr>
              <w:spacing w:line="360" w:lineRule="auto"/>
              <w:rPr>
                <w:rFonts w:hint="eastAsia" w:ascii="宋体" w:hAnsi="宋体" w:cs="宋体"/>
                <w:color w:val="auto"/>
                <w:szCs w:val="21"/>
                <w:highlight w:val="none"/>
              </w:rPr>
            </w:pPr>
          </w:p>
        </w:tc>
        <w:tc>
          <w:tcPr>
            <w:tcW w:w="585" w:type="dxa"/>
          </w:tcPr>
          <w:p w14:paraId="1C17D285">
            <w:pPr>
              <w:spacing w:line="360" w:lineRule="auto"/>
              <w:rPr>
                <w:rFonts w:hint="eastAsia" w:ascii="宋体" w:hAnsi="宋体" w:cs="宋体"/>
                <w:color w:val="auto"/>
                <w:szCs w:val="21"/>
                <w:highlight w:val="none"/>
              </w:rPr>
            </w:pPr>
          </w:p>
        </w:tc>
        <w:tc>
          <w:tcPr>
            <w:tcW w:w="615" w:type="dxa"/>
          </w:tcPr>
          <w:p w14:paraId="5936B79B">
            <w:pPr>
              <w:spacing w:line="360" w:lineRule="auto"/>
              <w:rPr>
                <w:rFonts w:hint="eastAsia" w:ascii="宋体" w:hAnsi="宋体" w:cs="宋体"/>
                <w:color w:val="auto"/>
                <w:szCs w:val="21"/>
                <w:highlight w:val="none"/>
              </w:rPr>
            </w:pPr>
          </w:p>
        </w:tc>
        <w:tc>
          <w:tcPr>
            <w:tcW w:w="661" w:type="dxa"/>
          </w:tcPr>
          <w:p w14:paraId="757601B2">
            <w:pPr>
              <w:spacing w:line="360" w:lineRule="auto"/>
              <w:rPr>
                <w:rFonts w:hint="eastAsia" w:ascii="宋体" w:hAnsi="宋体" w:cs="宋体"/>
                <w:color w:val="auto"/>
                <w:szCs w:val="21"/>
                <w:highlight w:val="none"/>
              </w:rPr>
            </w:pPr>
          </w:p>
        </w:tc>
        <w:tc>
          <w:tcPr>
            <w:tcW w:w="756" w:type="dxa"/>
          </w:tcPr>
          <w:p w14:paraId="68F26D78">
            <w:pPr>
              <w:spacing w:line="360" w:lineRule="auto"/>
              <w:rPr>
                <w:rFonts w:hint="eastAsia" w:ascii="宋体" w:hAnsi="宋体" w:cs="宋体"/>
                <w:color w:val="auto"/>
                <w:szCs w:val="21"/>
                <w:highlight w:val="none"/>
              </w:rPr>
            </w:pPr>
          </w:p>
        </w:tc>
        <w:tc>
          <w:tcPr>
            <w:tcW w:w="709" w:type="dxa"/>
          </w:tcPr>
          <w:p w14:paraId="7504055A">
            <w:pPr>
              <w:spacing w:line="360" w:lineRule="auto"/>
              <w:rPr>
                <w:rFonts w:hint="eastAsia" w:ascii="宋体" w:hAnsi="宋体" w:cs="宋体"/>
                <w:color w:val="auto"/>
                <w:szCs w:val="21"/>
                <w:highlight w:val="none"/>
              </w:rPr>
            </w:pPr>
          </w:p>
        </w:tc>
        <w:tc>
          <w:tcPr>
            <w:tcW w:w="567" w:type="dxa"/>
          </w:tcPr>
          <w:p w14:paraId="4CE55E3A">
            <w:pPr>
              <w:spacing w:line="360" w:lineRule="auto"/>
              <w:rPr>
                <w:rFonts w:hint="eastAsia" w:ascii="宋体" w:hAnsi="宋体" w:cs="宋体"/>
                <w:color w:val="auto"/>
                <w:szCs w:val="21"/>
                <w:highlight w:val="none"/>
              </w:rPr>
            </w:pPr>
          </w:p>
        </w:tc>
        <w:tc>
          <w:tcPr>
            <w:tcW w:w="425" w:type="dxa"/>
          </w:tcPr>
          <w:p w14:paraId="0B937896">
            <w:pPr>
              <w:spacing w:line="360" w:lineRule="auto"/>
              <w:rPr>
                <w:rFonts w:hint="eastAsia" w:ascii="宋体" w:hAnsi="宋体" w:cs="宋体"/>
                <w:color w:val="auto"/>
                <w:szCs w:val="21"/>
                <w:highlight w:val="none"/>
              </w:rPr>
            </w:pPr>
          </w:p>
        </w:tc>
        <w:tc>
          <w:tcPr>
            <w:tcW w:w="703" w:type="dxa"/>
            <w:gridSpan w:val="2"/>
          </w:tcPr>
          <w:p w14:paraId="22D772A2">
            <w:pPr>
              <w:spacing w:line="360" w:lineRule="auto"/>
              <w:rPr>
                <w:rFonts w:hint="eastAsia" w:ascii="宋体" w:hAnsi="宋体" w:cs="宋体"/>
                <w:color w:val="auto"/>
                <w:szCs w:val="21"/>
                <w:highlight w:val="none"/>
              </w:rPr>
            </w:pPr>
          </w:p>
        </w:tc>
      </w:tr>
      <w:tr w14:paraId="01EE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tcPr>
          <w:p w14:paraId="336FAC3D">
            <w:pPr>
              <w:spacing w:line="360" w:lineRule="auto"/>
              <w:rPr>
                <w:rFonts w:hint="eastAsia" w:ascii="宋体" w:hAnsi="宋体" w:cs="宋体"/>
                <w:color w:val="auto"/>
                <w:szCs w:val="21"/>
                <w:highlight w:val="none"/>
              </w:rPr>
            </w:pPr>
          </w:p>
        </w:tc>
        <w:tc>
          <w:tcPr>
            <w:tcW w:w="840" w:type="dxa"/>
          </w:tcPr>
          <w:p w14:paraId="27838E0D">
            <w:pPr>
              <w:spacing w:line="360" w:lineRule="auto"/>
              <w:rPr>
                <w:rFonts w:hint="eastAsia" w:ascii="宋体" w:hAnsi="宋体" w:cs="宋体"/>
                <w:color w:val="auto"/>
                <w:szCs w:val="21"/>
                <w:highlight w:val="none"/>
              </w:rPr>
            </w:pPr>
          </w:p>
        </w:tc>
        <w:tc>
          <w:tcPr>
            <w:tcW w:w="795" w:type="dxa"/>
          </w:tcPr>
          <w:p w14:paraId="5B55BAF4">
            <w:pPr>
              <w:spacing w:line="360" w:lineRule="auto"/>
              <w:rPr>
                <w:rFonts w:hint="eastAsia" w:ascii="宋体" w:hAnsi="宋体" w:cs="宋体"/>
                <w:color w:val="auto"/>
                <w:szCs w:val="21"/>
                <w:highlight w:val="none"/>
              </w:rPr>
            </w:pPr>
          </w:p>
        </w:tc>
        <w:tc>
          <w:tcPr>
            <w:tcW w:w="720" w:type="dxa"/>
          </w:tcPr>
          <w:p w14:paraId="13265E57">
            <w:pPr>
              <w:spacing w:line="360" w:lineRule="auto"/>
              <w:rPr>
                <w:rFonts w:hint="eastAsia" w:ascii="宋体" w:hAnsi="宋体" w:cs="宋体"/>
                <w:color w:val="auto"/>
                <w:szCs w:val="21"/>
                <w:highlight w:val="none"/>
              </w:rPr>
            </w:pPr>
          </w:p>
        </w:tc>
        <w:tc>
          <w:tcPr>
            <w:tcW w:w="675" w:type="dxa"/>
          </w:tcPr>
          <w:p w14:paraId="0A26EF23">
            <w:pPr>
              <w:spacing w:line="360" w:lineRule="auto"/>
              <w:rPr>
                <w:rFonts w:hint="eastAsia" w:ascii="宋体" w:hAnsi="宋体" w:cs="宋体"/>
                <w:color w:val="auto"/>
                <w:szCs w:val="21"/>
                <w:highlight w:val="none"/>
              </w:rPr>
            </w:pPr>
          </w:p>
        </w:tc>
        <w:tc>
          <w:tcPr>
            <w:tcW w:w="769" w:type="dxa"/>
          </w:tcPr>
          <w:p w14:paraId="3C5EC126">
            <w:pPr>
              <w:spacing w:line="360" w:lineRule="auto"/>
              <w:rPr>
                <w:rFonts w:hint="eastAsia" w:ascii="宋体" w:hAnsi="宋体" w:cs="宋体"/>
                <w:color w:val="auto"/>
                <w:szCs w:val="21"/>
                <w:highlight w:val="none"/>
              </w:rPr>
            </w:pPr>
          </w:p>
        </w:tc>
        <w:tc>
          <w:tcPr>
            <w:tcW w:w="690" w:type="dxa"/>
          </w:tcPr>
          <w:p w14:paraId="4C4523C0">
            <w:pPr>
              <w:spacing w:line="360" w:lineRule="auto"/>
              <w:rPr>
                <w:rFonts w:hint="eastAsia" w:ascii="宋体" w:hAnsi="宋体" w:cs="宋体"/>
                <w:color w:val="auto"/>
                <w:szCs w:val="21"/>
                <w:highlight w:val="none"/>
              </w:rPr>
            </w:pPr>
          </w:p>
        </w:tc>
        <w:tc>
          <w:tcPr>
            <w:tcW w:w="585" w:type="dxa"/>
          </w:tcPr>
          <w:p w14:paraId="11AB6C29">
            <w:pPr>
              <w:spacing w:line="360" w:lineRule="auto"/>
              <w:rPr>
                <w:rFonts w:hint="eastAsia" w:ascii="宋体" w:hAnsi="宋体" w:cs="宋体"/>
                <w:color w:val="auto"/>
                <w:szCs w:val="21"/>
                <w:highlight w:val="none"/>
              </w:rPr>
            </w:pPr>
          </w:p>
        </w:tc>
        <w:tc>
          <w:tcPr>
            <w:tcW w:w="615" w:type="dxa"/>
          </w:tcPr>
          <w:p w14:paraId="01B3BEA2">
            <w:pPr>
              <w:spacing w:line="360" w:lineRule="auto"/>
              <w:rPr>
                <w:rFonts w:hint="eastAsia" w:ascii="宋体" w:hAnsi="宋体" w:cs="宋体"/>
                <w:color w:val="auto"/>
                <w:szCs w:val="21"/>
                <w:highlight w:val="none"/>
              </w:rPr>
            </w:pPr>
          </w:p>
        </w:tc>
        <w:tc>
          <w:tcPr>
            <w:tcW w:w="661" w:type="dxa"/>
          </w:tcPr>
          <w:p w14:paraId="19732E95">
            <w:pPr>
              <w:spacing w:line="360" w:lineRule="auto"/>
              <w:rPr>
                <w:rFonts w:hint="eastAsia" w:ascii="宋体" w:hAnsi="宋体" w:cs="宋体"/>
                <w:color w:val="auto"/>
                <w:szCs w:val="21"/>
                <w:highlight w:val="none"/>
              </w:rPr>
            </w:pPr>
          </w:p>
        </w:tc>
        <w:tc>
          <w:tcPr>
            <w:tcW w:w="756" w:type="dxa"/>
          </w:tcPr>
          <w:p w14:paraId="20BCCF43">
            <w:pPr>
              <w:spacing w:line="360" w:lineRule="auto"/>
              <w:rPr>
                <w:rFonts w:hint="eastAsia" w:ascii="宋体" w:hAnsi="宋体" w:cs="宋体"/>
                <w:color w:val="auto"/>
                <w:szCs w:val="21"/>
                <w:highlight w:val="none"/>
              </w:rPr>
            </w:pPr>
          </w:p>
        </w:tc>
        <w:tc>
          <w:tcPr>
            <w:tcW w:w="709" w:type="dxa"/>
          </w:tcPr>
          <w:p w14:paraId="4394D904">
            <w:pPr>
              <w:spacing w:line="360" w:lineRule="auto"/>
              <w:rPr>
                <w:rFonts w:hint="eastAsia" w:ascii="宋体" w:hAnsi="宋体" w:cs="宋体"/>
                <w:color w:val="auto"/>
                <w:szCs w:val="21"/>
                <w:highlight w:val="none"/>
              </w:rPr>
            </w:pPr>
          </w:p>
        </w:tc>
        <w:tc>
          <w:tcPr>
            <w:tcW w:w="567" w:type="dxa"/>
          </w:tcPr>
          <w:p w14:paraId="7AEF10C8">
            <w:pPr>
              <w:spacing w:line="360" w:lineRule="auto"/>
              <w:rPr>
                <w:rFonts w:hint="eastAsia" w:ascii="宋体" w:hAnsi="宋体" w:cs="宋体"/>
                <w:color w:val="auto"/>
                <w:szCs w:val="21"/>
                <w:highlight w:val="none"/>
              </w:rPr>
            </w:pPr>
          </w:p>
        </w:tc>
        <w:tc>
          <w:tcPr>
            <w:tcW w:w="425" w:type="dxa"/>
          </w:tcPr>
          <w:p w14:paraId="211458CF">
            <w:pPr>
              <w:spacing w:line="360" w:lineRule="auto"/>
              <w:rPr>
                <w:rFonts w:hint="eastAsia" w:ascii="宋体" w:hAnsi="宋体" w:cs="宋体"/>
                <w:color w:val="auto"/>
                <w:szCs w:val="21"/>
                <w:highlight w:val="none"/>
              </w:rPr>
            </w:pPr>
          </w:p>
        </w:tc>
        <w:tc>
          <w:tcPr>
            <w:tcW w:w="703" w:type="dxa"/>
            <w:gridSpan w:val="2"/>
          </w:tcPr>
          <w:p w14:paraId="6A3B16F7">
            <w:pPr>
              <w:spacing w:line="360" w:lineRule="auto"/>
              <w:rPr>
                <w:rFonts w:hint="eastAsia" w:ascii="宋体" w:hAnsi="宋体" w:cs="宋体"/>
                <w:color w:val="auto"/>
                <w:szCs w:val="21"/>
                <w:highlight w:val="none"/>
              </w:rPr>
            </w:pPr>
          </w:p>
        </w:tc>
      </w:tr>
      <w:tr w14:paraId="43E9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3" w:type="dxa"/>
          <w:jc w:val="center"/>
        </w:trPr>
        <w:tc>
          <w:tcPr>
            <w:tcW w:w="9578" w:type="dxa"/>
            <w:gridSpan w:val="15"/>
          </w:tcPr>
          <w:p w14:paraId="5E1FFF0C">
            <w:pPr>
              <w:spacing w:line="360" w:lineRule="auto"/>
              <w:rPr>
                <w:rFonts w:hint="eastAsia" w:ascii="宋体" w:hAnsi="宋体" w:cs="宋体"/>
                <w:color w:val="auto"/>
                <w:szCs w:val="21"/>
                <w:highlight w:val="none"/>
              </w:rPr>
            </w:pPr>
            <w:r>
              <w:rPr>
                <w:rFonts w:hint="eastAsia" w:ascii="宋体" w:hAnsi="宋体" w:cs="宋体"/>
                <w:color w:val="auto"/>
                <w:kern w:val="1"/>
                <w:szCs w:val="21"/>
                <w:highlight w:val="none"/>
              </w:rPr>
              <w:t xml:space="preserve">投标最高限价：   </w:t>
            </w:r>
          </w:p>
        </w:tc>
      </w:tr>
    </w:tbl>
    <w:p w14:paraId="43A0A29D">
      <w:pPr>
        <w:spacing w:line="400" w:lineRule="exact"/>
        <w:ind w:right="420"/>
        <w:rPr>
          <w:rFonts w:hint="eastAsia" w:ascii="宋体" w:hAnsi="宋体" w:cs="宋体"/>
          <w:color w:val="auto"/>
          <w:szCs w:val="21"/>
          <w:highlight w:val="none"/>
        </w:rPr>
      </w:pPr>
      <w:r>
        <w:rPr>
          <w:rFonts w:hint="eastAsia" w:ascii="宋体" w:hAnsi="宋体" w:cs="宋体"/>
          <w:color w:val="auto"/>
          <w:szCs w:val="21"/>
          <w:highlight w:val="none"/>
        </w:rPr>
        <w:t>招标人代表：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记录人：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监标人：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3909CB7">
      <w:pPr>
        <w:spacing w:line="620" w:lineRule="exact"/>
        <w:rPr>
          <w:rFonts w:hint="eastAsia" w:ascii="宋体" w:hAnsi="宋体" w:cs="宋体"/>
          <w:color w:val="auto"/>
          <w:sz w:val="20"/>
          <w:szCs w:val="20"/>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highlight w:val="none"/>
          <w:u w:val="single"/>
        </w:rPr>
        <w:t xml:space="preserve">      </w:t>
      </w:r>
      <w:r>
        <w:rPr>
          <w:rFonts w:hint="eastAsia" w:ascii="宋体" w:hAnsi="宋体" w:cs="宋体"/>
          <w:color w:val="auto"/>
          <w:szCs w:val="21"/>
          <w:highlight w:val="none"/>
        </w:rPr>
        <w:t>日</w:t>
      </w:r>
    </w:p>
    <w:p w14:paraId="57353595">
      <w:pPr>
        <w:ind w:firstLine="118"/>
        <w:rPr>
          <w:rFonts w:ascii="宋体" w:cs="宋体"/>
          <w:color w:val="auto"/>
          <w:kern w:val="1"/>
          <w:sz w:val="24"/>
          <w:highlight w:val="none"/>
          <w:u w:val="single"/>
        </w:rPr>
      </w:pPr>
      <w:r>
        <w:rPr>
          <w:rFonts w:hint="eastAsia" w:ascii="宋体" w:cs="宋体"/>
          <w:color w:val="auto"/>
          <w:kern w:val="1"/>
          <w:sz w:val="24"/>
          <w:highlight w:val="none"/>
          <w:u w:val="single"/>
        </w:rPr>
        <w:t>本表仅供参考，具体以开标时的开标记录表为准。</w:t>
      </w:r>
    </w:p>
    <w:p w14:paraId="0A1DE3D0">
      <w:pPr>
        <w:pStyle w:val="6"/>
        <w:ind w:firstLine="118"/>
        <w:rPr>
          <w:rFonts w:hint="eastAsia" w:ascii="宋体" w:eastAsia="宋体" w:cs="宋体"/>
          <w:color w:val="auto"/>
          <w:highlight w:val="none"/>
        </w:rPr>
      </w:pPr>
      <w:r>
        <w:rPr>
          <w:rFonts w:hint="eastAsia" w:ascii="宋体" w:eastAsia="宋体" w:cs="宋体"/>
          <w:color w:val="auto"/>
          <w:sz w:val="24"/>
          <w:szCs w:val="24"/>
          <w:highlight w:val="none"/>
        </w:rPr>
        <w:br w:type="page"/>
      </w:r>
      <w:bookmarkStart w:id="399" w:name="_Toc32539"/>
      <w:r>
        <w:rPr>
          <w:rFonts w:hint="eastAsia" w:ascii="宋体" w:eastAsia="宋体" w:cs="宋体"/>
          <w:color w:val="auto"/>
          <w:highlight w:val="none"/>
        </w:rPr>
        <w:t>附件二：问题澄清通知</w:t>
      </w:r>
      <w:bookmarkEnd w:id="399"/>
    </w:p>
    <w:p w14:paraId="3DAFDCE1">
      <w:pPr>
        <w:spacing w:line="440" w:lineRule="exact"/>
        <w:jc w:val="center"/>
        <w:rPr>
          <w:rFonts w:hint="eastAsia" w:ascii="宋体" w:hAnsi="宋体" w:cs="宋体"/>
          <w:color w:val="auto"/>
          <w:szCs w:val="21"/>
          <w:highlight w:val="none"/>
        </w:rPr>
      </w:pPr>
    </w:p>
    <w:p w14:paraId="58A3151B">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问题澄清通知</w:t>
      </w:r>
    </w:p>
    <w:p w14:paraId="39628FF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编号：</w:t>
      </w:r>
    </w:p>
    <w:p w14:paraId="2F7965C0">
      <w:pPr>
        <w:spacing w:line="440" w:lineRule="exact"/>
        <w:rPr>
          <w:rFonts w:hint="eastAsia" w:ascii="宋体" w:hAnsi="宋体" w:cs="宋体"/>
          <w:color w:val="auto"/>
          <w:szCs w:val="21"/>
          <w:highlight w:val="none"/>
        </w:rPr>
      </w:pPr>
    </w:p>
    <w:p w14:paraId="207DAB6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w:t>
      </w:r>
    </w:p>
    <w:p w14:paraId="2C1EC38C">
      <w:pPr>
        <w:spacing w:line="440" w:lineRule="exact"/>
        <w:rPr>
          <w:rFonts w:hint="eastAsia" w:ascii="宋体" w:hAnsi="宋体" w:cs="宋体"/>
          <w:color w:val="auto"/>
          <w:szCs w:val="21"/>
          <w:highlight w:val="none"/>
        </w:rPr>
      </w:pPr>
    </w:p>
    <w:p w14:paraId="7F60616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（项目名称）招标的评标委员会，对你方的投标文件进行了仔细的审查，现需你方对下列问题以书面形式予以澄清：</w:t>
      </w:r>
    </w:p>
    <w:p w14:paraId="25BEA9D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56FEE36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p>
    <w:p w14:paraId="14BF224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w:t>
      </w:r>
    </w:p>
    <w:p w14:paraId="540BCF2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   </w:t>
      </w:r>
    </w:p>
    <w:p w14:paraId="3EE28C9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1D882BB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w:t>
      </w:r>
      <w:bookmarkStart w:id="400" w:name="_Toc152042359"/>
      <w:bookmarkStart w:id="401" w:name="_Toc247514006"/>
      <w:bookmarkStart w:id="402" w:name="_Toc439240650"/>
      <w:bookmarkStart w:id="403" w:name="_Toc247527607"/>
      <w:bookmarkStart w:id="404" w:name="_Toc152045582"/>
      <w:bookmarkStart w:id="405" w:name="_Toc144974549"/>
      <w:bookmarkStart w:id="406" w:name="_Toc439246049"/>
      <w:bookmarkStart w:id="407" w:name="_Toc356469229"/>
      <w:bookmarkStart w:id="408" w:name="_Toc300835003"/>
      <w:bookmarkStart w:id="409" w:name="_Toc357089563"/>
      <w:r>
        <w:rPr>
          <w:rFonts w:hint="eastAsia" w:ascii="宋体" w:hAnsi="宋体" w:cs="宋体"/>
          <w:color w:val="auto"/>
          <w:szCs w:val="21"/>
          <w:highlight w:val="none"/>
        </w:rPr>
        <w:t>（传真号码</w:t>
      </w:r>
      <w:bookmarkEnd w:id="400"/>
      <w:bookmarkEnd w:id="401"/>
      <w:bookmarkEnd w:id="402"/>
      <w:bookmarkEnd w:id="403"/>
      <w:bookmarkEnd w:id="404"/>
      <w:bookmarkEnd w:id="405"/>
      <w:bookmarkEnd w:id="406"/>
      <w:bookmarkEnd w:id="407"/>
      <w:bookmarkEnd w:id="408"/>
      <w:bookmarkEnd w:id="409"/>
      <w:r>
        <w:rPr>
          <w:rFonts w:hint="eastAsia" w:ascii="宋体" w:hAnsi="宋体" w:cs="宋体"/>
          <w:color w:val="auto"/>
          <w:szCs w:val="21"/>
          <w:highlight w:val="none"/>
        </w:rPr>
        <w:t>）。采用传真方式的，应在年月日时前将原件递交至（详细地址）。</w:t>
      </w:r>
    </w:p>
    <w:p w14:paraId="2112937D">
      <w:pPr>
        <w:spacing w:line="440" w:lineRule="exact"/>
        <w:rPr>
          <w:rFonts w:hint="eastAsia" w:ascii="宋体" w:hAnsi="宋体" w:cs="宋体"/>
          <w:color w:val="auto"/>
          <w:szCs w:val="21"/>
          <w:highlight w:val="none"/>
        </w:rPr>
      </w:pPr>
    </w:p>
    <w:p w14:paraId="3F3235F6">
      <w:pPr>
        <w:spacing w:line="440" w:lineRule="exact"/>
        <w:rPr>
          <w:rFonts w:hint="eastAsia" w:ascii="宋体" w:hAnsi="宋体" w:cs="宋体"/>
          <w:color w:val="auto"/>
          <w:szCs w:val="21"/>
          <w:highlight w:val="none"/>
        </w:rPr>
      </w:pPr>
    </w:p>
    <w:p w14:paraId="219477B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w:t>
      </w:r>
    </w:p>
    <w:p w14:paraId="4FB5E495">
      <w:pPr>
        <w:spacing w:line="440" w:lineRule="exact"/>
        <w:rPr>
          <w:rFonts w:hint="eastAsia" w:ascii="宋体" w:hAnsi="宋体" w:cs="宋体"/>
          <w:color w:val="auto"/>
          <w:szCs w:val="21"/>
          <w:highlight w:val="none"/>
        </w:rPr>
      </w:pPr>
    </w:p>
    <w:p w14:paraId="2C00084B">
      <w:pPr>
        <w:spacing w:line="440" w:lineRule="exact"/>
        <w:ind w:firstLine="5670" w:firstLineChars="2700"/>
        <w:rPr>
          <w:rFonts w:hint="eastAsia" w:ascii="宋体" w:hAnsi="宋体" w:cs="宋体"/>
          <w:color w:val="auto"/>
          <w:szCs w:val="21"/>
          <w:highlight w:val="none"/>
        </w:rPr>
      </w:pPr>
      <w:r>
        <w:rPr>
          <w:rFonts w:hint="eastAsia" w:ascii="宋体" w:hAnsi="宋体" w:cs="宋体"/>
          <w:color w:val="auto"/>
          <w:szCs w:val="21"/>
          <w:highlight w:val="none"/>
        </w:rPr>
        <w:t>年  月  日</w:t>
      </w:r>
    </w:p>
    <w:p w14:paraId="12BE8C36">
      <w:pPr>
        <w:spacing w:line="400" w:lineRule="exact"/>
        <w:rPr>
          <w:rFonts w:hint="eastAsia" w:ascii="宋体" w:hAnsi="宋体" w:cs="宋体"/>
          <w:color w:val="auto"/>
          <w:highlight w:val="none"/>
        </w:rPr>
      </w:pPr>
    </w:p>
    <w:p w14:paraId="16025C84">
      <w:pPr>
        <w:spacing w:line="400" w:lineRule="exact"/>
        <w:rPr>
          <w:rFonts w:hint="eastAsia" w:ascii="宋体" w:hAnsi="宋体" w:cs="宋体"/>
          <w:color w:val="auto"/>
          <w:highlight w:val="none"/>
        </w:rPr>
      </w:pPr>
      <w:r>
        <w:rPr>
          <w:rFonts w:hint="eastAsia" w:ascii="宋体" w:hAnsi="宋体" w:cs="宋体"/>
          <w:color w:val="auto"/>
          <w:highlight w:val="none"/>
        </w:rPr>
        <w:br w:type="page"/>
      </w:r>
    </w:p>
    <w:p w14:paraId="7E9330C7">
      <w:pPr>
        <w:pStyle w:val="6"/>
        <w:rPr>
          <w:rFonts w:hint="eastAsia" w:ascii="宋体" w:eastAsia="宋体" w:cs="宋体"/>
          <w:color w:val="auto"/>
          <w:highlight w:val="none"/>
        </w:rPr>
      </w:pPr>
      <w:bookmarkStart w:id="410" w:name="_Toc27079"/>
      <w:r>
        <w:rPr>
          <w:rFonts w:hint="eastAsia" w:ascii="宋体" w:eastAsia="宋体" w:cs="宋体"/>
          <w:color w:val="auto"/>
          <w:highlight w:val="none"/>
        </w:rPr>
        <w:t>附件三：问题的澄清</w:t>
      </w:r>
      <w:bookmarkEnd w:id="410"/>
    </w:p>
    <w:p w14:paraId="28AD9E47">
      <w:pPr>
        <w:spacing w:line="400" w:lineRule="exact"/>
        <w:jc w:val="center"/>
        <w:rPr>
          <w:rFonts w:hint="eastAsia" w:ascii="宋体" w:hAnsi="宋体" w:cs="宋体"/>
          <w:color w:val="auto"/>
          <w:sz w:val="28"/>
          <w:szCs w:val="28"/>
          <w:highlight w:val="none"/>
        </w:rPr>
      </w:pPr>
    </w:p>
    <w:p w14:paraId="1ED692DD">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问题的澄清</w:t>
      </w:r>
    </w:p>
    <w:p w14:paraId="76650E28">
      <w:pPr>
        <w:spacing w:line="400" w:lineRule="exact"/>
        <w:ind w:firstLine="3465" w:firstLineChars="1650"/>
        <w:rPr>
          <w:rFonts w:hint="eastAsia" w:ascii="宋体" w:hAnsi="宋体" w:cs="宋体"/>
          <w:color w:val="auto"/>
          <w:highlight w:val="none"/>
        </w:rPr>
      </w:pPr>
      <w:r>
        <w:rPr>
          <w:rFonts w:hint="eastAsia" w:ascii="宋体" w:hAnsi="宋体" w:cs="宋体"/>
          <w:color w:val="auto"/>
          <w:highlight w:val="none"/>
        </w:rPr>
        <w:t xml:space="preserve">编号： </w:t>
      </w:r>
    </w:p>
    <w:p w14:paraId="5861ECA0">
      <w:pPr>
        <w:spacing w:line="400" w:lineRule="exact"/>
        <w:rPr>
          <w:rFonts w:hint="eastAsia" w:ascii="宋体" w:hAnsi="宋体" w:cs="宋体"/>
          <w:color w:val="auto"/>
          <w:szCs w:val="21"/>
          <w:highlight w:val="none"/>
        </w:rPr>
      </w:pPr>
    </w:p>
    <w:p w14:paraId="31CC62B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（项目名称）招标评标委员会：</w:t>
      </w:r>
    </w:p>
    <w:p w14:paraId="12347BFD">
      <w:pPr>
        <w:spacing w:line="440" w:lineRule="exact"/>
        <w:rPr>
          <w:rFonts w:hint="eastAsia" w:ascii="宋体" w:hAnsi="宋体" w:cs="宋体"/>
          <w:color w:val="auto"/>
          <w:szCs w:val="21"/>
          <w:highlight w:val="none"/>
        </w:rPr>
      </w:pPr>
    </w:p>
    <w:p w14:paraId="4575F5A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14:paraId="4768655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1.</w:t>
      </w:r>
    </w:p>
    <w:p w14:paraId="60AF611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2.</w:t>
      </w:r>
    </w:p>
    <w:p w14:paraId="53FF170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2191B141">
      <w:pPr>
        <w:spacing w:line="440" w:lineRule="exact"/>
        <w:rPr>
          <w:rFonts w:hint="eastAsia" w:ascii="宋体" w:hAnsi="宋体" w:cs="宋体"/>
          <w:color w:val="auto"/>
          <w:szCs w:val="21"/>
          <w:highlight w:val="none"/>
        </w:rPr>
      </w:pPr>
    </w:p>
    <w:p w14:paraId="3547596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3D847C3">
      <w:pPr>
        <w:spacing w:line="440" w:lineRule="exact"/>
        <w:rPr>
          <w:rFonts w:hint="eastAsia" w:ascii="宋体" w:hAnsi="宋体" w:cs="宋体"/>
          <w:color w:val="auto"/>
          <w:szCs w:val="21"/>
          <w:highlight w:val="none"/>
        </w:rPr>
      </w:pPr>
    </w:p>
    <w:p w14:paraId="264DCBFE">
      <w:pPr>
        <w:spacing w:line="440" w:lineRule="exact"/>
        <w:rPr>
          <w:rFonts w:hint="eastAsia" w:ascii="宋体" w:hAnsi="宋体" w:cs="宋体"/>
          <w:color w:val="auto"/>
          <w:szCs w:val="21"/>
          <w:highlight w:val="none"/>
        </w:rPr>
      </w:pPr>
    </w:p>
    <w:p w14:paraId="1D4E9D0D">
      <w:pPr>
        <w:spacing w:line="440" w:lineRule="exact"/>
        <w:rPr>
          <w:rFonts w:hint="eastAsia" w:ascii="宋体" w:hAnsi="宋体" w:cs="宋体"/>
          <w:color w:val="auto"/>
          <w:szCs w:val="21"/>
          <w:highlight w:val="none"/>
        </w:rPr>
      </w:pPr>
    </w:p>
    <w:p w14:paraId="4C0A12EC">
      <w:pPr>
        <w:spacing w:line="440" w:lineRule="exact"/>
        <w:rPr>
          <w:rFonts w:hint="eastAsia" w:ascii="宋体" w:hAnsi="宋体" w:cs="宋体"/>
          <w:color w:val="auto"/>
          <w:szCs w:val="21"/>
          <w:highlight w:val="none"/>
        </w:rPr>
      </w:pPr>
    </w:p>
    <w:p w14:paraId="1F61259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投标人：（盖单位章）</w:t>
      </w:r>
    </w:p>
    <w:p w14:paraId="10C5421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006F6B9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法定代表人或其委托代理人：（签字）</w:t>
      </w:r>
    </w:p>
    <w:p w14:paraId="77564F3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bookmarkStart w:id="411" w:name="_Toc247527608"/>
      <w:bookmarkStart w:id="412" w:name="_Toc300835004"/>
      <w:bookmarkStart w:id="413" w:name="_Toc439246050"/>
      <w:bookmarkStart w:id="414" w:name="_Toc357089564"/>
      <w:bookmarkStart w:id="415" w:name="_Toc247514007"/>
      <w:bookmarkStart w:id="416" w:name="_Toc439240651"/>
      <w:bookmarkStart w:id="417" w:name="_Toc144974550"/>
      <w:bookmarkStart w:id="418" w:name="_Toc152045583"/>
      <w:bookmarkStart w:id="419" w:name="_Toc152042360"/>
      <w:bookmarkStart w:id="420" w:name="_Toc356469230"/>
      <w:r>
        <w:rPr>
          <w:rFonts w:hint="eastAsia" w:ascii="宋体" w:hAnsi="宋体" w:cs="宋体"/>
          <w:color w:val="auto"/>
          <w:szCs w:val="21"/>
          <w:highlight w:val="none"/>
        </w:rPr>
        <w:t>　　　　　　　　　</w:t>
      </w:r>
      <w:bookmarkEnd w:id="411"/>
      <w:bookmarkEnd w:id="412"/>
      <w:bookmarkEnd w:id="413"/>
      <w:bookmarkEnd w:id="414"/>
      <w:bookmarkEnd w:id="415"/>
      <w:bookmarkEnd w:id="416"/>
      <w:bookmarkEnd w:id="417"/>
      <w:bookmarkEnd w:id="418"/>
      <w:bookmarkEnd w:id="419"/>
      <w:bookmarkEnd w:id="420"/>
    </w:p>
    <w:p w14:paraId="5196F0D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年  月   日</w:t>
      </w:r>
    </w:p>
    <w:p w14:paraId="672AC44F">
      <w:pPr>
        <w:spacing w:line="440" w:lineRule="exact"/>
        <w:rPr>
          <w:rFonts w:hint="eastAsia" w:ascii="宋体" w:hAnsi="宋体" w:cs="宋体"/>
          <w:color w:val="auto"/>
          <w:highlight w:val="none"/>
        </w:rPr>
      </w:pPr>
    </w:p>
    <w:p w14:paraId="2BB8B558">
      <w:pPr>
        <w:pStyle w:val="2"/>
        <w:rPr>
          <w:rFonts w:hint="eastAsia" w:ascii="宋体" w:hAnsi="宋体" w:cs="宋体"/>
          <w:color w:val="auto"/>
          <w:highlight w:val="none"/>
        </w:rPr>
      </w:pPr>
    </w:p>
    <w:p w14:paraId="3AA9311A">
      <w:pPr>
        <w:pStyle w:val="2"/>
        <w:rPr>
          <w:rFonts w:hint="eastAsia" w:ascii="宋体" w:hAnsi="宋体" w:cs="宋体"/>
          <w:color w:val="auto"/>
          <w:highlight w:val="none"/>
        </w:rPr>
      </w:pPr>
    </w:p>
    <w:p w14:paraId="58B3B312">
      <w:pPr>
        <w:pStyle w:val="2"/>
        <w:rPr>
          <w:rFonts w:hint="eastAsia" w:ascii="宋体" w:hAnsi="宋体" w:cs="宋体"/>
          <w:color w:val="auto"/>
          <w:highlight w:val="none"/>
        </w:rPr>
      </w:pPr>
    </w:p>
    <w:p w14:paraId="6E234A1A">
      <w:pPr>
        <w:pStyle w:val="2"/>
        <w:rPr>
          <w:rFonts w:hint="eastAsia" w:ascii="宋体" w:hAnsi="宋体" w:cs="宋体"/>
          <w:color w:val="auto"/>
          <w:highlight w:val="none"/>
        </w:rPr>
      </w:pPr>
    </w:p>
    <w:p w14:paraId="1706C79B">
      <w:pPr>
        <w:pStyle w:val="2"/>
        <w:rPr>
          <w:rFonts w:hint="eastAsia" w:ascii="宋体" w:hAnsi="宋体" w:cs="宋体"/>
          <w:color w:val="auto"/>
          <w:highlight w:val="none"/>
        </w:rPr>
      </w:pPr>
    </w:p>
    <w:p w14:paraId="5E9E4932">
      <w:pPr>
        <w:pStyle w:val="2"/>
        <w:rPr>
          <w:rFonts w:hint="eastAsia" w:ascii="宋体" w:hAnsi="宋体" w:cs="宋体"/>
          <w:color w:val="auto"/>
          <w:highlight w:val="none"/>
        </w:rPr>
      </w:pPr>
    </w:p>
    <w:p w14:paraId="53B8E427">
      <w:pPr>
        <w:pStyle w:val="2"/>
        <w:rPr>
          <w:rFonts w:hint="eastAsia" w:ascii="宋体" w:hAnsi="宋体" w:cs="宋体"/>
          <w:color w:val="auto"/>
          <w:highlight w:val="none"/>
        </w:rPr>
      </w:pPr>
    </w:p>
    <w:p w14:paraId="1928B227">
      <w:pPr>
        <w:pStyle w:val="6"/>
        <w:rPr>
          <w:rFonts w:hint="eastAsia" w:ascii="宋体" w:eastAsia="宋体" w:cs="宋体"/>
          <w:color w:val="auto"/>
          <w:highlight w:val="none"/>
        </w:rPr>
      </w:pPr>
      <w:bookmarkStart w:id="421" w:name="_Toc28476"/>
      <w:r>
        <w:rPr>
          <w:rFonts w:hint="eastAsia" w:ascii="宋体" w:eastAsia="宋体" w:cs="宋体"/>
          <w:color w:val="auto"/>
          <w:highlight w:val="none"/>
        </w:rPr>
        <w:t>附件四：评标委员会成员声明</w:t>
      </w:r>
      <w:bookmarkEnd w:id="421"/>
    </w:p>
    <w:p w14:paraId="4F7925F9">
      <w:pPr>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评标委员会成员声明</w:t>
      </w:r>
    </w:p>
    <w:p w14:paraId="578D2EBC">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本项目招标人  </w:t>
      </w:r>
      <w:r>
        <w:rPr>
          <w:rFonts w:hint="eastAsia" w:ascii="宋体" w:hAnsi="宋体" w:cs="宋体"/>
          <w:color w:val="auto"/>
          <w:sz w:val="24"/>
          <w:highlight w:val="none"/>
        </w:rPr>
        <w:t>：</w:t>
      </w:r>
    </w:p>
    <w:p w14:paraId="6ECA96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本人就参与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项目的评标工作，作出郑重声明：</w:t>
      </w:r>
    </w:p>
    <w:p w14:paraId="798525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241C0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69E10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BF2E1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62185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9E5B3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如果本人违反上述声明内容，造成的后果由本人自行承担。</w:t>
      </w:r>
    </w:p>
    <w:p w14:paraId="7E5736E4">
      <w:pPr>
        <w:pStyle w:val="2"/>
        <w:spacing w:line="360" w:lineRule="auto"/>
        <w:rPr>
          <w:rFonts w:hint="eastAsia" w:ascii="宋体" w:hAnsi="宋体" w:cs="宋体"/>
          <w:color w:val="auto"/>
          <w:highlight w:val="none"/>
        </w:rPr>
      </w:pPr>
      <w:r>
        <w:rPr>
          <w:rFonts w:hint="eastAsia" w:ascii="宋体" w:hAnsi="宋体" w:cs="宋体"/>
          <w:color w:val="auto"/>
          <w:sz w:val="24"/>
          <w:szCs w:val="24"/>
          <w:highlight w:val="none"/>
        </w:rPr>
        <w:t xml:space="preserve">                             声明人：</w:t>
      </w:r>
      <w:r>
        <w:rPr>
          <w:rFonts w:hint="eastAsia" w:ascii="宋体" w:hAnsi="宋体" w:cs="宋体"/>
          <w:color w:val="auto"/>
          <w:sz w:val="24"/>
          <w:szCs w:val="24"/>
          <w:highlight w:val="none"/>
          <w:u w:val="single"/>
        </w:rPr>
        <w:t xml:space="preserve">（签名）  </w:t>
      </w:r>
    </w:p>
    <w:p w14:paraId="13AD63B9">
      <w:pPr>
        <w:rPr>
          <w:rFonts w:hint="eastAsia" w:ascii="宋体" w:hAnsi="宋体" w:cs="宋体"/>
          <w:color w:val="auto"/>
          <w:highlight w:val="none"/>
        </w:rPr>
      </w:pPr>
      <w:bookmarkStart w:id="422" w:name="_Toc144974565"/>
      <w:bookmarkStart w:id="423" w:name="_Toc152042375"/>
      <w:bookmarkStart w:id="424" w:name="_Toc23959"/>
      <w:bookmarkStart w:id="425" w:name="_Toc247514022"/>
      <w:bookmarkStart w:id="426" w:name="_Toc247527623"/>
      <w:bookmarkStart w:id="427" w:name="_Toc152045598"/>
      <w:r>
        <w:rPr>
          <w:rFonts w:hint="eastAsia" w:ascii="宋体" w:hAnsi="宋体" w:cs="宋体"/>
          <w:color w:val="auto"/>
          <w:highlight w:val="none"/>
        </w:rPr>
        <w:br w:type="page"/>
      </w:r>
    </w:p>
    <w:p w14:paraId="5CA25F7B">
      <w:pPr>
        <w:pStyle w:val="4"/>
        <w:jc w:val="center"/>
        <w:rPr>
          <w:rFonts w:hint="eastAsia" w:ascii="宋体" w:hAnsi="宋体" w:cs="宋体"/>
          <w:color w:val="auto"/>
          <w:highlight w:val="none"/>
        </w:rPr>
      </w:pPr>
      <w:bookmarkStart w:id="428" w:name="_Toc11613"/>
      <w:r>
        <w:rPr>
          <w:rFonts w:hint="eastAsia" w:ascii="宋体" w:hAnsi="宋体" w:cs="宋体"/>
          <w:color w:val="auto"/>
          <w:highlight w:val="none"/>
        </w:rPr>
        <w:t xml:space="preserve">第三章 </w:t>
      </w:r>
      <w:bookmarkEnd w:id="422"/>
      <w:bookmarkEnd w:id="423"/>
      <w:bookmarkEnd w:id="424"/>
      <w:bookmarkEnd w:id="425"/>
      <w:bookmarkEnd w:id="426"/>
      <w:bookmarkEnd w:id="427"/>
      <w:bookmarkStart w:id="429" w:name="_Toc247527634"/>
      <w:bookmarkStart w:id="430" w:name="_Toc13796"/>
      <w:bookmarkStart w:id="431" w:name="_Toc152045609"/>
      <w:bookmarkStart w:id="432" w:name="_Toc152042387"/>
      <w:bookmarkStart w:id="433" w:name="_Toc144974577"/>
      <w:bookmarkStart w:id="434" w:name="_Toc247514033"/>
      <w:r>
        <w:rPr>
          <w:rFonts w:hint="eastAsia" w:ascii="宋体" w:hAnsi="宋体" w:cs="宋体"/>
          <w:color w:val="auto"/>
          <w:highlight w:val="none"/>
        </w:rPr>
        <w:t>评标办法（综合评估法）</w:t>
      </w:r>
      <w:bookmarkEnd w:id="428"/>
      <w:bookmarkStart w:id="435" w:name="_Toc152042376"/>
      <w:bookmarkStart w:id="436" w:name="_Toc152045599"/>
      <w:bookmarkStart w:id="437" w:name="_Toc247514023"/>
      <w:bookmarkStart w:id="438" w:name="_Toc247527624"/>
      <w:bookmarkStart w:id="439" w:name="_Toc144974566"/>
    </w:p>
    <w:p w14:paraId="3846106D">
      <w:pPr>
        <w:pStyle w:val="5"/>
        <w:jc w:val="left"/>
        <w:rPr>
          <w:rFonts w:hint="eastAsia" w:ascii="宋体" w:hAnsi="宋体" w:eastAsia="宋体" w:cs="宋体"/>
          <w:color w:val="auto"/>
          <w:highlight w:val="none"/>
        </w:rPr>
      </w:pPr>
      <w:bookmarkStart w:id="440" w:name="_Toc27308"/>
      <w:bookmarkStart w:id="441" w:name="_Toc10846"/>
      <w:r>
        <w:rPr>
          <w:rFonts w:hint="eastAsia" w:ascii="宋体" w:hAnsi="宋体" w:eastAsia="宋体" w:cs="宋体"/>
          <w:color w:val="auto"/>
          <w:highlight w:val="none"/>
        </w:rPr>
        <w:t>评标办法前附表</w:t>
      </w:r>
      <w:bookmarkEnd w:id="435"/>
      <w:bookmarkEnd w:id="436"/>
      <w:bookmarkEnd w:id="437"/>
      <w:bookmarkEnd w:id="438"/>
      <w:bookmarkEnd w:id="439"/>
      <w:bookmarkEnd w:id="440"/>
      <w:bookmarkEnd w:id="441"/>
    </w:p>
    <w:tbl>
      <w:tblPr>
        <w:tblStyle w:val="37"/>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3"/>
        <w:gridCol w:w="1014"/>
        <w:gridCol w:w="986"/>
        <w:gridCol w:w="835"/>
        <w:gridCol w:w="371"/>
        <w:gridCol w:w="5157"/>
      </w:tblGrid>
      <w:tr w14:paraId="2FAD4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7" w:type="dxa"/>
            <w:gridSpan w:val="3"/>
            <w:tcBorders>
              <w:top w:val="single" w:color="auto" w:sz="4" w:space="0"/>
              <w:bottom w:val="single" w:color="auto" w:sz="4" w:space="0"/>
              <w:right w:val="single" w:color="auto" w:sz="4" w:space="0"/>
            </w:tcBorders>
            <w:vAlign w:val="center"/>
          </w:tcPr>
          <w:p w14:paraId="1EBABC75">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7DE33647">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565929E5">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00680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vAlign w:val="center"/>
          </w:tcPr>
          <w:p w14:paraId="0A49150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1107" w:type="dxa"/>
            <w:gridSpan w:val="2"/>
            <w:vMerge w:val="restart"/>
            <w:tcBorders>
              <w:top w:val="single" w:color="auto" w:sz="4" w:space="0"/>
              <w:bottom w:val="single" w:color="auto" w:sz="4" w:space="0"/>
              <w:right w:val="single" w:color="auto" w:sz="4" w:space="0"/>
            </w:tcBorders>
            <w:vAlign w:val="center"/>
          </w:tcPr>
          <w:p w14:paraId="69B2E6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1FF8F8A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11824B0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与营业执照、资质证书一致</w:t>
            </w:r>
          </w:p>
        </w:tc>
      </w:tr>
      <w:tr w14:paraId="0808C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624E36AD">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7DA8E31B">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1816F53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法定代表人证明及授权</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005760F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投标文件中有有效的法定代表人证明书，或由委托代理人签字或盖章的投标文件中有法定代表人证明书和授权委托证明书</w:t>
            </w:r>
          </w:p>
        </w:tc>
      </w:tr>
      <w:tr w14:paraId="24E0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14:paraId="7280E15D">
            <w:pPr>
              <w:spacing w:line="440" w:lineRule="exact"/>
              <w:jc w:val="center"/>
              <w:rPr>
                <w:rFonts w:hint="eastAsia" w:ascii="宋体" w:hAnsi="宋体" w:cs="宋体"/>
                <w:color w:val="auto"/>
                <w:szCs w:val="21"/>
                <w:highlight w:val="none"/>
              </w:rPr>
            </w:pPr>
          </w:p>
        </w:tc>
        <w:tc>
          <w:tcPr>
            <w:tcW w:w="1107" w:type="dxa"/>
            <w:gridSpan w:val="2"/>
            <w:vMerge w:val="continue"/>
            <w:tcBorders>
              <w:top w:val="nil"/>
              <w:bottom w:val="single" w:color="auto" w:sz="4" w:space="0"/>
              <w:right w:val="single" w:color="auto" w:sz="4" w:space="0"/>
            </w:tcBorders>
            <w:vAlign w:val="center"/>
          </w:tcPr>
          <w:p w14:paraId="55CA6682">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1BDC6F0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投标承诺函</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7FA8E13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投标承诺函内容与招标文件规定一致，且按规定加盖投标人电子印章</w:t>
            </w:r>
          </w:p>
        </w:tc>
      </w:tr>
      <w:tr w14:paraId="385F0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14:paraId="2ECAF767">
            <w:pPr>
              <w:spacing w:line="440" w:lineRule="exact"/>
              <w:jc w:val="center"/>
              <w:rPr>
                <w:rFonts w:hint="eastAsia" w:ascii="宋体" w:hAnsi="宋体" w:cs="宋体"/>
                <w:color w:val="auto"/>
                <w:szCs w:val="21"/>
                <w:highlight w:val="none"/>
              </w:rPr>
            </w:pPr>
          </w:p>
        </w:tc>
        <w:tc>
          <w:tcPr>
            <w:tcW w:w="1107" w:type="dxa"/>
            <w:gridSpan w:val="2"/>
            <w:vMerge w:val="continue"/>
            <w:tcBorders>
              <w:top w:val="nil"/>
              <w:bottom w:val="single" w:color="auto" w:sz="4" w:space="0"/>
              <w:right w:val="single" w:color="auto" w:sz="4" w:space="0"/>
            </w:tcBorders>
            <w:vAlign w:val="center"/>
          </w:tcPr>
          <w:p w14:paraId="2A46D2E2">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75D9199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44A0BD6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符合第七章“投标文件格式” （格式二、四、八）的要求</w:t>
            </w:r>
          </w:p>
        </w:tc>
      </w:tr>
      <w:tr w14:paraId="38E30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00" w:type="dxa"/>
            <w:vMerge w:val="continue"/>
            <w:tcBorders>
              <w:top w:val="nil"/>
              <w:bottom w:val="single" w:color="auto" w:sz="4" w:space="0"/>
              <w:right w:val="single" w:color="auto" w:sz="4" w:space="0"/>
            </w:tcBorders>
            <w:vAlign w:val="center"/>
          </w:tcPr>
          <w:p w14:paraId="0BA8FB4C">
            <w:pPr>
              <w:spacing w:line="440" w:lineRule="exact"/>
              <w:jc w:val="center"/>
              <w:rPr>
                <w:rFonts w:hint="eastAsia" w:ascii="宋体" w:hAnsi="宋体" w:cs="宋体"/>
                <w:color w:val="auto"/>
                <w:szCs w:val="21"/>
                <w:highlight w:val="none"/>
              </w:rPr>
            </w:pPr>
          </w:p>
        </w:tc>
        <w:tc>
          <w:tcPr>
            <w:tcW w:w="1107" w:type="dxa"/>
            <w:gridSpan w:val="2"/>
            <w:vMerge w:val="continue"/>
            <w:tcBorders>
              <w:top w:val="nil"/>
              <w:bottom w:val="single" w:color="auto" w:sz="4" w:space="0"/>
              <w:right w:val="single" w:color="auto" w:sz="4" w:space="0"/>
            </w:tcBorders>
            <w:vAlign w:val="center"/>
          </w:tcPr>
          <w:p w14:paraId="79911EB3">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right w:val="single" w:color="auto" w:sz="4" w:space="0"/>
            </w:tcBorders>
            <w:vAlign w:val="center"/>
          </w:tcPr>
          <w:p w14:paraId="4544DF7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报价唯一</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39C95BD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只能有一个有效</w:t>
            </w:r>
            <w:r>
              <w:rPr>
                <w:rFonts w:hint="eastAsia" w:ascii="宋体" w:hAnsi="宋体" w:cs="宋体"/>
                <w:color w:val="auto"/>
                <w:szCs w:val="21"/>
                <w:highlight w:val="none"/>
                <w:lang w:val="en-US" w:eastAsia="zh-CN"/>
              </w:rPr>
              <w:t>投标总</w:t>
            </w:r>
            <w:r>
              <w:rPr>
                <w:rFonts w:hint="eastAsia" w:ascii="宋体" w:hAnsi="宋体" w:cs="宋体"/>
                <w:color w:val="auto"/>
                <w:szCs w:val="21"/>
                <w:highlight w:val="none"/>
              </w:rPr>
              <w:t>报价</w:t>
            </w:r>
          </w:p>
        </w:tc>
      </w:tr>
      <w:tr w14:paraId="7DDDC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00" w:type="dxa"/>
            <w:vMerge w:val="continue"/>
            <w:tcBorders>
              <w:top w:val="nil"/>
              <w:bottom w:val="single" w:color="auto" w:sz="4" w:space="0"/>
              <w:right w:val="single" w:color="auto" w:sz="4" w:space="0"/>
            </w:tcBorders>
            <w:vAlign w:val="center"/>
          </w:tcPr>
          <w:p w14:paraId="7C0214F6">
            <w:pPr>
              <w:spacing w:line="440" w:lineRule="exact"/>
              <w:jc w:val="center"/>
              <w:rPr>
                <w:rFonts w:hint="eastAsia" w:ascii="宋体" w:hAnsi="宋体" w:cs="宋体"/>
                <w:color w:val="auto"/>
                <w:szCs w:val="21"/>
                <w:highlight w:val="none"/>
              </w:rPr>
            </w:pPr>
          </w:p>
        </w:tc>
        <w:tc>
          <w:tcPr>
            <w:tcW w:w="1107" w:type="dxa"/>
            <w:gridSpan w:val="2"/>
            <w:vMerge w:val="continue"/>
            <w:tcBorders>
              <w:top w:val="nil"/>
              <w:bottom w:val="single" w:color="auto" w:sz="4" w:space="0"/>
              <w:right w:val="single" w:color="auto" w:sz="4" w:space="0"/>
            </w:tcBorders>
            <w:vAlign w:val="center"/>
          </w:tcPr>
          <w:p w14:paraId="7E7ABDBA">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right w:val="single" w:color="auto" w:sz="4" w:space="0"/>
            </w:tcBorders>
            <w:vAlign w:val="center"/>
          </w:tcPr>
          <w:p w14:paraId="28CB43C4">
            <w:pPr>
              <w:spacing w:line="440" w:lineRule="exact"/>
              <w:jc w:val="center"/>
              <w:rPr>
                <w:rFonts w:hint="eastAsia" w:ascii="宋体" w:hAnsi="宋体" w:cs="宋体"/>
                <w:b/>
                <w:color w:val="auto"/>
                <w:szCs w:val="21"/>
                <w:highlight w:val="none"/>
              </w:rPr>
            </w:pPr>
            <w:r>
              <w:rPr>
                <w:rFonts w:hint="eastAsia" w:ascii="新宋体" w:hAnsi="新宋体" w:eastAsia="新宋体" w:cs="新宋体"/>
                <w:bCs/>
                <w:color w:val="auto"/>
                <w:szCs w:val="21"/>
                <w:highlight w:val="none"/>
              </w:rPr>
              <w:t>投标保证金递交情况</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44FA02CF">
            <w:pPr>
              <w:spacing w:line="440" w:lineRule="exact"/>
              <w:rPr>
                <w:rFonts w:hint="eastAsia" w:ascii="宋体" w:hAnsi="宋体" w:cs="宋体"/>
                <w:color w:val="auto"/>
                <w:szCs w:val="21"/>
                <w:highlight w:val="none"/>
              </w:rPr>
            </w:pPr>
            <w:r>
              <w:rPr>
                <w:rFonts w:hint="eastAsia" w:ascii="新宋体" w:hAnsi="新宋体" w:eastAsia="新宋体" w:cs="新宋体"/>
                <w:color w:val="auto"/>
                <w:szCs w:val="21"/>
                <w:highlight w:val="none"/>
              </w:rPr>
              <w:t>按招标文件要求递交投标保证金</w:t>
            </w:r>
          </w:p>
        </w:tc>
      </w:tr>
      <w:tr w14:paraId="3AE66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14:paraId="0C68D7C7">
            <w:pPr>
              <w:spacing w:line="440" w:lineRule="exact"/>
              <w:jc w:val="center"/>
              <w:rPr>
                <w:rFonts w:hint="eastAsia" w:ascii="宋体" w:hAnsi="宋体" w:cs="宋体"/>
                <w:color w:val="auto"/>
                <w:szCs w:val="21"/>
                <w:highlight w:val="none"/>
              </w:rPr>
            </w:pPr>
          </w:p>
        </w:tc>
        <w:tc>
          <w:tcPr>
            <w:tcW w:w="1107" w:type="dxa"/>
            <w:gridSpan w:val="2"/>
            <w:vMerge w:val="continue"/>
            <w:tcBorders>
              <w:top w:val="nil"/>
              <w:bottom w:val="single" w:color="auto" w:sz="4" w:space="0"/>
              <w:right w:val="single" w:color="auto" w:sz="4" w:space="0"/>
            </w:tcBorders>
            <w:vAlign w:val="center"/>
          </w:tcPr>
          <w:p w14:paraId="4CB5EAC0">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354F48E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机器特征码一致</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6F04881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本项目不同投标人的加密打包投标文件电脑机器特征码不一致</w:t>
            </w:r>
          </w:p>
        </w:tc>
      </w:tr>
      <w:tr w14:paraId="569D8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900" w:type="dxa"/>
            <w:vMerge w:val="continue"/>
            <w:tcBorders>
              <w:top w:val="nil"/>
              <w:bottom w:val="single" w:color="auto" w:sz="4" w:space="0"/>
              <w:right w:val="single" w:color="auto" w:sz="4" w:space="0"/>
            </w:tcBorders>
            <w:vAlign w:val="center"/>
          </w:tcPr>
          <w:p w14:paraId="76214265">
            <w:pPr>
              <w:spacing w:line="440" w:lineRule="exact"/>
              <w:jc w:val="center"/>
              <w:rPr>
                <w:rFonts w:hint="eastAsia" w:ascii="宋体" w:hAnsi="宋体" w:cs="宋体"/>
                <w:color w:val="auto"/>
                <w:szCs w:val="21"/>
                <w:highlight w:val="none"/>
              </w:rPr>
            </w:pPr>
          </w:p>
        </w:tc>
        <w:tc>
          <w:tcPr>
            <w:tcW w:w="1107" w:type="dxa"/>
            <w:gridSpan w:val="2"/>
            <w:vMerge w:val="continue"/>
            <w:tcBorders>
              <w:top w:val="nil"/>
              <w:bottom w:val="single" w:color="auto" w:sz="4" w:space="0"/>
              <w:right w:val="single" w:color="auto" w:sz="4" w:space="0"/>
            </w:tcBorders>
            <w:vAlign w:val="center"/>
          </w:tcPr>
          <w:p w14:paraId="5D7D22F7">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27493C18">
            <w:pPr>
              <w:spacing w:line="360"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备选投标方案</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076D107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不允许</w:t>
            </w:r>
          </w:p>
        </w:tc>
      </w:tr>
      <w:tr w14:paraId="3E748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14:paraId="35CFABF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107" w:type="dxa"/>
            <w:gridSpan w:val="2"/>
            <w:vMerge w:val="restart"/>
            <w:tcBorders>
              <w:top w:val="single" w:color="auto" w:sz="4" w:space="0"/>
              <w:right w:val="single" w:color="auto" w:sz="4" w:space="0"/>
            </w:tcBorders>
            <w:vAlign w:val="center"/>
          </w:tcPr>
          <w:p w14:paraId="57A81E0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0B20448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650B579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具备有效的营业执照</w:t>
            </w:r>
          </w:p>
        </w:tc>
      </w:tr>
      <w:tr w14:paraId="023E8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03FCC613">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0B656C30">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1676D4F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59FBE83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7E068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7BF0AF61">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5F4438F3">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764E8CC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u w:val="single"/>
              </w:rPr>
              <w:t>项目负责人（兼施工负责人）</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6D618D4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6CFC5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0" w:type="dxa"/>
            <w:vMerge w:val="continue"/>
            <w:tcBorders>
              <w:right w:val="single" w:color="auto" w:sz="4" w:space="0"/>
            </w:tcBorders>
            <w:vAlign w:val="center"/>
          </w:tcPr>
          <w:p w14:paraId="79D98EE1">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781A3FAE">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2BA1354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设计负责人</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3286E3D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3752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56A5A184">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7DDB07E6">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723689EC">
            <w:pPr>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技术负责人</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0BA1EB48">
            <w:pPr>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符合第二章“投标人须知”第1.4.1项规定</w:t>
            </w:r>
          </w:p>
        </w:tc>
      </w:tr>
      <w:tr w14:paraId="4C42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1DC8F798">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66D6B942">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716A5D5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专职安全员</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57843A2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00987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16258F60">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07C5AE1F">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616540E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66DB422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064B6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00" w:type="dxa"/>
            <w:vMerge w:val="continue"/>
            <w:tcBorders>
              <w:bottom w:val="single" w:color="auto" w:sz="4" w:space="0"/>
              <w:right w:val="single" w:color="auto" w:sz="4" w:space="0"/>
            </w:tcBorders>
            <w:vAlign w:val="center"/>
          </w:tcPr>
          <w:p w14:paraId="6DA87BE0">
            <w:pPr>
              <w:spacing w:line="440" w:lineRule="exact"/>
              <w:jc w:val="center"/>
              <w:rPr>
                <w:rFonts w:hint="eastAsia" w:ascii="宋体" w:hAnsi="宋体" w:cs="宋体"/>
                <w:color w:val="auto"/>
                <w:szCs w:val="21"/>
                <w:highlight w:val="none"/>
              </w:rPr>
            </w:pPr>
          </w:p>
        </w:tc>
        <w:tc>
          <w:tcPr>
            <w:tcW w:w="1107" w:type="dxa"/>
            <w:gridSpan w:val="2"/>
            <w:vMerge w:val="continue"/>
            <w:tcBorders>
              <w:bottom w:val="single" w:color="auto" w:sz="4" w:space="0"/>
              <w:right w:val="single" w:color="auto" w:sz="4" w:space="0"/>
            </w:tcBorders>
            <w:vAlign w:val="center"/>
          </w:tcPr>
          <w:p w14:paraId="0E933B41">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right w:val="single" w:color="auto" w:sz="4" w:space="0"/>
            </w:tcBorders>
            <w:vAlign w:val="center"/>
          </w:tcPr>
          <w:p w14:paraId="45A3BDB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联合体投标人</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2B26032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符合第二章“投标人须知”第1.4.2项规定</w:t>
            </w:r>
          </w:p>
        </w:tc>
      </w:tr>
      <w:tr w14:paraId="6E86B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14:paraId="17E2B389">
            <w:pPr>
              <w:spacing w:line="440" w:lineRule="exact"/>
              <w:jc w:val="center"/>
              <w:rPr>
                <w:rFonts w:hint="eastAsia" w:ascii="宋体" w:hAnsi="宋体" w:cs="宋体"/>
                <w:color w:val="auto"/>
                <w:szCs w:val="21"/>
                <w:highlight w:val="none"/>
              </w:rPr>
            </w:pPr>
          </w:p>
          <w:p w14:paraId="1CD99852">
            <w:pPr>
              <w:spacing w:line="440" w:lineRule="exact"/>
              <w:jc w:val="center"/>
              <w:rPr>
                <w:rFonts w:hint="eastAsia" w:ascii="宋体" w:hAnsi="宋体" w:cs="宋体"/>
                <w:color w:val="auto"/>
                <w:szCs w:val="21"/>
                <w:highlight w:val="none"/>
              </w:rPr>
            </w:pPr>
          </w:p>
          <w:p w14:paraId="3BC8CA05">
            <w:pPr>
              <w:spacing w:line="440" w:lineRule="exact"/>
              <w:jc w:val="center"/>
              <w:rPr>
                <w:rFonts w:hint="eastAsia" w:ascii="宋体" w:hAnsi="宋体" w:cs="宋体"/>
                <w:color w:val="auto"/>
                <w:szCs w:val="21"/>
                <w:highlight w:val="none"/>
              </w:rPr>
            </w:pPr>
          </w:p>
          <w:p w14:paraId="34FC230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2.1.3（1）</w:t>
            </w:r>
          </w:p>
        </w:tc>
        <w:tc>
          <w:tcPr>
            <w:tcW w:w="1107" w:type="dxa"/>
            <w:gridSpan w:val="2"/>
            <w:vMerge w:val="restart"/>
            <w:tcBorders>
              <w:top w:val="single" w:color="auto" w:sz="4" w:space="0"/>
              <w:right w:val="single" w:color="auto" w:sz="4" w:space="0"/>
            </w:tcBorders>
            <w:vAlign w:val="center"/>
          </w:tcPr>
          <w:p w14:paraId="0780BF3D">
            <w:pPr>
              <w:spacing w:line="440" w:lineRule="exact"/>
              <w:jc w:val="center"/>
              <w:rPr>
                <w:rFonts w:hint="eastAsia" w:ascii="宋体" w:hAnsi="宋体" w:cs="宋体"/>
                <w:color w:val="auto"/>
                <w:szCs w:val="21"/>
                <w:highlight w:val="none"/>
              </w:rPr>
            </w:pPr>
          </w:p>
          <w:p w14:paraId="394DF7B4">
            <w:pPr>
              <w:spacing w:line="440" w:lineRule="exact"/>
              <w:jc w:val="center"/>
              <w:rPr>
                <w:rFonts w:hint="eastAsia" w:ascii="宋体" w:hAnsi="宋体" w:cs="宋体"/>
                <w:color w:val="auto"/>
                <w:szCs w:val="21"/>
                <w:highlight w:val="none"/>
              </w:rPr>
            </w:pPr>
          </w:p>
          <w:p w14:paraId="2BCD5E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设计方案文件响应性评审标准</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2AA9CCA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暗标形式</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5BB03B9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投标人未在设计方案上标注或做任何可以辨认投标人及专业技术人员身份的名称、印章、商标、图形等</w:t>
            </w:r>
          </w:p>
        </w:tc>
      </w:tr>
      <w:tr w14:paraId="05601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6D0B9187">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1C13EA44">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0FB2FF5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明标暗标互相印章</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0E607FE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不存在</w:t>
            </w:r>
            <w:r>
              <w:rPr>
                <w:rFonts w:hint="eastAsia" w:ascii="宋体" w:hAnsi="宋体" w:cs="宋体"/>
                <w:color w:val="auto"/>
                <w:szCs w:val="21"/>
                <w:highlight w:val="none"/>
              </w:rPr>
              <w:t>通过明标、暗标中包含的相同内容（如报价等）互相印证、辨认投标人身份</w:t>
            </w:r>
          </w:p>
        </w:tc>
      </w:tr>
      <w:tr w14:paraId="5057C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655F596A">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5EB16821">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029473CE">
            <w:pPr>
              <w:spacing w:line="440" w:lineRule="exact"/>
              <w:jc w:val="center"/>
              <w:rPr>
                <w:rFonts w:hint="eastAsia" w:ascii="宋体" w:hAnsi="宋体" w:cs="宋体"/>
                <w:color w:val="auto"/>
                <w:szCs w:val="21"/>
                <w:highlight w:val="none"/>
                <w:u w:val="single"/>
              </w:rPr>
            </w:pPr>
            <w:r>
              <w:rPr>
                <w:rFonts w:hint="eastAsia" w:ascii="宋体" w:hAnsi="宋体" w:cs="宋体"/>
                <w:color w:val="auto"/>
                <w:highlight w:val="none"/>
                <w:u w:val="single"/>
              </w:rPr>
              <w:t>抄袭行为</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671DCD2A">
            <w:pPr>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投标文件未</w:t>
            </w:r>
            <w:r>
              <w:rPr>
                <w:rFonts w:hint="eastAsia" w:ascii="宋体" w:hAnsi="宋体" w:cs="宋体"/>
                <w:color w:val="auto"/>
                <w:highlight w:val="none"/>
                <w:u w:val="single"/>
              </w:rPr>
              <w:t>发现明显抄袭行为</w:t>
            </w:r>
          </w:p>
        </w:tc>
      </w:tr>
      <w:tr w14:paraId="084C8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697F1EE8">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2B88C43F">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3446E5CF">
            <w:pPr>
              <w:spacing w:line="440" w:lineRule="exact"/>
              <w:jc w:val="center"/>
              <w:rPr>
                <w:rFonts w:hint="eastAsia" w:ascii="宋体" w:hAnsi="宋体" w:cs="宋体"/>
                <w:color w:val="auto"/>
                <w:highlight w:val="none"/>
                <w:u w:val="single"/>
              </w:rPr>
            </w:pPr>
            <w:r>
              <w:rPr>
                <w:rFonts w:hint="eastAsia" w:ascii="宋体" w:hAnsi="宋体" w:cs="宋体"/>
                <w:color w:val="auto"/>
                <w:highlight w:val="none"/>
                <w:u w:val="single"/>
              </w:rPr>
              <w:t>著作权和特许权</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233DF446">
            <w:pPr>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投标文件未</w:t>
            </w:r>
            <w:r>
              <w:rPr>
                <w:rFonts w:hint="eastAsia" w:ascii="宋体" w:hAnsi="宋体" w:cs="宋体"/>
                <w:color w:val="auto"/>
                <w:highlight w:val="none"/>
                <w:u w:val="single"/>
              </w:rPr>
              <w:t>发现侵犯他人著作权和特许权</w:t>
            </w:r>
          </w:p>
        </w:tc>
      </w:tr>
      <w:tr w14:paraId="77614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0DA47E7E">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2AD2248B">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0604ED3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合法合规性</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59912C4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投标人之间不存在《广东省实施&lt;中华人民共和国招标投标法&gt;办法》第十六条所禁止的情形的</w:t>
            </w:r>
          </w:p>
        </w:tc>
      </w:tr>
      <w:tr w14:paraId="37523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14:paraId="0B6924C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2.1.3</w:t>
            </w:r>
          </w:p>
          <w:p w14:paraId="738BE39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107" w:type="dxa"/>
            <w:gridSpan w:val="2"/>
            <w:vMerge w:val="restart"/>
            <w:tcBorders>
              <w:top w:val="single" w:color="auto" w:sz="4" w:space="0"/>
              <w:right w:val="single" w:color="auto" w:sz="4" w:space="0"/>
            </w:tcBorders>
            <w:vAlign w:val="center"/>
          </w:tcPr>
          <w:p w14:paraId="2E1B036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工程承包实施方案响应性评审标准</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0FD0106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4BB63E5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符合第二章“投标人须知”第3.2.4项规定且不低于企业成本</w:t>
            </w:r>
          </w:p>
        </w:tc>
      </w:tr>
      <w:tr w14:paraId="2ED6A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right w:val="single" w:color="auto" w:sz="4" w:space="0"/>
            </w:tcBorders>
            <w:vAlign w:val="center"/>
          </w:tcPr>
          <w:p w14:paraId="25DFBBB9">
            <w:pPr>
              <w:spacing w:line="440" w:lineRule="exact"/>
              <w:jc w:val="center"/>
              <w:rPr>
                <w:rFonts w:hint="eastAsia" w:ascii="宋体" w:hAnsi="宋体" w:cs="宋体"/>
                <w:color w:val="auto"/>
                <w:szCs w:val="21"/>
                <w:highlight w:val="none"/>
              </w:rPr>
            </w:pPr>
          </w:p>
        </w:tc>
        <w:tc>
          <w:tcPr>
            <w:tcW w:w="1107" w:type="dxa"/>
            <w:gridSpan w:val="2"/>
            <w:vMerge w:val="continue"/>
            <w:tcBorders>
              <w:top w:val="single" w:color="auto" w:sz="4" w:space="0"/>
              <w:right w:val="single" w:color="auto" w:sz="4" w:space="0"/>
            </w:tcBorders>
            <w:vAlign w:val="center"/>
          </w:tcPr>
          <w:p w14:paraId="16CFCE94">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4C72BB8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43AF0AE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符合第二章“投标人须知”第1.3.1项规定</w:t>
            </w:r>
          </w:p>
        </w:tc>
      </w:tr>
      <w:tr w14:paraId="50F4B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030EEC4E">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4D6CF2EB">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363DC29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179BFDA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符合第二章“投标人须知”第1.3.2项规定</w:t>
            </w:r>
          </w:p>
        </w:tc>
      </w:tr>
      <w:tr w14:paraId="5A8CD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69D0B1A5">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042010DB">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04D1818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30A6783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符合第二章“投标人须知”第1.3.3项规定</w:t>
            </w:r>
          </w:p>
        </w:tc>
      </w:tr>
      <w:tr w14:paraId="57D0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14:paraId="45EAFDC5">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1CF97672">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56C5DF2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3E2930B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符合第二章“投标人须知”第3.3.1项规定</w:t>
            </w:r>
          </w:p>
        </w:tc>
      </w:tr>
      <w:tr w14:paraId="3480B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900" w:type="dxa"/>
            <w:vMerge w:val="continue"/>
            <w:tcBorders>
              <w:right w:val="single" w:color="auto" w:sz="4" w:space="0"/>
            </w:tcBorders>
            <w:vAlign w:val="center"/>
          </w:tcPr>
          <w:p w14:paraId="4203E18D">
            <w:pPr>
              <w:spacing w:line="440" w:lineRule="exact"/>
              <w:jc w:val="center"/>
              <w:rPr>
                <w:rFonts w:hint="eastAsia" w:ascii="宋体" w:hAnsi="宋体" w:cs="宋体"/>
                <w:color w:val="auto"/>
                <w:szCs w:val="21"/>
                <w:highlight w:val="none"/>
              </w:rPr>
            </w:pPr>
          </w:p>
        </w:tc>
        <w:tc>
          <w:tcPr>
            <w:tcW w:w="1107" w:type="dxa"/>
            <w:gridSpan w:val="2"/>
            <w:vMerge w:val="continue"/>
            <w:tcBorders>
              <w:right w:val="single" w:color="auto" w:sz="4" w:space="0"/>
            </w:tcBorders>
            <w:vAlign w:val="center"/>
          </w:tcPr>
          <w:p w14:paraId="4465FCDF">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right w:val="single" w:color="auto" w:sz="4" w:space="0"/>
            </w:tcBorders>
            <w:vAlign w:val="center"/>
          </w:tcPr>
          <w:p w14:paraId="6C763FC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算术复核</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34D09A5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投标单位未存在算术复核后的投标报价与原投标报价相比存在1%或以上误差的；</w:t>
            </w:r>
          </w:p>
        </w:tc>
      </w:tr>
      <w:tr w14:paraId="0593D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vMerge w:val="continue"/>
            <w:tcBorders>
              <w:bottom w:val="single" w:color="auto" w:sz="4" w:space="0"/>
              <w:right w:val="single" w:color="auto" w:sz="4" w:space="0"/>
            </w:tcBorders>
            <w:vAlign w:val="center"/>
          </w:tcPr>
          <w:p w14:paraId="58E354B6">
            <w:pPr>
              <w:spacing w:line="440" w:lineRule="exact"/>
              <w:rPr>
                <w:rFonts w:hint="eastAsia" w:ascii="宋体" w:hAnsi="宋体" w:cs="宋体"/>
                <w:color w:val="auto"/>
                <w:szCs w:val="21"/>
                <w:highlight w:val="none"/>
              </w:rPr>
            </w:pPr>
          </w:p>
        </w:tc>
        <w:tc>
          <w:tcPr>
            <w:tcW w:w="1107" w:type="dxa"/>
            <w:gridSpan w:val="2"/>
            <w:vMerge w:val="continue"/>
            <w:tcBorders>
              <w:bottom w:val="single" w:color="auto" w:sz="4" w:space="0"/>
              <w:right w:val="single" w:color="auto" w:sz="4" w:space="0"/>
            </w:tcBorders>
            <w:vAlign w:val="center"/>
          </w:tcPr>
          <w:p w14:paraId="507CFF7A">
            <w:pPr>
              <w:spacing w:line="440" w:lineRule="exact"/>
              <w:jc w:val="center"/>
              <w:rPr>
                <w:rFonts w:hint="eastAsia" w:ascii="宋体" w:hAnsi="宋体" w:cs="宋体"/>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546F3F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合法合规性</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053AD5E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投标人之间不存在《广东省实施&lt;中华人民共和国招标投标法&gt;办法》第十六条所禁止的情形的</w:t>
            </w:r>
          </w:p>
        </w:tc>
      </w:tr>
      <w:tr w14:paraId="74584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7" w:type="dxa"/>
            <w:gridSpan w:val="3"/>
            <w:tcBorders>
              <w:bottom w:val="single" w:color="auto" w:sz="4" w:space="0"/>
              <w:right w:val="single" w:color="auto" w:sz="4" w:space="0"/>
            </w:tcBorders>
            <w:vAlign w:val="center"/>
          </w:tcPr>
          <w:p w14:paraId="5DD6672A">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7D8CC01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5AD3582B">
            <w:pPr>
              <w:spacing w:line="440" w:lineRule="exact"/>
              <w:jc w:val="center"/>
              <w:rPr>
                <w:rFonts w:hint="eastAsia" w:ascii="宋体" w:hAnsi="宋体" w:cs="宋体"/>
                <w:color w:val="auto"/>
                <w:szCs w:val="21"/>
                <w:highlight w:val="none"/>
              </w:rPr>
            </w:pPr>
            <w:r>
              <w:rPr>
                <w:rFonts w:hint="eastAsia" w:ascii="宋体" w:hAnsi="宋体" w:cs="宋体"/>
                <w:b/>
                <w:color w:val="auto"/>
                <w:szCs w:val="21"/>
                <w:highlight w:val="none"/>
              </w:rPr>
              <w:t>编制内容</w:t>
            </w:r>
          </w:p>
        </w:tc>
      </w:tr>
      <w:tr w14:paraId="60E25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7" w:type="dxa"/>
            <w:gridSpan w:val="3"/>
            <w:tcBorders>
              <w:bottom w:val="single" w:color="auto" w:sz="4" w:space="0"/>
              <w:right w:val="single" w:color="auto" w:sz="4" w:space="0"/>
            </w:tcBorders>
            <w:vAlign w:val="center"/>
          </w:tcPr>
          <w:p w14:paraId="4FDC015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311AE59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p w14:paraId="0627B5D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(总分100分)</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5EB4ECE9">
            <w:pPr>
              <w:pStyle w:val="2"/>
              <w:ind w:firstLine="0"/>
              <w:rPr>
                <w:rFonts w:hint="eastAsia" w:ascii="宋体" w:hAnsi="宋体"/>
                <w:color w:val="auto"/>
                <w:kern w:val="2"/>
                <w:sz w:val="21"/>
                <w:szCs w:val="21"/>
                <w:highlight w:val="none"/>
              </w:rPr>
            </w:pPr>
            <w:r>
              <w:rPr>
                <w:rFonts w:hint="eastAsia" w:ascii="宋体" w:hAnsi="宋体"/>
                <w:color w:val="auto"/>
                <w:kern w:val="2"/>
                <w:sz w:val="21"/>
                <w:szCs w:val="21"/>
                <w:highlight w:val="none"/>
              </w:rPr>
              <w:t>投标人总得分（满分100分）=设计标方案部分得分（100分×权重 （</w:t>
            </w: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0%）+施工标部分得分（100分）×权重（</w:t>
            </w:r>
            <w:r>
              <w:rPr>
                <w:rFonts w:hint="eastAsia" w:ascii="宋体" w:hAnsi="宋体"/>
                <w:color w:val="auto"/>
                <w:kern w:val="2"/>
                <w:sz w:val="21"/>
                <w:szCs w:val="21"/>
                <w:highlight w:val="none"/>
                <w:lang w:val="en-US" w:eastAsia="zh-CN"/>
              </w:rPr>
              <w:t>8</w:t>
            </w:r>
            <w:r>
              <w:rPr>
                <w:rFonts w:hint="eastAsia" w:ascii="宋体" w:hAnsi="宋体"/>
                <w:color w:val="auto"/>
                <w:kern w:val="2"/>
                <w:sz w:val="21"/>
                <w:szCs w:val="21"/>
                <w:highlight w:val="none"/>
              </w:rPr>
              <w:t>0%）</w:t>
            </w:r>
          </w:p>
          <w:p w14:paraId="13826ED5">
            <w:pPr>
              <w:pStyle w:val="2"/>
              <w:ind w:firstLine="0"/>
              <w:rPr>
                <w:rFonts w:hint="eastAsia" w:ascii="宋体" w:hAnsi="宋体"/>
                <w:color w:val="auto"/>
                <w:kern w:val="2"/>
                <w:sz w:val="21"/>
                <w:szCs w:val="21"/>
                <w:highlight w:val="none"/>
              </w:rPr>
            </w:pPr>
            <w:r>
              <w:rPr>
                <w:rFonts w:hint="eastAsia" w:ascii="宋体" w:hAnsi="宋体"/>
                <w:color w:val="auto"/>
                <w:kern w:val="2"/>
                <w:sz w:val="21"/>
                <w:szCs w:val="21"/>
                <w:highlight w:val="none"/>
              </w:rPr>
              <w:t>其中：施工标部分得分=工程承包实施方案得分（100分）×权重（</w:t>
            </w:r>
            <w:r>
              <w:rPr>
                <w:rFonts w:hint="eastAsia" w:ascii="宋体" w:hAnsi="宋体"/>
                <w:color w:val="auto"/>
                <w:kern w:val="2"/>
                <w:sz w:val="21"/>
                <w:szCs w:val="21"/>
                <w:highlight w:val="none"/>
                <w:lang w:val="en-US" w:eastAsia="zh-CN"/>
              </w:rPr>
              <w:t>25</w:t>
            </w:r>
            <w:r>
              <w:rPr>
                <w:rFonts w:hint="eastAsia" w:ascii="宋体" w:hAnsi="宋体"/>
                <w:color w:val="auto"/>
                <w:kern w:val="2"/>
                <w:sz w:val="21"/>
                <w:szCs w:val="21"/>
                <w:highlight w:val="none"/>
              </w:rPr>
              <w:t>%）+投标报价得分（100分）×权重（</w:t>
            </w:r>
            <w:r>
              <w:rPr>
                <w:rFonts w:hint="eastAsia" w:ascii="宋体" w:hAnsi="宋体"/>
                <w:color w:val="auto"/>
                <w:kern w:val="2"/>
                <w:sz w:val="21"/>
                <w:szCs w:val="21"/>
                <w:highlight w:val="none"/>
                <w:lang w:val="en-US" w:eastAsia="zh-CN"/>
              </w:rPr>
              <w:t>75</w:t>
            </w:r>
            <w:r>
              <w:rPr>
                <w:rFonts w:hint="eastAsia" w:ascii="宋体" w:hAnsi="宋体"/>
                <w:color w:val="auto"/>
                <w:kern w:val="2"/>
                <w:sz w:val="21"/>
                <w:szCs w:val="21"/>
                <w:highlight w:val="none"/>
              </w:rPr>
              <w:t>%）</w:t>
            </w:r>
          </w:p>
        </w:tc>
      </w:tr>
      <w:tr w14:paraId="2A1EA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7" w:type="dxa"/>
            <w:gridSpan w:val="3"/>
            <w:tcBorders>
              <w:top w:val="single" w:color="auto" w:sz="4" w:space="0"/>
              <w:bottom w:val="single" w:color="auto" w:sz="4" w:space="0"/>
              <w:right w:val="single" w:color="auto" w:sz="4" w:space="0"/>
            </w:tcBorders>
            <w:vAlign w:val="center"/>
          </w:tcPr>
          <w:p w14:paraId="55DDEFD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43C49F7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6CCA01D8">
            <w:pPr>
              <w:pStyle w:val="2"/>
              <w:ind w:firstLine="41"/>
              <w:jc w:val="left"/>
              <w:rPr>
                <w:rFonts w:hint="eastAsia" w:ascii="宋体" w:hAnsi="宋体"/>
                <w:color w:val="auto"/>
                <w:kern w:val="2"/>
                <w:sz w:val="21"/>
                <w:szCs w:val="21"/>
                <w:highlight w:val="none"/>
              </w:rPr>
            </w:pPr>
            <w:r>
              <w:rPr>
                <w:rFonts w:hint="eastAsia" w:ascii="宋体" w:hAnsi="宋体"/>
                <w:color w:val="auto"/>
                <w:kern w:val="2"/>
                <w:sz w:val="21"/>
                <w:szCs w:val="21"/>
                <w:highlight w:val="none"/>
              </w:rPr>
              <w:t>通过工程承包实施方案响应性审查且经算术校核的投标总报价位于[投标总报价最高限价×</w:t>
            </w:r>
            <w:r>
              <w:rPr>
                <w:rFonts w:hint="eastAsia" w:ascii="宋体" w:hAnsi="宋体"/>
                <w:color w:val="auto"/>
                <w:kern w:val="2"/>
                <w:sz w:val="21"/>
                <w:szCs w:val="21"/>
                <w:highlight w:val="none"/>
                <w:lang w:eastAsia="zh-CN"/>
              </w:rPr>
              <w:t>90</w:t>
            </w:r>
            <w:r>
              <w:rPr>
                <w:rFonts w:hint="eastAsia" w:ascii="宋体" w:hAnsi="宋体"/>
                <w:color w:val="auto"/>
                <w:kern w:val="2"/>
                <w:sz w:val="21"/>
                <w:szCs w:val="21"/>
                <w:highlight w:val="none"/>
              </w:rPr>
              <w:t>%，投标总报价最高限价]区间的投标人超过5家（</w:t>
            </w:r>
            <w:r>
              <w:rPr>
                <w:rFonts w:hint="eastAsia" w:ascii="宋体" w:hAnsi="宋体"/>
                <w:color w:val="auto"/>
                <w:kern w:val="2"/>
                <w:sz w:val="21"/>
                <w:szCs w:val="21"/>
                <w:highlight w:val="none"/>
                <w:lang w:val="en-US" w:eastAsia="zh-CN"/>
              </w:rPr>
              <w:t>不</w:t>
            </w:r>
            <w:r>
              <w:rPr>
                <w:rFonts w:hint="eastAsia" w:ascii="宋体" w:hAnsi="宋体"/>
                <w:color w:val="auto"/>
                <w:kern w:val="2"/>
                <w:sz w:val="21"/>
                <w:szCs w:val="21"/>
                <w:highlight w:val="none"/>
              </w:rPr>
              <w:t>含5家）时，在经算术校核的位于[投标总报价最高限价×</w:t>
            </w:r>
            <w:r>
              <w:rPr>
                <w:rFonts w:hint="eastAsia" w:ascii="宋体" w:hAnsi="宋体"/>
                <w:color w:val="auto"/>
                <w:kern w:val="2"/>
                <w:sz w:val="21"/>
                <w:szCs w:val="21"/>
                <w:highlight w:val="none"/>
                <w:lang w:eastAsia="zh-CN"/>
              </w:rPr>
              <w:t>90</w:t>
            </w:r>
            <w:r>
              <w:rPr>
                <w:rFonts w:hint="eastAsia" w:ascii="宋体" w:hAnsi="宋体"/>
                <w:color w:val="auto"/>
                <w:kern w:val="2"/>
                <w:sz w:val="21"/>
                <w:szCs w:val="21"/>
                <w:highlight w:val="none"/>
              </w:rPr>
              <w:t>%，投标总报价最高限价]区间的投标人的投标总报价中，去掉一个最高价和一个最低价后，取剩余报价的算术平均值为评标参考价；通过工程承包实施方案响应性审查且经算术校核的投标总报价位于[投标总报价最高限价×</w:t>
            </w:r>
            <w:r>
              <w:rPr>
                <w:rFonts w:hint="eastAsia" w:ascii="宋体" w:hAnsi="宋体"/>
                <w:color w:val="auto"/>
                <w:kern w:val="2"/>
                <w:sz w:val="21"/>
                <w:szCs w:val="21"/>
                <w:highlight w:val="none"/>
                <w:lang w:eastAsia="zh-CN"/>
              </w:rPr>
              <w:t>90</w:t>
            </w:r>
            <w:r>
              <w:rPr>
                <w:rFonts w:hint="eastAsia" w:ascii="宋体" w:hAnsi="宋体"/>
                <w:color w:val="auto"/>
                <w:kern w:val="2"/>
                <w:sz w:val="21"/>
                <w:szCs w:val="21"/>
                <w:highlight w:val="none"/>
              </w:rPr>
              <w:t>%，投标总报价最高限价]区间的投标人少于5家（含5家）时，</w:t>
            </w:r>
            <w:r>
              <w:rPr>
                <w:rFonts w:hint="eastAsia" w:ascii="宋体" w:hAnsi="宋体"/>
                <w:color w:val="auto"/>
                <w:kern w:val="2"/>
                <w:sz w:val="21"/>
                <w:szCs w:val="21"/>
                <w:highlight w:val="none"/>
                <w:lang w:val="en-US" w:eastAsia="zh-CN"/>
              </w:rPr>
              <w:t>所有</w:t>
            </w:r>
            <w:r>
              <w:rPr>
                <w:rFonts w:hint="eastAsia" w:ascii="宋体" w:hAnsi="宋体"/>
                <w:color w:val="auto"/>
                <w:kern w:val="2"/>
                <w:sz w:val="21"/>
                <w:szCs w:val="21"/>
                <w:highlight w:val="none"/>
              </w:rPr>
              <w:t>报价的算术平均值为评标参考价。</w:t>
            </w:r>
          </w:p>
          <w:p w14:paraId="63BABAAC">
            <w:pPr>
              <w:pStyle w:val="2"/>
              <w:ind w:firstLine="41"/>
              <w:jc w:val="left"/>
              <w:rPr>
                <w:rFonts w:hint="eastAsia" w:ascii="宋体" w:hAnsi="宋体"/>
                <w:color w:val="auto"/>
                <w:kern w:val="2"/>
                <w:sz w:val="21"/>
                <w:szCs w:val="21"/>
                <w:highlight w:val="none"/>
                <w:lang w:val="zh-TW" w:eastAsia="zh-TW"/>
              </w:rPr>
            </w:pPr>
            <w:r>
              <w:rPr>
                <w:rFonts w:hint="eastAsia" w:ascii="宋体" w:hAnsi="宋体" w:eastAsia="宋体" w:cs="宋体"/>
                <w:b/>
                <w:bCs/>
                <w:color w:val="auto"/>
                <w:highlight w:val="none"/>
                <w:u w:val="single"/>
                <w:lang w:eastAsia="zh-CN"/>
              </w:rPr>
              <w:t>（注：评标基准价及投标报价得分均以税前建安工程费为准。）</w:t>
            </w:r>
          </w:p>
        </w:tc>
      </w:tr>
      <w:tr w14:paraId="22697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07" w:type="dxa"/>
            <w:gridSpan w:val="3"/>
            <w:tcBorders>
              <w:top w:val="single" w:color="auto" w:sz="4" w:space="0"/>
              <w:bottom w:val="single" w:color="auto" w:sz="4" w:space="0"/>
              <w:right w:val="single" w:color="auto" w:sz="4" w:space="0"/>
            </w:tcBorders>
            <w:vAlign w:val="center"/>
          </w:tcPr>
          <w:p w14:paraId="175B343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821" w:type="dxa"/>
            <w:gridSpan w:val="2"/>
            <w:tcBorders>
              <w:top w:val="single" w:color="auto" w:sz="4" w:space="0"/>
              <w:left w:val="single" w:color="auto" w:sz="4" w:space="0"/>
              <w:right w:val="single" w:color="auto" w:sz="4" w:space="0"/>
            </w:tcBorders>
            <w:vAlign w:val="center"/>
          </w:tcPr>
          <w:p w14:paraId="03F1F562">
            <w:pPr>
              <w:spacing w:line="440" w:lineRule="exact"/>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投标报价的偏差率计算公式</w:t>
            </w:r>
          </w:p>
        </w:tc>
        <w:tc>
          <w:tcPr>
            <w:tcW w:w="5528" w:type="dxa"/>
            <w:gridSpan w:val="2"/>
            <w:tcBorders>
              <w:top w:val="single" w:color="auto" w:sz="4" w:space="0"/>
              <w:left w:val="single" w:color="auto" w:sz="4" w:space="0"/>
              <w:right w:val="single" w:color="auto" w:sz="4" w:space="0"/>
            </w:tcBorders>
            <w:vAlign w:val="center"/>
          </w:tcPr>
          <w:p w14:paraId="33010293">
            <w:pPr>
              <w:spacing w:line="440" w:lineRule="exact"/>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偏差率=100%</w:t>
            </w:r>
            <w:r>
              <w:rPr>
                <w:rFonts w:ascii="宋体" w:hAnsi="宋体" w:cs="Arial"/>
                <w:color w:val="auto"/>
                <w:szCs w:val="21"/>
                <w:highlight w:val="none"/>
                <w:lang w:val="zh-TW" w:eastAsia="zh-TW"/>
              </w:rPr>
              <w:t>×</w:t>
            </w:r>
            <w:r>
              <w:rPr>
                <w:rFonts w:hint="eastAsia" w:ascii="宋体" w:hAnsi="宋体" w:cs="宋体"/>
                <w:color w:val="auto"/>
                <w:szCs w:val="21"/>
                <w:highlight w:val="none"/>
                <w:lang w:val="zh-TW" w:eastAsia="zh-TW"/>
              </w:rPr>
              <w:t>（投标人报价－评标基准价）/评标基准价</w:t>
            </w:r>
          </w:p>
        </w:tc>
      </w:tr>
      <w:tr w14:paraId="132D0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07" w:type="dxa"/>
            <w:gridSpan w:val="3"/>
            <w:tcBorders>
              <w:top w:val="single" w:color="auto" w:sz="4" w:space="0"/>
              <w:bottom w:val="single" w:color="auto" w:sz="4" w:space="0"/>
              <w:right w:val="single" w:color="auto" w:sz="4" w:space="0"/>
            </w:tcBorders>
            <w:vAlign w:val="center"/>
          </w:tcPr>
          <w:p w14:paraId="7A889D03">
            <w:pPr>
              <w:spacing w:line="440" w:lineRule="exact"/>
              <w:jc w:val="center"/>
              <w:rPr>
                <w:rFonts w:hint="eastAsia" w:ascii="宋体" w:hAnsi="宋体" w:cs="宋体"/>
                <w:color w:val="auto"/>
                <w:szCs w:val="21"/>
                <w:highlight w:val="none"/>
              </w:rPr>
            </w:pPr>
            <w:r>
              <w:rPr>
                <w:rFonts w:hint="eastAsia" w:ascii="宋体" w:hAnsi="宋体" w:cs="宋体"/>
                <w:b/>
                <w:color w:val="auto"/>
                <w:szCs w:val="21"/>
                <w:highlight w:val="none"/>
              </w:rPr>
              <w:t>条款号</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26AFDD6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评分因素</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4973C89D">
            <w:pPr>
              <w:spacing w:line="44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评分标准</w:t>
            </w:r>
          </w:p>
        </w:tc>
      </w:tr>
      <w:tr w14:paraId="50F7D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gridSpan w:val="2"/>
            <w:vMerge w:val="restart"/>
            <w:tcBorders>
              <w:top w:val="single" w:color="auto" w:sz="4" w:space="0"/>
              <w:right w:val="single" w:color="auto" w:sz="4" w:space="0"/>
            </w:tcBorders>
            <w:vAlign w:val="center"/>
          </w:tcPr>
          <w:p w14:paraId="6A5C156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1014" w:type="dxa"/>
            <w:vMerge w:val="restart"/>
            <w:tcBorders>
              <w:top w:val="single" w:color="auto" w:sz="4" w:space="0"/>
              <w:right w:val="single" w:color="auto" w:sz="4" w:space="0"/>
            </w:tcBorders>
            <w:vAlign w:val="center"/>
          </w:tcPr>
          <w:p w14:paraId="5BA60C7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设计方案评分标准</w:t>
            </w: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4FBE3E14">
            <w:pPr>
              <w:spacing w:line="440" w:lineRule="exact"/>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eastAsia="zh-TW"/>
              </w:rPr>
              <w:t>设计理念</w:t>
            </w:r>
          </w:p>
          <w:p w14:paraId="16104E84">
            <w:pPr>
              <w:spacing w:line="440" w:lineRule="exact"/>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val="zh-TW" w:eastAsia="zh-TW"/>
              </w:rPr>
              <w:t>分）</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70531EB2">
            <w:pPr>
              <w:spacing w:line="320" w:lineRule="exact"/>
              <w:jc w:val="left"/>
              <w:rPr>
                <w:rFonts w:hint="eastAsia" w:ascii="宋体" w:hAnsi="宋体"/>
                <w:color w:val="auto"/>
                <w:szCs w:val="21"/>
                <w:highlight w:val="none"/>
              </w:rPr>
            </w:pPr>
            <w:r>
              <w:rPr>
                <w:rFonts w:hint="eastAsia" w:ascii="宋体" w:hAnsi="宋体"/>
                <w:color w:val="auto"/>
                <w:szCs w:val="21"/>
                <w:highlight w:val="none"/>
              </w:rPr>
              <w:t>设计立意独特且明确，设计理念符合招标人要求，理念具有</w:t>
            </w:r>
            <w:r>
              <w:rPr>
                <w:rFonts w:hint="eastAsia"/>
                <w:color w:val="auto"/>
                <w:highlight w:val="none"/>
              </w:rPr>
              <w:t>打造具有地标性和文化性的商业引流和新消费场景，</w:t>
            </w:r>
            <w:r>
              <w:rPr>
                <w:rFonts w:hint="eastAsia" w:ascii="宋体" w:hAnsi="宋体"/>
                <w:color w:val="auto"/>
                <w:szCs w:val="21"/>
                <w:highlight w:val="none"/>
              </w:rPr>
              <w:t>符合适用、实用和美观原则。具有创新的风格和意识，富有特色和吸引力。设计方向明确合理，符合招标需求的设计理念；思路清晰并特出项目重点和难点。</w:t>
            </w:r>
          </w:p>
          <w:p w14:paraId="4DFA6067">
            <w:pPr>
              <w:spacing w:line="320" w:lineRule="exact"/>
              <w:jc w:val="left"/>
              <w:rPr>
                <w:rFonts w:hint="eastAsia" w:ascii="宋体" w:hAnsi="宋体"/>
                <w:color w:val="auto"/>
                <w:szCs w:val="21"/>
                <w:highlight w:val="none"/>
              </w:rPr>
            </w:pPr>
            <w:r>
              <w:rPr>
                <w:rFonts w:hint="eastAsia" w:ascii="宋体" w:hAnsi="宋体"/>
                <w:color w:val="auto"/>
                <w:szCs w:val="21"/>
                <w:highlight w:val="none"/>
              </w:rPr>
              <w:t>优得[20-15)分；良得[15-10）分；中得[10-5）分；差得[5-0]分；</w:t>
            </w:r>
          </w:p>
        </w:tc>
      </w:tr>
      <w:tr w14:paraId="76998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gridSpan w:val="2"/>
            <w:vMerge w:val="continue"/>
            <w:tcBorders>
              <w:right w:val="single" w:color="auto" w:sz="4" w:space="0"/>
            </w:tcBorders>
            <w:vAlign w:val="center"/>
          </w:tcPr>
          <w:p w14:paraId="0A7E4B79">
            <w:pPr>
              <w:spacing w:line="440" w:lineRule="exact"/>
              <w:jc w:val="center"/>
              <w:rPr>
                <w:rFonts w:hint="eastAsia" w:ascii="宋体" w:hAnsi="宋体" w:cs="宋体"/>
                <w:b/>
                <w:color w:val="auto"/>
                <w:szCs w:val="21"/>
                <w:highlight w:val="none"/>
              </w:rPr>
            </w:pPr>
          </w:p>
        </w:tc>
        <w:tc>
          <w:tcPr>
            <w:tcW w:w="1014" w:type="dxa"/>
            <w:vMerge w:val="continue"/>
            <w:tcBorders>
              <w:right w:val="single" w:color="auto" w:sz="4" w:space="0"/>
            </w:tcBorders>
            <w:vAlign w:val="center"/>
          </w:tcPr>
          <w:p w14:paraId="0CCDE7B2">
            <w:pPr>
              <w:spacing w:line="440" w:lineRule="exact"/>
              <w:jc w:val="center"/>
              <w:rPr>
                <w:rFonts w:hint="eastAsia" w:ascii="宋体" w:hAnsi="宋体" w:cs="宋体"/>
                <w:b/>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3F556498">
            <w:pPr>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对项目的理解</w:t>
            </w:r>
          </w:p>
          <w:p w14:paraId="23671B70">
            <w:pPr>
              <w:spacing w:line="440" w:lineRule="exact"/>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val="zh-TW" w:eastAsia="zh-TW"/>
              </w:rPr>
              <w:t>分）</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4AAF3CB8">
            <w:pPr>
              <w:spacing w:line="320" w:lineRule="exact"/>
              <w:jc w:val="left"/>
              <w:rPr>
                <w:rFonts w:hint="eastAsia" w:ascii="宋体" w:hAnsi="宋体" w:eastAsiaTheme="minorEastAsia"/>
                <w:color w:val="auto"/>
                <w:szCs w:val="21"/>
                <w:highlight w:val="none"/>
              </w:rPr>
            </w:pPr>
            <w:r>
              <w:rPr>
                <w:rFonts w:hint="eastAsia"/>
                <w:color w:val="auto"/>
                <w:highlight w:val="none"/>
              </w:rPr>
              <w:t>对本项目设计方案的总体认识，清晰、严谨、合理、正确理解发包人建设意图，进行合理的规划功能调整，对项目情况分析表述完整、中肯。</w:t>
            </w:r>
          </w:p>
          <w:p w14:paraId="2BCADDDE">
            <w:pPr>
              <w:spacing w:line="320" w:lineRule="exact"/>
              <w:jc w:val="left"/>
              <w:rPr>
                <w:rFonts w:hint="eastAsia" w:ascii="宋体" w:hAnsi="宋体"/>
                <w:color w:val="auto"/>
                <w:szCs w:val="21"/>
                <w:highlight w:val="none"/>
              </w:rPr>
            </w:pPr>
            <w:r>
              <w:rPr>
                <w:rFonts w:hint="eastAsia" w:ascii="宋体" w:hAnsi="宋体"/>
                <w:color w:val="auto"/>
                <w:szCs w:val="21"/>
                <w:highlight w:val="none"/>
              </w:rPr>
              <w:t>优得[</w:t>
            </w:r>
            <w:r>
              <w:rPr>
                <w:rFonts w:hint="eastAsia" w:ascii="宋体" w:hAnsi="宋体"/>
                <w:color w:val="auto"/>
                <w:szCs w:val="21"/>
                <w:highlight w:val="none"/>
                <w:lang w:val="en-US" w:eastAsia="zh-CN"/>
              </w:rPr>
              <w:t>15</w:t>
            </w: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)分；良得[</w:t>
            </w:r>
            <w:r>
              <w:rPr>
                <w:rFonts w:hint="eastAsia" w:ascii="宋体" w:hAnsi="宋体"/>
                <w:color w:val="auto"/>
                <w:szCs w:val="21"/>
                <w:highlight w:val="none"/>
                <w:lang w:val="en-US" w:eastAsia="zh-CN"/>
              </w:rPr>
              <w:t>11</w:t>
            </w: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）分；中得[</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）分；差得[</w:t>
            </w:r>
            <w:r>
              <w:rPr>
                <w:rFonts w:hint="eastAsia" w:ascii="宋体" w:hAnsi="宋体"/>
                <w:color w:val="auto"/>
                <w:szCs w:val="21"/>
                <w:highlight w:val="none"/>
                <w:lang w:val="en-US" w:eastAsia="zh-CN"/>
              </w:rPr>
              <w:t>3</w:t>
            </w:r>
            <w:r>
              <w:rPr>
                <w:rFonts w:hint="eastAsia" w:ascii="宋体" w:hAnsi="宋体"/>
                <w:color w:val="auto"/>
                <w:szCs w:val="21"/>
                <w:highlight w:val="none"/>
              </w:rPr>
              <w:t>-0]分；</w:t>
            </w:r>
          </w:p>
        </w:tc>
      </w:tr>
      <w:tr w14:paraId="76AE3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993" w:type="dxa"/>
            <w:gridSpan w:val="2"/>
            <w:vMerge w:val="continue"/>
            <w:tcBorders>
              <w:right w:val="single" w:color="auto" w:sz="4" w:space="0"/>
            </w:tcBorders>
            <w:vAlign w:val="center"/>
          </w:tcPr>
          <w:p w14:paraId="612FFDE4">
            <w:pPr>
              <w:spacing w:line="440" w:lineRule="exact"/>
              <w:jc w:val="center"/>
              <w:rPr>
                <w:rFonts w:hint="eastAsia" w:ascii="宋体" w:hAnsi="宋体" w:cs="宋体"/>
                <w:b/>
                <w:color w:val="auto"/>
                <w:szCs w:val="21"/>
                <w:highlight w:val="none"/>
              </w:rPr>
            </w:pPr>
          </w:p>
        </w:tc>
        <w:tc>
          <w:tcPr>
            <w:tcW w:w="1014" w:type="dxa"/>
            <w:vMerge w:val="continue"/>
            <w:tcBorders>
              <w:right w:val="single" w:color="auto" w:sz="4" w:space="0"/>
            </w:tcBorders>
            <w:vAlign w:val="center"/>
          </w:tcPr>
          <w:p w14:paraId="328FC1F5">
            <w:pPr>
              <w:spacing w:line="440" w:lineRule="exact"/>
              <w:jc w:val="center"/>
              <w:rPr>
                <w:rFonts w:hint="eastAsia" w:ascii="宋体" w:hAnsi="宋体" w:cs="宋体"/>
                <w:b/>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5ADE61F5">
            <w:pPr>
              <w:spacing w:line="440" w:lineRule="exact"/>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对项目的优化及深化</w:t>
            </w:r>
          </w:p>
          <w:p w14:paraId="08E74E0E">
            <w:pPr>
              <w:spacing w:line="440" w:lineRule="exact"/>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val="zh-TW" w:eastAsia="zh-TW"/>
              </w:rPr>
              <w:t>分）</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495CED91">
            <w:pPr>
              <w:spacing w:line="320" w:lineRule="exact"/>
              <w:jc w:val="left"/>
              <w:rPr>
                <w:rFonts w:hint="eastAsia" w:ascii="宋体" w:hAnsi="宋体"/>
                <w:color w:val="auto"/>
                <w:szCs w:val="21"/>
                <w:highlight w:val="none"/>
              </w:rPr>
            </w:pPr>
            <w:r>
              <w:rPr>
                <w:rFonts w:hint="eastAsia" w:ascii="宋体" w:hAnsi="宋体"/>
                <w:color w:val="auto"/>
                <w:szCs w:val="21"/>
                <w:highlight w:val="none"/>
              </w:rPr>
              <w:t>对现状及需求理解充分，对现状进行充分摸查，对现状的不足之处有较深入的分析，针对本项目的重点难点进行全面详细的分析，结合未来使用及规划，提出优化方案；材料设备的选用应切合实际要求；设计效果图能充分体现改造的创意，造型符合并充分满足发包人使用需求。</w:t>
            </w:r>
          </w:p>
          <w:p w14:paraId="3B84B6E8">
            <w:pPr>
              <w:spacing w:line="320" w:lineRule="exact"/>
              <w:jc w:val="left"/>
              <w:rPr>
                <w:rFonts w:hint="eastAsia" w:ascii="宋体" w:hAnsi="宋体"/>
                <w:color w:val="auto"/>
                <w:szCs w:val="21"/>
                <w:highlight w:val="none"/>
              </w:rPr>
            </w:pPr>
            <w:r>
              <w:rPr>
                <w:rFonts w:hint="eastAsia" w:ascii="宋体" w:hAnsi="宋体"/>
                <w:color w:val="auto"/>
                <w:szCs w:val="21"/>
                <w:highlight w:val="none"/>
              </w:rPr>
              <w:t>优得[</w:t>
            </w:r>
            <w:r>
              <w:rPr>
                <w:rFonts w:hint="eastAsia" w:ascii="宋体" w:hAnsi="宋体"/>
                <w:color w:val="auto"/>
                <w:szCs w:val="21"/>
                <w:highlight w:val="none"/>
                <w:lang w:val="en-US" w:eastAsia="zh-CN"/>
              </w:rPr>
              <w:t>30</w:t>
            </w:r>
            <w:r>
              <w:rPr>
                <w:rFonts w:hint="eastAsia" w:ascii="宋体" w:hAnsi="宋体"/>
                <w:color w:val="auto"/>
                <w:szCs w:val="21"/>
                <w:highlight w:val="none"/>
              </w:rPr>
              <w:t>-</w:t>
            </w:r>
            <w:r>
              <w:rPr>
                <w:rFonts w:hint="eastAsia" w:ascii="宋体" w:hAnsi="宋体"/>
                <w:color w:val="auto"/>
                <w:szCs w:val="21"/>
                <w:highlight w:val="none"/>
                <w:lang w:val="en-US" w:eastAsia="zh-CN"/>
              </w:rPr>
              <w:t>22</w:t>
            </w:r>
            <w:r>
              <w:rPr>
                <w:rFonts w:hint="eastAsia" w:ascii="宋体" w:hAnsi="宋体"/>
                <w:color w:val="auto"/>
                <w:szCs w:val="21"/>
                <w:highlight w:val="none"/>
              </w:rPr>
              <w:t>)分；良得[</w:t>
            </w:r>
            <w:r>
              <w:rPr>
                <w:rFonts w:hint="eastAsia" w:ascii="宋体" w:hAnsi="宋体"/>
                <w:color w:val="auto"/>
                <w:szCs w:val="21"/>
                <w:highlight w:val="none"/>
                <w:lang w:val="en-US" w:eastAsia="zh-CN"/>
              </w:rPr>
              <w:t>22</w:t>
            </w:r>
            <w:r>
              <w:rPr>
                <w:rFonts w:hint="eastAsia" w:ascii="宋体" w:hAnsi="宋体"/>
                <w:color w:val="auto"/>
                <w:szCs w:val="21"/>
                <w:highlight w:val="none"/>
              </w:rPr>
              <w:t>-</w:t>
            </w:r>
            <w:r>
              <w:rPr>
                <w:rFonts w:hint="eastAsia" w:ascii="宋体" w:hAnsi="宋体"/>
                <w:color w:val="auto"/>
                <w:szCs w:val="21"/>
                <w:highlight w:val="none"/>
                <w:lang w:val="en-US" w:eastAsia="zh-CN"/>
              </w:rPr>
              <w:t>14</w:t>
            </w:r>
            <w:r>
              <w:rPr>
                <w:rFonts w:hint="eastAsia" w:ascii="宋体" w:hAnsi="宋体"/>
                <w:color w:val="auto"/>
                <w:szCs w:val="21"/>
                <w:highlight w:val="none"/>
              </w:rPr>
              <w:t>）分；中得[</w:t>
            </w:r>
            <w:r>
              <w:rPr>
                <w:rFonts w:hint="eastAsia" w:ascii="宋体" w:hAnsi="宋体"/>
                <w:color w:val="auto"/>
                <w:szCs w:val="21"/>
                <w:highlight w:val="none"/>
                <w:lang w:val="en-US" w:eastAsia="zh-CN"/>
              </w:rPr>
              <w:t>14</w:t>
            </w: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）分；差得[</w:t>
            </w:r>
            <w:r>
              <w:rPr>
                <w:rFonts w:hint="eastAsia" w:ascii="宋体" w:hAnsi="宋体"/>
                <w:color w:val="auto"/>
                <w:szCs w:val="21"/>
                <w:highlight w:val="none"/>
                <w:lang w:val="en-US" w:eastAsia="zh-CN"/>
              </w:rPr>
              <w:t>7</w:t>
            </w:r>
            <w:r>
              <w:rPr>
                <w:rFonts w:hint="eastAsia" w:ascii="宋体" w:hAnsi="宋体"/>
                <w:color w:val="auto"/>
                <w:szCs w:val="21"/>
                <w:highlight w:val="none"/>
              </w:rPr>
              <w:t>-0]分；</w:t>
            </w:r>
          </w:p>
        </w:tc>
      </w:tr>
      <w:tr w14:paraId="08C2A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gridSpan w:val="2"/>
            <w:vMerge w:val="continue"/>
            <w:tcBorders>
              <w:right w:val="single" w:color="auto" w:sz="4" w:space="0"/>
            </w:tcBorders>
            <w:vAlign w:val="center"/>
          </w:tcPr>
          <w:p w14:paraId="1A45D644">
            <w:pPr>
              <w:spacing w:line="440" w:lineRule="exact"/>
              <w:jc w:val="center"/>
              <w:rPr>
                <w:rFonts w:hint="eastAsia" w:ascii="宋体" w:hAnsi="宋体" w:cs="宋体"/>
                <w:b/>
                <w:color w:val="auto"/>
                <w:szCs w:val="21"/>
                <w:highlight w:val="none"/>
              </w:rPr>
            </w:pPr>
          </w:p>
        </w:tc>
        <w:tc>
          <w:tcPr>
            <w:tcW w:w="1014" w:type="dxa"/>
            <w:vMerge w:val="continue"/>
            <w:tcBorders>
              <w:right w:val="single" w:color="auto" w:sz="4" w:space="0"/>
            </w:tcBorders>
            <w:vAlign w:val="center"/>
          </w:tcPr>
          <w:p w14:paraId="0C259A25">
            <w:pPr>
              <w:spacing w:line="440" w:lineRule="exact"/>
              <w:jc w:val="center"/>
              <w:rPr>
                <w:rFonts w:hint="eastAsia" w:ascii="宋体" w:hAnsi="宋体" w:cs="宋体"/>
                <w:b/>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7CEAD425">
            <w:pPr>
              <w:snapToGrid w:val="0"/>
              <w:jc w:val="center"/>
              <w:rPr>
                <w:rFonts w:hint="eastAsia" w:ascii="宋体" w:hAnsi="宋体" w:cs="宋体"/>
                <w:color w:val="auto"/>
                <w:highlight w:val="none"/>
              </w:rPr>
            </w:pPr>
            <w:r>
              <w:rPr>
                <w:rFonts w:hint="eastAsia" w:ascii="宋体" w:hAnsi="宋体" w:cs="宋体"/>
                <w:color w:val="auto"/>
                <w:highlight w:val="none"/>
              </w:rPr>
              <w:t>设计管理及设计服务</w:t>
            </w:r>
          </w:p>
          <w:p w14:paraId="5C231A32">
            <w:pPr>
              <w:snapToGrid w:val="0"/>
              <w:jc w:val="center"/>
              <w:rPr>
                <w:rFonts w:hint="eastAsia" w:ascii="宋体" w:hAnsi="宋体" w:cs="宋体"/>
                <w:color w:val="auto"/>
                <w:szCs w:val="21"/>
                <w:highlight w:val="none"/>
                <w:lang w:val="zh-TW" w:eastAsia="zh-TW"/>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5分）</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744C0187">
            <w:pPr>
              <w:spacing w:line="320" w:lineRule="exact"/>
              <w:jc w:val="left"/>
              <w:rPr>
                <w:rFonts w:hint="eastAsia" w:ascii="宋体" w:hAnsi="宋体"/>
                <w:color w:val="auto"/>
                <w:szCs w:val="21"/>
                <w:highlight w:val="none"/>
              </w:rPr>
            </w:pPr>
            <w:r>
              <w:rPr>
                <w:rFonts w:hint="eastAsia" w:ascii="宋体" w:hAnsi="宋体"/>
                <w:color w:val="auto"/>
                <w:szCs w:val="21"/>
                <w:highlight w:val="none"/>
              </w:rPr>
              <w:t>根据项目的要求，制定科学可靠、完善、可行的图纸进度计划、提出合理的设计管理制度及质量控制保证措施。</w:t>
            </w:r>
          </w:p>
          <w:p w14:paraId="53195B94">
            <w:pPr>
              <w:spacing w:line="320" w:lineRule="exact"/>
              <w:jc w:val="left"/>
              <w:rPr>
                <w:rFonts w:hint="eastAsia" w:ascii="宋体" w:hAnsi="宋体"/>
                <w:color w:val="auto"/>
                <w:szCs w:val="21"/>
                <w:highlight w:val="none"/>
              </w:rPr>
            </w:pPr>
            <w:r>
              <w:rPr>
                <w:rFonts w:hint="eastAsia" w:ascii="宋体" w:hAnsi="宋体"/>
                <w:color w:val="auto"/>
                <w:szCs w:val="21"/>
                <w:highlight w:val="none"/>
              </w:rPr>
              <w:t>优得[25-20)分；良得[20-12）分；中得[12-5）分；差得[5-0]分；</w:t>
            </w:r>
          </w:p>
        </w:tc>
      </w:tr>
      <w:tr w14:paraId="21B2E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gridSpan w:val="2"/>
            <w:vMerge w:val="continue"/>
            <w:tcBorders>
              <w:right w:val="single" w:color="auto" w:sz="4" w:space="0"/>
            </w:tcBorders>
            <w:vAlign w:val="center"/>
          </w:tcPr>
          <w:p w14:paraId="109A15CA">
            <w:pPr>
              <w:spacing w:line="440" w:lineRule="exact"/>
              <w:jc w:val="center"/>
              <w:rPr>
                <w:rFonts w:hint="eastAsia" w:ascii="宋体" w:hAnsi="宋体" w:cs="宋体"/>
                <w:b/>
                <w:color w:val="auto"/>
                <w:szCs w:val="21"/>
                <w:highlight w:val="none"/>
              </w:rPr>
            </w:pPr>
          </w:p>
        </w:tc>
        <w:tc>
          <w:tcPr>
            <w:tcW w:w="1014" w:type="dxa"/>
            <w:vMerge w:val="continue"/>
            <w:tcBorders>
              <w:right w:val="single" w:color="auto" w:sz="4" w:space="0"/>
            </w:tcBorders>
            <w:vAlign w:val="center"/>
          </w:tcPr>
          <w:p w14:paraId="06081F1E">
            <w:pPr>
              <w:spacing w:line="440" w:lineRule="exact"/>
              <w:jc w:val="center"/>
              <w:rPr>
                <w:rFonts w:hint="eastAsia" w:ascii="宋体" w:hAnsi="宋体" w:cs="宋体"/>
                <w:b/>
                <w:color w:val="auto"/>
                <w:szCs w:val="21"/>
                <w:highlight w:val="none"/>
              </w:rPr>
            </w:pPr>
          </w:p>
        </w:tc>
        <w:tc>
          <w:tcPr>
            <w:tcW w:w="1821" w:type="dxa"/>
            <w:gridSpan w:val="2"/>
            <w:tcBorders>
              <w:top w:val="single" w:color="auto" w:sz="4" w:space="0"/>
              <w:left w:val="single" w:color="auto" w:sz="4" w:space="0"/>
              <w:bottom w:val="single" w:color="auto" w:sz="4" w:space="0"/>
              <w:right w:val="single" w:color="auto" w:sz="4" w:space="0"/>
            </w:tcBorders>
            <w:vAlign w:val="center"/>
          </w:tcPr>
          <w:p w14:paraId="6CB193DA">
            <w:pPr>
              <w:snapToGrid w:val="0"/>
              <w:jc w:val="center"/>
              <w:rPr>
                <w:rFonts w:hint="eastAsia" w:ascii="宋体" w:hAnsi="宋体" w:cs="宋体"/>
                <w:color w:val="auto"/>
                <w:highlight w:val="none"/>
              </w:rPr>
            </w:pPr>
            <w:r>
              <w:rPr>
                <w:rFonts w:hint="eastAsia" w:ascii="宋体" w:hAnsi="宋体" w:cs="宋体"/>
                <w:color w:val="auto"/>
                <w:highlight w:val="none"/>
              </w:rPr>
              <w:t>设计成果要求</w:t>
            </w:r>
          </w:p>
          <w:p w14:paraId="0E3C5A26">
            <w:pPr>
              <w:snapToGrid w:val="0"/>
              <w:jc w:val="center"/>
              <w:rPr>
                <w:rFonts w:ascii="Arial" w:hAnsi="Arial" w:cs="Arial"/>
                <w:color w:val="auto"/>
                <w:szCs w:val="21"/>
                <w:highlight w:val="none"/>
              </w:rPr>
            </w:pPr>
            <w:r>
              <w:rPr>
                <w:rFonts w:hint="eastAsia" w:ascii="宋体" w:hAnsi="宋体" w:cs="宋体"/>
                <w:color w:val="auto"/>
                <w:highlight w:val="none"/>
              </w:rPr>
              <w:t>（10分）</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6682DBFF">
            <w:pPr>
              <w:spacing w:line="320" w:lineRule="exact"/>
              <w:jc w:val="left"/>
              <w:rPr>
                <w:rFonts w:hint="eastAsia" w:ascii="宋体" w:hAnsi="宋体"/>
                <w:color w:val="auto"/>
                <w:szCs w:val="21"/>
                <w:highlight w:val="none"/>
              </w:rPr>
            </w:pPr>
            <w:r>
              <w:rPr>
                <w:rFonts w:hint="eastAsia" w:ascii="宋体" w:hAnsi="宋体"/>
                <w:color w:val="auto"/>
                <w:szCs w:val="21"/>
                <w:highlight w:val="none"/>
              </w:rPr>
              <w:t>设计文件符合招标文件的要求；设计文本表达清晰详细、制图美观。要求必须提供能反映项目真实情况（及包含但不限于配套的相关各专业）的主要的、典型的图纸，包括并不限于：平面图、立面图、各角度的效果图、总平面图、各分析图、新旧建筑对比图等。所提供的图纸需完全针对本项目来进行设计并达到设计任务书深度、且确保图纸质量能满足发包人要求。</w:t>
            </w:r>
          </w:p>
          <w:p w14:paraId="6D29F4AF">
            <w:pPr>
              <w:spacing w:line="320" w:lineRule="exact"/>
              <w:jc w:val="left"/>
              <w:rPr>
                <w:rFonts w:hint="eastAsia" w:ascii="宋体" w:hAnsi="宋体"/>
                <w:color w:val="auto"/>
                <w:szCs w:val="21"/>
                <w:highlight w:val="none"/>
              </w:rPr>
            </w:pPr>
            <w:r>
              <w:rPr>
                <w:rFonts w:hint="eastAsia" w:ascii="宋体" w:hAnsi="宋体"/>
                <w:color w:val="auto"/>
                <w:szCs w:val="21"/>
                <w:highlight w:val="none"/>
              </w:rPr>
              <w:t>优得[10-8)分；良得[8-5）分；中得[5-2）分；差得[2-0]分；</w:t>
            </w:r>
          </w:p>
        </w:tc>
      </w:tr>
      <w:tr w14:paraId="3BB26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3" w:type="dxa"/>
            <w:gridSpan w:val="2"/>
            <w:vMerge w:val="restart"/>
            <w:tcBorders>
              <w:top w:val="single" w:color="auto" w:sz="4" w:space="0"/>
              <w:right w:val="single" w:color="auto" w:sz="4" w:space="0"/>
            </w:tcBorders>
            <w:vAlign w:val="center"/>
          </w:tcPr>
          <w:p w14:paraId="3971204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2.2.4（2）</w:t>
            </w:r>
          </w:p>
        </w:tc>
        <w:tc>
          <w:tcPr>
            <w:tcW w:w="1014" w:type="dxa"/>
            <w:vMerge w:val="restart"/>
            <w:tcBorders>
              <w:top w:val="single" w:color="auto" w:sz="4" w:space="0"/>
              <w:right w:val="single" w:color="auto" w:sz="4" w:space="0"/>
            </w:tcBorders>
          </w:tcPr>
          <w:p w14:paraId="2087EF55">
            <w:pPr>
              <w:spacing w:line="440" w:lineRule="exact"/>
              <w:jc w:val="center"/>
              <w:rPr>
                <w:rFonts w:hint="eastAsia" w:ascii="宋体" w:hAnsi="宋体" w:cs="宋体"/>
                <w:color w:val="auto"/>
                <w:szCs w:val="21"/>
                <w:highlight w:val="none"/>
              </w:rPr>
            </w:pPr>
          </w:p>
          <w:p w14:paraId="1DE62326">
            <w:pPr>
              <w:spacing w:line="440" w:lineRule="exact"/>
              <w:jc w:val="center"/>
              <w:rPr>
                <w:rFonts w:hint="eastAsia" w:ascii="宋体" w:hAnsi="宋体" w:cs="宋体"/>
                <w:color w:val="auto"/>
                <w:szCs w:val="21"/>
                <w:highlight w:val="none"/>
              </w:rPr>
            </w:pPr>
          </w:p>
          <w:p w14:paraId="017C6D1D">
            <w:pPr>
              <w:spacing w:line="440" w:lineRule="exact"/>
              <w:jc w:val="center"/>
              <w:rPr>
                <w:rFonts w:hint="eastAsia" w:ascii="宋体" w:hAnsi="宋体" w:cs="宋体"/>
                <w:color w:val="auto"/>
                <w:szCs w:val="21"/>
                <w:highlight w:val="none"/>
              </w:rPr>
            </w:pPr>
          </w:p>
          <w:p w14:paraId="673AA565">
            <w:pPr>
              <w:spacing w:line="440" w:lineRule="exact"/>
              <w:jc w:val="center"/>
              <w:rPr>
                <w:rFonts w:hint="eastAsia" w:ascii="宋体" w:hAnsi="宋体" w:cs="宋体"/>
                <w:color w:val="auto"/>
                <w:szCs w:val="21"/>
                <w:highlight w:val="none"/>
              </w:rPr>
            </w:pPr>
          </w:p>
          <w:p w14:paraId="7F8A49B4">
            <w:pPr>
              <w:spacing w:line="440" w:lineRule="exact"/>
              <w:jc w:val="center"/>
              <w:rPr>
                <w:rFonts w:hint="eastAsia" w:ascii="宋体" w:hAnsi="宋体" w:cs="宋体"/>
                <w:color w:val="auto"/>
                <w:szCs w:val="21"/>
                <w:highlight w:val="none"/>
              </w:rPr>
            </w:pPr>
          </w:p>
          <w:p w14:paraId="762A92DF">
            <w:pPr>
              <w:spacing w:line="440" w:lineRule="exact"/>
              <w:jc w:val="center"/>
              <w:rPr>
                <w:rFonts w:hint="eastAsia" w:ascii="宋体" w:hAnsi="宋体" w:cs="宋体"/>
                <w:color w:val="auto"/>
                <w:szCs w:val="21"/>
                <w:highlight w:val="none"/>
              </w:rPr>
            </w:pPr>
          </w:p>
          <w:p w14:paraId="6EAB8C60">
            <w:pPr>
              <w:spacing w:line="440" w:lineRule="exact"/>
              <w:jc w:val="center"/>
              <w:rPr>
                <w:rFonts w:hint="eastAsia" w:ascii="宋体" w:hAnsi="宋体" w:cs="宋体"/>
                <w:color w:val="auto"/>
                <w:szCs w:val="21"/>
                <w:highlight w:val="none"/>
              </w:rPr>
            </w:pPr>
          </w:p>
          <w:p w14:paraId="02A2E000">
            <w:pPr>
              <w:spacing w:line="440" w:lineRule="exact"/>
              <w:jc w:val="center"/>
              <w:rPr>
                <w:rFonts w:hint="eastAsia" w:ascii="宋体" w:hAnsi="宋体" w:cs="宋体"/>
                <w:color w:val="auto"/>
                <w:szCs w:val="21"/>
                <w:highlight w:val="none"/>
              </w:rPr>
            </w:pPr>
          </w:p>
          <w:p w14:paraId="3BB95172">
            <w:pPr>
              <w:spacing w:line="440" w:lineRule="exact"/>
              <w:jc w:val="center"/>
              <w:rPr>
                <w:rFonts w:hint="eastAsia" w:ascii="宋体" w:hAnsi="宋体" w:cs="宋体"/>
                <w:color w:val="auto"/>
                <w:szCs w:val="21"/>
                <w:highlight w:val="none"/>
              </w:rPr>
            </w:pPr>
          </w:p>
          <w:p w14:paraId="4DC53A2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工程承包实施方案评分标准</w:t>
            </w:r>
          </w:p>
        </w:tc>
        <w:tc>
          <w:tcPr>
            <w:tcW w:w="986" w:type="dxa"/>
            <w:vMerge w:val="restart"/>
            <w:tcBorders>
              <w:top w:val="single" w:color="auto" w:sz="4" w:space="0"/>
              <w:left w:val="single" w:color="auto" w:sz="4" w:space="0"/>
              <w:right w:val="single" w:color="auto" w:sz="4" w:space="0"/>
            </w:tcBorders>
            <w:vAlign w:val="center"/>
          </w:tcPr>
          <w:p w14:paraId="25340E50">
            <w:pPr>
              <w:spacing w:line="440" w:lineRule="exact"/>
              <w:rPr>
                <w:rFonts w:hint="eastAsia" w:ascii="宋体" w:hAnsi="宋体" w:cs="宋体"/>
                <w:color w:val="auto"/>
                <w:highlight w:val="none"/>
              </w:rPr>
            </w:pPr>
            <w:r>
              <w:rPr>
                <w:rFonts w:hint="eastAsia" w:ascii="宋体" w:hAnsi="宋体" w:cs="宋体"/>
                <w:color w:val="auto"/>
                <w:highlight w:val="none"/>
              </w:rPr>
              <w:t>企业资信部分</w:t>
            </w:r>
          </w:p>
          <w:p w14:paraId="71B0B0EC">
            <w:pPr>
              <w:spacing w:line="440" w:lineRule="exact"/>
              <w:jc w:val="center"/>
              <w:rPr>
                <w:rFonts w:hint="eastAsia"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1206" w:type="dxa"/>
            <w:gridSpan w:val="2"/>
            <w:tcBorders>
              <w:top w:val="single" w:color="auto" w:sz="4" w:space="0"/>
              <w:left w:val="single" w:color="auto" w:sz="4" w:space="0"/>
              <w:right w:val="single" w:color="auto" w:sz="4" w:space="0"/>
            </w:tcBorders>
            <w:vAlign w:val="center"/>
          </w:tcPr>
          <w:p w14:paraId="3B6B186C">
            <w:pPr>
              <w:spacing w:line="440" w:lineRule="exact"/>
              <w:jc w:val="center"/>
              <w:rPr>
                <w:rFonts w:hint="eastAsia" w:ascii="宋体" w:hAnsi="宋体" w:cs="宋体"/>
                <w:color w:val="auto"/>
                <w:highlight w:val="none"/>
              </w:rPr>
            </w:pPr>
            <w:r>
              <w:rPr>
                <w:rFonts w:hint="eastAsia" w:ascii="宋体" w:hAnsi="宋体" w:cs="宋体"/>
                <w:color w:val="auto"/>
                <w:highlight w:val="none"/>
              </w:rPr>
              <w:t>施工企业业绩</w:t>
            </w:r>
          </w:p>
          <w:p w14:paraId="3C72E24C">
            <w:pPr>
              <w:spacing w:line="440" w:lineRule="exact"/>
              <w:jc w:val="center"/>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12</w:t>
            </w:r>
            <w:r>
              <w:rPr>
                <w:rFonts w:hint="eastAsia" w:ascii="宋体" w:hAnsi="宋体" w:cs="宋体"/>
                <w:color w:val="auto"/>
                <w:highlight w:val="none"/>
              </w:rPr>
              <w:t>分）</w:t>
            </w:r>
          </w:p>
        </w:tc>
        <w:tc>
          <w:tcPr>
            <w:tcW w:w="5157" w:type="dxa"/>
            <w:tcBorders>
              <w:top w:val="single" w:color="auto" w:sz="4" w:space="0"/>
              <w:left w:val="single" w:color="auto" w:sz="4" w:space="0"/>
              <w:bottom w:val="single" w:color="auto" w:sz="4" w:space="0"/>
              <w:right w:val="single" w:color="auto" w:sz="4" w:space="0"/>
            </w:tcBorders>
            <w:vAlign w:val="center"/>
          </w:tcPr>
          <w:p w14:paraId="71B30EA2">
            <w:pPr>
              <w:spacing w:line="320" w:lineRule="exact"/>
              <w:jc w:val="left"/>
              <w:rPr>
                <w:rFonts w:hint="eastAsia" w:ascii="宋体" w:hAnsi="宋体"/>
                <w:color w:val="auto"/>
                <w:szCs w:val="21"/>
                <w:highlight w:val="none"/>
              </w:rPr>
            </w:pPr>
            <w:r>
              <w:rPr>
                <w:rFonts w:hint="eastAsia" w:ascii="宋体" w:hAnsi="宋体"/>
                <w:color w:val="auto"/>
                <w:szCs w:val="21"/>
                <w:highlight w:val="none"/>
              </w:rPr>
              <w:t>投标人（若为联合体，指联合体牵头单位）自2021年1月1日至投标截止时间止，完成过类似施工业绩（指单项工程合同价大于或等于1400万元的建筑工程施工总承包或者房屋建筑类工程总承包业绩项目），每项得2分；未提供不得分。</w:t>
            </w:r>
          </w:p>
          <w:p w14:paraId="1DFAF252">
            <w:pPr>
              <w:spacing w:line="320" w:lineRule="exact"/>
              <w:jc w:val="left"/>
              <w:rPr>
                <w:rFonts w:hint="eastAsia" w:ascii="宋体" w:hAnsi="宋体"/>
                <w:color w:val="auto"/>
                <w:szCs w:val="21"/>
                <w:highlight w:val="none"/>
              </w:rPr>
            </w:pPr>
            <w:r>
              <w:rPr>
                <w:rFonts w:hint="eastAsia" w:ascii="宋体" w:hAnsi="宋体"/>
                <w:color w:val="auto"/>
                <w:szCs w:val="21"/>
                <w:highlight w:val="none"/>
              </w:rPr>
              <w:t>注：本小项累计最高得6分。</w:t>
            </w:r>
          </w:p>
          <w:p w14:paraId="1C250DF2">
            <w:pPr>
              <w:spacing w:line="320" w:lineRule="exact"/>
              <w:jc w:val="left"/>
              <w:rPr>
                <w:rFonts w:hint="eastAsia" w:ascii="宋体" w:hAnsi="宋体"/>
                <w:color w:val="auto"/>
                <w:szCs w:val="21"/>
                <w:highlight w:val="none"/>
              </w:rPr>
            </w:pPr>
            <w:r>
              <w:rPr>
                <w:rFonts w:hint="eastAsia" w:ascii="宋体" w:hAnsi="宋体"/>
                <w:color w:val="auto"/>
                <w:szCs w:val="21"/>
                <w:highlight w:val="none"/>
              </w:rPr>
              <w:t>投标人（若为联合体，指联合体设计单位）自2021年1月1日至投标截止时间止，承接过类似设计业绩（指总投资额大于或等于1400万元的房屋建筑工程类设计业绩），每项得2分；未提供不得分。</w:t>
            </w:r>
          </w:p>
          <w:p w14:paraId="298FC0C6">
            <w:pPr>
              <w:spacing w:line="320" w:lineRule="exact"/>
              <w:jc w:val="left"/>
              <w:rPr>
                <w:rFonts w:hint="eastAsia" w:ascii="宋体" w:hAnsi="宋体"/>
                <w:color w:val="auto"/>
                <w:szCs w:val="21"/>
                <w:highlight w:val="none"/>
              </w:rPr>
            </w:pPr>
            <w:r>
              <w:rPr>
                <w:rFonts w:hint="eastAsia" w:ascii="宋体" w:hAnsi="宋体"/>
                <w:color w:val="auto"/>
                <w:szCs w:val="21"/>
                <w:highlight w:val="none"/>
              </w:rPr>
              <w:t>注：本小项累计最高得6分。</w:t>
            </w:r>
          </w:p>
        </w:tc>
      </w:tr>
      <w:tr w14:paraId="136FF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vMerge w:val="continue"/>
            <w:tcBorders>
              <w:right w:val="single" w:color="auto" w:sz="4" w:space="0"/>
            </w:tcBorders>
            <w:vAlign w:val="center"/>
          </w:tcPr>
          <w:p w14:paraId="6EBB37DF">
            <w:pPr>
              <w:spacing w:line="440" w:lineRule="exact"/>
              <w:jc w:val="center"/>
              <w:rPr>
                <w:rFonts w:hint="eastAsia" w:ascii="宋体" w:hAnsi="宋体" w:cs="宋体"/>
                <w:color w:val="auto"/>
                <w:highlight w:val="none"/>
              </w:rPr>
            </w:pPr>
          </w:p>
        </w:tc>
        <w:tc>
          <w:tcPr>
            <w:tcW w:w="1014" w:type="dxa"/>
            <w:vMerge w:val="continue"/>
            <w:tcBorders>
              <w:right w:val="single" w:color="auto" w:sz="4" w:space="0"/>
            </w:tcBorders>
          </w:tcPr>
          <w:p w14:paraId="6779F248">
            <w:pPr>
              <w:spacing w:line="440" w:lineRule="exact"/>
              <w:jc w:val="center"/>
              <w:rPr>
                <w:rFonts w:hint="eastAsia" w:ascii="宋体" w:hAnsi="宋体" w:cs="宋体"/>
                <w:color w:val="auto"/>
                <w:highlight w:val="none"/>
              </w:rPr>
            </w:pPr>
          </w:p>
        </w:tc>
        <w:tc>
          <w:tcPr>
            <w:tcW w:w="986" w:type="dxa"/>
            <w:vMerge w:val="continue"/>
            <w:tcBorders>
              <w:left w:val="single" w:color="auto" w:sz="4" w:space="0"/>
              <w:right w:val="single" w:color="auto" w:sz="4" w:space="0"/>
            </w:tcBorders>
            <w:vAlign w:val="center"/>
          </w:tcPr>
          <w:p w14:paraId="0285B73E">
            <w:pPr>
              <w:spacing w:line="440" w:lineRule="exact"/>
              <w:jc w:val="center"/>
              <w:rPr>
                <w:rFonts w:hint="eastAsia" w:ascii="宋体" w:hAnsi="宋体" w:cs="宋体"/>
                <w:color w:val="auto"/>
                <w:highlight w:val="none"/>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604C9795">
            <w:pPr>
              <w:spacing w:line="440" w:lineRule="exact"/>
              <w:jc w:val="center"/>
              <w:rPr>
                <w:rFonts w:hint="eastAsia" w:ascii="宋体" w:hAnsi="宋体" w:cs="宋体"/>
                <w:color w:val="auto"/>
                <w:highlight w:val="none"/>
              </w:rPr>
            </w:pPr>
            <w:r>
              <w:rPr>
                <w:rFonts w:hint="eastAsia" w:ascii="宋体" w:hAnsi="宋体" w:cs="宋体"/>
                <w:color w:val="auto"/>
                <w:kern w:val="0"/>
                <w:highlight w:val="none"/>
              </w:rPr>
              <w:t>施工</w:t>
            </w:r>
            <w:r>
              <w:rPr>
                <w:rFonts w:hint="eastAsia" w:ascii="宋体" w:hAnsi="宋体" w:cs="宋体"/>
                <w:color w:val="auto"/>
                <w:highlight w:val="none"/>
              </w:rPr>
              <w:t>企业获奖（1</w:t>
            </w:r>
            <w:r>
              <w:rPr>
                <w:rFonts w:hint="eastAsia" w:ascii="宋体" w:hAnsi="宋体" w:cs="宋体"/>
                <w:color w:val="auto"/>
                <w:highlight w:val="none"/>
                <w:lang w:val="en-US" w:eastAsia="zh-CN"/>
              </w:rPr>
              <w:t>0</w:t>
            </w:r>
            <w:r>
              <w:rPr>
                <w:rFonts w:hint="eastAsia" w:ascii="宋体" w:hAnsi="宋体" w:cs="宋体"/>
                <w:color w:val="auto"/>
                <w:highlight w:val="none"/>
              </w:rPr>
              <w:t>分）</w:t>
            </w:r>
          </w:p>
        </w:tc>
        <w:tc>
          <w:tcPr>
            <w:tcW w:w="5157" w:type="dxa"/>
            <w:tcBorders>
              <w:top w:val="single" w:color="auto" w:sz="4" w:space="0"/>
              <w:left w:val="single" w:color="auto" w:sz="4" w:space="0"/>
              <w:bottom w:val="single" w:color="auto" w:sz="4" w:space="0"/>
              <w:right w:val="single" w:color="auto" w:sz="4" w:space="0"/>
            </w:tcBorders>
            <w:vAlign w:val="center"/>
          </w:tcPr>
          <w:p w14:paraId="55CDB207">
            <w:pPr>
              <w:spacing w:line="320" w:lineRule="exact"/>
              <w:jc w:val="left"/>
              <w:rPr>
                <w:rFonts w:hint="eastAsia" w:ascii="宋体" w:hAnsi="宋体"/>
                <w:color w:val="auto"/>
                <w:szCs w:val="21"/>
                <w:highlight w:val="none"/>
              </w:rPr>
            </w:pPr>
            <w:r>
              <w:rPr>
                <w:rFonts w:hint="eastAsia" w:ascii="宋体" w:hAnsi="宋体"/>
                <w:color w:val="auto"/>
                <w:szCs w:val="21"/>
                <w:highlight w:val="none"/>
              </w:rPr>
              <w:t>投标人（若为联合体，指联合体牵头单位）自2021年1月1日至投标截止时间止，获得过工程建设类质量奖：</w:t>
            </w:r>
          </w:p>
          <w:p w14:paraId="01933D20">
            <w:pPr>
              <w:spacing w:line="320" w:lineRule="exact"/>
              <w:jc w:val="left"/>
              <w:rPr>
                <w:rFonts w:hint="eastAsia" w:ascii="宋体" w:hAnsi="宋体"/>
                <w:color w:val="auto"/>
                <w:szCs w:val="21"/>
                <w:highlight w:val="none"/>
              </w:rPr>
            </w:pPr>
            <w:r>
              <w:rPr>
                <w:rFonts w:hint="eastAsia" w:ascii="宋体" w:hAnsi="宋体"/>
                <w:color w:val="auto"/>
                <w:szCs w:val="21"/>
                <w:highlight w:val="none"/>
              </w:rPr>
              <w:t>获国家级（部级）奖项，每项得2分；</w:t>
            </w:r>
          </w:p>
          <w:p w14:paraId="6DF9DC58">
            <w:pPr>
              <w:spacing w:line="320" w:lineRule="exact"/>
              <w:jc w:val="left"/>
              <w:rPr>
                <w:rFonts w:hint="eastAsia" w:ascii="宋体" w:hAnsi="宋体"/>
                <w:color w:val="auto"/>
                <w:szCs w:val="21"/>
                <w:highlight w:val="none"/>
              </w:rPr>
            </w:pPr>
            <w:r>
              <w:rPr>
                <w:rFonts w:hint="eastAsia" w:ascii="宋体" w:hAnsi="宋体"/>
                <w:color w:val="auto"/>
                <w:szCs w:val="21"/>
                <w:highlight w:val="none"/>
              </w:rPr>
              <w:t>获省级奖项，每项得1分；</w:t>
            </w:r>
          </w:p>
          <w:p w14:paraId="1127C963">
            <w:pPr>
              <w:spacing w:line="320" w:lineRule="exact"/>
              <w:jc w:val="left"/>
              <w:rPr>
                <w:rFonts w:hint="eastAsia" w:ascii="宋体" w:hAnsi="宋体"/>
                <w:color w:val="auto"/>
                <w:szCs w:val="21"/>
                <w:highlight w:val="none"/>
              </w:rPr>
            </w:pPr>
            <w:r>
              <w:rPr>
                <w:rFonts w:hint="eastAsia" w:ascii="宋体" w:hAnsi="宋体"/>
                <w:color w:val="auto"/>
                <w:szCs w:val="21"/>
                <w:highlight w:val="none"/>
              </w:rPr>
              <w:t>获市（副省）级奖项，每项得0.5分。</w:t>
            </w:r>
          </w:p>
          <w:p w14:paraId="4258446D">
            <w:pPr>
              <w:spacing w:line="320" w:lineRule="exact"/>
              <w:jc w:val="left"/>
              <w:rPr>
                <w:rFonts w:hint="eastAsia" w:ascii="宋体" w:hAnsi="宋体"/>
                <w:color w:val="auto"/>
                <w:szCs w:val="21"/>
                <w:highlight w:val="none"/>
              </w:rPr>
            </w:pPr>
            <w:r>
              <w:rPr>
                <w:rFonts w:hint="eastAsia" w:ascii="宋体" w:hAnsi="宋体"/>
                <w:color w:val="auto"/>
                <w:szCs w:val="21"/>
                <w:highlight w:val="none"/>
              </w:rPr>
              <w:t>其他情况不得分，本项最多得10分。</w:t>
            </w:r>
          </w:p>
        </w:tc>
      </w:tr>
      <w:tr w14:paraId="1781E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vMerge w:val="continue"/>
            <w:tcBorders>
              <w:right w:val="single" w:color="auto" w:sz="4" w:space="0"/>
            </w:tcBorders>
            <w:vAlign w:val="center"/>
          </w:tcPr>
          <w:p w14:paraId="7D113276">
            <w:pPr>
              <w:spacing w:line="440" w:lineRule="exact"/>
              <w:jc w:val="center"/>
              <w:rPr>
                <w:rFonts w:hint="eastAsia" w:ascii="宋体" w:hAnsi="宋体" w:cs="宋体"/>
                <w:color w:val="auto"/>
                <w:highlight w:val="none"/>
              </w:rPr>
            </w:pPr>
          </w:p>
        </w:tc>
        <w:tc>
          <w:tcPr>
            <w:tcW w:w="1014" w:type="dxa"/>
            <w:vMerge w:val="continue"/>
            <w:tcBorders>
              <w:right w:val="single" w:color="auto" w:sz="4" w:space="0"/>
            </w:tcBorders>
          </w:tcPr>
          <w:p w14:paraId="56A01FA5">
            <w:pPr>
              <w:spacing w:line="440" w:lineRule="exact"/>
              <w:jc w:val="center"/>
              <w:rPr>
                <w:rFonts w:hint="eastAsia" w:ascii="宋体" w:hAnsi="宋体" w:cs="宋体"/>
                <w:color w:val="auto"/>
                <w:highlight w:val="none"/>
              </w:rPr>
            </w:pPr>
          </w:p>
        </w:tc>
        <w:tc>
          <w:tcPr>
            <w:tcW w:w="986" w:type="dxa"/>
            <w:vMerge w:val="continue"/>
            <w:tcBorders>
              <w:left w:val="single" w:color="auto" w:sz="4" w:space="0"/>
              <w:right w:val="single" w:color="auto" w:sz="4" w:space="0"/>
            </w:tcBorders>
            <w:vAlign w:val="center"/>
          </w:tcPr>
          <w:p w14:paraId="12CD6D74">
            <w:pPr>
              <w:spacing w:line="440" w:lineRule="exact"/>
              <w:jc w:val="center"/>
              <w:rPr>
                <w:rFonts w:hint="eastAsia" w:ascii="宋体" w:hAnsi="宋体" w:cs="宋体"/>
                <w:color w:val="auto"/>
                <w:highlight w:val="none"/>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180FB890">
            <w:pPr>
              <w:spacing w:line="440" w:lineRule="exact"/>
              <w:jc w:val="center"/>
              <w:rPr>
                <w:rFonts w:hint="eastAsia" w:ascii="宋体" w:hAnsi="宋体" w:cs="宋体"/>
                <w:color w:val="auto"/>
                <w:kern w:val="0"/>
                <w:highlight w:val="none"/>
              </w:rPr>
            </w:pPr>
            <w:r>
              <w:rPr>
                <w:rFonts w:hint="eastAsia" w:ascii="宋体" w:hAnsi="宋体" w:cs="宋体"/>
                <w:color w:val="auto"/>
                <w:kern w:val="0"/>
                <w:highlight w:val="none"/>
              </w:rPr>
              <w:t>科技创新成果</w:t>
            </w: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分）</w:t>
            </w:r>
          </w:p>
        </w:tc>
        <w:tc>
          <w:tcPr>
            <w:tcW w:w="5157" w:type="dxa"/>
            <w:tcBorders>
              <w:top w:val="single" w:color="auto" w:sz="4" w:space="0"/>
              <w:left w:val="single" w:color="auto" w:sz="4" w:space="0"/>
              <w:bottom w:val="single" w:color="auto" w:sz="4" w:space="0"/>
              <w:right w:val="single" w:color="auto" w:sz="4" w:space="0"/>
            </w:tcBorders>
            <w:vAlign w:val="center"/>
          </w:tcPr>
          <w:p w14:paraId="782AA789">
            <w:pPr>
              <w:spacing w:line="320" w:lineRule="exact"/>
              <w:jc w:val="left"/>
              <w:rPr>
                <w:rFonts w:hint="eastAsia" w:ascii="宋体" w:hAnsi="宋体"/>
                <w:color w:val="auto"/>
                <w:szCs w:val="21"/>
                <w:highlight w:val="none"/>
              </w:rPr>
            </w:pPr>
            <w:r>
              <w:rPr>
                <w:rFonts w:hint="eastAsia" w:ascii="宋体" w:hAnsi="宋体"/>
                <w:color w:val="auto"/>
                <w:szCs w:val="21"/>
                <w:highlight w:val="none"/>
              </w:rPr>
              <w:t>投标人（若为联合体，指联合体牵头单位）自2021年1月1日至投标截止时间止，获得过省级或以上科学技术进步奖或科学技术奖的，得7分；获得过市级科学技术进步奖或科学技术奖的，得3分。未提供不得分。注：本小项最高得7分。</w:t>
            </w:r>
          </w:p>
        </w:tc>
      </w:tr>
      <w:tr w14:paraId="1623B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vMerge w:val="continue"/>
            <w:tcBorders>
              <w:right w:val="single" w:color="auto" w:sz="4" w:space="0"/>
            </w:tcBorders>
            <w:vAlign w:val="center"/>
          </w:tcPr>
          <w:p w14:paraId="14A90F8B">
            <w:pPr>
              <w:spacing w:line="440" w:lineRule="exact"/>
              <w:jc w:val="center"/>
              <w:rPr>
                <w:rFonts w:hint="eastAsia" w:ascii="宋体" w:hAnsi="宋体" w:cs="宋体"/>
                <w:color w:val="auto"/>
                <w:highlight w:val="none"/>
              </w:rPr>
            </w:pPr>
          </w:p>
        </w:tc>
        <w:tc>
          <w:tcPr>
            <w:tcW w:w="1014" w:type="dxa"/>
            <w:vMerge w:val="continue"/>
            <w:tcBorders>
              <w:right w:val="single" w:color="auto" w:sz="4" w:space="0"/>
            </w:tcBorders>
          </w:tcPr>
          <w:p w14:paraId="4103BF7A">
            <w:pPr>
              <w:spacing w:line="440" w:lineRule="exact"/>
              <w:jc w:val="center"/>
              <w:rPr>
                <w:rFonts w:hint="eastAsia" w:ascii="宋体" w:hAnsi="宋体" w:cs="宋体"/>
                <w:color w:val="auto"/>
                <w:highlight w:val="none"/>
              </w:rPr>
            </w:pPr>
          </w:p>
        </w:tc>
        <w:tc>
          <w:tcPr>
            <w:tcW w:w="986" w:type="dxa"/>
            <w:vMerge w:val="continue"/>
            <w:tcBorders>
              <w:left w:val="single" w:color="auto" w:sz="4" w:space="0"/>
              <w:right w:val="single" w:color="auto" w:sz="4" w:space="0"/>
            </w:tcBorders>
            <w:vAlign w:val="center"/>
          </w:tcPr>
          <w:p w14:paraId="4EC1B400">
            <w:pPr>
              <w:spacing w:line="440" w:lineRule="exact"/>
              <w:jc w:val="center"/>
              <w:rPr>
                <w:rFonts w:hint="eastAsia" w:ascii="宋体" w:hAnsi="宋体" w:cs="宋体"/>
                <w:color w:val="auto"/>
                <w:highlight w:val="none"/>
              </w:rPr>
            </w:pPr>
          </w:p>
        </w:tc>
        <w:tc>
          <w:tcPr>
            <w:tcW w:w="1206" w:type="dxa"/>
            <w:gridSpan w:val="2"/>
            <w:vMerge w:val="restart"/>
            <w:tcBorders>
              <w:top w:val="single" w:color="auto" w:sz="4" w:space="0"/>
              <w:left w:val="single" w:color="auto" w:sz="4" w:space="0"/>
              <w:right w:val="single" w:color="auto" w:sz="4" w:space="0"/>
            </w:tcBorders>
            <w:vAlign w:val="center"/>
          </w:tcPr>
          <w:p w14:paraId="33F722BB">
            <w:pPr>
              <w:spacing w:line="440" w:lineRule="exact"/>
              <w:jc w:val="center"/>
              <w:rPr>
                <w:rFonts w:hint="eastAsia" w:ascii="宋体" w:hAnsi="宋体" w:cs="宋体"/>
                <w:color w:val="auto"/>
                <w:highlight w:val="none"/>
              </w:rPr>
            </w:pPr>
            <w:r>
              <w:rPr>
                <w:rFonts w:hint="eastAsia" w:ascii="宋体" w:hAnsi="宋体" w:cs="宋体"/>
                <w:color w:val="auto"/>
                <w:kern w:val="0"/>
                <w:highlight w:val="none"/>
              </w:rPr>
              <w:t>第三方评价（</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分）</w:t>
            </w:r>
          </w:p>
        </w:tc>
        <w:tc>
          <w:tcPr>
            <w:tcW w:w="5157" w:type="dxa"/>
            <w:tcBorders>
              <w:top w:val="single" w:color="auto" w:sz="4" w:space="0"/>
              <w:left w:val="single" w:color="auto" w:sz="4" w:space="0"/>
              <w:bottom w:val="single" w:color="auto" w:sz="4" w:space="0"/>
              <w:right w:val="single" w:color="auto" w:sz="4" w:space="0"/>
            </w:tcBorders>
            <w:vAlign w:val="center"/>
          </w:tcPr>
          <w:p w14:paraId="58FD7DA3">
            <w:pPr>
              <w:spacing w:line="320" w:lineRule="exact"/>
              <w:jc w:val="left"/>
              <w:rPr>
                <w:rFonts w:hint="eastAsia" w:ascii="宋体" w:hAnsi="宋体"/>
                <w:color w:val="auto"/>
                <w:szCs w:val="21"/>
                <w:highlight w:val="none"/>
              </w:rPr>
            </w:pPr>
            <w:r>
              <w:rPr>
                <w:rFonts w:hint="eastAsia" w:ascii="宋体" w:hAnsi="宋体"/>
                <w:color w:val="auto"/>
                <w:szCs w:val="21"/>
                <w:highlight w:val="none"/>
              </w:rPr>
              <w:t>投标人（若为联合体，指联合体牵头单位）自2019</w:t>
            </w:r>
            <w:r>
              <w:rPr>
                <w:rFonts w:hint="eastAsia" w:ascii="宋体" w:hAnsi="宋体"/>
                <w:color w:val="auto"/>
                <w:szCs w:val="21"/>
                <w:highlight w:val="none"/>
                <w:lang w:val="zh-TW"/>
              </w:rPr>
              <w:t>年</w:t>
            </w:r>
            <w:r>
              <w:rPr>
                <w:rFonts w:hint="eastAsia" w:ascii="宋体" w:hAnsi="宋体"/>
                <w:color w:val="auto"/>
                <w:szCs w:val="21"/>
                <w:highlight w:val="none"/>
              </w:rPr>
              <w:t>1</w:t>
            </w:r>
            <w:r>
              <w:rPr>
                <w:rFonts w:hint="eastAsia" w:ascii="宋体" w:hAnsi="宋体"/>
                <w:color w:val="auto"/>
                <w:szCs w:val="21"/>
                <w:highlight w:val="none"/>
                <w:lang w:val="zh-TW"/>
              </w:rPr>
              <w:t>月1日至</w:t>
            </w:r>
            <w:r>
              <w:rPr>
                <w:rFonts w:hint="eastAsia" w:ascii="宋体" w:hAnsi="宋体"/>
                <w:color w:val="auto"/>
                <w:szCs w:val="21"/>
                <w:highlight w:val="none"/>
              </w:rPr>
              <w:t>投标截止时间止</w:t>
            </w:r>
            <w:r>
              <w:rPr>
                <w:rFonts w:hint="eastAsia" w:ascii="宋体" w:hAnsi="宋体"/>
                <w:color w:val="auto"/>
                <w:szCs w:val="21"/>
                <w:highlight w:val="none"/>
                <w:lang w:val="zh-TW"/>
              </w:rPr>
              <w:t>，</w:t>
            </w:r>
            <w:r>
              <w:rPr>
                <w:rFonts w:hint="eastAsia" w:ascii="宋体" w:hAnsi="宋体"/>
                <w:color w:val="auto"/>
                <w:szCs w:val="21"/>
                <w:highlight w:val="none"/>
              </w:rPr>
              <w:t>获得过省级或以上建筑工程类科技创新企业类证书：</w:t>
            </w:r>
          </w:p>
          <w:p w14:paraId="628F72FB">
            <w:pPr>
              <w:spacing w:line="320" w:lineRule="exact"/>
              <w:jc w:val="left"/>
              <w:rPr>
                <w:rFonts w:hint="eastAsia" w:ascii="宋体" w:hAnsi="宋体"/>
                <w:color w:val="auto"/>
                <w:szCs w:val="21"/>
                <w:highlight w:val="none"/>
              </w:rPr>
            </w:pPr>
            <w:r>
              <w:rPr>
                <w:rFonts w:hint="eastAsia" w:ascii="宋体" w:hAnsi="宋体"/>
                <w:color w:val="auto"/>
                <w:szCs w:val="21"/>
                <w:highlight w:val="none"/>
              </w:rPr>
              <w:t>（1）获得5次的，得7分；</w:t>
            </w:r>
          </w:p>
          <w:p w14:paraId="59835DB1">
            <w:pPr>
              <w:spacing w:line="320" w:lineRule="exact"/>
              <w:jc w:val="left"/>
              <w:rPr>
                <w:rFonts w:hint="eastAsia" w:ascii="宋体" w:hAnsi="宋体"/>
                <w:color w:val="auto"/>
                <w:szCs w:val="21"/>
                <w:highlight w:val="none"/>
              </w:rPr>
            </w:pPr>
            <w:r>
              <w:rPr>
                <w:rFonts w:hint="eastAsia" w:ascii="宋体" w:hAnsi="宋体"/>
                <w:color w:val="auto"/>
                <w:szCs w:val="21"/>
                <w:highlight w:val="none"/>
              </w:rPr>
              <w:t>（2）获得3-4次的，得4分；</w:t>
            </w:r>
          </w:p>
          <w:p w14:paraId="7A75BE4E">
            <w:pPr>
              <w:spacing w:line="320" w:lineRule="exact"/>
              <w:jc w:val="left"/>
              <w:rPr>
                <w:rFonts w:hint="eastAsia" w:ascii="宋体" w:hAnsi="宋体"/>
                <w:color w:val="auto"/>
                <w:szCs w:val="21"/>
                <w:highlight w:val="none"/>
              </w:rPr>
            </w:pPr>
            <w:r>
              <w:rPr>
                <w:rFonts w:hint="eastAsia" w:ascii="宋体" w:hAnsi="宋体"/>
                <w:color w:val="auto"/>
                <w:szCs w:val="21"/>
                <w:highlight w:val="none"/>
              </w:rPr>
              <w:t>（3）获得1-2次的，得1分；其他不得分。</w:t>
            </w:r>
          </w:p>
          <w:p w14:paraId="0BA9EBB4">
            <w:pPr>
              <w:spacing w:line="320" w:lineRule="exact"/>
              <w:jc w:val="left"/>
              <w:rPr>
                <w:rFonts w:hint="eastAsia" w:ascii="宋体" w:hAnsi="宋体"/>
                <w:color w:val="auto"/>
                <w:szCs w:val="21"/>
                <w:highlight w:val="none"/>
              </w:rPr>
            </w:pPr>
            <w:r>
              <w:rPr>
                <w:rFonts w:hint="eastAsia" w:ascii="宋体" w:hAnsi="宋体"/>
                <w:color w:val="auto"/>
                <w:szCs w:val="21"/>
                <w:highlight w:val="none"/>
              </w:rPr>
              <w:t>本项最高得 7 分。</w:t>
            </w:r>
          </w:p>
        </w:tc>
      </w:tr>
      <w:tr w14:paraId="67A10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93" w:type="dxa"/>
            <w:gridSpan w:val="2"/>
            <w:vMerge w:val="continue"/>
            <w:tcBorders>
              <w:right w:val="single" w:color="auto" w:sz="4" w:space="0"/>
            </w:tcBorders>
            <w:vAlign w:val="center"/>
          </w:tcPr>
          <w:p w14:paraId="180C9E01">
            <w:pPr>
              <w:spacing w:line="440" w:lineRule="exact"/>
              <w:jc w:val="center"/>
              <w:rPr>
                <w:rFonts w:hint="eastAsia" w:ascii="宋体" w:hAnsi="宋体" w:cs="宋体"/>
                <w:color w:val="auto"/>
                <w:highlight w:val="none"/>
              </w:rPr>
            </w:pPr>
          </w:p>
        </w:tc>
        <w:tc>
          <w:tcPr>
            <w:tcW w:w="1014" w:type="dxa"/>
            <w:vMerge w:val="continue"/>
            <w:tcBorders>
              <w:right w:val="single" w:color="auto" w:sz="4" w:space="0"/>
            </w:tcBorders>
          </w:tcPr>
          <w:p w14:paraId="43B8C6AD">
            <w:pPr>
              <w:spacing w:line="440" w:lineRule="exact"/>
              <w:jc w:val="center"/>
              <w:rPr>
                <w:rFonts w:hint="eastAsia" w:ascii="宋体" w:hAnsi="宋体" w:cs="宋体"/>
                <w:color w:val="auto"/>
                <w:highlight w:val="none"/>
              </w:rPr>
            </w:pPr>
          </w:p>
        </w:tc>
        <w:tc>
          <w:tcPr>
            <w:tcW w:w="986" w:type="dxa"/>
            <w:tcBorders>
              <w:top w:val="single" w:color="auto" w:sz="4" w:space="0"/>
              <w:left w:val="single" w:color="auto" w:sz="4" w:space="0"/>
              <w:right w:val="single" w:color="auto" w:sz="4" w:space="0"/>
            </w:tcBorders>
            <w:vAlign w:val="center"/>
          </w:tcPr>
          <w:p w14:paraId="22BB5204">
            <w:pPr>
              <w:jc w:val="left"/>
              <w:rPr>
                <w:rFonts w:hint="eastAsia" w:ascii="宋体" w:hAnsi="宋体" w:cs="宋体"/>
                <w:color w:val="auto"/>
                <w:szCs w:val="21"/>
                <w:highlight w:val="none"/>
                <w:lang w:val="zh-TW" w:eastAsia="zh-TW" w:bidi="zh-TW"/>
              </w:rPr>
            </w:pPr>
            <w:r>
              <w:rPr>
                <w:rFonts w:hint="eastAsia" w:ascii="宋体" w:hAnsi="宋体" w:cs="宋体"/>
                <w:color w:val="auto"/>
                <w:szCs w:val="21"/>
                <w:highlight w:val="none"/>
                <w:lang w:val="zh-TW" w:bidi="zh-TW"/>
              </w:rPr>
              <w:t>工程实施方案（</w:t>
            </w:r>
            <w:r>
              <w:rPr>
                <w:rFonts w:hint="eastAsia" w:ascii="宋体" w:hAnsi="宋体" w:cs="宋体"/>
                <w:color w:val="auto"/>
                <w:szCs w:val="21"/>
                <w:highlight w:val="none"/>
                <w:lang w:val="en-US" w:eastAsia="zh-CN" w:bidi="zh-TW"/>
              </w:rPr>
              <w:t>64</w:t>
            </w:r>
            <w:r>
              <w:rPr>
                <w:rFonts w:hint="eastAsia" w:ascii="宋体" w:hAnsi="宋体" w:cs="宋体"/>
                <w:color w:val="auto"/>
                <w:szCs w:val="21"/>
                <w:highlight w:val="none"/>
                <w:lang w:bidi="zh-TW"/>
              </w:rPr>
              <w:t>分）</w:t>
            </w: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48C55014">
            <w:pPr>
              <w:pStyle w:val="36"/>
              <w:ind w:left="0" w:leftChars="0" w:firstLine="0" w:firstLineChars="0"/>
              <w:rPr>
                <w:color w:val="auto"/>
                <w:highlight w:val="none"/>
              </w:rPr>
            </w:pPr>
            <w:r>
              <w:rPr>
                <w:rFonts w:hint="eastAsia" w:ascii="宋体" w:hAnsi="宋体" w:cs="宋体"/>
                <w:color w:val="auto"/>
                <w:szCs w:val="21"/>
                <w:highlight w:val="none"/>
                <w:lang w:val="zh-TW" w:bidi="zh-TW"/>
              </w:rPr>
              <w:t>设计和施工的融合措施</w:t>
            </w:r>
            <w:r>
              <w:rPr>
                <w:rFonts w:hint="eastAsia" w:ascii="宋体" w:hAnsi="宋体" w:cs="宋体"/>
                <w:color w:val="auto"/>
                <w:highlight w:val="none"/>
              </w:rPr>
              <w:t>（</w:t>
            </w:r>
            <w:r>
              <w:rPr>
                <w:rFonts w:hint="eastAsia" w:ascii="宋体" w:hAnsi="宋体" w:cs="宋体"/>
                <w:color w:val="auto"/>
                <w:highlight w:val="none"/>
                <w:lang w:val="en-US" w:eastAsia="zh-CN"/>
              </w:rPr>
              <w:t>28</w:t>
            </w:r>
            <w:r>
              <w:rPr>
                <w:rFonts w:hint="eastAsia" w:ascii="宋体" w:hAnsi="宋体" w:cs="宋体"/>
                <w:color w:val="auto"/>
                <w:highlight w:val="none"/>
              </w:rPr>
              <w:t>分）</w:t>
            </w:r>
          </w:p>
        </w:tc>
        <w:tc>
          <w:tcPr>
            <w:tcW w:w="5157" w:type="dxa"/>
            <w:tcBorders>
              <w:top w:val="single" w:color="auto" w:sz="4" w:space="0"/>
              <w:left w:val="single" w:color="auto" w:sz="4" w:space="0"/>
              <w:bottom w:val="single" w:color="auto" w:sz="4" w:space="0"/>
              <w:right w:val="single" w:color="auto" w:sz="4" w:space="0"/>
            </w:tcBorders>
            <w:vAlign w:val="center"/>
          </w:tcPr>
          <w:p w14:paraId="2B7E6C27">
            <w:pPr>
              <w:rPr>
                <w:rFonts w:hint="eastAsia" w:ascii="宋体" w:hAnsi="宋体"/>
                <w:color w:val="auto"/>
                <w:szCs w:val="21"/>
                <w:highlight w:val="none"/>
              </w:rPr>
            </w:pPr>
            <w:r>
              <w:rPr>
                <w:rFonts w:hint="eastAsia" w:ascii="宋体" w:hAnsi="宋体"/>
                <w:color w:val="auto"/>
                <w:szCs w:val="21"/>
                <w:highlight w:val="none"/>
              </w:rPr>
              <w:t>1、根据本工程特点提出设计和施工融合目标，有设计和施工融合管理体系，有设计施工融合措施，合理可行。</w:t>
            </w:r>
          </w:p>
          <w:p w14:paraId="245EC181">
            <w:pPr>
              <w:rPr>
                <w:rFonts w:hint="eastAsia" w:ascii="宋体" w:hAnsi="宋体"/>
                <w:color w:val="auto"/>
                <w:szCs w:val="21"/>
                <w:highlight w:val="none"/>
              </w:rPr>
            </w:pPr>
            <w:r>
              <w:rPr>
                <w:rFonts w:hint="eastAsia" w:ascii="宋体" w:hAnsi="宋体"/>
                <w:color w:val="auto"/>
                <w:szCs w:val="21"/>
                <w:highlight w:val="none"/>
                <w:lang w:val="zh-TW" w:eastAsia="zh-TW"/>
              </w:rPr>
              <w:t>优得</w:t>
            </w:r>
            <w:r>
              <w:rPr>
                <w:rFonts w:hint="eastAsia" w:ascii="宋体" w:hAnsi="宋体"/>
                <w:color w:val="auto"/>
                <w:szCs w:val="21"/>
                <w:highlight w:val="none"/>
              </w:rPr>
              <w:t>6</w:t>
            </w:r>
            <w:r>
              <w:rPr>
                <w:rFonts w:hint="eastAsia" w:ascii="宋体" w:hAnsi="宋体"/>
                <w:color w:val="auto"/>
                <w:szCs w:val="21"/>
                <w:highlight w:val="none"/>
                <w:lang w:val="zh-TW" w:eastAsia="zh-TW"/>
              </w:rPr>
              <w:t>分；良得</w:t>
            </w:r>
            <w:r>
              <w:rPr>
                <w:rFonts w:hint="eastAsia" w:ascii="宋体" w:hAnsi="宋体"/>
                <w:color w:val="auto"/>
                <w:szCs w:val="21"/>
                <w:highlight w:val="none"/>
              </w:rPr>
              <w:t>3</w:t>
            </w:r>
            <w:r>
              <w:rPr>
                <w:rFonts w:hint="eastAsia" w:ascii="宋体" w:hAnsi="宋体"/>
                <w:color w:val="auto"/>
                <w:szCs w:val="21"/>
                <w:highlight w:val="none"/>
                <w:lang w:val="zh-TW" w:eastAsia="zh-TW"/>
              </w:rPr>
              <w:t>分，一般得</w:t>
            </w:r>
            <w:r>
              <w:rPr>
                <w:rFonts w:hint="eastAsia" w:ascii="宋体" w:hAnsi="宋体"/>
                <w:color w:val="auto"/>
                <w:szCs w:val="21"/>
                <w:highlight w:val="none"/>
              </w:rPr>
              <w:t>1</w:t>
            </w:r>
            <w:r>
              <w:rPr>
                <w:rFonts w:hint="eastAsia" w:ascii="宋体" w:hAnsi="宋体"/>
                <w:color w:val="auto"/>
                <w:szCs w:val="21"/>
                <w:highlight w:val="none"/>
                <w:lang w:val="zh-TW" w:eastAsia="zh-TW"/>
              </w:rPr>
              <w:t>分，不提供不得分</w:t>
            </w:r>
            <w:r>
              <w:rPr>
                <w:rFonts w:hint="eastAsia" w:ascii="宋体" w:hAnsi="宋体"/>
                <w:color w:val="auto"/>
                <w:szCs w:val="21"/>
                <w:highlight w:val="none"/>
                <w:lang w:val="zh-TW" w:eastAsia="zh-CN"/>
              </w:rPr>
              <w:t>；</w:t>
            </w:r>
          </w:p>
          <w:p w14:paraId="7F4288A6">
            <w:pPr>
              <w:rPr>
                <w:rFonts w:hint="eastAsia" w:ascii="宋体" w:hAnsi="宋体" w:cs="宋体"/>
                <w:b/>
                <w:bCs/>
                <w:color w:val="auto"/>
                <w:szCs w:val="21"/>
                <w:highlight w:val="none"/>
              </w:rPr>
            </w:pPr>
            <w:r>
              <w:rPr>
                <w:rFonts w:hint="eastAsia" w:ascii="宋体" w:hAnsi="宋体"/>
                <w:color w:val="auto"/>
                <w:szCs w:val="21"/>
                <w:highlight w:val="none"/>
                <w:lang w:val="en-US" w:eastAsia="zh-CN"/>
              </w:rPr>
              <w:t>2、</w:t>
            </w:r>
            <w:r>
              <w:rPr>
                <w:rFonts w:hint="eastAsia" w:ascii="宋体" w:hAnsi="宋体" w:cs="宋体"/>
                <w:b/>
                <w:bCs/>
                <w:color w:val="auto"/>
                <w:szCs w:val="21"/>
                <w:highlight w:val="none"/>
              </w:rPr>
              <w:t>施工团队（16分）</w:t>
            </w:r>
          </w:p>
          <w:p w14:paraId="78E0038A">
            <w:pPr>
              <w:rPr>
                <w:rFonts w:hint="eastAsia" w:ascii="宋体" w:hAnsi="宋体" w:cs="宋体"/>
                <w:b/>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w:t>
            </w:r>
            <w:r>
              <w:rPr>
                <w:rFonts w:hint="eastAsia" w:ascii="宋体" w:hAnsi="宋体" w:cs="宋体"/>
                <w:b/>
                <w:color w:val="auto"/>
                <w:szCs w:val="21"/>
                <w:highlight w:val="none"/>
              </w:rPr>
              <w:t>技术负责人(4分)</w:t>
            </w:r>
          </w:p>
          <w:p w14:paraId="543A223E">
            <w:pPr>
              <w:rPr>
                <w:rFonts w:hint="eastAsia" w:ascii="宋体" w:hAnsi="宋体" w:cs="宋体"/>
                <w:color w:val="auto"/>
                <w:szCs w:val="21"/>
                <w:highlight w:val="none"/>
              </w:rPr>
            </w:pPr>
            <w:r>
              <w:rPr>
                <w:rFonts w:hint="eastAsia" w:ascii="宋体" w:hAnsi="宋体" w:cs="宋体"/>
                <w:color w:val="auto"/>
                <w:szCs w:val="21"/>
                <w:highlight w:val="none"/>
              </w:rPr>
              <w:t>①具有建筑工程相关专业高级工程师或以上职称资格的，得2分。</w:t>
            </w:r>
          </w:p>
          <w:p w14:paraId="1EE1A908">
            <w:pPr>
              <w:rPr>
                <w:color w:val="auto"/>
                <w:highlight w:val="none"/>
              </w:rPr>
            </w:pPr>
            <w:r>
              <w:rPr>
                <w:rFonts w:hint="eastAsia" w:ascii="宋体" w:hAnsi="宋体" w:cs="宋体"/>
                <w:color w:val="auto"/>
                <w:szCs w:val="21"/>
                <w:highlight w:val="none"/>
              </w:rPr>
              <w:t>②</w:t>
            </w:r>
            <w:r>
              <w:rPr>
                <w:rFonts w:hint="eastAsia"/>
                <w:color w:val="auto"/>
                <w:highlight w:val="none"/>
              </w:rPr>
              <w:t>具有20年或以上（含20年）施工管理工作经验，得2分；具有10年（含10年）至20年（不含20年）施工管理工作经验，得1分；具有10年（不含10年）以下施工管理工作经验，得0.5分。</w:t>
            </w:r>
          </w:p>
          <w:p w14:paraId="04C826CA">
            <w:pP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造价负责人（4分）</w:t>
            </w:r>
          </w:p>
          <w:p w14:paraId="709D727A">
            <w:pPr>
              <w:rPr>
                <w:rFonts w:hint="eastAsia" w:ascii="宋体" w:hAnsi="宋体" w:cs="宋体"/>
                <w:color w:val="auto"/>
                <w:szCs w:val="21"/>
                <w:highlight w:val="none"/>
              </w:rPr>
            </w:pPr>
            <w:r>
              <w:rPr>
                <w:rFonts w:hint="eastAsia" w:ascii="宋体" w:hAnsi="宋体" w:cs="宋体"/>
                <w:color w:val="auto"/>
                <w:szCs w:val="21"/>
                <w:highlight w:val="none"/>
              </w:rPr>
              <w:t>①具有注册一级造价工程师（或注册造价工程师）资格的，得1分，具有注册二级造价工程师资格的，得0.5分；</w:t>
            </w:r>
          </w:p>
          <w:p w14:paraId="3BA03D03">
            <w:pPr>
              <w:rPr>
                <w:rFonts w:hint="eastAsia" w:ascii="宋体" w:hAnsi="宋体" w:cs="宋体"/>
                <w:color w:val="auto"/>
                <w:szCs w:val="21"/>
                <w:highlight w:val="none"/>
              </w:rPr>
            </w:pPr>
            <w:r>
              <w:rPr>
                <w:rFonts w:hint="eastAsia" w:ascii="宋体" w:hAnsi="宋体" w:cs="宋体"/>
                <w:color w:val="auto"/>
                <w:szCs w:val="21"/>
                <w:highlight w:val="none"/>
              </w:rPr>
              <w:t>②具有建筑工程造价专业或工程造价专业（含预结算）高级工程师（或以上）以上职称资格的，</w:t>
            </w:r>
            <w:r>
              <w:rPr>
                <w:rFonts w:hint="eastAsia" w:ascii="宋体" w:hAnsi="宋体" w:cs="宋体"/>
                <w:color w:val="auto"/>
                <w:szCs w:val="21"/>
                <w:highlight w:val="none"/>
              </w:rPr>
              <w:t>得1分，</w:t>
            </w:r>
            <w:r>
              <w:rPr>
                <w:rFonts w:hint="eastAsia" w:ascii="宋体" w:hAnsi="宋体" w:cs="宋体"/>
                <w:color w:val="auto"/>
                <w:szCs w:val="21"/>
                <w:highlight w:val="none"/>
              </w:rPr>
              <w:t>具有建筑工程造价专业或工程类造价专业（含预结算）中级工程师职称资格的，</w:t>
            </w:r>
            <w:r>
              <w:rPr>
                <w:rFonts w:hint="eastAsia" w:ascii="宋体" w:hAnsi="宋体" w:cs="宋体"/>
                <w:color w:val="auto"/>
                <w:szCs w:val="21"/>
                <w:highlight w:val="none"/>
              </w:rPr>
              <w:t>得0.5分</w:t>
            </w:r>
            <w:r>
              <w:rPr>
                <w:rFonts w:hint="eastAsia" w:ascii="宋体" w:hAnsi="宋体" w:cs="宋体"/>
                <w:color w:val="auto"/>
                <w:szCs w:val="21"/>
                <w:highlight w:val="none"/>
              </w:rPr>
              <w:t>。</w:t>
            </w:r>
          </w:p>
          <w:p w14:paraId="740C12B4">
            <w:pPr>
              <w:rPr>
                <w:color w:val="auto"/>
                <w:highlight w:val="none"/>
              </w:rPr>
            </w:pPr>
            <w:r>
              <w:rPr>
                <w:rFonts w:hint="eastAsia" w:ascii="宋体" w:hAnsi="宋体" w:cs="宋体"/>
                <w:color w:val="auto"/>
                <w:szCs w:val="21"/>
                <w:highlight w:val="none"/>
              </w:rPr>
              <w:t>③</w:t>
            </w:r>
            <w:r>
              <w:rPr>
                <w:rFonts w:hint="eastAsia"/>
                <w:color w:val="auto"/>
                <w:highlight w:val="none"/>
              </w:rPr>
              <w:t>具有20年或以上（含20年）施工管理工作经验，得2分；具有10年（含10年）至20年（不含20年）施工管理工作经验，得1分；具有10年（不含10年）以下施工管理工作经验，得0.5分。</w:t>
            </w:r>
          </w:p>
          <w:p w14:paraId="7943F235">
            <w:pP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安全负责人（4分）</w:t>
            </w:r>
          </w:p>
          <w:p w14:paraId="746ADE39">
            <w:pPr>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①具有建筑工程相关专业高级工程师或以上职称资格的，得2分，具有建筑工程相关专业中级工程师职称资格的，得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分。</w:t>
            </w:r>
          </w:p>
          <w:p w14:paraId="7E9C4A58">
            <w:pPr>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②具有20年或以上（含20年）施工管理工作经验，得2分；具有10年（含10年）至20年（不含20年）施工管理工作经验，得1分；具有10年（不含10年）以下施工管理工作经验，得0.5分。</w:t>
            </w:r>
          </w:p>
          <w:p w14:paraId="111E86FC">
            <w:pP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质量负责人（4分）</w:t>
            </w:r>
          </w:p>
          <w:p w14:paraId="7A7B22EE">
            <w:pPr>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①具有建筑工程相关专业高级工程师或以上职称资格的，得2分，具有建筑工程相关专业中级工程师职称资格的，得1分。</w:t>
            </w:r>
          </w:p>
          <w:p w14:paraId="60A8C068">
            <w:pPr>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②具有20年或以上（含20年）施工管理工作经验，得2分；具有10年（含10年）至20年（不含20年）施工管理工作经验，得1分；具有10年（不含10年）以下施工管理工作经验，得0.5分。</w:t>
            </w:r>
          </w:p>
          <w:p w14:paraId="49B4A84C">
            <w:pPr>
              <w:rPr>
                <w:rFonts w:hint="eastAsia" w:ascii="宋体" w:hAnsi="宋体" w:cs="宋体"/>
                <w:color w:val="auto"/>
                <w:kern w:val="0"/>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设计团队：（6分）</w:t>
            </w:r>
          </w:p>
          <w:p w14:paraId="48FEAC88">
            <w:pPr>
              <w:tabs>
                <w:tab w:val="left" w:pos="312"/>
              </w:tabs>
              <w:rPr>
                <w:rFonts w:hint="eastAsia" w:ascii="宋体" w:hAnsi="宋体" w:cs="宋体"/>
                <w:b/>
                <w:bCs/>
                <w:color w:val="auto"/>
                <w:kern w:val="1"/>
                <w:szCs w:val="21"/>
                <w:highlight w:val="none"/>
              </w:rPr>
            </w:pPr>
            <w:bookmarkStart w:id="442" w:name="_Hlk185496355"/>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w:t>
            </w:r>
            <w:r>
              <w:rPr>
                <w:rFonts w:hint="eastAsia" w:ascii="宋体" w:hAnsi="宋体" w:cs="宋体"/>
                <w:b/>
                <w:bCs/>
                <w:color w:val="auto"/>
                <w:kern w:val="1"/>
                <w:szCs w:val="21"/>
                <w:highlight w:val="none"/>
              </w:rPr>
              <w:t>设计负责人（1分）</w:t>
            </w:r>
          </w:p>
          <w:p w14:paraId="594FB69C">
            <w:pPr>
              <w:rPr>
                <w:rFonts w:hint="eastAsia" w:ascii="宋体" w:hAnsi="宋体" w:cs="宋体"/>
                <w:color w:val="auto"/>
                <w:kern w:val="1"/>
                <w:szCs w:val="21"/>
                <w:highlight w:val="none"/>
              </w:rPr>
            </w:pPr>
            <w:r>
              <w:rPr>
                <w:rFonts w:hint="eastAsia" w:ascii="宋体" w:hAnsi="宋体" w:cs="宋体"/>
                <w:color w:val="auto"/>
                <w:kern w:val="1"/>
                <w:szCs w:val="21"/>
                <w:highlight w:val="none"/>
                <w:lang w:val="en-US" w:eastAsia="zh-CN"/>
              </w:rPr>
              <w:t>①</w:t>
            </w:r>
            <w:r>
              <w:rPr>
                <w:rFonts w:hint="eastAsia" w:ascii="宋体" w:hAnsi="宋体" w:cs="宋体"/>
                <w:color w:val="auto"/>
                <w:kern w:val="1"/>
                <w:szCs w:val="21"/>
                <w:highlight w:val="none"/>
              </w:rPr>
              <w:t>具有建筑工程相关专业中级工程师或以上职称的，得</w:t>
            </w:r>
            <w:r>
              <w:rPr>
                <w:rFonts w:hint="eastAsia" w:ascii="宋体" w:hAnsi="宋体" w:cs="宋体"/>
                <w:color w:val="auto"/>
                <w:kern w:val="1"/>
                <w:szCs w:val="21"/>
                <w:highlight w:val="none"/>
                <w:lang w:val="en-US" w:eastAsia="zh-CN"/>
              </w:rPr>
              <w:t>1</w:t>
            </w:r>
            <w:r>
              <w:rPr>
                <w:rFonts w:hint="eastAsia" w:ascii="宋体" w:hAnsi="宋体" w:cs="宋体"/>
                <w:color w:val="auto"/>
                <w:kern w:val="1"/>
                <w:szCs w:val="21"/>
                <w:highlight w:val="none"/>
              </w:rPr>
              <w:t>分；</w:t>
            </w:r>
          </w:p>
          <w:p w14:paraId="409FF020">
            <w:pPr>
              <w:rPr>
                <w:rFonts w:hint="eastAsia" w:ascii="宋体" w:hAnsi="宋体" w:cs="宋体"/>
                <w:color w:val="auto"/>
                <w:kern w:val="1"/>
                <w:szCs w:val="21"/>
                <w:highlight w:val="none"/>
              </w:rPr>
            </w:pPr>
            <w:r>
              <w:rPr>
                <w:rFonts w:hint="eastAsia" w:ascii="宋体" w:hAnsi="宋体" w:cs="宋体"/>
                <w:color w:val="auto"/>
                <w:kern w:val="1"/>
                <w:szCs w:val="21"/>
                <w:highlight w:val="none"/>
              </w:rPr>
              <w:t>本小项最高得1分。</w:t>
            </w:r>
          </w:p>
          <w:p w14:paraId="17CC5852">
            <w:pPr>
              <w:tabs>
                <w:tab w:val="left" w:pos="312"/>
              </w:tabs>
              <w:rPr>
                <w:rFonts w:hint="eastAsia" w:ascii="宋体" w:hAnsi="宋体" w:cs="宋体"/>
                <w:color w:val="auto"/>
                <w:kern w:val="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ascii="宋体" w:hAnsi="宋体" w:cs="宋体"/>
                <w:b/>
                <w:bCs/>
                <w:color w:val="auto"/>
                <w:kern w:val="1"/>
                <w:szCs w:val="21"/>
                <w:highlight w:val="none"/>
              </w:rPr>
              <w:t>建筑专业负责人</w:t>
            </w:r>
            <w:r>
              <w:rPr>
                <w:rFonts w:hint="eastAsia" w:ascii="宋体" w:hAnsi="宋体" w:cs="宋体"/>
                <w:b/>
                <w:bCs/>
                <w:color w:val="auto"/>
                <w:kern w:val="1"/>
                <w:szCs w:val="21"/>
                <w:highlight w:val="none"/>
              </w:rPr>
              <w:t>（1分）</w:t>
            </w:r>
          </w:p>
          <w:p w14:paraId="4B221C7B">
            <w:pPr>
              <w:rPr>
                <w:rFonts w:hint="eastAsia" w:ascii="宋体" w:hAnsi="宋体" w:cs="宋体"/>
                <w:color w:val="auto"/>
                <w:szCs w:val="21"/>
                <w:highlight w:val="none"/>
              </w:rPr>
            </w:pPr>
            <w:r>
              <w:rPr>
                <w:rFonts w:hint="eastAsia" w:ascii="宋体" w:hAnsi="宋体" w:cs="宋体"/>
                <w:color w:val="auto"/>
                <w:szCs w:val="21"/>
                <w:highlight w:val="none"/>
              </w:rPr>
              <w:t>具有一级注册建筑师执业资格的，得0.5分；具有二级注册建筑师执业资格</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，得0.3分；</w:t>
            </w:r>
          </w:p>
          <w:p w14:paraId="151481BD">
            <w:pPr>
              <w:rPr>
                <w:rFonts w:hint="eastAsia" w:ascii="宋体" w:hAnsi="宋体" w:cs="宋体"/>
                <w:color w:val="auto"/>
                <w:szCs w:val="21"/>
                <w:highlight w:val="none"/>
              </w:rPr>
            </w:pPr>
            <w:r>
              <w:rPr>
                <w:rFonts w:hint="eastAsia" w:ascii="宋体" w:hAnsi="宋体" w:cs="宋体"/>
                <w:color w:val="auto"/>
                <w:szCs w:val="21"/>
                <w:highlight w:val="none"/>
              </w:rPr>
              <w:t>具有建筑工程相关专业中级工程师或以上职称的，得0.5分.</w:t>
            </w:r>
          </w:p>
          <w:p w14:paraId="2775CF48">
            <w:pPr>
              <w:rPr>
                <w:rFonts w:hint="eastAsia" w:ascii="宋体" w:hAnsi="宋体" w:cs="宋体"/>
                <w:color w:val="auto"/>
                <w:kern w:val="1"/>
                <w:szCs w:val="21"/>
                <w:highlight w:val="none"/>
              </w:rPr>
            </w:pPr>
            <w:r>
              <w:rPr>
                <w:rFonts w:hint="eastAsia" w:ascii="宋体" w:hAnsi="宋体" w:cs="宋体"/>
                <w:color w:val="auto"/>
                <w:szCs w:val="21"/>
                <w:highlight w:val="none"/>
              </w:rPr>
              <w:t>本小项最高得1分。</w:t>
            </w:r>
          </w:p>
          <w:p w14:paraId="674AE158">
            <w:pPr>
              <w:rPr>
                <w:rFonts w:hint="eastAsia" w:ascii="宋体" w:hAnsi="宋体" w:cs="宋体"/>
                <w:b/>
                <w:bCs/>
                <w:color w:val="auto"/>
                <w:kern w:val="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cs="宋体"/>
                <w:b/>
                <w:bCs/>
                <w:color w:val="auto"/>
                <w:kern w:val="1"/>
                <w:szCs w:val="21"/>
                <w:highlight w:val="none"/>
              </w:rPr>
              <w:t>电气专业负责人（1分）</w:t>
            </w:r>
          </w:p>
          <w:p w14:paraId="29FF07ED">
            <w:pPr>
              <w:snapToGrid w:val="0"/>
              <w:rPr>
                <w:rFonts w:hint="eastAsia" w:ascii="宋体" w:hAnsi="宋体" w:cs="宋体"/>
                <w:color w:val="auto"/>
                <w:szCs w:val="21"/>
                <w:highlight w:val="none"/>
              </w:rPr>
            </w:pPr>
            <w:r>
              <w:rPr>
                <w:rFonts w:hint="eastAsia" w:ascii="宋体" w:hAnsi="宋体" w:cs="宋体"/>
                <w:color w:val="auto"/>
                <w:szCs w:val="21"/>
                <w:highlight w:val="none"/>
              </w:rPr>
              <w:t>具有注册公用设备工程师（电气）执业资格的，得0.5分；</w:t>
            </w:r>
          </w:p>
          <w:p w14:paraId="376B93AD">
            <w:pPr>
              <w:snapToGrid w:val="0"/>
              <w:rPr>
                <w:rFonts w:hint="eastAsia" w:ascii="宋体" w:hAnsi="宋体" w:cs="宋体"/>
                <w:color w:val="auto"/>
                <w:szCs w:val="21"/>
                <w:highlight w:val="none"/>
              </w:rPr>
            </w:pPr>
            <w:r>
              <w:rPr>
                <w:rFonts w:hint="eastAsia" w:ascii="宋体" w:hAnsi="宋体" w:cs="宋体"/>
                <w:color w:val="auto"/>
                <w:szCs w:val="21"/>
                <w:highlight w:val="none"/>
              </w:rPr>
              <w:t>具有建筑工程相关专业中级工程师或以上职称的，得0.</w:t>
            </w:r>
            <w:r>
              <w:rPr>
                <w:rFonts w:ascii="宋体" w:hAnsi="宋体" w:cs="宋体"/>
                <w:color w:val="auto"/>
                <w:szCs w:val="21"/>
                <w:highlight w:val="none"/>
              </w:rPr>
              <w:t>5</w:t>
            </w:r>
            <w:r>
              <w:rPr>
                <w:rFonts w:hint="eastAsia" w:ascii="宋体" w:hAnsi="宋体" w:cs="宋体"/>
                <w:color w:val="auto"/>
                <w:szCs w:val="21"/>
                <w:highlight w:val="none"/>
              </w:rPr>
              <w:t>分；</w:t>
            </w:r>
          </w:p>
          <w:p w14:paraId="2CFFBED2">
            <w:pPr>
              <w:snapToGrid w:val="0"/>
              <w:rPr>
                <w:rFonts w:hint="eastAsia" w:ascii="宋体" w:hAnsi="宋体" w:cs="宋体"/>
                <w:color w:val="auto"/>
                <w:szCs w:val="21"/>
                <w:highlight w:val="none"/>
              </w:rPr>
            </w:pPr>
            <w:r>
              <w:rPr>
                <w:rFonts w:hint="eastAsia" w:ascii="宋体" w:hAnsi="宋体" w:cs="宋体"/>
                <w:color w:val="auto"/>
                <w:szCs w:val="21"/>
                <w:highlight w:val="none"/>
              </w:rPr>
              <w:t>本小项最高得1分。</w:t>
            </w:r>
          </w:p>
          <w:p w14:paraId="5E5C998F">
            <w:pPr>
              <w:tabs>
                <w:tab w:val="left" w:pos="312"/>
              </w:tabs>
              <w:rPr>
                <w:rFonts w:hint="eastAsia" w:ascii="宋体" w:hAnsi="宋体" w:cs="宋体"/>
                <w:color w:val="auto"/>
                <w:kern w:val="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w:t>
            </w:r>
            <w:r>
              <w:rPr>
                <w:rFonts w:hint="eastAsia" w:ascii="宋体" w:hAnsi="宋体" w:cs="宋体"/>
                <w:b/>
                <w:bCs/>
                <w:color w:val="auto"/>
                <w:kern w:val="1"/>
                <w:szCs w:val="21"/>
                <w:highlight w:val="none"/>
              </w:rPr>
              <w:t>结构</w:t>
            </w:r>
            <w:r>
              <w:rPr>
                <w:rFonts w:ascii="宋体" w:hAnsi="宋体" w:cs="宋体"/>
                <w:b/>
                <w:bCs/>
                <w:color w:val="auto"/>
                <w:kern w:val="1"/>
                <w:szCs w:val="21"/>
                <w:highlight w:val="none"/>
              </w:rPr>
              <w:t>专业负责人</w:t>
            </w:r>
            <w:r>
              <w:rPr>
                <w:rFonts w:hint="eastAsia" w:ascii="宋体" w:hAnsi="宋体" w:cs="宋体"/>
                <w:b/>
                <w:bCs/>
                <w:color w:val="auto"/>
                <w:kern w:val="1"/>
                <w:szCs w:val="21"/>
                <w:highlight w:val="none"/>
              </w:rPr>
              <w:t>（1分）</w:t>
            </w:r>
          </w:p>
          <w:p w14:paraId="2D6D99CA">
            <w:pPr>
              <w:rPr>
                <w:rFonts w:ascii="宋体" w:hAnsi="宋体" w:cs="宋体"/>
                <w:color w:val="auto"/>
                <w:szCs w:val="21"/>
                <w:highlight w:val="none"/>
              </w:rPr>
            </w:pPr>
            <w:r>
              <w:rPr>
                <w:rFonts w:hint="eastAsia" w:ascii="宋体" w:hAnsi="宋体" w:cs="宋体"/>
                <w:color w:val="auto"/>
                <w:szCs w:val="21"/>
                <w:highlight w:val="none"/>
              </w:rPr>
              <w:t>具有一级注册结构工程师执业资格的，得0.5分，</w:t>
            </w:r>
          </w:p>
          <w:p w14:paraId="3CC8B343">
            <w:pPr>
              <w:rPr>
                <w:rFonts w:hint="eastAsia" w:ascii="宋体" w:hAnsi="宋体" w:cs="宋体"/>
                <w:color w:val="auto"/>
                <w:szCs w:val="21"/>
                <w:highlight w:val="none"/>
              </w:rPr>
            </w:pPr>
            <w:r>
              <w:rPr>
                <w:rFonts w:hint="eastAsia" w:ascii="宋体" w:hAnsi="宋体" w:cs="宋体"/>
                <w:color w:val="auto"/>
                <w:szCs w:val="21"/>
                <w:highlight w:val="none"/>
              </w:rPr>
              <w:t>具有建筑工程相关专业中级工程师或以上职称的，得0.5分；</w:t>
            </w:r>
          </w:p>
          <w:p w14:paraId="3A196C55">
            <w:pPr>
              <w:rPr>
                <w:rFonts w:hint="eastAsia" w:ascii="宋体" w:hAnsi="宋体" w:cs="宋体"/>
                <w:color w:val="auto"/>
                <w:kern w:val="1"/>
                <w:szCs w:val="21"/>
                <w:highlight w:val="none"/>
              </w:rPr>
            </w:pPr>
            <w:r>
              <w:rPr>
                <w:rFonts w:hint="eastAsia" w:ascii="宋体" w:hAnsi="宋体" w:cs="宋体"/>
                <w:color w:val="auto"/>
                <w:szCs w:val="21"/>
                <w:highlight w:val="none"/>
              </w:rPr>
              <w:t>本小项最高得1分。</w:t>
            </w:r>
          </w:p>
          <w:p w14:paraId="2ABE3AB3">
            <w:pPr>
              <w:rPr>
                <w:rFonts w:hint="eastAsia" w:ascii="宋体" w:hAnsi="宋体" w:cs="宋体"/>
                <w:b/>
                <w:bCs/>
                <w:color w:val="auto"/>
                <w:kern w:val="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w:t>
            </w:r>
            <w:r>
              <w:rPr>
                <w:rFonts w:hint="eastAsia" w:ascii="宋体" w:hAnsi="宋体" w:cs="宋体"/>
                <w:b/>
                <w:bCs/>
                <w:color w:val="auto"/>
                <w:kern w:val="1"/>
                <w:szCs w:val="21"/>
                <w:highlight w:val="none"/>
              </w:rPr>
              <w:t>暖通专业负责人（1分）</w:t>
            </w:r>
          </w:p>
          <w:p w14:paraId="72714262">
            <w:pPr>
              <w:snapToGrid w:val="0"/>
              <w:rPr>
                <w:rFonts w:hint="eastAsia" w:ascii="宋体" w:hAnsi="宋体" w:cs="宋体"/>
                <w:color w:val="auto"/>
                <w:szCs w:val="21"/>
                <w:highlight w:val="none"/>
              </w:rPr>
            </w:pPr>
            <w:r>
              <w:rPr>
                <w:rFonts w:hint="eastAsia" w:ascii="宋体" w:hAnsi="宋体" w:cs="宋体"/>
                <w:color w:val="auto"/>
                <w:szCs w:val="21"/>
                <w:highlight w:val="none"/>
              </w:rPr>
              <w:t>具有注册公用设备工程师（暖通）执业资格的，得0.5分；</w:t>
            </w:r>
          </w:p>
          <w:p w14:paraId="2996719C">
            <w:pPr>
              <w:snapToGrid w:val="0"/>
              <w:rPr>
                <w:rFonts w:hint="eastAsia" w:ascii="宋体" w:hAnsi="宋体" w:cs="宋体"/>
                <w:color w:val="auto"/>
                <w:szCs w:val="21"/>
                <w:highlight w:val="none"/>
              </w:rPr>
            </w:pPr>
            <w:r>
              <w:rPr>
                <w:rFonts w:hint="eastAsia" w:ascii="宋体" w:hAnsi="宋体" w:cs="宋体"/>
                <w:color w:val="auto"/>
                <w:szCs w:val="21"/>
                <w:highlight w:val="none"/>
              </w:rPr>
              <w:t>具有建筑工程相关专业中级工程师或以上职称的，得0.</w:t>
            </w:r>
            <w:r>
              <w:rPr>
                <w:rFonts w:ascii="宋体" w:hAnsi="宋体" w:cs="宋体"/>
                <w:color w:val="auto"/>
                <w:szCs w:val="21"/>
                <w:highlight w:val="none"/>
              </w:rPr>
              <w:t>5</w:t>
            </w:r>
            <w:r>
              <w:rPr>
                <w:rFonts w:hint="eastAsia" w:ascii="宋体" w:hAnsi="宋体" w:cs="宋体"/>
                <w:color w:val="auto"/>
                <w:szCs w:val="21"/>
                <w:highlight w:val="none"/>
              </w:rPr>
              <w:t>分；</w:t>
            </w:r>
          </w:p>
          <w:p w14:paraId="38FC5272">
            <w:pPr>
              <w:snapToGrid w:val="0"/>
              <w:rPr>
                <w:rFonts w:hint="eastAsia" w:ascii="宋体" w:hAnsi="宋体" w:cs="宋体"/>
                <w:color w:val="auto"/>
                <w:szCs w:val="21"/>
                <w:highlight w:val="none"/>
              </w:rPr>
            </w:pPr>
            <w:r>
              <w:rPr>
                <w:rFonts w:hint="eastAsia" w:ascii="宋体" w:hAnsi="宋体" w:cs="宋体"/>
                <w:color w:val="auto"/>
                <w:szCs w:val="21"/>
                <w:highlight w:val="none"/>
              </w:rPr>
              <w:t>本小项最高得1分。</w:t>
            </w:r>
          </w:p>
          <w:p w14:paraId="455ED1D8">
            <w:pPr>
              <w:tabs>
                <w:tab w:val="left" w:pos="312"/>
              </w:tabs>
              <w:rPr>
                <w:rFonts w:hint="eastAsia" w:ascii="宋体" w:hAnsi="宋体" w:cs="宋体"/>
                <w:color w:val="auto"/>
                <w:kern w:val="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eastAsia="zh-CN"/>
              </w:rPr>
              <w:t>）</w:t>
            </w:r>
            <w:r>
              <w:rPr>
                <w:rFonts w:hint="eastAsia" w:ascii="宋体" w:hAnsi="宋体" w:cs="宋体"/>
                <w:b/>
                <w:bCs/>
                <w:color w:val="auto"/>
                <w:kern w:val="1"/>
                <w:szCs w:val="21"/>
                <w:highlight w:val="none"/>
              </w:rPr>
              <w:t>给排水</w:t>
            </w:r>
            <w:r>
              <w:rPr>
                <w:rFonts w:ascii="宋体" w:hAnsi="宋体" w:cs="宋体"/>
                <w:b/>
                <w:bCs/>
                <w:color w:val="auto"/>
                <w:kern w:val="1"/>
                <w:szCs w:val="21"/>
                <w:highlight w:val="none"/>
              </w:rPr>
              <w:t>专业负责人</w:t>
            </w:r>
            <w:r>
              <w:rPr>
                <w:rFonts w:hint="eastAsia" w:ascii="宋体" w:hAnsi="宋体" w:cs="宋体"/>
                <w:b/>
                <w:bCs/>
                <w:color w:val="auto"/>
                <w:kern w:val="1"/>
                <w:szCs w:val="21"/>
                <w:highlight w:val="none"/>
              </w:rPr>
              <w:t>（1分）</w:t>
            </w:r>
          </w:p>
          <w:p w14:paraId="4F7B9C7D">
            <w:pPr>
              <w:rPr>
                <w:rFonts w:hint="eastAsia" w:ascii="宋体" w:hAnsi="宋体" w:cs="宋体"/>
                <w:color w:val="auto"/>
                <w:szCs w:val="21"/>
                <w:highlight w:val="none"/>
              </w:rPr>
            </w:pPr>
            <w:r>
              <w:rPr>
                <w:rFonts w:hint="eastAsia" w:ascii="宋体" w:hAnsi="宋体" w:cs="宋体"/>
                <w:color w:val="auto"/>
                <w:szCs w:val="21"/>
                <w:highlight w:val="none"/>
              </w:rPr>
              <w:t>具有注册公用设备工程师（给排水）执业资格的，得0.5分；</w:t>
            </w:r>
          </w:p>
          <w:p w14:paraId="543C18BC">
            <w:pPr>
              <w:rPr>
                <w:rFonts w:hint="eastAsia" w:ascii="宋体" w:hAnsi="宋体" w:cs="宋体"/>
                <w:color w:val="auto"/>
                <w:szCs w:val="21"/>
                <w:highlight w:val="none"/>
              </w:rPr>
            </w:pPr>
            <w:r>
              <w:rPr>
                <w:rFonts w:hint="eastAsia" w:ascii="宋体" w:hAnsi="宋体" w:cs="宋体"/>
                <w:color w:val="auto"/>
                <w:szCs w:val="21"/>
                <w:highlight w:val="none"/>
              </w:rPr>
              <w:t>具有建筑工程相关专业中级工程师或以上职称的，得0.5分；</w:t>
            </w:r>
          </w:p>
          <w:p w14:paraId="07822A26">
            <w:pPr>
              <w:pStyle w:val="20"/>
              <w:rPr>
                <w:rFonts w:hint="eastAsia" w:ascii="宋体" w:hAnsi="宋体"/>
                <w:color w:val="auto"/>
                <w:szCs w:val="21"/>
                <w:highlight w:val="none"/>
              </w:rPr>
            </w:pPr>
            <w:r>
              <w:rPr>
                <w:rFonts w:hint="eastAsia" w:ascii="宋体" w:hAnsi="宋体" w:cs="宋体"/>
                <w:color w:val="auto"/>
                <w:szCs w:val="21"/>
                <w:highlight w:val="none"/>
              </w:rPr>
              <w:t>本小项最高得1分。</w:t>
            </w:r>
            <w:bookmarkEnd w:id="442"/>
          </w:p>
        </w:tc>
      </w:tr>
      <w:tr w14:paraId="63021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tcBorders>
              <w:right w:val="single" w:color="auto" w:sz="4" w:space="0"/>
            </w:tcBorders>
            <w:vAlign w:val="center"/>
          </w:tcPr>
          <w:p w14:paraId="66E03241">
            <w:pPr>
              <w:spacing w:line="440" w:lineRule="exact"/>
              <w:jc w:val="center"/>
              <w:rPr>
                <w:rFonts w:hint="eastAsia" w:ascii="宋体" w:hAnsi="宋体" w:cs="宋体"/>
                <w:color w:val="auto"/>
                <w:highlight w:val="none"/>
              </w:rPr>
            </w:pPr>
          </w:p>
        </w:tc>
        <w:tc>
          <w:tcPr>
            <w:tcW w:w="1014" w:type="dxa"/>
            <w:tcBorders>
              <w:right w:val="single" w:color="auto" w:sz="4" w:space="0"/>
            </w:tcBorders>
          </w:tcPr>
          <w:p w14:paraId="2A08C528">
            <w:pPr>
              <w:spacing w:line="440" w:lineRule="exact"/>
              <w:jc w:val="center"/>
              <w:rPr>
                <w:rFonts w:hint="eastAsia" w:ascii="宋体" w:hAnsi="宋体" w:cs="宋体"/>
                <w:color w:val="auto"/>
                <w:highlight w:val="none"/>
              </w:rPr>
            </w:pPr>
          </w:p>
        </w:tc>
        <w:tc>
          <w:tcPr>
            <w:tcW w:w="986" w:type="dxa"/>
            <w:tcBorders>
              <w:left w:val="single" w:color="auto" w:sz="4" w:space="0"/>
              <w:right w:val="single" w:color="auto" w:sz="4" w:space="0"/>
            </w:tcBorders>
            <w:vAlign w:val="center"/>
          </w:tcPr>
          <w:p w14:paraId="31C9B898">
            <w:pPr>
              <w:spacing w:line="440" w:lineRule="exact"/>
              <w:jc w:val="center"/>
              <w:rPr>
                <w:rFonts w:hint="eastAsia" w:ascii="宋体" w:hAnsi="宋体" w:cs="宋体"/>
                <w:color w:val="auto"/>
                <w:highlight w:val="none"/>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12290179">
            <w:pPr>
              <w:autoSpaceDE w:val="0"/>
              <w:autoSpaceDN w:val="0"/>
              <w:adjustRightInd w:val="0"/>
              <w:ind w:right="-61" w:rightChars="-29"/>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项目概况、施工部署</w:t>
            </w:r>
          </w:p>
          <w:p w14:paraId="50CE07C0">
            <w:pPr>
              <w:autoSpaceDE w:val="0"/>
              <w:autoSpaceDN w:val="0"/>
              <w:adjustRightInd w:val="0"/>
              <w:ind w:right="-61" w:rightChars="-29"/>
              <w:jc w:val="center"/>
              <w:rPr>
                <w:rFonts w:hint="eastAsia" w:ascii="宋体" w:hAnsi="宋体" w:eastAsia="宋体"/>
                <w:color w:val="auto"/>
                <w:kern w:val="0"/>
                <w:szCs w:val="21"/>
                <w:highlight w:val="none"/>
                <w:lang w:eastAsia="zh-CN"/>
              </w:rPr>
            </w:pPr>
            <w:r>
              <w:rPr>
                <w:rFonts w:hint="eastAsia" w:ascii="宋体" w:hAnsi="宋体" w:cs="宋体"/>
                <w:color w:val="auto"/>
                <w:szCs w:val="21"/>
                <w:highlight w:val="none"/>
                <w:lang w:val="zh-TW" w:eastAsia="zh-CN"/>
              </w:rPr>
              <w:t>（</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val="zh-TW" w:eastAsia="zh-CN"/>
              </w:rPr>
              <w:t>）</w:t>
            </w:r>
          </w:p>
        </w:tc>
        <w:tc>
          <w:tcPr>
            <w:tcW w:w="5157" w:type="dxa"/>
            <w:tcBorders>
              <w:top w:val="single" w:color="auto" w:sz="4" w:space="0"/>
              <w:left w:val="single" w:color="auto" w:sz="4" w:space="0"/>
              <w:bottom w:val="single" w:color="auto" w:sz="4" w:space="0"/>
              <w:right w:val="single" w:color="auto" w:sz="4" w:space="0"/>
            </w:tcBorders>
            <w:vAlign w:val="center"/>
          </w:tcPr>
          <w:p w14:paraId="687B787C">
            <w:pPr>
              <w:widowControl/>
              <w:jc w:val="left"/>
              <w:rPr>
                <w:rFonts w:ascii="宋体" w:hAnsi="宋体" w:cs="宋体"/>
                <w:color w:val="auto"/>
                <w:szCs w:val="21"/>
                <w:highlight w:val="none"/>
                <w:lang w:val="zh-TW" w:eastAsia="zh-TW"/>
              </w:rPr>
            </w:pPr>
            <w:r>
              <w:rPr>
                <w:rFonts w:hint="eastAsia" w:ascii="宋体" w:hAnsi="宋体" w:cs="宋体"/>
                <w:color w:val="auto"/>
                <w:szCs w:val="21"/>
                <w:highlight w:val="none"/>
              </w:rPr>
              <w:t>根据本工程</w:t>
            </w:r>
            <w:r>
              <w:rPr>
                <w:rFonts w:hint="eastAsia" w:ascii="宋体" w:hAnsi="宋体" w:cs="宋体"/>
                <w:color w:val="auto"/>
                <w:szCs w:val="21"/>
                <w:highlight w:val="none"/>
                <w:lang w:val="zh-TW" w:eastAsia="zh-TW"/>
              </w:rPr>
              <w:t>特点提出切实可行施工部署。</w:t>
            </w:r>
          </w:p>
          <w:p w14:paraId="01707E64">
            <w:pPr>
              <w:widowControl/>
              <w:jc w:val="left"/>
              <w:rPr>
                <w:rFonts w:hint="default" w:ascii="宋体" w:hAnsi="宋体" w:eastAsia="宋体"/>
                <w:color w:val="auto"/>
                <w:kern w:val="0"/>
                <w:szCs w:val="21"/>
                <w:highlight w:val="none"/>
                <w:lang w:val="en-US" w:eastAsia="zh-CN"/>
              </w:rPr>
            </w:pPr>
            <w:r>
              <w:rPr>
                <w:rFonts w:hint="eastAsia" w:ascii="宋体" w:hAnsi="宋体" w:cs="宋体"/>
                <w:color w:val="auto"/>
                <w:szCs w:val="21"/>
                <w:highlight w:val="none"/>
                <w:lang w:val="zh-TW" w:eastAsia="zh-TW"/>
              </w:rPr>
              <w:t>优得</w:t>
            </w:r>
            <w:r>
              <w:rPr>
                <w:rFonts w:hint="eastAsia" w:ascii="宋体" w:hAnsi="宋体" w:cs="宋体"/>
                <w:color w:val="auto"/>
                <w:szCs w:val="21"/>
                <w:highlight w:val="none"/>
                <w:lang w:eastAsia="zh-TW"/>
              </w:rPr>
              <w:t>6</w:t>
            </w:r>
            <w:r>
              <w:rPr>
                <w:rFonts w:hint="eastAsia" w:ascii="宋体" w:hAnsi="宋体" w:cs="宋体"/>
                <w:color w:val="auto"/>
                <w:szCs w:val="21"/>
                <w:highlight w:val="none"/>
                <w:lang w:val="zh-TW" w:eastAsia="zh-TW"/>
              </w:rPr>
              <w:t>分；良得</w:t>
            </w:r>
            <w:r>
              <w:rPr>
                <w:rFonts w:hint="eastAsia" w:ascii="宋体" w:hAnsi="宋体" w:cs="宋体"/>
                <w:color w:val="auto"/>
                <w:szCs w:val="21"/>
                <w:highlight w:val="none"/>
                <w:lang w:eastAsia="zh-TW"/>
              </w:rPr>
              <w:t>3</w:t>
            </w:r>
            <w:r>
              <w:rPr>
                <w:rFonts w:hint="eastAsia" w:ascii="宋体" w:hAnsi="宋体" w:cs="宋体"/>
                <w:color w:val="auto"/>
                <w:szCs w:val="21"/>
                <w:highlight w:val="none"/>
                <w:lang w:val="zh-TW" w:eastAsia="zh-TW"/>
              </w:rPr>
              <w:t>分，一般得</w:t>
            </w:r>
            <w:r>
              <w:rPr>
                <w:rFonts w:hint="eastAsia" w:ascii="宋体" w:hAnsi="宋体" w:cs="宋体"/>
                <w:color w:val="auto"/>
                <w:szCs w:val="21"/>
                <w:highlight w:val="none"/>
                <w:lang w:eastAsia="zh-TW"/>
              </w:rPr>
              <w:t>1</w:t>
            </w:r>
            <w:r>
              <w:rPr>
                <w:rFonts w:hint="eastAsia" w:ascii="宋体" w:hAnsi="宋体" w:cs="宋体"/>
                <w:color w:val="auto"/>
                <w:szCs w:val="21"/>
                <w:highlight w:val="none"/>
                <w:lang w:val="zh-TW" w:eastAsia="zh-TW"/>
              </w:rPr>
              <w:t>分，不提供不得分。</w:t>
            </w:r>
          </w:p>
        </w:tc>
      </w:tr>
      <w:tr w14:paraId="5C783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tcBorders>
              <w:right w:val="single" w:color="auto" w:sz="4" w:space="0"/>
            </w:tcBorders>
            <w:vAlign w:val="center"/>
          </w:tcPr>
          <w:p w14:paraId="6DA29408">
            <w:pPr>
              <w:spacing w:line="440" w:lineRule="exact"/>
              <w:jc w:val="center"/>
              <w:rPr>
                <w:rFonts w:hint="eastAsia" w:ascii="宋体" w:hAnsi="宋体" w:cs="宋体"/>
                <w:color w:val="auto"/>
                <w:highlight w:val="none"/>
              </w:rPr>
            </w:pPr>
          </w:p>
        </w:tc>
        <w:tc>
          <w:tcPr>
            <w:tcW w:w="1014" w:type="dxa"/>
            <w:tcBorders>
              <w:right w:val="single" w:color="auto" w:sz="4" w:space="0"/>
            </w:tcBorders>
          </w:tcPr>
          <w:p w14:paraId="7CE42B07">
            <w:pPr>
              <w:spacing w:line="440" w:lineRule="exact"/>
              <w:jc w:val="center"/>
              <w:rPr>
                <w:rFonts w:hint="eastAsia" w:ascii="宋体" w:hAnsi="宋体" w:cs="宋体"/>
                <w:color w:val="auto"/>
                <w:highlight w:val="none"/>
              </w:rPr>
            </w:pPr>
          </w:p>
        </w:tc>
        <w:tc>
          <w:tcPr>
            <w:tcW w:w="986" w:type="dxa"/>
            <w:tcBorders>
              <w:left w:val="single" w:color="auto" w:sz="4" w:space="0"/>
              <w:right w:val="single" w:color="auto" w:sz="4" w:space="0"/>
            </w:tcBorders>
            <w:vAlign w:val="center"/>
          </w:tcPr>
          <w:p w14:paraId="70107E0F">
            <w:pPr>
              <w:spacing w:line="440" w:lineRule="exact"/>
              <w:jc w:val="center"/>
              <w:rPr>
                <w:rFonts w:hint="eastAsia" w:ascii="宋体" w:hAnsi="宋体" w:cs="宋体"/>
                <w:color w:val="auto"/>
                <w:highlight w:val="none"/>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2683A1F4">
            <w:pPr>
              <w:autoSpaceDE w:val="0"/>
              <w:autoSpaceDN w:val="0"/>
              <w:adjustRightInd w:val="0"/>
              <w:ind w:right="-61" w:rightChars="-29"/>
              <w:jc w:val="center"/>
              <w:rPr>
                <w:rFonts w:hint="eastAsia" w:ascii="宋体" w:hAnsi="宋体"/>
                <w:color w:val="auto"/>
                <w:kern w:val="0"/>
                <w:szCs w:val="21"/>
                <w:highlight w:val="none"/>
              </w:rPr>
            </w:pPr>
            <w:r>
              <w:rPr>
                <w:rFonts w:hint="eastAsia" w:ascii="宋体" w:hAnsi="宋体" w:cs="宋体"/>
                <w:color w:val="auto"/>
                <w:szCs w:val="21"/>
                <w:highlight w:val="none"/>
                <w:lang w:val="zh-TW" w:eastAsia="zh-TW"/>
              </w:rPr>
              <w:t>重难点分析</w:t>
            </w:r>
            <w:r>
              <w:rPr>
                <w:rFonts w:hint="eastAsia" w:ascii="宋体" w:hAnsi="宋体" w:cs="宋体"/>
                <w:color w:val="auto"/>
                <w:szCs w:val="21"/>
                <w:highlight w:val="none"/>
                <w:lang w:val="zh-TW" w:eastAsia="zh-CN"/>
              </w:rPr>
              <w:t>（</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val="zh-TW" w:eastAsia="zh-CN"/>
              </w:rPr>
              <w:t>）</w:t>
            </w:r>
          </w:p>
        </w:tc>
        <w:tc>
          <w:tcPr>
            <w:tcW w:w="5157" w:type="dxa"/>
            <w:tcBorders>
              <w:top w:val="single" w:color="auto" w:sz="4" w:space="0"/>
              <w:left w:val="single" w:color="auto" w:sz="4" w:space="0"/>
              <w:bottom w:val="single" w:color="auto" w:sz="4" w:space="0"/>
              <w:right w:val="single" w:color="auto" w:sz="4" w:space="0"/>
            </w:tcBorders>
            <w:vAlign w:val="center"/>
          </w:tcPr>
          <w:p w14:paraId="6361A55D">
            <w:pPr>
              <w:widowControl/>
              <w:ind w:right="210" w:rightChars="100"/>
              <w:jc w:val="left"/>
              <w:rPr>
                <w:rFonts w:ascii="宋体" w:hAnsi="宋体" w:cs="宋体"/>
                <w:color w:val="auto"/>
                <w:szCs w:val="21"/>
                <w:highlight w:val="none"/>
              </w:rPr>
            </w:pPr>
            <w:r>
              <w:rPr>
                <w:rFonts w:hint="eastAsia" w:ascii="宋体" w:hAnsi="宋体" w:cs="宋体"/>
                <w:color w:val="auto"/>
                <w:szCs w:val="21"/>
                <w:highlight w:val="none"/>
              </w:rPr>
              <w:t>根据本工程重点难点分析全面、准确，保证措施合理可行。</w:t>
            </w:r>
          </w:p>
          <w:p w14:paraId="785AA218">
            <w:pPr>
              <w:widowControl/>
              <w:ind w:right="210" w:rightChars="100"/>
              <w:jc w:val="left"/>
              <w:rPr>
                <w:rFonts w:hint="eastAsia" w:ascii="宋体" w:hAnsi="宋体"/>
                <w:color w:val="auto"/>
                <w:kern w:val="0"/>
                <w:szCs w:val="21"/>
                <w:highlight w:val="none"/>
              </w:rPr>
            </w:pPr>
            <w:r>
              <w:rPr>
                <w:rFonts w:hint="eastAsia" w:ascii="宋体" w:hAnsi="宋体" w:cs="宋体"/>
                <w:color w:val="auto"/>
                <w:szCs w:val="21"/>
                <w:highlight w:val="none"/>
                <w:lang w:val="zh-TW" w:eastAsia="zh-TW"/>
              </w:rPr>
              <w:t>优得</w:t>
            </w:r>
            <w:r>
              <w:rPr>
                <w:rFonts w:hint="eastAsia" w:ascii="宋体" w:hAnsi="宋体" w:cs="宋体"/>
                <w:color w:val="auto"/>
                <w:szCs w:val="21"/>
                <w:highlight w:val="none"/>
              </w:rPr>
              <w:t>6</w:t>
            </w:r>
            <w:r>
              <w:rPr>
                <w:rFonts w:hint="eastAsia" w:ascii="宋体" w:hAnsi="宋体" w:cs="宋体"/>
                <w:color w:val="auto"/>
                <w:szCs w:val="21"/>
                <w:highlight w:val="none"/>
                <w:lang w:val="zh-TW" w:eastAsia="zh-TW"/>
              </w:rPr>
              <w:t>分；良得</w:t>
            </w:r>
            <w:r>
              <w:rPr>
                <w:rFonts w:hint="eastAsia" w:ascii="宋体" w:hAnsi="宋体" w:cs="宋体"/>
                <w:color w:val="auto"/>
                <w:szCs w:val="21"/>
                <w:highlight w:val="none"/>
              </w:rPr>
              <w:t>3</w:t>
            </w:r>
            <w:r>
              <w:rPr>
                <w:rFonts w:hint="eastAsia" w:ascii="宋体" w:hAnsi="宋体" w:cs="宋体"/>
                <w:color w:val="auto"/>
                <w:szCs w:val="21"/>
                <w:highlight w:val="none"/>
                <w:lang w:val="zh-TW" w:eastAsia="zh-TW"/>
              </w:rPr>
              <w:t>分，一般得</w:t>
            </w:r>
            <w:r>
              <w:rPr>
                <w:rFonts w:hint="eastAsia" w:ascii="宋体" w:hAnsi="宋体" w:cs="宋体"/>
                <w:color w:val="auto"/>
                <w:szCs w:val="21"/>
                <w:highlight w:val="none"/>
              </w:rPr>
              <w:t>1</w:t>
            </w:r>
            <w:r>
              <w:rPr>
                <w:rFonts w:hint="eastAsia" w:ascii="宋体" w:hAnsi="宋体" w:cs="宋体"/>
                <w:color w:val="auto"/>
                <w:szCs w:val="21"/>
                <w:highlight w:val="none"/>
                <w:lang w:val="zh-TW" w:eastAsia="zh-TW"/>
              </w:rPr>
              <w:t>分，不提供不得分。</w:t>
            </w:r>
          </w:p>
        </w:tc>
      </w:tr>
      <w:tr w14:paraId="09AB1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tcBorders>
              <w:right w:val="single" w:color="auto" w:sz="4" w:space="0"/>
            </w:tcBorders>
            <w:vAlign w:val="center"/>
          </w:tcPr>
          <w:p w14:paraId="2FCAF397">
            <w:pPr>
              <w:spacing w:line="440" w:lineRule="exact"/>
              <w:jc w:val="center"/>
              <w:rPr>
                <w:rFonts w:hint="eastAsia" w:ascii="宋体" w:hAnsi="宋体" w:cs="宋体"/>
                <w:color w:val="auto"/>
                <w:highlight w:val="none"/>
              </w:rPr>
            </w:pPr>
          </w:p>
        </w:tc>
        <w:tc>
          <w:tcPr>
            <w:tcW w:w="1014" w:type="dxa"/>
            <w:tcBorders>
              <w:right w:val="single" w:color="auto" w:sz="4" w:space="0"/>
            </w:tcBorders>
          </w:tcPr>
          <w:p w14:paraId="7F798454">
            <w:pPr>
              <w:spacing w:line="440" w:lineRule="exact"/>
              <w:jc w:val="center"/>
              <w:rPr>
                <w:rFonts w:hint="eastAsia" w:ascii="宋体" w:hAnsi="宋体" w:cs="宋体"/>
                <w:color w:val="auto"/>
                <w:highlight w:val="none"/>
              </w:rPr>
            </w:pPr>
          </w:p>
        </w:tc>
        <w:tc>
          <w:tcPr>
            <w:tcW w:w="986" w:type="dxa"/>
            <w:tcBorders>
              <w:left w:val="single" w:color="auto" w:sz="4" w:space="0"/>
              <w:right w:val="single" w:color="auto" w:sz="4" w:space="0"/>
            </w:tcBorders>
            <w:vAlign w:val="center"/>
          </w:tcPr>
          <w:p w14:paraId="07254801">
            <w:pPr>
              <w:spacing w:line="440" w:lineRule="exact"/>
              <w:jc w:val="center"/>
              <w:rPr>
                <w:rFonts w:hint="eastAsia" w:ascii="宋体" w:hAnsi="宋体" w:cs="宋体"/>
                <w:color w:val="auto"/>
                <w:highlight w:val="none"/>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6CC9D11E">
            <w:pPr>
              <w:autoSpaceDE w:val="0"/>
              <w:autoSpaceDN w:val="0"/>
              <w:adjustRightInd w:val="0"/>
              <w:ind w:right="-61" w:rightChars="-29"/>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施工方案与技术措施</w:t>
            </w:r>
          </w:p>
          <w:p w14:paraId="684794D3">
            <w:pPr>
              <w:autoSpaceDE w:val="0"/>
              <w:autoSpaceDN w:val="0"/>
              <w:adjustRightInd w:val="0"/>
              <w:ind w:right="-61" w:rightChars="-29"/>
              <w:jc w:val="center"/>
              <w:rPr>
                <w:rFonts w:hint="eastAsia" w:ascii="宋体" w:hAnsi="宋体"/>
                <w:color w:val="auto"/>
                <w:kern w:val="0"/>
                <w:szCs w:val="21"/>
                <w:highlight w:val="none"/>
              </w:rPr>
            </w:pPr>
            <w:r>
              <w:rPr>
                <w:rFonts w:hint="eastAsia" w:ascii="宋体" w:hAnsi="宋体" w:cs="宋体"/>
                <w:color w:val="auto"/>
                <w:szCs w:val="21"/>
                <w:highlight w:val="none"/>
                <w:lang w:val="zh-TW" w:eastAsia="zh-CN"/>
              </w:rPr>
              <w:t>（</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val="zh-TW" w:eastAsia="zh-CN"/>
              </w:rPr>
              <w:t>）</w:t>
            </w:r>
          </w:p>
        </w:tc>
        <w:tc>
          <w:tcPr>
            <w:tcW w:w="5157" w:type="dxa"/>
            <w:tcBorders>
              <w:top w:val="single" w:color="auto" w:sz="4" w:space="0"/>
              <w:left w:val="single" w:color="auto" w:sz="4" w:space="0"/>
              <w:bottom w:val="single" w:color="auto" w:sz="4" w:space="0"/>
              <w:right w:val="single" w:color="auto" w:sz="4" w:space="0"/>
            </w:tcBorders>
            <w:vAlign w:val="center"/>
          </w:tcPr>
          <w:p w14:paraId="45545A1D">
            <w:pPr>
              <w:widowControl/>
              <w:ind w:right="210" w:rightChars="100"/>
              <w:jc w:val="left"/>
              <w:rPr>
                <w:rFonts w:ascii="宋体" w:hAnsi="宋体" w:cs="宋体"/>
                <w:color w:val="auto"/>
                <w:szCs w:val="21"/>
                <w:highlight w:val="none"/>
                <w:lang w:val="zh-TW" w:eastAsia="zh-TW"/>
              </w:rPr>
            </w:pPr>
            <w:r>
              <w:rPr>
                <w:rFonts w:hint="eastAsia" w:ascii="宋体" w:hAnsi="宋体" w:cs="宋体"/>
                <w:color w:val="auto"/>
                <w:szCs w:val="21"/>
                <w:highlight w:val="none"/>
              </w:rPr>
              <w:t>根据本工程</w:t>
            </w:r>
            <w:r>
              <w:rPr>
                <w:rFonts w:hint="eastAsia" w:ascii="宋体" w:hAnsi="宋体" w:cs="宋体"/>
                <w:color w:val="auto"/>
                <w:szCs w:val="21"/>
                <w:highlight w:val="none"/>
                <w:lang w:val="zh-TW" w:eastAsia="zh-TW"/>
              </w:rPr>
              <w:t>特点</w:t>
            </w:r>
            <w:r>
              <w:rPr>
                <w:rFonts w:hint="eastAsia" w:ascii="宋体" w:hAnsi="宋体" w:cs="宋体"/>
                <w:color w:val="auto"/>
                <w:szCs w:val="21"/>
                <w:highlight w:val="none"/>
                <w:lang w:val="zh-TW"/>
              </w:rPr>
              <w:t>，</w:t>
            </w:r>
            <w:r>
              <w:rPr>
                <w:rFonts w:hint="eastAsia" w:ascii="宋体" w:hAnsi="宋体" w:cs="宋体"/>
                <w:color w:val="auto"/>
                <w:szCs w:val="21"/>
                <w:highlight w:val="none"/>
                <w:lang w:val="zh-TW" w:eastAsia="zh-TW"/>
              </w:rPr>
              <w:t>施工组织方案和措施内容详细，切实可行。</w:t>
            </w:r>
          </w:p>
          <w:p w14:paraId="6E1F9E68">
            <w:pPr>
              <w:widowControl/>
              <w:ind w:right="210" w:rightChars="100"/>
              <w:jc w:val="left"/>
              <w:rPr>
                <w:rFonts w:hint="eastAsia" w:ascii="宋体" w:hAnsi="宋体"/>
                <w:color w:val="auto"/>
                <w:kern w:val="0"/>
                <w:szCs w:val="21"/>
                <w:highlight w:val="none"/>
              </w:rPr>
            </w:pPr>
            <w:r>
              <w:rPr>
                <w:rFonts w:hint="eastAsia" w:ascii="宋体" w:hAnsi="宋体" w:cs="宋体"/>
                <w:color w:val="auto"/>
                <w:szCs w:val="21"/>
                <w:highlight w:val="none"/>
                <w:lang w:val="zh-TW" w:eastAsia="zh-TW"/>
              </w:rPr>
              <w:t>优得</w:t>
            </w:r>
            <w:r>
              <w:rPr>
                <w:rFonts w:hint="eastAsia" w:ascii="宋体" w:hAnsi="宋体" w:cs="宋体"/>
                <w:color w:val="auto"/>
                <w:szCs w:val="21"/>
                <w:highlight w:val="none"/>
                <w:lang w:eastAsia="zh-TW"/>
              </w:rPr>
              <w:t>6</w:t>
            </w:r>
            <w:r>
              <w:rPr>
                <w:rFonts w:hint="eastAsia" w:ascii="宋体" w:hAnsi="宋体" w:cs="宋体"/>
                <w:color w:val="auto"/>
                <w:szCs w:val="21"/>
                <w:highlight w:val="none"/>
                <w:lang w:val="zh-TW" w:eastAsia="zh-TW"/>
              </w:rPr>
              <w:t>分；良得</w:t>
            </w:r>
            <w:r>
              <w:rPr>
                <w:rFonts w:hint="eastAsia" w:ascii="宋体" w:hAnsi="宋体" w:cs="宋体"/>
                <w:color w:val="auto"/>
                <w:szCs w:val="21"/>
                <w:highlight w:val="none"/>
                <w:lang w:eastAsia="zh-TW"/>
              </w:rPr>
              <w:t>3</w:t>
            </w:r>
            <w:r>
              <w:rPr>
                <w:rFonts w:hint="eastAsia" w:ascii="宋体" w:hAnsi="宋体" w:cs="宋体"/>
                <w:color w:val="auto"/>
                <w:szCs w:val="21"/>
                <w:highlight w:val="none"/>
                <w:lang w:val="zh-TW" w:eastAsia="zh-TW"/>
              </w:rPr>
              <w:t>分，一般得</w:t>
            </w:r>
            <w:r>
              <w:rPr>
                <w:rFonts w:hint="eastAsia" w:ascii="宋体" w:hAnsi="宋体" w:cs="宋体"/>
                <w:color w:val="auto"/>
                <w:szCs w:val="21"/>
                <w:highlight w:val="none"/>
                <w:lang w:eastAsia="zh-TW"/>
              </w:rPr>
              <w:t>1</w:t>
            </w:r>
            <w:r>
              <w:rPr>
                <w:rFonts w:hint="eastAsia" w:ascii="宋体" w:hAnsi="宋体" w:cs="宋体"/>
                <w:color w:val="auto"/>
                <w:szCs w:val="21"/>
                <w:highlight w:val="none"/>
                <w:lang w:val="zh-TW" w:eastAsia="zh-TW"/>
              </w:rPr>
              <w:t>分，不提供不得分。</w:t>
            </w:r>
          </w:p>
        </w:tc>
      </w:tr>
      <w:tr w14:paraId="4B946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tcBorders>
              <w:right w:val="single" w:color="auto" w:sz="4" w:space="0"/>
            </w:tcBorders>
            <w:vAlign w:val="center"/>
          </w:tcPr>
          <w:p w14:paraId="67559A49">
            <w:pPr>
              <w:spacing w:line="440" w:lineRule="exact"/>
              <w:jc w:val="center"/>
              <w:rPr>
                <w:rFonts w:hint="eastAsia" w:ascii="宋体" w:hAnsi="宋体" w:cs="宋体"/>
                <w:color w:val="auto"/>
                <w:highlight w:val="none"/>
              </w:rPr>
            </w:pPr>
          </w:p>
        </w:tc>
        <w:tc>
          <w:tcPr>
            <w:tcW w:w="1014" w:type="dxa"/>
            <w:tcBorders>
              <w:right w:val="single" w:color="auto" w:sz="4" w:space="0"/>
            </w:tcBorders>
          </w:tcPr>
          <w:p w14:paraId="48B409ED">
            <w:pPr>
              <w:spacing w:line="440" w:lineRule="exact"/>
              <w:jc w:val="center"/>
              <w:rPr>
                <w:rFonts w:hint="eastAsia" w:ascii="宋体" w:hAnsi="宋体" w:cs="宋体"/>
                <w:color w:val="auto"/>
                <w:highlight w:val="none"/>
              </w:rPr>
            </w:pPr>
          </w:p>
        </w:tc>
        <w:tc>
          <w:tcPr>
            <w:tcW w:w="986" w:type="dxa"/>
            <w:tcBorders>
              <w:left w:val="single" w:color="auto" w:sz="4" w:space="0"/>
              <w:right w:val="single" w:color="auto" w:sz="4" w:space="0"/>
            </w:tcBorders>
            <w:vAlign w:val="center"/>
          </w:tcPr>
          <w:p w14:paraId="01B4A1AA">
            <w:pPr>
              <w:spacing w:line="440" w:lineRule="exact"/>
              <w:jc w:val="center"/>
              <w:rPr>
                <w:rFonts w:hint="eastAsia" w:ascii="宋体" w:hAnsi="宋体" w:cs="宋体"/>
                <w:color w:val="auto"/>
                <w:highlight w:val="none"/>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77E18595">
            <w:pPr>
              <w:autoSpaceDE w:val="0"/>
              <w:autoSpaceDN w:val="0"/>
              <w:adjustRightInd w:val="0"/>
              <w:ind w:right="-61" w:rightChars="-29"/>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进度控制措施</w:t>
            </w:r>
          </w:p>
          <w:p w14:paraId="68A20E36">
            <w:pPr>
              <w:autoSpaceDE w:val="0"/>
              <w:autoSpaceDN w:val="0"/>
              <w:adjustRightInd w:val="0"/>
              <w:ind w:right="-61" w:rightChars="-29"/>
              <w:jc w:val="center"/>
              <w:rPr>
                <w:rFonts w:hint="eastAsia" w:ascii="宋体" w:hAnsi="宋体"/>
                <w:color w:val="auto"/>
                <w:kern w:val="0"/>
                <w:szCs w:val="21"/>
                <w:highlight w:val="none"/>
              </w:rPr>
            </w:pPr>
            <w:r>
              <w:rPr>
                <w:rFonts w:hint="eastAsia" w:ascii="宋体" w:hAnsi="宋体" w:cs="宋体"/>
                <w:color w:val="auto"/>
                <w:szCs w:val="21"/>
                <w:highlight w:val="none"/>
                <w:lang w:val="zh-TW" w:eastAsia="zh-CN"/>
              </w:rPr>
              <w:t>（</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val="zh-TW" w:eastAsia="zh-CN"/>
              </w:rPr>
              <w:t>）</w:t>
            </w:r>
          </w:p>
        </w:tc>
        <w:tc>
          <w:tcPr>
            <w:tcW w:w="5157" w:type="dxa"/>
            <w:tcBorders>
              <w:top w:val="single" w:color="auto" w:sz="4" w:space="0"/>
              <w:left w:val="single" w:color="auto" w:sz="4" w:space="0"/>
              <w:bottom w:val="single" w:color="auto" w:sz="4" w:space="0"/>
              <w:right w:val="single" w:color="auto" w:sz="4" w:space="0"/>
            </w:tcBorders>
            <w:vAlign w:val="center"/>
          </w:tcPr>
          <w:p w14:paraId="149A9D68">
            <w:pPr>
              <w:widowControl/>
              <w:ind w:right="210" w:rightChars="100"/>
              <w:jc w:val="left"/>
              <w:rPr>
                <w:rFonts w:ascii="宋体" w:hAnsi="宋体" w:cs="宋体"/>
                <w:color w:val="auto"/>
                <w:szCs w:val="21"/>
                <w:highlight w:val="none"/>
                <w:lang w:val="zh-TW" w:eastAsia="zh-TW"/>
              </w:rPr>
            </w:pPr>
            <w:r>
              <w:rPr>
                <w:rFonts w:hint="eastAsia" w:ascii="宋体" w:hAnsi="宋体" w:cs="宋体"/>
                <w:color w:val="auto"/>
                <w:szCs w:val="21"/>
                <w:highlight w:val="none"/>
              </w:rPr>
              <w:t>根据本工程</w:t>
            </w:r>
            <w:r>
              <w:rPr>
                <w:rFonts w:hint="eastAsia" w:ascii="宋体" w:hAnsi="宋体" w:cs="宋体"/>
                <w:color w:val="auto"/>
                <w:szCs w:val="21"/>
                <w:highlight w:val="none"/>
                <w:lang w:val="zh-TW" w:eastAsia="zh-TW"/>
              </w:rPr>
              <w:t>特点编制施工总进度计划及工期保证措施，计划详细且保证措施合理、可行，确保实现工程进度目标。</w:t>
            </w:r>
          </w:p>
          <w:p w14:paraId="6EF5AA7C">
            <w:pPr>
              <w:widowControl/>
              <w:ind w:right="210" w:rightChars="100"/>
              <w:jc w:val="left"/>
              <w:rPr>
                <w:rFonts w:hint="eastAsia" w:ascii="宋体" w:hAnsi="宋体"/>
                <w:color w:val="auto"/>
                <w:kern w:val="0"/>
                <w:szCs w:val="21"/>
                <w:highlight w:val="none"/>
              </w:rPr>
            </w:pPr>
            <w:r>
              <w:rPr>
                <w:rFonts w:hint="eastAsia" w:ascii="宋体" w:hAnsi="宋体" w:cs="宋体"/>
                <w:color w:val="auto"/>
                <w:szCs w:val="21"/>
                <w:highlight w:val="none"/>
                <w:lang w:val="zh-TW" w:eastAsia="zh-TW"/>
              </w:rPr>
              <w:t>优得</w:t>
            </w:r>
            <w:r>
              <w:rPr>
                <w:rFonts w:hint="eastAsia" w:ascii="宋体" w:hAnsi="宋体" w:cs="宋体"/>
                <w:color w:val="auto"/>
                <w:szCs w:val="21"/>
                <w:highlight w:val="none"/>
                <w:lang w:eastAsia="zh-TW"/>
              </w:rPr>
              <w:t>6</w:t>
            </w:r>
            <w:r>
              <w:rPr>
                <w:rFonts w:hint="eastAsia" w:ascii="宋体" w:hAnsi="宋体" w:cs="宋体"/>
                <w:color w:val="auto"/>
                <w:szCs w:val="21"/>
                <w:highlight w:val="none"/>
                <w:lang w:val="zh-TW" w:eastAsia="zh-TW"/>
              </w:rPr>
              <w:t>分；良得</w:t>
            </w:r>
            <w:r>
              <w:rPr>
                <w:rFonts w:hint="eastAsia" w:ascii="宋体" w:hAnsi="宋体" w:cs="宋体"/>
                <w:color w:val="auto"/>
                <w:szCs w:val="21"/>
                <w:highlight w:val="none"/>
                <w:lang w:eastAsia="zh-TW"/>
              </w:rPr>
              <w:t>3</w:t>
            </w:r>
            <w:r>
              <w:rPr>
                <w:rFonts w:hint="eastAsia" w:ascii="宋体" w:hAnsi="宋体" w:cs="宋体"/>
                <w:color w:val="auto"/>
                <w:szCs w:val="21"/>
                <w:highlight w:val="none"/>
                <w:lang w:val="zh-TW" w:eastAsia="zh-TW"/>
              </w:rPr>
              <w:t>分，一般得</w:t>
            </w:r>
            <w:r>
              <w:rPr>
                <w:rFonts w:hint="eastAsia" w:ascii="宋体" w:hAnsi="宋体" w:cs="宋体"/>
                <w:color w:val="auto"/>
                <w:szCs w:val="21"/>
                <w:highlight w:val="none"/>
                <w:lang w:eastAsia="zh-TW"/>
              </w:rPr>
              <w:t>1</w:t>
            </w:r>
            <w:r>
              <w:rPr>
                <w:rFonts w:hint="eastAsia" w:ascii="宋体" w:hAnsi="宋体" w:cs="宋体"/>
                <w:color w:val="auto"/>
                <w:szCs w:val="21"/>
                <w:highlight w:val="none"/>
                <w:lang w:val="zh-TW" w:eastAsia="zh-TW"/>
              </w:rPr>
              <w:t>分，不提供不得分。</w:t>
            </w:r>
          </w:p>
        </w:tc>
      </w:tr>
      <w:tr w14:paraId="6F31D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tcBorders>
              <w:right w:val="single" w:color="auto" w:sz="4" w:space="0"/>
            </w:tcBorders>
            <w:vAlign w:val="center"/>
          </w:tcPr>
          <w:p w14:paraId="7EE83A14">
            <w:pPr>
              <w:spacing w:line="440" w:lineRule="exact"/>
              <w:jc w:val="center"/>
              <w:rPr>
                <w:rFonts w:hint="eastAsia" w:ascii="宋体" w:hAnsi="宋体" w:cs="宋体"/>
                <w:color w:val="auto"/>
                <w:highlight w:val="none"/>
              </w:rPr>
            </w:pPr>
          </w:p>
        </w:tc>
        <w:tc>
          <w:tcPr>
            <w:tcW w:w="1014" w:type="dxa"/>
            <w:tcBorders>
              <w:right w:val="single" w:color="auto" w:sz="4" w:space="0"/>
            </w:tcBorders>
          </w:tcPr>
          <w:p w14:paraId="01C44183">
            <w:pPr>
              <w:spacing w:line="440" w:lineRule="exact"/>
              <w:jc w:val="center"/>
              <w:rPr>
                <w:rFonts w:hint="eastAsia" w:ascii="宋体" w:hAnsi="宋体" w:cs="宋体"/>
                <w:color w:val="auto"/>
                <w:highlight w:val="none"/>
              </w:rPr>
            </w:pPr>
          </w:p>
        </w:tc>
        <w:tc>
          <w:tcPr>
            <w:tcW w:w="986" w:type="dxa"/>
            <w:tcBorders>
              <w:left w:val="single" w:color="auto" w:sz="4" w:space="0"/>
              <w:right w:val="single" w:color="auto" w:sz="4" w:space="0"/>
            </w:tcBorders>
            <w:vAlign w:val="center"/>
          </w:tcPr>
          <w:p w14:paraId="0B615B03">
            <w:pPr>
              <w:spacing w:line="440" w:lineRule="exact"/>
              <w:jc w:val="center"/>
              <w:rPr>
                <w:rFonts w:hint="eastAsia" w:ascii="宋体" w:hAnsi="宋体" w:cs="宋体"/>
                <w:color w:val="auto"/>
                <w:highlight w:val="none"/>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0D9D8E64">
            <w:pPr>
              <w:autoSpaceDE w:val="0"/>
              <w:autoSpaceDN w:val="0"/>
              <w:adjustRightInd w:val="0"/>
              <w:ind w:right="-61" w:rightChars="-29"/>
              <w:jc w:val="center"/>
              <w:rPr>
                <w:rFonts w:hint="eastAsia" w:ascii="宋体" w:hAnsi="宋体" w:cs="宋体"/>
                <w:color w:val="auto"/>
                <w:szCs w:val="21"/>
                <w:highlight w:val="none"/>
                <w:lang w:val="zh-TW" w:eastAsia="zh-TW"/>
              </w:rPr>
            </w:pPr>
            <w:r>
              <w:rPr>
                <w:rFonts w:hint="eastAsia" w:ascii="宋体" w:hAnsi="宋体" w:cs="宋体"/>
                <w:color w:val="auto"/>
                <w:szCs w:val="21"/>
                <w:highlight w:val="none"/>
                <w:lang w:val="zh-TW" w:eastAsia="zh-TW"/>
              </w:rPr>
              <w:t>质量管理措施</w:t>
            </w:r>
          </w:p>
          <w:p w14:paraId="0AD3889B">
            <w:pPr>
              <w:autoSpaceDE w:val="0"/>
              <w:autoSpaceDN w:val="0"/>
              <w:adjustRightInd w:val="0"/>
              <w:ind w:right="-61" w:rightChars="-29"/>
              <w:jc w:val="center"/>
              <w:rPr>
                <w:rFonts w:hint="eastAsia" w:ascii="宋体" w:hAnsi="宋体"/>
                <w:color w:val="auto"/>
                <w:kern w:val="0"/>
                <w:szCs w:val="21"/>
                <w:highlight w:val="none"/>
              </w:rPr>
            </w:pPr>
            <w:r>
              <w:rPr>
                <w:rFonts w:hint="eastAsia" w:ascii="宋体" w:hAnsi="宋体" w:cs="宋体"/>
                <w:color w:val="auto"/>
                <w:szCs w:val="21"/>
                <w:highlight w:val="none"/>
                <w:lang w:val="zh-TW" w:eastAsia="zh-CN"/>
              </w:rPr>
              <w:t>（</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val="zh-TW" w:eastAsia="zh-CN"/>
              </w:rPr>
              <w:t>）</w:t>
            </w:r>
          </w:p>
        </w:tc>
        <w:tc>
          <w:tcPr>
            <w:tcW w:w="5157" w:type="dxa"/>
            <w:tcBorders>
              <w:top w:val="single" w:color="auto" w:sz="4" w:space="0"/>
              <w:left w:val="single" w:color="auto" w:sz="4" w:space="0"/>
              <w:bottom w:val="single" w:color="auto" w:sz="4" w:space="0"/>
              <w:right w:val="single" w:color="auto" w:sz="4" w:space="0"/>
            </w:tcBorders>
            <w:vAlign w:val="center"/>
          </w:tcPr>
          <w:p w14:paraId="556B33DB">
            <w:pPr>
              <w:widowControl/>
              <w:ind w:right="210" w:rightChars="100"/>
              <w:jc w:val="left"/>
              <w:rPr>
                <w:rFonts w:ascii="宋体" w:hAnsi="宋体" w:cs="宋体"/>
                <w:color w:val="auto"/>
                <w:szCs w:val="21"/>
                <w:highlight w:val="none"/>
                <w:lang w:val="zh-TW" w:eastAsia="zh-TW"/>
              </w:rPr>
            </w:pPr>
            <w:r>
              <w:rPr>
                <w:rFonts w:hint="eastAsia" w:ascii="宋体" w:hAnsi="宋体" w:cs="宋体"/>
                <w:color w:val="auto"/>
                <w:szCs w:val="21"/>
                <w:highlight w:val="none"/>
                <w:lang w:val="zh-TW" w:eastAsia="zh-TW"/>
              </w:rPr>
              <w:t>根据本工程的质量目标</w:t>
            </w:r>
            <w:r>
              <w:rPr>
                <w:rFonts w:hint="eastAsia" w:ascii="宋体" w:hAnsi="宋体" w:cs="宋体"/>
                <w:color w:val="auto"/>
                <w:szCs w:val="21"/>
                <w:highlight w:val="none"/>
              </w:rPr>
              <w:t>及</w:t>
            </w:r>
            <w:r>
              <w:rPr>
                <w:rFonts w:hint="eastAsia" w:ascii="宋体" w:hAnsi="宋体" w:cs="宋体"/>
                <w:color w:val="auto"/>
                <w:szCs w:val="21"/>
                <w:highlight w:val="none"/>
                <w:lang w:val="zh-TW" w:eastAsia="zh-TW"/>
              </w:rPr>
              <w:t>项目的特点，提出详细的质量保证措施。</w:t>
            </w:r>
          </w:p>
          <w:p w14:paraId="43192E11">
            <w:pPr>
              <w:widowControl/>
              <w:ind w:right="210" w:rightChars="100"/>
              <w:jc w:val="left"/>
              <w:rPr>
                <w:rFonts w:hint="eastAsia" w:ascii="宋体" w:hAnsi="宋体"/>
                <w:color w:val="auto"/>
                <w:kern w:val="0"/>
                <w:szCs w:val="21"/>
                <w:highlight w:val="none"/>
              </w:rPr>
            </w:pPr>
            <w:r>
              <w:rPr>
                <w:rFonts w:hint="eastAsia" w:ascii="宋体" w:hAnsi="宋体" w:cs="宋体"/>
                <w:color w:val="auto"/>
                <w:szCs w:val="21"/>
                <w:highlight w:val="none"/>
                <w:lang w:val="zh-TW" w:eastAsia="zh-TW"/>
              </w:rPr>
              <w:t>优得</w:t>
            </w:r>
            <w:r>
              <w:rPr>
                <w:rFonts w:hint="eastAsia" w:ascii="宋体" w:hAnsi="宋体" w:cs="宋体"/>
                <w:color w:val="auto"/>
                <w:szCs w:val="21"/>
                <w:highlight w:val="none"/>
                <w:lang w:eastAsia="zh-TW"/>
              </w:rPr>
              <w:t>6</w:t>
            </w:r>
            <w:r>
              <w:rPr>
                <w:rFonts w:hint="eastAsia" w:ascii="宋体" w:hAnsi="宋体" w:cs="宋体"/>
                <w:color w:val="auto"/>
                <w:szCs w:val="21"/>
                <w:highlight w:val="none"/>
                <w:lang w:val="zh-TW" w:eastAsia="zh-TW"/>
              </w:rPr>
              <w:t>分；良得</w:t>
            </w:r>
            <w:r>
              <w:rPr>
                <w:rFonts w:hint="eastAsia" w:ascii="宋体" w:hAnsi="宋体" w:cs="宋体"/>
                <w:color w:val="auto"/>
                <w:szCs w:val="21"/>
                <w:highlight w:val="none"/>
                <w:lang w:eastAsia="zh-TW"/>
              </w:rPr>
              <w:t>3</w:t>
            </w:r>
            <w:r>
              <w:rPr>
                <w:rFonts w:hint="eastAsia" w:ascii="宋体" w:hAnsi="宋体" w:cs="宋体"/>
                <w:color w:val="auto"/>
                <w:szCs w:val="21"/>
                <w:highlight w:val="none"/>
                <w:lang w:val="zh-TW" w:eastAsia="zh-TW"/>
              </w:rPr>
              <w:t>分，一般得</w:t>
            </w:r>
            <w:r>
              <w:rPr>
                <w:rFonts w:hint="eastAsia" w:ascii="宋体" w:hAnsi="宋体" w:cs="宋体"/>
                <w:color w:val="auto"/>
                <w:szCs w:val="21"/>
                <w:highlight w:val="none"/>
                <w:lang w:eastAsia="zh-TW"/>
              </w:rPr>
              <w:t>1</w:t>
            </w:r>
            <w:r>
              <w:rPr>
                <w:rFonts w:hint="eastAsia" w:ascii="宋体" w:hAnsi="宋体" w:cs="宋体"/>
                <w:color w:val="auto"/>
                <w:szCs w:val="21"/>
                <w:highlight w:val="none"/>
                <w:lang w:val="zh-TW" w:eastAsia="zh-TW"/>
              </w:rPr>
              <w:t>分，不提供不得分。</w:t>
            </w:r>
          </w:p>
        </w:tc>
      </w:tr>
      <w:tr w14:paraId="5E3C3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93" w:type="dxa"/>
            <w:gridSpan w:val="2"/>
            <w:tcBorders>
              <w:right w:val="single" w:color="auto" w:sz="4" w:space="0"/>
            </w:tcBorders>
            <w:vAlign w:val="center"/>
          </w:tcPr>
          <w:p w14:paraId="1E810C9C">
            <w:pPr>
              <w:spacing w:line="440" w:lineRule="exact"/>
              <w:jc w:val="center"/>
              <w:rPr>
                <w:rFonts w:hint="eastAsia" w:ascii="宋体" w:hAnsi="宋体" w:cs="宋体"/>
                <w:color w:val="auto"/>
                <w:highlight w:val="none"/>
              </w:rPr>
            </w:pPr>
          </w:p>
        </w:tc>
        <w:tc>
          <w:tcPr>
            <w:tcW w:w="1014" w:type="dxa"/>
            <w:tcBorders>
              <w:right w:val="single" w:color="auto" w:sz="4" w:space="0"/>
            </w:tcBorders>
          </w:tcPr>
          <w:p w14:paraId="5B33A14D">
            <w:pPr>
              <w:spacing w:line="440" w:lineRule="exact"/>
              <w:jc w:val="center"/>
              <w:rPr>
                <w:rFonts w:hint="eastAsia" w:ascii="宋体" w:hAnsi="宋体" w:cs="宋体"/>
                <w:color w:val="auto"/>
                <w:highlight w:val="none"/>
              </w:rPr>
            </w:pPr>
          </w:p>
        </w:tc>
        <w:tc>
          <w:tcPr>
            <w:tcW w:w="986" w:type="dxa"/>
            <w:tcBorders>
              <w:left w:val="single" w:color="auto" w:sz="4" w:space="0"/>
              <w:right w:val="single" w:color="auto" w:sz="4" w:space="0"/>
            </w:tcBorders>
            <w:vAlign w:val="center"/>
          </w:tcPr>
          <w:p w14:paraId="0312EDC4">
            <w:pPr>
              <w:spacing w:line="440" w:lineRule="exact"/>
              <w:jc w:val="center"/>
              <w:rPr>
                <w:rFonts w:hint="eastAsia" w:ascii="宋体" w:hAnsi="宋体" w:cs="宋体"/>
                <w:color w:val="auto"/>
                <w:highlight w:val="none"/>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1E8F72E4">
            <w:pPr>
              <w:autoSpaceDE w:val="0"/>
              <w:autoSpaceDN w:val="0"/>
              <w:adjustRightInd w:val="0"/>
              <w:ind w:right="-61" w:rightChars="-29"/>
              <w:jc w:val="center"/>
              <w:rPr>
                <w:rFonts w:hint="eastAsia" w:ascii="宋体" w:hAnsi="宋体"/>
                <w:color w:val="auto"/>
                <w:kern w:val="0"/>
                <w:szCs w:val="21"/>
                <w:highlight w:val="none"/>
              </w:rPr>
            </w:pPr>
            <w:r>
              <w:rPr>
                <w:rFonts w:hint="eastAsia" w:ascii="宋体" w:hAnsi="宋体" w:cs="宋体"/>
                <w:color w:val="auto"/>
                <w:szCs w:val="21"/>
                <w:highlight w:val="none"/>
                <w:lang w:val="zh-TW" w:eastAsia="zh-CN"/>
              </w:rPr>
              <w:t>安全及绿色文明施工措施（</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val="zh-TW" w:eastAsia="zh-CN"/>
              </w:rPr>
              <w:t>）</w:t>
            </w:r>
          </w:p>
        </w:tc>
        <w:tc>
          <w:tcPr>
            <w:tcW w:w="5157" w:type="dxa"/>
            <w:tcBorders>
              <w:top w:val="single" w:color="auto" w:sz="4" w:space="0"/>
              <w:left w:val="single" w:color="auto" w:sz="4" w:space="0"/>
              <w:bottom w:val="single" w:color="auto" w:sz="4" w:space="0"/>
              <w:right w:val="single" w:color="auto" w:sz="4" w:space="0"/>
            </w:tcBorders>
            <w:vAlign w:val="center"/>
          </w:tcPr>
          <w:p w14:paraId="5642A065">
            <w:pPr>
              <w:widowControl/>
              <w:ind w:right="210" w:rightChars="100"/>
              <w:jc w:val="left"/>
              <w:rPr>
                <w:color w:val="auto"/>
                <w:highlight w:val="none"/>
                <w:lang w:val="zh-TW" w:eastAsia="zh-TW"/>
              </w:rPr>
            </w:pPr>
            <w:r>
              <w:rPr>
                <w:rFonts w:hint="eastAsia"/>
                <w:color w:val="auto"/>
                <w:highlight w:val="none"/>
                <w:lang w:val="zh-TW" w:eastAsia="zh-TW"/>
              </w:rPr>
              <w:t>根据本工程的安全</w:t>
            </w:r>
            <w:r>
              <w:rPr>
                <w:rFonts w:hint="eastAsia" w:ascii="宋体" w:hAnsi="宋体" w:cs="宋体"/>
                <w:color w:val="auto"/>
                <w:szCs w:val="21"/>
                <w:highlight w:val="none"/>
                <w:lang w:val="zh-TW" w:eastAsia="zh-CN"/>
              </w:rPr>
              <w:t>及绿色</w:t>
            </w:r>
            <w:r>
              <w:rPr>
                <w:rFonts w:hint="eastAsia"/>
                <w:color w:val="auto"/>
                <w:highlight w:val="none"/>
                <w:lang w:val="zh-TW" w:eastAsia="zh-TW"/>
              </w:rPr>
              <w:t>文明施工目标</w:t>
            </w:r>
            <w:r>
              <w:rPr>
                <w:rFonts w:hint="eastAsia"/>
                <w:color w:val="auto"/>
                <w:highlight w:val="none"/>
              </w:rPr>
              <w:t>及</w:t>
            </w:r>
            <w:r>
              <w:rPr>
                <w:rFonts w:hint="eastAsia"/>
                <w:color w:val="auto"/>
                <w:highlight w:val="none"/>
                <w:lang w:val="zh-TW" w:eastAsia="zh-TW"/>
              </w:rPr>
              <w:t>项目的特点，提出详细的安全生产</w:t>
            </w:r>
            <w:r>
              <w:rPr>
                <w:rFonts w:hint="eastAsia" w:ascii="宋体" w:hAnsi="宋体" w:cs="宋体"/>
                <w:color w:val="auto"/>
                <w:szCs w:val="21"/>
                <w:highlight w:val="none"/>
                <w:lang w:val="zh-TW" w:eastAsia="zh-CN"/>
              </w:rPr>
              <w:t>及绿色</w:t>
            </w:r>
            <w:r>
              <w:rPr>
                <w:rFonts w:hint="eastAsia"/>
                <w:color w:val="auto"/>
                <w:highlight w:val="none"/>
                <w:lang w:val="zh-TW" w:eastAsia="zh-TW"/>
              </w:rPr>
              <w:t>文明施工保证措施。</w:t>
            </w:r>
          </w:p>
          <w:p w14:paraId="7E440B6E">
            <w:pPr>
              <w:pStyle w:val="3"/>
              <w:rPr>
                <w:rFonts w:hint="eastAsia" w:ascii="宋体" w:hAnsi="宋体"/>
                <w:color w:val="auto"/>
                <w:kern w:val="0"/>
                <w:szCs w:val="21"/>
                <w:highlight w:val="none"/>
              </w:rPr>
            </w:pPr>
            <w:r>
              <w:rPr>
                <w:rFonts w:hint="eastAsia" w:ascii="宋体" w:hAnsi="宋体" w:cs="宋体"/>
                <w:color w:val="auto"/>
                <w:szCs w:val="21"/>
                <w:highlight w:val="none"/>
                <w:lang w:val="zh-TW" w:eastAsia="zh-TW"/>
              </w:rPr>
              <w:t>优得</w:t>
            </w:r>
            <w:r>
              <w:rPr>
                <w:rFonts w:hint="eastAsia" w:ascii="宋体" w:hAnsi="宋体" w:cs="宋体"/>
                <w:color w:val="auto"/>
                <w:szCs w:val="21"/>
                <w:highlight w:val="none"/>
                <w:lang w:eastAsia="zh-TW"/>
              </w:rPr>
              <w:t>6</w:t>
            </w:r>
            <w:r>
              <w:rPr>
                <w:rFonts w:hint="eastAsia" w:ascii="宋体" w:hAnsi="宋体" w:cs="宋体"/>
                <w:color w:val="auto"/>
                <w:szCs w:val="21"/>
                <w:highlight w:val="none"/>
                <w:lang w:val="zh-TW" w:eastAsia="zh-TW"/>
              </w:rPr>
              <w:t>分；良得</w:t>
            </w:r>
            <w:r>
              <w:rPr>
                <w:rFonts w:hint="eastAsia" w:ascii="宋体" w:hAnsi="宋体" w:cs="宋体"/>
                <w:color w:val="auto"/>
                <w:szCs w:val="21"/>
                <w:highlight w:val="none"/>
                <w:lang w:eastAsia="zh-TW"/>
              </w:rPr>
              <w:t>3</w:t>
            </w:r>
            <w:r>
              <w:rPr>
                <w:rFonts w:hint="eastAsia" w:ascii="宋体" w:hAnsi="宋体" w:cs="宋体"/>
                <w:color w:val="auto"/>
                <w:szCs w:val="21"/>
                <w:highlight w:val="none"/>
                <w:lang w:val="zh-TW" w:eastAsia="zh-TW"/>
              </w:rPr>
              <w:t>分，一般得</w:t>
            </w:r>
            <w:r>
              <w:rPr>
                <w:rFonts w:hint="eastAsia" w:ascii="宋体" w:hAnsi="宋体" w:cs="宋体"/>
                <w:color w:val="auto"/>
                <w:szCs w:val="21"/>
                <w:highlight w:val="none"/>
                <w:lang w:eastAsia="zh-TW"/>
              </w:rPr>
              <w:t>1</w:t>
            </w:r>
            <w:r>
              <w:rPr>
                <w:rFonts w:hint="eastAsia" w:ascii="宋体" w:hAnsi="宋体" w:cs="宋体"/>
                <w:color w:val="auto"/>
                <w:szCs w:val="21"/>
                <w:highlight w:val="none"/>
                <w:lang w:val="zh-TW" w:eastAsia="zh-TW"/>
              </w:rPr>
              <w:t>分，不提供不得分。</w:t>
            </w:r>
          </w:p>
        </w:tc>
      </w:tr>
      <w:tr w14:paraId="3C5486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30" w:hRule="atLeast"/>
        </w:trPr>
        <w:tc>
          <w:tcPr>
            <w:tcW w:w="993" w:type="dxa"/>
            <w:gridSpan w:val="2"/>
            <w:tcBorders>
              <w:top w:val="single" w:color="auto" w:sz="4" w:space="0"/>
              <w:left w:val="single" w:color="auto" w:sz="4" w:space="0"/>
              <w:bottom w:val="single" w:color="auto" w:sz="4" w:space="0"/>
              <w:right w:val="single" w:color="auto" w:sz="4" w:space="0"/>
            </w:tcBorders>
            <w:vAlign w:val="center"/>
          </w:tcPr>
          <w:p w14:paraId="6C7720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2.2.4（3）</w:t>
            </w:r>
          </w:p>
        </w:tc>
        <w:tc>
          <w:tcPr>
            <w:tcW w:w="1014" w:type="dxa"/>
            <w:tcBorders>
              <w:top w:val="single" w:color="auto" w:sz="4" w:space="0"/>
              <w:left w:val="single" w:color="auto" w:sz="4" w:space="0"/>
              <w:bottom w:val="single" w:color="auto" w:sz="4" w:space="0"/>
              <w:right w:val="single" w:color="auto" w:sz="4" w:space="0"/>
            </w:tcBorders>
            <w:vAlign w:val="center"/>
          </w:tcPr>
          <w:p w14:paraId="7EDEAC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投标报价评分标准</w:t>
            </w:r>
          </w:p>
        </w:tc>
        <w:tc>
          <w:tcPr>
            <w:tcW w:w="2192" w:type="dxa"/>
            <w:gridSpan w:val="3"/>
            <w:tcBorders>
              <w:top w:val="single" w:color="auto" w:sz="4" w:space="0"/>
              <w:left w:val="single" w:color="auto" w:sz="4" w:space="0"/>
              <w:bottom w:val="single" w:color="auto" w:sz="4" w:space="0"/>
              <w:right w:val="single" w:color="auto" w:sz="4" w:space="0"/>
            </w:tcBorders>
            <w:vAlign w:val="center"/>
          </w:tcPr>
          <w:p w14:paraId="3F945CBF">
            <w:pPr>
              <w:jc w:val="center"/>
              <w:rPr>
                <w:rFonts w:hint="eastAsia" w:ascii="宋体" w:hAnsi="宋体" w:cs="宋体"/>
                <w:color w:val="auto"/>
                <w:szCs w:val="21"/>
                <w:highlight w:val="none"/>
              </w:rPr>
            </w:pPr>
            <w:r>
              <w:rPr>
                <w:rFonts w:hint="eastAsia" w:ascii="宋体" w:hAnsi="宋体" w:cs="宋体"/>
                <w:color w:val="auto"/>
                <w:szCs w:val="21"/>
                <w:highlight w:val="none"/>
              </w:rPr>
              <w:t>报价得分</w:t>
            </w:r>
          </w:p>
          <w:p w14:paraId="4DBD52FD">
            <w:pPr>
              <w:widowControl/>
              <w:jc w:val="center"/>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100</w:t>
            </w:r>
            <w:r>
              <w:rPr>
                <w:rFonts w:hint="eastAsia" w:ascii="宋体" w:hAnsi="宋体"/>
                <w:color w:val="auto"/>
                <w:highlight w:val="none"/>
              </w:rPr>
              <w:t>分）</w:t>
            </w:r>
          </w:p>
        </w:tc>
        <w:tc>
          <w:tcPr>
            <w:tcW w:w="5157" w:type="dxa"/>
            <w:tcBorders>
              <w:top w:val="single" w:color="auto" w:sz="4" w:space="0"/>
              <w:left w:val="single" w:color="auto" w:sz="4" w:space="0"/>
              <w:bottom w:val="single" w:color="auto" w:sz="4" w:space="0"/>
              <w:right w:val="single" w:color="auto" w:sz="4" w:space="0"/>
            </w:tcBorders>
            <w:vAlign w:val="center"/>
          </w:tcPr>
          <w:p w14:paraId="3893EE6B">
            <w:pPr>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当经算术校核的投标总报价等于评标参考价时得100分，报价每高于评标参考价1%，扣</w:t>
            </w:r>
            <w:r>
              <w:rPr>
                <w:rFonts w:hint="eastAsia" w:ascii="宋体" w:hAnsi="宋体" w:eastAsia="宋体" w:cs="宋体"/>
                <w:color w:val="auto"/>
                <w:sz w:val="21"/>
                <w:szCs w:val="21"/>
                <w:highlight w:val="none"/>
                <w:lang w:eastAsia="zh-CN" w:bidi="zh-TW"/>
              </w:rPr>
              <w:t>1</w:t>
            </w:r>
            <w:r>
              <w:rPr>
                <w:rFonts w:hint="eastAsia" w:ascii="宋体" w:hAnsi="宋体" w:eastAsia="宋体" w:cs="宋体"/>
                <w:color w:val="auto"/>
                <w:sz w:val="21"/>
                <w:szCs w:val="21"/>
                <w:highlight w:val="none"/>
                <w:lang w:val="en-US" w:eastAsia="zh-CN" w:bidi="zh-TW"/>
              </w:rPr>
              <w:t>.5</w:t>
            </w:r>
            <w:r>
              <w:rPr>
                <w:rFonts w:hint="eastAsia" w:ascii="宋体" w:hAnsi="宋体" w:eastAsia="宋体" w:cs="宋体"/>
                <w:color w:val="auto"/>
                <w:sz w:val="21"/>
                <w:szCs w:val="21"/>
                <w:highlight w:val="none"/>
                <w:lang w:bidi="zh-TW"/>
              </w:rPr>
              <w:t>分，每低于评标基准价1%，扣1.0分，精确到小数点后两位。</w:t>
            </w:r>
          </w:p>
          <w:p w14:paraId="6F45FBE9">
            <w:pPr>
              <w:jc w:val="left"/>
              <w:rPr>
                <w:rFonts w:hint="eastAsia" w:ascii="宋体" w:hAnsi="宋体" w:cs="宋体"/>
                <w:color w:val="auto"/>
                <w:highlight w:val="none"/>
                <w:lang w:bidi="zh-TW"/>
              </w:rPr>
            </w:pPr>
            <w:r>
              <w:rPr>
                <w:rFonts w:hint="eastAsia" w:ascii="宋体" w:hAnsi="宋体" w:eastAsia="宋体" w:cs="宋体"/>
                <w:b/>
                <w:bCs/>
                <w:color w:val="auto"/>
                <w:sz w:val="21"/>
                <w:szCs w:val="21"/>
                <w:highlight w:val="none"/>
                <w:u w:val="single"/>
                <w:lang w:eastAsia="zh-CN"/>
              </w:rPr>
              <w:t>（注：评标基准价及投标报价得分均以税前建安工程费为准。）</w:t>
            </w:r>
          </w:p>
        </w:tc>
      </w:tr>
    </w:tbl>
    <w:p w14:paraId="7FBF6547">
      <w:pPr>
        <w:ind w:firstLine="420" w:firstLineChars="200"/>
        <w:rPr>
          <w:rFonts w:ascii="宋体" w:hAnsi="宋体"/>
          <w:b/>
          <w:color w:val="auto"/>
          <w:szCs w:val="21"/>
          <w:highlight w:val="none"/>
        </w:rPr>
      </w:pPr>
      <w:r>
        <w:rPr>
          <w:rFonts w:hint="eastAsia" w:ascii="宋体" w:hAnsi="宋体"/>
          <w:color w:val="auto"/>
          <w:highlight w:val="none"/>
        </w:rPr>
        <w:t>注：</w:t>
      </w:r>
      <w:r>
        <w:rPr>
          <w:rFonts w:hint="eastAsia" w:ascii="宋体" w:hAnsi="宋体"/>
          <w:b/>
          <w:color w:val="auto"/>
          <w:szCs w:val="21"/>
          <w:highlight w:val="none"/>
        </w:rPr>
        <w:t>1、类似项目业绩：</w:t>
      </w:r>
    </w:p>
    <w:p w14:paraId="35063DEA">
      <w:pPr>
        <w:ind w:firstLine="420" w:firstLineChars="200"/>
        <w:rPr>
          <w:rFonts w:hint="eastAsia" w:ascii="宋体" w:hAnsi="宋体"/>
          <w:color w:val="auto"/>
          <w:szCs w:val="21"/>
          <w:highlight w:val="none"/>
        </w:rPr>
      </w:pPr>
      <w:r>
        <w:rPr>
          <w:rFonts w:hint="eastAsia" w:ascii="宋体" w:hAnsi="宋体"/>
          <w:color w:val="auto"/>
          <w:szCs w:val="21"/>
          <w:highlight w:val="none"/>
        </w:rPr>
        <w:t>1.1施工企业业绩：</w:t>
      </w:r>
    </w:p>
    <w:p w14:paraId="60D6CE9B">
      <w:pPr>
        <w:ind w:firstLine="420" w:firstLineChars="200"/>
        <w:rPr>
          <w:rFonts w:hint="eastAsia" w:ascii="宋体" w:hAnsi="宋体"/>
          <w:color w:val="auto"/>
          <w:szCs w:val="21"/>
          <w:highlight w:val="none"/>
        </w:rPr>
      </w:pPr>
      <w:r>
        <w:rPr>
          <w:rFonts w:hint="eastAsia" w:ascii="宋体" w:hAnsi="宋体"/>
          <w:color w:val="auto"/>
          <w:szCs w:val="21"/>
          <w:highlight w:val="none"/>
        </w:rPr>
        <w:t>（1）业绩取自广州市住建行业信用管理平台。投标人须提供评分表要求的工程业绩的项目名称及业绩在广州市住建行业信用管理平台中项目编号。不提供项目名称及项目编号的业绩不予评审。若投标人提供的项目名称与项目编号不一致：①用于本项目投标的类似业绩，在平台中“工程对应的企业资质”栏中须登记有与本项目要求相对应的资质（具体资质要求：建筑工程施工总承包（原房屋建筑工程施工总承包）资质）。</w:t>
      </w:r>
      <w:r>
        <w:rPr>
          <w:rFonts w:hint="eastAsia" w:ascii="宋体" w:hAnsi="宋体"/>
          <w:color w:val="auto"/>
          <w:szCs w:val="21"/>
          <w:highlight w:val="none"/>
          <w:lang w:val="en-US" w:eastAsia="zh-CN"/>
        </w:rPr>
        <w:t>②</w:t>
      </w:r>
      <w:r>
        <w:rPr>
          <w:rFonts w:hint="eastAsia" w:ascii="宋体" w:hAnsi="宋体"/>
          <w:color w:val="auto"/>
          <w:szCs w:val="21"/>
          <w:highlight w:val="none"/>
        </w:rPr>
        <w:t>项目名称和项目编号在平台内分别对应不同业绩的，以项目名称对应的业绩为准；</w:t>
      </w:r>
      <w:r>
        <w:rPr>
          <w:rFonts w:hint="eastAsia" w:ascii="宋体" w:hAnsi="宋体"/>
          <w:color w:val="auto"/>
          <w:szCs w:val="21"/>
          <w:highlight w:val="none"/>
          <w:lang w:val="en-US" w:eastAsia="zh-CN"/>
        </w:rPr>
        <w:t>③</w:t>
      </w:r>
      <w:r>
        <w:rPr>
          <w:rFonts w:hint="eastAsia" w:ascii="宋体" w:hAnsi="宋体"/>
          <w:color w:val="auto"/>
          <w:szCs w:val="21"/>
          <w:highlight w:val="none"/>
        </w:rPr>
        <w:t>项目名称存在对应业绩的，项目编号在平台内不存在对应业绩，以项目名称对应的业绩为准；</w:t>
      </w:r>
      <w:r>
        <w:rPr>
          <w:rFonts w:hint="eastAsia" w:ascii="宋体" w:hAnsi="宋体"/>
          <w:color w:val="auto"/>
          <w:szCs w:val="21"/>
          <w:highlight w:val="none"/>
          <w:lang w:val="en-US" w:eastAsia="zh-CN"/>
        </w:rPr>
        <w:t>④</w:t>
      </w:r>
      <w:r>
        <w:rPr>
          <w:rFonts w:hint="eastAsia" w:ascii="宋体" w:hAnsi="宋体"/>
          <w:color w:val="auto"/>
          <w:szCs w:val="21"/>
          <w:highlight w:val="none"/>
        </w:rPr>
        <w:t>项目名称在平台内不存在对应业绩，项目编号存在对应业绩的，以项目编号对应的业绩为准。评标委员会对业绩的评审以投标截止时间在平台内业绩上传件为依据。</w:t>
      </w:r>
    </w:p>
    <w:p w14:paraId="0A43B7F2">
      <w:pPr>
        <w:ind w:firstLine="420" w:firstLineChars="200"/>
        <w:rPr>
          <w:rFonts w:hint="eastAsia" w:ascii="宋体" w:hAnsi="宋体"/>
          <w:color w:val="auto"/>
          <w:szCs w:val="21"/>
          <w:highlight w:val="none"/>
        </w:rPr>
      </w:pPr>
      <w:r>
        <w:rPr>
          <w:rFonts w:hint="eastAsia" w:ascii="宋体" w:hAnsi="宋体"/>
          <w:color w:val="auto"/>
          <w:szCs w:val="21"/>
          <w:highlight w:val="none"/>
        </w:rPr>
        <w:t>（2）金额以中标通知书为准，中标通知书上没有金额或免招标的，以签订的合同（不含补充合同）中的金额为准；若为工程总承包项目，金额以合同中相对应的建安工程费为准。</w:t>
      </w:r>
    </w:p>
    <w:p w14:paraId="5F5C1EB3">
      <w:pPr>
        <w:ind w:firstLine="420" w:firstLineChars="200"/>
        <w:rPr>
          <w:rFonts w:hint="eastAsia" w:ascii="宋体" w:hAnsi="宋体"/>
          <w:color w:val="auto"/>
          <w:szCs w:val="21"/>
          <w:highlight w:val="none"/>
        </w:rPr>
      </w:pPr>
      <w:r>
        <w:rPr>
          <w:rFonts w:hint="eastAsia" w:ascii="宋体" w:hAnsi="宋体"/>
          <w:color w:val="auto"/>
          <w:szCs w:val="21"/>
          <w:highlight w:val="none"/>
        </w:rPr>
        <w:t>（3）完成时间以竣工验收文件为准。验收文件至少具有建设单位、设计、施工和监理单位盖章。</w:t>
      </w:r>
    </w:p>
    <w:p w14:paraId="4D903DB9">
      <w:pPr>
        <w:ind w:firstLine="420" w:firstLineChars="200"/>
        <w:rPr>
          <w:rFonts w:hint="eastAsia" w:ascii="宋体" w:hAnsi="宋体"/>
          <w:color w:val="auto"/>
          <w:szCs w:val="21"/>
          <w:highlight w:val="none"/>
        </w:rPr>
      </w:pPr>
      <w:r>
        <w:rPr>
          <w:rFonts w:hint="eastAsia" w:ascii="宋体" w:hAnsi="宋体"/>
          <w:color w:val="auto"/>
          <w:szCs w:val="21"/>
          <w:highlight w:val="none"/>
        </w:rPr>
        <w:t>（4）平台内业绩上传件不符合上述要求的或登记的工程资质内容与施工合同等业绩证明资料不相符的，该项业绩不予认定。</w:t>
      </w:r>
    </w:p>
    <w:p w14:paraId="361E7408">
      <w:pPr>
        <w:ind w:firstLine="420" w:firstLineChars="200"/>
        <w:rPr>
          <w:rFonts w:hint="eastAsia" w:ascii="宋体" w:hAnsi="宋体"/>
          <w:color w:val="auto"/>
          <w:szCs w:val="21"/>
          <w:highlight w:val="none"/>
        </w:rPr>
      </w:pPr>
      <w:r>
        <w:rPr>
          <w:rFonts w:hint="eastAsia" w:ascii="宋体" w:hAnsi="宋体"/>
          <w:color w:val="auto"/>
          <w:szCs w:val="21"/>
          <w:highlight w:val="none"/>
        </w:rPr>
        <w:t>1.2设计企业业绩：</w:t>
      </w:r>
    </w:p>
    <w:p w14:paraId="52BBD558">
      <w:pPr>
        <w:ind w:firstLine="420" w:firstLineChars="200"/>
        <w:rPr>
          <w:rFonts w:hint="eastAsia" w:ascii="宋体" w:hAnsi="宋体"/>
          <w:color w:val="auto"/>
          <w:szCs w:val="21"/>
          <w:highlight w:val="none"/>
        </w:rPr>
      </w:pPr>
      <w:r>
        <w:rPr>
          <w:rFonts w:hint="eastAsia" w:ascii="宋体" w:hAnsi="宋体"/>
          <w:color w:val="auto"/>
          <w:szCs w:val="21"/>
          <w:highlight w:val="none"/>
        </w:rPr>
        <w:t>（1）需提供中标通知书、合同关键页或免招标的相关说明，若为勘察设计类、工程总承包类等非单独设计项目，提供相对应的中标通知书及合同。</w:t>
      </w:r>
    </w:p>
    <w:p w14:paraId="2A9C73C3">
      <w:pPr>
        <w:ind w:firstLine="420" w:firstLineChars="200"/>
        <w:rPr>
          <w:rFonts w:hint="eastAsia" w:ascii="宋体" w:hAnsi="宋体"/>
          <w:color w:val="auto"/>
          <w:szCs w:val="21"/>
          <w:highlight w:val="none"/>
        </w:rPr>
      </w:pPr>
      <w:r>
        <w:rPr>
          <w:rFonts w:hint="eastAsia" w:ascii="宋体" w:hAnsi="宋体"/>
          <w:color w:val="auto"/>
          <w:szCs w:val="21"/>
          <w:highlight w:val="none"/>
        </w:rPr>
        <w:t>（2）金额以合同为准，若合同中没有体现金额的，则需提供相关能证明金额的资料；</w:t>
      </w:r>
    </w:p>
    <w:p w14:paraId="551BC898">
      <w:pPr>
        <w:ind w:firstLine="420" w:firstLineChars="200"/>
        <w:rPr>
          <w:rFonts w:hint="eastAsia" w:ascii="宋体" w:hAnsi="宋体"/>
          <w:color w:val="auto"/>
          <w:szCs w:val="21"/>
          <w:highlight w:val="none"/>
        </w:rPr>
      </w:pPr>
      <w:r>
        <w:rPr>
          <w:rFonts w:hint="eastAsia" w:ascii="宋体" w:hAnsi="宋体"/>
          <w:color w:val="auto"/>
          <w:szCs w:val="21"/>
          <w:highlight w:val="none"/>
        </w:rPr>
        <w:t>（3）承接时间以签订合同（不含补充合同）的时间为准；</w:t>
      </w:r>
    </w:p>
    <w:p w14:paraId="62E84E85">
      <w:pPr>
        <w:ind w:firstLine="422" w:firstLineChars="20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、工程获奖：</w:t>
      </w:r>
    </w:p>
    <w:p w14:paraId="1211CB56">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1）同一项目获奖按最高级别奖项只计一次得分，时间以获奖证书时间为准，获奖项目计算主承建或联合承建或参建获奖，境外工程不得分。国家级质量奖项是中国建设工程鲁班奖、中国土木工程詹天佑奖、国家优质工程金质奖、国家优质工程奖（原国家优质工程银质奖）；省市级质量奖项是指由省市级建设行政主管部门或行业协会颁发的工程质量奖项</w:t>
      </w:r>
      <w:r>
        <w:rPr>
          <w:rFonts w:hint="eastAsia" w:ascii="宋体" w:hAnsi="宋体"/>
          <w:b w:val="0"/>
          <w:bCs/>
          <w:color w:val="auto"/>
          <w:szCs w:val="21"/>
          <w:highlight w:val="none"/>
          <w:lang w:eastAsia="zh-CN"/>
        </w:rPr>
        <w:t>，若颁发单位是行业协会或学会，须同时提供该颁发单位在“中国社会组织公共服务平台”网站(https://chinanpo.mca.gov.cn)登记的查询结果截图，否则该获奖证书不予认定。</w:t>
      </w:r>
      <w:r>
        <w:rPr>
          <w:rFonts w:hint="eastAsia" w:ascii="宋体" w:hAnsi="宋体"/>
          <w:b w:val="0"/>
          <w:bCs/>
          <w:color w:val="auto"/>
          <w:szCs w:val="21"/>
          <w:highlight w:val="none"/>
        </w:rPr>
        <w:t>（奖项不含安全、技术创新QC成果及技术应用类奖项）。</w:t>
      </w:r>
    </w:p>
    <w:p w14:paraId="7AE2E80B">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（2）投标人提供获奖证书扫描件或者广州市住建行业信用管理平台中获奖业绩的网页信息截图和获奖证书上传件以供核对，不符合条件的不计分。</w:t>
      </w:r>
    </w:p>
    <w:p w14:paraId="50A2ED8D">
      <w:pPr>
        <w:ind w:firstLine="422" w:firstLineChars="200"/>
        <w:rPr>
          <w:rFonts w:ascii="宋体" w:hAnsi="宋体" w:cs="宋体"/>
          <w:b/>
          <w:color w:val="auto"/>
          <w:szCs w:val="21"/>
          <w:highlight w:val="none"/>
        </w:rPr>
      </w:pPr>
      <w:r>
        <w:rPr>
          <w:rFonts w:hint="eastAsia" w:ascii="宋体" w:hAnsi="宋体"/>
          <w:b/>
          <w:color w:val="auto"/>
          <w:szCs w:val="21"/>
          <w:highlight w:val="none"/>
        </w:rPr>
        <w:t>3、</w:t>
      </w:r>
      <w:r>
        <w:rPr>
          <w:rFonts w:hint="eastAsia" w:ascii="宋体" w:hAnsi="宋体" w:cs="宋体"/>
          <w:b/>
          <w:color w:val="auto"/>
          <w:szCs w:val="21"/>
          <w:highlight w:val="none"/>
        </w:rPr>
        <w:t>科技创新成果</w:t>
      </w:r>
    </w:p>
    <w:p w14:paraId="1E126156">
      <w:pPr>
        <w:rPr>
          <w:rFonts w:hint="eastAsia"/>
          <w:color w:val="auto"/>
          <w:highlight w:val="none"/>
        </w:rPr>
      </w:pPr>
      <w:r>
        <w:rPr>
          <w:rFonts w:hint="eastAsia"/>
          <w:color w:val="auto"/>
          <w:highlight w:val="none"/>
        </w:rPr>
        <w:t xml:space="preserve">    </w:t>
      </w:r>
      <w:r>
        <w:rPr>
          <w:rFonts w:hint="eastAsia"/>
          <w:color w:val="auto"/>
          <w:highlight w:val="none"/>
          <w:lang w:val="en-US" w:eastAsia="zh-CN"/>
        </w:rPr>
        <w:t>科学技术进步奖或科学技术奖，国家级证书须为中华人民共和国国务院颁发，省市级证书须为省市级建设行政主管部门或建设行业协会或学会颁发的，若颁发单位是行业协会或学会，须同时提供该颁发单位在“中国社会组织公共服务平台”网站(https://chinanpo.mca.gov.cn)登记的查询结果截图，否则该获奖证书不予认定。，时间以证书的颁发时间为准；未提供上述材料的不得分。获多个奖项的，按最高级别计取得分。</w:t>
      </w:r>
    </w:p>
    <w:p w14:paraId="2A3B1F5D">
      <w:pPr>
        <w:ind w:firstLine="422" w:firstLineChars="200"/>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w:t>
      </w:r>
      <w:r>
        <w:rPr>
          <w:rFonts w:ascii="宋体" w:hAnsi="宋体" w:cs="宋体"/>
          <w:b/>
          <w:color w:val="auto"/>
          <w:szCs w:val="21"/>
          <w:highlight w:val="none"/>
        </w:rPr>
        <w:t>第三方评价</w:t>
      </w:r>
      <w:r>
        <w:rPr>
          <w:rFonts w:hint="eastAsia" w:ascii="宋体" w:hAnsi="宋体"/>
          <w:b/>
          <w:color w:val="auto"/>
          <w:szCs w:val="21"/>
          <w:highlight w:val="none"/>
        </w:rPr>
        <w:t>：</w:t>
      </w:r>
    </w:p>
    <w:p w14:paraId="35F76BC2">
      <w:pPr>
        <w:ind w:firstLine="420" w:firstLineChars="200"/>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科技创新先进企业类证书须提供省级或以上建设行政主管部门或建设行业协会或学会颁发的证书扫描件和获奖网页信息截图，如颁发单位为协会或学会颁发的需在民政部门备案，且提供其在“中国社会组织政务服务平台”网站（https://chinanpo.mca.gov.cn/）查询结果的网页信息，时间以证书载明的评价年度为准，每个年度只计算一次奖项，不得重复计算；不符合上述条件或未提供上述资料的奖项不计分。</w:t>
      </w:r>
    </w:p>
    <w:p w14:paraId="0881A317">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5.设计和施工的融合措施：</w:t>
      </w:r>
    </w:p>
    <w:p w14:paraId="70B29628">
      <w:pPr>
        <w:adjustRightInd/>
        <w:snapToGrid/>
        <w:ind w:firstLine="420" w:firstLineChars="200"/>
        <w:jc w:val="left"/>
        <w:rPr>
          <w:rFonts w:hint="eastAsia" w:ascii="宋体" w:hAnsi="宋体"/>
          <w:color w:val="auto"/>
          <w:szCs w:val="21"/>
          <w:highlight w:val="none"/>
        </w:rPr>
      </w:pPr>
      <w:r>
        <w:rPr>
          <w:rFonts w:hint="eastAsia" w:ascii="宋体" w:hAnsi="宋体" w:cs="Times New Roman"/>
          <w:bCs w:val="0"/>
          <w:color w:val="auto"/>
          <w:szCs w:val="21"/>
          <w:highlight w:val="none"/>
        </w:rPr>
        <w:t>（1）设计和施工的融合措施</w:t>
      </w:r>
      <w:r>
        <w:rPr>
          <w:rFonts w:hint="eastAsia" w:ascii="宋体" w:hAnsi="宋体"/>
          <w:color w:val="auto"/>
          <w:szCs w:val="21"/>
          <w:highlight w:val="none"/>
        </w:rPr>
        <w:t>人员仅指本公司人员，不含子母公司，含分公司；如投标人为集团公司，则不含集团下属子公司，专指集团本部人员及集团分公司，同样下属子公司也不得使用集团公司及集团分公司的人员。项目管理机构人员不能兼任，不重复计算得分。</w:t>
      </w:r>
    </w:p>
    <w:p w14:paraId="2B3E9045">
      <w:pPr>
        <w:adjustRightInd/>
        <w:snapToGrid/>
        <w:ind w:firstLine="420" w:firstLineChars="200"/>
        <w:jc w:val="left"/>
        <w:rPr>
          <w:rFonts w:hint="eastAsia" w:ascii="宋体" w:hAnsi="宋体"/>
          <w:color w:val="auto"/>
          <w:szCs w:val="21"/>
          <w:highlight w:val="none"/>
        </w:rPr>
      </w:pPr>
      <w:r>
        <w:rPr>
          <w:rFonts w:hint="eastAsia" w:ascii="宋体" w:hAnsi="宋体"/>
          <w:color w:val="auto"/>
          <w:szCs w:val="21"/>
          <w:highlight w:val="none"/>
        </w:rPr>
        <w:t>（2）须同时提供拟投入人员的相关职称证书或执业资格证书等相关证明材料以及招标公告发布之日起近1个月（202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月）在本单位或其分公司的社保缴纳证明材料扫描件并加盖投标人电子公章；未提供相应的证明资料或所提供的证明资料不符合要求的，该人员不予计算得分。</w:t>
      </w:r>
    </w:p>
    <w:p w14:paraId="57A8B771">
      <w:pPr>
        <w:adjustRightInd/>
        <w:snapToGrid/>
        <w:ind w:firstLine="420" w:firstLineChars="200"/>
        <w:jc w:val="left"/>
        <w:rPr>
          <w:rFonts w:hint="eastAsia" w:ascii="宋体" w:hAnsi="宋体"/>
          <w:color w:val="auto"/>
          <w:szCs w:val="21"/>
          <w:highlight w:val="none"/>
        </w:rPr>
      </w:pPr>
      <w:r>
        <w:rPr>
          <w:rFonts w:hint="eastAsia" w:ascii="宋体" w:hAnsi="宋体"/>
          <w:color w:val="auto"/>
          <w:szCs w:val="21"/>
          <w:highlight w:val="none"/>
        </w:rPr>
        <w:t>（3）从业经历年限以毕业证书（大学专科或以上学历）的核发时间至投标文件递交截止日期为准。</w:t>
      </w:r>
    </w:p>
    <w:p w14:paraId="359FD292">
      <w:pPr>
        <w:adjustRightInd/>
        <w:snapToGrid/>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注册造价工程师或一级注册造价工程师要求提供注册造价工程师证书和注册造价工程师注册信息查询网站（http://zaojiasys.jianshe99.com/cecaopsys/queryAndSearch/view.do?op=queryUserInfoInit）查询结果网页截图；二级注册造价工程师要求提供有效期内的注册造价工程师证书。</w:t>
      </w:r>
    </w:p>
    <w:p w14:paraId="1CB34E85">
      <w:pPr>
        <w:adjustRightInd/>
        <w:snapToGrid/>
        <w:ind w:firstLine="420" w:firstLineChars="200"/>
        <w:jc w:val="left"/>
        <w:rPr>
          <w:rFonts w:hint="eastAsia" w:ascii="宋体" w:hAnsi="宋体" w:cs="Times New Roman"/>
          <w:bCs w:val="0"/>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）项目负责人、技术负责人、质量负责人、安全负责人、造价负责人不得兼任，且安全负责人不能同时兼任专职安全员。</w:t>
      </w:r>
    </w:p>
    <w:p w14:paraId="18C8A571">
      <w:pPr>
        <w:spacing w:line="240" w:lineRule="auto"/>
        <w:ind w:firstLine="420" w:firstLineChars="200"/>
        <w:jc w:val="left"/>
        <w:rPr>
          <w:color w:val="auto"/>
          <w:highlight w:val="none"/>
        </w:rPr>
      </w:pP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中标单位需准备投标文件涉及的所有原件待查，如原件不符的，招标人有权认为其中标无效并将相关情况上报给有关行政监督部门，由有关行政监督部门按照情节严重程度予以相应处罚。</w:t>
      </w:r>
    </w:p>
    <w:p w14:paraId="5A559496">
      <w:pPr>
        <w:spacing w:line="240" w:lineRule="auto"/>
        <w:outlineLvl w:val="9"/>
        <w:rPr>
          <w:rFonts w:hint="eastAsia" w:ascii="宋体" w:hAnsi="宋体" w:cs="宋体"/>
          <w:b/>
          <w:bCs/>
          <w:color w:val="auto"/>
          <w:sz w:val="32"/>
          <w:szCs w:val="32"/>
          <w:highlight w:val="none"/>
        </w:rPr>
      </w:pPr>
      <w:bookmarkStart w:id="443" w:name="_Toc247527625"/>
      <w:bookmarkStart w:id="444" w:name="_Toc152045600"/>
      <w:bookmarkStart w:id="445" w:name="_Toc25110"/>
      <w:bookmarkStart w:id="446" w:name="_Toc28120"/>
      <w:bookmarkStart w:id="447" w:name="_Toc247514024"/>
      <w:bookmarkStart w:id="448" w:name="_Toc144974567"/>
      <w:bookmarkStart w:id="449" w:name="_Toc152042377"/>
      <w:r>
        <w:rPr>
          <w:rFonts w:hint="eastAsia" w:ascii="宋体" w:hAnsi="宋体" w:cs="宋体"/>
          <w:b/>
          <w:bCs/>
          <w:color w:val="auto"/>
          <w:sz w:val="32"/>
          <w:szCs w:val="32"/>
          <w:highlight w:val="none"/>
        </w:rPr>
        <w:br w:type="page"/>
      </w:r>
    </w:p>
    <w:p w14:paraId="3D6DD2E7">
      <w:pPr>
        <w:spacing w:line="360" w:lineRule="auto"/>
        <w:outlineLvl w:val="1"/>
        <w:rPr>
          <w:rFonts w:hint="eastAsia" w:ascii="宋体" w:hAnsi="宋体" w:cs="宋体"/>
          <w:color w:val="auto"/>
          <w:highlight w:val="none"/>
        </w:rPr>
      </w:pPr>
      <w:r>
        <w:rPr>
          <w:rFonts w:hint="eastAsia" w:ascii="宋体" w:hAnsi="宋体" w:cs="宋体"/>
          <w:b/>
          <w:bCs/>
          <w:color w:val="auto"/>
          <w:sz w:val="32"/>
          <w:szCs w:val="32"/>
          <w:highlight w:val="none"/>
        </w:rPr>
        <w:t>1. 评标方法</w:t>
      </w:r>
      <w:bookmarkEnd w:id="443"/>
      <w:bookmarkEnd w:id="444"/>
      <w:bookmarkEnd w:id="445"/>
      <w:bookmarkEnd w:id="446"/>
      <w:bookmarkEnd w:id="447"/>
      <w:bookmarkEnd w:id="448"/>
      <w:bookmarkEnd w:id="449"/>
    </w:p>
    <w:p w14:paraId="176D86F8">
      <w:pPr>
        <w:spacing w:line="360" w:lineRule="auto"/>
        <w:ind w:firstLine="420" w:firstLineChars="200"/>
        <w:rPr>
          <w:rFonts w:hint="eastAsia" w:ascii="宋体" w:hAnsi="宋体" w:cs="宋体"/>
          <w:color w:val="auto"/>
          <w:highlight w:val="none"/>
          <w:u w:val="single"/>
        </w:rPr>
      </w:pPr>
      <w:bookmarkStart w:id="450" w:name="_Toc152045601"/>
      <w:bookmarkStart w:id="451" w:name="_Toc29422"/>
      <w:bookmarkStart w:id="452" w:name="_Toc247514025"/>
      <w:bookmarkStart w:id="453" w:name="_Toc152042378"/>
      <w:bookmarkStart w:id="454" w:name="_Toc144974568"/>
      <w:bookmarkStart w:id="455" w:name="_Toc247527626"/>
      <w:r>
        <w:rPr>
          <w:rFonts w:hint="eastAsia" w:ascii="宋体" w:hAnsi="宋体" w:cs="宋体"/>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ascii="宋体" w:hAnsi="宋体" w:cs="宋体"/>
          <w:color w:val="auto"/>
          <w:highlight w:val="none"/>
          <w:u w:val="single"/>
        </w:rPr>
        <w:t>总分相同的，以工程承包实施方案评审得分较高的排前；总分与工程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r>
        <w:rPr>
          <w:rFonts w:hint="eastAsia" w:ascii="宋体" w:hAnsi="宋体" w:cs="宋体"/>
          <w:color w:val="auto"/>
          <w:highlight w:val="none"/>
        </w:rPr>
        <w:t>。</w:t>
      </w:r>
    </w:p>
    <w:p w14:paraId="5DB75859">
      <w:pPr>
        <w:pStyle w:val="5"/>
        <w:spacing w:line="360" w:lineRule="auto"/>
        <w:rPr>
          <w:rFonts w:hint="eastAsia" w:ascii="宋体" w:hAnsi="宋体" w:eastAsia="宋体" w:cs="宋体"/>
          <w:color w:val="auto"/>
          <w:highlight w:val="none"/>
        </w:rPr>
      </w:pPr>
      <w:bookmarkStart w:id="456" w:name="_Toc27267"/>
      <w:bookmarkStart w:id="457" w:name="_Toc27247"/>
      <w:r>
        <w:rPr>
          <w:rFonts w:hint="eastAsia" w:ascii="宋体" w:hAnsi="宋体" w:eastAsia="宋体" w:cs="宋体"/>
          <w:color w:val="auto"/>
          <w:highlight w:val="none"/>
        </w:rPr>
        <w:t>2. 评审标准</w:t>
      </w:r>
      <w:bookmarkEnd w:id="450"/>
      <w:bookmarkEnd w:id="451"/>
      <w:bookmarkEnd w:id="452"/>
      <w:bookmarkEnd w:id="453"/>
      <w:bookmarkEnd w:id="454"/>
      <w:bookmarkEnd w:id="455"/>
      <w:bookmarkEnd w:id="456"/>
      <w:bookmarkEnd w:id="457"/>
    </w:p>
    <w:p w14:paraId="06DB3775">
      <w:pPr>
        <w:pStyle w:val="6"/>
        <w:spacing w:line="360" w:lineRule="auto"/>
        <w:rPr>
          <w:rFonts w:hint="eastAsia" w:ascii="宋体" w:eastAsia="宋体" w:cs="宋体"/>
          <w:color w:val="auto"/>
          <w:highlight w:val="none"/>
        </w:rPr>
      </w:pPr>
      <w:bookmarkStart w:id="458" w:name="_Toc247527627"/>
      <w:bookmarkStart w:id="459" w:name="_Toc20319"/>
      <w:bookmarkStart w:id="460" w:name="_Toc152045602"/>
      <w:bookmarkStart w:id="461" w:name="_Toc3043"/>
      <w:bookmarkStart w:id="462" w:name="_Toc20272"/>
      <w:bookmarkStart w:id="463" w:name="_Toc152042379"/>
      <w:bookmarkStart w:id="464" w:name="_Toc247514026"/>
      <w:bookmarkStart w:id="465" w:name="_Toc20046"/>
      <w:bookmarkStart w:id="466" w:name="_Toc144974569"/>
      <w:r>
        <w:rPr>
          <w:rFonts w:hint="eastAsia" w:ascii="宋体" w:eastAsia="宋体" w:cs="宋体"/>
          <w:color w:val="auto"/>
          <w:highlight w:val="none"/>
        </w:rPr>
        <w:t>2.1 初步评审标准</w:t>
      </w:r>
      <w:bookmarkEnd w:id="458"/>
      <w:bookmarkEnd w:id="459"/>
      <w:bookmarkEnd w:id="460"/>
      <w:bookmarkEnd w:id="461"/>
      <w:bookmarkEnd w:id="462"/>
      <w:bookmarkEnd w:id="463"/>
      <w:bookmarkEnd w:id="464"/>
      <w:bookmarkEnd w:id="465"/>
      <w:bookmarkEnd w:id="466"/>
    </w:p>
    <w:p w14:paraId="4F87BC5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2.1.1 形式评审标准：见评标办法前附表。</w:t>
      </w:r>
    </w:p>
    <w:p w14:paraId="132831A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2.1.2 资格评审标准：见评标办法前附表。</w:t>
      </w:r>
    </w:p>
    <w:p w14:paraId="25482C14">
      <w:pPr>
        <w:spacing w:line="360" w:lineRule="auto"/>
        <w:ind w:firstLine="420" w:firstLineChars="200"/>
        <w:rPr>
          <w:rFonts w:hint="eastAsia" w:ascii="新宋体" w:hAnsi="新宋体" w:eastAsia="新宋体" w:cs="新宋体"/>
          <w:color w:val="auto"/>
          <w:highlight w:val="none"/>
        </w:rPr>
      </w:pPr>
      <w:bookmarkStart w:id="467" w:name="_Toc247514027"/>
      <w:bookmarkStart w:id="468" w:name="_Toc10133"/>
      <w:bookmarkStart w:id="469" w:name="_Toc152045603"/>
      <w:bookmarkStart w:id="470" w:name="_Toc12471"/>
      <w:bookmarkStart w:id="471" w:name="_Toc15561"/>
      <w:bookmarkStart w:id="472" w:name="_Toc144974570"/>
      <w:bookmarkStart w:id="473" w:name="_Toc247527628"/>
      <w:bookmarkStart w:id="474" w:name="_Toc152042380"/>
      <w:r>
        <w:rPr>
          <w:rFonts w:hint="eastAsia" w:ascii="新宋体" w:hAnsi="新宋体" w:eastAsia="新宋体" w:cs="新宋体"/>
          <w:color w:val="auto"/>
          <w:highlight w:val="none"/>
        </w:rPr>
        <w:t>2.1.3</w:t>
      </w:r>
      <w:r>
        <w:rPr>
          <w:rFonts w:hint="eastAsia" w:ascii="新宋体" w:hAnsi="新宋体" w:eastAsia="新宋体" w:cs="新宋体"/>
          <w:color w:val="auto"/>
          <w:highlight w:val="none"/>
          <w:u w:val="single"/>
        </w:rPr>
        <w:t>设计方案文件响应性评审标准：见评标办法前附表。</w:t>
      </w:r>
    </w:p>
    <w:p w14:paraId="35B93BDF">
      <w:pPr>
        <w:spacing w:line="360" w:lineRule="auto"/>
        <w:ind w:firstLine="420" w:firstLineChars="200"/>
        <w:rPr>
          <w:rFonts w:hint="eastAsia" w:ascii="新宋体" w:hAnsi="新宋体" w:eastAsia="新宋体" w:cs="新宋体"/>
          <w:color w:val="auto"/>
          <w:highlight w:val="none"/>
        </w:rPr>
      </w:pPr>
      <w:r>
        <w:rPr>
          <w:rFonts w:hint="eastAsia" w:ascii="新宋体" w:hAnsi="新宋体" w:eastAsia="新宋体" w:cs="新宋体"/>
          <w:color w:val="auto"/>
          <w:highlight w:val="none"/>
        </w:rPr>
        <w:t>2.1.4</w:t>
      </w:r>
      <w:r>
        <w:rPr>
          <w:rFonts w:hint="eastAsia" w:ascii="宋体" w:hAnsi="宋体" w:cs="宋体"/>
          <w:color w:val="auto"/>
          <w:szCs w:val="21"/>
          <w:highlight w:val="none"/>
          <w:u w:val="single"/>
        </w:rPr>
        <w:t>工程承包实施方案</w:t>
      </w:r>
      <w:r>
        <w:rPr>
          <w:rFonts w:hint="eastAsia" w:ascii="新宋体" w:hAnsi="新宋体" w:eastAsia="新宋体" w:cs="新宋体"/>
          <w:color w:val="auto"/>
          <w:highlight w:val="none"/>
          <w:u w:val="single"/>
        </w:rPr>
        <w:t>响应性评审标标准：见评标办法前附表</w:t>
      </w:r>
      <w:r>
        <w:rPr>
          <w:rFonts w:hint="eastAsia" w:ascii="新宋体" w:hAnsi="新宋体" w:eastAsia="新宋体" w:cs="新宋体"/>
          <w:color w:val="auto"/>
          <w:highlight w:val="none"/>
        </w:rPr>
        <w:t>。</w:t>
      </w:r>
    </w:p>
    <w:p w14:paraId="622587D2">
      <w:pPr>
        <w:pStyle w:val="6"/>
        <w:spacing w:line="360" w:lineRule="auto"/>
        <w:rPr>
          <w:rFonts w:hint="eastAsia" w:ascii="宋体" w:eastAsia="宋体" w:cs="宋体"/>
          <w:color w:val="auto"/>
          <w:highlight w:val="none"/>
        </w:rPr>
      </w:pPr>
      <w:bookmarkStart w:id="475" w:name="_Toc2431"/>
      <w:r>
        <w:rPr>
          <w:rFonts w:hint="eastAsia" w:ascii="宋体" w:eastAsia="宋体" w:cs="宋体"/>
          <w:color w:val="auto"/>
          <w:highlight w:val="none"/>
        </w:rPr>
        <w:t>2.2 分值构成与评分标准</w:t>
      </w:r>
      <w:bookmarkEnd w:id="467"/>
      <w:bookmarkEnd w:id="468"/>
      <w:bookmarkEnd w:id="469"/>
      <w:bookmarkEnd w:id="470"/>
      <w:bookmarkEnd w:id="471"/>
      <w:bookmarkEnd w:id="472"/>
      <w:bookmarkEnd w:id="473"/>
      <w:bookmarkEnd w:id="474"/>
      <w:bookmarkEnd w:id="475"/>
    </w:p>
    <w:p w14:paraId="46CFB6C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2.2.1 分值构成</w:t>
      </w:r>
    </w:p>
    <w:p w14:paraId="36BC462F">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（1）设计方案：见评标办法前附表；</w:t>
      </w:r>
    </w:p>
    <w:p w14:paraId="7DCA4279">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（2）工程承包实施方案：见评标办法前附表；</w:t>
      </w:r>
    </w:p>
    <w:p w14:paraId="69C41E4B">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（3）投标报价：见评标办法前附表；</w:t>
      </w:r>
    </w:p>
    <w:p w14:paraId="0620427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2.2.2 评标基准价计算</w:t>
      </w:r>
    </w:p>
    <w:p w14:paraId="22E15A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评标基准价计算方法：见评标办法前附表。</w:t>
      </w:r>
    </w:p>
    <w:p w14:paraId="6589CE0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2.2.3 投标报价的偏差率计算</w:t>
      </w:r>
    </w:p>
    <w:p w14:paraId="786CC9E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投标报价的偏差率计算公式：见评标办法前附表。</w:t>
      </w:r>
    </w:p>
    <w:p w14:paraId="14F8D74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2.2.4 评分标准</w:t>
      </w:r>
    </w:p>
    <w:p w14:paraId="15439E74">
      <w:pPr>
        <w:spacing w:line="360" w:lineRule="auto"/>
        <w:ind w:firstLine="420" w:firstLineChars="200"/>
        <w:rPr>
          <w:rFonts w:hint="eastAsia" w:ascii="宋体" w:hAnsi="宋体" w:cs="宋体"/>
          <w:color w:val="auto"/>
          <w:highlight w:val="none"/>
          <w:u w:val="single"/>
        </w:rPr>
      </w:pPr>
      <w:bookmarkStart w:id="476" w:name="_Toc247527629"/>
      <w:bookmarkStart w:id="477" w:name="_Toc20112"/>
      <w:bookmarkStart w:id="478" w:name="_Toc247514028"/>
      <w:bookmarkStart w:id="479" w:name="_Toc18562"/>
      <w:bookmarkStart w:id="480" w:name="_Toc152042381"/>
      <w:bookmarkStart w:id="481" w:name="_Toc152045604"/>
      <w:bookmarkStart w:id="482" w:name="_Toc144974571"/>
      <w:r>
        <w:rPr>
          <w:rFonts w:hint="eastAsia" w:ascii="宋体" w:hAnsi="宋体" w:cs="宋体"/>
          <w:color w:val="auto"/>
          <w:highlight w:val="none"/>
          <w:u w:val="single"/>
        </w:rPr>
        <w:t>（1）设计方案评分标准：见评标办法前附表；</w:t>
      </w:r>
    </w:p>
    <w:p w14:paraId="1481B9CC">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（2）工程承包实施方案评分标准：见评标办法前附表；</w:t>
      </w:r>
    </w:p>
    <w:p w14:paraId="32E9FB93">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（3）投标报价评分标准：见评标办法前附表；</w:t>
      </w:r>
    </w:p>
    <w:p w14:paraId="168378F8">
      <w:pPr>
        <w:pStyle w:val="5"/>
        <w:rPr>
          <w:rFonts w:hint="eastAsia" w:ascii="宋体" w:hAnsi="宋体" w:eastAsia="宋体" w:cs="宋体"/>
          <w:color w:val="auto"/>
          <w:highlight w:val="none"/>
        </w:rPr>
      </w:pPr>
      <w:bookmarkStart w:id="483" w:name="_Toc15100"/>
      <w:r>
        <w:rPr>
          <w:rFonts w:hint="eastAsia" w:ascii="宋体" w:hAnsi="宋体" w:eastAsia="宋体" w:cs="宋体"/>
          <w:color w:val="auto"/>
          <w:highlight w:val="none"/>
        </w:rPr>
        <w:t>3. 评标程序</w:t>
      </w:r>
      <w:bookmarkEnd w:id="476"/>
      <w:bookmarkEnd w:id="477"/>
      <w:bookmarkEnd w:id="478"/>
      <w:bookmarkEnd w:id="479"/>
      <w:bookmarkEnd w:id="480"/>
      <w:bookmarkEnd w:id="481"/>
      <w:bookmarkEnd w:id="482"/>
      <w:bookmarkEnd w:id="483"/>
    </w:p>
    <w:p w14:paraId="46B1F1C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本项目采取电子评标。投标文件设计方案、形式审查、资格审查（适用于资格后审项目）、工程承包实施方案和投标报价的评审及评审汇总由综合组评标委员会负责。</w:t>
      </w:r>
    </w:p>
    <w:p w14:paraId="4039EFEF">
      <w:pPr>
        <w:pStyle w:val="6"/>
        <w:spacing w:before="120" w:after="0" w:line="360" w:lineRule="auto"/>
        <w:rPr>
          <w:rFonts w:hint="eastAsia" w:ascii="宋体" w:eastAsia="宋体" w:cs="宋体"/>
          <w:color w:val="auto"/>
          <w:highlight w:val="none"/>
          <w:u w:val="single"/>
        </w:rPr>
      </w:pPr>
      <w:bookmarkStart w:id="484" w:name="_Toc33695049"/>
      <w:bookmarkStart w:id="485" w:name="_Toc29241"/>
      <w:bookmarkStart w:id="486" w:name="_Toc30970"/>
      <w:bookmarkStart w:id="487" w:name="_Toc28552"/>
      <w:bookmarkStart w:id="488" w:name="_Toc31270"/>
      <w:bookmarkStart w:id="489" w:name="_Toc25126"/>
      <w:r>
        <w:rPr>
          <w:rFonts w:hint="eastAsia" w:ascii="宋体" w:eastAsia="宋体" w:cs="宋体"/>
          <w:color w:val="auto"/>
          <w:highlight w:val="none"/>
          <w:u w:val="single"/>
        </w:rPr>
        <w:t>3.1设计方案评审</w:t>
      </w:r>
      <w:bookmarkEnd w:id="484"/>
      <w:bookmarkEnd w:id="485"/>
      <w:bookmarkEnd w:id="486"/>
      <w:bookmarkEnd w:id="487"/>
      <w:bookmarkEnd w:id="488"/>
      <w:bookmarkEnd w:id="489"/>
    </w:p>
    <w:p w14:paraId="6A3C66B6">
      <w:pPr>
        <w:spacing w:line="360" w:lineRule="auto"/>
        <w:ind w:firstLine="457" w:firstLineChars="218"/>
        <w:rPr>
          <w:rFonts w:hint="eastAsia" w:ascii="宋体" w:hAnsi="宋体" w:cs="宋体"/>
          <w:color w:val="auto"/>
          <w:szCs w:val="21"/>
          <w:highlight w:val="none"/>
          <w:u w:val="single"/>
        </w:rPr>
      </w:pPr>
      <w:r>
        <w:rPr>
          <w:rFonts w:hint="eastAsia" w:ascii="宋体" w:hAnsi="宋体" w:cs="宋体"/>
          <w:color w:val="auto"/>
          <w:szCs w:val="21"/>
          <w:highlight w:val="none"/>
          <w:u w:val="single"/>
        </w:rPr>
        <w:t>3.1.1</w:t>
      </w:r>
      <w:r>
        <w:rPr>
          <w:rFonts w:hint="eastAsia" w:ascii="宋体" w:cs="宋体"/>
          <w:color w:val="auto"/>
          <w:highlight w:val="none"/>
          <w:u w:val="single"/>
        </w:rPr>
        <w:t>评标委员会</w:t>
      </w:r>
      <w:r>
        <w:rPr>
          <w:rFonts w:hint="eastAsia" w:ascii="宋体" w:hAnsi="宋体" w:cs="宋体"/>
          <w:color w:val="auto"/>
          <w:szCs w:val="21"/>
          <w:highlight w:val="none"/>
          <w:u w:val="single"/>
        </w:rPr>
        <w:t>评委按</w:t>
      </w:r>
      <w:r>
        <w:rPr>
          <w:rFonts w:hint="eastAsia" w:ascii="宋体" w:hAnsi="宋体" w:cs="宋体"/>
          <w:color w:val="auto"/>
          <w:highlight w:val="none"/>
          <w:u w:val="single"/>
        </w:rPr>
        <w:t>设计方案文件响应性审查标准（详见前</w:t>
      </w:r>
      <w:r>
        <w:rPr>
          <w:rFonts w:hint="eastAsia" w:ascii="宋体" w:hAnsi="宋体" w:cs="宋体"/>
          <w:color w:val="auto"/>
          <w:szCs w:val="21"/>
          <w:highlight w:val="none"/>
          <w:u w:val="single"/>
        </w:rPr>
        <w:t>附表</w:t>
      </w:r>
      <w:r>
        <w:rPr>
          <w:rFonts w:hint="eastAsia" w:ascii="宋体" w:hAnsi="宋体" w:cs="宋体"/>
          <w:color w:val="auto"/>
          <w:highlight w:val="none"/>
          <w:u w:val="single"/>
        </w:rPr>
        <w:t>）</w:t>
      </w:r>
      <w:r>
        <w:rPr>
          <w:rFonts w:hint="eastAsia" w:ascii="宋体" w:hAnsi="宋体" w:cs="宋体"/>
          <w:color w:val="auto"/>
          <w:szCs w:val="21"/>
          <w:highlight w:val="none"/>
          <w:u w:val="single"/>
        </w:rPr>
        <w:t>对所有成功解密的设计标投标文件进行评审，只有通过响应性审查的设计标投标文件方可进入下一阶段的评审。如果有否决投标提议，则</w:t>
      </w:r>
      <w:r>
        <w:rPr>
          <w:rFonts w:hint="eastAsia" w:ascii="宋体" w:cs="宋体"/>
          <w:color w:val="auto"/>
          <w:highlight w:val="none"/>
          <w:u w:val="single"/>
        </w:rPr>
        <w:t>评标委员会</w:t>
      </w:r>
      <w:r>
        <w:rPr>
          <w:rFonts w:hint="eastAsia" w:ascii="宋体" w:hAnsi="宋体" w:cs="宋体"/>
          <w:color w:val="auto"/>
          <w:szCs w:val="21"/>
          <w:highlight w:val="none"/>
          <w:u w:val="single"/>
        </w:rPr>
        <w:t>成员共同表决，按照少数服从多数的原则决定是否否决其投标。</w:t>
      </w:r>
      <w:bookmarkStart w:id="583" w:name="_GoBack"/>
      <w:bookmarkEnd w:id="583"/>
    </w:p>
    <w:p w14:paraId="014C0D75">
      <w:pPr>
        <w:spacing w:line="360" w:lineRule="auto"/>
        <w:ind w:firstLine="457" w:firstLineChars="218"/>
        <w:rPr>
          <w:rFonts w:hint="eastAsia" w:ascii="宋体" w:hAnsi="宋体" w:cs="宋体"/>
          <w:color w:val="auto"/>
          <w:szCs w:val="21"/>
          <w:highlight w:val="none"/>
          <w:u w:val="single"/>
        </w:rPr>
      </w:pPr>
      <w:r>
        <w:rPr>
          <w:rFonts w:hint="eastAsia" w:ascii="宋体" w:hAnsi="宋体" w:cs="宋体"/>
          <w:color w:val="auto"/>
          <w:szCs w:val="21"/>
          <w:highlight w:val="none"/>
          <w:u w:val="single"/>
        </w:rPr>
        <w:t>3.1.2</w:t>
      </w:r>
      <w:r>
        <w:rPr>
          <w:rFonts w:hint="eastAsia" w:ascii="宋体" w:cs="宋体"/>
          <w:color w:val="auto"/>
          <w:highlight w:val="none"/>
          <w:u w:val="single"/>
        </w:rPr>
        <w:t>评标委员会</w:t>
      </w:r>
      <w:r>
        <w:rPr>
          <w:rFonts w:hint="eastAsia" w:ascii="宋体" w:hAnsi="宋体" w:cs="宋体"/>
          <w:color w:val="auto"/>
          <w:szCs w:val="21"/>
          <w:highlight w:val="none"/>
          <w:u w:val="single"/>
        </w:rPr>
        <w:t>评委按设计方案评分标准（详见前附表）对各设计标投标文件进行评分。</w:t>
      </w:r>
    </w:p>
    <w:p w14:paraId="6BA673B7">
      <w:pPr>
        <w:spacing w:line="360" w:lineRule="auto"/>
        <w:ind w:firstLine="457" w:firstLineChars="218"/>
        <w:rPr>
          <w:rFonts w:hint="eastAsia" w:ascii="宋体" w:hAnsi="宋体" w:cs="宋体"/>
          <w:color w:val="auto"/>
          <w:szCs w:val="21"/>
          <w:highlight w:val="none"/>
          <w:u w:val="single"/>
        </w:rPr>
      </w:pPr>
      <w:r>
        <w:rPr>
          <w:rFonts w:hint="eastAsia" w:ascii="宋体" w:hAnsi="宋体" w:cs="宋体"/>
          <w:color w:val="auto"/>
          <w:szCs w:val="21"/>
          <w:highlight w:val="none"/>
          <w:u w:val="single"/>
        </w:rPr>
        <w:t>3.1.3算术平均各</w:t>
      </w:r>
      <w:r>
        <w:rPr>
          <w:rFonts w:hint="eastAsia" w:ascii="宋体" w:cs="宋体"/>
          <w:color w:val="auto"/>
          <w:highlight w:val="none"/>
          <w:u w:val="single"/>
        </w:rPr>
        <w:t>评标委员会</w:t>
      </w:r>
      <w:r>
        <w:rPr>
          <w:rFonts w:hint="eastAsia" w:ascii="宋体" w:hAnsi="宋体" w:cs="宋体"/>
          <w:color w:val="auto"/>
          <w:szCs w:val="21"/>
          <w:highlight w:val="none"/>
          <w:u w:val="single"/>
        </w:rPr>
        <w:t>评委评分，得出每个投标人设计方案部分得分，分数出现小数点，保留小数点后二位，第三位小数四舍五入。</w:t>
      </w:r>
    </w:p>
    <w:p w14:paraId="3D0776E8">
      <w:pPr>
        <w:spacing w:line="360" w:lineRule="auto"/>
        <w:ind w:firstLine="457" w:firstLineChars="218"/>
        <w:rPr>
          <w:rFonts w:hint="eastAsia" w:ascii="宋体" w:hAnsi="宋体" w:cs="宋体"/>
          <w:color w:val="auto"/>
          <w:szCs w:val="21"/>
          <w:highlight w:val="none"/>
          <w:u w:val="single"/>
        </w:rPr>
      </w:pPr>
      <w:r>
        <w:rPr>
          <w:rFonts w:hint="eastAsia" w:ascii="宋体" w:hAnsi="宋体" w:cs="宋体"/>
          <w:color w:val="auto"/>
          <w:szCs w:val="21"/>
          <w:highlight w:val="none"/>
          <w:u w:val="single"/>
        </w:rPr>
        <w:t>3.1.4</w:t>
      </w:r>
      <w:r>
        <w:rPr>
          <w:rFonts w:hint="eastAsia" w:ascii="宋体" w:cs="宋体"/>
          <w:color w:val="auto"/>
          <w:highlight w:val="none"/>
          <w:u w:val="single"/>
        </w:rPr>
        <w:t>评标委员会</w:t>
      </w:r>
      <w:r>
        <w:rPr>
          <w:rFonts w:hint="eastAsia" w:ascii="宋体" w:hAnsi="宋体" w:cs="宋体"/>
          <w:color w:val="auto"/>
          <w:szCs w:val="21"/>
          <w:highlight w:val="none"/>
          <w:u w:val="single"/>
        </w:rPr>
        <w:t>评委揭晓投标人身份。</w:t>
      </w:r>
    </w:p>
    <w:p w14:paraId="3E95C63E">
      <w:pPr>
        <w:spacing w:line="360" w:lineRule="auto"/>
        <w:ind w:firstLine="457" w:firstLineChars="218"/>
        <w:rPr>
          <w:rFonts w:hint="eastAsia" w:ascii="宋体" w:hAnsi="宋体" w:cs="宋体"/>
          <w:color w:val="auto"/>
          <w:szCs w:val="21"/>
          <w:highlight w:val="none"/>
          <w:u w:val="single"/>
        </w:rPr>
      </w:pPr>
      <w:r>
        <w:rPr>
          <w:rFonts w:hint="eastAsia" w:ascii="宋体" w:hAnsi="宋体" w:cs="宋体"/>
          <w:color w:val="auto"/>
          <w:szCs w:val="21"/>
          <w:highlight w:val="none"/>
          <w:u w:val="single"/>
        </w:rPr>
        <w:t>3.1.5</w:t>
      </w:r>
      <w:r>
        <w:rPr>
          <w:rFonts w:hint="eastAsia" w:ascii="宋体" w:cs="宋体"/>
          <w:color w:val="auto"/>
          <w:highlight w:val="none"/>
          <w:u w:val="single"/>
        </w:rPr>
        <w:t>评标委员会</w:t>
      </w:r>
      <w:r>
        <w:rPr>
          <w:rFonts w:hint="eastAsia" w:ascii="宋体" w:hAnsi="宋体" w:cs="宋体"/>
          <w:color w:val="auto"/>
          <w:szCs w:val="21"/>
          <w:highlight w:val="none"/>
          <w:u w:val="single"/>
        </w:rPr>
        <w:t>评委按只有通过响应性审查的投标人的投标文件方可进入下一阶段评审的评审原则，在揭晓投标人身份后，根据响应性审查结果，否决未通过响应性评审的投标人的投标，取消其得分，且不再进入得分汇总阶段。</w:t>
      </w:r>
      <w:r>
        <w:rPr>
          <w:rFonts w:hint="eastAsia" w:ascii="宋体" w:cs="宋体"/>
          <w:color w:val="auto"/>
          <w:highlight w:val="none"/>
          <w:u w:val="single"/>
        </w:rPr>
        <w:t>评标委员会</w:t>
      </w:r>
      <w:r>
        <w:rPr>
          <w:rFonts w:hint="eastAsia" w:ascii="宋体" w:hAnsi="宋体" w:cs="宋体"/>
          <w:color w:val="auto"/>
          <w:szCs w:val="21"/>
          <w:highlight w:val="none"/>
          <w:u w:val="single"/>
        </w:rPr>
        <w:t>评委汇总各投标人设计方案部分得分、编写、签署设计方案评标报告，评标报告由</w:t>
      </w:r>
      <w:r>
        <w:rPr>
          <w:rFonts w:hint="eastAsia" w:ascii="宋体" w:cs="宋体"/>
          <w:color w:val="auto"/>
          <w:highlight w:val="none"/>
          <w:u w:val="single"/>
        </w:rPr>
        <w:t>评标委员会</w:t>
      </w:r>
      <w:r>
        <w:rPr>
          <w:rFonts w:hint="eastAsia" w:ascii="宋体" w:hAnsi="宋体" w:cs="宋体"/>
          <w:color w:val="auto"/>
          <w:szCs w:val="21"/>
          <w:highlight w:val="none"/>
          <w:u w:val="single"/>
        </w:rPr>
        <w:t>评委全体成员签名，对评标结论持有异议的评标委员会成员可以书面方式阐述其不同意见和理由。</w:t>
      </w:r>
    </w:p>
    <w:p w14:paraId="2E29FDC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3.1.6</w:t>
      </w:r>
      <w:r>
        <w:rPr>
          <w:rFonts w:hint="eastAsia" w:ascii="宋体" w:cs="宋体"/>
          <w:color w:val="auto"/>
          <w:highlight w:val="none"/>
          <w:u w:val="single"/>
        </w:rPr>
        <w:t>评标委员会</w:t>
      </w:r>
      <w:r>
        <w:rPr>
          <w:rFonts w:hint="eastAsia" w:ascii="宋体" w:hAnsi="宋体" w:cs="宋体"/>
          <w:color w:val="auto"/>
          <w:szCs w:val="21"/>
          <w:highlight w:val="none"/>
          <w:u w:val="single"/>
        </w:rPr>
        <w:t>评委向招标人提交书面设计方案评标报告。</w:t>
      </w:r>
    </w:p>
    <w:p w14:paraId="3457DCCC">
      <w:pPr>
        <w:pStyle w:val="6"/>
        <w:spacing w:before="120" w:after="0" w:line="360" w:lineRule="auto"/>
        <w:rPr>
          <w:rFonts w:hint="eastAsia" w:ascii="宋体" w:eastAsia="宋体" w:cs="宋体"/>
          <w:color w:val="auto"/>
          <w:highlight w:val="none"/>
          <w:u w:val="single"/>
        </w:rPr>
      </w:pPr>
      <w:bookmarkStart w:id="490" w:name="_Toc3343"/>
      <w:bookmarkStart w:id="491" w:name="_Toc11410"/>
      <w:bookmarkStart w:id="492" w:name="_Toc5650"/>
      <w:bookmarkStart w:id="493" w:name="_Toc4286"/>
      <w:bookmarkStart w:id="494" w:name="_Toc33695048"/>
      <w:bookmarkStart w:id="495" w:name="_Toc27541"/>
      <w:bookmarkStart w:id="496" w:name="_Toc439246059"/>
      <w:bookmarkStart w:id="497" w:name="_Toc439240660"/>
      <w:r>
        <w:rPr>
          <w:rFonts w:hint="eastAsia" w:ascii="宋体" w:eastAsia="宋体" w:cs="宋体"/>
          <w:color w:val="auto"/>
          <w:highlight w:val="none"/>
          <w:u w:val="single"/>
        </w:rPr>
        <w:t>3.2形式审查及资格审查</w:t>
      </w:r>
      <w:bookmarkEnd w:id="490"/>
      <w:bookmarkEnd w:id="491"/>
      <w:bookmarkEnd w:id="492"/>
      <w:bookmarkEnd w:id="493"/>
      <w:bookmarkEnd w:id="494"/>
      <w:bookmarkEnd w:id="495"/>
    </w:p>
    <w:p w14:paraId="6424796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3.2.1 形式审查中全部符合形式评审标准（详见前附表）中规定情形的，为形式审查合格。否则为形式审查不合格，经</w:t>
      </w:r>
      <w:r>
        <w:rPr>
          <w:rFonts w:hint="eastAsia" w:ascii="宋体" w:hAnsi="宋体" w:cs="宋体"/>
          <w:color w:val="auto"/>
          <w:highlight w:val="none"/>
          <w:u w:val="single"/>
        </w:rPr>
        <w:t>评标委员会评委共同</w:t>
      </w:r>
      <w:r>
        <w:rPr>
          <w:rFonts w:hint="eastAsia" w:ascii="宋体" w:hAnsi="宋体" w:cs="宋体"/>
          <w:color w:val="auto"/>
          <w:szCs w:val="21"/>
          <w:highlight w:val="none"/>
          <w:u w:val="single"/>
        </w:rPr>
        <w:t>认定后，其投标文件将被拒绝。如</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评委的评审意见不一致时，以</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过半数成员的意见作为</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对该情形的认定结论。</w:t>
      </w:r>
    </w:p>
    <w:p w14:paraId="417D9A6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3.2.2 投标人有以下情形之一的，评标委员会应当否决其投标：</w:t>
      </w:r>
    </w:p>
    <w:p w14:paraId="75808A00">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（1）第二章“投标人须知”第1.4.3项、第1.4.4项规定的任何一种情形的；</w:t>
      </w:r>
    </w:p>
    <w:p w14:paraId="08C2F5E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（2）串通投标或弄虚作假或有其他违法行为的；</w:t>
      </w:r>
    </w:p>
    <w:p w14:paraId="5ADF5C9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（3）不按评标委员会要求澄清、说明或补正的。</w:t>
      </w:r>
    </w:p>
    <w:p w14:paraId="1CE0F3B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3.2.3汇总形式审查情况，只有通过形式审查的投标人方可进入下一阶段的评审。形式审查合格的投标人少于3名的，则本项目招标失败。</w:t>
      </w:r>
    </w:p>
    <w:p w14:paraId="0049295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3.2.4</w:t>
      </w:r>
      <w:r>
        <w:rPr>
          <w:rFonts w:hint="eastAsia" w:ascii="宋体" w:hAnsi="宋体" w:cs="宋体"/>
          <w:color w:val="auto"/>
          <w:highlight w:val="none"/>
          <w:u w:val="single"/>
        </w:rPr>
        <w:t>评标委员会评委</w:t>
      </w:r>
      <w:r>
        <w:rPr>
          <w:rFonts w:hint="eastAsia" w:ascii="宋体" w:hAnsi="宋体" w:cs="宋体"/>
          <w:color w:val="auto"/>
          <w:szCs w:val="21"/>
          <w:highlight w:val="none"/>
          <w:u w:val="single"/>
        </w:rPr>
        <w:t>对所有通过形式审查的投标人进行资格审查。资格审查文件中全部符合</w:t>
      </w:r>
      <w:r>
        <w:rPr>
          <w:rFonts w:hint="eastAsia" w:ascii="宋体" w:hAnsi="宋体" w:cs="宋体"/>
          <w:color w:val="auto"/>
          <w:highlight w:val="none"/>
          <w:u w:val="single"/>
        </w:rPr>
        <w:t>资格评审标准（详见前附表）</w:t>
      </w:r>
      <w:r>
        <w:rPr>
          <w:rFonts w:hint="eastAsia" w:ascii="宋体" w:hAnsi="宋体" w:cs="宋体"/>
          <w:color w:val="auto"/>
          <w:szCs w:val="21"/>
          <w:highlight w:val="none"/>
          <w:u w:val="single"/>
        </w:rPr>
        <w:t>中规定情形的，为资格审查合格。否则为资格审查不合格，经</w:t>
      </w:r>
      <w:r>
        <w:rPr>
          <w:rFonts w:hint="eastAsia" w:ascii="宋体" w:hAnsi="宋体" w:cs="宋体"/>
          <w:color w:val="auto"/>
          <w:highlight w:val="none"/>
          <w:u w:val="single"/>
        </w:rPr>
        <w:t>评标委员会评委共同</w:t>
      </w:r>
      <w:r>
        <w:rPr>
          <w:rFonts w:hint="eastAsia" w:ascii="宋体" w:hAnsi="宋体" w:cs="宋体"/>
          <w:color w:val="auto"/>
          <w:szCs w:val="21"/>
          <w:highlight w:val="none"/>
          <w:u w:val="single"/>
        </w:rPr>
        <w:t>认定后，其投标将被拒绝。如</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评委的评审意见不一致时，以</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过半数成员的意见作为评标委员会对该情形的认定结论。只有通过资格审查的投标人方可进入下一阶段的评审。</w:t>
      </w:r>
    </w:p>
    <w:p w14:paraId="0968582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3.2.5汇总资格审查情况，编写资格审查报告。资格审查合格的投标人少于3名的，则本项目招标失败。</w:t>
      </w:r>
    </w:p>
    <w:p w14:paraId="4B7931D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3.2.6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41FE0E0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特别声明：资审合格后，投标人的资格发生变化而不满足投标人合格条件，在发出中标通知书前，资格问题仍未解决的，招标人将取消其中标资格。</w:t>
      </w:r>
      <w:bookmarkEnd w:id="496"/>
      <w:bookmarkEnd w:id="497"/>
    </w:p>
    <w:p w14:paraId="49C2EAE7">
      <w:pPr>
        <w:pStyle w:val="6"/>
        <w:spacing w:before="120" w:after="0" w:line="360" w:lineRule="auto"/>
        <w:rPr>
          <w:rFonts w:hint="eastAsia" w:ascii="宋体" w:eastAsia="宋体" w:cs="宋体"/>
          <w:bCs w:val="0"/>
          <w:color w:val="auto"/>
          <w:sz w:val="21"/>
          <w:szCs w:val="21"/>
          <w:highlight w:val="none"/>
          <w:u w:val="single"/>
        </w:rPr>
      </w:pPr>
      <w:bookmarkStart w:id="498" w:name="_Toc23107"/>
      <w:bookmarkStart w:id="499" w:name="_Toc33695050"/>
      <w:bookmarkStart w:id="500" w:name="_Toc28376"/>
      <w:bookmarkStart w:id="501" w:name="_Toc439240661"/>
      <w:bookmarkStart w:id="502" w:name="_Toc414"/>
      <w:bookmarkStart w:id="503" w:name="_Toc28052"/>
      <w:bookmarkStart w:id="504" w:name="_Toc439246060"/>
      <w:bookmarkStart w:id="505" w:name="_Toc29953"/>
      <w:r>
        <w:rPr>
          <w:rFonts w:hint="eastAsia" w:ascii="宋体" w:eastAsia="宋体" w:cs="宋体"/>
          <w:color w:val="auto"/>
          <w:highlight w:val="none"/>
          <w:u w:val="single"/>
        </w:rPr>
        <w:t>3.3工程承包实施方案评审</w:t>
      </w:r>
      <w:bookmarkEnd w:id="498"/>
      <w:bookmarkEnd w:id="499"/>
      <w:bookmarkEnd w:id="500"/>
      <w:bookmarkEnd w:id="501"/>
      <w:bookmarkEnd w:id="502"/>
      <w:bookmarkEnd w:id="503"/>
      <w:bookmarkEnd w:id="504"/>
      <w:bookmarkEnd w:id="505"/>
    </w:p>
    <w:p w14:paraId="18A9497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3.3.1工程承包实施方案的响应性审查：通过资格审查的投标文件中没有任一种列于工程承包实施方案响应性评审标准（详见前附表）中情形的，为有效标书。否则为无效标书，经</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评委共同认定后，其投标文件将被拒绝。如</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评委的评审意见不一致时，以</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评委过半数成员的意见作为评标委员会对该情形的认定结论。</w:t>
      </w:r>
    </w:p>
    <w:p w14:paraId="3CC5D56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3.3.2工程承包实施方案详细审查：</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评委按照工程承包实施方案评分标准（详见前附表），对通过响应性审查的投标文件进行详细审查，评分。</w:t>
      </w:r>
    </w:p>
    <w:p w14:paraId="41FD457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3.3.3各投标人工程承包实施方案得分为各评委评分的算术平均值，</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评委按此汇总每个投标人工程承包实施方案详细审查得分，分数出现小数点，保留小数点后二位，第三位小数四舍五入。</w:t>
      </w:r>
    </w:p>
    <w:p w14:paraId="69D2CC11">
      <w:pPr>
        <w:pStyle w:val="6"/>
        <w:spacing w:before="120" w:after="0" w:line="360" w:lineRule="auto"/>
        <w:rPr>
          <w:rFonts w:hint="eastAsia" w:ascii="宋体" w:eastAsia="宋体" w:cs="宋体"/>
          <w:color w:val="auto"/>
          <w:highlight w:val="none"/>
          <w:u w:val="single"/>
        </w:rPr>
      </w:pPr>
      <w:bookmarkStart w:id="506" w:name="_Toc33695051"/>
      <w:bookmarkStart w:id="507" w:name="_Toc439240662"/>
      <w:bookmarkStart w:id="508" w:name="_Toc18805"/>
      <w:bookmarkStart w:id="509" w:name="_Toc8389"/>
      <w:bookmarkStart w:id="510" w:name="_Toc11574"/>
      <w:bookmarkStart w:id="511" w:name="_Toc1078"/>
      <w:bookmarkStart w:id="512" w:name="_Toc439246061"/>
      <w:bookmarkStart w:id="513" w:name="_Toc14774"/>
      <w:r>
        <w:rPr>
          <w:rFonts w:hint="eastAsia" w:ascii="宋体" w:eastAsia="宋体" w:cs="宋体"/>
          <w:color w:val="auto"/>
          <w:highlight w:val="none"/>
          <w:u w:val="single"/>
        </w:rPr>
        <w:t>3.4投标报价得分</w:t>
      </w:r>
      <w:bookmarkEnd w:id="506"/>
      <w:bookmarkEnd w:id="507"/>
      <w:bookmarkEnd w:id="508"/>
      <w:bookmarkEnd w:id="509"/>
      <w:bookmarkEnd w:id="510"/>
      <w:bookmarkEnd w:id="511"/>
      <w:bookmarkEnd w:id="512"/>
      <w:bookmarkEnd w:id="513"/>
    </w:p>
    <w:p w14:paraId="78BD3F8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3.4.1投标报价的算术校核。</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评委对通过工程承包实施方案响应性审查的投标文件的投标报价进行算术校核，具体标准如下：</w:t>
      </w:r>
    </w:p>
    <w:p w14:paraId="56FA45D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r>
        <w:rPr>
          <w:rFonts w:hint="eastAsia" w:ascii="宋体" w:cs="宋体"/>
          <w:color w:val="auto"/>
          <w:szCs w:val="21"/>
          <w:highlight w:val="none"/>
          <w:u w:val="single"/>
        </w:rPr>
        <w:t>如果数字表示的金额和用文字表示的金额不一致时，应以文字表示的金额为准（有以下算术性错误需要修正的除外）；</w:t>
      </w:r>
    </w:p>
    <w:p w14:paraId="08897CC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（2）如果下浮率与最高投标限价乘积不等于投标报价时，以下浮率为准修正投标报价（下浮率有明显的数量级错误的除外，此时应修正下浮率），若修正后的投标报价超过最高投标限价的，作否决投标处理；</w:t>
      </w:r>
    </w:p>
    <w:p w14:paraId="6198392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（3）如果分项报价累加不等总价的，以分项报价累加为准，修正总价；</w:t>
      </w:r>
    </w:p>
    <w:p w14:paraId="257B548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（4）投标文件存在其他计算性错误的，按就低不就高计算并修正；</w:t>
      </w:r>
    </w:p>
    <w:p w14:paraId="3B23784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（5）按上述修正错误的原则及方法调整或修正投标文件的投标报价，调整后的投标报价对投标人起约束作用。如果投标人不接受修正后的报价，则取消其投标资格或中标资格。</w:t>
      </w:r>
    </w:p>
    <w:p w14:paraId="50BA1453">
      <w:pPr>
        <w:spacing w:line="360" w:lineRule="auto"/>
        <w:ind w:firstLine="420" w:firstLineChars="200"/>
        <w:rPr>
          <w:rFonts w:hint="eastAsia" w:ascii="宋体" w:hAnsi="宋体" w:cs="宋体"/>
          <w:color w:val="auto"/>
          <w:szCs w:val="21"/>
          <w:highlight w:val="none"/>
          <w:u w:val="single"/>
        </w:rPr>
      </w:pPr>
      <w:r>
        <w:rPr>
          <w:rFonts w:ascii="宋体" w:hAnsi="宋体" w:cs="宋体"/>
          <w:color w:val="auto"/>
          <w:szCs w:val="21"/>
          <w:highlight w:val="none"/>
          <w:u w:val="single"/>
        </w:rPr>
        <w:t>3.4.2投标报价评分</w:t>
      </w:r>
    </w:p>
    <w:p w14:paraId="624D671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ascii="宋体" w:hAnsi="宋体" w:cs="宋体"/>
          <w:color w:val="auto"/>
          <w:szCs w:val="21"/>
          <w:highlight w:val="none"/>
          <w:u w:val="single"/>
        </w:rPr>
        <w:t>1）通过工程承包实施方案响应性审查且经算术校核的投标总报价位于[投标总报价最高限价×</w:t>
      </w:r>
      <w:r>
        <w:rPr>
          <w:rFonts w:hint="eastAsia" w:ascii="宋体" w:hAnsi="宋体" w:cs="宋体"/>
          <w:color w:val="auto"/>
          <w:szCs w:val="21"/>
          <w:highlight w:val="none"/>
          <w:u w:val="single"/>
          <w:lang w:eastAsia="zh-CN"/>
        </w:rPr>
        <w:t>90</w:t>
      </w:r>
      <w:r>
        <w:rPr>
          <w:rFonts w:ascii="宋体" w:hAnsi="宋体" w:cs="宋体"/>
          <w:color w:val="auto"/>
          <w:szCs w:val="21"/>
          <w:highlight w:val="none"/>
          <w:u w:val="single"/>
        </w:rPr>
        <w:t>%，投标总报价最高限价]区间的投标人超过5家时，在经算术校核的位于[投标总报价最高限价×</w:t>
      </w:r>
      <w:r>
        <w:rPr>
          <w:rFonts w:hint="eastAsia" w:ascii="宋体" w:hAnsi="宋体" w:cs="宋体"/>
          <w:color w:val="auto"/>
          <w:szCs w:val="21"/>
          <w:highlight w:val="none"/>
          <w:u w:val="single"/>
          <w:lang w:eastAsia="zh-CN"/>
        </w:rPr>
        <w:t>90</w:t>
      </w:r>
      <w:r>
        <w:rPr>
          <w:rFonts w:ascii="宋体" w:hAnsi="宋体" w:cs="宋体"/>
          <w:color w:val="auto"/>
          <w:szCs w:val="21"/>
          <w:highlight w:val="none"/>
          <w:u w:val="single"/>
        </w:rPr>
        <w:t>%，投标总报价最高限价]区间的投标人的投标总报价中，去掉一个最高价和一个最低价后，取剩余报价的算术平均值为评标参考价；通过工程承包实施方案响应性审查且经算术校核的投标总报价位于[投标总报价最高限价×</w:t>
      </w:r>
      <w:r>
        <w:rPr>
          <w:rFonts w:hint="eastAsia" w:ascii="宋体" w:hAnsi="宋体" w:cs="宋体"/>
          <w:color w:val="auto"/>
          <w:szCs w:val="21"/>
          <w:highlight w:val="none"/>
          <w:u w:val="single"/>
          <w:lang w:eastAsia="zh-CN"/>
        </w:rPr>
        <w:t>90</w:t>
      </w:r>
      <w:r>
        <w:rPr>
          <w:rFonts w:ascii="宋体" w:hAnsi="宋体" w:cs="宋体"/>
          <w:color w:val="auto"/>
          <w:szCs w:val="21"/>
          <w:highlight w:val="none"/>
          <w:u w:val="single"/>
        </w:rPr>
        <w:t>%，投标总报价最高限价]区间的投标人少于5家（含5家）时，</w:t>
      </w:r>
      <w:r>
        <w:rPr>
          <w:rFonts w:hint="eastAsia" w:ascii="宋体" w:hAnsi="宋体" w:cs="宋体"/>
          <w:color w:val="auto"/>
          <w:szCs w:val="21"/>
          <w:highlight w:val="none"/>
          <w:u w:val="single"/>
        </w:rPr>
        <w:t>所有报价的算术平均值为评标参考价</w:t>
      </w:r>
      <w:r>
        <w:rPr>
          <w:rFonts w:ascii="宋体" w:hAnsi="宋体" w:cs="宋体"/>
          <w:color w:val="auto"/>
          <w:szCs w:val="21"/>
          <w:highlight w:val="none"/>
          <w:u w:val="single"/>
        </w:rPr>
        <w:t>。</w:t>
      </w:r>
    </w:p>
    <w:p w14:paraId="5C1B3AB0">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2）当经算术校核的投标总报价等于评标参考价时得100分，</w:t>
      </w:r>
      <w:r>
        <w:rPr>
          <w:rFonts w:hint="eastAsia" w:ascii="宋体" w:hAnsi="宋体" w:eastAsia="宋体" w:cs="宋体"/>
          <w:color w:val="auto"/>
          <w:sz w:val="21"/>
          <w:szCs w:val="21"/>
          <w:highlight w:val="none"/>
          <w:u w:val="single"/>
          <w:lang w:bidi="zh-TW"/>
        </w:rPr>
        <w:t>报价每高于评标参考价1%，扣</w:t>
      </w:r>
      <w:r>
        <w:rPr>
          <w:rFonts w:hint="eastAsia" w:ascii="宋体" w:hAnsi="宋体" w:eastAsia="宋体" w:cs="宋体"/>
          <w:color w:val="auto"/>
          <w:sz w:val="21"/>
          <w:szCs w:val="21"/>
          <w:highlight w:val="none"/>
          <w:u w:val="single"/>
          <w:lang w:eastAsia="zh-CN" w:bidi="zh-TW"/>
        </w:rPr>
        <w:t>1</w:t>
      </w:r>
      <w:r>
        <w:rPr>
          <w:rFonts w:hint="eastAsia" w:ascii="宋体" w:hAnsi="宋体" w:eastAsia="宋体" w:cs="宋体"/>
          <w:color w:val="auto"/>
          <w:sz w:val="21"/>
          <w:szCs w:val="21"/>
          <w:highlight w:val="none"/>
          <w:u w:val="single"/>
          <w:lang w:val="en-US" w:eastAsia="zh-CN" w:bidi="zh-TW"/>
        </w:rPr>
        <w:t>.5</w:t>
      </w:r>
      <w:r>
        <w:rPr>
          <w:rFonts w:hint="eastAsia" w:ascii="宋体" w:hAnsi="宋体" w:eastAsia="宋体" w:cs="宋体"/>
          <w:color w:val="auto"/>
          <w:sz w:val="21"/>
          <w:szCs w:val="21"/>
          <w:highlight w:val="none"/>
          <w:u w:val="single"/>
          <w:lang w:bidi="zh-TW"/>
        </w:rPr>
        <w:t>分，每低于评标基准价1%，扣1.0分，精确到小数点后两位。</w:t>
      </w:r>
      <w:r>
        <w:rPr>
          <w:rFonts w:hint="eastAsia" w:ascii="宋体" w:hAnsi="宋体" w:eastAsia="宋体" w:cs="宋体"/>
          <w:b/>
          <w:bCs/>
          <w:color w:val="auto"/>
          <w:sz w:val="21"/>
          <w:szCs w:val="21"/>
          <w:highlight w:val="none"/>
          <w:u w:val="single"/>
          <w:lang w:eastAsia="zh-CN"/>
        </w:rPr>
        <w:t>（注：评标基准价及投标报价得分均以税前建安工程费为准。）</w:t>
      </w:r>
    </w:p>
    <w:p w14:paraId="6B1C9294">
      <w:pPr>
        <w:pStyle w:val="6"/>
        <w:spacing w:before="120" w:after="0" w:line="360" w:lineRule="auto"/>
        <w:rPr>
          <w:rFonts w:hint="eastAsia" w:ascii="宋体" w:eastAsia="宋体" w:cs="宋体"/>
          <w:color w:val="auto"/>
          <w:highlight w:val="none"/>
          <w:u w:val="single"/>
        </w:rPr>
      </w:pPr>
      <w:bookmarkStart w:id="514" w:name="_Toc2675447"/>
      <w:bookmarkStart w:id="515" w:name="_Toc24469"/>
      <w:bookmarkStart w:id="516" w:name="_Toc8695"/>
      <w:bookmarkStart w:id="517" w:name="_Toc12088"/>
      <w:bookmarkStart w:id="518" w:name="_Toc26575"/>
      <w:bookmarkStart w:id="519" w:name="_Toc33695052"/>
      <w:bookmarkStart w:id="520" w:name="_Toc31412"/>
      <w:r>
        <w:rPr>
          <w:rFonts w:hint="eastAsia" w:ascii="宋体" w:eastAsia="宋体" w:cs="宋体"/>
          <w:color w:val="auto"/>
          <w:highlight w:val="none"/>
          <w:u w:val="single"/>
        </w:rPr>
        <w:t>3.5</w:t>
      </w:r>
      <w:bookmarkEnd w:id="514"/>
      <w:bookmarkStart w:id="521" w:name="_Toc2675448"/>
      <w:r>
        <w:rPr>
          <w:rFonts w:hint="eastAsia" w:ascii="宋体" w:eastAsia="宋体" w:cs="宋体"/>
          <w:color w:val="auto"/>
          <w:highlight w:val="none"/>
          <w:u w:val="single"/>
        </w:rPr>
        <w:t>评审汇总</w:t>
      </w:r>
      <w:bookmarkEnd w:id="515"/>
      <w:bookmarkEnd w:id="516"/>
      <w:bookmarkEnd w:id="517"/>
      <w:bookmarkEnd w:id="518"/>
      <w:bookmarkEnd w:id="519"/>
      <w:bookmarkEnd w:id="520"/>
    </w:p>
    <w:p w14:paraId="7CD65B7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3.5.1投标人总得分满分为100分，各部分分值分配详见评标办法前附表。</w:t>
      </w:r>
    </w:p>
    <w:p w14:paraId="2593719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3.5.2</w:t>
      </w:r>
      <w:r>
        <w:rPr>
          <w:rFonts w:hint="eastAsia" w:ascii="宋体" w:hAnsi="宋体" w:cs="宋体"/>
          <w:color w:val="auto"/>
          <w:highlight w:val="none"/>
          <w:u w:val="single"/>
        </w:rPr>
        <w:t>评标委员会</w:t>
      </w:r>
      <w:r>
        <w:rPr>
          <w:rFonts w:hint="eastAsia" w:ascii="宋体" w:hAnsi="宋体" w:cs="宋体"/>
          <w:color w:val="auto"/>
          <w:szCs w:val="21"/>
          <w:highlight w:val="none"/>
          <w:u w:val="single"/>
        </w:rPr>
        <w:t>汇总各有效投标文件的总分，并按照总分从高到低排列先后次序，只有通过形式审查、资格审查、</w:t>
      </w:r>
      <w:r>
        <w:rPr>
          <w:rFonts w:hint="eastAsia" w:ascii="宋体" w:hAnsi="宋体" w:cs="宋体"/>
          <w:color w:val="auto"/>
          <w:highlight w:val="none"/>
          <w:u w:val="single"/>
        </w:rPr>
        <w:t>设计方案响应性审查和</w:t>
      </w:r>
      <w:r>
        <w:rPr>
          <w:rFonts w:hint="eastAsia" w:ascii="宋体" w:hAnsi="宋体" w:cs="宋体"/>
          <w:color w:val="auto"/>
          <w:szCs w:val="21"/>
          <w:highlight w:val="none"/>
          <w:u w:val="single"/>
        </w:rPr>
        <w:t>工程承包实施方案</w:t>
      </w:r>
      <w:r>
        <w:rPr>
          <w:rFonts w:hint="eastAsia" w:ascii="宋体" w:hAnsi="宋体" w:cs="宋体"/>
          <w:color w:val="auto"/>
          <w:highlight w:val="none"/>
          <w:u w:val="single"/>
        </w:rPr>
        <w:t>响应性审查</w:t>
      </w:r>
      <w:r>
        <w:rPr>
          <w:rFonts w:hint="eastAsia" w:ascii="宋体" w:hAnsi="宋体" w:cs="宋体"/>
          <w:color w:val="auto"/>
          <w:szCs w:val="21"/>
          <w:highlight w:val="none"/>
          <w:u w:val="single"/>
        </w:rPr>
        <w:t>的投标文件方可计算总分。</w:t>
      </w:r>
      <w:r>
        <w:rPr>
          <w:rFonts w:hint="eastAsia" w:ascii="宋体" w:hAnsi="宋体" w:cs="宋体"/>
          <w:color w:val="auto"/>
          <w:highlight w:val="none"/>
          <w:u w:val="single"/>
        </w:rPr>
        <w:t>总分相同的，以工程承包实施方案评审得分较高的排前；总分与工程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r>
        <w:rPr>
          <w:rFonts w:hint="eastAsia" w:ascii="宋体" w:hAnsi="宋体" w:cs="宋体"/>
          <w:color w:val="auto"/>
          <w:szCs w:val="21"/>
          <w:highlight w:val="none"/>
          <w:u w:val="single"/>
        </w:rPr>
        <w:t>。</w:t>
      </w:r>
    </w:p>
    <w:p w14:paraId="40A3B46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3.5.3有效投标单位不足三家，应当依法重新组织招标。</w:t>
      </w:r>
    </w:p>
    <w:p w14:paraId="38AC98FE">
      <w:pPr>
        <w:pStyle w:val="6"/>
        <w:tabs>
          <w:tab w:val="left" w:pos="2356"/>
        </w:tabs>
        <w:spacing w:before="100" w:after="100" w:line="360" w:lineRule="auto"/>
        <w:rPr>
          <w:rFonts w:hint="eastAsia" w:ascii="宋体" w:eastAsia="宋体" w:cs="宋体"/>
          <w:color w:val="auto"/>
          <w:highlight w:val="none"/>
          <w:u w:val="single"/>
        </w:rPr>
      </w:pPr>
      <w:bookmarkStart w:id="522" w:name="_Toc30498"/>
      <w:bookmarkStart w:id="523" w:name="_Toc31614"/>
      <w:bookmarkStart w:id="524" w:name="_Toc28206"/>
      <w:bookmarkStart w:id="525" w:name="_Toc26291"/>
      <w:bookmarkStart w:id="526" w:name="_Toc33695053"/>
      <w:bookmarkStart w:id="527" w:name="_Toc28792"/>
      <w:r>
        <w:rPr>
          <w:rFonts w:hint="eastAsia" w:ascii="宋体" w:eastAsia="宋体" w:cs="宋体"/>
          <w:color w:val="auto"/>
          <w:highlight w:val="none"/>
          <w:u w:val="single"/>
        </w:rPr>
        <w:t>3.6投标文件的澄清和补正</w:t>
      </w:r>
      <w:bookmarkEnd w:id="521"/>
      <w:bookmarkEnd w:id="522"/>
      <w:bookmarkEnd w:id="523"/>
      <w:bookmarkEnd w:id="524"/>
      <w:bookmarkEnd w:id="525"/>
      <w:bookmarkEnd w:id="526"/>
      <w:bookmarkEnd w:id="527"/>
    </w:p>
    <w:p w14:paraId="0735CDC5">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7C650E5C">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639A750F">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3.6.3 评标委员会成员均应当阅读投标人的澄清，但应独立参考澄清对投标文件进行评审。</w:t>
      </w:r>
    </w:p>
    <w:p w14:paraId="1E007A42">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143B617B">
      <w:pPr>
        <w:pStyle w:val="6"/>
        <w:spacing w:before="100" w:after="100" w:line="360" w:lineRule="auto"/>
        <w:rPr>
          <w:rFonts w:hint="eastAsia" w:ascii="宋体" w:eastAsia="宋体" w:cs="宋体"/>
          <w:color w:val="auto"/>
          <w:highlight w:val="none"/>
          <w:u w:val="single"/>
        </w:rPr>
      </w:pPr>
      <w:bookmarkStart w:id="528" w:name="_Toc33695054"/>
      <w:bookmarkStart w:id="529" w:name="_Toc19558"/>
      <w:bookmarkStart w:id="530" w:name="_Toc11290"/>
      <w:bookmarkStart w:id="531" w:name="_Toc13739"/>
      <w:bookmarkStart w:id="532" w:name="_Toc2675449"/>
      <w:bookmarkStart w:id="533" w:name="_Toc15798"/>
      <w:bookmarkStart w:id="534" w:name="_Toc27953"/>
      <w:r>
        <w:rPr>
          <w:rFonts w:hint="eastAsia" w:ascii="宋体" w:eastAsia="宋体" w:cs="宋体"/>
          <w:color w:val="auto"/>
          <w:highlight w:val="none"/>
          <w:u w:val="single"/>
        </w:rPr>
        <w:t>3.7评标结果</w:t>
      </w:r>
      <w:bookmarkEnd w:id="528"/>
      <w:bookmarkEnd w:id="529"/>
      <w:bookmarkEnd w:id="530"/>
      <w:bookmarkEnd w:id="531"/>
      <w:bookmarkEnd w:id="532"/>
      <w:bookmarkEnd w:id="533"/>
      <w:bookmarkEnd w:id="534"/>
    </w:p>
    <w:p w14:paraId="06E0A3A3">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3.7.1 除第二章“投标人须知”前附表授权直接确定中标人外，评标委员会按照得分由高到低的顺序推荐中标候选人。</w:t>
      </w:r>
    </w:p>
    <w:p w14:paraId="6FBF831C">
      <w:pPr>
        <w:spacing w:line="360" w:lineRule="auto"/>
        <w:ind w:firstLine="420" w:firstLineChars="200"/>
        <w:rPr>
          <w:rFonts w:hint="eastAsia"/>
          <w:color w:val="auto"/>
          <w:highlight w:val="none"/>
        </w:rPr>
      </w:pPr>
      <w:r>
        <w:rPr>
          <w:rFonts w:hint="eastAsia" w:ascii="宋体" w:hAnsi="宋体" w:cs="宋体"/>
          <w:color w:val="auto"/>
          <w:highlight w:val="none"/>
          <w:u w:val="single"/>
        </w:rPr>
        <w:t>3.7.2 评标委员会完成评标后，应当向招标人提交书面评标报告。</w:t>
      </w:r>
    </w:p>
    <w:p w14:paraId="3D56A249">
      <w:pPr>
        <w:pStyle w:val="36"/>
        <w:rPr>
          <w:color w:val="auto"/>
          <w:highlight w:val="none"/>
        </w:rPr>
      </w:pPr>
    </w:p>
    <w:p w14:paraId="00CB18E2">
      <w:pPr>
        <w:pStyle w:val="36"/>
        <w:rPr>
          <w:color w:val="auto"/>
          <w:highlight w:val="none"/>
        </w:rPr>
      </w:pPr>
    </w:p>
    <w:p w14:paraId="4C106BD4">
      <w:pPr>
        <w:pStyle w:val="36"/>
        <w:rPr>
          <w:color w:val="auto"/>
          <w:highlight w:val="none"/>
        </w:rPr>
      </w:pPr>
    </w:p>
    <w:p w14:paraId="3957A861">
      <w:pPr>
        <w:pStyle w:val="36"/>
        <w:rPr>
          <w:color w:val="auto"/>
          <w:highlight w:val="none"/>
        </w:rPr>
      </w:pPr>
    </w:p>
    <w:p w14:paraId="3A59B199">
      <w:pPr>
        <w:pStyle w:val="4"/>
        <w:jc w:val="center"/>
        <w:rPr>
          <w:rFonts w:hint="eastAsia" w:ascii="宋体" w:hAnsi="宋体" w:cs="宋体"/>
          <w:color w:val="auto"/>
          <w:highlight w:val="none"/>
        </w:rPr>
      </w:pPr>
    </w:p>
    <w:p w14:paraId="0B2B3D00">
      <w:pPr>
        <w:pStyle w:val="4"/>
        <w:jc w:val="center"/>
        <w:rPr>
          <w:rFonts w:hint="eastAsia" w:ascii="宋体" w:hAnsi="宋体" w:cs="宋体"/>
          <w:color w:val="auto"/>
          <w:highlight w:val="none"/>
        </w:rPr>
      </w:pPr>
      <w:bookmarkStart w:id="535" w:name="_Toc22031"/>
      <w:r>
        <w:rPr>
          <w:rFonts w:hint="eastAsia" w:ascii="宋体" w:hAnsi="宋体" w:cs="宋体"/>
          <w:color w:val="auto"/>
          <w:highlight w:val="none"/>
        </w:rPr>
        <w:t>第四章 合同条款及格式</w:t>
      </w:r>
      <w:bookmarkEnd w:id="429"/>
      <w:bookmarkEnd w:id="430"/>
      <w:bookmarkEnd w:id="431"/>
      <w:bookmarkEnd w:id="432"/>
      <w:bookmarkEnd w:id="433"/>
      <w:bookmarkEnd w:id="434"/>
      <w:bookmarkEnd w:id="535"/>
      <w:bookmarkStart w:id="536" w:name="_Toc152042388"/>
      <w:bookmarkStart w:id="537" w:name="_Toc144974578"/>
      <w:bookmarkStart w:id="538" w:name="_Toc184635097"/>
      <w:bookmarkStart w:id="539" w:name="_Toc247527635"/>
      <w:bookmarkStart w:id="540" w:name="_Toc152045610"/>
      <w:bookmarkStart w:id="541" w:name="_Toc247514034"/>
    </w:p>
    <w:p w14:paraId="1BCC13B2">
      <w:pPr>
        <w:rPr>
          <w:color w:val="auto"/>
          <w:highlight w:val="none"/>
        </w:rPr>
      </w:pPr>
      <w:r>
        <w:rPr>
          <w:rFonts w:hint="eastAsia"/>
          <w:color w:val="auto"/>
          <w:highlight w:val="none"/>
        </w:rPr>
        <w:t>　　　　　　　　　　　　　　　　　　　（另册）</w:t>
      </w:r>
    </w:p>
    <w:bookmarkEnd w:id="536"/>
    <w:bookmarkEnd w:id="537"/>
    <w:bookmarkEnd w:id="538"/>
    <w:bookmarkEnd w:id="539"/>
    <w:bookmarkEnd w:id="540"/>
    <w:bookmarkEnd w:id="541"/>
    <w:p w14:paraId="29C04ED2">
      <w:pPr>
        <w:pStyle w:val="4"/>
        <w:rPr>
          <w:rFonts w:hint="eastAsia" w:ascii="宋体" w:hAnsi="宋体" w:cs="宋体"/>
          <w:color w:val="auto"/>
          <w:highlight w:val="none"/>
        </w:rPr>
      </w:pPr>
      <w:r>
        <w:rPr>
          <w:rFonts w:hint="eastAsia" w:ascii="宋体" w:hAnsi="宋体" w:cs="宋体"/>
          <w:color w:val="auto"/>
          <w:highlight w:val="none"/>
        </w:rPr>
        <w:br w:type="page"/>
      </w:r>
    </w:p>
    <w:p w14:paraId="6C98CE05">
      <w:pPr>
        <w:pStyle w:val="4"/>
        <w:jc w:val="center"/>
        <w:rPr>
          <w:rFonts w:hint="eastAsia" w:ascii="宋体" w:hAnsi="宋体" w:cs="宋体"/>
          <w:color w:val="auto"/>
          <w:highlight w:val="none"/>
        </w:rPr>
      </w:pPr>
      <w:bookmarkStart w:id="542" w:name="_Toc152045772"/>
      <w:bookmarkStart w:id="543" w:name="_Toc144974834"/>
      <w:bookmarkStart w:id="544" w:name="_Toc247514202"/>
      <w:bookmarkStart w:id="545" w:name="_Toc247527803"/>
      <w:bookmarkStart w:id="546" w:name="_Toc152042554"/>
      <w:r>
        <w:rPr>
          <w:rFonts w:hint="eastAsia" w:ascii="宋体" w:hAnsi="宋体" w:cs="宋体"/>
          <w:color w:val="auto"/>
          <w:highlight w:val="none"/>
        </w:rPr>
        <w:t xml:space="preserve"> </w:t>
      </w:r>
      <w:bookmarkEnd w:id="542"/>
      <w:bookmarkEnd w:id="543"/>
      <w:bookmarkEnd w:id="544"/>
      <w:bookmarkEnd w:id="545"/>
      <w:bookmarkEnd w:id="546"/>
    </w:p>
    <w:p w14:paraId="7A1F77F2">
      <w:pPr>
        <w:spacing w:line="400" w:lineRule="exact"/>
        <w:rPr>
          <w:rFonts w:hint="eastAsia" w:ascii="宋体" w:hAnsi="宋体" w:cs="宋体"/>
          <w:color w:val="auto"/>
          <w:highlight w:val="none"/>
        </w:rPr>
      </w:pPr>
    </w:p>
    <w:p w14:paraId="52979298">
      <w:pPr>
        <w:pStyle w:val="4"/>
        <w:jc w:val="center"/>
        <w:rPr>
          <w:rFonts w:hint="eastAsia" w:ascii="宋体" w:hAnsi="宋体" w:cs="宋体"/>
          <w:color w:val="auto"/>
          <w:sz w:val="20"/>
          <w:szCs w:val="20"/>
          <w:highlight w:val="none"/>
        </w:rPr>
      </w:pPr>
      <w:bookmarkStart w:id="547" w:name="_Toc247527819"/>
      <w:bookmarkStart w:id="548" w:name="_Toc247514232"/>
      <w:bookmarkStart w:id="549" w:name="_Toc25556"/>
      <w:bookmarkStart w:id="550" w:name="_Toc26758"/>
      <w:r>
        <w:rPr>
          <w:rFonts w:hint="eastAsia" w:ascii="宋体" w:hAnsi="宋体" w:cs="宋体"/>
          <w:color w:val="auto"/>
          <w:highlight w:val="none"/>
        </w:rPr>
        <w:t>第二卷</w:t>
      </w:r>
      <w:bookmarkEnd w:id="547"/>
      <w:bookmarkEnd w:id="548"/>
      <w:r>
        <w:rPr>
          <w:rFonts w:hint="eastAsia" w:ascii="宋体" w:hAnsi="宋体" w:cs="宋体"/>
          <w:color w:val="auto"/>
          <w:highlight w:val="none"/>
        </w:rPr>
        <w:br w:type="page"/>
      </w:r>
      <w:bookmarkEnd w:id="549"/>
      <w:bookmarkEnd w:id="550"/>
    </w:p>
    <w:p w14:paraId="52AB4F4B">
      <w:pPr>
        <w:spacing w:line="440" w:lineRule="exact"/>
        <w:jc w:val="center"/>
        <w:rPr>
          <w:rFonts w:hint="eastAsia" w:ascii="宋体" w:hAnsi="宋体" w:cs="宋体"/>
          <w:color w:val="auto"/>
          <w:sz w:val="20"/>
          <w:szCs w:val="20"/>
          <w:highlight w:val="none"/>
        </w:rPr>
      </w:pPr>
    </w:p>
    <w:p w14:paraId="513F7699">
      <w:pPr>
        <w:spacing w:line="440" w:lineRule="exact"/>
        <w:jc w:val="center"/>
        <w:rPr>
          <w:rFonts w:hint="eastAsia" w:ascii="宋体" w:hAnsi="宋体" w:cs="宋体"/>
          <w:color w:val="auto"/>
          <w:sz w:val="20"/>
          <w:szCs w:val="20"/>
          <w:highlight w:val="none"/>
        </w:rPr>
      </w:pPr>
    </w:p>
    <w:p w14:paraId="29E9F006">
      <w:pPr>
        <w:pStyle w:val="4"/>
        <w:jc w:val="center"/>
        <w:rPr>
          <w:rFonts w:hint="eastAsia" w:ascii="宋体" w:hAnsi="宋体" w:cs="宋体"/>
          <w:color w:val="auto"/>
          <w:highlight w:val="none"/>
        </w:rPr>
      </w:pPr>
      <w:bookmarkStart w:id="551" w:name="_Toc152042571"/>
      <w:bookmarkStart w:id="552" w:name="_Toc152045782"/>
      <w:bookmarkStart w:id="553" w:name="_Toc247514233"/>
      <w:bookmarkStart w:id="554" w:name="_Toc247527820"/>
      <w:bookmarkStart w:id="555" w:name="_Toc144974851"/>
      <w:bookmarkStart w:id="556" w:name="_Toc16616"/>
      <w:bookmarkStart w:id="557" w:name="_Toc32592"/>
      <w:r>
        <w:rPr>
          <w:rFonts w:hint="eastAsia" w:ascii="宋体" w:hAnsi="宋体" w:cs="宋体"/>
          <w:color w:val="auto"/>
          <w:highlight w:val="none"/>
        </w:rPr>
        <w:t xml:space="preserve">第五章  </w:t>
      </w:r>
      <w:bookmarkEnd w:id="551"/>
      <w:bookmarkEnd w:id="552"/>
      <w:bookmarkEnd w:id="553"/>
      <w:bookmarkEnd w:id="554"/>
      <w:bookmarkEnd w:id="555"/>
      <w:r>
        <w:rPr>
          <w:rFonts w:hint="eastAsia" w:ascii="宋体" w:hAnsi="宋体" w:cs="宋体"/>
          <w:color w:val="auto"/>
          <w:highlight w:val="none"/>
        </w:rPr>
        <w:t>招标人要求</w:t>
      </w:r>
      <w:bookmarkEnd w:id="556"/>
      <w:bookmarkEnd w:id="557"/>
    </w:p>
    <w:p w14:paraId="7C7AF676">
      <w:pPr>
        <w:jc w:val="center"/>
        <w:rPr>
          <w:rFonts w:hint="eastAsia" w:ascii="宋体" w:hAnsi="宋体" w:cs="宋体"/>
          <w:color w:val="auto"/>
          <w:highlight w:val="none"/>
        </w:rPr>
      </w:pPr>
      <w:r>
        <w:rPr>
          <w:rFonts w:hint="eastAsia" w:ascii="宋体" w:hAnsi="宋体" w:cs="宋体"/>
          <w:color w:val="auto"/>
          <w:highlight w:val="none"/>
        </w:rPr>
        <w:br w:type="page"/>
      </w:r>
    </w:p>
    <w:p w14:paraId="225844D5">
      <w:pPr>
        <w:spacing w:line="800" w:lineRule="exact"/>
        <w:jc w:val="center"/>
        <w:rPr>
          <w:rFonts w:ascii="宋体" w:hAnsi="宋体"/>
          <w:b/>
          <w:color w:val="auto"/>
          <w:sz w:val="44"/>
          <w:szCs w:val="44"/>
          <w:highlight w:val="none"/>
        </w:rPr>
      </w:pPr>
      <w:r>
        <w:rPr>
          <w:rFonts w:hint="eastAsia" w:ascii="宋体" w:hAnsi="宋体"/>
          <w:b/>
          <w:color w:val="auto"/>
          <w:sz w:val="44"/>
          <w:szCs w:val="44"/>
          <w:highlight w:val="none"/>
        </w:rPr>
        <w:t>一、施工要求</w:t>
      </w:r>
    </w:p>
    <w:p w14:paraId="661C1829">
      <w:pPr>
        <w:spacing w:line="360" w:lineRule="auto"/>
        <w:ind w:firstLine="480"/>
        <w:jc w:val="center"/>
        <w:rPr>
          <w:rFonts w:ascii="宋体" w:hAnsi="宋体"/>
          <w:b/>
          <w:bCs/>
          <w:color w:val="auto"/>
          <w:sz w:val="32"/>
          <w:szCs w:val="32"/>
          <w:highlight w:val="none"/>
        </w:rPr>
      </w:pPr>
    </w:p>
    <w:p w14:paraId="4CFE52EC">
      <w:pPr>
        <w:spacing w:line="360" w:lineRule="auto"/>
        <w:ind w:firstLine="480"/>
        <w:jc w:val="left"/>
        <w:rPr>
          <w:rFonts w:ascii="宋体" w:hAnsi="宋体"/>
          <w:b/>
          <w:bCs/>
          <w:color w:val="auto"/>
          <w:sz w:val="24"/>
          <w:highlight w:val="none"/>
        </w:rPr>
      </w:pPr>
      <w:r>
        <w:rPr>
          <w:rFonts w:hint="eastAsia" w:ascii="宋体" w:hAnsi="宋体"/>
          <w:b/>
          <w:bCs/>
          <w:color w:val="auto"/>
          <w:sz w:val="24"/>
          <w:highlight w:val="none"/>
        </w:rPr>
        <w:t>（投标人在编制施工组织设计或施工方案时应按照招标人提出的施工现场建筑垃圾源头减量的具体要求以及建筑垃圾综合利用产品的使用要求提供相应措施。）</w:t>
      </w:r>
    </w:p>
    <w:p w14:paraId="5831E28A">
      <w:pPr>
        <w:spacing w:line="360" w:lineRule="auto"/>
        <w:ind w:firstLine="480"/>
        <w:jc w:val="left"/>
        <w:rPr>
          <w:rFonts w:ascii="宋体" w:hAnsi="宋体"/>
          <w:color w:val="auto"/>
          <w:sz w:val="24"/>
          <w:highlight w:val="none"/>
        </w:rPr>
      </w:pPr>
      <w:r>
        <w:rPr>
          <w:rFonts w:hint="eastAsia" w:ascii="宋体" w:hAnsi="宋体"/>
          <w:color w:val="auto"/>
          <w:sz w:val="24"/>
          <w:highlight w:val="none"/>
        </w:rPr>
        <w:t>1.本工程按照国家有关规定、规范进行施工、验收，具体以施工图纸及相关技术和验收标准、遵照招标人相关规定要求为准。</w:t>
      </w:r>
    </w:p>
    <w:p w14:paraId="65495BE8">
      <w:pPr>
        <w:spacing w:line="360" w:lineRule="auto"/>
        <w:ind w:firstLine="480"/>
        <w:jc w:val="left"/>
        <w:rPr>
          <w:rFonts w:ascii="宋体" w:hAnsi="宋体"/>
          <w:color w:val="auto"/>
          <w:sz w:val="24"/>
          <w:highlight w:val="none"/>
        </w:rPr>
      </w:pPr>
      <w:r>
        <w:rPr>
          <w:rFonts w:hint="eastAsia" w:ascii="宋体" w:hAnsi="宋体"/>
          <w:color w:val="auto"/>
          <w:sz w:val="24"/>
          <w:highlight w:val="none"/>
        </w:rPr>
        <w:t>2.本工程采用的工程建设标准、规范必须遵守现行中华人民共和国以及广东省、广州市或行业最新的工程建设标准及规范，且必须满足设计文件的相关要求。</w:t>
      </w:r>
    </w:p>
    <w:p w14:paraId="164045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3.施工现场建筑垃圾源头减量的具体要求和建筑垃圾综合利用产品的使用要求：</w:t>
      </w:r>
    </w:p>
    <w:p w14:paraId="1FE37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3A998A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建筑垃圾应当按照国家有关规定进行分类，实行分类收集、分类贮存、分类运输、分类处置。</w:t>
      </w:r>
    </w:p>
    <w:p w14:paraId="0F08B1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施工单位应当建立建筑垃圾管理台账，分类收集、贮存和及时清运施工过程中产生的建筑垃圾，采取有效措施防止混合已分类的建筑垃圾。</w:t>
      </w:r>
    </w:p>
    <w:p w14:paraId="4D033A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3.4工程施工单位应当将建筑垃圾的产生量与种类、清运时间、最终去向等信息在施工现场公示，接受社会监督。</w:t>
      </w:r>
    </w:p>
    <w:p w14:paraId="59AB21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w:t>
      </w:r>
    </w:p>
    <w:p w14:paraId="40CEF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3.6建筑垃圾运输车辆、船舶应当符合相应的载运技术条件。建筑垃圾处置场所为陆域的，不得采用开底式船舶运输建筑垃圾。</w:t>
      </w:r>
    </w:p>
    <w:p w14:paraId="5D086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3.7工程泥浆应当在施工现场进行脱水固化处理。施工现场不具备条件的，应当采用罐装器具密闭运输至依法设置的建筑垃圾处置场所进行处置。水上工程中依法无需经脱水处理的除外。</w:t>
      </w:r>
    </w:p>
    <w:p w14:paraId="680B46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w:t>
      </w:r>
    </w:p>
    <w:p w14:paraId="1B0D78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3.9具备现场综合利用条件的建设工程，应当进行建筑垃圾现场综合利用。</w:t>
      </w:r>
    </w:p>
    <w:p w14:paraId="25EAF4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3.10 建设单位和施工单位严格遵守并执行《广东省建筑垃圾管理条例》。</w:t>
      </w:r>
    </w:p>
    <w:p w14:paraId="2F60003B">
      <w:pPr>
        <w:topLinePunct/>
        <w:spacing w:line="440" w:lineRule="exact"/>
        <w:jc w:val="center"/>
        <w:rPr>
          <w:rFonts w:hint="eastAsia" w:ascii="宋体" w:hAnsi="宋体" w:cs="宋体"/>
          <w:color w:val="auto"/>
          <w:highlight w:val="none"/>
        </w:rPr>
      </w:pPr>
    </w:p>
    <w:p w14:paraId="45821FFE">
      <w:pPr>
        <w:pStyle w:val="20"/>
        <w:rPr>
          <w:rFonts w:hint="eastAsia" w:ascii="宋体" w:hAnsi="宋体" w:cs="宋体"/>
          <w:color w:val="auto"/>
          <w:highlight w:val="none"/>
        </w:rPr>
      </w:pPr>
    </w:p>
    <w:p w14:paraId="648A7D26">
      <w:pPr>
        <w:rPr>
          <w:rFonts w:hint="eastAsia" w:ascii="宋体" w:hAnsi="宋体" w:cs="宋体"/>
          <w:color w:val="auto"/>
          <w:highlight w:val="none"/>
        </w:rPr>
      </w:pPr>
    </w:p>
    <w:p w14:paraId="4A61D09F">
      <w:pPr>
        <w:pStyle w:val="20"/>
        <w:rPr>
          <w:rFonts w:hint="eastAsia" w:ascii="宋体" w:hAnsi="宋体" w:cs="宋体"/>
          <w:color w:val="auto"/>
          <w:highlight w:val="none"/>
        </w:rPr>
      </w:pPr>
    </w:p>
    <w:p w14:paraId="46EB4FA7">
      <w:pPr>
        <w:rPr>
          <w:rFonts w:hint="eastAsia" w:ascii="宋体" w:hAnsi="宋体" w:cs="宋体"/>
          <w:color w:val="auto"/>
          <w:highlight w:val="none"/>
        </w:rPr>
      </w:pPr>
    </w:p>
    <w:p w14:paraId="1F734037">
      <w:pPr>
        <w:pStyle w:val="20"/>
        <w:rPr>
          <w:rFonts w:hint="eastAsia" w:ascii="宋体" w:hAnsi="宋体" w:cs="宋体"/>
          <w:color w:val="auto"/>
          <w:highlight w:val="none"/>
        </w:rPr>
      </w:pPr>
    </w:p>
    <w:p w14:paraId="41620664">
      <w:pPr>
        <w:rPr>
          <w:rFonts w:hint="eastAsia" w:ascii="宋体" w:hAnsi="宋体" w:cs="宋体"/>
          <w:color w:val="auto"/>
          <w:highlight w:val="none"/>
        </w:rPr>
      </w:pPr>
    </w:p>
    <w:p w14:paraId="48439259">
      <w:pPr>
        <w:pStyle w:val="20"/>
        <w:rPr>
          <w:rFonts w:hint="eastAsia" w:ascii="宋体" w:hAnsi="宋体" w:cs="宋体"/>
          <w:color w:val="auto"/>
          <w:highlight w:val="none"/>
        </w:rPr>
      </w:pPr>
    </w:p>
    <w:p w14:paraId="240F47B0">
      <w:pPr>
        <w:rPr>
          <w:rFonts w:hint="eastAsia" w:ascii="宋体" w:hAnsi="宋体" w:cs="宋体"/>
          <w:color w:val="auto"/>
          <w:highlight w:val="none"/>
        </w:rPr>
      </w:pPr>
    </w:p>
    <w:p w14:paraId="2CA302A8">
      <w:pPr>
        <w:pStyle w:val="20"/>
        <w:rPr>
          <w:rFonts w:hint="eastAsia" w:ascii="宋体" w:hAnsi="宋体" w:cs="宋体"/>
          <w:color w:val="auto"/>
          <w:highlight w:val="none"/>
        </w:rPr>
      </w:pPr>
    </w:p>
    <w:p w14:paraId="7A1B9614">
      <w:pPr>
        <w:rPr>
          <w:rFonts w:hint="eastAsia" w:ascii="宋体" w:hAnsi="宋体" w:cs="宋体"/>
          <w:color w:val="auto"/>
          <w:highlight w:val="none"/>
        </w:rPr>
      </w:pPr>
    </w:p>
    <w:p w14:paraId="303496B8">
      <w:pPr>
        <w:pStyle w:val="20"/>
        <w:rPr>
          <w:rFonts w:hint="eastAsia" w:ascii="宋体" w:hAnsi="宋体" w:cs="宋体"/>
          <w:color w:val="auto"/>
          <w:highlight w:val="none"/>
        </w:rPr>
      </w:pPr>
    </w:p>
    <w:p w14:paraId="2D38806D">
      <w:pPr>
        <w:rPr>
          <w:rFonts w:hint="eastAsia" w:ascii="宋体" w:hAnsi="宋体" w:cs="宋体"/>
          <w:color w:val="auto"/>
          <w:highlight w:val="none"/>
        </w:rPr>
      </w:pPr>
    </w:p>
    <w:p w14:paraId="1BF7B380">
      <w:pPr>
        <w:pStyle w:val="20"/>
        <w:rPr>
          <w:rFonts w:hint="eastAsia" w:ascii="宋体" w:hAnsi="宋体" w:cs="宋体"/>
          <w:color w:val="auto"/>
          <w:highlight w:val="none"/>
        </w:rPr>
      </w:pPr>
    </w:p>
    <w:p w14:paraId="130D261D">
      <w:pPr>
        <w:rPr>
          <w:rFonts w:hint="eastAsia" w:ascii="宋体" w:hAnsi="宋体" w:cs="宋体"/>
          <w:color w:val="auto"/>
          <w:highlight w:val="none"/>
        </w:rPr>
      </w:pPr>
    </w:p>
    <w:p w14:paraId="104103FC">
      <w:pPr>
        <w:pStyle w:val="20"/>
        <w:rPr>
          <w:rFonts w:hint="eastAsia" w:ascii="宋体" w:hAnsi="宋体" w:cs="宋体"/>
          <w:color w:val="auto"/>
          <w:highlight w:val="none"/>
        </w:rPr>
      </w:pPr>
    </w:p>
    <w:p w14:paraId="0A43D35D">
      <w:pPr>
        <w:rPr>
          <w:rFonts w:hint="eastAsia" w:ascii="宋体" w:hAnsi="宋体" w:cs="宋体"/>
          <w:color w:val="auto"/>
          <w:highlight w:val="none"/>
        </w:rPr>
      </w:pPr>
    </w:p>
    <w:p w14:paraId="386B2F56">
      <w:pPr>
        <w:pStyle w:val="20"/>
        <w:rPr>
          <w:rFonts w:hint="eastAsia" w:ascii="宋体" w:hAnsi="宋体" w:cs="宋体"/>
          <w:color w:val="auto"/>
          <w:highlight w:val="none"/>
        </w:rPr>
      </w:pPr>
    </w:p>
    <w:p w14:paraId="46FF5D40">
      <w:pPr>
        <w:rPr>
          <w:rFonts w:hint="eastAsia" w:ascii="宋体" w:hAnsi="宋体" w:cs="宋体"/>
          <w:color w:val="auto"/>
          <w:highlight w:val="none"/>
        </w:rPr>
      </w:pPr>
    </w:p>
    <w:p w14:paraId="6B5743F9">
      <w:pPr>
        <w:pStyle w:val="20"/>
        <w:rPr>
          <w:rFonts w:hint="eastAsia" w:ascii="宋体" w:hAnsi="宋体" w:cs="宋体"/>
          <w:color w:val="auto"/>
          <w:highlight w:val="none"/>
        </w:rPr>
      </w:pPr>
    </w:p>
    <w:p w14:paraId="6C917150">
      <w:pPr>
        <w:rPr>
          <w:rFonts w:hint="eastAsia" w:ascii="宋体" w:hAnsi="宋体" w:cs="宋体"/>
          <w:color w:val="auto"/>
          <w:highlight w:val="none"/>
        </w:rPr>
      </w:pPr>
    </w:p>
    <w:p w14:paraId="36D8729B">
      <w:pPr>
        <w:pStyle w:val="20"/>
        <w:rPr>
          <w:rFonts w:hint="eastAsia" w:ascii="宋体" w:hAnsi="宋体" w:cs="宋体"/>
          <w:color w:val="auto"/>
          <w:highlight w:val="none"/>
        </w:rPr>
      </w:pPr>
    </w:p>
    <w:p w14:paraId="07A19B02">
      <w:pPr>
        <w:rPr>
          <w:rFonts w:hint="eastAsia" w:ascii="宋体" w:hAnsi="宋体" w:cs="宋体"/>
          <w:color w:val="auto"/>
          <w:highlight w:val="none"/>
        </w:rPr>
      </w:pPr>
    </w:p>
    <w:p w14:paraId="4FF5477E">
      <w:pPr>
        <w:pStyle w:val="20"/>
        <w:rPr>
          <w:rFonts w:hint="eastAsia" w:ascii="宋体" w:hAnsi="宋体" w:cs="宋体"/>
          <w:color w:val="auto"/>
          <w:highlight w:val="none"/>
        </w:rPr>
      </w:pPr>
    </w:p>
    <w:p w14:paraId="3052BC2C">
      <w:pPr>
        <w:spacing w:line="560" w:lineRule="exact"/>
        <w:jc w:val="center"/>
        <w:outlineLvl w:val="0"/>
        <w:rPr>
          <w:rFonts w:ascii="Times New Roman" w:hAnsi="Times New Roman" w:eastAsia="黑体" w:cs="Times New Roman"/>
          <w:color w:val="auto"/>
          <w:sz w:val="44"/>
          <w:szCs w:val="44"/>
          <w:highlight w:val="none"/>
        </w:rPr>
      </w:pPr>
      <w:bookmarkStart w:id="558" w:name="_Toc4824"/>
      <w:r>
        <w:rPr>
          <w:rFonts w:hint="eastAsia" w:eastAsia="黑体" w:cs="Times New Roman"/>
          <w:color w:val="auto"/>
          <w:sz w:val="44"/>
          <w:szCs w:val="44"/>
          <w:highlight w:val="none"/>
          <w:lang w:val="en-US" w:eastAsia="zh-CN"/>
        </w:rPr>
        <w:t>二、</w:t>
      </w:r>
      <w:r>
        <w:rPr>
          <w:rFonts w:ascii="Times New Roman" w:hAnsi="Times New Roman" w:eastAsia="黑体" w:cs="Times New Roman"/>
          <w:color w:val="auto"/>
          <w:sz w:val="44"/>
          <w:szCs w:val="44"/>
          <w:highlight w:val="none"/>
        </w:rPr>
        <w:t>设计任务书</w:t>
      </w:r>
      <w:bookmarkEnd w:id="558"/>
    </w:p>
    <w:p w14:paraId="2DD45350">
      <w:pPr>
        <w:pStyle w:val="2"/>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一、项目概况</w:t>
      </w:r>
    </w:p>
    <w:p w14:paraId="7628761D">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1、项目名称：</w:t>
      </w:r>
      <w:r>
        <w:rPr>
          <w:rFonts w:hint="eastAsia" w:ascii="宋体" w:hAnsi="宋体"/>
          <w:color w:val="auto"/>
          <w:sz w:val="24"/>
          <w:szCs w:val="24"/>
          <w:highlight w:val="none"/>
          <w:lang w:eastAsia="zh-CN"/>
        </w:rPr>
        <w:t>解放北路986号外立面景观室内工程设计施工一体化</w:t>
      </w:r>
    </w:p>
    <w:p w14:paraId="3CCBB275">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2、建设单位：广州市奥宝物业管理有限公司</w:t>
      </w:r>
    </w:p>
    <w:p w14:paraId="33A15D02">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3、项目地点：广州</w:t>
      </w:r>
      <w:r>
        <w:rPr>
          <w:rFonts w:hint="eastAsia" w:ascii="宋体" w:hAnsi="宋体"/>
          <w:color w:val="auto"/>
          <w:sz w:val="24"/>
          <w:szCs w:val="24"/>
          <w:highlight w:val="none"/>
          <w:lang w:val="en-US" w:eastAsia="zh-CN"/>
        </w:rPr>
        <w:t>市越秀区</w:t>
      </w:r>
      <w:r>
        <w:rPr>
          <w:rFonts w:hint="eastAsia" w:ascii="宋体" w:hAnsi="宋体"/>
          <w:color w:val="auto"/>
          <w:sz w:val="24"/>
          <w:szCs w:val="24"/>
          <w:highlight w:val="none"/>
        </w:rPr>
        <w:t>解放北路986号</w:t>
      </w:r>
    </w:p>
    <w:p w14:paraId="633FAAFD">
      <w:pPr>
        <w:pStyle w:val="2"/>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二、工程建设内容与规模</w:t>
      </w:r>
    </w:p>
    <w:p w14:paraId="461E9A01">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项目整体建筑总面积22,699.12㎡，其中物业大楼建筑面积约17,199.12㎡（地下建筑面积694.59㎡，首层至四层建筑面积16294.69㎡、五层面积：209.8404㎡）、露天面积5,500㎡。（2）建筑物楼层共分五层。地下一层商业配套面积：694.59㎡，首层面积：4,624.8801㎡，二层面积：4,596.5381㎡，三层面积：4,853.4335㎡，四层面积：2,219.8391㎡,五层面积：209.8404㎡。层高为每层3.8米。拟对该建筑物进行改造，主要：1、外立面装修：铲除外立面原有饰面、扇灰油外墙漆、安装铝单板、玻璃幕墙、结构加固及增加楼板、玻璃顶棚、栏杆扶手、建筑防水、夜景灯光、天面场地处理等。2、景观配置：人行车行地面铺装优化和处理、园林绿化软景、室外灯具照明。3、室内装饰：室内公共区域含走廊、卫生间、中庭、楼梯、招商中心、设备房等。4、其他：标识牌、自用家具配置等。5、用水排污设施设备。6、监控系统等</w:t>
      </w:r>
      <w:r>
        <w:rPr>
          <w:rFonts w:hint="eastAsia" w:ascii="宋体" w:hAnsi="宋体"/>
          <w:color w:val="auto"/>
          <w:sz w:val="24"/>
          <w:szCs w:val="24"/>
          <w:highlight w:val="none"/>
        </w:rPr>
        <w:t>。</w:t>
      </w:r>
    </w:p>
    <w:p w14:paraId="177F2FAB">
      <w:pPr>
        <w:pStyle w:val="2"/>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三、设计任务书</w:t>
      </w:r>
    </w:p>
    <w:p w14:paraId="789EF708">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1、要求设计方须按本造价进行限额设计，确保工程造价不超过控制线。</w:t>
      </w:r>
    </w:p>
    <w:p w14:paraId="38FA8F8D">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2、项目建设依据</w:t>
      </w:r>
    </w:p>
    <w:p w14:paraId="2B1D1804">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2.1各阶段设计的内容和标准，必须符合国家现行各项设计规范，规程及强制性条文；方案设计和施工图设计深度必须达到国家现行的民用建筑设计深度的要求；</w:t>
      </w:r>
    </w:p>
    <w:p w14:paraId="459C0428">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2.2方案设计任务书要求：</w:t>
      </w:r>
    </w:p>
    <w:p w14:paraId="4504F413">
      <w:pPr>
        <w:pStyle w:val="2"/>
        <w:numPr>
          <w:ilvl w:val="0"/>
          <w:numId w:val="3"/>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本项目位于广州</w:t>
      </w:r>
      <w:r>
        <w:rPr>
          <w:rFonts w:hint="eastAsia" w:ascii="宋体" w:hAnsi="宋体"/>
          <w:color w:val="auto"/>
          <w:sz w:val="24"/>
          <w:szCs w:val="24"/>
          <w:highlight w:val="none"/>
          <w:lang w:val="en-US" w:eastAsia="zh-CN"/>
        </w:rPr>
        <w:t>市越秀区</w:t>
      </w:r>
      <w:r>
        <w:rPr>
          <w:rFonts w:hint="eastAsia" w:ascii="宋体" w:hAnsi="宋体"/>
          <w:color w:val="auto"/>
          <w:sz w:val="24"/>
          <w:szCs w:val="24"/>
          <w:highlight w:val="none"/>
        </w:rPr>
        <w:t>解放北路986号。</w:t>
      </w:r>
    </w:p>
    <w:p w14:paraId="1EDAC051">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2、外立面、环境景观装饰设计方案及施工图设计，应充分理解建设项目所在位置、环境及建筑内部的布置，体现轻工集团及奥宝公司的文化理念，并严格贯彻和执行国家相关技术规范和要求。</w:t>
      </w:r>
    </w:p>
    <w:p w14:paraId="1736AC07">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3、合理的外立面装饰设计方案，确保设计安全、先进、科学、合理，并在满足建设单位使用要求的基础上，降低工程造价。</w:t>
      </w:r>
    </w:p>
    <w:p w14:paraId="22A3D950">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4、节约能源，提倡环境保护，以人为本 ，充分考虑使用者的各种需求，建设绿色建筑。</w:t>
      </w:r>
    </w:p>
    <w:p w14:paraId="7885C722">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5、建设和谐、可持续发展的现代建筑。本设计应在原有建筑设计基础上加以改造，应考虑所在建筑环境的整体协调。</w:t>
      </w:r>
    </w:p>
    <w:p w14:paraId="4FC14245">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6、设计方案技术可行、经济合理、安全使用，并满足项目分区、分期实施的可能性。</w:t>
      </w:r>
    </w:p>
    <w:p w14:paraId="768225D5">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7、老旧物业缺失原设计图纸及测量数据，设计单位需要对项目进行现场踏勘及实地测量，以便更精确的实现设计意图。</w:t>
      </w:r>
    </w:p>
    <w:p w14:paraId="1E9E3972">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8、外立面、环境景观装饰改造及提升需考虑广府文化特色的融合。</w:t>
      </w:r>
    </w:p>
    <w:p w14:paraId="708DC986">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9、外立面、环境景观装饰设计方案图纸越细化越好，即有利于下一步的施工图深化设计，又有利于EPC项目的造价控制。</w:t>
      </w:r>
    </w:p>
    <w:p w14:paraId="67E904C8">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四、设计要求和设计成果</w:t>
      </w:r>
    </w:p>
    <w:p w14:paraId="13C63E90">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1、设计成果要求</w:t>
      </w:r>
    </w:p>
    <w:p w14:paraId="46F55F39">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1.1方案设计</w:t>
      </w:r>
    </w:p>
    <w:p w14:paraId="0B0F9AB8">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包括但不限于：</w:t>
      </w:r>
    </w:p>
    <w:p w14:paraId="003BD96A">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总平面图、沿街效果图、各个主入口透视图、中庭园林透视图、景观小品透视图、园区交通流线分析图、平面功能分析图、各栋建筑立面改造CAD图、剖面图、节点大样图等。</w:t>
      </w:r>
    </w:p>
    <w:p w14:paraId="5D024B3D">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1.2施工图各专业设计文件要求</w:t>
      </w:r>
    </w:p>
    <w:p w14:paraId="6A167CED">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根据</w:t>
      </w:r>
      <w:r>
        <w:rPr>
          <w:rFonts w:hint="eastAsia" w:ascii="宋体" w:hAnsi="宋体"/>
          <w:color w:val="auto"/>
          <w:sz w:val="24"/>
          <w:szCs w:val="24"/>
          <w:highlight w:val="none"/>
        </w:rPr>
        <w:t>方案</w:t>
      </w:r>
      <w:r>
        <w:rPr>
          <w:rFonts w:hint="eastAsia" w:ascii="宋体" w:hAnsi="宋体"/>
          <w:color w:val="auto"/>
          <w:sz w:val="24"/>
          <w:szCs w:val="24"/>
          <w:highlight w:val="none"/>
          <w:lang w:val="en-US" w:eastAsia="zh-CN"/>
        </w:rPr>
        <w:t>设计图</w:t>
      </w:r>
      <w:r>
        <w:rPr>
          <w:rFonts w:hint="eastAsia" w:ascii="宋体" w:hAnsi="宋体"/>
          <w:color w:val="auto"/>
          <w:sz w:val="24"/>
          <w:szCs w:val="24"/>
          <w:highlight w:val="none"/>
        </w:rPr>
        <w:t>深化图纸，完成各专业施工图设计，具体内容略（必须符合国家现行各项设计规范及强制性条文要求）</w:t>
      </w:r>
    </w:p>
    <w:p w14:paraId="1AF890CF">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1.3施工图设计与施工配合阶段</w:t>
      </w:r>
    </w:p>
    <w:p w14:paraId="3EFC12DE">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1.3.1负责完成各专业的施工图设计；</w:t>
      </w:r>
    </w:p>
    <w:p w14:paraId="4EE80C03">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1.3.2负责设计文件通过相关管理部门审查。</w:t>
      </w:r>
    </w:p>
    <w:p w14:paraId="564D0190">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2、设计进度时间要求</w:t>
      </w:r>
    </w:p>
    <w:p w14:paraId="14E8741E">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2.1建设单位资料提供齐全后，方案设计编制10个日历天内完成初稿并获得甲方满意，并在此基础上持续优化；</w:t>
      </w:r>
    </w:p>
    <w:p w14:paraId="334AE05E">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2.2施工图设计文件提交时间：方案设计批准后10个日历天内；</w:t>
      </w:r>
    </w:p>
    <w:p w14:paraId="23BD8DC8">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2.3上述设计任务书的设计时间将随着项目的进展有所调整，最终调整以双方协商为准。</w:t>
      </w:r>
    </w:p>
    <w:p w14:paraId="614ECFF4">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3、设计配合与现场服务</w:t>
      </w:r>
    </w:p>
    <w:p w14:paraId="7AF3FC94">
      <w:pPr>
        <w:pStyle w:val="2"/>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3.1承包人将提供工地建设视察，参加定期的工程会谈、解答施工与设计文件相关的问题；</w:t>
      </w:r>
    </w:p>
    <w:p w14:paraId="78FD0641">
      <w:pPr>
        <w:spacing w:line="560" w:lineRule="exact"/>
        <w:ind w:firstLine="0" w:firstLineChars="0"/>
        <w:jc w:val="center"/>
        <w:outlineLvl w:val="0"/>
        <w:rPr>
          <w:rFonts w:ascii="Times New Roman" w:hAnsi="Times New Roman" w:eastAsia="仿宋_GB2312" w:cs="Times New Roman"/>
          <w:color w:val="auto"/>
          <w:sz w:val="32"/>
          <w:szCs w:val="32"/>
          <w:highlight w:val="none"/>
        </w:rPr>
      </w:pPr>
      <w:r>
        <w:rPr>
          <w:rFonts w:hint="eastAsia" w:ascii="宋体" w:hAnsi="宋体"/>
          <w:color w:val="auto"/>
          <w:sz w:val="24"/>
          <w:szCs w:val="24"/>
          <w:highlight w:val="none"/>
        </w:rPr>
        <w:t>3.2承包人应指派有资格的各专业代表，及时解决工程现场的设计问题。</w:t>
      </w:r>
    </w:p>
    <w:p w14:paraId="31B3AA72">
      <w:pPr>
        <w:rPr>
          <w:rFonts w:hint="eastAsia" w:ascii="宋体" w:hAnsi="宋体" w:cs="宋体"/>
          <w:color w:val="auto"/>
          <w:highlight w:val="none"/>
        </w:rPr>
      </w:pPr>
    </w:p>
    <w:p w14:paraId="5B7C236C">
      <w:pPr>
        <w:pStyle w:val="20"/>
        <w:rPr>
          <w:rFonts w:hint="eastAsia" w:ascii="宋体" w:hAnsi="宋体" w:cs="宋体"/>
          <w:color w:val="auto"/>
          <w:highlight w:val="none"/>
        </w:rPr>
      </w:pPr>
    </w:p>
    <w:p w14:paraId="24D3BF71">
      <w:pPr>
        <w:rPr>
          <w:rFonts w:hint="eastAsia" w:ascii="宋体" w:hAnsi="宋体" w:cs="宋体"/>
          <w:color w:val="auto"/>
          <w:highlight w:val="none"/>
        </w:rPr>
      </w:pPr>
    </w:p>
    <w:p w14:paraId="5FD6F6F6">
      <w:pPr>
        <w:pStyle w:val="20"/>
        <w:rPr>
          <w:rFonts w:hint="eastAsia" w:ascii="宋体" w:hAnsi="宋体" w:cs="宋体"/>
          <w:color w:val="auto"/>
          <w:highlight w:val="none"/>
        </w:rPr>
      </w:pPr>
    </w:p>
    <w:p w14:paraId="45B46C94">
      <w:pPr>
        <w:rPr>
          <w:rFonts w:hint="eastAsia" w:ascii="宋体" w:hAnsi="宋体" w:cs="宋体"/>
          <w:color w:val="auto"/>
          <w:highlight w:val="none"/>
        </w:rPr>
      </w:pPr>
    </w:p>
    <w:p w14:paraId="502BD1F0">
      <w:pPr>
        <w:pStyle w:val="20"/>
        <w:rPr>
          <w:rFonts w:hint="eastAsia" w:ascii="宋体" w:hAnsi="宋体" w:cs="宋体"/>
          <w:color w:val="auto"/>
          <w:highlight w:val="none"/>
        </w:rPr>
      </w:pPr>
    </w:p>
    <w:p w14:paraId="2AD51D8E">
      <w:pPr>
        <w:rPr>
          <w:rFonts w:hint="eastAsia" w:ascii="宋体" w:hAnsi="宋体" w:cs="宋体"/>
          <w:color w:val="auto"/>
          <w:highlight w:val="none"/>
        </w:rPr>
      </w:pPr>
    </w:p>
    <w:p w14:paraId="24CE164C">
      <w:pPr>
        <w:pStyle w:val="20"/>
        <w:rPr>
          <w:rFonts w:hint="eastAsia" w:ascii="宋体" w:hAnsi="宋体" w:cs="宋体"/>
          <w:color w:val="auto"/>
          <w:highlight w:val="none"/>
        </w:rPr>
      </w:pPr>
    </w:p>
    <w:p w14:paraId="71CD21EB">
      <w:pPr>
        <w:rPr>
          <w:rFonts w:hint="eastAsia"/>
          <w:color w:val="auto"/>
          <w:highlight w:val="none"/>
        </w:rPr>
      </w:pPr>
    </w:p>
    <w:p w14:paraId="7690AD07">
      <w:pPr>
        <w:spacing w:line="400" w:lineRule="exact"/>
        <w:jc w:val="center"/>
        <w:rPr>
          <w:rFonts w:hint="eastAsia" w:ascii="宋体" w:hAnsi="宋体" w:cs="宋体"/>
          <w:color w:val="auto"/>
          <w:highlight w:val="none"/>
        </w:rPr>
      </w:pPr>
      <w:r>
        <w:rPr>
          <w:rFonts w:hint="eastAsia" w:ascii="宋体" w:hAnsi="宋体" w:cs="宋体"/>
          <w:color w:val="auto"/>
          <w:highlight w:val="none"/>
        </w:rPr>
        <w:br w:type="page"/>
      </w:r>
    </w:p>
    <w:p w14:paraId="6B12A2AD">
      <w:pPr>
        <w:spacing w:line="800" w:lineRule="exact"/>
        <w:rPr>
          <w:rFonts w:ascii="仿宋_GB2312" w:eastAsia="仿宋_GB2312"/>
          <w:color w:val="auto"/>
          <w:sz w:val="32"/>
          <w:szCs w:val="32"/>
          <w:highlight w:val="none"/>
        </w:rPr>
      </w:pPr>
    </w:p>
    <w:p w14:paraId="760F8D58">
      <w:pPr>
        <w:spacing w:line="800" w:lineRule="exact"/>
        <w:rPr>
          <w:rFonts w:ascii="仿宋_GB2312" w:eastAsia="仿宋_GB2312"/>
          <w:color w:val="auto"/>
          <w:sz w:val="32"/>
          <w:szCs w:val="32"/>
          <w:highlight w:val="none"/>
        </w:rPr>
      </w:pPr>
    </w:p>
    <w:p w14:paraId="0DE4B1BF">
      <w:pPr>
        <w:spacing w:line="400" w:lineRule="exact"/>
        <w:jc w:val="center"/>
        <w:rPr>
          <w:rFonts w:hint="eastAsia" w:ascii="宋体" w:hAnsi="宋体" w:cs="宋体"/>
          <w:color w:val="auto"/>
          <w:szCs w:val="21"/>
          <w:highlight w:val="none"/>
        </w:rPr>
      </w:pPr>
    </w:p>
    <w:p w14:paraId="1922A767">
      <w:pPr>
        <w:spacing w:line="400" w:lineRule="exact"/>
        <w:rPr>
          <w:rFonts w:hint="eastAsia" w:ascii="宋体" w:hAnsi="宋体" w:cs="宋体"/>
          <w:color w:val="auto"/>
          <w:szCs w:val="21"/>
          <w:highlight w:val="none"/>
        </w:rPr>
      </w:pPr>
    </w:p>
    <w:p w14:paraId="6A47209E">
      <w:pPr>
        <w:spacing w:line="360" w:lineRule="auto"/>
        <w:ind w:firstLine="420"/>
        <w:rPr>
          <w:rFonts w:hint="eastAsia" w:ascii="宋体" w:hAnsi="宋体" w:cs="宋体"/>
          <w:color w:val="auto"/>
          <w:szCs w:val="21"/>
          <w:highlight w:val="none"/>
        </w:rPr>
      </w:pPr>
    </w:p>
    <w:p w14:paraId="794E7FE2">
      <w:pPr>
        <w:pStyle w:val="4"/>
        <w:jc w:val="center"/>
        <w:rPr>
          <w:rFonts w:hint="eastAsia" w:ascii="宋体" w:hAnsi="宋体" w:cs="宋体"/>
          <w:color w:val="auto"/>
          <w:highlight w:val="none"/>
        </w:rPr>
      </w:pPr>
      <w:bookmarkStart w:id="559" w:name="_Toc18748"/>
      <w:bookmarkStart w:id="560" w:name="_Toc23943"/>
      <w:r>
        <w:rPr>
          <w:rFonts w:hint="eastAsia" w:ascii="宋体" w:hAnsi="宋体" w:cs="宋体"/>
          <w:color w:val="auto"/>
          <w:highlight w:val="none"/>
        </w:rPr>
        <w:t>第六章  招标人提供的资料</w:t>
      </w:r>
      <w:bookmarkEnd w:id="559"/>
      <w:bookmarkEnd w:id="560"/>
    </w:p>
    <w:p w14:paraId="316BB88B">
      <w:pPr>
        <w:shd w:val="clear"/>
        <w:tabs>
          <w:tab w:val="left" w:pos="573"/>
        </w:tabs>
        <w:spacing w:line="360" w:lineRule="auto"/>
        <w:jc w:val="center"/>
        <w:rPr>
          <w:rFonts w:ascii="方正小标宋简体" w:hAnsi="Arial" w:eastAsia="方正小标宋简体"/>
          <w:b/>
          <w:bCs/>
          <w:color w:val="auto"/>
          <w:sz w:val="36"/>
          <w:szCs w:val="36"/>
          <w:highlight w:val="none"/>
        </w:rPr>
      </w:pPr>
      <w:r>
        <w:rPr>
          <w:rFonts w:hint="eastAsia" w:ascii="方正小标宋简体" w:hAnsi="Arial" w:eastAsia="方正小标宋简体"/>
          <w:b/>
          <w:bCs/>
          <w:color w:val="auto"/>
          <w:sz w:val="36"/>
          <w:szCs w:val="36"/>
          <w:highlight w:val="none"/>
        </w:rPr>
        <w:t>（另册）</w:t>
      </w:r>
    </w:p>
    <w:p w14:paraId="5F802BCA">
      <w:pPr>
        <w:spacing w:line="400" w:lineRule="exact"/>
        <w:rPr>
          <w:rFonts w:hint="eastAsia" w:ascii="宋体" w:hAnsi="宋体" w:cs="宋体"/>
          <w:color w:val="auto"/>
          <w:highlight w:val="none"/>
        </w:rPr>
      </w:pPr>
    </w:p>
    <w:p w14:paraId="5D9489AA">
      <w:pPr>
        <w:spacing w:line="400" w:lineRule="exact"/>
        <w:rPr>
          <w:rFonts w:hint="eastAsia" w:ascii="宋体" w:hAnsi="宋体" w:cs="宋体"/>
          <w:color w:val="auto"/>
          <w:highlight w:val="none"/>
        </w:rPr>
      </w:pPr>
    </w:p>
    <w:p w14:paraId="42957318">
      <w:pPr>
        <w:pStyle w:val="4"/>
        <w:jc w:val="center"/>
        <w:rPr>
          <w:rFonts w:hint="eastAsia" w:ascii="宋体" w:hAnsi="宋体" w:cs="宋体"/>
          <w:color w:val="auto"/>
          <w:highlight w:val="none"/>
        </w:rPr>
      </w:pPr>
      <w:bookmarkStart w:id="561" w:name="_Toc15557"/>
      <w:bookmarkStart w:id="562" w:name="_Toc247514244"/>
      <w:bookmarkStart w:id="563" w:name="_Toc247527825"/>
      <w:bookmarkStart w:id="564" w:name="_Toc144974855"/>
      <w:bookmarkStart w:id="565" w:name="_Toc152042575"/>
      <w:bookmarkStart w:id="566" w:name="_Toc152045786"/>
    </w:p>
    <w:p w14:paraId="2F913ABE">
      <w:pPr>
        <w:pStyle w:val="4"/>
        <w:jc w:val="center"/>
        <w:rPr>
          <w:rFonts w:hint="eastAsia" w:ascii="宋体" w:hAnsi="宋体" w:cs="宋体"/>
          <w:color w:val="auto"/>
          <w:highlight w:val="none"/>
        </w:rPr>
      </w:pPr>
    </w:p>
    <w:p w14:paraId="09946A2F">
      <w:pPr>
        <w:jc w:val="center"/>
        <w:rPr>
          <w:rFonts w:hint="eastAsia" w:ascii="宋体" w:hAnsi="宋体" w:cs="宋体"/>
          <w:color w:val="auto"/>
          <w:highlight w:val="none"/>
        </w:rPr>
      </w:pPr>
      <w:bookmarkStart w:id="567" w:name="_Toc10506"/>
      <w:r>
        <w:rPr>
          <w:rFonts w:hint="eastAsia" w:ascii="宋体" w:hAnsi="宋体" w:cs="宋体"/>
          <w:color w:val="auto"/>
          <w:highlight w:val="none"/>
        </w:rPr>
        <w:br w:type="page"/>
      </w:r>
    </w:p>
    <w:p w14:paraId="429C89F4">
      <w:pPr>
        <w:pStyle w:val="4"/>
        <w:jc w:val="center"/>
        <w:rPr>
          <w:rFonts w:hint="eastAsia" w:ascii="宋体" w:hAnsi="宋体" w:cs="宋体"/>
          <w:color w:val="auto"/>
          <w:highlight w:val="none"/>
        </w:rPr>
      </w:pPr>
    </w:p>
    <w:p w14:paraId="317ECB5B">
      <w:pPr>
        <w:pStyle w:val="4"/>
        <w:jc w:val="center"/>
        <w:rPr>
          <w:rFonts w:hint="eastAsia" w:ascii="宋体" w:hAnsi="宋体" w:cs="宋体"/>
          <w:color w:val="auto"/>
          <w:highlight w:val="none"/>
        </w:rPr>
      </w:pPr>
    </w:p>
    <w:p w14:paraId="2B262764">
      <w:pPr>
        <w:pStyle w:val="4"/>
        <w:jc w:val="center"/>
        <w:rPr>
          <w:rFonts w:hint="eastAsia" w:ascii="宋体" w:hAnsi="宋体" w:cs="宋体"/>
          <w:color w:val="auto"/>
          <w:highlight w:val="none"/>
        </w:rPr>
      </w:pPr>
    </w:p>
    <w:p w14:paraId="074C252D">
      <w:pPr>
        <w:pStyle w:val="4"/>
        <w:jc w:val="center"/>
        <w:rPr>
          <w:rFonts w:hint="eastAsia" w:ascii="宋体" w:hAnsi="宋体" w:cs="宋体"/>
          <w:color w:val="auto"/>
          <w:highlight w:val="none"/>
        </w:rPr>
      </w:pPr>
      <w:r>
        <w:rPr>
          <w:rFonts w:hint="eastAsia" w:ascii="宋体" w:hAnsi="宋体" w:cs="宋体"/>
          <w:color w:val="auto"/>
          <w:highlight w:val="none"/>
        </w:rPr>
        <w:t>第三卷</w:t>
      </w:r>
      <w:bookmarkEnd w:id="561"/>
      <w:bookmarkEnd w:id="562"/>
      <w:bookmarkEnd w:id="563"/>
      <w:bookmarkEnd w:id="567"/>
    </w:p>
    <w:p w14:paraId="07DFA5DB">
      <w:pPr>
        <w:spacing w:line="400" w:lineRule="exact"/>
        <w:jc w:val="center"/>
        <w:rPr>
          <w:rFonts w:hint="eastAsia" w:ascii="宋体" w:hAnsi="宋体" w:cs="宋体"/>
          <w:color w:val="auto"/>
          <w:highlight w:val="none"/>
        </w:rPr>
      </w:pPr>
      <w:r>
        <w:rPr>
          <w:rFonts w:hint="eastAsia" w:ascii="宋体" w:hAnsi="宋体" w:cs="宋体"/>
          <w:b/>
          <w:bCs/>
          <w:color w:val="auto"/>
          <w:sz w:val="32"/>
          <w:highlight w:val="none"/>
        </w:rPr>
        <w:br w:type="page"/>
      </w:r>
    </w:p>
    <w:p w14:paraId="78D920F9">
      <w:pPr>
        <w:pStyle w:val="4"/>
        <w:jc w:val="center"/>
        <w:rPr>
          <w:rFonts w:hint="eastAsia" w:ascii="宋体" w:hAnsi="宋体" w:cs="宋体"/>
          <w:color w:val="auto"/>
          <w:highlight w:val="none"/>
        </w:rPr>
      </w:pPr>
      <w:bookmarkStart w:id="568" w:name="_Toc19881"/>
      <w:bookmarkStart w:id="569" w:name="_Toc247527826"/>
      <w:bookmarkStart w:id="570" w:name="_Toc247514245"/>
      <w:bookmarkStart w:id="571" w:name="_Toc16099"/>
      <w:r>
        <w:rPr>
          <w:rFonts w:hint="eastAsia" w:ascii="宋体" w:hAnsi="宋体" w:cs="宋体"/>
          <w:color w:val="auto"/>
          <w:highlight w:val="none"/>
        </w:rPr>
        <w:t>第七章  投标文件格式</w:t>
      </w:r>
      <w:bookmarkEnd w:id="564"/>
      <w:bookmarkEnd w:id="565"/>
      <w:bookmarkEnd w:id="566"/>
      <w:bookmarkEnd w:id="568"/>
      <w:bookmarkEnd w:id="569"/>
      <w:bookmarkEnd w:id="570"/>
      <w:bookmarkEnd w:id="571"/>
    </w:p>
    <w:p w14:paraId="3888DB37">
      <w:pPr>
        <w:spacing w:line="400" w:lineRule="exact"/>
        <w:rPr>
          <w:rFonts w:hint="eastAsia" w:ascii="宋体" w:hAnsi="宋体" w:cs="宋体"/>
          <w:color w:val="auto"/>
          <w:highlight w:val="none"/>
        </w:rPr>
      </w:pPr>
    </w:p>
    <w:p w14:paraId="091FBC3A">
      <w:pPr>
        <w:jc w:val="center"/>
        <w:rPr>
          <w:rFonts w:hint="eastAsia" w:ascii="宋体" w:hAnsi="宋体" w:cs="宋体"/>
          <w:color w:val="auto"/>
          <w:highlight w:val="none"/>
        </w:rPr>
      </w:pPr>
      <w:r>
        <w:rPr>
          <w:rFonts w:hint="eastAsia" w:ascii="宋体" w:hAnsi="宋体" w:cs="宋体"/>
          <w:color w:val="auto"/>
          <w:highlight w:val="none"/>
        </w:rPr>
        <w:br w:type="page"/>
      </w:r>
    </w:p>
    <w:p w14:paraId="3FC30475">
      <w:pPr>
        <w:pStyle w:val="36"/>
        <w:rPr>
          <w:color w:val="auto"/>
          <w:highlight w:val="none"/>
        </w:rPr>
      </w:pPr>
    </w:p>
    <w:p w14:paraId="46616B76">
      <w:pPr>
        <w:pStyle w:val="36"/>
        <w:rPr>
          <w:color w:val="auto"/>
          <w:highlight w:val="none"/>
        </w:rPr>
      </w:pPr>
    </w:p>
    <w:p w14:paraId="7A8B8E0D">
      <w:pPr>
        <w:jc w:val="center"/>
        <w:rPr>
          <w:rFonts w:hint="eastAsia" w:ascii="宋体" w:hAnsi="宋体" w:cs="宋体"/>
          <w:color w:val="auto"/>
          <w:sz w:val="28"/>
          <w:szCs w:val="28"/>
          <w:highlight w:val="none"/>
        </w:rPr>
      </w:pPr>
      <w:r>
        <w:rPr>
          <w:rFonts w:hint="eastAsia" w:ascii="宋体" w:hAnsi="宋体" w:cs="宋体"/>
          <w:color w:val="auto"/>
          <w:sz w:val="40"/>
          <w:szCs w:val="40"/>
          <w:highlight w:val="none"/>
          <w:u w:val="single"/>
        </w:rPr>
        <w:t xml:space="preserve">     （项目名称）</w:t>
      </w:r>
      <w:r>
        <w:rPr>
          <w:rFonts w:hint="eastAsia" w:ascii="宋体" w:hAnsi="宋体" w:cs="宋体"/>
          <w:color w:val="auto"/>
          <w:sz w:val="40"/>
          <w:szCs w:val="40"/>
          <w:highlight w:val="none"/>
          <w:u w:val="single"/>
          <w:lang w:val="en-US" w:eastAsia="zh-CN"/>
        </w:rPr>
        <w:t xml:space="preserve">    </w:t>
      </w:r>
      <w:r>
        <w:rPr>
          <w:rFonts w:hint="eastAsia" w:ascii="宋体" w:hAnsi="宋体" w:cs="宋体"/>
          <w:color w:val="auto"/>
          <w:sz w:val="40"/>
          <w:szCs w:val="40"/>
          <w:highlight w:val="none"/>
        </w:rPr>
        <w:t>设计与施工一体化</w:t>
      </w:r>
    </w:p>
    <w:p w14:paraId="40ABB252">
      <w:pPr>
        <w:rPr>
          <w:rFonts w:hint="eastAsia" w:ascii="宋体" w:hAnsi="宋体" w:cs="宋体"/>
          <w:color w:val="auto"/>
          <w:sz w:val="20"/>
          <w:szCs w:val="20"/>
          <w:highlight w:val="none"/>
        </w:rPr>
      </w:pPr>
    </w:p>
    <w:p w14:paraId="4544B10A">
      <w:pPr>
        <w:rPr>
          <w:rFonts w:hint="eastAsia" w:ascii="宋体" w:hAnsi="宋体" w:cs="宋体"/>
          <w:color w:val="auto"/>
          <w:sz w:val="20"/>
          <w:szCs w:val="20"/>
          <w:highlight w:val="none"/>
        </w:rPr>
      </w:pPr>
    </w:p>
    <w:p w14:paraId="04FABCD1">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  标  文  件</w:t>
      </w:r>
    </w:p>
    <w:p w14:paraId="22038E80">
      <w:pPr>
        <w:pStyle w:val="20"/>
        <w:rPr>
          <w:rFonts w:eastAsia="宋体"/>
          <w:color w:val="auto"/>
          <w:highlight w:val="none"/>
        </w:rPr>
      </w:pPr>
      <w:r>
        <w:rPr>
          <w:rFonts w:hint="eastAsia" w:ascii="宋体" w:hAnsi="宋体" w:eastAsia="宋体" w:cs="宋体"/>
          <w:color w:val="auto"/>
          <w:sz w:val="44"/>
          <w:szCs w:val="44"/>
          <w:highlight w:val="none"/>
        </w:rPr>
        <w:t xml:space="preserve">         （资格审查文件部分）</w:t>
      </w:r>
    </w:p>
    <w:p w14:paraId="78068478">
      <w:pPr>
        <w:rPr>
          <w:rFonts w:hint="eastAsia" w:ascii="宋体" w:hAnsi="宋体" w:cs="宋体"/>
          <w:color w:val="auto"/>
          <w:sz w:val="28"/>
          <w:szCs w:val="28"/>
          <w:highlight w:val="none"/>
        </w:rPr>
      </w:pPr>
    </w:p>
    <w:p w14:paraId="5EC70E96">
      <w:pPr>
        <w:rPr>
          <w:rFonts w:hint="eastAsia" w:ascii="宋体" w:hAnsi="宋体" w:cs="宋体"/>
          <w:color w:val="auto"/>
          <w:sz w:val="28"/>
          <w:szCs w:val="28"/>
          <w:highlight w:val="none"/>
        </w:rPr>
      </w:pPr>
    </w:p>
    <w:p w14:paraId="6A338023">
      <w:pPr>
        <w:rPr>
          <w:rFonts w:hint="eastAsia" w:ascii="宋体" w:hAnsi="宋体" w:cs="宋体"/>
          <w:color w:val="auto"/>
          <w:sz w:val="28"/>
          <w:szCs w:val="28"/>
          <w:highlight w:val="none"/>
        </w:rPr>
      </w:pPr>
    </w:p>
    <w:p w14:paraId="12ABADD8">
      <w:pPr>
        <w:rPr>
          <w:rFonts w:hint="eastAsia" w:ascii="宋体" w:hAnsi="宋体" w:cs="宋体"/>
          <w:color w:val="auto"/>
          <w:sz w:val="28"/>
          <w:szCs w:val="28"/>
          <w:highlight w:val="none"/>
        </w:rPr>
      </w:pPr>
    </w:p>
    <w:p w14:paraId="1D7E59F3">
      <w:pPr>
        <w:rPr>
          <w:rFonts w:hint="eastAsia" w:ascii="宋体" w:hAnsi="宋体" w:cs="宋体"/>
          <w:color w:val="auto"/>
          <w:sz w:val="28"/>
          <w:szCs w:val="28"/>
          <w:highlight w:val="none"/>
        </w:rPr>
      </w:pPr>
    </w:p>
    <w:p w14:paraId="2715C4C9">
      <w:pPr>
        <w:rPr>
          <w:rFonts w:hint="eastAsia" w:ascii="宋体" w:hAnsi="宋体" w:cs="宋体"/>
          <w:color w:val="auto"/>
          <w:sz w:val="28"/>
          <w:szCs w:val="28"/>
          <w:highlight w:val="none"/>
        </w:rPr>
      </w:pPr>
    </w:p>
    <w:p w14:paraId="73DA0DE0">
      <w:pPr>
        <w:rPr>
          <w:rFonts w:hint="eastAsia" w:ascii="宋体" w:hAnsi="宋体" w:cs="宋体"/>
          <w:color w:val="auto"/>
          <w:sz w:val="28"/>
          <w:szCs w:val="28"/>
          <w:highlight w:val="none"/>
        </w:rPr>
      </w:pPr>
    </w:p>
    <w:p w14:paraId="5E190ED2">
      <w:pPr>
        <w:rPr>
          <w:rFonts w:hint="eastAsia" w:ascii="宋体" w:hAnsi="宋体" w:cs="宋体"/>
          <w:color w:val="auto"/>
          <w:sz w:val="28"/>
          <w:szCs w:val="28"/>
          <w:highlight w:val="none"/>
        </w:rPr>
      </w:pPr>
    </w:p>
    <w:p w14:paraId="76F3663F">
      <w:pPr>
        <w:rPr>
          <w:rFonts w:hint="eastAsia" w:ascii="宋体" w:hAnsi="宋体" w:cs="宋体"/>
          <w:color w:val="auto"/>
          <w:sz w:val="28"/>
          <w:szCs w:val="28"/>
          <w:highlight w:val="none"/>
        </w:rPr>
      </w:pPr>
    </w:p>
    <w:p w14:paraId="586FC548">
      <w:pPr>
        <w:rPr>
          <w:rFonts w:hint="eastAsia" w:ascii="宋体" w:hAnsi="宋体" w:cs="宋体"/>
          <w:color w:val="auto"/>
          <w:sz w:val="28"/>
          <w:szCs w:val="28"/>
          <w:highlight w:val="none"/>
        </w:rPr>
      </w:pPr>
    </w:p>
    <w:p w14:paraId="1AC8D35C">
      <w:pPr>
        <w:rPr>
          <w:rFonts w:hint="eastAsia" w:ascii="宋体" w:hAnsi="宋体" w:cs="宋体"/>
          <w:color w:val="auto"/>
          <w:sz w:val="28"/>
          <w:szCs w:val="28"/>
          <w:highlight w:val="none"/>
        </w:rPr>
      </w:pPr>
    </w:p>
    <w:p w14:paraId="63093419">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17936DD0">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14:paraId="0DC83E18">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A820B42">
      <w:pPr>
        <w:pStyle w:val="20"/>
        <w:rPr>
          <w:rFonts w:hint="eastAsia" w:ascii="宋体" w:hAnsi="宋体" w:eastAsia="宋体" w:cs="宋体"/>
          <w:color w:val="auto"/>
          <w:sz w:val="28"/>
          <w:szCs w:val="28"/>
          <w:highlight w:val="none"/>
        </w:rPr>
      </w:pPr>
    </w:p>
    <w:p w14:paraId="633D3CB5">
      <w:pPr>
        <w:rPr>
          <w:rFonts w:hint="eastAsia" w:ascii="宋体" w:hAnsi="宋体" w:cs="宋体"/>
          <w:b/>
          <w:color w:val="auto"/>
          <w:kern w:val="1"/>
          <w:sz w:val="24"/>
          <w:highlight w:val="none"/>
          <w:lang w:val="zh-CN"/>
        </w:rPr>
      </w:pPr>
      <w:r>
        <w:rPr>
          <w:rFonts w:ascii="宋体" w:hAnsi="宋体" w:cs="宋体"/>
          <w:b/>
          <w:color w:val="auto"/>
          <w:kern w:val="1"/>
          <w:sz w:val="24"/>
          <w:highlight w:val="none"/>
          <w:lang w:val="zh-CN"/>
        </w:rPr>
        <w:br w:type="page"/>
      </w: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1</w:t>
      </w:r>
      <w:r>
        <w:rPr>
          <w:rFonts w:hint="eastAsia" w:ascii="宋体" w:hAnsi="宋体" w:cs="宋体"/>
          <w:b/>
          <w:color w:val="auto"/>
          <w:kern w:val="1"/>
          <w:sz w:val="24"/>
          <w:highlight w:val="none"/>
          <w:lang w:val="zh-CN"/>
        </w:rPr>
        <w:t>：</w:t>
      </w:r>
    </w:p>
    <w:p w14:paraId="38BE3D22">
      <w:pPr>
        <w:autoSpaceDE w:val="0"/>
        <w:autoSpaceDN w:val="0"/>
        <w:adjustRightInd w:val="0"/>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法人代表证明书、授权委托证明书</w:t>
      </w:r>
    </w:p>
    <w:p w14:paraId="139F81CC">
      <w:pPr>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w:t>
      </w:r>
    </w:p>
    <w:p w14:paraId="2FF2F095">
      <w:pPr>
        <w:spacing w:line="360" w:lineRule="auto"/>
        <w:jc w:val="right"/>
        <w:rPr>
          <w:rFonts w:hint="eastAsia" w:ascii="宋体" w:hAnsi="宋体" w:cs="宋体"/>
          <w:color w:val="auto"/>
          <w:highlight w:val="none"/>
        </w:rPr>
      </w:pPr>
      <w:r>
        <w:rPr>
          <w:rFonts w:hint="eastAsia" w:ascii="宋体" w:hAnsi="宋体" w:cs="宋体"/>
          <w:color w:val="auto"/>
          <w:highlight w:val="none"/>
        </w:rPr>
        <w:t>（   ）第   号</w:t>
      </w:r>
    </w:p>
    <w:tbl>
      <w:tblPr>
        <w:tblStyle w:val="37"/>
        <w:tblW w:w="0" w:type="auto"/>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14:paraId="0CE03E30">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14:paraId="108BACD8">
            <w:pPr>
              <w:spacing w:line="360" w:lineRule="auto"/>
              <w:ind w:firstLine="420" w:firstLineChars="200"/>
              <w:rPr>
                <w:rFonts w:hint="eastAsia" w:ascii="宋体" w:hAnsi="宋体" w:cs="宋体"/>
                <w:color w:val="auto"/>
                <w:highlight w:val="none"/>
                <w:u w:val="single"/>
              </w:rPr>
            </w:pPr>
          </w:p>
          <w:p w14:paraId="6FAA97F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现任我公司职务，为法定代表人（负责人），特此证明。</w:t>
            </w:r>
          </w:p>
          <w:p w14:paraId="2D0DE254">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有效期限：</w:t>
            </w:r>
          </w:p>
          <w:p w14:paraId="63D15079">
            <w:pPr>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附：法定代表人（负责人）性别：  年龄：  身份证号码：</w:t>
            </w:r>
          </w:p>
          <w:p w14:paraId="6160E0DC">
            <w:pPr>
              <w:snapToGrid w:val="0"/>
              <w:spacing w:line="360" w:lineRule="auto"/>
              <w:ind w:firstLine="570"/>
              <w:rPr>
                <w:rFonts w:hint="eastAsia" w:ascii="宋体" w:hAnsi="宋体" w:cs="宋体"/>
                <w:color w:val="auto"/>
                <w:highlight w:val="none"/>
                <w:u w:val="single"/>
              </w:rPr>
            </w:pPr>
            <w:r>
              <w:rPr>
                <w:rFonts w:hint="eastAsia" w:ascii="宋体" w:hAnsi="宋体" w:cs="宋体"/>
                <w:color w:val="auto"/>
                <w:highlight w:val="none"/>
              </w:rPr>
              <w:t>统一社会信用代码：  企业类型：</w:t>
            </w:r>
          </w:p>
          <w:p w14:paraId="6764AB2C">
            <w:pPr>
              <w:snapToGrid w:val="0"/>
              <w:spacing w:line="360" w:lineRule="auto"/>
              <w:ind w:firstLine="570"/>
              <w:rPr>
                <w:rFonts w:hint="eastAsia" w:ascii="宋体" w:hAnsi="宋体" w:cs="宋体"/>
                <w:color w:val="auto"/>
                <w:highlight w:val="none"/>
                <w:u w:val="single"/>
              </w:rPr>
            </w:pPr>
            <w:r>
              <w:rPr>
                <w:rFonts w:hint="eastAsia" w:ascii="宋体" w:hAnsi="宋体" w:cs="宋体"/>
                <w:color w:val="auto"/>
                <w:highlight w:val="none"/>
              </w:rPr>
              <w:t>经营范围：</w:t>
            </w:r>
          </w:p>
          <w:p w14:paraId="4C53CBF7">
            <w:pPr>
              <w:snapToGrid w:val="0"/>
              <w:spacing w:line="360" w:lineRule="auto"/>
              <w:ind w:firstLine="570"/>
              <w:rPr>
                <w:rFonts w:hint="eastAsia" w:ascii="宋体" w:hAnsi="宋体" w:cs="宋体"/>
                <w:color w:val="auto"/>
                <w:highlight w:val="none"/>
              </w:rPr>
            </w:pPr>
            <w:r>
              <w:rPr>
                <w:rFonts w:hint="eastAsia" w:ascii="宋体" w:hAnsi="宋体" w:cs="宋体"/>
                <w:color w:val="auto"/>
                <w:highlight w:val="none"/>
              </w:rPr>
              <w:t xml:space="preserve">                       单位：（盖章）</w:t>
            </w:r>
          </w:p>
          <w:p w14:paraId="5EC88178">
            <w:pPr>
              <w:snapToGrid w:val="0"/>
              <w:spacing w:line="360" w:lineRule="auto"/>
              <w:ind w:firstLine="573"/>
              <w:rPr>
                <w:rFonts w:hint="eastAsia" w:ascii="宋体" w:hAnsi="宋体" w:cs="宋体"/>
                <w:color w:val="auto"/>
                <w:highlight w:val="none"/>
              </w:rPr>
            </w:pPr>
            <w:r>
              <w:rPr>
                <w:rFonts w:hint="eastAsia" w:ascii="宋体" w:hAnsi="宋体" w:cs="宋体"/>
                <w:color w:val="auto"/>
                <w:highlight w:val="none"/>
              </w:rPr>
              <w:t xml:space="preserve">                                       年  月  日</w:t>
            </w:r>
          </w:p>
        </w:tc>
      </w:tr>
    </w:tbl>
    <w:p w14:paraId="28CA59CD">
      <w:pPr>
        <w:rPr>
          <w:rFonts w:hint="eastAsia" w:ascii="宋体" w:hAnsi="宋体" w:cs="宋体"/>
          <w:color w:val="auto"/>
          <w:szCs w:val="21"/>
          <w:highlight w:val="none"/>
        </w:rPr>
      </w:pPr>
      <w:r>
        <w:rPr>
          <w:rFonts w:hint="eastAsia" w:ascii="宋体" w:hAnsi="宋体" w:cs="宋体"/>
          <w:color w:val="auto"/>
          <w:szCs w:val="21"/>
          <w:highlight w:val="none"/>
        </w:rPr>
        <w:t>注：1、法定代表人证明书也可以采用工商行政管理局统一印制的格式。</w:t>
      </w:r>
    </w:p>
    <w:p w14:paraId="70ADE185">
      <w:pPr>
        <w:rPr>
          <w:rFonts w:hint="eastAsia" w:ascii="宋体" w:hAnsi="宋体" w:cs="宋体"/>
          <w:color w:val="auto"/>
          <w:szCs w:val="21"/>
          <w:highlight w:val="none"/>
        </w:rPr>
      </w:pPr>
      <w:r>
        <w:rPr>
          <w:rFonts w:hint="eastAsia" w:ascii="宋体" w:hAnsi="宋体" w:cs="宋体"/>
          <w:color w:val="auto"/>
          <w:szCs w:val="21"/>
          <w:highlight w:val="none"/>
        </w:rPr>
        <w:t xml:space="preserve">    2、联合体投标的，本证明书由主办方出具，仅填写主办方单位名称并由主办方盖章即可。</w:t>
      </w:r>
    </w:p>
    <w:p w14:paraId="188315C7">
      <w:pPr>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法定代表人授权委托书</w:t>
      </w:r>
    </w:p>
    <w:p w14:paraId="5F23BB2D">
      <w:pPr>
        <w:spacing w:line="360" w:lineRule="auto"/>
        <w:jc w:val="right"/>
        <w:rPr>
          <w:rFonts w:hint="eastAsia" w:ascii="宋体" w:hAnsi="宋体" w:cs="宋体"/>
          <w:color w:val="auto"/>
          <w:highlight w:val="none"/>
        </w:rPr>
      </w:pPr>
      <w:r>
        <w:rPr>
          <w:rFonts w:hint="eastAsia" w:ascii="宋体" w:hAnsi="宋体" w:cs="宋体"/>
          <w:color w:val="auto"/>
          <w:highlight w:val="none"/>
        </w:rPr>
        <w:t>（   ）第   号</w:t>
      </w:r>
    </w:p>
    <w:tbl>
      <w:tblPr>
        <w:tblStyle w:val="37"/>
        <w:tblW w:w="0" w:type="auto"/>
        <w:tblInd w:w="-381"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40"/>
      </w:tblGrid>
      <w:tr w14:paraId="6E211F2A">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trHeight w:val="4080" w:hRule="atLeast"/>
        </w:trPr>
        <w:tc>
          <w:tcPr>
            <w:tcW w:w="9540" w:type="dxa"/>
          </w:tcPr>
          <w:p w14:paraId="1A5C15B8">
            <w:pPr>
              <w:spacing w:line="360" w:lineRule="auto"/>
              <w:ind w:firstLine="420" w:firstLineChars="200"/>
              <w:rPr>
                <w:rFonts w:hint="eastAsia" w:ascii="宋体" w:hAnsi="宋体" w:cs="宋体"/>
                <w:color w:val="auto"/>
                <w:highlight w:val="none"/>
              </w:rPr>
            </w:pPr>
          </w:p>
          <w:p w14:paraId="7A6A7F5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兹授权为我方委托代理人，其权限是：</w:t>
            </w:r>
            <w:r>
              <w:rPr>
                <w:rFonts w:hint="eastAsia" w:ascii="宋体" w:hAnsi="宋体" w:cs="宋体"/>
                <w:color w:val="auto"/>
                <w:highlight w:val="none"/>
                <w:u w:val="single"/>
              </w:rPr>
              <w:t>负责办理         投标相关事宜</w:t>
            </w:r>
            <w:r>
              <w:rPr>
                <w:rFonts w:hint="eastAsia" w:ascii="宋体" w:hAnsi="宋体" w:cs="宋体"/>
                <w:color w:val="auto"/>
                <w:highlight w:val="none"/>
              </w:rPr>
              <w:t>。</w:t>
            </w:r>
          </w:p>
          <w:p w14:paraId="5E9949F8">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有效期限：</w:t>
            </w:r>
          </w:p>
          <w:p w14:paraId="01CBDBE2">
            <w:pPr>
              <w:spacing w:line="360" w:lineRule="auto"/>
              <w:rPr>
                <w:rFonts w:hint="eastAsia" w:ascii="宋体" w:hAnsi="宋体" w:cs="宋体"/>
                <w:color w:val="auto"/>
                <w:highlight w:val="none"/>
                <w:u w:val="single"/>
              </w:rPr>
            </w:pPr>
            <w:r>
              <w:rPr>
                <w:rFonts w:hint="eastAsia" w:ascii="宋体" w:hAnsi="宋体" w:cs="宋体"/>
                <w:color w:val="auto"/>
                <w:highlight w:val="none"/>
              </w:rPr>
              <w:t>附：代理人性别： 年龄： 身份证号码：</w:t>
            </w:r>
          </w:p>
          <w:p w14:paraId="2F8A6851">
            <w:pPr>
              <w:snapToGrid w:val="0"/>
              <w:spacing w:line="360" w:lineRule="auto"/>
              <w:ind w:firstLine="570"/>
              <w:rPr>
                <w:rFonts w:hint="eastAsia" w:ascii="宋体" w:hAnsi="宋体" w:cs="宋体"/>
                <w:color w:val="auto"/>
                <w:highlight w:val="none"/>
                <w:u w:val="single"/>
              </w:rPr>
            </w:pPr>
            <w:r>
              <w:rPr>
                <w:rFonts w:hint="eastAsia" w:ascii="宋体" w:hAnsi="宋体" w:cs="宋体"/>
                <w:color w:val="auto"/>
                <w:highlight w:val="none"/>
              </w:rPr>
              <w:t>统一社会信用代码：  企业类型：</w:t>
            </w:r>
          </w:p>
          <w:p w14:paraId="6F25306D">
            <w:pPr>
              <w:snapToGrid w:val="0"/>
              <w:spacing w:line="360" w:lineRule="auto"/>
              <w:ind w:firstLine="570"/>
              <w:rPr>
                <w:rFonts w:hint="eastAsia" w:ascii="宋体" w:hAnsi="宋体" w:cs="宋体"/>
                <w:color w:val="auto"/>
                <w:highlight w:val="none"/>
                <w:u w:val="single"/>
              </w:rPr>
            </w:pPr>
            <w:r>
              <w:rPr>
                <w:rFonts w:hint="eastAsia" w:ascii="宋体" w:hAnsi="宋体" w:cs="宋体"/>
                <w:color w:val="auto"/>
                <w:highlight w:val="none"/>
              </w:rPr>
              <w:t>经营范围：</w:t>
            </w:r>
          </w:p>
          <w:p w14:paraId="1903D72C">
            <w:pPr>
              <w:snapToGrid w:val="0"/>
              <w:spacing w:line="360" w:lineRule="auto"/>
              <w:ind w:hanging="105"/>
              <w:rPr>
                <w:rFonts w:hint="eastAsia" w:ascii="宋体" w:hAnsi="宋体" w:cs="宋体"/>
                <w:color w:val="auto"/>
                <w:highlight w:val="none"/>
                <w:u w:val="single"/>
              </w:rPr>
            </w:pPr>
          </w:p>
          <w:p w14:paraId="62B1553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法定代表人（负责人）：（签名或盖章）</w:t>
            </w:r>
          </w:p>
          <w:p w14:paraId="39B995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授权单位：（盖章）</w:t>
            </w:r>
          </w:p>
          <w:p w14:paraId="636392F0">
            <w:pPr>
              <w:snapToGrid w:val="0"/>
              <w:spacing w:line="360" w:lineRule="auto"/>
              <w:ind w:firstLine="570"/>
              <w:rPr>
                <w:rFonts w:hint="eastAsia" w:ascii="宋体" w:hAnsi="宋体" w:cs="宋体"/>
                <w:color w:val="auto"/>
                <w:highlight w:val="none"/>
              </w:rPr>
            </w:pPr>
            <w:r>
              <w:rPr>
                <w:rFonts w:hint="eastAsia" w:ascii="宋体" w:hAnsi="宋体" w:cs="宋体"/>
                <w:color w:val="auto"/>
                <w:highlight w:val="none"/>
              </w:rPr>
              <w:t xml:space="preserve">                      年  月  日</w:t>
            </w:r>
          </w:p>
        </w:tc>
      </w:tr>
    </w:tbl>
    <w:p w14:paraId="655A0F7E">
      <w:pPr>
        <w:rPr>
          <w:rFonts w:hint="eastAsia" w:ascii="宋体" w:hAnsi="宋体" w:cs="宋体"/>
          <w:color w:val="auto"/>
          <w:szCs w:val="21"/>
          <w:highlight w:val="none"/>
        </w:rPr>
      </w:pPr>
      <w:r>
        <w:rPr>
          <w:rFonts w:hint="eastAsia" w:ascii="宋体" w:hAnsi="宋体" w:cs="宋体"/>
          <w:color w:val="auto"/>
          <w:szCs w:val="21"/>
          <w:highlight w:val="none"/>
        </w:rPr>
        <w:t>注：1、法定代表人授权委托书也可以采用工商行政管理局统一印制的格式。</w:t>
      </w:r>
    </w:p>
    <w:p w14:paraId="2405EF72">
      <w:pPr>
        <w:ind w:firstLine="420"/>
        <w:rPr>
          <w:rFonts w:hint="eastAsia" w:ascii="宋体" w:hAnsi="宋体" w:cs="宋体"/>
          <w:color w:val="auto"/>
          <w:szCs w:val="21"/>
          <w:highlight w:val="none"/>
        </w:rPr>
      </w:pPr>
      <w:r>
        <w:rPr>
          <w:rFonts w:hint="eastAsia" w:ascii="宋体" w:hAnsi="宋体" w:cs="宋体"/>
          <w:color w:val="auto"/>
          <w:szCs w:val="21"/>
          <w:highlight w:val="none"/>
        </w:rPr>
        <w:t>2、联合体投标的，本授权书由主办方出具，仅填写主办方单位名称并由主办方签字或盖章即可。</w:t>
      </w:r>
    </w:p>
    <w:p w14:paraId="0AA6D146">
      <w:pPr>
        <w:spacing w:line="360" w:lineRule="auto"/>
        <w:ind w:firstLine="420"/>
        <w:rPr>
          <w:rFonts w:hint="eastAsia" w:ascii="宋体" w:hAnsi="宋体" w:cs="宋体"/>
          <w:color w:val="auto"/>
          <w:szCs w:val="21"/>
          <w:highlight w:val="none"/>
        </w:rPr>
      </w:pPr>
    </w:p>
    <w:p w14:paraId="3CBBE147">
      <w:pPr>
        <w:pStyle w:val="36"/>
        <w:rPr>
          <w:color w:val="auto"/>
          <w:highlight w:val="none"/>
        </w:rPr>
      </w:pPr>
    </w:p>
    <w:p w14:paraId="0874D8AB">
      <w:pPr>
        <w:pStyle w:val="36"/>
        <w:rPr>
          <w:color w:val="auto"/>
          <w:highlight w:val="none"/>
        </w:rPr>
      </w:pPr>
    </w:p>
    <w:p w14:paraId="2E2621BC">
      <w:pPr>
        <w:jc w:val="center"/>
        <w:rPr>
          <w:rFonts w:hint="eastAsia" w:ascii="宋体" w:hAnsi="宋体" w:cs="宋体"/>
          <w:color w:val="auto"/>
          <w:sz w:val="40"/>
          <w:szCs w:val="40"/>
          <w:highlight w:val="none"/>
        </w:rPr>
      </w:pPr>
      <w:r>
        <w:rPr>
          <w:rFonts w:hint="eastAsia" w:ascii="宋体" w:hAnsi="宋体" w:cs="宋体"/>
          <w:color w:val="auto"/>
          <w:sz w:val="40"/>
          <w:szCs w:val="40"/>
          <w:highlight w:val="none"/>
          <w:u w:val="single"/>
        </w:rPr>
        <w:t xml:space="preserve">     （项目名称）</w:t>
      </w:r>
      <w:r>
        <w:rPr>
          <w:rFonts w:hint="eastAsia" w:ascii="宋体" w:hAnsi="宋体" w:cs="宋体"/>
          <w:color w:val="auto"/>
          <w:sz w:val="40"/>
          <w:szCs w:val="40"/>
          <w:highlight w:val="none"/>
          <w:u w:val="single"/>
          <w:lang w:val="en-US" w:eastAsia="zh-CN"/>
        </w:rPr>
        <w:t xml:space="preserve">     </w:t>
      </w:r>
      <w:r>
        <w:rPr>
          <w:rFonts w:hint="eastAsia" w:ascii="宋体" w:hAnsi="宋体" w:cs="宋体"/>
          <w:color w:val="auto"/>
          <w:sz w:val="40"/>
          <w:szCs w:val="40"/>
          <w:highlight w:val="none"/>
        </w:rPr>
        <w:t>设计与施工一体化</w:t>
      </w:r>
    </w:p>
    <w:p w14:paraId="7644882E">
      <w:pPr>
        <w:rPr>
          <w:rFonts w:hint="eastAsia" w:ascii="宋体" w:hAnsi="宋体" w:cs="宋体"/>
          <w:color w:val="auto"/>
          <w:sz w:val="20"/>
          <w:szCs w:val="20"/>
          <w:highlight w:val="none"/>
        </w:rPr>
      </w:pPr>
    </w:p>
    <w:p w14:paraId="351691B8">
      <w:pPr>
        <w:rPr>
          <w:rFonts w:hint="eastAsia" w:ascii="宋体" w:hAnsi="宋体" w:cs="宋体"/>
          <w:color w:val="auto"/>
          <w:sz w:val="20"/>
          <w:szCs w:val="20"/>
          <w:highlight w:val="none"/>
        </w:rPr>
      </w:pPr>
    </w:p>
    <w:p w14:paraId="6784CA89">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投  标  文  件</w:t>
      </w:r>
    </w:p>
    <w:p w14:paraId="38D4CC29">
      <w:pPr>
        <w:pStyle w:val="20"/>
        <w:jc w:val="center"/>
        <w:rPr>
          <w:rFonts w:eastAsia="宋体"/>
          <w:color w:val="auto"/>
          <w:highlight w:val="none"/>
        </w:rPr>
      </w:pPr>
      <w:r>
        <w:rPr>
          <w:rFonts w:hint="eastAsia" w:ascii="宋体" w:hAnsi="宋体" w:eastAsia="宋体" w:cs="宋体"/>
          <w:color w:val="auto"/>
          <w:sz w:val="44"/>
          <w:szCs w:val="44"/>
          <w:highlight w:val="none"/>
        </w:rPr>
        <w:t>（工程承包实施方案）</w:t>
      </w:r>
    </w:p>
    <w:p w14:paraId="30CB8206">
      <w:pPr>
        <w:rPr>
          <w:rFonts w:hint="eastAsia" w:ascii="宋体" w:hAnsi="宋体" w:cs="宋体"/>
          <w:color w:val="auto"/>
          <w:sz w:val="28"/>
          <w:szCs w:val="28"/>
          <w:highlight w:val="none"/>
        </w:rPr>
      </w:pPr>
    </w:p>
    <w:p w14:paraId="697D0E93">
      <w:pPr>
        <w:rPr>
          <w:rFonts w:hint="eastAsia" w:ascii="宋体" w:hAnsi="宋体" w:cs="宋体"/>
          <w:color w:val="auto"/>
          <w:sz w:val="28"/>
          <w:szCs w:val="28"/>
          <w:highlight w:val="none"/>
        </w:rPr>
      </w:pPr>
    </w:p>
    <w:p w14:paraId="4B9ADDE0">
      <w:pPr>
        <w:rPr>
          <w:rFonts w:hint="eastAsia" w:ascii="宋体" w:hAnsi="宋体" w:cs="宋体"/>
          <w:color w:val="auto"/>
          <w:sz w:val="28"/>
          <w:szCs w:val="28"/>
          <w:highlight w:val="none"/>
        </w:rPr>
      </w:pPr>
    </w:p>
    <w:p w14:paraId="6404263C">
      <w:pPr>
        <w:rPr>
          <w:rFonts w:hint="eastAsia" w:ascii="宋体" w:hAnsi="宋体" w:cs="宋体"/>
          <w:color w:val="auto"/>
          <w:sz w:val="28"/>
          <w:szCs w:val="28"/>
          <w:highlight w:val="none"/>
        </w:rPr>
      </w:pPr>
    </w:p>
    <w:p w14:paraId="6A7BD869">
      <w:pPr>
        <w:rPr>
          <w:rFonts w:hint="eastAsia" w:ascii="宋体" w:hAnsi="宋体" w:cs="宋体"/>
          <w:color w:val="auto"/>
          <w:sz w:val="28"/>
          <w:szCs w:val="28"/>
          <w:highlight w:val="none"/>
        </w:rPr>
      </w:pPr>
    </w:p>
    <w:p w14:paraId="2DB259FE">
      <w:pPr>
        <w:rPr>
          <w:rFonts w:hint="eastAsia" w:ascii="宋体" w:hAnsi="宋体" w:cs="宋体"/>
          <w:color w:val="auto"/>
          <w:sz w:val="28"/>
          <w:szCs w:val="28"/>
          <w:highlight w:val="none"/>
        </w:rPr>
      </w:pPr>
    </w:p>
    <w:p w14:paraId="6736453D">
      <w:pPr>
        <w:rPr>
          <w:rFonts w:hint="eastAsia" w:ascii="宋体" w:hAnsi="宋体" w:cs="宋体"/>
          <w:color w:val="auto"/>
          <w:sz w:val="28"/>
          <w:szCs w:val="28"/>
          <w:highlight w:val="none"/>
        </w:rPr>
      </w:pPr>
    </w:p>
    <w:p w14:paraId="784C3C3E">
      <w:pPr>
        <w:rPr>
          <w:rFonts w:hint="eastAsia" w:ascii="宋体" w:hAnsi="宋体" w:cs="宋体"/>
          <w:color w:val="auto"/>
          <w:sz w:val="28"/>
          <w:szCs w:val="28"/>
          <w:highlight w:val="none"/>
        </w:rPr>
      </w:pPr>
    </w:p>
    <w:p w14:paraId="48B32AB9">
      <w:pPr>
        <w:rPr>
          <w:rFonts w:hint="eastAsia" w:ascii="宋体" w:hAnsi="宋体" w:cs="宋体"/>
          <w:color w:val="auto"/>
          <w:sz w:val="28"/>
          <w:szCs w:val="28"/>
          <w:highlight w:val="none"/>
        </w:rPr>
      </w:pPr>
    </w:p>
    <w:p w14:paraId="4E70BC1C">
      <w:pPr>
        <w:rPr>
          <w:rFonts w:hint="eastAsia" w:ascii="宋体" w:hAnsi="宋体" w:cs="宋体"/>
          <w:color w:val="auto"/>
          <w:sz w:val="28"/>
          <w:szCs w:val="28"/>
          <w:highlight w:val="none"/>
        </w:rPr>
      </w:pPr>
    </w:p>
    <w:p w14:paraId="2C3D210F">
      <w:pPr>
        <w:rPr>
          <w:rFonts w:hint="eastAsia" w:ascii="宋体" w:hAnsi="宋体" w:cs="宋体"/>
          <w:color w:val="auto"/>
          <w:sz w:val="28"/>
          <w:szCs w:val="28"/>
          <w:highlight w:val="none"/>
        </w:rPr>
      </w:pPr>
    </w:p>
    <w:p w14:paraId="1C071CF1">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849D53B">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14:paraId="27B06556">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41922D99">
      <w:pPr>
        <w:pStyle w:val="20"/>
        <w:rPr>
          <w:rFonts w:hint="eastAsia" w:ascii="宋体" w:hAnsi="宋体" w:eastAsia="宋体" w:cs="宋体"/>
          <w:color w:val="auto"/>
          <w:sz w:val="28"/>
          <w:szCs w:val="28"/>
          <w:highlight w:val="none"/>
        </w:rPr>
      </w:pPr>
    </w:p>
    <w:p w14:paraId="7C711E2C">
      <w:pPr>
        <w:spacing w:line="360" w:lineRule="auto"/>
        <w:jc w:val="left"/>
        <w:rPr>
          <w:rFonts w:hint="eastAsia" w:ascii="宋体" w:hAnsi="宋体" w:cs="宋体"/>
          <w:b/>
          <w:color w:val="auto"/>
          <w:kern w:val="1"/>
          <w:sz w:val="24"/>
          <w:highlight w:val="none"/>
          <w:lang w:val="zh-CN"/>
        </w:rPr>
      </w:pPr>
    </w:p>
    <w:p w14:paraId="0FC5A42E">
      <w:pPr>
        <w:pStyle w:val="36"/>
        <w:rPr>
          <w:color w:val="auto"/>
          <w:highlight w:val="none"/>
          <w:lang w:val="zh-CN"/>
        </w:rPr>
      </w:pPr>
    </w:p>
    <w:p w14:paraId="36AD55D1">
      <w:pPr>
        <w:pStyle w:val="36"/>
        <w:rPr>
          <w:color w:val="auto"/>
          <w:highlight w:val="none"/>
          <w:lang w:val="zh-CN"/>
        </w:rPr>
      </w:pPr>
    </w:p>
    <w:p w14:paraId="0148E3DD">
      <w:pPr>
        <w:spacing w:line="540" w:lineRule="exact"/>
        <w:rPr>
          <w:rFonts w:hint="eastAsia" w:ascii="宋体" w:hAnsi="宋体" w:cs="宋体"/>
          <w:b/>
          <w:color w:val="auto"/>
          <w:kern w:val="1"/>
          <w:sz w:val="24"/>
          <w:highlight w:val="none"/>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2：</w:t>
      </w:r>
    </w:p>
    <w:p w14:paraId="65551C66">
      <w:pPr>
        <w:autoSpaceDE w:val="0"/>
        <w:autoSpaceDN w:val="0"/>
        <w:adjustRightInd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投标书</w:t>
      </w:r>
    </w:p>
    <w:tbl>
      <w:tblPr>
        <w:tblStyle w:val="37"/>
        <w:tblpPr w:leftFromText="180" w:rightFromText="180" w:vertAnchor="text" w:horzAnchor="page" w:tblpX="1524" w:tblpY="97"/>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163"/>
        <w:gridCol w:w="1106"/>
        <w:gridCol w:w="3270"/>
      </w:tblGrid>
      <w:tr w14:paraId="6877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626" w:type="dxa"/>
            <w:tcBorders>
              <w:top w:val="single" w:color="auto" w:sz="4" w:space="0"/>
              <w:left w:val="single" w:color="auto" w:sz="4" w:space="0"/>
              <w:bottom w:val="single" w:color="auto" w:sz="4" w:space="0"/>
              <w:right w:val="single" w:color="auto" w:sz="4" w:space="0"/>
            </w:tcBorders>
            <w:vAlign w:val="center"/>
          </w:tcPr>
          <w:p w14:paraId="6D2458B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val="zh-CN"/>
              </w:rPr>
              <w:t>项目名称</w:t>
            </w:r>
          </w:p>
        </w:tc>
        <w:tc>
          <w:tcPr>
            <w:tcW w:w="6539" w:type="dxa"/>
            <w:gridSpan w:val="3"/>
            <w:tcBorders>
              <w:top w:val="single" w:color="auto" w:sz="4" w:space="0"/>
              <w:left w:val="single" w:color="auto" w:sz="4" w:space="0"/>
              <w:bottom w:val="single" w:color="auto" w:sz="4" w:space="0"/>
              <w:right w:val="single" w:color="auto" w:sz="4" w:space="0"/>
            </w:tcBorders>
            <w:vAlign w:val="center"/>
          </w:tcPr>
          <w:p w14:paraId="680C9367">
            <w:pPr>
              <w:spacing w:line="360" w:lineRule="auto"/>
              <w:jc w:val="center"/>
              <w:rPr>
                <w:rFonts w:hint="eastAsia" w:ascii="宋体" w:hAnsi="宋体" w:cs="宋体"/>
                <w:b/>
                <w:color w:val="auto"/>
                <w:sz w:val="28"/>
                <w:szCs w:val="28"/>
                <w:highlight w:val="none"/>
                <w:lang w:val="zh-CN"/>
              </w:rPr>
            </w:pPr>
          </w:p>
        </w:tc>
      </w:tr>
      <w:tr w14:paraId="0343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626" w:type="dxa"/>
            <w:tcBorders>
              <w:top w:val="single" w:color="auto" w:sz="4" w:space="0"/>
              <w:left w:val="single" w:color="auto" w:sz="4" w:space="0"/>
              <w:bottom w:val="single" w:color="auto" w:sz="4" w:space="0"/>
              <w:right w:val="single" w:color="auto" w:sz="4" w:space="0"/>
            </w:tcBorders>
            <w:vAlign w:val="center"/>
          </w:tcPr>
          <w:p w14:paraId="37BB01B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val="zh-CN"/>
              </w:rPr>
              <w:t>投标总报价（元）</w:t>
            </w:r>
          </w:p>
        </w:tc>
        <w:tc>
          <w:tcPr>
            <w:tcW w:w="6539" w:type="dxa"/>
            <w:gridSpan w:val="3"/>
            <w:tcBorders>
              <w:top w:val="single" w:color="auto" w:sz="4" w:space="0"/>
              <w:left w:val="single" w:color="auto" w:sz="4" w:space="0"/>
              <w:bottom w:val="single" w:color="auto" w:sz="4" w:space="0"/>
              <w:right w:val="single" w:color="auto" w:sz="4" w:space="0"/>
            </w:tcBorders>
            <w:vAlign w:val="center"/>
          </w:tcPr>
          <w:p w14:paraId="72517D40">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大写：</w:t>
            </w:r>
          </w:p>
          <w:p w14:paraId="16DCDC5C">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小写：</w:t>
            </w:r>
          </w:p>
        </w:tc>
      </w:tr>
      <w:tr w14:paraId="29E5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626" w:type="dxa"/>
            <w:tcBorders>
              <w:top w:val="single" w:color="auto" w:sz="4" w:space="0"/>
              <w:left w:val="single" w:color="auto" w:sz="4" w:space="0"/>
              <w:right w:val="single" w:color="auto" w:sz="4" w:space="0"/>
            </w:tcBorders>
            <w:vAlign w:val="center"/>
          </w:tcPr>
          <w:p w14:paraId="160D2BC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zh-CN"/>
              </w:rPr>
              <w:t>其中</w:t>
            </w:r>
            <w:r>
              <w:rPr>
                <w:rFonts w:hint="eastAsia" w:ascii="宋体" w:hAnsi="宋体" w:cs="宋体"/>
                <w:b/>
                <w:color w:val="auto"/>
                <w:szCs w:val="21"/>
                <w:highlight w:val="none"/>
              </w:rPr>
              <w:t>：</w:t>
            </w:r>
            <w:r>
              <w:rPr>
                <w:rFonts w:hint="eastAsia" w:ascii="宋体" w:hAnsi="宋体" w:cs="宋体"/>
                <w:b/>
                <w:color w:val="auto"/>
                <w:szCs w:val="21"/>
                <w:highlight w:val="none"/>
                <w:lang w:val="zh-CN"/>
              </w:rPr>
              <w:t>施工部分</w:t>
            </w:r>
            <w:r>
              <w:rPr>
                <w:rFonts w:hint="eastAsia" w:ascii="宋体" w:hAnsi="宋体" w:cs="宋体"/>
                <w:b/>
                <w:color w:val="auto"/>
                <w:szCs w:val="21"/>
                <w:highlight w:val="none"/>
              </w:rPr>
              <w:t>（</w:t>
            </w:r>
            <w:r>
              <w:rPr>
                <w:rFonts w:hint="eastAsia" w:ascii="宋体" w:hAnsi="宋体" w:cs="宋体"/>
                <w:b/>
                <w:color w:val="auto"/>
                <w:szCs w:val="21"/>
                <w:highlight w:val="none"/>
                <w:lang w:val="zh-CN"/>
              </w:rPr>
              <w:t>元</w:t>
            </w:r>
            <w:r>
              <w:rPr>
                <w:rFonts w:hint="eastAsia" w:ascii="宋体" w:hAnsi="宋体" w:cs="宋体"/>
                <w:b/>
                <w:color w:val="auto"/>
                <w:szCs w:val="21"/>
                <w:highlight w:val="none"/>
              </w:rPr>
              <w:t>）</w:t>
            </w:r>
          </w:p>
        </w:tc>
        <w:tc>
          <w:tcPr>
            <w:tcW w:w="3269" w:type="dxa"/>
            <w:gridSpan w:val="2"/>
            <w:tcBorders>
              <w:top w:val="single" w:color="auto" w:sz="4" w:space="0"/>
              <w:left w:val="single" w:color="auto" w:sz="4" w:space="0"/>
              <w:bottom w:val="single" w:color="auto" w:sz="4" w:space="0"/>
              <w:right w:val="single" w:color="auto" w:sz="4" w:space="0"/>
            </w:tcBorders>
            <w:vAlign w:val="center"/>
          </w:tcPr>
          <w:p w14:paraId="371B3464">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小写：         </w:t>
            </w:r>
          </w:p>
        </w:tc>
        <w:tc>
          <w:tcPr>
            <w:tcW w:w="3270" w:type="dxa"/>
            <w:tcBorders>
              <w:top w:val="single" w:color="auto" w:sz="4" w:space="0"/>
              <w:left w:val="single" w:color="auto" w:sz="4" w:space="0"/>
              <w:bottom w:val="single" w:color="auto" w:sz="4" w:space="0"/>
              <w:right w:val="single" w:color="auto" w:sz="4" w:space="0"/>
            </w:tcBorders>
            <w:vAlign w:val="center"/>
          </w:tcPr>
          <w:p w14:paraId="47537DB9">
            <w:pPr>
              <w:spacing w:line="360" w:lineRule="auto"/>
              <w:jc w:val="left"/>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val="zh-CN" w:eastAsia="zh-CN"/>
              </w:rPr>
              <w:t>下浮率（%）：</w:t>
            </w:r>
          </w:p>
        </w:tc>
      </w:tr>
      <w:tr w14:paraId="14BF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26" w:type="dxa"/>
            <w:tcBorders>
              <w:top w:val="single" w:color="auto" w:sz="4" w:space="0"/>
              <w:left w:val="single" w:color="auto" w:sz="4" w:space="0"/>
              <w:bottom w:val="single" w:color="auto" w:sz="4" w:space="0"/>
              <w:right w:val="single" w:color="auto" w:sz="4" w:space="0"/>
            </w:tcBorders>
            <w:vAlign w:val="center"/>
          </w:tcPr>
          <w:p w14:paraId="281CB091">
            <w:pPr>
              <w:spacing w:line="360" w:lineRule="auto"/>
              <w:ind w:firstLine="616" w:firstLineChars="292"/>
              <w:rPr>
                <w:rFonts w:hint="eastAsia" w:ascii="宋体" w:hAnsi="宋体" w:cs="宋体"/>
                <w:b/>
                <w:color w:val="auto"/>
                <w:szCs w:val="21"/>
                <w:highlight w:val="none"/>
                <w:lang w:val="zh-CN"/>
              </w:rPr>
            </w:pPr>
            <w:bookmarkStart w:id="572" w:name="_Toc439246066"/>
            <w:r>
              <w:rPr>
                <w:rFonts w:hint="eastAsia" w:ascii="宋体" w:hAnsi="宋体" w:cs="宋体"/>
                <w:b/>
                <w:color w:val="auto"/>
                <w:szCs w:val="21"/>
                <w:highlight w:val="none"/>
                <w:lang w:val="zh-CN"/>
              </w:rPr>
              <w:t>设计部分（元）</w:t>
            </w:r>
          </w:p>
        </w:tc>
        <w:tc>
          <w:tcPr>
            <w:tcW w:w="3269" w:type="dxa"/>
            <w:gridSpan w:val="2"/>
            <w:tcBorders>
              <w:top w:val="single" w:color="auto" w:sz="4" w:space="0"/>
              <w:left w:val="single" w:color="auto" w:sz="4" w:space="0"/>
              <w:bottom w:val="single" w:color="auto" w:sz="4" w:space="0"/>
              <w:right w:val="single" w:color="auto" w:sz="4" w:space="0"/>
            </w:tcBorders>
            <w:vAlign w:val="center"/>
          </w:tcPr>
          <w:p w14:paraId="11A49E10">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小写：         </w:t>
            </w:r>
          </w:p>
        </w:tc>
        <w:tc>
          <w:tcPr>
            <w:tcW w:w="3270" w:type="dxa"/>
            <w:tcBorders>
              <w:top w:val="single" w:color="auto" w:sz="4" w:space="0"/>
              <w:left w:val="single" w:color="auto" w:sz="4" w:space="0"/>
              <w:bottom w:val="single" w:color="auto" w:sz="4" w:space="0"/>
              <w:right w:val="single" w:color="auto" w:sz="4" w:space="0"/>
            </w:tcBorders>
            <w:vAlign w:val="center"/>
          </w:tcPr>
          <w:p w14:paraId="3E9636D5">
            <w:pPr>
              <w:spacing w:line="360" w:lineRule="auto"/>
              <w:jc w:val="left"/>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val="zh-CN" w:eastAsia="zh-CN"/>
              </w:rPr>
              <w:t>下浮率（%）：</w:t>
            </w:r>
          </w:p>
        </w:tc>
      </w:tr>
      <w:tr w14:paraId="4542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626" w:type="dxa"/>
            <w:tcBorders>
              <w:top w:val="single" w:color="auto" w:sz="4" w:space="0"/>
              <w:left w:val="single" w:color="auto" w:sz="4" w:space="0"/>
              <w:bottom w:val="single" w:color="auto" w:sz="4" w:space="0"/>
              <w:right w:val="single" w:color="auto" w:sz="4" w:space="0"/>
            </w:tcBorders>
            <w:vAlign w:val="center"/>
          </w:tcPr>
          <w:p w14:paraId="49293B7B">
            <w:pPr>
              <w:spacing w:line="360" w:lineRule="auto"/>
              <w:ind w:firstLine="616" w:firstLineChars="292"/>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暂列金额</w:t>
            </w:r>
            <w:r>
              <w:rPr>
                <w:rFonts w:hint="eastAsia" w:ascii="宋体" w:hAnsi="宋体" w:cs="宋体"/>
                <w:b/>
                <w:color w:val="auto"/>
                <w:szCs w:val="21"/>
                <w:highlight w:val="none"/>
                <w:lang w:val="zh-CN"/>
              </w:rPr>
              <w:t>（元）</w:t>
            </w:r>
          </w:p>
        </w:tc>
        <w:tc>
          <w:tcPr>
            <w:tcW w:w="6539" w:type="dxa"/>
            <w:gridSpan w:val="3"/>
            <w:tcBorders>
              <w:top w:val="single" w:color="auto" w:sz="4" w:space="0"/>
              <w:left w:val="single" w:color="auto" w:sz="4" w:space="0"/>
              <w:bottom w:val="single" w:color="auto" w:sz="4" w:space="0"/>
              <w:right w:val="single" w:color="auto" w:sz="4" w:space="0"/>
            </w:tcBorders>
            <w:vAlign w:val="center"/>
          </w:tcPr>
          <w:p w14:paraId="25D37166">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1000000.00</w:t>
            </w:r>
          </w:p>
        </w:tc>
      </w:tr>
      <w:bookmarkEnd w:id="572"/>
      <w:tr w14:paraId="6DF1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26" w:type="dxa"/>
            <w:tcBorders>
              <w:top w:val="single" w:color="auto" w:sz="4" w:space="0"/>
              <w:left w:val="single" w:color="auto" w:sz="4" w:space="0"/>
              <w:bottom w:val="single" w:color="auto" w:sz="4" w:space="0"/>
              <w:right w:val="single" w:color="auto" w:sz="4" w:space="0"/>
            </w:tcBorders>
            <w:vAlign w:val="center"/>
          </w:tcPr>
          <w:p w14:paraId="689C5DF6">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投标总工期（含设计工期）</w:t>
            </w:r>
          </w:p>
        </w:tc>
        <w:tc>
          <w:tcPr>
            <w:tcW w:w="6539" w:type="dxa"/>
            <w:gridSpan w:val="3"/>
            <w:tcBorders>
              <w:top w:val="single" w:color="auto" w:sz="4" w:space="0"/>
              <w:left w:val="single" w:color="auto" w:sz="4" w:space="0"/>
              <w:bottom w:val="single" w:color="auto" w:sz="4" w:space="0"/>
              <w:right w:val="single" w:color="auto" w:sz="4" w:space="0"/>
            </w:tcBorders>
            <w:vAlign w:val="center"/>
          </w:tcPr>
          <w:p w14:paraId="61999D34">
            <w:pPr>
              <w:spacing w:line="360" w:lineRule="auto"/>
              <w:rPr>
                <w:rFonts w:hint="eastAsia" w:ascii="宋体" w:hAnsi="宋体" w:cs="宋体"/>
                <w:b/>
                <w:color w:val="auto"/>
                <w:szCs w:val="21"/>
                <w:highlight w:val="none"/>
              </w:rPr>
            </w:pPr>
          </w:p>
        </w:tc>
      </w:tr>
      <w:tr w14:paraId="6ADF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26" w:type="dxa"/>
            <w:tcBorders>
              <w:top w:val="single" w:color="auto" w:sz="4" w:space="0"/>
              <w:left w:val="single" w:color="auto" w:sz="4" w:space="0"/>
              <w:bottom w:val="single" w:color="auto" w:sz="4" w:space="0"/>
              <w:right w:val="single" w:color="auto" w:sz="4" w:space="0"/>
            </w:tcBorders>
            <w:vAlign w:val="center"/>
          </w:tcPr>
          <w:p w14:paraId="31B2E79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val="zh-CN"/>
              </w:rPr>
              <w:t>工程质量标准</w:t>
            </w:r>
          </w:p>
        </w:tc>
        <w:tc>
          <w:tcPr>
            <w:tcW w:w="6539" w:type="dxa"/>
            <w:gridSpan w:val="3"/>
            <w:tcBorders>
              <w:top w:val="single" w:color="auto" w:sz="4" w:space="0"/>
              <w:left w:val="single" w:color="auto" w:sz="4" w:space="0"/>
              <w:bottom w:val="single" w:color="auto" w:sz="4" w:space="0"/>
              <w:right w:val="single" w:color="auto" w:sz="4" w:space="0"/>
            </w:tcBorders>
            <w:vAlign w:val="center"/>
          </w:tcPr>
          <w:p w14:paraId="5990ACC2">
            <w:pPr>
              <w:spacing w:line="360" w:lineRule="auto"/>
              <w:rPr>
                <w:rFonts w:hint="eastAsia" w:ascii="宋体" w:hAnsi="宋体" w:cs="宋体"/>
                <w:b/>
                <w:color w:val="auto"/>
                <w:szCs w:val="21"/>
                <w:highlight w:val="none"/>
              </w:rPr>
            </w:pPr>
          </w:p>
        </w:tc>
      </w:tr>
      <w:tr w14:paraId="69E1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26" w:type="dxa"/>
            <w:tcBorders>
              <w:top w:val="single" w:color="auto" w:sz="4" w:space="0"/>
              <w:left w:val="single" w:color="auto" w:sz="4" w:space="0"/>
              <w:bottom w:val="single" w:color="auto" w:sz="4" w:space="0"/>
              <w:right w:val="single" w:color="auto" w:sz="4" w:space="0"/>
            </w:tcBorders>
            <w:vAlign w:val="center"/>
          </w:tcPr>
          <w:p w14:paraId="65C00343">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保修期限</w:t>
            </w:r>
          </w:p>
        </w:tc>
        <w:tc>
          <w:tcPr>
            <w:tcW w:w="6539" w:type="dxa"/>
            <w:gridSpan w:val="3"/>
            <w:tcBorders>
              <w:top w:val="single" w:color="auto" w:sz="4" w:space="0"/>
              <w:left w:val="single" w:color="auto" w:sz="4" w:space="0"/>
              <w:bottom w:val="single" w:color="auto" w:sz="4" w:space="0"/>
              <w:right w:val="single" w:color="auto" w:sz="4" w:space="0"/>
            </w:tcBorders>
            <w:vAlign w:val="center"/>
          </w:tcPr>
          <w:p w14:paraId="0FD255A8">
            <w:pPr>
              <w:spacing w:line="360" w:lineRule="auto"/>
              <w:rPr>
                <w:rFonts w:hint="eastAsia" w:ascii="宋体" w:hAnsi="宋体" w:cs="宋体"/>
                <w:b/>
                <w:color w:val="auto"/>
                <w:szCs w:val="21"/>
                <w:highlight w:val="none"/>
              </w:rPr>
            </w:pPr>
          </w:p>
        </w:tc>
      </w:tr>
      <w:tr w14:paraId="6872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26" w:type="dxa"/>
            <w:tcBorders>
              <w:top w:val="single" w:color="auto" w:sz="4" w:space="0"/>
              <w:left w:val="single" w:color="auto" w:sz="4" w:space="0"/>
              <w:bottom w:val="single" w:color="auto" w:sz="4" w:space="0"/>
              <w:right w:val="single" w:color="auto" w:sz="4" w:space="0"/>
            </w:tcBorders>
            <w:vAlign w:val="center"/>
          </w:tcPr>
          <w:p w14:paraId="2B7970D7">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委派的项目负责人</w:t>
            </w:r>
          </w:p>
        </w:tc>
        <w:tc>
          <w:tcPr>
            <w:tcW w:w="2163" w:type="dxa"/>
            <w:tcBorders>
              <w:top w:val="single" w:color="auto" w:sz="4" w:space="0"/>
              <w:left w:val="single" w:color="auto" w:sz="4" w:space="0"/>
              <w:bottom w:val="single" w:color="auto" w:sz="4" w:space="0"/>
              <w:right w:val="single" w:color="auto" w:sz="4" w:space="0"/>
            </w:tcBorders>
            <w:vAlign w:val="center"/>
          </w:tcPr>
          <w:p w14:paraId="0DC476C2">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姓    名</w:t>
            </w:r>
          </w:p>
        </w:tc>
        <w:tc>
          <w:tcPr>
            <w:tcW w:w="4376" w:type="dxa"/>
            <w:gridSpan w:val="2"/>
            <w:tcBorders>
              <w:top w:val="single" w:color="auto" w:sz="4" w:space="0"/>
              <w:left w:val="single" w:color="auto" w:sz="4" w:space="0"/>
              <w:bottom w:val="single" w:color="auto" w:sz="4" w:space="0"/>
              <w:right w:val="single" w:color="auto" w:sz="4" w:space="0"/>
            </w:tcBorders>
            <w:vAlign w:val="center"/>
          </w:tcPr>
          <w:p w14:paraId="6EBFED97">
            <w:pPr>
              <w:spacing w:line="360" w:lineRule="auto"/>
              <w:rPr>
                <w:rFonts w:hint="eastAsia" w:ascii="宋体" w:hAnsi="宋体" w:cs="宋体"/>
                <w:b/>
                <w:color w:val="auto"/>
                <w:szCs w:val="21"/>
                <w:highlight w:val="none"/>
              </w:rPr>
            </w:pPr>
          </w:p>
        </w:tc>
      </w:tr>
      <w:tr w14:paraId="1C9A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26" w:type="dxa"/>
            <w:tcBorders>
              <w:top w:val="single" w:color="auto" w:sz="4" w:space="0"/>
              <w:left w:val="single" w:color="auto" w:sz="4" w:space="0"/>
              <w:bottom w:val="single" w:color="auto" w:sz="4" w:space="0"/>
              <w:right w:val="single" w:color="auto" w:sz="4" w:space="0"/>
            </w:tcBorders>
            <w:vAlign w:val="center"/>
          </w:tcPr>
          <w:p w14:paraId="3DB6B19E">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委派的安全员</w:t>
            </w:r>
          </w:p>
        </w:tc>
        <w:tc>
          <w:tcPr>
            <w:tcW w:w="2163" w:type="dxa"/>
            <w:tcBorders>
              <w:top w:val="single" w:color="auto" w:sz="4" w:space="0"/>
              <w:left w:val="single" w:color="auto" w:sz="4" w:space="0"/>
              <w:bottom w:val="single" w:color="auto" w:sz="4" w:space="0"/>
              <w:right w:val="single" w:color="auto" w:sz="4" w:space="0"/>
            </w:tcBorders>
            <w:vAlign w:val="center"/>
          </w:tcPr>
          <w:p w14:paraId="1D20B54C">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姓    名</w:t>
            </w:r>
          </w:p>
        </w:tc>
        <w:tc>
          <w:tcPr>
            <w:tcW w:w="4376" w:type="dxa"/>
            <w:gridSpan w:val="2"/>
            <w:tcBorders>
              <w:top w:val="single" w:color="auto" w:sz="4" w:space="0"/>
              <w:left w:val="single" w:color="auto" w:sz="4" w:space="0"/>
              <w:bottom w:val="single" w:color="auto" w:sz="4" w:space="0"/>
              <w:right w:val="single" w:color="auto" w:sz="4" w:space="0"/>
            </w:tcBorders>
            <w:vAlign w:val="center"/>
          </w:tcPr>
          <w:p w14:paraId="77276304">
            <w:pPr>
              <w:spacing w:line="360" w:lineRule="auto"/>
              <w:rPr>
                <w:rFonts w:hint="eastAsia" w:ascii="宋体" w:hAnsi="宋体" w:cs="宋体"/>
                <w:b/>
                <w:color w:val="auto"/>
                <w:szCs w:val="21"/>
                <w:highlight w:val="none"/>
              </w:rPr>
            </w:pPr>
          </w:p>
        </w:tc>
      </w:tr>
      <w:tr w14:paraId="1A07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26" w:type="dxa"/>
            <w:tcBorders>
              <w:top w:val="single" w:color="auto" w:sz="4" w:space="0"/>
              <w:left w:val="single" w:color="auto" w:sz="4" w:space="0"/>
              <w:bottom w:val="single" w:color="auto" w:sz="4" w:space="0"/>
              <w:right w:val="single" w:color="auto" w:sz="4" w:space="0"/>
            </w:tcBorders>
            <w:vAlign w:val="center"/>
          </w:tcPr>
          <w:p w14:paraId="6505DD97">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委派的设计负责人</w:t>
            </w:r>
          </w:p>
        </w:tc>
        <w:tc>
          <w:tcPr>
            <w:tcW w:w="2163" w:type="dxa"/>
            <w:tcBorders>
              <w:top w:val="single" w:color="auto" w:sz="4" w:space="0"/>
              <w:left w:val="single" w:color="auto" w:sz="4" w:space="0"/>
              <w:bottom w:val="single" w:color="auto" w:sz="4" w:space="0"/>
              <w:right w:val="single" w:color="auto" w:sz="4" w:space="0"/>
            </w:tcBorders>
            <w:vAlign w:val="center"/>
          </w:tcPr>
          <w:p w14:paraId="06AADE9F">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姓    名</w:t>
            </w:r>
          </w:p>
        </w:tc>
        <w:tc>
          <w:tcPr>
            <w:tcW w:w="4376" w:type="dxa"/>
            <w:gridSpan w:val="2"/>
            <w:tcBorders>
              <w:top w:val="single" w:color="auto" w:sz="4" w:space="0"/>
              <w:left w:val="single" w:color="auto" w:sz="4" w:space="0"/>
              <w:bottom w:val="single" w:color="auto" w:sz="4" w:space="0"/>
              <w:right w:val="single" w:color="auto" w:sz="4" w:space="0"/>
            </w:tcBorders>
            <w:vAlign w:val="center"/>
          </w:tcPr>
          <w:p w14:paraId="281B8177">
            <w:pPr>
              <w:spacing w:line="360" w:lineRule="auto"/>
              <w:rPr>
                <w:rFonts w:hint="eastAsia" w:ascii="宋体" w:hAnsi="宋体" w:cs="宋体"/>
                <w:b/>
                <w:color w:val="auto"/>
                <w:szCs w:val="21"/>
                <w:highlight w:val="none"/>
              </w:rPr>
            </w:pPr>
            <w:bookmarkStart w:id="573" w:name="_Toc355355216"/>
            <w:bookmarkStart w:id="574" w:name="_Toc260129717"/>
          </w:p>
        </w:tc>
      </w:tr>
      <w:tr w14:paraId="6EC3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26" w:type="dxa"/>
            <w:tcBorders>
              <w:top w:val="single" w:color="auto" w:sz="4" w:space="0"/>
              <w:left w:val="single" w:color="auto" w:sz="4" w:space="0"/>
              <w:bottom w:val="single" w:color="auto" w:sz="4" w:space="0"/>
              <w:right w:val="single" w:color="auto" w:sz="4" w:space="0"/>
            </w:tcBorders>
            <w:vAlign w:val="center"/>
          </w:tcPr>
          <w:p w14:paraId="2770C2BD">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投标有效期</w:t>
            </w:r>
          </w:p>
          <w:bookmarkEnd w:id="573"/>
          <w:bookmarkEnd w:id="574"/>
        </w:tc>
        <w:tc>
          <w:tcPr>
            <w:tcW w:w="6539" w:type="dxa"/>
            <w:gridSpan w:val="3"/>
            <w:tcBorders>
              <w:top w:val="single" w:color="auto" w:sz="4" w:space="0"/>
              <w:left w:val="single" w:color="auto" w:sz="4" w:space="0"/>
              <w:bottom w:val="single" w:color="auto" w:sz="4" w:space="0"/>
              <w:right w:val="single" w:color="auto" w:sz="4" w:space="0"/>
            </w:tcBorders>
            <w:vAlign w:val="center"/>
          </w:tcPr>
          <w:p w14:paraId="7851CBEC">
            <w:pPr>
              <w:spacing w:line="360" w:lineRule="auto"/>
              <w:jc w:val="center"/>
              <w:rPr>
                <w:rFonts w:hint="eastAsia" w:ascii="宋体" w:hAnsi="宋体" w:cs="宋体"/>
                <w:b/>
                <w:color w:val="auto"/>
                <w:szCs w:val="21"/>
                <w:highlight w:val="none"/>
              </w:rPr>
            </w:pPr>
            <w:bookmarkStart w:id="575" w:name="_Toc439246069"/>
            <w:r>
              <w:rPr>
                <w:rFonts w:hint="eastAsia" w:ascii="宋体" w:hAnsi="宋体" w:cs="宋体"/>
                <w:b/>
                <w:color w:val="auto"/>
                <w:szCs w:val="21"/>
                <w:highlight w:val="none"/>
                <w:lang w:val="zh-CN"/>
              </w:rPr>
              <w:t>按招标文件要求</w:t>
            </w:r>
          </w:p>
          <w:bookmarkEnd w:id="575"/>
        </w:tc>
      </w:tr>
      <w:tr w14:paraId="4761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626" w:type="dxa"/>
            <w:tcBorders>
              <w:top w:val="single" w:color="auto" w:sz="4" w:space="0"/>
              <w:left w:val="single" w:color="auto" w:sz="4" w:space="0"/>
              <w:bottom w:val="single" w:color="auto" w:sz="4" w:space="0"/>
              <w:right w:val="single" w:color="auto" w:sz="4" w:space="0"/>
            </w:tcBorders>
            <w:vAlign w:val="center"/>
          </w:tcPr>
          <w:p w14:paraId="1E00ECD2">
            <w:pPr>
              <w:spacing w:line="360" w:lineRule="auto"/>
              <w:jc w:val="center"/>
              <w:rPr>
                <w:rFonts w:hint="eastAsia" w:ascii="宋体" w:hAnsi="宋体" w:cs="宋体"/>
                <w:b/>
                <w:color w:val="auto"/>
                <w:szCs w:val="21"/>
                <w:highlight w:val="none"/>
                <w:lang w:val="zh-CN"/>
              </w:rPr>
            </w:pPr>
            <w:bookmarkStart w:id="576" w:name="_Toc439246070"/>
            <w:bookmarkStart w:id="577" w:name="_Toc439240671"/>
            <w:r>
              <w:rPr>
                <w:rFonts w:hint="eastAsia" w:ascii="宋体" w:hAnsi="宋体" w:cs="宋体"/>
                <w:b/>
                <w:color w:val="auto"/>
                <w:szCs w:val="21"/>
                <w:highlight w:val="none"/>
              </w:rPr>
              <w:t>法定代表</w:t>
            </w:r>
            <w:bookmarkEnd w:id="576"/>
            <w:bookmarkEnd w:id="577"/>
            <w:r>
              <w:rPr>
                <w:rFonts w:hint="eastAsia" w:ascii="宋体" w:hAnsi="宋体" w:cs="宋体"/>
                <w:b/>
                <w:color w:val="auto"/>
                <w:szCs w:val="21"/>
                <w:highlight w:val="none"/>
              </w:rPr>
              <w:t>人或其委托代</w:t>
            </w:r>
            <w:bookmarkStart w:id="578" w:name="_Toc439246072"/>
            <w:r>
              <w:rPr>
                <w:rFonts w:hint="eastAsia" w:ascii="宋体" w:hAnsi="宋体" w:cs="宋体"/>
                <w:b/>
                <w:color w:val="auto"/>
                <w:szCs w:val="21"/>
                <w:highlight w:val="none"/>
              </w:rPr>
              <w:t>理人（签字或盖章）</w:t>
            </w:r>
          </w:p>
        </w:tc>
        <w:tc>
          <w:tcPr>
            <w:tcW w:w="6539" w:type="dxa"/>
            <w:gridSpan w:val="3"/>
            <w:tcBorders>
              <w:top w:val="single" w:color="auto" w:sz="4" w:space="0"/>
              <w:left w:val="single" w:color="auto" w:sz="4" w:space="0"/>
              <w:bottom w:val="single" w:color="auto" w:sz="4" w:space="0"/>
              <w:right w:val="single" w:color="auto" w:sz="4" w:space="0"/>
            </w:tcBorders>
            <w:vAlign w:val="center"/>
          </w:tcPr>
          <w:p w14:paraId="5851EFC4">
            <w:pPr>
              <w:spacing w:line="360" w:lineRule="auto"/>
              <w:rPr>
                <w:rFonts w:hint="eastAsia" w:ascii="宋体" w:hAnsi="宋体" w:cs="宋体"/>
                <w:b/>
                <w:color w:val="auto"/>
                <w:szCs w:val="21"/>
                <w:highlight w:val="none"/>
              </w:rPr>
            </w:pPr>
          </w:p>
          <w:bookmarkEnd w:id="578"/>
        </w:tc>
      </w:tr>
      <w:tr w14:paraId="52C6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626" w:type="dxa"/>
            <w:tcBorders>
              <w:top w:val="single" w:color="auto" w:sz="4" w:space="0"/>
              <w:left w:val="single" w:color="auto" w:sz="4" w:space="0"/>
              <w:bottom w:val="single" w:color="auto" w:sz="4" w:space="0"/>
              <w:right w:val="single" w:color="auto" w:sz="4" w:space="0"/>
            </w:tcBorders>
            <w:vAlign w:val="center"/>
          </w:tcPr>
          <w:p w14:paraId="2AE9016E">
            <w:pPr>
              <w:spacing w:line="360" w:lineRule="auto"/>
              <w:jc w:val="center"/>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投标单位（盖章）</w:t>
            </w:r>
          </w:p>
        </w:tc>
        <w:tc>
          <w:tcPr>
            <w:tcW w:w="6539" w:type="dxa"/>
            <w:gridSpan w:val="3"/>
            <w:tcBorders>
              <w:top w:val="single" w:color="auto" w:sz="4" w:space="0"/>
              <w:left w:val="single" w:color="auto" w:sz="4" w:space="0"/>
              <w:bottom w:val="single" w:color="auto" w:sz="4" w:space="0"/>
              <w:right w:val="single" w:color="auto" w:sz="4" w:space="0"/>
            </w:tcBorders>
            <w:vAlign w:val="center"/>
          </w:tcPr>
          <w:p w14:paraId="6D4D1D2A">
            <w:pPr>
              <w:spacing w:line="360" w:lineRule="auto"/>
              <w:rPr>
                <w:rFonts w:hint="eastAsia" w:ascii="宋体" w:hAnsi="宋体" w:cs="宋体"/>
                <w:b/>
                <w:color w:val="auto"/>
                <w:szCs w:val="21"/>
                <w:highlight w:val="none"/>
              </w:rPr>
            </w:pPr>
          </w:p>
        </w:tc>
      </w:tr>
    </w:tbl>
    <w:p w14:paraId="1D87528D">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注：1.联合体投标的，“投标单位”一栏需书写所有联合体成员的单位全称，并由联合体主办方按要求签字或盖章，联合体其他成员可不签字或盖章。</w:t>
      </w:r>
    </w:p>
    <w:p w14:paraId="4008DAC5">
      <w:pPr>
        <w:numPr>
          <w:ilvl w:val="0"/>
          <w:numId w:val="0"/>
        </w:numPr>
        <w:snapToGrid w:val="0"/>
        <w:spacing w:line="360" w:lineRule="auto"/>
        <w:ind w:firstLine="422" w:firstLineChars="200"/>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2.</w:t>
      </w:r>
      <w:r>
        <w:rPr>
          <w:rFonts w:hint="eastAsia"/>
          <w:b/>
          <w:color w:val="auto"/>
          <w:highlight w:val="none"/>
        </w:rPr>
        <w:t>投标总报价的大写金额和小写金额不一致的，以大写金额为准</w:t>
      </w:r>
      <w:r>
        <w:rPr>
          <w:rFonts w:hint="eastAsia" w:ascii="宋体" w:hAnsi="宋体"/>
          <w:b/>
          <w:color w:val="auto"/>
          <w:szCs w:val="21"/>
          <w:highlight w:val="none"/>
        </w:rPr>
        <w:t>。</w:t>
      </w:r>
    </w:p>
    <w:p w14:paraId="7EEA0D91">
      <w:pPr>
        <w:snapToGrid w:val="0"/>
        <w:spacing w:line="360" w:lineRule="auto"/>
        <w:ind w:firstLine="422" w:firstLineChars="200"/>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3.大小写金额与下浮率不一致的，以下浮率为准。</w:t>
      </w:r>
    </w:p>
    <w:p w14:paraId="16241EE5">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投标报价及下浮率的填报精确到小数点后两位，四舍五入。</w:t>
      </w:r>
    </w:p>
    <w:p w14:paraId="1950720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5.投标总报价</w:t>
      </w:r>
      <w:r>
        <w:rPr>
          <w:rFonts w:hint="eastAsia" w:ascii="宋体" w:hAnsi="宋体" w:cs="宋体"/>
          <w:b/>
          <w:color w:val="auto"/>
          <w:szCs w:val="21"/>
          <w:highlight w:val="none"/>
        </w:rPr>
        <w:t>=</w:t>
      </w:r>
      <w:r>
        <w:rPr>
          <w:rFonts w:hint="eastAsia" w:ascii="宋体" w:hAnsi="宋体" w:cs="宋体"/>
          <w:b/>
          <w:color w:val="auto"/>
          <w:szCs w:val="21"/>
          <w:highlight w:val="none"/>
          <w:lang w:val="zh-CN"/>
        </w:rPr>
        <w:t>施工部分</w:t>
      </w:r>
      <w:r>
        <w:rPr>
          <w:rFonts w:hint="eastAsia" w:ascii="宋体" w:hAnsi="宋体" w:cs="宋体"/>
          <w:b/>
          <w:color w:val="auto"/>
          <w:szCs w:val="21"/>
          <w:highlight w:val="none"/>
        </w:rPr>
        <w:t>报价+</w:t>
      </w:r>
      <w:r>
        <w:rPr>
          <w:rFonts w:hint="eastAsia" w:ascii="宋体" w:hAnsi="宋体" w:cs="宋体"/>
          <w:b/>
          <w:color w:val="auto"/>
          <w:szCs w:val="21"/>
          <w:highlight w:val="none"/>
          <w:lang w:val="zh-CN"/>
        </w:rPr>
        <w:t>设计部分</w:t>
      </w:r>
      <w:r>
        <w:rPr>
          <w:rFonts w:hint="eastAsia" w:ascii="宋体" w:hAnsi="宋体" w:cs="宋体"/>
          <w:b/>
          <w:color w:val="auto"/>
          <w:szCs w:val="21"/>
          <w:highlight w:val="none"/>
        </w:rPr>
        <w:t>投标报价</w:t>
      </w:r>
      <w:r>
        <w:rPr>
          <w:rFonts w:hint="eastAsia" w:ascii="宋体" w:hAnsi="宋体" w:cs="宋体"/>
          <w:b/>
          <w:color w:val="auto"/>
          <w:szCs w:val="21"/>
          <w:highlight w:val="none"/>
          <w:lang w:val="en-US" w:eastAsia="zh-CN"/>
        </w:rPr>
        <w:t>+暂列金额</w:t>
      </w:r>
      <w:r>
        <w:rPr>
          <w:rFonts w:hint="eastAsia" w:ascii="宋体" w:hAnsi="宋体" w:cs="宋体"/>
          <w:b/>
          <w:color w:val="auto"/>
          <w:szCs w:val="21"/>
          <w:highlight w:val="none"/>
        </w:rPr>
        <w:t>。</w:t>
      </w:r>
    </w:p>
    <w:p w14:paraId="7A26CC70">
      <w:pPr>
        <w:pStyle w:val="24"/>
        <w:tabs>
          <w:tab w:val="center" w:pos="4140"/>
          <w:tab w:val="right" w:pos="8300"/>
          <w:tab w:val="clear" w:pos="4153"/>
          <w:tab w:val="clear" w:pos="8306"/>
        </w:tabs>
        <w:spacing w:line="360" w:lineRule="auto"/>
        <w:ind w:firstLine="211" w:firstLineChars="10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zh-CN"/>
        </w:rPr>
        <w:t>施工部分</w:t>
      </w:r>
      <w:r>
        <w:rPr>
          <w:rFonts w:hint="eastAsia" w:ascii="宋体" w:hAnsi="宋体" w:cs="宋体"/>
          <w:b/>
          <w:color w:val="auto"/>
          <w:sz w:val="21"/>
          <w:szCs w:val="21"/>
          <w:highlight w:val="none"/>
        </w:rPr>
        <w:t>投标报价=施工费投标最高限价×（1-下浮率）。</w:t>
      </w:r>
    </w:p>
    <w:p w14:paraId="44BD0E15">
      <w:pPr>
        <w:pStyle w:val="24"/>
        <w:tabs>
          <w:tab w:val="center" w:pos="4140"/>
          <w:tab w:val="right" w:pos="8300"/>
          <w:tab w:val="clear" w:pos="4153"/>
          <w:tab w:val="clear" w:pos="8306"/>
        </w:tabs>
        <w:ind w:firstLine="211"/>
        <w:rPr>
          <w:rFonts w:hint="eastAsia" w:ascii="宋体" w:hAnsi="宋体" w:cs="宋体"/>
          <w:b/>
          <w:color w:val="auto"/>
          <w:kern w:val="0"/>
          <w:sz w:val="24"/>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设计</w:t>
      </w:r>
      <w:r>
        <w:rPr>
          <w:rFonts w:hint="eastAsia" w:ascii="宋体" w:hAnsi="宋体" w:cs="宋体"/>
          <w:b/>
          <w:color w:val="auto"/>
          <w:sz w:val="21"/>
          <w:szCs w:val="21"/>
          <w:highlight w:val="none"/>
          <w:lang w:val="zh-CN"/>
        </w:rPr>
        <w:t>部分</w:t>
      </w:r>
      <w:r>
        <w:rPr>
          <w:rFonts w:hint="eastAsia" w:ascii="宋体" w:hAnsi="宋体" w:cs="宋体"/>
          <w:b/>
          <w:color w:val="auto"/>
          <w:sz w:val="21"/>
          <w:szCs w:val="21"/>
          <w:highlight w:val="none"/>
        </w:rPr>
        <w:t>投标报价=设计费投标最高限价×（1-下浮率）。</w:t>
      </w:r>
    </w:p>
    <w:p w14:paraId="189C4760">
      <w:pP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br w:type="page"/>
      </w:r>
    </w:p>
    <w:p w14:paraId="3DD018D2">
      <w:pPr>
        <w:spacing w:line="360" w:lineRule="auto"/>
        <w:jc w:val="left"/>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3</w:t>
      </w:r>
      <w:r>
        <w:rPr>
          <w:rFonts w:hint="eastAsia" w:ascii="宋体" w:hAnsi="宋体" w:cs="宋体"/>
          <w:b/>
          <w:color w:val="auto"/>
          <w:kern w:val="1"/>
          <w:sz w:val="24"/>
          <w:highlight w:val="none"/>
          <w:lang w:val="zh-CN"/>
        </w:rPr>
        <w:t>：</w:t>
      </w:r>
    </w:p>
    <w:p w14:paraId="5BBEADF1">
      <w:pPr>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投标人基本情况表</w:t>
      </w:r>
    </w:p>
    <w:tbl>
      <w:tblPr>
        <w:tblStyle w:val="37"/>
        <w:tblW w:w="0" w:type="auto"/>
        <w:jc w:val="center"/>
        <w:tblLayout w:type="fixed"/>
        <w:tblCellMar>
          <w:top w:w="0" w:type="dxa"/>
          <w:left w:w="0" w:type="dxa"/>
          <w:bottom w:w="0" w:type="dxa"/>
          <w:right w:w="0" w:type="dxa"/>
        </w:tblCellMar>
      </w:tblPr>
      <w:tblGrid>
        <w:gridCol w:w="1885"/>
        <w:gridCol w:w="1102"/>
        <w:gridCol w:w="1214"/>
        <w:gridCol w:w="840"/>
        <w:gridCol w:w="425"/>
        <w:gridCol w:w="212"/>
        <w:gridCol w:w="1265"/>
        <w:gridCol w:w="204"/>
        <w:gridCol w:w="840"/>
        <w:gridCol w:w="1232"/>
      </w:tblGrid>
      <w:tr w14:paraId="3AAEDD1D">
        <w:tblPrEx>
          <w:tblCellMar>
            <w:top w:w="0" w:type="dxa"/>
            <w:left w:w="0" w:type="dxa"/>
            <w:bottom w:w="0" w:type="dxa"/>
            <w:right w:w="0" w:type="dxa"/>
          </w:tblCellMar>
        </w:tblPrEx>
        <w:trPr>
          <w:trHeight w:val="50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57E0B270">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投标人名称</w:t>
            </w:r>
          </w:p>
        </w:tc>
        <w:tc>
          <w:tcPr>
            <w:tcW w:w="7334" w:type="dxa"/>
            <w:gridSpan w:val="9"/>
            <w:tcBorders>
              <w:top w:val="single" w:color="auto" w:sz="8" w:space="0"/>
              <w:left w:val="single" w:color="auto" w:sz="8" w:space="0"/>
              <w:bottom w:val="single" w:color="auto" w:sz="8" w:space="0"/>
              <w:right w:val="single" w:color="auto" w:sz="8" w:space="0"/>
            </w:tcBorders>
            <w:vAlign w:val="center"/>
          </w:tcPr>
          <w:p w14:paraId="647EFF44">
            <w:pPr>
              <w:adjustRightInd w:val="0"/>
              <w:snapToGrid w:val="0"/>
              <w:jc w:val="center"/>
              <w:rPr>
                <w:rFonts w:hint="eastAsia" w:ascii="宋体" w:hAnsi="宋体" w:cs="宋体"/>
                <w:color w:val="auto"/>
                <w:szCs w:val="21"/>
                <w:highlight w:val="none"/>
              </w:rPr>
            </w:pPr>
          </w:p>
        </w:tc>
      </w:tr>
      <w:tr w14:paraId="6CFCFE77">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7D4AB22B">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注册地址</w:t>
            </w:r>
          </w:p>
        </w:tc>
        <w:tc>
          <w:tcPr>
            <w:tcW w:w="3793" w:type="dxa"/>
            <w:gridSpan w:val="5"/>
            <w:tcBorders>
              <w:top w:val="single" w:color="auto" w:sz="8" w:space="0"/>
              <w:left w:val="single" w:color="auto" w:sz="8" w:space="0"/>
              <w:bottom w:val="single" w:color="auto" w:sz="8" w:space="0"/>
              <w:right w:val="single" w:color="auto" w:sz="8" w:space="0"/>
            </w:tcBorders>
            <w:vAlign w:val="center"/>
          </w:tcPr>
          <w:p w14:paraId="16CE6310">
            <w:pPr>
              <w:adjustRightInd w:val="0"/>
              <w:snapToGrid w:val="0"/>
              <w:jc w:val="center"/>
              <w:rPr>
                <w:rFonts w:hint="eastAsia" w:ascii="宋体" w:hAnsi="宋体" w:cs="宋体"/>
                <w:color w:val="auto"/>
                <w:szCs w:val="21"/>
                <w:highlight w:val="none"/>
              </w:rPr>
            </w:pPr>
          </w:p>
        </w:tc>
        <w:tc>
          <w:tcPr>
            <w:tcW w:w="1265" w:type="dxa"/>
            <w:tcBorders>
              <w:top w:val="single" w:color="auto" w:sz="8" w:space="0"/>
              <w:left w:val="single" w:color="auto" w:sz="8" w:space="0"/>
              <w:bottom w:val="single" w:color="auto" w:sz="8" w:space="0"/>
              <w:right w:val="single" w:color="auto" w:sz="8" w:space="0"/>
            </w:tcBorders>
            <w:vAlign w:val="center"/>
          </w:tcPr>
          <w:p w14:paraId="0D6E2BB6">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邮政编码</w:t>
            </w:r>
          </w:p>
        </w:tc>
        <w:tc>
          <w:tcPr>
            <w:tcW w:w="2276" w:type="dxa"/>
            <w:gridSpan w:val="3"/>
            <w:tcBorders>
              <w:top w:val="single" w:color="auto" w:sz="8" w:space="0"/>
              <w:left w:val="single" w:color="auto" w:sz="8" w:space="0"/>
              <w:bottom w:val="single" w:color="auto" w:sz="8" w:space="0"/>
              <w:right w:val="single" w:color="auto" w:sz="8" w:space="0"/>
            </w:tcBorders>
            <w:vAlign w:val="center"/>
          </w:tcPr>
          <w:p w14:paraId="06EA8EA9">
            <w:pPr>
              <w:adjustRightInd w:val="0"/>
              <w:snapToGrid w:val="0"/>
              <w:jc w:val="center"/>
              <w:rPr>
                <w:rFonts w:hint="eastAsia" w:ascii="宋体" w:hAnsi="宋体" w:cs="宋体"/>
                <w:color w:val="auto"/>
                <w:szCs w:val="21"/>
                <w:highlight w:val="none"/>
              </w:rPr>
            </w:pPr>
          </w:p>
        </w:tc>
      </w:tr>
      <w:tr w14:paraId="24970FE6">
        <w:tblPrEx>
          <w:tblCellMar>
            <w:top w:w="0" w:type="dxa"/>
            <w:left w:w="0" w:type="dxa"/>
            <w:bottom w:w="0" w:type="dxa"/>
            <w:right w:w="0" w:type="dxa"/>
          </w:tblCellMar>
        </w:tblPrEx>
        <w:trPr>
          <w:cantSplit/>
          <w:trHeight w:val="540" w:hRule="exact"/>
          <w:jc w:val="center"/>
        </w:trPr>
        <w:tc>
          <w:tcPr>
            <w:tcW w:w="1885" w:type="dxa"/>
            <w:vMerge w:val="restart"/>
            <w:tcBorders>
              <w:top w:val="single" w:color="auto" w:sz="8" w:space="0"/>
              <w:left w:val="single" w:color="auto" w:sz="8" w:space="0"/>
              <w:bottom w:val="nil"/>
              <w:right w:val="single" w:color="auto" w:sz="8" w:space="0"/>
            </w:tcBorders>
            <w:vAlign w:val="center"/>
          </w:tcPr>
          <w:p w14:paraId="5B4F8A51">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1102" w:type="dxa"/>
            <w:tcBorders>
              <w:top w:val="single" w:color="auto" w:sz="8" w:space="0"/>
              <w:left w:val="single" w:color="auto" w:sz="8" w:space="0"/>
              <w:bottom w:val="single" w:color="auto" w:sz="8" w:space="0"/>
              <w:right w:val="single" w:color="auto" w:sz="8" w:space="0"/>
            </w:tcBorders>
            <w:vAlign w:val="center"/>
          </w:tcPr>
          <w:p w14:paraId="6CCC3356">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691" w:type="dxa"/>
            <w:gridSpan w:val="4"/>
            <w:tcBorders>
              <w:top w:val="single" w:color="auto" w:sz="8" w:space="0"/>
              <w:left w:val="single" w:color="auto" w:sz="8" w:space="0"/>
              <w:bottom w:val="single" w:color="auto" w:sz="8" w:space="0"/>
              <w:right w:val="single" w:color="auto" w:sz="8" w:space="0"/>
            </w:tcBorders>
            <w:vAlign w:val="center"/>
          </w:tcPr>
          <w:p w14:paraId="599C1A07">
            <w:pPr>
              <w:adjustRightInd w:val="0"/>
              <w:snapToGrid w:val="0"/>
              <w:jc w:val="center"/>
              <w:rPr>
                <w:rFonts w:hint="eastAsia" w:ascii="宋体" w:hAnsi="宋体" w:cs="宋体"/>
                <w:color w:val="auto"/>
                <w:szCs w:val="21"/>
                <w:highlight w:val="none"/>
              </w:rPr>
            </w:pPr>
          </w:p>
        </w:tc>
        <w:tc>
          <w:tcPr>
            <w:tcW w:w="1265" w:type="dxa"/>
            <w:tcBorders>
              <w:top w:val="single" w:color="auto" w:sz="8" w:space="0"/>
              <w:left w:val="single" w:color="auto" w:sz="8" w:space="0"/>
              <w:bottom w:val="single" w:color="auto" w:sz="8" w:space="0"/>
              <w:right w:val="single" w:color="auto" w:sz="8" w:space="0"/>
            </w:tcBorders>
            <w:vAlign w:val="center"/>
          </w:tcPr>
          <w:p w14:paraId="2873FE99">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电话</w:t>
            </w:r>
          </w:p>
        </w:tc>
        <w:tc>
          <w:tcPr>
            <w:tcW w:w="2276" w:type="dxa"/>
            <w:gridSpan w:val="3"/>
            <w:tcBorders>
              <w:top w:val="single" w:color="auto" w:sz="8" w:space="0"/>
              <w:left w:val="single" w:color="auto" w:sz="8" w:space="0"/>
              <w:bottom w:val="single" w:color="auto" w:sz="8" w:space="0"/>
              <w:right w:val="single" w:color="auto" w:sz="8" w:space="0"/>
            </w:tcBorders>
            <w:vAlign w:val="center"/>
          </w:tcPr>
          <w:p w14:paraId="64ABC961">
            <w:pPr>
              <w:adjustRightInd w:val="0"/>
              <w:snapToGrid w:val="0"/>
              <w:jc w:val="center"/>
              <w:rPr>
                <w:rFonts w:hint="eastAsia" w:ascii="宋体" w:hAnsi="宋体" w:cs="宋体"/>
                <w:color w:val="auto"/>
                <w:szCs w:val="21"/>
                <w:highlight w:val="none"/>
              </w:rPr>
            </w:pPr>
          </w:p>
        </w:tc>
      </w:tr>
      <w:tr w14:paraId="5605115C">
        <w:tblPrEx>
          <w:tblCellMar>
            <w:top w:w="0" w:type="dxa"/>
            <w:left w:w="0" w:type="dxa"/>
            <w:bottom w:w="0" w:type="dxa"/>
            <w:right w:w="0" w:type="dxa"/>
          </w:tblCellMar>
        </w:tblPrEx>
        <w:trPr>
          <w:cantSplit/>
          <w:trHeight w:val="520" w:hRule="exact"/>
          <w:jc w:val="center"/>
        </w:trPr>
        <w:tc>
          <w:tcPr>
            <w:tcW w:w="1885" w:type="dxa"/>
            <w:vMerge w:val="continue"/>
            <w:tcBorders>
              <w:top w:val="nil"/>
              <w:left w:val="single" w:color="auto" w:sz="8" w:space="0"/>
              <w:bottom w:val="single" w:color="auto" w:sz="8" w:space="0"/>
              <w:right w:val="single" w:color="auto" w:sz="8" w:space="0"/>
            </w:tcBorders>
            <w:vAlign w:val="center"/>
          </w:tcPr>
          <w:p w14:paraId="169061F4">
            <w:pPr>
              <w:adjustRightInd w:val="0"/>
              <w:snapToGrid w:val="0"/>
              <w:jc w:val="center"/>
              <w:rPr>
                <w:rFonts w:hint="eastAsia" w:ascii="宋体" w:hAnsi="宋体" w:cs="宋体"/>
                <w:color w:val="auto"/>
                <w:kern w:val="0"/>
                <w:szCs w:val="21"/>
                <w:highlight w:val="none"/>
              </w:rPr>
            </w:pPr>
          </w:p>
        </w:tc>
        <w:tc>
          <w:tcPr>
            <w:tcW w:w="1102" w:type="dxa"/>
            <w:tcBorders>
              <w:top w:val="single" w:color="auto" w:sz="8" w:space="0"/>
              <w:left w:val="single" w:color="auto" w:sz="8" w:space="0"/>
              <w:bottom w:val="single" w:color="auto" w:sz="8" w:space="0"/>
              <w:right w:val="single" w:color="auto" w:sz="8" w:space="0"/>
            </w:tcBorders>
            <w:vAlign w:val="center"/>
          </w:tcPr>
          <w:p w14:paraId="1205E614">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传真</w:t>
            </w:r>
          </w:p>
        </w:tc>
        <w:tc>
          <w:tcPr>
            <w:tcW w:w="2691" w:type="dxa"/>
            <w:gridSpan w:val="4"/>
            <w:tcBorders>
              <w:top w:val="single" w:color="auto" w:sz="8" w:space="0"/>
              <w:left w:val="single" w:color="auto" w:sz="8" w:space="0"/>
              <w:bottom w:val="single" w:color="auto" w:sz="8" w:space="0"/>
              <w:right w:val="single" w:color="auto" w:sz="8" w:space="0"/>
            </w:tcBorders>
            <w:vAlign w:val="center"/>
          </w:tcPr>
          <w:p w14:paraId="27D7A2CE">
            <w:pPr>
              <w:adjustRightInd w:val="0"/>
              <w:snapToGrid w:val="0"/>
              <w:jc w:val="center"/>
              <w:rPr>
                <w:rFonts w:hint="eastAsia" w:ascii="宋体" w:hAnsi="宋体" w:cs="宋体"/>
                <w:color w:val="auto"/>
                <w:szCs w:val="21"/>
                <w:highlight w:val="none"/>
              </w:rPr>
            </w:pPr>
          </w:p>
        </w:tc>
        <w:tc>
          <w:tcPr>
            <w:tcW w:w="1265" w:type="dxa"/>
            <w:tcBorders>
              <w:top w:val="single" w:color="auto" w:sz="8" w:space="0"/>
              <w:left w:val="single" w:color="auto" w:sz="8" w:space="0"/>
              <w:bottom w:val="single" w:color="auto" w:sz="8" w:space="0"/>
              <w:right w:val="single" w:color="auto" w:sz="8" w:space="0"/>
            </w:tcBorders>
            <w:vAlign w:val="center"/>
          </w:tcPr>
          <w:p w14:paraId="2A8E9FA6">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电子邮件</w:t>
            </w:r>
          </w:p>
        </w:tc>
        <w:tc>
          <w:tcPr>
            <w:tcW w:w="2276" w:type="dxa"/>
            <w:gridSpan w:val="3"/>
            <w:tcBorders>
              <w:top w:val="single" w:color="auto" w:sz="8" w:space="0"/>
              <w:left w:val="single" w:color="auto" w:sz="8" w:space="0"/>
              <w:bottom w:val="single" w:color="auto" w:sz="8" w:space="0"/>
              <w:right w:val="single" w:color="auto" w:sz="8" w:space="0"/>
            </w:tcBorders>
            <w:vAlign w:val="center"/>
          </w:tcPr>
          <w:p w14:paraId="62264EF6">
            <w:pPr>
              <w:adjustRightInd w:val="0"/>
              <w:snapToGrid w:val="0"/>
              <w:jc w:val="center"/>
              <w:rPr>
                <w:rFonts w:hint="eastAsia" w:ascii="宋体" w:hAnsi="宋体" w:cs="宋体"/>
                <w:color w:val="auto"/>
                <w:szCs w:val="21"/>
                <w:highlight w:val="none"/>
              </w:rPr>
            </w:pPr>
          </w:p>
        </w:tc>
      </w:tr>
      <w:tr w14:paraId="6D052DF9">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1FF9572D">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w:t>
            </w:r>
          </w:p>
        </w:tc>
        <w:tc>
          <w:tcPr>
            <w:tcW w:w="1102" w:type="dxa"/>
            <w:tcBorders>
              <w:top w:val="single" w:color="auto" w:sz="8" w:space="0"/>
              <w:left w:val="single" w:color="auto" w:sz="8" w:space="0"/>
              <w:bottom w:val="single" w:color="auto" w:sz="8" w:space="0"/>
              <w:right w:val="single" w:color="auto" w:sz="8" w:space="0"/>
            </w:tcBorders>
            <w:vAlign w:val="center"/>
          </w:tcPr>
          <w:p w14:paraId="6E842942">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姓名</w:t>
            </w:r>
          </w:p>
        </w:tc>
        <w:tc>
          <w:tcPr>
            <w:tcW w:w="1214" w:type="dxa"/>
            <w:tcBorders>
              <w:top w:val="single" w:color="auto" w:sz="8" w:space="0"/>
              <w:left w:val="single" w:color="auto" w:sz="8" w:space="0"/>
              <w:bottom w:val="single" w:color="auto" w:sz="8" w:space="0"/>
              <w:right w:val="single" w:color="auto" w:sz="8" w:space="0"/>
            </w:tcBorders>
            <w:vAlign w:val="center"/>
          </w:tcPr>
          <w:p w14:paraId="5D7359B2">
            <w:pPr>
              <w:adjustRightInd w:val="0"/>
              <w:snapToGrid w:val="0"/>
              <w:jc w:val="center"/>
              <w:rPr>
                <w:rFonts w:hint="eastAsia" w:ascii="宋体" w:hAnsi="宋体" w:cs="宋体"/>
                <w:color w:val="auto"/>
                <w:szCs w:val="21"/>
                <w:highlight w:val="none"/>
              </w:rPr>
            </w:pPr>
          </w:p>
        </w:tc>
        <w:tc>
          <w:tcPr>
            <w:tcW w:w="1265" w:type="dxa"/>
            <w:gridSpan w:val="2"/>
            <w:tcBorders>
              <w:top w:val="single" w:color="auto" w:sz="8" w:space="0"/>
              <w:left w:val="single" w:color="auto" w:sz="8" w:space="0"/>
              <w:bottom w:val="single" w:color="auto" w:sz="8" w:space="0"/>
              <w:right w:val="single" w:color="auto" w:sz="8" w:space="0"/>
            </w:tcBorders>
            <w:vAlign w:val="center"/>
          </w:tcPr>
          <w:p w14:paraId="34FD62A2">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技术职称</w:t>
            </w:r>
          </w:p>
        </w:tc>
        <w:tc>
          <w:tcPr>
            <w:tcW w:w="1681" w:type="dxa"/>
            <w:gridSpan w:val="3"/>
            <w:tcBorders>
              <w:top w:val="single" w:color="auto" w:sz="8" w:space="0"/>
              <w:left w:val="single" w:color="auto" w:sz="8" w:space="0"/>
              <w:bottom w:val="single" w:color="auto" w:sz="8" w:space="0"/>
              <w:right w:val="single" w:color="auto" w:sz="8" w:space="0"/>
            </w:tcBorders>
            <w:vAlign w:val="center"/>
          </w:tcPr>
          <w:p w14:paraId="01490761">
            <w:pPr>
              <w:adjustRightInd w:val="0"/>
              <w:snapToGrid w:val="0"/>
              <w:jc w:val="center"/>
              <w:rPr>
                <w:rFonts w:hint="eastAsia" w:ascii="宋体" w:hAnsi="宋体" w:cs="宋体"/>
                <w:color w:val="auto"/>
                <w:szCs w:val="21"/>
                <w:highlight w:val="none"/>
              </w:rPr>
            </w:pPr>
          </w:p>
        </w:tc>
        <w:tc>
          <w:tcPr>
            <w:tcW w:w="840" w:type="dxa"/>
            <w:tcBorders>
              <w:top w:val="single" w:color="auto" w:sz="8" w:space="0"/>
              <w:left w:val="single" w:color="auto" w:sz="8" w:space="0"/>
              <w:bottom w:val="single" w:color="auto" w:sz="8" w:space="0"/>
              <w:right w:val="single" w:color="auto" w:sz="8" w:space="0"/>
            </w:tcBorders>
            <w:vAlign w:val="center"/>
          </w:tcPr>
          <w:p w14:paraId="3607A5FF">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电话</w:t>
            </w:r>
          </w:p>
        </w:tc>
        <w:tc>
          <w:tcPr>
            <w:tcW w:w="1232" w:type="dxa"/>
            <w:tcBorders>
              <w:top w:val="single" w:color="auto" w:sz="8" w:space="0"/>
              <w:left w:val="single" w:color="auto" w:sz="8" w:space="0"/>
              <w:bottom w:val="single" w:color="auto" w:sz="8" w:space="0"/>
              <w:right w:val="single" w:color="auto" w:sz="8" w:space="0"/>
            </w:tcBorders>
            <w:vAlign w:val="center"/>
          </w:tcPr>
          <w:p w14:paraId="452A0D71">
            <w:pPr>
              <w:adjustRightInd w:val="0"/>
              <w:snapToGrid w:val="0"/>
              <w:jc w:val="center"/>
              <w:rPr>
                <w:rFonts w:hint="eastAsia" w:ascii="宋体" w:hAnsi="宋体" w:cs="宋体"/>
                <w:color w:val="auto"/>
                <w:szCs w:val="21"/>
                <w:highlight w:val="none"/>
              </w:rPr>
            </w:pPr>
          </w:p>
        </w:tc>
      </w:tr>
      <w:tr w14:paraId="73F58298">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5E573BE7">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技术负责人</w:t>
            </w:r>
          </w:p>
        </w:tc>
        <w:tc>
          <w:tcPr>
            <w:tcW w:w="1102" w:type="dxa"/>
            <w:tcBorders>
              <w:top w:val="single" w:color="auto" w:sz="8" w:space="0"/>
              <w:left w:val="single" w:color="auto" w:sz="8" w:space="0"/>
              <w:bottom w:val="single" w:color="auto" w:sz="8" w:space="0"/>
              <w:right w:val="single" w:color="auto" w:sz="8" w:space="0"/>
            </w:tcBorders>
            <w:vAlign w:val="center"/>
          </w:tcPr>
          <w:p w14:paraId="7014DF94">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姓名</w:t>
            </w:r>
          </w:p>
        </w:tc>
        <w:tc>
          <w:tcPr>
            <w:tcW w:w="1214" w:type="dxa"/>
            <w:tcBorders>
              <w:top w:val="single" w:color="auto" w:sz="8" w:space="0"/>
              <w:left w:val="single" w:color="auto" w:sz="8" w:space="0"/>
              <w:bottom w:val="single" w:color="auto" w:sz="8" w:space="0"/>
              <w:right w:val="single" w:color="auto" w:sz="8" w:space="0"/>
            </w:tcBorders>
            <w:vAlign w:val="center"/>
          </w:tcPr>
          <w:p w14:paraId="624C4225">
            <w:pPr>
              <w:adjustRightInd w:val="0"/>
              <w:snapToGrid w:val="0"/>
              <w:jc w:val="center"/>
              <w:rPr>
                <w:rFonts w:hint="eastAsia" w:ascii="宋体" w:hAnsi="宋体" w:cs="宋体"/>
                <w:color w:val="auto"/>
                <w:szCs w:val="21"/>
                <w:highlight w:val="none"/>
              </w:rPr>
            </w:pPr>
          </w:p>
        </w:tc>
        <w:tc>
          <w:tcPr>
            <w:tcW w:w="1265" w:type="dxa"/>
            <w:gridSpan w:val="2"/>
            <w:tcBorders>
              <w:top w:val="single" w:color="auto" w:sz="8" w:space="0"/>
              <w:left w:val="single" w:color="auto" w:sz="8" w:space="0"/>
              <w:bottom w:val="single" w:color="auto" w:sz="8" w:space="0"/>
              <w:right w:val="single" w:color="auto" w:sz="8" w:space="0"/>
            </w:tcBorders>
            <w:vAlign w:val="center"/>
          </w:tcPr>
          <w:p w14:paraId="7D5E94E0">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技术职称</w:t>
            </w:r>
          </w:p>
        </w:tc>
        <w:tc>
          <w:tcPr>
            <w:tcW w:w="1681" w:type="dxa"/>
            <w:gridSpan w:val="3"/>
            <w:tcBorders>
              <w:top w:val="single" w:color="auto" w:sz="8" w:space="0"/>
              <w:left w:val="single" w:color="auto" w:sz="8" w:space="0"/>
              <w:bottom w:val="single" w:color="auto" w:sz="8" w:space="0"/>
              <w:right w:val="single" w:color="auto" w:sz="8" w:space="0"/>
            </w:tcBorders>
            <w:vAlign w:val="center"/>
          </w:tcPr>
          <w:p w14:paraId="07EF5D9A">
            <w:pPr>
              <w:adjustRightInd w:val="0"/>
              <w:snapToGrid w:val="0"/>
              <w:jc w:val="center"/>
              <w:rPr>
                <w:rFonts w:hint="eastAsia" w:ascii="宋体" w:hAnsi="宋体" w:cs="宋体"/>
                <w:color w:val="auto"/>
                <w:szCs w:val="21"/>
                <w:highlight w:val="none"/>
              </w:rPr>
            </w:pPr>
          </w:p>
        </w:tc>
        <w:tc>
          <w:tcPr>
            <w:tcW w:w="840" w:type="dxa"/>
            <w:tcBorders>
              <w:top w:val="single" w:color="auto" w:sz="8" w:space="0"/>
              <w:left w:val="single" w:color="auto" w:sz="8" w:space="0"/>
              <w:bottom w:val="single" w:color="auto" w:sz="8" w:space="0"/>
              <w:right w:val="single" w:color="auto" w:sz="8" w:space="0"/>
            </w:tcBorders>
            <w:vAlign w:val="center"/>
          </w:tcPr>
          <w:p w14:paraId="59989C67">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电话</w:t>
            </w:r>
          </w:p>
        </w:tc>
        <w:tc>
          <w:tcPr>
            <w:tcW w:w="1232" w:type="dxa"/>
            <w:tcBorders>
              <w:top w:val="single" w:color="auto" w:sz="8" w:space="0"/>
              <w:left w:val="single" w:color="auto" w:sz="8" w:space="0"/>
              <w:bottom w:val="single" w:color="auto" w:sz="8" w:space="0"/>
              <w:right w:val="single" w:color="auto" w:sz="8" w:space="0"/>
            </w:tcBorders>
            <w:vAlign w:val="center"/>
          </w:tcPr>
          <w:p w14:paraId="55A1C53F">
            <w:pPr>
              <w:adjustRightInd w:val="0"/>
              <w:snapToGrid w:val="0"/>
              <w:jc w:val="center"/>
              <w:rPr>
                <w:rFonts w:hint="eastAsia" w:ascii="宋体" w:hAnsi="宋体" w:cs="宋体"/>
                <w:color w:val="auto"/>
                <w:szCs w:val="21"/>
                <w:highlight w:val="none"/>
              </w:rPr>
            </w:pPr>
          </w:p>
        </w:tc>
      </w:tr>
      <w:tr w14:paraId="190632C2">
        <w:tblPrEx>
          <w:tblCellMar>
            <w:top w:w="0" w:type="dxa"/>
            <w:left w:w="0" w:type="dxa"/>
            <w:bottom w:w="0" w:type="dxa"/>
            <w:right w:w="0" w:type="dxa"/>
          </w:tblCellMar>
        </w:tblPrEx>
        <w:trPr>
          <w:trHeight w:val="54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74089BDA">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成立时间</w:t>
            </w:r>
          </w:p>
        </w:tc>
        <w:tc>
          <w:tcPr>
            <w:tcW w:w="2316" w:type="dxa"/>
            <w:gridSpan w:val="2"/>
            <w:tcBorders>
              <w:top w:val="single" w:color="auto" w:sz="8" w:space="0"/>
              <w:left w:val="single" w:color="auto" w:sz="8" w:space="0"/>
              <w:bottom w:val="single" w:color="auto" w:sz="8" w:space="0"/>
              <w:right w:val="single" w:color="auto" w:sz="8" w:space="0"/>
            </w:tcBorders>
            <w:vAlign w:val="center"/>
          </w:tcPr>
          <w:p w14:paraId="7BF03481">
            <w:pPr>
              <w:adjustRightInd w:val="0"/>
              <w:snapToGrid w:val="0"/>
              <w:jc w:val="center"/>
              <w:rPr>
                <w:rFonts w:hint="eastAsia" w:ascii="宋体" w:hAnsi="宋体" w:cs="宋体"/>
                <w:color w:val="auto"/>
                <w:szCs w:val="21"/>
                <w:highlight w:val="none"/>
              </w:rPr>
            </w:pPr>
          </w:p>
        </w:tc>
        <w:tc>
          <w:tcPr>
            <w:tcW w:w="5018" w:type="dxa"/>
            <w:gridSpan w:val="7"/>
            <w:tcBorders>
              <w:top w:val="single" w:color="auto" w:sz="8" w:space="0"/>
              <w:left w:val="single" w:color="auto" w:sz="8" w:space="0"/>
              <w:bottom w:val="single" w:color="auto" w:sz="8" w:space="0"/>
              <w:right w:val="single" w:color="auto" w:sz="8" w:space="0"/>
            </w:tcBorders>
            <w:vAlign w:val="center"/>
          </w:tcPr>
          <w:p w14:paraId="357604B6">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员工总人数：</w:t>
            </w:r>
          </w:p>
        </w:tc>
      </w:tr>
      <w:tr w14:paraId="3D792945">
        <w:tblPrEx>
          <w:tblCellMar>
            <w:top w:w="0" w:type="dxa"/>
            <w:left w:w="0" w:type="dxa"/>
            <w:bottom w:w="0" w:type="dxa"/>
            <w:right w:w="0" w:type="dxa"/>
          </w:tblCellMar>
        </w:tblPrEx>
        <w:trPr>
          <w:trHeight w:val="50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00A6016B">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企业资质等级</w:t>
            </w:r>
          </w:p>
        </w:tc>
        <w:tc>
          <w:tcPr>
            <w:tcW w:w="2316" w:type="dxa"/>
            <w:gridSpan w:val="2"/>
            <w:tcBorders>
              <w:top w:val="single" w:color="auto" w:sz="8" w:space="0"/>
              <w:left w:val="single" w:color="auto" w:sz="8" w:space="0"/>
              <w:bottom w:val="single" w:color="auto" w:sz="8" w:space="0"/>
              <w:right w:val="single" w:color="auto" w:sz="8" w:space="0"/>
            </w:tcBorders>
            <w:vAlign w:val="center"/>
          </w:tcPr>
          <w:p w14:paraId="124898D2">
            <w:pPr>
              <w:adjustRightInd w:val="0"/>
              <w:snapToGrid w:val="0"/>
              <w:jc w:val="center"/>
              <w:rPr>
                <w:rFonts w:hint="eastAsia" w:ascii="宋体" w:hAnsi="宋体" w:cs="宋体"/>
                <w:color w:val="auto"/>
                <w:szCs w:val="21"/>
                <w:highlight w:val="none"/>
              </w:rPr>
            </w:pPr>
          </w:p>
        </w:tc>
        <w:tc>
          <w:tcPr>
            <w:tcW w:w="840" w:type="dxa"/>
            <w:vMerge w:val="restart"/>
            <w:tcBorders>
              <w:top w:val="single" w:color="auto" w:sz="8" w:space="0"/>
              <w:left w:val="single" w:color="auto" w:sz="8" w:space="0"/>
              <w:right w:val="single" w:color="auto" w:sz="8" w:space="0"/>
            </w:tcBorders>
            <w:vAlign w:val="center"/>
          </w:tcPr>
          <w:p w14:paraId="3A09F10A">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其中</w:t>
            </w:r>
          </w:p>
        </w:tc>
        <w:tc>
          <w:tcPr>
            <w:tcW w:w="2106" w:type="dxa"/>
            <w:gridSpan w:val="4"/>
            <w:tcBorders>
              <w:top w:val="single" w:color="auto" w:sz="8" w:space="0"/>
              <w:left w:val="single" w:color="auto" w:sz="8" w:space="0"/>
              <w:bottom w:val="single" w:color="auto" w:sz="8" w:space="0"/>
              <w:right w:val="single" w:color="auto" w:sz="8" w:space="0"/>
            </w:tcBorders>
            <w:vAlign w:val="center"/>
          </w:tcPr>
          <w:p w14:paraId="334D4EFB">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项目经理</w:t>
            </w:r>
          </w:p>
        </w:tc>
        <w:tc>
          <w:tcPr>
            <w:tcW w:w="2072" w:type="dxa"/>
            <w:gridSpan w:val="2"/>
            <w:tcBorders>
              <w:top w:val="single" w:color="auto" w:sz="8" w:space="0"/>
              <w:left w:val="single" w:color="auto" w:sz="8" w:space="0"/>
              <w:bottom w:val="single" w:color="auto" w:sz="8" w:space="0"/>
              <w:right w:val="single" w:color="auto" w:sz="8" w:space="0"/>
            </w:tcBorders>
            <w:vAlign w:val="center"/>
          </w:tcPr>
          <w:p w14:paraId="1518A663">
            <w:pPr>
              <w:adjustRightInd w:val="0"/>
              <w:snapToGrid w:val="0"/>
              <w:jc w:val="center"/>
              <w:rPr>
                <w:rFonts w:hint="eastAsia" w:ascii="宋体" w:hAnsi="宋体" w:cs="宋体"/>
                <w:color w:val="auto"/>
                <w:szCs w:val="21"/>
                <w:highlight w:val="none"/>
              </w:rPr>
            </w:pPr>
          </w:p>
        </w:tc>
      </w:tr>
      <w:tr w14:paraId="6D7BEEB8">
        <w:tblPrEx>
          <w:tblCellMar>
            <w:top w:w="0" w:type="dxa"/>
            <w:left w:w="0" w:type="dxa"/>
            <w:bottom w:w="0" w:type="dxa"/>
            <w:right w:w="0" w:type="dxa"/>
          </w:tblCellMar>
        </w:tblPrEx>
        <w:trPr>
          <w:cantSplit/>
          <w:trHeight w:val="54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4F6BDE42">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营业执照号</w:t>
            </w:r>
          </w:p>
        </w:tc>
        <w:tc>
          <w:tcPr>
            <w:tcW w:w="2316" w:type="dxa"/>
            <w:gridSpan w:val="2"/>
            <w:tcBorders>
              <w:top w:val="single" w:color="auto" w:sz="8" w:space="0"/>
              <w:left w:val="single" w:color="auto" w:sz="8" w:space="0"/>
              <w:bottom w:val="single" w:color="auto" w:sz="8" w:space="0"/>
              <w:right w:val="single" w:color="auto" w:sz="8" w:space="0"/>
            </w:tcBorders>
            <w:vAlign w:val="center"/>
          </w:tcPr>
          <w:p w14:paraId="32E25565">
            <w:pPr>
              <w:adjustRightInd w:val="0"/>
              <w:snapToGrid w:val="0"/>
              <w:jc w:val="center"/>
              <w:rPr>
                <w:rFonts w:hint="eastAsia" w:ascii="宋体" w:hAnsi="宋体" w:cs="宋体"/>
                <w:color w:val="auto"/>
                <w:szCs w:val="21"/>
                <w:highlight w:val="none"/>
              </w:rPr>
            </w:pPr>
          </w:p>
        </w:tc>
        <w:tc>
          <w:tcPr>
            <w:tcW w:w="840" w:type="dxa"/>
            <w:vMerge w:val="continue"/>
            <w:tcBorders>
              <w:left w:val="single" w:color="auto" w:sz="8" w:space="0"/>
              <w:right w:val="single" w:color="auto" w:sz="8" w:space="0"/>
            </w:tcBorders>
            <w:vAlign w:val="center"/>
          </w:tcPr>
          <w:p w14:paraId="6FB50702">
            <w:pPr>
              <w:adjustRightInd w:val="0"/>
              <w:snapToGrid w:val="0"/>
              <w:jc w:val="center"/>
              <w:rPr>
                <w:rFonts w:hint="eastAsia" w:ascii="宋体" w:hAnsi="宋体" w:cs="宋体"/>
                <w:color w:val="auto"/>
                <w:szCs w:val="21"/>
                <w:highlight w:val="none"/>
              </w:rPr>
            </w:pPr>
          </w:p>
        </w:tc>
        <w:tc>
          <w:tcPr>
            <w:tcW w:w="2106" w:type="dxa"/>
            <w:gridSpan w:val="4"/>
            <w:tcBorders>
              <w:top w:val="single" w:color="auto" w:sz="8" w:space="0"/>
              <w:left w:val="single" w:color="auto" w:sz="8" w:space="0"/>
              <w:bottom w:val="single" w:color="auto" w:sz="8" w:space="0"/>
              <w:right w:val="single" w:color="auto" w:sz="8" w:space="0"/>
            </w:tcBorders>
            <w:vAlign w:val="center"/>
          </w:tcPr>
          <w:p w14:paraId="35473B54">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高级职称人员</w:t>
            </w:r>
          </w:p>
        </w:tc>
        <w:tc>
          <w:tcPr>
            <w:tcW w:w="2072" w:type="dxa"/>
            <w:gridSpan w:val="2"/>
            <w:tcBorders>
              <w:top w:val="single" w:color="auto" w:sz="8" w:space="0"/>
              <w:left w:val="single" w:color="auto" w:sz="8" w:space="0"/>
              <w:bottom w:val="single" w:color="auto" w:sz="8" w:space="0"/>
              <w:right w:val="single" w:color="auto" w:sz="8" w:space="0"/>
            </w:tcBorders>
            <w:vAlign w:val="center"/>
          </w:tcPr>
          <w:p w14:paraId="04F1F32A">
            <w:pPr>
              <w:adjustRightInd w:val="0"/>
              <w:snapToGrid w:val="0"/>
              <w:jc w:val="center"/>
              <w:rPr>
                <w:rFonts w:hint="eastAsia" w:ascii="宋体" w:hAnsi="宋体" w:cs="宋体"/>
                <w:color w:val="auto"/>
                <w:szCs w:val="21"/>
                <w:highlight w:val="none"/>
              </w:rPr>
            </w:pPr>
          </w:p>
        </w:tc>
      </w:tr>
      <w:tr w14:paraId="1E5DED57">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4C4B5627">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注册资金</w:t>
            </w:r>
          </w:p>
        </w:tc>
        <w:tc>
          <w:tcPr>
            <w:tcW w:w="2316" w:type="dxa"/>
            <w:gridSpan w:val="2"/>
            <w:tcBorders>
              <w:top w:val="single" w:color="auto" w:sz="8" w:space="0"/>
              <w:left w:val="single" w:color="auto" w:sz="8" w:space="0"/>
              <w:bottom w:val="single" w:color="auto" w:sz="8" w:space="0"/>
              <w:right w:val="single" w:color="auto" w:sz="8" w:space="0"/>
            </w:tcBorders>
            <w:vAlign w:val="center"/>
          </w:tcPr>
          <w:p w14:paraId="096632D4">
            <w:pPr>
              <w:adjustRightInd w:val="0"/>
              <w:snapToGrid w:val="0"/>
              <w:jc w:val="center"/>
              <w:rPr>
                <w:rFonts w:hint="eastAsia" w:ascii="宋体" w:hAnsi="宋体" w:cs="宋体"/>
                <w:color w:val="auto"/>
                <w:szCs w:val="21"/>
                <w:highlight w:val="none"/>
              </w:rPr>
            </w:pPr>
          </w:p>
        </w:tc>
        <w:tc>
          <w:tcPr>
            <w:tcW w:w="840" w:type="dxa"/>
            <w:vMerge w:val="continue"/>
            <w:tcBorders>
              <w:left w:val="single" w:color="auto" w:sz="8" w:space="0"/>
              <w:right w:val="single" w:color="auto" w:sz="8" w:space="0"/>
            </w:tcBorders>
            <w:vAlign w:val="center"/>
          </w:tcPr>
          <w:p w14:paraId="77977440">
            <w:pPr>
              <w:adjustRightInd w:val="0"/>
              <w:snapToGrid w:val="0"/>
              <w:jc w:val="center"/>
              <w:rPr>
                <w:rFonts w:hint="eastAsia" w:ascii="宋体" w:hAnsi="宋体" w:cs="宋体"/>
                <w:color w:val="auto"/>
                <w:szCs w:val="21"/>
                <w:highlight w:val="none"/>
              </w:rPr>
            </w:pPr>
          </w:p>
        </w:tc>
        <w:tc>
          <w:tcPr>
            <w:tcW w:w="2106" w:type="dxa"/>
            <w:gridSpan w:val="4"/>
            <w:tcBorders>
              <w:top w:val="single" w:color="auto" w:sz="8" w:space="0"/>
              <w:left w:val="single" w:color="auto" w:sz="8" w:space="0"/>
              <w:bottom w:val="single" w:color="auto" w:sz="8" w:space="0"/>
              <w:right w:val="single" w:color="auto" w:sz="8" w:space="0"/>
            </w:tcBorders>
            <w:vAlign w:val="center"/>
          </w:tcPr>
          <w:p w14:paraId="282E2D78">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中级职称人员</w:t>
            </w:r>
          </w:p>
        </w:tc>
        <w:tc>
          <w:tcPr>
            <w:tcW w:w="2072" w:type="dxa"/>
            <w:gridSpan w:val="2"/>
            <w:tcBorders>
              <w:top w:val="single" w:color="auto" w:sz="8" w:space="0"/>
              <w:left w:val="single" w:color="auto" w:sz="8" w:space="0"/>
              <w:bottom w:val="single" w:color="auto" w:sz="8" w:space="0"/>
              <w:right w:val="single" w:color="auto" w:sz="8" w:space="0"/>
            </w:tcBorders>
            <w:vAlign w:val="center"/>
          </w:tcPr>
          <w:p w14:paraId="5A371D09">
            <w:pPr>
              <w:adjustRightInd w:val="0"/>
              <w:snapToGrid w:val="0"/>
              <w:jc w:val="center"/>
              <w:rPr>
                <w:rFonts w:hint="eastAsia" w:ascii="宋体" w:hAnsi="宋体" w:cs="宋体"/>
                <w:color w:val="auto"/>
                <w:szCs w:val="21"/>
                <w:highlight w:val="none"/>
              </w:rPr>
            </w:pPr>
          </w:p>
        </w:tc>
      </w:tr>
      <w:tr w14:paraId="0E8E78C5">
        <w:tblPrEx>
          <w:tblCellMar>
            <w:top w:w="0" w:type="dxa"/>
            <w:left w:w="0" w:type="dxa"/>
            <w:bottom w:w="0" w:type="dxa"/>
            <w:right w:w="0" w:type="dxa"/>
          </w:tblCellMar>
        </w:tblPrEx>
        <w:trPr>
          <w:cantSplit/>
          <w:trHeight w:val="782"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320FC722">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基本账户开户银行</w:t>
            </w:r>
          </w:p>
        </w:tc>
        <w:tc>
          <w:tcPr>
            <w:tcW w:w="2316" w:type="dxa"/>
            <w:gridSpan w:val="2"/>
            <w:tcBorders>
              <w:top w:val="single" w:color="auto" w:sz="8" w:space="0"/>
              <w:left w:val="single" w:color="auto" w:sz="8" w:space="0"/>
              <w:bottom w:val="single" w:color="auto" w:sz="8" w:space="0"/>
              <w:right w:val="single" w:color="auto" w:sz="8" w:space="0"/>
            </w:tcBorders>
            <w:vAlign w:val="center"/>
          </w:tcPr>
          <w:p w14:paraId="72785D47">
            <w:pPr>
              <w:adjustRightInd w:val="0"/>
              <w:snapToGrid w:val="0"/>
              <w:jc w:val="center"/>
              <w:rPr>
                <w:rFonts w:hint="eastAsia" w:ascii="宋体" w:hAnsi="宋体" w:cs="宋体"/>
                <w:color w:val="auto"/>
                <w:szCs w:val="21"/>
                <w:highlight w:val="none"/>
              </w:rPr>
            </w:pPr>
          </w:p>
        </w:tc>
        <w:tc>
          <w:tcPr>
            <w:tcW w:w="840" w:type="dxa"/>
            <w:vMerge w:val="continue"/>
            <w:tcBorders>
              <w:left w:val="single" w:color="auto" w:sz="8" w:space="0"/>
              <w:right w:val="single" w:color="auto" w:sz="8" w:space="0"/>
            </w:tcBorders>
            <w:vAlign w:val="center"/>
          </w:tcPr>
          <w:p w14:paraId="350B241E">
            <w:pPr>
              <w:adjustRightInd w:val="0"/>
              <w:snapToGrid w:val="0"/>
              <w:jc w:val="center"/>
              <w:rPr>
                <w:rFonts w:hint="eastAsia" w:ascii="宋体" w:hAnsi="宋体" w:cs="宋体"/>
                <w:color w:val="auto"/>
                <w:szCs w:val="21"/>
                <w:highlight w:val="none"/>
              </w:rPr>
            </w:pPr>
          </w:p>
        </w:tc>
        <w:tc>
          <w:tcPr>
            <w:tcW w:w="2106" w:type="dxa"/>
            <w:gridSpan w:val="4"/>
            <w:tcBorders>
              <w:top w:val="single" w:color="auto" w:sz="8" w:space="0"/>
              <w:left w:val="single" w:color="auto" w:sz="8" w:space="0"/>
              <w:bottom w:val="single" w:color="auto" w:sz="8" w:space="0"/>
              <w:right w:val="single" w:color="auto" w:sz="8" w:space="0"/>
            </w:tcBorders>
            <w:vAlign w:val="center"/>
          </w:tcPr>
          <w:p w14:paraId="2AC21919">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初级职称人员</w:t>
            </w:r>
          </w:p>
        </w:tc>
        <w:tc>
          <w:tcPr>
            <w:tcW w:w="2072" w:type="dxa"/>
            <w:gridSpan w:val="2"/>
            <w:tcBorders>
              <w:top w:val="single" w:color="auto" w:sz="8" w:space="0"/>
              <w:left w:val="single" w:color="auto" w:sz="8" w:space="0"/>
              <w:bottom w:val="single" w:color="auto" w:sz="8" w:space="0"/>
              <w:right w:val="single" w:color="auto" w:sz="8" w:space="0"/>
            </w:tcBorders>
            <w:vAlign w:val="center"/>
          </w:tcPr>
          <w:p w14:paraId="430B91FD">
            <w:pPr>
              <w:adjustRightInd w:val="0"/>
              <w:snapToGrid w:val="0"/>
              <w:jc w:val="center"/>
              <w:rPr>
                <w:rFonts w:hint="eastAsia" w:ascii="宋体" w:hAnsi="宋体" w:cs="宋体"/>
                <w:color w:val="auto"/>
                <w:szCs w:val="21"/>
                <w:highlight w:val="none"/>
              </w:rPr>
            </w:pPr>
          </w:p>
        </w:tc>
      </w:tr>
      <w:tr w14:paraId="260C55B3">
        <w:tblPrEx>
          <w:tblCellMar>
            <w:top w:w="0" w:type="dxa"/>
            <w:left w:w="0" w:type="dxa"/>
            <w:bottom w:w="0" w:type="dxa"/>
            <w:right w:w="0" w:type="dxa"/>
          </w:tblCellMar>
        </w:tblPrEx>
        <w:trPr>
          <w:cantSplit/>
          <w:trHeight w:val="710"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0F64634F">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基本账户账号</w:t>
            </w:r>
          </w:p>
        </w:tc>
        <w:tc>
          <w:tcPr>
            <w:tcW w:w="2316" w:type="dxa"/>
            <w:gridSpan w:val="2"/>
            <w:tcBorders>
              <w:top w:val="single" w:color="auto" w:sz="8" w:space="0"/>
              <w:left w:val="single" w:color="auto" w:sz="8" w:space="0"/>
              <w:bottom w:val="single" w:color="auto" w:sz="8" w:space="0"/>
              <w:right w:val="single" w:color="auto" w:sz="8" w:space="0"/>
            </w:tcBorders>
            <w:vAlign w:val="center"/>
          </w:tcPr>
          <w:p w14:paraId="358DF4D2">
            <w:pPr>
              <w:adjustRightInd w:val="0"/>
              <w:snapToGrid w:val="0"/>
              <w:jc w:val="center"/>
              <w:rPr>
                <w:rFonts w:hint="eastAsia" w:ascii="宋体" w:hAnsi="宋体" w:cs="宋体"/>
                <w:color w:val="auto"/>
                <w:szCs w:val="21"/>
                <w:highlight w:val="none"/>
              </w:rPr>
            </w:pPr>
          </w:p>
        </w:tc>
        <w:tc>
          <w:tcPr>
            <w:tcW w:w="840" w:type="dxa"/>
            <w:vMerge w:val="continue"/>
            <w:tcBorders>
              <w:left w:val="single" w:color="auto" w:sz="8" w:space="0"/>
              <w:bottom w:val="single" w:color="auto" w:sz="8" w:space="0"/>
              <w:right w:val="single" w:color="auto" w:sz="8" w:space="0"/>
            </w:tcBorders>
            <w:vAlign w:val="center"/>
          </w:tcPr>
          <w:p w14:paraId="3955E041">
            <w:pPr>
              <w:adjustRightInd w:val="0"/>
              <w:snapToGrid w:val="0"/>
              <w:jc w:val="center"/>
              <w:rPr>
                <w:rFonts w:hint="eastAsia" w:ascii="宋体" w:hAnsi="宋体" w:cs="宋体"/>
                <w:color w:val="auto"/>
                <w:szCs w:val="21"/>
                <w:highlight w:val="none"/>
              </w:rPr>
            </w:pPr>
          </w:p>
        </w:tc>
        <w:tc>
          <w:tcPr>
            <w:tcW w:w="2106" w:type="dxa"/>
            <w:gridSpan w:val="4"/>
            <w:tcBorders>
              <w:top w:val="single" w:color="auto" w:sz="8" w:space="0"/>
              <w:left w:val="single" w:color="auto" w:sz="8" w:space="0"/>
              <w:bottom w:val="single" w:color="auto" w:sz="8" w:space="0"/>
              <w:right w:val="single" w:color="auto" w:sz="8" w:space="0"/>
            </w:tcBorders>
            <w:vAlign w:val="center"/>
          </w:tcPr>
          <w:p w14:paraId="230BEEE5">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技工</w:t>
            </w:r>
          </w:p>
        </w:tc>
        <w:tc>
          <w:tcPr>
            <w:tcW w:w="2072" w:type="dxa"/>
            <w:gridSpan w:val="2"/>
            <w:tcBorders>
              <w:top w:val="single" w:color="auto" w:sz="8" w:space="0"/>
              <w:left w:val="single" w:color="auto" w:sz="8" w:space="0"/>
              <w:bottom w:val="single" w:color="auto" w:sz="8" w:space="0"/>
              <w:right w:val="single" w:color="auto" w:sz="8" w:space="0"/>
            </w:tcBorders>
            <w:vAlign w:val="center"/>
          </w:tcPr>
          <w:p w14:paraId="5090443B">
            <w:pPr>
              <w:adjustRightInd w:val="0"/>
              <w:snapToGrid w:val="0"/>
              <w:jc w:val="center"/>
              <w:rPr>
                <w:rFonts w:hint="eastAsia" w:ascii="宋体" w:hAnsi="宋体" w:cs="宋体"/>
                <w:color w:val="auto"/>
                <w:szCs w:val="21"/>
                <w:highlight w:val="none"/>
              </w:rPr>
            </w:pPr>
          </w:p>
        </w:tc>
      </w:tr>
      <w:tr w14:paraId="305176CD">
        <w:tblPrEx>
          <w:tblCellMar>
            <w:top w:w="0" w:type="dxa"/>
            <w:left w:w="0" w:type="dxa"/>
            <w:bottom w:w="0" w:type="dxa"/>
            <w:right w:w="0" w:type="dxa"/>
          </w:tblCellMar>
        </w:tblPrEx>
        <w:trPr>
          <w:trHeight w:val="1676"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5A767AC6">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经营范围</w:t>
            </w:r>
          </w:p>
        </w:tc>
        <w:tc>
          <w:tcPr>
            <w:tcW w:w="7334" w:type="dxa"/>
            <w:gridSpan w:val="9"/>
            <w:tcBorders>
              <w:top w:val="single" w:color="auto" w:sz="8" w:space="0"/>
              <w:left w:val="single" w:color="auto" w:sz="8" w:space="0"/>
              <w:bottom w:val="single" w:color="auto" w:sz="8" w:space="0"/>
              <w:right w:val="single" w:color="auto" w:sz="8" w:space="0"/>
            </w:tcBorders>
            <w:vAlign w:val="center"/>
          </w:tcPr>
          <w:p w14:paraId="7F62ABCB">
            <w:pPr>
              <w:adjustRightInd w:val="0"/>
              <w:snapToGrid w:val="0"/>
              <w:jc w:val="center"/>
              <w:rPr>
                <w:rFonts w:hint="eastAsia" w:ascii="宋体" w:hAnsi="宋体" w:cs="宋体"/>
                <w:color w:val="auto"/>
                <w:szCs w:val="21"/>
                <w:highlight w:val="none"/>
              </w:rPr>
            </w:pPr>
          </w:p>
        </w:tc>
      </w:tr>
      <w:tr w14:paraId="25442B19">
        <w:tblPrEx>
          <w:tblCellMar>
            <w:top w:w="0" w:type="dxa"/>
            <w:left w:w="0" w:type="dxa"/>
            <w:bottom w:w="0" w:type="dxa"/>
            <w:right w:w="0" w:type="dxa"/>
          </w:tblCellMar>
        </w:tblPrEx>
        <w:trPr>
          <w:trHeight w:val="1421"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42B25F88">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企业简介</w:t>
            </w:r>
          </w:p>
        </w:tc>
        <w:tc>
          <w:tcPr>
            <w:tcW w:w="7334" w:type="dxa"/>
            <w:gridSpan w:val="9"/>
            <w:tcBorders>
              <w:top w:val="single" w:color="auto" w:sz="8" w:space="0"/>
              <w:left w:val="single" w:color="auto" w:sz="8" w:space="0"/>
              <w:bottom w:val="single" w:color="auto" w:sz="8" w:space="0"/>
              <w:right w:val="single" w:color="auto" w:sz="8" w:space="0"/>
            </w:tcBorders>
            <w:vAlign w:val="center"/>
          </w:tcPr>
          <w:p w14:paraId="57A38C8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（本项内容可另附页）</w:t>
            </w:r>
          </w:p>
        </w:tc>
      </w:tr>
      <w:tr w14:paraId="7A473844">
        <w:tblPrEx>
          <w:tblCellMar>
            <w:top w:w="0" w:type="dxa"/>
            <w:left w:w="0" w:type="dxa"/>
            <w:bottom w:w="0" w:type="dxa"/>
            <w:right w:w="0" w:type="dxa"/>
          </w:tblCellMar>
        </w:tblPrEx>
        <w:trPr>
          <w:trHeight w:val="1084" w:hRule="exact"/>
          <w:jc w:val="center"/>
        </w:trPr>
        <w:tc>
          <w:tcPr>
            <w:tcW w:w="1885" w:type="dxa"/>
            <w:tcBorders>
              <w:top w:val="single" w:color="auto" w:sz="8" w:space="0"/>
              <w:left w:val="single" w:color="auto" w:sz="8" w:space="0"/>
              <w:bottom w:val="single" w:color="auto" w:sz="8" w:space="0"/>
              <w:right w:val="single" w:color="auto" w:sz="8" w:space="0"/>
            </w:tcBorders>
            <w:vAlign w:val="center"/>
          </w:tcPr>
          <w:p w14:paraId="5114567A">
            <w:pPr>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备注</w:t>
            </w:r>
          </w:p>
        </w:tc>
        <w:tc>
          <w:tcPr>
            <w:tcW w:w="7334" w:type="dxa"/>
            <w:gridSpan w:val="9"/>
            <w:tcBorders>
              <w:top w:val="single" w:color="auto" w:sz="8" w:space="0"/>
              <w:left w:val="single" w:color="auto" w:sz="8" w:space="0"/>
              <w:bottom w:val="single" w:color="auto" w:sz="8" w:space="0"/>
              <w:right w:val="single" w:color="auto" w:sz="8" w:space="0"/>
            </w:tcBorders>
            <w:vAlign w:val="center"/>
          </w:tcPr>
          <w:p w14:paraId="41C56ECF">
            <w:pPr>
              <w:adjustRightInd w:val="0"/>
              <w:snapToGrid w:val="0"/>
              <w:jc w:val="center"/>
              <w:rPr>
                <w:rFonts w:hint="eastAsia" w:ascii="宋体" w:hAnsi="宋体" w:cs="宋体"/>
                <w:color w:val="auto"/>
                <w:szCs w:val="21"/>
                <w:highlight w:val="none"/>
              </w:rPr>
            </w:pPr>
          </w:p>
        </w:tc>
      </w:tr>
    </w:tbl>
    <w:p w14:paraId="7DAA84CC">
      <w:pPr>
        <w:pStyle w:val="2"/>
        <w:spacing w:line="360" w:lineRule="auto"/>
        <w:ind w:left="-2" w:leftChars="-1" w:firstLine="422" w:firstLineChars="175"/>
        <w:jc w:val="left"/>
        <w:rPr>
          <w:rFonts w:hint="eastAsia" w:ascii="宋体" w:hAnsi="宋体" w:cs="宋体"/>
          <w:b/>
          <w:color w:val="auto"/>
          <w:sz w:val="24"/>
          <w:highlight w:val="none"/>
        </w:rPr>
      </w:pPr>
    </w:p>
    <w:p w14:paraId="35A9E979">
      <w:pPr>
        <w:pStyle w:val="2"/>
        <w:spacing w:line="360" w:lineRule="auto"/>
        <w:ind w:left="-2" w:leftChars="-1"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注：由联合体主办方提供。</w:t>
      </w:r>
    </w:p>
    <w:p w14:paraId="5BD012A0">
      <w:pPr>
        <w:rPr>
          <w:rFonts w:hint="eastAsia" w:ascii="宋体" w:hAnsi="宋体" w:cs="宋体"/>
          <w:color w:val="auto"/>
          <w:highlight w:val="none"/>
        </w:rPr>
      </w:pPr>
    </w:p>
    <w:p w14:paraId="3F421C4E">
      <w:pP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br w:type="page"/>
      </w:r>
    </w:p>
    <w:p w14:paraId="1237C77C">
      <w:pPr>
        <w:autoSpaceDE w:val="0"/>
        <w:autoSpaceDN w:val="0"/>
        <w:adjustRightInd w:val="0"/>
        <w:spacing w:line="360" w:lineRule="auto"/>
        <w:jc w:val="left"/>
        <w:rPr>
          <w:rFonts w:hint="eastAsia" w:ascii="宋体" w:hAnsi="宋体" w:cs="宋体"/>
          <w:color w:val="auto"/>
          <w:sz w:val="24"/>
          <w:highlight w:val="none"/>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4：</w:t>
      </w:r>
    </w:p>
    <w:p w14:paraId="74694045">
      <w:pPr>
        <w:spacing w:line="540" w:lineRule="exact"/>
        <w:jc w:val="center"/>
        <w:rPr>
          <w:rFonts w:hint="eastAsia" w:ascii="宋体" w:hAnsi="宋体" w:cs="宋体"/>
          <w:color w:val="auto"/>
          <w:highlight w:val="none"/>
        </w:rPr>
      </w:pPr>
      <w:r>
        <w:rPr>
          <w:rFonts w:hint="eastAsia" w:ascii="宋体" w:hAnsi="宋体" w:cs="宋体"/>
          <w:b/>
          <w:color w:val="auto"/>
          <w:sz w:val="28"/>
          <w:szCs w:val="28"/>
          <w:highlight w:val="none"/>
        </w:rPr>
        <w:t>投标承诺函</w:t>
      </w:r>
    </w:p>
    <w:p w14:paraId="4C8BD972">
      <w:pPr>
        <w:spacing w:line="440" w:lineRule="exact"/>
        <w:rPr>
          <w:rFonts w:hint="eastAsia" w:ascii="宋体" w:hAnsi="宋体" w:cs="宋体"/>
          <w:color w:val="auto"/>
          <w:sz w:val="20"/>
          <w:szCs w:val="20"/>
          <w:highlight w:val="none"/>
        </w:rPr>
      </w:pPr>
    </w:p>
    <w:p w14:paraId="1F6D11DF">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1B1D47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文件的全部内容，愿意以《投标时》中承诺的投标报价和工期，按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14:paraId="32D1A7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我方已充分阅读了本项目招标文件并充分了解有关报价方式及变更、结算方式，我方完全响应招标文件的规定。</w:t>
      </w:r>
    </w:p>
    <w:p w14:paraId="3C9E48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3．我方承诺投标文件中的一切资料、数据是真实的，并承担由此引起的一切责任。</w:t>
      </w:r>
    </w:p>
    <w:p w14:paraId="7D2952E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4．我方承诺在招标文件规定的投标有效期内不修改、撤销投标文件。</w:t>
      </w:r>
    </w:p>
    <w:p w14:paraId="272F397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5．随同本投标函提交投标保证金一份，我方对招标文件中不予退还投标保证金的情形无异议。</w:t>
      </w:r>
    </w:p>
    <w:p w14:paraId="3A3A62F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6．我方如果中标，我方保证：</w:t>
      </w:r>
    </w:p>
    <w:p w14:paraId="2B57548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（1）保证履行招标文件以及招标文件修改书(如有)中的全部责任和义务，在中标通知书规定的时间内签订合同，并严格按国家有关法规履行我方的全部责任，按质、按量、按期完成合同约定的全部任务。</w:t>
      </w:r>
    </w:p>
    <w:p w14:paraId="182EC09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3006C45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14:paraId="28D4D97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（4）保证尽一切力量确保投标承诺的竣工日期，若我方未能按投标承诺的工期完成本项目，除承担合同约定的违约责任外，发包人有权解除合同，我方承担由于违约解除合同退场造成的对发包人的一切损失。</w:t>
      </w:r>
    </w:p>
    <w:p w14:paraId="2FA6998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（5）保证所投入本项目的主要材料、设备质量符合或优于招标文件要求，所投入本项目的辅助设备、材料与主主要材料、设备质量一致并有良好的配套性。</w:t>
      </w:r>
    </w:p>
    <w:p w14:paraId="45AFD67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（6）保证按照招标文件的要求确保安全生产及文明施工，如有违反，我方愿意按合同约定承担违约责任，并为此负相关的法律责任。</w:t>
      </w:r>
    </w:p>
    <w:p w14:paraId="74003A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（7）保证按国家的有关规定制订保证民工工资支付的方案及保证措施，否则，我方愿按合同条款规定承担违约责任并赔偿发包人的全部损失。</w:t>
      </w:r>
    </w:p>
    <w:p w14:paraId="24060DE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（8）保证按施工期间做好安全文明和交通保证措施，施工区全封闭围挡，根据工程进度计划分段施工分期围挡。最大限度满足交通和市民出行方便，施工行为做到便民，不扰民。</w:t>
      </w:r>
    </w:p>
    <w:p w14:paraId="345A041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（9）保证按发包方工期要求编制施工进度计划，计划内用全面详实，根据项目特点合理组织分段施工，分段逐步移交。</w:t>
      </w:r>
    </w:p>
    <w:p w14:paraId="43A967CC">
      <w:pPr>
        <w:spacing w:line="440" w:lineRule="exact"/>
        <w:ind w:firstLine="420" w:firstLineChars="200"/>
        <w:rPr>
          <w:rFonts w:hint="eastAsia" w:ascii="宋体" w:hAnsi="宋体" w:cs="宋体"/>
          <w:color w:val="auto"/>
          <w:szCs w:val="21"/>
          <w:highlight w:val="none"/>
        </w:rPr>
      </w:pPr>
    </w:p>
    <w:p w14:paraId="67B56E4E">
      <w:pPr>
        <w:spacing w:line="440" w:lineRule="exact"/>
        <w:ind w:firstLine="420" w:firstLineChars="200"/>
        <w:rPr>
          <w:rFonts w:hint="eastAsia" w:ascii="宋体" w:hAnsi="宋体" w:cs="宋体"/>
          <w:color w:val="auto"/>
          <w:szCs w:val="21"/>
          <w:highlight w:val="none"/>
        </w:rPr>
      </w:pPr>
    </w:p>
    <w:p w14:paraId="0CD968C3">
      <w:pPr>
        <w:spacing w:line="440" w:lineRule="exact"/>
        <w:ind w:firstLine="4725" w:firstLineChars="2250"/>
        <w:rPr>
          <w:rFonts w:hint="eastAsia" w:ascii="宋体" w:hAnsi="宋体" w:cs="宋体"/>
          <w:color w:val="auto"/>
          <w:szCs w:val="21"/>
          <w:highlight w:val="none"/>
        </w:rPr>
      </w:pPr>
    </w:p>
    <w:p w14:paraId="02394D49">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投标人名称（盖法人公章）：</w:t>
      </w:r>
    </w:p>
    <w:p w14:paraId="669BB2E3">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法定代表人或被授权人（签字或盖章）：</w:t>
      </w:r>
    </w:p>
    <w:p w14:paraId="70E6CC72">
      <w:pPr>
        <w:spacing w:line="440" w:lineRule="exact"/>
        <w:ind w:firstLine="5880" w:firstLineChars="28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7D7D1803">
      <w:pPr>
        <w:spacing w:line="440" w:lineRule="exact"/>
        <w:ind w:firstLine="4725" w:firstLineChars="2250"/>
        <w:rPr>
          <w:rFonts w:hint="eastAsia" w:ascii="宋体" w:hAnsi="宋体" w:cs="宋体"/>
          <w:color w:val="auto"/>
          <w:szCs w:val="21"/>
          <w:highlight w:val="none"/>
        </w:rPr>
      </w:pPr>
    </w:p>
    <w:p w14:paraId="393A3149">
      <w:pPr>
        <w:spacing w:line="360" w:lineRule="auto"/>
        <w:ind w:firstLine="98"/>
        <w:rPr>
          <w:rFonts w:ascii="宋体" w:cs="宋体"/>
          <w:b/>
          <w:color w:val="auto"/>
          <w:spacing w:val="20"/>
          <w:kern w:val="1"/>
          <w:highlight w:val="none"/>
        </w:rPr>
      </w:pPr>
      <w:r>
        <w:rPr>
          <w:rFonts w:hint="eastAsia" w:ascii="宋体" w:cs="宋体"/>
          <w:color w:val="auto"/>
          <w:sz w:val="20"/>
          <w:szCs w:val="20"/>
          <w:highlight w:val="none"/>
        </w:rPr>
        <w:br w:type="page"/>
      </w:r>
      <w:bookmarkStart w:id="579" w:name="_Toc9033"/>
      <w:bookmarkStart w:id="580" w:name="_Toc73018163"/>
      <w:r>
        <w:rPr>
          <w:rFonts w:hint="eastAsia" w:ascii="宋体" w:cs="宋体"/>
          <w:b/>
          <w:color w:val="auto"/>
          <w:kern w:val="1"/>
          <w:sz w:val="24"/>
          <w:highlight w:val="none"/>
          <w:lang w:val="zh-CN"/>
        </w:rPr>
        <w:t>格式</w:t>
      </w:r>
      <w:bookmarkEnd w:id="579"/>
      <w:r>
        <w:rPr>
          <w:rFonts w:hint="eastAsia" w:ascii="宋体" w:cs="宋体"/>
          <w:b/>
          <w:color w:val="auto"/>
          <w:kern w:val="1"/>
          <w:sz w:val="24"/>
          <w:highlight w:val="none"/>
        </w:rPr>
        <w:t>5</w:t>
      </w:r>
      <w:bookmarkEnd w:id="580"/>
    </w:p>
    <w:p w14:paraId="2038DA7E">
      <w:pPr>
        <w:spacing w:line="480" w:lineRule="auto"/>
        <w:jc w:val="center"/>
        <w:rPr>
          <w:rFonts w:hint="eastAsia" w:ascii="宋体" w:hAnsi="宋体" w:cs="宋体"/>
          <w:b/>
          <w:color w:val="auto"/>
          <w:kern w:val="1"/>
          <w:sz w:val="28"/>
          <w:szCs w:val="28"/>
          <w:highlight w:val="none"/>
        </w:rPr>
      </w:pPr>
      <w:r>
        <w:rPr>
          <w:rFonts w:hint="eastAsia" w:ascii="宋体" w:hAnsi="宋体" w:cs="宋体"/>
          <w:b/>
          <w:color w:val="auto"/>
          <w:kern w:val="1"/>
          <w:sz w:val="28"/>
          <w:szCs w:val="28"/>
          <w:highlight w:val="none"/>
          <w:lang w:val="zh-CN"/>
        </w:rPr>
        <w:t>企业类似工程业绩信息表</w:t>
      </w:r>
    </w:p>
    <w:tbl>
      <w:tblPr>
        <w:tblStyle w:val="37"/>
        <w:tblW w:w="4998" w:type="pct"/>
        <w:tblInd w:w="0" w:type="dxa"/>
        <w:tblLayout w:type="autofit"/>
        <w:tblCellMar>
          <w:top w:w="0" w:type="dxa"/>
          <w:left w:w="108" w:type="dxa"/>
          <w:bottom w:w="0" w:type="dxa"/>
          <w:right w:w="108" w:type="dxa"/>
        </w:tblCellMar>
      </w:tblPr>
      <w:tblGrid>
        <w:gridCol w:w="1188"/>
        <w:gridCol w:w="2047"/>
        <w:gridCol w:w="2047"/>
        <w:gridCol w:w="2048"/>
        <w:gridCol w:w="1189"/>
      </w:tblGrid>
      <w:tr w14:paraId="3CF9ADBE">
        <w:tblPrEx>
          <w:tblCellMar>
            <w:top w:w="0" w:type="dxa"/>
            <w:left w:w="108" w:type="dxa"/>
            <w:bottom w:w="0" w:type="dxa"/>
            <w:right w:w="108" w:type="dxa"/>
          </w:tblCellMar>
        </w:tblPrEx>
        <w:trPr>
          <w:trHeight w:val="880" w:hRule="atLeast"/>
        </w:trPr>
        <w:tc>
          <w:tcPr>
            <w:tcW w:w="697" w:type="pct"/>
            <w:tcBorders>
              <w:top w:val="single" w:color="000000" w:sz="4" w:space="0"/>
              <w:left w:val="single" w:color="000000" w:sz="4" w:space="0"/>
              <w:bottom w:val="single" w:color="000000" w:sz="4" w:space="0"/>
              <w:right w:val="single" w:color="000000" w:sz="4" w:space="0"/>
            </w:tcBorders>
            <w:vAlign w:val="center"/>
          </w:tcPr>
          <w:p w14:paraId="338D9659">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lang w:val="zh-CN"/>
              </w:rPr>
              <w:t>序号</w:t>
            </w:r>
          </w:p>
        </w:tc>
        <w:tc>
          <w:tcPr>
            <w:tcW w:w="1201" w:type="pct"/>
            <w:tcBorders>
              <w:top w:val="single" w:color="000000" w:sz="4" w:space="0"/>
              <w:left w:val="single" w:color="000000" w:sz="4" w:space="0"/>
              <w:bottom w:val="single" w:color="000000" w:sz="4" w:space="0"/>
              <w:right w:val="single" w:color="000000" w:sz="4" w:space="0"/>
            </w:tcBorders>
            <w:vAlign w:val="center"/>
          </w:tcPr>
          <w:p w14:paraId="297A750E">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rPr>
              <w:t>项目编号</w:t>
            </w:r>
          </w:p>
        </w:tc>
        <w:tc>
          <w:tcPr>
            <w:tcW w:w="1201" w:type="pct"/>
            <w:tcBorders>
              <w:top w:val="single" w:color="000000" w:sz="4" w:space="0"/>
              <w:left w:val="single" w:color="000000" w:sz="4" w:space="0"/>
              <w:bottom w:val="single" w:color="000000" w:sz="4" w:space="0"/>
              <w:right w:val="single" w:color="000000" w:sz="4" w:space="0"/>
            </w:tcBorders>
            <w:vAlign w:val="center"/>
          </w:tcPr>
          <w:p w14:paraId="7AF3751E">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lang w:val="zh-CN"/>
              </w:rPr>
              <w:t>工程名称</w:t>
            </w:r>
          </w:p>
        </w:tc>
        <w:tc>
          <w:tcPr>
            <w:tcW w:w="1201" w:type="pct"/>
            <w:tcBorders>
              <w:top w:val="single" w:color="000000" w:sz="4" w:space="0"/>
              <w:left w:val="single" w:color="000000" w:sz="4" w:space="0"/>
              <w:bottom w:val="single" w:color="000000" w:sz="4" w:space="0"/>
              <w:right w:val="single" w:color="000000" w:sz="4" w:space="0"/>
            </w:tcBorders>
            <w:vAlign w:val="center"/>
          </w:tcPr>
          <w:p w14:paraId="3E326DE9">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rPr>
              <w:t>造价</w:t>
            </w:r>
          </w:p>
          <w:p w14:paraId="1CE0CE58">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lang w:val="zh-CN"/>
              </w:rPr>
              <w:t>（万元）</w:t>
            </w:r>
          </w:p>
        </w:tc>
        <w:tc>
          <w:tcPr>
            <w:tcW w:w="697" w:type="pct"/>
            <w:tcBorders>
              <w:top w:val="single" w:color="000000" w:sz="4" w:space="0"/>
              <w:left w:val="single" w:color="000000" w:sz="4" w:space="0"/>
              <w:bottom w:val="single" w:color="000000" w:sz="4" w:space="0"/>
              <w:right w:val="single" w:color="000000" w:sz="4" w:space="0"/>
            </w:tcBorders>
            <w:vAlign w:val="center"/>
          </w:tcPr>
          <w:p w14:paraId="14FEB257">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lang w:val="zh-CN"/>
              </w:rPr>
              <w:t>备注</w:t>
            </w:r>
          </w:p>
        </w:tc>
      </w:tr>
      <w:tr w14:paraId="522ABB44">
        <w:tblPrEx>
          <w:tblCellMar>
            <w:top w:w="0" w:type="dxa"/>
            <w:left w:w="108" w:type="dxa"/>
            <w:bottom w:w="0" w:type="dxa"/>
            <w:right w:w="108" w:type="dxa"/>
          </w:tblCellMar>
        </w:tblPrEx>
        <w:trPr>
          <w:trHeight w:val="880" w:hRule="atLeast"/>
        </w:trPr>
        <w:tc>
          <w:tcPr>
            <w:tcW w:w="697" w:type="pct"/>
            <w:tcBorders>
              <w:top w:val="single" w:color="000000" w:sz="4" w:space="0"/>
              <w:left w:val="single" w:color="000000" w:sz="4" w:space="0"/>
              <w:bottom w:val="single" w:color="000000" w:sz="4" w:space="0"/>
              <w:right w:val="single" w:color="000000" w:sz="4" w:space="0"/>
            </w:tcBorders>
            <w:vAlign w:val="center"/>
          </w:tcPr>
          <w:p w14:paraId="09D24F84">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529A7909">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139F64CA">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693E3366">
            <w:pPr>
              <w:spacing w:line="480" w:lineRule="auto"/>
              <w:jc w:val="center"/>
              <w:rPr>
                <w:rFonts w:hint="eastAsia" w:ascii="宋体" w:hAnsi="宋体" w:cs="宋体"/>
                <w:color w:val="auto"/>
                <w:kern w:val="1"/>
                <w:sz w:val="28"/>
                <w:szCs w:val="28"/>
                <w:highlight w:val="none"/>
              </w:rPr>
            </w:pPr>
          </w:p>
        </w:tc>
        <w:tc>
          <w:tcPr>
            <w:tcW w:w="697" w:type="pct"/>
            <w:tcBorders>
              <w:top w:val="single" w:color="000000" w:sz="4" w:space="0"/>
              <w:left w:val="single" w:color="000000" w:sz="4" w:space="0"/>
              <w:bottom w:val="single" w:color="000000" w:sz="4" w:space="0"/>
              <w:right w:val="single" w:color="000000" w:sz="4" w:space="0"/>
            </w:tcBorders>
            <w:vAlign w:val="center"/>
          </w:tcPr>
          <w:p w14:paraId="747F971F">
            <w:pPr>
              <w:spacing w:line="480" w:lineRule="auto"/>
              <w:jc w:val="center"/>
              <w:rPr>
                <w:rFonts w:hint="eastAsia" w:ascii="宋体" w:hAnsi="宋体" w:cs="宋体"/>
                <w:color w:val="auto"/>
                <w:kern w:val="1"/>
                <w:sz w:val="28"/>
                <w:szCs w:val="28"/>
                <w:highlight w:val="none"/>
              </w:rPr>
            </w:pPr>
          </w:p>
        </w:tc>
      </w:tr>
      <w:tr w14:paraId="248F6822">
        <w:tblPrEx>
          <w:tblCellMar>
            <w:top w:w="0" w:type="dxa"/>
            <w:left w:w="108" w:type="dxa"/>
            <w:bottom w:w="0" w:type="dxa"/>
            <w:right w:w="108" w:type="dxa"/>
          </w:tblCellMar>
        </w:tblPrEx>
        <w:trPr>
          <w:trHeight w:val="880" w:hRule="atLeast"/>
        </w:trPr>
        <w:tc>
          <w:tcPr>
            <w:tcW w:w="697" w:type="pct"/>
            <w:tcBorders>
              <w:top w:val="single" w:color="000000" w:sz="4" w:space="0"/>
              <w:left w:val="single" w:color="000000" w:sz="4" w:space="0"/>
              <w:bottom w:val="single" w:color="000000" w:sz="4" w:space="0"/>
              <w:right w:val="single" w:color="000000" w:sz="4" w:space="0"/>
            </w:tcBorders>
            <w:vAlign w:val="center"/>
          </w:tcPr>
          <w:p w14:paraId="24D0993C">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7F622B33">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3D08B1A4">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423CF985">
            <w:pPr>
              <w:spacing w:line="480" w:lineRule="auto"/>
              <w:jc w:val="center"/>
              <w:rPr>
                <w:rFonts w:hint="eastAsia" w:ascii="宋体" w:hAnsi="宋体" w:cs="宋体"/>
                <w:color w:val="auto"/>
                <w:kern w:val="1"/>
                <w:sz w:val="28"/>
                <w:szCs w:val="28"/>
                <w:highlight w:val="none"/>
              </w:rPr>
            </w:pPr>
          </w:p>
        </w:tc>
        <w:tc>
          <w:tcPr>
            <w:tcW w:w="697" w:type="pct"/>
            <w:tcBorders>
              <w:top w:val="single" w:color="000000" w:sz="4" w:space="0"/>
              <w:left w:val="single" w:color="000000" w:sz="4" w:space="0"/>
              <w:bottom w:val="single" w:color="000000" w:sz="4" w:space="0"/>
              <w:right w:val="single" w:color="000000" w:sz="4" w:space="0"/>
            </w:tcBorders>
            <w:vAlign w:val="center"/>
          </w:tcPr>
          <w:p w14:paraId="1F468B5E">
            <w:pPr>
              <w:spacing w:line="480" w:lineRule="auto"/>
              <w:jc w:val="center"/>
              <w:rPr>
                <w:rFonts w:hint="eastAsia" w:ascii="宋体" w:hAnsi="宋体" w:cs="宋体"/>
                <w:color w:val="auto"/>
                <w:kern w:val="1"/>
                <w:sz w:val="28"/>
                <w:szCs w:val="28"/>
                <w:highlight w:val="none"/>
              </w:rPr>
            </w:pPr>
          </w:p>
        </w:tc>
      </w:tr>
      <w:tr w14:paraId="27F91A86">
        <w:tblPrEx>
          <w:tblCellMar>
            <w:top w:w="0" w:type="dxa"/>
            <w:left w:w="108" w:type="dxa"/>
            <w:bottom w:w="0" w:type="dxa"/>
            <w:right w:w="108" w:type="dxa"/>
          </w:tblCellMar>
        </w:tblPrEx>
        <w:trPr>
          <w:trHeight w:val="880" w:hRule="atLeast"/>
        </w:trPr>
        <w:tc>
          <w:tcPr>
            <w:tcW w:w="697" w:type="pct"/>
            <w:tcBorders>
              <w:top w:val="single" w:color="000000" w:sz="4" w:space="0"/>
              <w:left w:val="single" w:color="000000" w:sz="4" w:space="0"/>
              <w:bottom w:val="single" w:color="000000" w:sz="4" w:space="0"/>
              <w:right w:val="single" w:color="000000" w:sz="4" w:space="0"/>
            </w:tcBorders>
            <w:vAlign w:val="center"/>
          </w:tcPr>
          <w:p w14:paraId="10B13CFB">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4F6946B2">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43157EC0">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34FB2CE6">
            <w:pPr>
              <w:spacing w:line="480" w:lineRule="auto"/>
              <w:jc w:val="center"/>
              <w:rPr>
                <w:rFonts w:hint="eastAsia" w:ascii="宋体" w:hAnsi="宋体" w:cs="宋体"/>
                <w:color w:val="auto"/>
                <w:kern w:val="1"/>
                <w:sz w:val="28"/>
                <w:szCs w:val="28"/>
                <w:highlight w:val="none"/>
              </w:rPr>
            </w:pPr>
          </w:p>
        </w:tc>
        <w:tc>
          <w:tcPr>
            <w:tcW w:w="697" w:type="pct"/>
            <w:tcBorders>
              <w:top w:val="single" w:color="000000" w:sz="4" w:space="0"/>
              <w:left w:val="single" w:color="000000" w:sz="4" w:space="0"/>
              <w:bottom w:val="single" w:color="000000" w:sz="4" w:space="0"/>
              <w:right w:val="single" w:color="000000" w:sz="4" w:space="0"/>
            </w:tcBorders>
            <w:vAlign w:val="center"/>
          </w:tcPr>
          <w:p w14:paraId="69075522">
            <w:pPr>
              <w:spacing w:line="480" w:lineRule="auto"/>
              <w:jc w:val="center"/>
              <w:rPr>
                <w:rFonts w:hint="eastAsia" w:ascii="宋体" w:hAnsi="宋体" w:cs="宋体"/>
                <w:color w:val="auto"/>
                <w:kern w:val="1"/>
                <w:sz w:val="28"/>
                <w:szCs w:val="28"/>
                <w:highlight w:val="none"/>
              </w:rPr>
            </w:pPr>
          </w:p>
        </w:tc>
      </w:tr>
      <w:tr w14:paraId="4AFC1D8B">
        <w:tblPrEx>
          <w:tblCellMar>
            <w:top w:w="0" w:type="dxa"/>
            <w:left w:w="108" w:type="dxa"/>
            <w:bottom w:w="0" w:type="dxa"/>
            <w:right w:w="108" w:type="dxa"/>
          </w:tblCellMar>
        </w:tblPrEx>
        <w:trPr>
          <w:trHeight w:val="880" w:hRule="atLeast"/>
        </w:trPr>
        <w:tc>
          <w:tcPr>
            <w:tcW w:w="697" w:type="pct"/>
            <w:tcBorders>
              <w:top w:val="single" w:color="000000" w:sz="4" w:space="0"/>
              <w:left w:val="single" w:color="000000" w:sz="4" w:space="0"/>
              <w:bottom w:val="single" w:color="000000" w:sz="4" w:space="0"/>
              <w:right w:val="single" w:color="000000" w:sz="4" w:space="0"/>
            </w:tcBorders>
            <w:vAlign w:val="center"/>
          </w:tcPr>
          <w:p w14:paraId="5E8502A6">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6B8B3B22">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0B2E1FD5">
            <w:pPr>
              <w:spacing w:line="480" w:lineRule="auto"/>
              <w:jc w:val="center"/>
              <w:rPr>
                <w:rFonts w:hint="eastAsia" w:ascii="宋体" w:hAnsi="宋体" w:cs="宋体"/>
                <w:color w:val="auto"/>
                <w:kern w:val="1"/>
                <w:sz w:val="28"/>
                <w:szCs w:val="28"/>
                <w:highlight w:val="none"/>
              </w:rPr>
            </w:pPr>
          </w:p>
        </w:tc>
        <w:tc>
          <w:tcPr>
            <w:tcW w:w="1201" w:type="pct"/>
            <w:tcBorders>
              <w:top w:val="single" w:color="000000" w:sz="4" w:space="0"/>
              <w:left w:val="single" w:color="000000" w:sz="4" w:space="0"/>
              <w:bottom w:val="single" w:color="000000" w:sz="4" w:space="0"/>
              <w:right w:val="single" w:color="000000" w:sz="4" w:space="0"/>
            </w:tcBorders>
            <w:vAlign w:val="center"/>
          </w:tcPr>
          <w:p w14:paraId="03381868">
            <w:pPr>
              <w:spacing w:line="480" w:lineRule="auto"/>
              <w:jc w:val="center"/>
              <w:rPr>
                <w:rFonts w:hint="eastAsia" w:ascii="宋体" w:hAnsi="宋体" w:cs="宋体"/>
                <w:color w:val="auto"/>
                <w:kern w:val="1"/>
                <w:sz w:val="28"/>
                <w:szCs w:val="28"/>
                <w:highlight w:val="none"/>
              </w:rPr>
            </w:pPr>
          </w:p>
        </w:tc>
        <w:tc>
          <w:tcPr>
            <w:tcW w:w="697" w:type="pct"/>
            <w:tcBorders>
              <w:top w:val="single" w:color="000000" w:sz="4" w:space="0"/>
              <w:left w:val="single" w:color="000000" w:sz="4" w:space="0"/>
              <w:bottom w:val="single" w:color="000000" w:sz="4" w:space="0"/>
              <w:right w:val="single" w:color="000000" w:sz="4" w:space="0"/>
            </w:tcBorders>
            <w:vAlign w:val="center"/>
          </w:tcPr>
          <w:p w14:paraId="4091FB5A">
            <w:pPr>
              <w:spacing w:line="480" w:lineRule="auto"/>
              <w:jc w:val="center"/>
              <w:rPr>
                <w:rFonts w:hint="eastAsia" w:ascii="宋体" w:hAnsi="宋体" w:cs="宋体"/>
                <w:color w:val="auto"/>
                <w:kern w:val="1"/>
                <w:sz w:val="28"/>
                <w:szCs w:val="28"/>
                <w:highlight w:val="none"/>
              </w:rPr>
            </w:pPr>
          </w:p>
        </w:tc>
      </w:tr>
    </w:tbl>
    <w:p w14:paraId="7301BE69">
      <w:pPr>
        <w:pStyle w:val="36"/>
        <w:rPr>
          <w:color w:val="auto"/>
          <w:highlight w:val="none"/>
          <w:lang w:val="zh-CN"/>
        </w:rPr>
      </w:pPr>
    </w:p>
    <w:p w14:paraId="63C2CA73">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投标人名称（盖法人公章）：</w:t>
      </w:r>
    </w:p>
    <w:p w14:paraId="3445C21B">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法定代表人或被授权人（签字或盖章）：</w:t>
      </w:r>
    </w:p>
    <w:p w14:paraId="644746A8">
      <w:pPr>
        <w:spacing w:line="440" w:lineRule="exact"/>
        <w:ind w:firstLine="5670" w:firstLineChars="27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5EAB89FA">
      <w:pPr>
        <w:spacing w:line="360" w:lineRule="auto"/>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br w:type="page"/>
      </w: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6</w:t>
      </w:r>
    </w:p>
    <w:p w14:paraId="3EA0B27B">
      <w:pPr>
        <w:spacing w:line="360" w:lineRule="auto"/>
        <w:jc w:val="center"/>
        <w:rPr>
          <w:rFonts w:hint="eastAsia"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企业获奖情况业绩信息表</w:t>
      </w:r>
    </w:p>
    <w:tbl>
      <w:tblPr>
        <w:tblStyle w:val="37"/>
        <w:tblW w:w="4998" w:type="pct"/>
        <w:tblInd w:w="0" w:type="dxa"/>
        <w:tblLayout w:type="autofit"/>
        <w:tblCellMar>
          <w:top w:w="0" w:type="dxa"/>
          <w:left w:w="108" w:type="dxa"/>
          <w:bottom w:w="0" w:type="dxa"/>
          <w:right w:w="108" w:type="dxa"/>
        </w:tblCellMar>
      </w:tblPr>
      <w:tblGrid>
        <w:gridCol w:w="842"/>
        <w:gridCol w:w="1871"/>
        <w:gridCol w:w="1986"/>
        <w:gridCol w:w="2598"/>
        <w:gridCol w:w="1222"/>
      </w:tblGrid>
      <w:tr w14:paraId="3CF4F0B3">
        <w:tblPrEx>
          <w:tblCellMar>
            <w:top w:w="0" w:type="dxa"/>
            <w:left w:w="108" w:type="dxa"/>
            <w:bottom w:w="0" w:type="dxa"/>
            <w:right w:w="108" w:type="dxa"/>
          </w:tblCellMar>
        </w:tblPrEx>
        <w:trPr>
          <w:trHeight w:val="758" w:hRule="atLeast"/>
        </w:trPr>
        <w:tc>
          <w:tcPr>
            <w:tcW w:w="494" w:type="pct"/>
            <w:tcBorders>
              <w:top w:val="single" w:color="000000" w:sz="4" w:space="0"/>
              <w:left w:val="single" w:color="000000" w:sz="4" w:space="0"/>
              <w:bottom w:val="single" w:color="000000" w:sz="4" w:space="0"/>
              <w:right w:val="single" w:color="000000" w:sz="4" w:space="0"/>
            </w:tcBorders>
            <w:vAlign w:val="center"/>
          </w:tcPr>
          <w:p w14:paraId="723D9DC8">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lang w:val="zh-CN"/>
              </w:rPr>
              <w:t>序号</w:t>
            </w:r>
          </w:p>
        </w:tc>
        <w:tc>
          <w:tcPr>
            <w:tcW w:w="1098" w:type="pct"/>
            <w:tcBorders>
              <w:top w:val="single" w:color="000000" w:sz="4" w:space="0"/>
              <w:left w:val="single" w:color="000000" w:sz="4" w:space="0"/>
              <w:bottom w:val="single" w:color="000000" w:sz="4" w:space="0"/>
              <w:right w:val="single" w:color="000000" w:sz="4" w:space="0"/>
            </w:tcBorders>
            <w:vAlign w:val="center"/>
          </w:tcPr>
          <w:p w14:paraId="5F2AEC87">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rPr>
              <w:t>项目编号</w:t>
            </w:r>
          </w:p>
        </w:tc>
        <w:tc>
          <w:tcPr>
            <w:tcW w:w="1165" w:type="pct"/>
            <w:tcBorders>
              <w:top w:val="single" w:color="000000" w:sz="4" w:space="0"/>
              <w:left w:val="single" w:color="000000" w:sz="4" w:space="0"/>
              <w:bottom w:val="single" w:color="000000" w:sz="4" w:space="0"/>
              <w:right w:val="single" w:color="000000" w:sz="4" w:space="0"/>
            </w:tcBorders>
            <w:vAlign w:val="center"/>
          </w:tcPr>
          <w:p w14:paraId="692978AB">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lang w:val="zh-CN"/>
              </w:rPr>
              <w:t>工程名称</w:t>
            </w:r>
          </w:p>
        </w:tc>
        <w:tc>
          <w:tcPr>
            <w:tcW w:w="1524" w:type="pct"/>
            <w:tcBorders>
              <w:top w:val="single" w:color="000000" w:sz="4" w:space="0"/>
              <w:left w:val="single" w:color="000000" w:sz="4" w:space="0"/>
              <w:bottom w:val="single" w:color="000000" w:sz="4" w:space="0"/>
              <w:right w:val="single" w:color="000000" w:sz="4" w:space="0"/>
            </w:tcBorders>
            <w:vAlign w:val="center"/>
          </w:tcPr>
          <w:p w14:paraId="6EBF0F2F">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rPr>
              <w:t>获奖情况</w:t>
            </w:r>
          </w:p>
        </w:tc>
        <w:tc>
          <w:tcPr>
            <w:tcW w:w="717" w:type="pct"/>
            <w:tcBorders>
              <w:top w:val="single" w:color="000000" w:sz="4" w:space="0"/>
              <w:left w:val="single" w:color="000000" w:sz="4" w:space="0"/>
              <w:bottom w:val="single" w:color="000000" w:sz="4" w:space="0"/>
              <w:right w:val="single" w:color="000000" w:sz="4" w:space="0"/>
            </w:tcBorders>
            <w:vAlign w:val="center"/>
          </w:tcPr>
          <w:p w14:paraId="750F5F81">
            <w:pPr>
              <w:spacing w:line="440" w:lineRule="exact"/>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lang w:val="zh-CN"/>
              </w:rPr>
              <w:t>备注</w:t>
            </w:r>
          </w:p>
        </w:tc>
      </w:tr>
      <w:tr w14:paraId="1EF33776">
        <w:tblPrEx>
          <w:tblCellMar>
            <w:top w:w="0" w:type="dxa"/>
            <w:left w:w="108" w:type="dxa"/>
            <w:bottom w:w="0" w:type="dxa"/>
            <w:right w:w="108" w:type="dxa"/>
          </w:tblCellMar>
        </w:tblPrEx>
        <w:trPr>
          <w:trHeight w:val="504" w:hRule="atLeast"/>
        </w:trPr>
        <w:tc>
          <w:tcPr>
            <w:tcW w:w="494" w:type="pct"/>
            <w:tcBorders>
              <w:top w:val="single" w:color="000000" w:sz="4" w:space="0"/>
              <w:left w:val="single" w:color="000000" w:sz="4" w:space="0"/>
              <w:bottom w:val="single" w:color="000000" w:sz="4" w:space="0"/>
              <w:right w:val="single" w:color="000000" w:sz="4" w:space="0"/>
            </w:tcBorders>
            <w:vAlign w:val="center"/>
          </w:tcPr>
          <w:p w14:paraId="1428F473">
            <w:pPr>
              <w:spacing w:line="480" w:lineRule="auto"/>
              <w:jc w:val="center"/>
              <w:rPr>
                <w:rFonts w:hint="eastAsia" w:ascii="宋体" w:hAnsi="宋体" w:cs="宋体"/>
                <w:color w:val="auto"/>
                <w:kern w:val="1"/>
                <w:sz w:val="28"/>
                <w:szCs w:val="28"/>
                <w:highlight w:val="none"/>
              </w:rPr>
            </w:pPr>
          </w:p>
        </w:tc>
        <w:tc>
          <w:tcPr>
            <w:tcW w:w="1098" w:type="pct"/>
            <w:tcBorders>
              <w:top w:val="single" w:color="000000" w:sz="4" w:space="0"/>
              <w:left w:val="single" w:color="000000" w:sz="4" w:space="0"/>
              <w:bottom w:val="single" w:color="000000" w:sz="4" w:space="0"/>
              <w:right w:val="single" w:color="000000" w:sz="4" w:space="0"/>
            </w:tcBorders>
            <w:vAlign w:val="center"/>
          </w:tcPr>
          <w:p w14:paraId="6154588E">
            <w:pPr>
              <w:spacing w:line="480" w:lineRule="auto"/>
              <w:jc w:val="center"/>
              <w:rPr>
                <w:rFonts w:hint="eastAsia" w:ascii="宋体" w:hAnsi="宋体" w:cs="宋体"/>
                <w:color w:val="auto"/>
                <w:kern w:val="1"/>
                <w:sz w:val="28"/>
                <w:szCs w:val="28"/>
                <w:highlight w:val="none"/>
              </w:rPr>
            </w:pPr>
          </w:p>
        </w:tc>
        <w:tc>
          <w:tcPr>
            <w:tcW w:w="1165" w:type="pct"/>
            <w:tcBorders>
              <w:top w:val="single" w:color="000000" w:sz="4" w:space="0"/>
              <w:left w:val="single" w:color="000000" w:sz="4" w:space="0"/>
              <w:bottom w:val="single" w:color="000000" w:sz="4" w:space="0"/>
              <w:right w:val="single" w:color="000000" w:sz="4" w:space="0"/>
            </w:tcBorders>
            <w:vAlign w:val="center"/>
          </w:tcPr>
          <w:p w14:paraId="0AFFA919">
            <w:pPr>
              <w:spacing w:line="480" w:lineRule="auto"/>
              <w:jc w:val="center"/>
              <w:rPr>
                <w:rFonts w:hint="eastAsia" w:ascii="宋体" w:hAnsi="宋体" w:cs="宋体"/>
                <w:color w:val="auto"/>
                <w:kern w:val="1"/>
                <w:sz w:val="28"/>
                <w:szCs w:val="28"/>
                <w:highlight w:val="none"/>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041BB790">
            <w:pPr>
              <w:spacing w:line="480" w:lineRule="auto"/>
              <w:jc w:val="center"/>
              <w:rPr>
                <w:rFonts w:hint="eastAsia" w:ascii="宋体" w:hAnsi="宋体" w:cs="宋体"/>
                <w:color w:val="auto"/>
                <w:kern w:val="1"/>
                <w:sz w:val="28"/>
                <w:szCs w:val="28"/>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14:paraId="72BE967E">
            <w:pPr>
              <w:spacing w:line="480" w:lineRule="auto"/>
              <w:jc w:val="center"/>
              <w:rPr>
                <w:rFonts w:hint="eastAsia" w:ascii="宋体" w:hAnsi="宋体" w:cs="宋体"/>
                <w:color w:val="auto"/>
                <w:kern w:val="1"/>
                <w:sz w:val="28"/>
                <w:szCs w:val="28"/>
                <w:highlight w:val="none"/>
              </w:rPr>
            </w:pPr>
          </w:p>
        </w:tc>
      </w:tr>
      <w:tr w14:paraId="312571DE">
        <w:tblPrEx>
          <w:tblCellMar>
            <w:top w:w="0" w:type="dxa"/>
            <w:left w:w="108" w:type="dxa"/>
            <w:bottom w:w="0" w:type="dxa"/>
            <w:right w:w="108" w:type="dxa"/>
          </w:tblCellMar>
        </w:tblPrEx>
        <w:trPr>
          <w:trHeight w:val="504" w:hRule="atLeast"/>
        </w:trPr>
        <w:tc>
          <w:tcPr>
            <w:tcW w:w="494" w:type="pct"/>
            <w:tcBorders>
              <w:top w:val="single" w:color="000000" w:sz="4" w:space="0"/>
              <w:left w:val="single" w:color="000000" w:sz="4" w:space="0"/>
              <w:bottom w:val="single" w:color="000000" w:sz="4" w:space="0"/>
              <w:right w:val="single" w:color="000000" w:sz="4" w:space="0"/>
            </w:tcBorders>
            <w:vAlign w:val="center"/>
          </w:tcPr>
          <w:p w14:paraId="314EDFC3">
            <w:pPr>
              <w:spacing w:line="480" w:lineRule="auto"/>
              <w:jc w:val="center"/>
              <w:rPr>
                <w:rFonts w:hint="eastAsia" w:ascii="宋体" w:hAnsi="宋体" w:cs="宋体"/>
                <w:color w:val="auto"/>
                <w:kern w:val="1"/>
                <w:sz w:val="28"/>
                <w:szCs w:val="28"/>
                <w:highlight w:val="none"/>
              </w:rPr>
            </w:pPr>
          </w:p>
        </w:tc>
        <w:tc>
          <w:tcPr>
            <w:tcW w:w="1098" w:type="pct"/>
            <w:tcBorders>
              <w:top w:val="single" w:color="000000" w:sz="4" w:space="0"/>
              <w:left w:val="single" w:color="000000" w:sz="4" w:space="0"/>
              <w:bottom w:val="single" w:color="000000" w:sz="4" w:space="0"/>
              <w:right w:val="single" w:color="000000" w:sz="4" w:space="0"/>
            </w:tcBorders>
            <w:vAlign w:val="center"/>
          </w:tcPr>
          <w:p w14:paraId="6FD1E015">
            <w:pPr>
              <w:spacing w:line="480" w:lineRule="auto"/>
              <w:jc w:val="center"/>
              <w:rPr>
                <w:rFonts w:hint="eastAsia" w:ascii="宋体" w:hAnsi="宋体" w:cs="宋体"/>
                <w:color w:val="auto"/>
                <w:kern w:val="1"/>
                <w:sz w:val="28"/>
                <w:szCs w:val="28"/>
                <w:highlight w:val="none"/>
              </w:rPr>
            </w:pPr>
          </w:p>
        </w:tc>
        <w:tc>
          <w:tcPr>
            <w:tcW w:w="1165" w:type="pct"/>
            <w:tcBorders>
              <w:top w:val="single" w:color="000000" w:sz="4" w:space="0"/>
              <w:left w:val="single" w:color="000000" w:sz="4" w:space="0"/>
              <w:bottom w:val="single" w:color="000000" w:sz="4" w:space="0"/>
              <w:right w:val="single" w:color="000000" w:sz="4" w:space="0"/>
            </w:tcBorders>
            <w:vAlign w:val="center"/>
          </w:tcPr>
          <w:p w14:paraId="6F212EE9">
            <w:pPr>
              <w:spacing w:line="480" w:lineRule="auto"/>
              <w:jc w:val="center"/>
              <w:rPr>
                <w:rFonts w:hint="eastAsia" w:ascii="宋体" w:hAnsi="宋体" w:cs="宋体"/>
                <w:color w:val="auto"/>
                <w:kern w:val="1"/>
                <w:sz w:val="28"/>
                <w:szCs w:val="28"/>
                <w:highlight w:val="none"/>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49ACD9F4">
            <w:pPr>
              <w:spacing w:line="480" w:lineRule="auto"/>
              <w:jc w:val="center"/>
              <w:rPr>
                <w:rFonts w:hint="eastAsia" w:ascii="宋体" w:hAnsi="宋体" w:cs="宋体"/>
                <w:color w:val="auto"/>
                <w:kern w:val="1"/>
                <w:sz w:val="28"/>
                <w:szCs w:val="28"/>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14:paraId="1D1A3D74">
            <w:pPr>
              <w:spacing w:line="480" w:lineRule="auto"/>
              <w:jc w:val="center"/>
              <w:rPr>
                <w:rFonts w:hint="eastAsia" w:ascii="宋体" w:hAnsi="宋体" w:cs="宋体"/>
                <w:color w:val="auto"/>
                <w:kern w:val="1"/>
                <w:sz w:val="28"/>
                <w:szCs w:val="28"/>
                <w:highlight w:val="none"/>
              </w:rPr>
            </w:pPr>
          </w:p>
        </w:tc>
      </w:tr>
      <w:tr w14:paraId="17A8476C">
        <w:tblPrEx>
          <w:tblCellMar>
            <w:top w:w="0" w:type="dxa"/>
            <w:left w:w="108" w:type="dxa"/>
            <w:bottom w:w="0" w:type="dxa"/>
            <w:right w:w="108" w:type="dxa"/>
          </w:tblCellMar>
        </w:tblPrEx>
        <w:trPr>
          <w:trHeight w:val="504" w:hRule="atLeast"/>
        </w:trPr>
        <w:tc>
          <w:tcPr>
            <w:tcW w:w="494" w:type="pct"/>
            <w:tcBorders>
              <w:top w:val="single" w:color="000000" w:sz="4" w:space="0"/>
              <w:left w:val="single" w:color="000000" w:sz="4" w:space="0"/>
              <w:bottom w:val="single" w:color="000000" w:sz="4" w:space="0"/>
              <w:right w:val="single" w:color="000000" w:sz="4" w:space="0"/>
            </w:tcBorders>
            <w:vAlign w:val="center"/>
          </w:tcPr>
          <w:p w14:paraId="498DDF1E">
            <w:pPr>
              <w:spacing w:line="480" w:lineRule="auto"/>
              <w:jc w:val="center"/>
              <w:rPr>
                <w:rFonts w:hint="eastAsia" w:ascii="宋体" w:hAnsi="宋体" w:cs="宋体"/>
                <w:color w:val="auto"/>
                <w:kern w:val="1"/>
                <w:sz w:val="28"/>
                <w:szCs w:val="28"/>
                <w:highlight w:val="none"/>
              </w:rPr>
            </w:pPr>
          </w:p>
        </w:tc>
        <w:tc>
          <w:tcPr>
            <w:tcW w:w="1098" w:type="pct"/>
            <w:tcBorders>
              <w:top w:val="single" w:color="000000" w:sz="4" w:space="0"/>
              <w:left w:val="single" w:color="000000" w:sz="4" w:space="0"/>
              <w:bottom w:val="single" w:color="000000" w:sz="4" w:space="0"/>
              <w:right w:val="single" w:color="000000" w:sz="4" w:space="0"/>
            </w:tcBorders>
            <w:vAlign w:val="center"/>
          </w:tcPr>
          <w:p w14:paraId="51BA3FAF">
            <w:pPr>
              <w:spacing w:line="480" w:lineRule="auto"/>
              <w:jc w:val="center"/>
              <w:rPr>
                <w:rFonts w:hint="eastAsia" w:ascii="宋体" w:hAnsi="宋体" w:cs="宋体"/>
                <w:color w:val="auto"/>
                <w:kern w:val="1"/>
                <w:sz w:val="28"/>
                <w:szCs w:val="28"/>
                <w:highlight w:val="none"/>
              </w:rPr>
            </w:pPr>
          </w:p>
        </w:tc>
        <w:tc>
          <w:tcPr>
            <w:tcW w:w="1165" w:type="pct"/>
            <w:tcBorders>
              <w:top w:val="single" w:color="000000" w:sz="4" w:space="0"/>
              <w:left w:val="single" w:color="000000" w:sz="4" w:space="0"/>
              <w:bottom w:val="single" w:color="000000" w:sz="4" w:space="0"/>
              <w:right w:val="single" w:color="000000" w:sz="4" w:space="0"/>
            </w:tcBorders>
            <w:vAlign w:val="center"/>
          </w:tcPr>
          <w:p w14:paraId="7BBB4EA2">
            <w:pPr>
              <w:spacing w:line="480" w:lineRule="auto"/>
              <w:jc w:val="center"/>
              <w:rPr>
                <w:rFonts w:hint="eastAsia" w:ascii="宋体" w:hAnsi="宋体" w:cs="宋体"/>
                <w:color w:val="auto"/>
                <w:kern w:val="1"/>
                <w:sz w:val="28"/>
                <w:szCs w:val="28"/>
                <w:highlight w:val="none"/>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4C08FA71">
            <w:pPr>
              <w:spacing w:line="480" w:lineRule="auto"/>
              <w:jc w:val="center"/>
              <w:rPr>
                <w:rFonts w:hint="eastAsia" w:ascii="宋体" w:hAnsi="宋体" w:cs="宋体"/>
                <w:color w:val="auto"/>
                <w:kern w:val="1"/>
                <w:sz w:val="28"/>
                <w:szCs w:val="28"/>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14:paraId="64B81F80">
            <w:pPr>
              <w:spacing w:line="480" w:lineRule="auto"/>
              <w:jc w:val="center"/>
              <w:rPr>
                <w:rFonts w:hint="eastAsia" w:ascii="宋体" w:hAnsi="宋体" w:cs="宋体"/>
                <w:color w:val="auto"/>
                <w:kern w:val="1"/>
                <w:sz w:val="28"/>
                <w:szCs w:val="28"/>
                <w:highlight w:val="none"/>
              </w:rPr>
            </w:pPr>
          </w:p>
        </w:tc>
      </w:tr>
      <w:tr w14:paraId="2F8AA4A1">
        <w:tblPrEx>
          <w:tblCellMar>
            <w:top w:w="0" w:type="dxa"/>
            <w:left w:w="108" w:type="dxa"/>
            <w:bottom w:w="0" w:type="dxa"/>
            <w:right w:w="108" w:type="dxa"/>
          </w:tblCellMar>
        </w:tblPrEx>
        <w:trPr>
          <w:trHeight w:val="512" w:hRule="atLeast"/>
        </w:trPr>
        <w:tc>
          <w:tcPr>
            <w:tcW w:w="494" w:type="pct"/>
            <w:tcBorders>
              <w:top w:val="single" w:color="000000" w:sz="4" w:space="0"/>
              <w:left w:val="single" w:color="000000" w:sz="4" w:space="0"/>
              <w:bottom w:val="single" w:color="000000" w:sz="4" w:space="0"/>
              <w:right w:val="single" w:color="000000" w:sz="4" w:space="0"/>
            </w:tcBorders>
            <w:vAlign w:val="center"/>
          </w:tcPr>
          <w:p w14:paraId="0EC911CE">
            <w:pPr>
              <w:spacing w:line="480" w:lineRule="auto"/>
              <w:jc w:val="center"/>
              <w:rPr>
                <w:rFonts w:hint="eastAsia" w:ascii="宋体" w:hAnsi="宋体" w:cs="宋体"/>
                <w:color w:val="auto"/>
                <w:kern w:val="1"/>
                <w:sz w:val="28"/>
                <w:szCs w:val="28"/>
                <w:highlight w:val="none"/>
              </w:rPr>
            </w:pPr>
          </w:p>
        </w:tc>
        <w:tc>
          <w:tcPr>
            <w:tcW w:w="1098" w:type="pct"/>
            <w:tcBorders>
              <w:top w:val="single" w:color="000000" w:sz="4" w:space="0"/>
              <w:left w:val="single" w:color="000000" w:sz="4" w:space="0"/>
              <w:bottom w:val="single" w:color="000000" w:sz="4" w:space="0"/>
              <w:right w:val="single" w:color="000000" w:sz="4" w:space="0"/>
            </w:tcBorders>
            <w:vAlign w:val="center"/>
          </w:tcPr>
          <w:p w14:paraId="1E8CCC02">
            <w:pPr>
              <w:spacing w:line="480" w:lineRule="auto"/>
              <w:jc w:val="center"/>
              <w:rPr>
                <w:rFonts w:hint="eastAsia" w:ascii="宋体" w:hAnsi="宋体" w:cs="宋体"/>
                <w:color w:val="auto"/>
                <w:kern w:val="1"/>
                <w:sz w:val="28"/>
                <w:szCs w:val="28"/>
                <w:highlight w:val="none"/>
              </w:rPr>
            </w:pPr>
          </w:p>
        </w:tc>
        <w:tc>
          <w:tcPr>
            <w:tcW w:w="1165" w:type="pct"/>
            <w:tcBorders>
              <w:top w:val="single" w:color="000000" w:sz="4" w:space="0"/>
              <w:left w:val="single" w:color="000000" w:sz="4" w:space="0"/>
              <w:bottom w:val="single" w:color="000000" w:sz="4" w:space="0"/>
              <w:right w:val="single" w:color="000000" w:sz="4" w:space="0"/>
            </w:tcBorders>
            <w:vAlign w:val="center"/>
          </w:tcPr>
          <w:p w14:paraId="051F2B95">
            <w:pPr>
              <w:spacing w:line="480" w:lineRule="auto"/>
              <w:jc w:val="center"/>
              <w:rPr>
                <w:rFonts w:hint="eastAsia" w:ascii="宋体" w:hAnsi="宋体" w:cs="宋体"/>
                <w:color w:val="auto"/>
                <w:kern w:val="1"/>
                <w:sz w:val="28"/>
                <w:szCs w:val="28"/>
                <w:highlight w:val="none"/>
              </w:rPr>
            </w:pPr>
          </w:p>
        </w:tc>
        <w:tc>
          <w:tcPr>
            <w:tcW w:w="1524" w:type="pct"/>
            <w:tcBorders>
              <w:top w:val="single" w:color="000000" w:sz="4" w:space="0"/>
              <w:left w:val="single" w:color="000000" w:sz="4" w:space="0"/>
              <w:bottom w:val="single" w:color="000000" w:sz="4" w:space="0"/>
              <w:right w:val="single" w:color="000000" w:sz="4" w:space="0"/>
            </w:tcBorders>
            <w:vAlign w:val="center"/>
          </w:tcPr>
          <w:p w14:paraId="1F33F178">
            <w:pPr>
              <w:spacing w:line="480" w:lineRule="auto"/>
              <w:jc w:val="center"/>
              <w:rPr>
                <w:rFonts w:hint="eastAsia" w:ascii="宋体" w:hAnsi="宋体" w:cs="宋体"/>
                <w:color w:val="auto"/>
                <w:kern w:val="1"/>
                <w:sz w:val="28"/>
                <w:szCs w:val="28"/>
                <w:highlight w:val="none"/>
              </w:rPr>
            </w:pPr>
          </w:p>
        </w:tc>
        <w:tc>
          <w:tcPr>
            <w:tcW w:w="717" w:type="pct"/>
            <w:tcBorders>
              <w:top w:val="single" w:color="000000" w:sz="4" w:space="0"/>
              <w:left w:val="single" w:color="000000" w:sz="4" w:space="0"/>
              <w:bottom w:val="single" w:color="000000" w:sz="4" w:space="0"/>
              <w:right w:val="single" w:color="000000" w:sz="4" w:space="0"/>
            </w:tcBorders>
            <w:vAlign w:val="center"/>
          </w:tcPr>
          <w:p w14:paraId="2B1B9D29">
            <w:pPr>
              <w:spacing w:line="480" w:lineRule="auto"/>
              <w:jc w:val="center"/>
              <w:rPr>
                <w:rFonts w:hint="eastAsia" w:ascii="宋体" w:hAnsi="宋体" w:cs="宋体"/>
                <w:color w:val="auto"/>
                <w:kern w:val="1"/>
                <w:sz w:val="28"/>
                <w:szCs w:val="28"/>
                <w:highlight w:val="none"/>
              </w:rPr>
            </w:pPr>
          </w:p>
        </w:tc>
      </w:tr>
    </w:tbl>
    <w:p w14:paraId="7775C762">
      <w:pPr>
        <w:tabs>
          <w:tab w:val="left" w:pos="7655"/>
        </w:tabs>
        <w:ind w:right="492"/>
        <w:jc w:val="center"/>
        <w:rPr>
          <w:rFonts w:hint="eastAsia" w:ascii="宋体" w:hAnsi="宋体" w:cs="宋体"/>
          <w:color w:val="auto"/>
          <w:sz w:val="18"/>
          <w:szCs w:val="18"/>
          <w:highlight w:val="none"/>
        </w:rPr>
      </w:pPr>
    </w:p>
    <w:p w14:paraId="302FB8E0">
      <w:pPr>
        <w:tabs>
          <w:tab w:val="left" w:pos="7655"/>
        </w:tabs>
        <w:ind w:right="492"/>
        <w:jc w:val="center"/>
        <w:rPr>
          <w:rFonts w:hint="eastAsia" w:ascii="宋体" w:hAnsi="宋体" w:cs="宋体"/>
          <w:dstrike/>
          <w:color w:val="auto"/>
          <w:sz w:val="18"/>
          <w:szCs w:val="18"/>
          <w:highlight w:val="none"/>
        </w:rPr>
      </w:pPr>
    </w:p>
    <w:p w14:paraId="09FA123E">
      <w:pPr>
        <w:spacing w:line="540" w:lineRule="exact"/>
        <w:rPr>
          <w:rFonts w:hint="eastAsia" w:ascii="宋体" w:hAnsi="宋体" w:cs="宋体"/>
          <w:b/>
          <w:dstrike/>
          <w:color w:val="auto"/>
          <w:kern w:val="1"/>
          <w:sz w:val="24"/>
          <w:highlight w:val="none"/>
          <w:lang w:val="zh-CN"/>
        </w:rPr>
      </w:pPr>
    </w:p>
    <w:p w14:paraId="026F11E8">
      <w:pPr>
        <w:spacing w:line="540" w:lineRule="exact"/>
        <w:rPr>
          <w:rFonts w:hint="eastAsia" w:ascii="宋体" w:hAnsi="宋体" w:cs="宋体"/>
          <w:b/>
          <w:color w:val="auto"/>
          <w:kern w:val="1"/>
          <w:sz w:val="24"/>
          <w:highlight w:val="none"/>
          <w:lang w:val="zh-CN"/>
        </w:rPr>
      </w:pPr>
    </w:p>
    <w:p w14:paraId="66AC89AA">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投标人名称（盖法人公章）：</w:t>
      </w:r>
    </w:p>
    <w:p w14:paraId="13BC7127">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法定代表人或被授权人（签字或盖章）：</w:t>
      </w:r>
    </w:p>
    <w:p w14:paraId="18E8F165">
      <w:pPr>
        <w:spacing w:line="440" w:lineRule="exact"/>
        <w:ind w:firstLine="6090" w:firstLineChars="29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2FB4B84C">
      <w:pPr>
        <w:pStyle w:val="36"/>
        <w:rPr>
          <w:color w:val="auto"/>
          <w:highlight w:val="none"/>
          <w:lang w:val="zh-CN"/>
        </w:rPr>
      </w:pPr>
    </w:p>
    <w:p w14:paraId="0AC71F2D">
      <w:pPr>
        <w:spacing w:line="360" w:lineRule="auto"/>
        <w:jc w:val="left"/>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br w:type="page"/>
      </w: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7</w:t>
      </w:r>
      <w:r>
        <w:rPr>
          <w:rFonts w:hint="eastAsia" w:ascii="宋体" w:hAnsi="宋体" w:cs="宋体"/>
          <w:b/>
          <w:color w:val="auto"/>
          <w:kern w:val="1"/>
          <w:sz w:val="24"/>
          <w:highlight w:val="none"/>
          <w:lang w:val="zh-CN"/>
        </w:rPr>
        <w:t>：</w:t>
      </w:r>
    </w:p>
    <w:p w14:paraId="0AC08DCF">
      <w:pPr>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项目管理机构配备表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478"/>
        <w:gridCol w:w="992"/>
        <w:gridCol w:w="1069"/>
        <w:gridCol w:w="993"/>
        <w:gridCol w:w="1134"/>
        <w:gridCol w:w="930"/>
        <w:gridCol w:w="1236"/>
      </w:tblGrid>
      <w:tr w14:paraId="3F8F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9" w:type="dxa"/>
            <w:vAlign w:val="center"/>
          </w:tcPr>
          <w:p w14:paraId="0239618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78" w:type="dxa"/>
            <w:vAlign w:val="center"/>
          </w:tcPr>
          <w:p w14:paraId="665B227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拟在本项目任职</w:t>
            </w:r>
          </w:p>
        </w:tc>
        <w:tc>
          <w:tcPr>
            <w:tcW w:w="992" w:type="dxa"/>
            <w:vAlign w:val="center"/>
          </w:tcPr>
          <w:p w14:paraId="164E056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69" w:type="dxa"/>
            <w:vAlign w:val="center"/>
          </w:tcPr>
          <w:p w14:paraId="542622E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993" w:type="dxa"/>
            <w:vAlign w:val="center"/>
          </w:tcPr>
          <w:p w14:paraId="4CDA947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注册证</w:t>
            </w:r>
          </w:p>
        </w:tc>
        <w:tc>
          <w:tcPr>
            <w:tcW w:w="1134" w:type="dxa"/>
            <w:vAlign w:val="center"/>
          </w:tcPr>
          <w:p w14:paraId="592C304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930" w:type="dxa"/>
            <w:vAlign w:val="center"/>
          </w:tcPr>
          <w:p w14:paraId="7A26D21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236" w:type="dxa"/>
            <w:vAlign w:val="center"/>
          </w:tcPr>
          <w:p w14:paraId="52167F6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工作年限（年）</w:t>
            </w:r>
          </w:p>
        </w:tc>
      </w:tr>
      <w:tr w14:paraId="6F28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33418629">
            <w:pPr>
              <w:adjustRightInd w:val="0"/>
              <w:snapToGrid w:val="0"/>
              <w:jc w:val="center"/>
              <w:rPr>
                <w:rFonts w:hint="eastAsia" w:ascii="宋体" w:hAnsi="宋体" w:cs="宋体"/>
                <w:color w:val="auto"/>
                <w:szCs w:val="21"/>
                <w:highlight w:val="none"/>
              </w:rPr>
            </w:pPr>
          </w:p>
        </w:tc>
        <w:tc>
          <w:tcPr>
            <w:tcW w:w="1478" w:type="dxa"/>
            <w:vAlign w:val="center"/>
          </w:tcPr>
          <w:p w14:paraId="7629C72E">
            <w:pPr>
              <w:adjustRightInd w:val="0"/>
              <w:snapToGrid w:val="0"/>
              <w:jc w:val="center"/>
              <w:rPr>
                <w:rFonts w:hint="eastAsia" w:ascii="宋体" w:hAnsi="宋体" w:cs="宋体"/>
                <w:color w:val="auto"/>
                <w:szCs w:val="21"/>
                <w:highlight w:val="none"/>
              </w:rPr>
            </w:pPr>
          </w:p>
        </w:tc>
        <w:tc>
          <w:tcPr>
            <w:tcW w:w="992" w:type="dxa"/>
            <w:vAlign w:val="center"/>
          </w:tcPr>
          <w:p w14:paraId="20BEE54D">
            <w:pPr>
              <w:adjustRightInd w:val="0"/>
              <w:snapToGrid w:val="0"/>
              <w:jc w:val="center"/>
              <w:rPr>
                <w:rFonts w:hint="eastAsia" w:ascii="宋体" w:hAnsi="宋体" w:cs="宋体"/>
                <w:color w:val="auto"/>
                <w:szCs w:val="21"/>
                <w:highlight w:val="none"/>
              </w:rPr>
            </w:pPr>
          </w:p>
        </w:tc>
        <w:tc>
          <w:tcPr>
            <w:tcW w:w="1069" w:type="dxa"/>
            <w:vAlign w:val="center"/>
          </w:tcPr>
          <w:p w14:paraId="16C05BE2">
            <w:pPr>
              <w:adjustRightInd w:val="0"/>
              <w:snapToGrid w:val="0"/>
              <w:jc w:val="center"/>
              <w:rPr>
                <w:rFonts w:hint="eastAsia" w:ascii="宋体" w:hAnsi="宋体" w:cs="宋体"/>
                <w:color w:val="auto"/>
                <w:szCs w:val="21"/>
                <w:highlight w:val="none"/>
              </w:rPr>
            </w:pPr>
          </w:p>
        </w:tc>
        <w:tc>
          <w:tcPr>
            <w:tcW w:w="993" w:type="dxa"/>
            <w:vAlign w:val="center"/>
          </w:tcPr>
          <w:p w14:paraId="0A2518D6">
            <w:pPr>
              <w:adjustRightInd w:val="0"/>
              <w:snapToGrid w:val="0"/>
              <w:jc w:val="center"/>
              <w:rPr>
                <w:rFonts w:hint="eastAsia" w:ascii="宋体" w:hAnsi="宋体" w:cs="宋体"/>
                <w:color w:val="auto"/>
                <w:szCs w:val="21"/>
                <w:highlight w:val="none"/>
              </w:rPr>
            </w:pPr>
          </w:p>
        </w:tc>
        <w:tc>
          <w:tcPr>
            <w:tcW w:w="1134" w:type="dxa"/>
            <w:vAlign w:val="center"/>
          </w:tcPr>
          <w:p w14:paraId="4C32A5F9">
            <w:pPr>
              <w:adjustRightInd w:val="0"/>
              <w:snapToGrid w:val="0"/>
              <w:jc w:val="center"/>
              <w:rPr>
                <w:rFonts w:hint="eastAsia" w:ascii="宋体" w:hAnsi="宋体" w:cs="宋体"/>
                <w:color w:val="auto"/>
                <w:szCs w:val="21"/>
                <w:highlight w:val="none"/>
              </w:rPr>
            </w:pPr>
          </w:p>
        </w:tc>
        <w:tc>
          <w:tcPr>
            <w:tcW w:w="930" w:type="dxa"/>
            <w:vAlign w:val="center"/>
          </w:tcPr>
          <w:p w14:paraId="351EB256">
            <w:pPr>
              <w:adjustRightInd w:val="0"/>
              <w:snapToGrid w:val="0"/>
              <w:jc w:val="center"/>
              <w:rPr>
                <w:rFonts w:hint="eastAsia" w:ascii="宋体" w:hAnsi="宋体" w:cs="宋体"/>
                <w:color w:val="auto"/>
                <w:szCs w:val="21"/>
                <w:highlight w:val="none"/>
              </w:rPr>
            </w:pPr>
          </w:p>
        </w:tc>
        <w:tc>
          <w:tcPr>
            <w:tcW w:w="1236" w:type="dxa"/>
            <w:vAlign w:val="center"/>
          </w:tcPr>
          <w:p w14:paraId="42F7051A">
            <w:pPr>
              <w:adjustRightInd w:val="0"/>
              <w:snapToGrid w:val="0"/>
              <w:jc w:val="center"/>
              <w:rPr>
                <w:rFonts w:hint="eastAsia" w:ascii="宋体" w:hAnsi="宋体" w:cs="宋体"/>
                <w:color w:val="auto"/>
                <w:szCs w:val="21"/>
                <w:highlight w:val="none"/>
              </w:rPr>
            </w:pPr>
          </w:p>
        </w:tc>
      </w:tr>
      <w:tr w14:paraId="0A69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2354DCFD">
            <w:pPr>
              <w:adjustRightInd w:val="0"/>
              <w:snapToGrid w:val="0"/>
              <w:jc w:val="center"/>
              <w:rPr>
                <w:rFonts w:hint="eastAsia" w:ascii="宋体" w:hAnsi="宋体" w:cs="宋体"/>
                <w:color w:val="auto"/>
                <w:szCs w:val="21"/>
                <w:highlight w:val="none"/>
              </w:rPr>
            </w:pPr>
          </w:p>
        </w:tc>
        <w:tc>
          <w:tcPr>
            <w:tcW w:w="1478" w:type="dxa"/>
            <w:vAlign w:val="center"/>
          </w:tcPr>
          <w:p w14:paraId="437C7511">
            <w:pPr>
              <w:adjustRightInd w:val="0"/>
              <w:snapToGrid w:val="0"/>
              <w:jc w:val="center"/>
              <w:rPr>
                <w:rFonts w:hint="eastAsia" w:ascii="宋体" w:hAnsi="宋体" w:cs="宋体"/>
                <w:color w:val="auto"/>
                <w:szCs w:val="21"/>
                <w:highlight w:val="none"/>
              </w:rPr>
            </w:pPr>
          </w:p>
        </w:tc>
        <w:tc>
          <w:tcPr>
            <w:tcW w:w="992" w:type="dxa"/>
            <w:vAlign w:val="center"/>
          </w:tcPr>
          <w:p w14:paraId="4EE9BC15">
            <w:pPr>
              <w:adjustRightInd w:val="0"/>
              <w:snapToGrid w:val="0"/>
              <w:jc w:val="center"/>
              <w:rPr>
                <w:rFonts w:hint="eastAsia" w:ascii="宋体" w:hAnsi="宋体" w:cs="宋体"/>
                <w:color w:val="auto"/>
                <w:szCs w:val="21"/>
                <w:highlight w:val="none"/>
              </w:rPr>
            </w:pPr>
          </w:p>
        </w:tc>
        <w:tc>
          <w:tcPr>
            <w:tcW w:w="1069" w:type="dxa"/>
            <w:vAlign w:val="center"/>
          </w:tcPr>
          <w:p w14:paraId="7AB9BD42">
            <w:pPr>
              <w:adjustRightInd w:val="0"/>
              <w:snapToGrid w:val="0"/>
              <w:jc w:val="center"/>
              <w:rPr>
                <w:rFonts w:hint="eastAsia" w:ascii="宋体" w:hAnsi="宋体" w:cs="宋体"/>
                <w:color w:val="auto"/>
                <w:szCs w:val="21"/>
                <w:highlight w:val="none"/>
              </w:rPr>
            </w:pPr>
          </w:p>
        </w:tc>
        <w:tc>
          <w:tcPr>
            <w:tcW w:w="993" w:type="dxa"/>
            <w:vAlign w:val="center"/>
          </w:tcPr>
          <w:p w14:paraId="6F3DA003">
            <w:pPr>
              <w:adjustRightInd w:val="0"/>
              <w:snapToGrid w:val="0"/>
              <w:jc w:val="center"/>
              <w:rPr>
                <w:rFonts w:hint="eastAsia" w:ascii="宋体" w:hAnsi="宋体" w:cs="宋体"/>
                <w:color w:val="auto"/>
                <w:szCs w:val="21"/>
                <w:highlight w:val="none"/>
              </w:rPr>
            </w:pPr>
          </w:p>
        </w:tc>
        <w:tc>
          <w:tcPr>
            <w:tcW w:w="1134" w:type="dxa"/>
            <w:vAlign w:val="center"/>
          </w:tcPr>
          <w:p w14:paraId="04926BBE">
            <w:pPr>
              <w:adjustRightInd w:val="0"/>
              <w:snapToGrid w:val="0"/>
              <w:jc w:val="center"/>
              <w:rPr>
                <w:rFonts w:hint="eastAsia" w:ascii="宋体" w:hAnsi="宋体" w:cs="宋体"/>
                <w:color w:val="auto"/>
                <w:szCs w:val="21"/>
                <w:highlight w:val="none"/>
              </w:rPr>
            </w:pPr>
          </w:p>
        </w:tc>
        <w:tc>
          <w:tcPr>
            <w:tcW w:w="930" w:type="dxa"/>
            <w:vAlign w:val="center"/>
          </w:tcPr>
          <w:p w14:paraId="74A77B10">
            <w:pPr>
              <w:adjustRightInd w:val="0"/>
              <w:snapToGrid w:val="0"/>
              <w:jc w:val="center"/>
              <w:rPr>
                <w:rFonts w:hint="eastAsia" w:ascii="宋体" w:hAnsi="宋体" w:cs="宋体"/>
                <w:color w:val="auto"/>
                <w:szCs w:val="21"/>
                <w:highlight w:val="none"/>
              </w:rPr>
            </w:pPr>
          </w:p>
        </w:tc>
        <w:tc>
          <w:tcPr>
            <w:tcW w:w="1236" w:type="dxa"/>
            <w:vAlign w:val="center"/>
          </w:tcPr>
          <w:p w14:paraId="6DABCA7D">
            <w:pPr>
              <w:adjustRightInd w:val="0"/>
              <w:snapToGrid w:val="0"/>
              <w:jc w:val="center"/>
              <w:rPr>
                <w:rFonts w:hint="eastAsia" w:ascii="宋体" w:hAnsi="宋体" w:cs="宋体"/>
                <w:color w:val="auto"/>
                <w:szCs w:val="21"/>
                <w:highlight w:val="none"/>
              </w:rPr>
            </w:pPr>
          </w:p>
        </w:tc>
      </w:tr>
      <w:tr w14:paraId="4A6E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509049BF">
            <w:pPr>
              <w:adjustRightInd w:val="0"/>
              <w:snapToGrid w:val="0"/>
              <w:jc w:val="center"/>
              <w:rPr>
                <w:rFonts w:hint="eastAsia" w:ascii="宋体" w:hAnsi="宋体" w:cs="宋体"/>
                <w:color w:val="auto"/>
                <w:szCs w:val="21"/>
                <w:highlight w:val="none"/>
              </w:rPr>
            </w:pPr>
          </w:p>
        </w:tc>
        <w:tc>
          <w:tcPr>
            <w:tcW w:w="1478" w:type="dxa"/>
            <w:vAlign w:val="center"/>
          </w:tcPr>
          <w:p w14:paraId="604DD012">
            <w:pPr>
              <w:adjustRightInd w:val="0"/>
              <w:snapToGrid w:val="0"/>
              <w:jc w:val="center"/>
              <w:rPr>
                <w:rFonts w:hint="eastAsia" w:ascii="宋体" w:hAnsi="宋体" w:cs="宋体"/>
                <w:color w:val="auto"/>
                <w:szCs w:val="21"/>
                <w:highlight w:val="none"/>
              </w:rPr>
            </w:pPr>
          </w:p>
        </w:tc>
        <w:tc>
          <w:tcPr>
            <w:tcW w:w="992" w:type="dxa"/>
            <w:vAlign w:val="center"/>
          </w:tcPr>
          <w:p w14:paraId="18A0F7E1">
            <w:pPr>
              <w:adjustRightInd w:val="0"/>
              <w:snapToGrid w:val="0"/>
              <w:jc w:val="center"/>
              <w:rPr>
                <w:rFonts w:hint="eastAsia" w:ascii="宋体" w:hAnsi="宋体" w:cs="宋体"/>
                <w:color w:val="auto"/>
                <w:szCs w:val="21"/>
                <w:highlight w:val="none"/>
              </w:rPr>
            </w:pPr>
          </w:p>
        </w:tc>
        <w:tc>
          <w:tcPr>
            <w:tcW w:w="1069" w:type="dxa"/>
            <w:vAlign w:val="center"/>
          </w:tcPr>
          <w:p w14:paraId="5C059B05">
            <w:pPr>
              <w:adjustRightInd w:val="0"/>
              <w:snapToGrid w:val="0"/>
              <w:jc w:val="center"/>
              <w:rPr>
                <w:rFonts w:hint="eastAsia" w:ascii="宋体" w:hAnsi="宋体" w:cs="宋体"/>
                <w:color w:val="auto"/>
                <w:szCs w:val="21"/>
                <w:highlight w:val="none"/>
              </w:rPr>
            </w:pPr>
          </w:p>
        </w:tc>
        <w:tc>
          <w:tcPr>
            <w:tcW w:w="993" w:type="dxa"/>
            <w:vAlign w:val="center"/>
          </w:tcPr>
          <w:p w14:paraId="0A56B925">
            <w:pPr>
              <w:adjustRightInd w:val="0"/>
              <w:snapToGrid w:val="0"/>
              <w:jc w:val="center"/>
              <w:rPr>
                <w:rFonts w:hint="eastAsia" w:ascii="宋体" w:hAnsi="宋体" w:cs="宋体"/>
                <w:color w:val="auto"/>
                <w:szCs w:val="21"/>
                <w:highlight w:val="none"/>
              </w:rPr>
            </w:pPr>
          </w:p>
        </w:tc>
        <w:tc>
          <w:tcPr>
            <w:tcW w:w="1134" w:type="dxa"/>
            <w:vAlign w:val="center"/>
          </w:tcPr>
          <w:p w14:paraId="06618258">
            <w:pPr>
              <w:adjustRightInd w:val="0"/>
              <w:snapToGrid w:val="0"/>
              <w:jc w:val="center"/>
              <w:rPr>
                <w:rFonts w:hint="eastAsia" w:ascii="宋体" w:hAnsi="宋体" w:cs="宋体"/>
                <w:color w:val="auto"/>
                <w:szCs w:val="21"/>
                <w:highlight w:val="none"/>
              </w:rPr>
            </w:pPr>
          </w:p>
        </w:tc>
        <w:tc>
          <w:tcPr>
            <w:tcW w:w="930" w:type="dxa"/>
            <w:vAlign w:val="center"/>
          </w:tcPr>
          <w:p w14:paraId="466AA002">
            <w:pPr>
              <w:adjustRightInd w:val="0"/>
              <w:snapToGrid w:val="0"/>
              <w:jc w:val="center"/>
              <w:rPr>
                <w:rFonts w:hint="eastAsia" w:ascii="宋体" w:hAnsi="宋体" w:cs="宋体"/>
                <w:color w:val="auto"/>
                <w:szCs w:val="21"/>
                <w:highlight w:val="none"/>
              </w:rPr>
            </w:pPr>
          </w:p>
        </w:tc>
        <w:tc>
          <w:tcPr>
            <w:tcW w:w="1236" w:type="dxa"/>
            <w:vAlign w:val="center"/>
          </w:tcPr>
          <w:p w14:paraId="453543D5">
            <w:pPr>
              <w:adjustRightInd w:val="0"/>
              <w:snapToGrid w:val="0"/>
              <w:jc w:val="center"/>
              <w:rPr>
                <w:rFonts w:hint="eastAsia" w:ascii="宋体" w:hAnsi="宋体" w:cs="宋体"/>
                <w:color w:val="auto"/>
                <w:szCs w:val="21"/>
                <w:highlight w:val="none"/>
              </w:rPr>
            </w:pPr>
          </w:p>
        </w:tc>
      </w:tr>
      <w:tr w14:paraId="5C93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5729253E">
            <w:pPr>
              <w:adjustRightInd w:val="0"/>
              <w:snapToGrid w:val="0"/>
              <w:jc w:val="center"/>
              <w:rPr>
                <w:rFonts w:hint="eastAsia" w:ascii="宋体" w:hAnsi="宋体" w:cs="宋体"/>
                <w:color w:val="auto"/>
                <w:szCs w:val="21"/>
                <w:highlight w:val="none"/>
              </w:rPr>
            </w:pPr>
          </w:p>
        </w:tc>
        <w:tc>
          <w:tcPr>
            <w:tcW w:w="1478" w:type="dxa"/>
            <w:vAlign w:val="center"/>
          </w:tcPr>
          <w:p w14:paraId="3A25F9FB">
            <w:pPr>
              <w:adjustRightInd w:val="0"/>
              <w:snapToGrid w:val="0"/>
              <w:jc w:val="center"/>
              <w:rPr>
                <w:rFonts w:hint="eastAsia" w:ascii="宋体" w:hAnsi="宋体" w:cs="宋体"/>
                <w:color w:val="auto"/>
                <w:szCs w:val="21"/>
                <w:highlight w:val="none"/>
              </w:rPr>
            </w:pPr>
          </w:p>
        </w:tc>
        <w:tc>
          <w:tcPr>
            <w:tcW w:w="992" w:type="dxa"/>
            <w:vAlign w:val="center"/>
          </w:tcPr>
          <w:p w14:paraId="26B55AB7">
            <w:pPr>
              <w:adjustRightInd w:val="0"/>
              <w:snapToGrid w:val="0"/>
              <w:jc w:val="center"/>
              <w:rPr>
                <w:rFonts w:hint="eastAsia" w:ascii="宋体" w:hAnsi="宋体" w:cs="宋体"/>
                <w:color w:val="auto"/>
                <w:szCs w:val="21"/>
                <w:highlight w:val="none"/>
              </w:rPr>
            </w:pPr>
          </w:p>
        </w:tc>
        <w:tc>
          <w:tcPr>
            <w:tcW w:w="1069" w:type="dxa"/>
            <w:vAlign w:val="center"/>
          </w:tcPr>
          <w:p w14:paraId="2DC71B32">
            <w:pPr>
              <w:adjustRightInd w:val="0"/>
              <w:snapToGrid w:val="0"/>
              <w:jc w:val="center"/>
              <w:rPr>
                <w:rFonts w:hint="eastAsia" w:ascii="宋体" w:hAnsi="宋体" w:cs="宋体"/>
                <w:color w:val="auto"/>
                <w:szCs w:val="21"/>
                <w:highlight w:val="none"/>
              </w:rPr>
            </w:pPr>
          </w:p>
        </w:tc>
        <w:tc>
          <w:tcPr>
            <w:tcW w:w="993" w:type="dxa"/>
            <w:vAlign w:val="center"/>
          </w:tcPr>
          <w:p w14:paraId="40D29D73">
            <w:pPr>
              <w:adjustRightInd w:val="0"/>
              <w:snapToGrid w:val="0"/>
              <w:jc w:val="center"/>
              <w:rPr>
                <w:rFonts w:hint="eastAsia" w:ascii="宋体" w:hAnsi="宋体" w:cs="宋体"/>
                <w:color w:val="auto"/>
                <w:szCs w:val="21"/>
                <w:highlight w:val="none"/>
              </w:rPr>
            </w:pPr>
          </w:p>
        </w:tc>
        <w:tc>
          <w:tcPr>
            <w:tcW w:w="1134" w:type="dxa"/>
            <w:vAlign w:val="center"/>
          </w:tcPr>
          <w:p w14:paraId="44154C29">
            <w:pPr>
              <w:adjustRightInd w:val="0"/>
              <w:snapToGrid w:val="0"/>
              <w:jc w:val="center"/>
              <w:rPr>
                <w:rFonts w:hint="eastAsia" w:ascii="宋体" w:hAnsi="宋体" w:cs="宋体"/>
                <w:color w:val="auto"/>
                <w:szCs w:val="21"/>
                <w:highlight w:val="none"/>
              </w:rPr>
            </w:pPr>
          </w:p>
        </w:tc>
        <w:tc>
          <w:tcPr>
            <w:tcW w:w="930" w:type="dxa"/>
            <w:vAlign w:val="center"/>
          </w:tcPr>
          <w:p w14:paraId="4ABC7636">
            <w:pPr>
              <w:adjustRightInd w:val="0"/>
              <w:snapToGrid w:val="0"/>
              <w:jc w:val="center"/>
              <w:rPr>
                <w:rFonts w:hint="eastAsia" w:ascii="宋体" w:hAnsi="宋体" w:cs="宋体"/>
                <w:color w:val="auto"/>
                <w:szCs w:val="21"/>
                <w:highlight w:val="none"/>
              </w:rPr>
            </w:pPr>
          </w:p>
        </w:tc>
        <w:tc>
          <w:tcPr>
            <w:tcW w:w="1236" w:type="dxa"/>
            <w:vAlign w:val="center"/>
          </w:tcPr>
          <w:p w14:paraId="6B6C7CB9">
            <w:pPr>
              <w:adjustRightInd w:val="0"/>
              <w:snapToGrid w:val="0"/>
              <w:jc w:val="center"/>
              <w:rPr>
                <w:rFonts w:hint="eastAsia" w:ascii="宋体" w:hAnsi="宋体" w:cs="宋体"/>
                <w:color w:val="auto"/>
                <w:szCs w:val="21"/>
                <w:highlight w:val="none"/>
              </w:rPr>
            </w:pPr>
          </w:p>
        </w:tc>
      </w:tr>
      <w:tr w14:paraId="0CC8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4AAEC4E7">
            <w:pPr>
              <w:adjustRightInd w:val="0"/>
              <w:snapToGrid w:val="0"/>
              <w:jc w:val="center"/>
              <w:rPr>
                <w:rFonts w:hint="eastAsia" w:ascii="宋体" w:hAnsi="宋体" w:cs="宋体"/>
                <w:color w:val="auto"/>
                <w:szCs w:val="21"/>
                <w:highlight w:val="none"/>
              </w:rPr>
            </w:pPr>
          </w:p>
        </w:tc>
        <w:tc>
          <w:tcPr>
            <w:tcW w:w="1478" w:type="dxa"/>
            <w:vAlign w:val="center"/>
          </w:tcPr>
          <w:p w14:paraId="5ECE3FD6">
            <w:pPr>
              <w:adjustRightInd w:val="0"/>
              <w:snapToGrid w:val="0"/>
              <w:jc w:val="center"/>
              <w:rPr>
                <w:rFonts w:hint="eastAsia" w:ascii="宋体" w:hAnsi="宋体" w:cs="宋体"/>
                <w:color w:val="auto"/>
                <w:szCs w:val="21"/>
                <w:highlight w:val="none"/>
              </w:rPr>
            </w:pPr>
          </w:p>
        </w:tc>
        <w:tc>
          <w:tcPr>
            <w:tcW w:w="992" w:type="dxa"/>
            <w:vAlign w:val="center"/>
          </w:tcPr>
          <w:p w14:paraId="6F1F5985">
            <w:pPr>
              <w:adjustRightInd w:val="0"/>
              <w:snapToGrid w:val="0"/>
              <w:jc w:val="center"/>
              <w:rPr>
                <w:rFonts w:hint="eastAsia" w:ascii="宋体" w:hAnsi="宋体" w:cs="宋体"/>
                <w:color w:val="auto"/>
                <w:szCs w:val="21"/>
                <w:highlight w:val="none"/>
              </w:rPr>
            </w:pPr>
          </w:p>
        </w:tc>
        <w:tc>
          <w:tcPr>
            <w:tcW w:w="1069" w:type="dxa"/>
            <w:vAlign w:val="center"/>
          </w:tcPr>
          <w:p w14:paraId="4FC0EFC9">
            <w:pPr>
              <w:adjustRightInd w:val="0"/>
              <w:snapToGrid w:val="0"/>
              <w:jc w:val="center"/>
              <w:rPr>
                <w:rFonts w:hint="eastAsia" w:ascii="宋体" w:hAnsi="宋体" w:cs="宋体"/>
                <w:color w:val="auto"/>
                <w:szCs w:val="21"/>
                <w:highlight w:val="none"/>
              </w:rPr>
            </w:pPr>
          </w:p>
        </w:tc>
        <w:tc>
          <w:tcPr>
            <w:tcW w:w="993" w:type="dxa"/>
            <w:vAlign w:val="center"/>
          </w:tcPr>
          <w:p w14:paraId="7E4E4E1A">
            <w:pPr>
              <w:adjustRightInd w:val="0"/>
              <w:snapToGrid w:val="0"/>
              <w:jc w:val="center"/>
              <w:rPr>
                <w:rFonts w:hint="eastAsia" w:ascii="宋体" w:hAnsi="宋体" w:cs="宋体"/>
                <w:color w:val="auto"/>
                <w:szCs w:val="21"/>
                <w:highlight w:val="none"/>
              </w:rPr>
            </w:pPr>
          </w:p>
        </w:tc>
        <w:tc>
          <w:tcPr>
            <w:tcW w:w="1134" w:type="dxa"/>
            <w:vAlign w:val="center"/>
          </w:tcPr>
          <w:p w14:paraId="395F9FBB">
            <w:pPr>
              <w:adjustRightInd w:val="0"/>
              <w:snapToGrid w:val="0"/>
              <w:jc w:val="center"/>
              <w:rPr>
                <w:rFonts w:hint="eastAsia" w:ascii="宋体" w:hAnsi="宋体" w:cs="宋体"/>
                <w:color w:val="auto"/>
                <w:szCs w:val="21"/>
                <w:highlight w:val="none"/>
              </w:rPr>
            </w:pPr>
          </w:p>
        </w:tc>
        <w:tc>
          <w:tcPr>
            <w:tcW w:w="930" w:type="dxa"/>
            <w:vAlign w:val="center"/>
          </w:tcPr>
          <w:p w14:paraId="13DEA42F">
            <w:pPr>
              <w:adjustRightInd w:val="0"/>
              <w:snapToGrid w:val="0"/>
              <w:jc w:val="center"/>
              <w:rPr>
                <w:rFonts w:hint="eastAsia" w:ascii="宋体" w:hAnsi="宋体" w:cs="宋体"/>
                <w:color w:val="auto"/>
                <w:szCs w:val="21"/>
                <w:highlight w:val="none"/>
              </w:rPr>
            </w:pPr>
          </w:p>
        </w:tc>
        <w:tc>
          <w:tcPr>
            <w:tcW w:w="1236" w:type="dxa"/>
            <w:vAlign w:val="center"/>
          </w:tcPr>
          <w:p w14:paraId="7FEE7A00">
            <w:pPr>
              <w:adjustRightInd w:val="0"/>
              <w:snapToGrid w:val="0"/>
              <w:jc w:val="center"/>
              <w:rPr>
                <w:rFonts w:hint="eastAsia" w:ascii="宋体" w:hAnsi="宋体" w:cs="宋体"/>
                <w:color w:val="auto"/>
                <w:szCs w:val="21"/>
                <w:highlight w:val="none"/>
              </w:rPr>
            </w:pPr>
          </w:p>
        </w:tc>
      </w:tr>
      <w:tr w14:paraId="4441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598E2B53">
            <w:pPr>
              <w:adjustRightInd w:val="0"/>
              <w:snapToGrid w:val="0"/>
              <w:jc w:val="center"/>
              <w:rPr>
                <w:rFonts w:hint="eastAsia" w:ascii="宋体" w:hAnsi="宋体" w:cs="宋体"/>
                <w:color w:val="auto"/>
                <w:szCs w:val="21"/>
                <w:highlight w:val="none"/>
              </w:rPr>
            </w:pPr>
          </w:p>
        </w:tc>
        <w:tc>
          <w:tcPr>
            <w:tcW w:w="1478" w:type="dxa"/>
            <w:vAlign w:val="center"/>
          </w:tcPr>
          <w:p w14:paraId="4167C619">
            <w:pPr>
              <w:adjustRightInd w:val="0"/>
              <w:snapToGrid w:val="0"/>
              <w:jc w:val="center"/>
              <w:rPr>
                <w:rFonts w:hint="eastAsia" w:ascii="宋体" w:hAnsi="宋体" w:cs="宋体"/>
                <w:color w:val="auto"/>
                <w:szCs w:val="21"/>
                <w:highlight w:val="none"/>
              </w:rPr>
            </w:pPr>
          </w:p>
        </w:tc>
        <w:tc>
          <w:tcPr>
            <w:tcW w:w="992" w:type="dxa"/>
            <w:vAlign w:val="center"/>
          </w:tcPr>
          <w:p w14:paraId="69803A7D">
            <w:pPr>
              <w:adjustRightInd w:val="0"/>
              <w:snapToGrid w:val="0"/>
              <w:jc w:val="center"/>
              <w:rPr>
                <w:rFonts w:hint="eastAsia" w:ascii="宋体" w:hAnsi="宋体" w:cs="宋体"/>
                <w:color w:val="auto"/>
                <w:szCs w:val="21"/>
                <w:highlight w:val="none"/>
              </w:rPr>
            </w:pPr>
          </w:p>
        </w:tc>
        <w:tc>
          <w:tcPr>
            <w:tcW w:w="1069" w:type="dxa"/>
            <w:vAlign w:val="center"/>
          </w:tcPr>
          <w:p w14:paraId="03AF0507">
            <w:pPr>
              <w:adjustRightInd w:val="0"/>
              <w:snapToGrid w:val="0"/>
              <w:jc w:val="center"/>
              <w:rPr>
                <w:rFonts w:hint="eastAsia" w:ascii="宋体" w:hAnsi="宋体" w:cs="宋体"/>
                <w:color w:val="auto"/>
                <w:szCs w:val="21"/>
                <w:highlight w:val="none"/>
              </w:rPr>
            </w:pPr>
          </w:p>
        </w:tc>
        <w:tc>
          <w:tcPr>
            <w:tcW w:w="993" w:type="dxa"/>
            <w:vAlign w:val="center"/>
          </w:tcPr>
          <w:p w14:paraId="75534F16">
            <w:pPr>
              <w:adjustRightInd w:val="0"/>
              <w:snapToGrid w:val="0"/>
              <w:jc w:val="center"/>
              <w:rPr>
                <w:rFonts w:hint="eastAsia" w:ascii="宋体" w:hAnsi="宋体" w:cs="宋体"/>
                <w:color w:val="auto"/>
                <w:szCs w:val="21"/>
                <w:highlight w:val="none"/>
              </w:rPr>
            </w:pPr>
          </w:p>
        </w:tc>
        <w:tc>
          <w:tcPr>
            <w:tcW w:w="1134" w:type="dxa"/>
            <w:vAlign w:val="center"/>
          </w:tcPr>
          <w:p w14:paraId="4D6B42F7">
            <w:pPr>
              <w:adjustRightInd w:val="0"/>
              <w:snapToGrid w:val="0"/>
              <w:jc w:val="center"/>
              <w:rPr>
                <w:rFonts w:hint="eastAsia" w:ascii="宋体" w:hAnsi="宋体" w:cs="宋体"/>
                <w:color w:val="auto"/>
                <w:szCs w:val="21"/>
                <w:highlight w:val="none"/>
              </w:rPr>
            </w:pPr>
          </w:p>
        </w:tc>
        <w:tc>
          <w:tcPr>
            <w:tcW w:w="930" w:type="dxa"/>
            <w:vAlign w:val="center"/>
          </w:tcPr>
          <w:p w14:paraId="2146B9C8">
            <w:pPr>
              <w:adjustRightInd w:val="0"/>
              <w:snapToGrid w:val="0"/>
              <w:jc w:val="center"/>
              <w:rPr>
                <w:rFonts w:hint="eastAsia" w:ascii="宋体" w:hAnsi="宋体" w:cs="宋体"/>
                <w:color w:val="auto"/>
                <w:szCs w:val="21"/>
                <w:highlight w:val="none"/>
              </w:rPr>
            </w:pPr>
          </w:p>
        </w:tc>
        <w:tc>
          <w:tcPr>
            <w:tcW w:w="1236" w:type="dxa"/>
            <w:vAlign w:val="center"/>
          </w:tcPr>
          <w:p w14:paraId="14DC117F">
            <w:pPr>
              <w:adjustRightInd w:val="0"/>
              <w:snapToGrid w:val="0"/>
              <w:jc w:val="center"/>
              <w:rPr>
                <w:rFonts w:hint="eastAsia" w:ascii="宋体" w:hAnsi="宋体" w:cs="宋体"/>
                <w:color w:val="auto"/>
                <w:szCs w:val="21"/>
                <w:highlight w:val="none"/>
              </w:rPr>
            </w:pPr>
          </w:p>
        </w:tc>
      </w:tr>
      <w:tr w14:paraId="5F64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019EE4E2">
            <w:pPr>
              <w:adjustRightInd w:val="0"/>
              <w:snapToGrid w:val="0"/>
              <w:jc w:val="center"/>
              <w:rPr>
                <w:rFonts w:hint="eastAsia" w:ascii="宋体" w:hAnsi="宋体" w:cs="宋体"/>
                <w:color w:val="auto"/>
                <w:szCs w:val="21"/>
                <w:highlight w:val="none"/>
              </w:rPr>
            </w:pPr>
          </w:p>
        </w:tc>
        <w:tc>
          <w:tcPr>
            <w:tcW w:w="1478" w:type="dxa"/>
            <w:vAlign w:val="center"/>
          </w:tcPr>
          <w:p w14:paraId="24389431">
            <w:pPr>
              <w:adjustRightInd w:val="0"/>
              <w:snapToGrid w:val="0"/>
              <w:jc w:val="center"/>
              <w:rPr>
                <w:rFonts w:hint="eastAsia" w:ascii="宋体" w:hAnsi="宋体" w:cs="宋体"/>
                <w:color w:val="auto"/>
                <w:szCs w:val="21"/>
                <w:highlight w:val="none"/>
              </w:rPr>
            </w:pPr>
          </w:p>
        </w:tc>
        <w:tc>
          <w:tcPr>
            <w:tcW w:w="992" w:type="dxa"/>
            <w:vAlign w:val="center"/>
          </w:tcPr>
          <w:p w14:paraId="3BA35C62">
            <w:pPr>
              <w:adjustRightInd w:val="0"/>
              <w:snapToGrid w:val="0"/>
              <w:jc w:val="center"/>
              <w:rPr>
                <w:rFonts w:hint="eastAsia" w:ascii="宋体" w:hAnsi="宋体" w:cs="宋体"/>
                <w:color w:val="auto"/>
                <w:szCs w:val="21"/>
                <w:highlight w:val="none"/>
              </w:rPr>
            </w:pPr>
          </w:p>
        </w:tc>
        <w:tc>
          <w:tcPr>
            <w:tcW w:w="1069" w:type="dxa"/>
            <w:vAlign w:val="center"/>
          </w:tcPr>
          <w:p w14:paraId="6A799353">
            <w:pPr>
              <w:adjustRightInd w:val="0"/>
              <w:snapToGrid w:val="0"/>
              <w:jc w:val="center"/>
              <w:rPr>
                <w:rFonts w:hint="eastAsia" w:ascii="宋体" w:hAnsi="宋体" w:cs="宋体"/>
                <w:color w:val="auto"/>
                <w:szCs w:val="21"/>
                <w:highlight w:val="none"/>
              </w:rPr>
            </w:pPr>
          </w:p>
        </w:tc>
        <w:tc>
          <w:tcPr>
            <w:tcW w:w="993" w:type="dxa"/>
            <w:vAlign w:val="center"/>
          </w:tcPr>
          <w:p w14:paraId="5AA243E0">
            <w:pPr>
              <w:adjustRightInd w:val="0"/>
              <w:snapToGrid w:val="0"/>
              <w:jc w:val="center"/>
              <w:rPr>
                <w:rFonts w:hint="eastAsia" w:ascii="宋体" w:hAnsi="宋体" w:cs="宋体"/>
                <w:color w:val="auto"/>
                <w:szCs w:val="21"/>
                <w:highlight w:val="none"/>
              </w:rPr>
            </w:pPr>
          </w:p>
        </w:tc>
        <w:tc>
          <w:tcPr>
            <w:tcW w:w="1134" w:type="dxa"/>
            <w:vAlign w:val="center"/>
          </w:tcPr>
          <w:p w14:paraId="35AAAD33">
            <w:pPr>
              <w:adjustRightInd w:val="0"/>
              <w:snapToGrid w:val="0"/>
              <w:jc w:val="center"/>
              <w:rPr>
                <w:rFonts w:hint="eastAsia" w:ascii="宋体" w:hAnsi="宋体" w:cs="宋体"/>
                <w:color w:val="auto"/>
                <w:szCs w:val="21"/>
                <w:highlight w:val="none"/>
              </w:rPr>
            </w:pPr>
          </w:p>
        </w:tc>
        <w:tc>
          <w:tcPr>
            <w:tcW w:w="930" w:type="dxa"/>
            <w:vAlign w:val="center"/>
          </w:tcPr>
          <w:p w14:paraId="758C41D2">
            <w:pPr>
              <w:adjustRightInd w:val="0"/>
              <w:snapToGrid w:val="0"/>
              <w:jc w:val="center"/>
              <w:rPr>
                <w:rFonts w:hint="eastAsia" w:ascii="宋体" w:hAnsi="宋体" w:cs="宋体"/>
                <w:color w:val="auto"/>
                <w:szCs w:val="21"/>
                <w:highlight w:val="none"/>
              </w:rPr>
            </w:pPr>
          </w:p>
        </w:tc>
        <w:tc>
          <w:tcPr>
            <w:tcW w:w="1236" w:type="dxa"/>
            <w:vAlign w:val="center"/>
          </w:tcPr>
          <w:p w14:paraId="73BC6F34">
            <w:pPr>
              <w:adjustRightInd w:val="0"/>
              <w:snapToGrid w:val="0"/>
              <w:jc w:val="center"/>
              <w:rPr>
                <w:rFonts w:hint="eastAsia" w:ascii="宋体" w:hAnsi="宋体" w:cs="宋体"/>
                <w:color w:val="auto"/>
                <w:szCs w:val="21"/>
                <w:highlight w:val="none"/>
              </w:rPr>
            </w:pPr>
          </w:p>
        </w:tc>
      </w:tr>
      <w:tr w14:paraId="570A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729464F8">
            <w:pPr>
              <w:adjustRightInd w:val="0"/>
              <w:snapToGrid w:val="0"/>
              <w:jc w:val="center"/>
              <w:rPr>
                <w:rFonts w:hint="eastAsia" w:ascii="宋体" w:hAnsi="宋体" w:cs="宋体"/>
                <w:color w:val="auto"/>
                <w:szCs w:val="21"/>
                <w:highlight w:val="none"/>
              </w:rPr>
            </w:pPr>
          </w:p>
        </w:tc>
        <w:tc>
          <w:tcPr>
            <w:tcW w:w="1478" w:type="dxa"/>
            <w:vAlign w:val="center"/>
          </w:tcPr>
          <w:p w14:paraId="380998BB">
            <w:pPr>
              <w:adjustRightInd w:val="0"/>
              <w:snapToGrid w:val="0"/>
              <w:jc w:val="center"/>
              <w:rPr>
                <w:rFonts w:hint="eastAsia" w:ascii="宋体" w:hAnsi="宋体" w:cs="宋体"/>
                <w:color w:val="auto"/>
                <w:szCs w:val="21"/>
                <w:highlight w:val="none"/>
              </w:rPr>
            </w:pPr>
          </w:p>
        </w:tc>
        <w:tc>
          <w:tcPr>
            <w:tcW w:w="992" w:type="dxa"/>
            <w:vAlign w:val="center"/>
          </w:tcPr>
          <w:p w14:paraId="24E01985">
            <w:pPr>
              <w:adjustRightInd w:val="0"/>
              <w:snapToGrid w:val="0"/>
              <w:jc w:val="center"/>
              <w:rPr>
                <w:rFonts w:hint="eastAsia" w:ascii="宋体" w:hAnsi="宋体" w:cs="宋体"/>
                <w:color w:val="auto"/>
                <w:szCs w:val="21"/>
                <w:highlight w:val="none"/>
              </w:rPr>
            </w:pPr>
          </w:p>
        </w:tc>
        <w:tc>
          <w:tcPr>
            <w:tcW w:w="1069" w:type="dxa"/>
            <w:vAlign w:val="center"/>
          </w:tcPr>
          <w:p w14:paraId="50C272EB">
            <w:pPr>
              <w:adjustRightInd w:val="0"/>
              <w:snapToGrid w:val="0"/>
              <w:jc w:val="center"/>
              <w:rPr>
                <w:rFonts w:hint="eastAsia" w:ascii="宋体" w:hAnsi="宋体" w:cs="宋体"/>
                <w:color w:val="auto"/>
                <w:szCs w:val="21"/>
                <w:highlight w:val="none"/>
              </w:rPr>
            </w:pPr>
          </w:p>
        </w:tc>
        <w:tc>
          <w:tcPr>
            <w:tcW w:w="993" w:type="dxa"/>
            <w:vAlign w:val="center"/>
          </w:tcPr>
          <w:p w14:paraId="484AF5D3">
            <w:pPr>
              <w:adjustRightInd w:val="0"/>
              <w:snapToGrid w:val="0"/>
              <w:jc w:val="center"/>
              <w:rPr>
                <w:rFonts w:hint="eastAsia" w:ascii="宋体" w:hAnsi="宋体" w:cs="宋体"/>
                <w:color w:val="auto"/>
                <w:szCs w:val="21"/>
                <w:highlight w:val="none"/>
              </w:rPr>
            </w:pPr>
          </w:p>
        </w:tc>
        <w:tc>
          <w:tcPr>
            <w:tcW w:w="1134" w:type="dxa"/>
            <w:vAlign w:val="center"/>
          </w:tcPr>
          <w:p w14:paraId="7F95C926">
            <w:pPr>
              <w:adjustRightInd w:val="0"/>
              <w:snapToGrid w:val="0"/>
              <w:jc w:val="center"/>
              <w:rPr>
                <w:rFonts w:hint="eastAsia" w:ascii="宋体" w:hAnsi="宋体" w:cs="宋体"/>
                <w:color w:val="auto"/>
                <w:szCs w:val="21"/>
                <w:highlight w:val="none"/>
              </w:rPr>
            </w:pPr>
          </w:p>
        </w:tc>
        <w:tc>
          <w:tcPr>
            <w:tcW w:w="930" w:type="dxa"/>
            <w:vAlign w:val="center"/>
          </w:tcPr>
          <w:p w14:paraId="3A39B2A1">
            <w:pPr>
              <w:adjustRightInd w:val="0"/>
              <w:snapToGrid w:val="0"/>
              <w:jc w:val="center"/>
              <w:rPr>
                <w:rFonts w:hint="eastAsia" w:ascii="宋体" w:hAnsi="宋体" w:cs="宋体"/>
                <w:color w:val="auto"/>
                <w:szCs w:val="21"/>
                <w:highlight w:val="none"/>
              </w:rPr>
            </w:pPr>
          </w:p>
        </w:tc>
        <w:tc>
          <w:tcPr>
            <w:tcW w:w="1236" w:type="dxa"/>
            <w:vAlign w:val="center"/>
          </w:tcPr>
          <w:p w14:paraId="2341425E">
            <w:pPr>
              <w:adjustRightInd w:val="0"/>
              <w:snapToGrid w:val="0"/>
              <w:jc w:val="center"/>
              <w:rPr>
                <w:rFonts w:hint="eastAsia" w:ascii="宋体" w:hAnsi="宋体" w:cs="宋体"/>
                <w:color w:val="auto"/>
                <w:szCs w:val="21"/>
                <w:highlight w:val="none"/>
              </w:rPr>
            </w:pPr>
          </w:p>
        </w:tc>
      </w:tr>
      <w:tr w14:paraId="5673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0BE83CD3">
            <w:pPr>
              <w:adjustRightInd w:val="0"/>
              <w:snapToGrid w:val="0"/>
              <w:jc w:val="center"/>
              <w:rPr>
                <w:rFonts w:hint="eastAsia" w:ascii="宋体" w:hAnsi="宋体" w:cs="宋体"/>
                <w:color w:val="auto"/>
                <w:szCs w:val="21"/>
                <w:highlight w:val="none"/>
              </w:rPr>
            </w:pPr>
          </w:p>
        </w:tc>
        <w:tc>
          <w:tcPr>
            <w:tcW w:w="1478" w:type="dxa"/>
            <w:vAlign w:val="center"/>
          </w:tcPr>
          <w:p w14:paraId="32AC518B">
            <w:pPr>
              <w:adjustRightInd w:val="0"/>
              <w:snapToGrid w:val="0"/>
              <w:jc w:val="center"/>
              <w:rPr>
                <w:rFonts w:hint="eastAsia" w:ascii="宋体" w:hAnsi="宋体" w:cs="宋体"/>
                <w:color w:val="auto"/>
                <w:szCs w:val="21"/>
                <w:highlight w:val="none"/>
              </w:rPr>
            </w:pPr>
          </w:p>
        </w:tc>
        <w:tc>
          <w:tcPr>
            <w:tcW w:w="992" w:type="dxa"/>
            <w:vAlign w:val="center"/>
          </w:tcPr>
          <w:p w14:paraId="52B5141D">
            <w:pPr>
              <w:adjustRightInd w:val="0"/>
              <w:snapToGrid w:val="0"/>
              <w:jc w:val="center"/>
              <w:rPr>
                <w:rFonts w:hint="eastAsia" w:ascii="宋体" w:hAnsi="宋体" w:cs="宋体"/>
                <w:color w:val="auto"/>
                <w:szCs w:val="21"/>
                <w:highlight w:val="none"/>
              </w:rPr>
            </w:pPr>
          </w:p>
        </w:tc>
        <w:tc>
          <w:tcPr>
            <w:tcW w:w="1069" w:type="dxa"/>
            <w:vAlign w:val="center"/>
          </w:tcPr>
          <w:p w14:paraId="053AC55F">
            <w:pPr>
              <w:adjustRightInd w:val="0"/>
              <w:snapToGrid w:val="0"/>
              <w:jc w:val="center"/>
              <w:rPr>
                <w:rFonts w:hint="eastAsia" w:ascii="宋体" w:hAnsi="宋体" w:cs="宋体"/>
                <w:color w:val="auto"/>
                <w:szCs w:val="21"/>
                <w:highlight w:val="none"/>
              </w:rPr>
            </w:pPr>
          </w:p>
        </w:tc>
        <w:tc>
          <w:tcPr>
            <w:tcW w:w="993" w:type="dxa"/>
            <w:vAlign w:val="center"/>
          </w:tcPr>
          <w:p w14:paraId="17ACBC78">
            <w:pPr>
              <w:adjustRightInd w:val="0"/>
              <w:snapToGrid w:val="0"/>
              <w:jc w:val="center"/>
              <w:rPr>
                <w:rFonts w:hint="eastAsia" w:ascii="宋体" w:hAnsi="宋体" w:cs="宋体"/>
                <w:color w:val="auto"/>
                <w:szCs w:val="21"/>
                <w:highlight w:val="none"/>
              </w:rPr>
            </w:pPr>
          </w:p>
        </w:tc>
        <w:tc>
          <w:tcPr>
            <w:tcW w:w="1134" w:type="dxa"/>
            <w:vAlign w:val="center"/>
          </w:tcPr>
          <w:p w14:paraId="468D399B">
            <w:pPr>
              <w:adjustRightInd w:val="0"/>
              <w:snapToGrid w:val="0"/>
              <w:jc w:val="center"/>
              <w:rPr>
                <w:rFonts w:hint="eastAsia" w:ascii="宋体" w:hAnsi="宋体" w:cs="宋体"/>
                <w:color w:val="auto"/>
                <w:szCs w:val="21"/>
                <w:highlight w:val="none"/>
              </w:rPr>
            </w:pPr>
          </w:p>
        </w:tc>
        <w:tc>
          <w:tcPr>
            <w:tcW w:w="930" w:type="dxa"/>
            <w:vAlign w:val="center"/>
          </w:tcPr>
          <w:p w14:paraId="05D9E4BB">
            <w:pPr>
              <w:adjustRightInd w:val="0"/>
              <w:snapToGrid w:val="0"/>
              <w:jc w:val="center"/>
              <w:rPr>
                <w:rFonts w:hint="eastAsia" w:ascii="宋体" w:hAnsi="宋体" w:cs="宋体"/>
                <w:color w:val="auto"/>
                <w:szCs w:val="21"/>
                <w:highlight w:val="none"/>
              </w:rPr>
            </w:pPr>
          </w:p>
        </w:tc>
        <w:tc>
          <w:tcPr>
            <w:tcW w:w="1236" w:type="dxa"/>
            <w:vAlign w:val="center"/>
          </w:tcPr>
          <w:p w14:paraId="3B129E2C">
            <w:pPr>
              <w:adjustRightInd w:val="0"/>
              <w:snapToGrid w:val="0"/>
              <w:jc w:val="center"/>
              <w:rPr>
                <w:rFonts w:hint="eastAsia" w:ascii="宋体" w:hAnsi="宋体" w:cs="宋体"/>
                <w:color w:val="auto"/>
                <w:szCs w:val="21"/>
                <w:highlight w:val="none"/>
              </w:rPr>
            </w:pPr>
          </w:p>
        </w:tc>
      </w:tr>
      <w:tr w14:paraId="4289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72240CEC">
            <w:pPr>
              <w:adjustRightInd w:val="0"/>
              <w:snapToGrid w:val="0"/>
              <w:jc w:val="center"/>
              <w:rPr>
                <w:rFonts w:hint="eastAsia" w:ascii="宋体" w:hAnsi="宋体" w:cs="宋体"/>
                <w:color w:val="auto"/>
                <w:szCs w:val="21"/>
                <w:highlight w:val="none"/>
              </w:rPr>
            </w:pPr>
          </w:p>
        </w:tc>
        <w:tc>
          <w:tcPr>
            <w:tcW w:w="1478" w:type="dxa"/>
            <w:vAlign w:val="center"/>
          </w:tcPr>
          <w:p w14:paraId="626B15CF">
            <w:pPr>
              <w:adjustRightInd w:val="0"/>
              <w:snapToGrid w:val="0"/>
              <w:jc w:val="center"/>
              <w:rPr>
                <w:rFonts w:hint="eastAsia" w:ascii="宋体" w:hAnsi="宋体" w:cs="宋体"/>
                <w:color w:val="auto"/>
                <w:szCs w:val="21"/>
                <w:highlight w:val="none"/>
              </w:rPr>
            </w:pPr>
          </w:p>
        </w:tc>
        <w:tc>
          <w:tcPr>
            <w:tcW w:w="992" w:type="dxa"/>
            <w:vAlign w:val="center"/>
          </w:tcPr>
          <w:p w14:paraId="150B5307">
            <w:pPr>
              <w:adjustRightInd w:val="0"/>
              <w:snapToGrid w:val="0"/>
              <w:jc w:val="center"/>
              <w:rPr>
                <w:rFonts w:hint="eastAsia" w:ascii="宋体" w:hAnsi="宋体" w:cs="宋体"/>
                <w:color w:val="auto"/>
                <w:szCs w:val="21"/>
                <w:highlight w:val="none"/>
              </w:rPr>
            </w:pPr>
          </w:p>
        </w:tc>
        <w:tc>
          <w:tcPr>
            <w:tcW w:w="1069" w:type="dxa"/>
            <w:vAlign w:val="center"/>
          </w:tcPr>
          <w:p w14:paraId="5D138C8F">
            <w:pPr>
              <w:adjustRightInd w:val="0"/>
              <w:snapToGrid w:val="0"/>
              <w:jc w:val="center"/>
              <w:rPr>
                <w:rFonts w:hint="eastAsia" w:ascii="宋体" w:hAnsi="宋体" w:cs="宋体"/>
                <w:color w:val="auto"/>
                <w:szCs w:val="21"/>
                <w:highlight w:val="none"/>
              </w:rPr>
            </w:pPr>
          </w:p>
        </w:tc>
        <w:tc>
          <w:tcPr>
            <w:tcW w:w="993" w:type="dxa"/>
            <w:vAlign w:val="center"/>
          </w:tcPr>
          <w:p w14:paraId="5FD0FDA0">
            <w:pPr>
              <w:adjustRightInd w:val="0"/>
              <w:snapToGrid w:val="0"/>
              <w:jc w:val="center"/>
              <w:rPr>
                <w:rFonts w:hint="eastAsia" w:ascii="宋体" w:hAnsi="宋体" w:cs="宋体"/>
                <w:color w:val="auto"/>
                <w:szCs w:val="21"/>
                <w:highlight w:val="none"/>
              </w:rPr>
            </w:pPr>
          </w:p>
        </w:tc>
        <w:tc>
          <w:tcPr>
            <w:tcW w:w="1134" w:type="dxa"/>
            <w:vAlign w:val="center"/>
          </w:tcPr>
          <w:p w14:paraId="2C1E3E79">
            <w:pPr>
              <w:adjustRightInd w:val="0"/>
              <w:snapToGrid w:val="0"/>
              <w:jc w:val="center"/>
              <w:rPr>
                <w:rFonts w:hint="eastAsia" w:ascii="宋体" w:hAnsi="宋体" w:cs="宋体"/>
                <w:color w:val="auto"/>
                <w:szCs w:val="21"/>
                <w:highlight w:val="none"/>
              </w:rPr>
            </w:pPr>
          </w:p>
        </w:tc>
        <w:tc>
          <w:tcPr>
            <w:tcW w:w="930" w:type="dxa"/>
            <w:vAlign w:val="center"/>
          </w:tcPr>
          <w:p w14:paraId="09292A9B">
            <w:pPr>
              <w:adjustRightInd w:val="0"/>
              <w:snapToGrid w:val="0"/>
              <w:jc w:val="center"/>
              <w:rPr>
                <w:rFonts w:hint="eastAsia" w:ascii="宋体" w:hAnsi="宋体" w:cs="宋体"/>
                <w:color w:val="auto"/>
                <w:szCs w:val="21"/>
                <w:highlight w:val="none"/>
              </w:rPr>
            </w:pPr>
          </w:p>
        </w:tc>
        <w:tc>
          <w:tcPr>
            <w:tcW w:w="1236" w:type="dxa"/>
            <w:vAlign w:val="center"/>
          </w:tcPr>
          <w:p w14:paraId="0C31C7B3">
            <w:pPr>
              <w:adjustRightInd w:val="0"/>
              <w:snapToGrid w:val="0"/>
              <w:jc w:val="center"/>
              <w:rPr>
                <w:rFonts w:hint="eastAsia" w:ascii="宋体" w:hAnsi="宋体" w:cs="宋体"/>
                <w:color w:val="auto"/>
                <w:szCs w:val="21"/>
                <w:highlight w:val="none"/>
              </w:rPr>
            </w:pPr>
          </w:p>
        </w:tc>
      </w:tr>
      <w:tr w14:paraId="67F7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43D827FF">
            <w:pPr>
              <w:adjustRightInd w:val="0"/>
              <w:snapToGrid w:val="0"/>
              <w:jc w:val="center"/>
              <w:rPr>
                <w:rFonts w:hint="eastAsia" w:ascii="宋体" w:hAnsi="宋体" w:cs="宋体"/>
                <w:color w:val="auto"/>
                <w:szCs w:val="21"/>
                <w:highlight w:val="none"/>
              </w:rPr>
            </w:pPr>
          </w:p>
        </w:tc>
        <w:tc>
          <w:tcPr>
            <w:tcW w:w="1478" w:type="dxa"/>
            <w:vAlign w:val="center"/>
          </w:tcPr>
          <w:p w14:paraId="57A32403">
            <w:pPr>
              <w:adjustRightInd w:val="0"/>
              <w:snapToGrid w:val="0"/>
              <w:jc w:val="center"/>
              <w:rPr>
                <w:rFonts w:hint="eastAsia" w:ascii="宋体" w:hAnsi="宋体" w:cs="宋体"/>
                <w:color w:val="auto"/>
                <w:szCs w:val="21"/>
                <w:highlight w:val="none"/>
              </w:rPr>
            </w:pPr>
          </w:p>
        </w:tc>
        <w:tc>
          <w:tcPr>
            <w:tcW w:w="992" w:type="dxa"/>
            <w:vAlign w:val="center"/>
          </w:tcPr>
          <w:p w14:paraId="0E221253">
            <w:pPr>
              <w:adjustRightInd w:val="0"/>
              <w:snapToGrid w:val="0"/>
              <w:jc w:val="center"/>
              <w:rPr>
                <w:rFonts w:hint="eastAsia" w:ascii="宋体" w:hAnsi="宋体" w:cs="宋体"/>
                <w:color w:val="auto"/>
                <w:szCs w:val="21"/>
                <w:highlight w:val="none"/>
              </w:rPr>
            </w:pPr>
          </w:p>
        </w:tc>
        <w:tc>
          <w:tcPr>
            <w:tcW w:w="1069" w:type="dxa"/>
            <w:vAlign w:val="center"/>
          </w:tcPr>
          <w:p w14:paraId="09F089FB">
            <w:pPr>
              <w:adjustRightInd w:val="0"/>
              <w:snapToGrid w:val="0"/>
              <w:jc w:val="center"/>
              <w:rPr>
                <w:rFonts w:hint="eastAsia" w:ascii="宋体" w:hAnsi="宋体" w:cs="宋体"/>
                <w:color w:val="auto"/>
                <w:szCs w:val="21"/>
                <w:highlight w:val="none"/>
              </w:rPr>
            </w:pPr>
          </w:p>
        </w:tc>
        <w:tc>
          <w:tcPr>
            <w:tcW w:w="993" w:type="dxa"/>
            <w:vAlign w:val="center"/>
          </w:tcPr>
          <w:p w14:paraId="045887E9">
            <w:pPr>
              <w:adjustRightInd w:val="0"/>
              <w:snapToGrid w:val="0"/>
              <w:jc w:val="center"/>
              <w:rPr>
                <w:rFonts w:hint="eastAsia" w:ascii="宋体" w:hAnsi="宋体" w:cs="宋体"/>
                <w:color w:val="auto"/>
                <w:szCs w:val="21"/>
                <w:highlight w:val="none"/>
              </w:rPr>
            </w:pPr>
          </w:p>
        </w:tc>
        <w:tc>
          <w:tcPr>
            <w:tcW w:w="1134" w:type="dxa"/>
            <w:vAlign w:val="center"/>
          </w:tcPr>
          <w:p w14:paraId="5E9014D2">
            <w:pPr>
              <w:adjustRightInd w:val="0"/>
              <w:snapToGrid w:val="0"/>
              <w:jc w:val="center"/>
              <w:rPr>
                <w:rFonts w:hint="eastAsia" w:ascii="宋体" w:hAnsi="宋体" w:cs="宋体"/>
                <w:color w:val="auto"/>
                <w:szCs w:val="21"/>
                <w:highlight w:val="none"/>
              </w:rPr>
            </w:pPr>
          </w:p>
        </w:tc>
        <w:tc>
          <w:tcPr>
            <w:tcW w:w="930" w:type="dxa"/>
            <w:vAlign w:val="center"/>
          </w:tcPr>
          <w:p w14:paraId="027DA697">
            <w:pPr>
              <w:adjustRightInd w:val="0"/>
              <w:snapToGrid w:val="0"/>
              <w:jc w:val="center"/>
              <w:rPr>
                <w:rFonts w:hint="eastAsia" w:ascii="宋体" w:hAnsi="宋体" w:cs="宋体"/>
                <w:color w:val="auto"/>
                <w:szCs w:val="21"/>
                <w:highlight w:val="none"/>
              </w:rPr>
            </w:pPr>
          </w:p>
        </w:tc>
        <w:tc>
          <w:tcPr>
            <w:tcW w:w="1236" w:type="dxa"/>
            <w:vAlign w:val="center"/>
          </w:tcPr>
          <w:p w14:paraId="609978B0">
            <w:pPr>
              <w:adjustRightInd w:val="0"/>
              <w:snapToGrid w:val="0"/>
              <w:jc w:val="center"/>
              <w:rPr>
                <w:rFonts w:hint="eastAsia" w:ascii="宋体" w:hAnsi="宋体" w:cs="宋体"/>
                <w:color w:val="auto"/>
                <w:szCs w:val="21"/>
                <w:highlight w:val="none"/>
              </w:rPr>
            </w:pPr>
          </w:p>
        </w:tc>
      </w:tr>
      <w:tr w14:paraId="171C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6494FA28">
            <w:pPr>
              <w:adjustRightInd w:val="0"/>
              <w:snapToGrid w:val="0"/>
              <w:jc w:val="center"/>
              <w:rPr>
                <w:rFonts w:hint="eastAsia" w:ascii="宋体" w:hAnsi="宋体" w:cs="宋体"/>
                <w:color w:val="auto"/>
                <w:szCs w:val="21"/>
                <w:highlight w:val="none"/>
              </w:rPr>
            </w:pPr>
          </w:p>
        </w:tc>
        <w:tc>
          <w:tcPr>
            <w:tcW w:w="1478" w:type="dxa"/>
            <w:vAlign w:val="center"/>
          </w:tcPr>
          <w:p w14:paraId="42D3AA14">
            <w:pPr>
              <w:adjustRightInd w:val="0"/>
              <w:snapToGrid w:val="0"/>
              <w:jc w:val="center"/>
              <w:rPr>
                <w:rFonts w:hint="eastAsia" w:ascii="宋体" w:hAnsi="宋体" w:cs="宋体"/>
                <w:color w:val="auto"/>
                <w:szCs w:val="21"/>
                <w:highlight w:val="none"/>
              </w:rPr>
            </w:pPr>
          </w:p>
        </w:tc>
        <w:tc>
          <w:tcPr>
            <w:tcW w:w="992" w:type="dxa"/>
            <w:vAlign w:val="center"/>
          </w:tcPr>
          <w:p w14:paraId="356C05F7">
            <w:pPr>
              <w:adjustRightInd w:val="0"/>
              <w:snapToGrid w:val="0"/>
              <w:jc w:val="center"/>
              <w:rPr>
                <w:rFonts w:hint="eastAsia" w:ascii="宋体" w:hAnsi="宋体" w:cs="宋体"/>
                <w:color w:val="auto"/>
                <w:szCs w:val="21"/>
                <w:highlight w:val="none"/>
              </w:rPr>
            </w:pPr>
          </w:p>
        </w:tc>
        <w:tc>
          <w:tcPr>
            <w:tcW w:w="1069" w:type="dxa"/>
            <w:vAlign w:val="center"/>
          </w:tcPr>
          <w:p w14:paraId="2B3BB579">
            <w:pPr>
              <w:adjustRightInd w:val="0"/>
              <w:snapToGrid w:val="0"/>
              <w:jc w:val="center"/>
              <w:rPr>
                <w:rFonts w:hint="eastAsia" w:ascii="宋体" w:hAnsi="宋体" w:cs="宋体"/>
                <w:color w:val="auto"/>
                <w:szCs w:val="21"/>
                <w:highlight w:val="none"/>
              </w:rPr>
            </w:pPr>
          </w:p>
        </w:tc>
        <w:tc>
          <w:tcPr>
            <w:tcW w:w="993" w:type="dxa"/>
            <w:vAlign w:val="center"/>
          </w:tcPr>
          <w:p w14:paraId="21BC76ED">
            <w:pPr>
              <w:adjustRightInd w:val="0"/>
              <w:snapToGrid w:val="0"/>
              <w:jc w:val="center"/>
              <w:rPr>
                <w:rFonts w:hint="eastAsia" w:ascii="宋体" w:hAnsi="宋体" w:cs="宋体"/>
                <w:color w:val="auto"/>
                <w:szCs w:val="21"/>
                <w:highlight w:val="none"/>
              </w:rPr>
            </w:pPr>
          </w:p>
        </w:tc>
        <w:tc>
          <w:tcPr>
            <w:tcW w:w="1134" w:type="dxa"/>
            <w:vAlign w:val="center"/>
          </w:tcPr>
          <w:p w14:paraId="7B644B3C">
            <w:pPr>
              <w:adjustRightInd w:val="0"/>
              <w:snapToGrid w:val="0"/>
              <w:jc w:val="center"/>
              <w:rPr>
                <w:rFonts w:hint="eastAsia" w:ascii="宋体" w:hAnsi="宋体" w:cs="宋体"/>
                <w:color w:val="auto"/>
                <w:szCs w:val="21"/>
                <w:highlight w:val="none"/>
              </w:rPr>
            </w:pPr>
          </w:p>
        </w:tc>
        <w:tc>
          <w:tcPr>
            <w:tcW w:w="930" w:type="dxa"/>
            <w:vAlign w:val="center"/>
          </w:tcPr>
          <w:p w14:paraId="1124BFB7">
            <w:pPr>
              <w:adjustRightInd w:val="0"/>
              <w:snapToGrid w:val="0"/>
              <w:jc w:val="center"/>
              <w:rPr>
                <w:rFonts w:hint="eastAsia" w:ascii="宋体" w:hAnsi="宋体" w:cs="宋体"/>
                <w:color w:val="auto"/>
                <w:szCs w:val="21"/>
                <w:highlight w:val="none"/>
              </w:rPr>
            </w:pPr>
          </w:p>
        </w:tc>
        <w:tc>
          <w:tcPr>
            <w:tcW w:w="1236" w:type="dxa"/>
            <w:vAlign w:val="center"/>
          </w:tcPr>
          <w:p w14:paraId="7DB6E7A5">
            <w:pPr>
              <w:adjustRightInd w:val="0"/>
              <w:snapToGrid w:val="0"/>
              <w:jc w:val="center"/>
              <w:rPr>
                <w:rFonts w:hint="eastAsia" w:ascii="宋体" w:hAnsi="宋体" w:cs="宋体"/>
                <w:color w:val="auto"/>
                <w:szCs w:val="21"/>
                <w:highlight w:val="none"/>
              </w:rPr>
            </w:pPr>
          </w:p>
        </w:tc>
      </w:tr>
      <w:tr w14:paraId="4970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366E2C10">
            <w:pPr>
              <w:adjustRightInd w:val="0"/>
              <w:snapToGrid w:val="0"/>
              <w:jc w:val="center"/>
              <w:rPr>
                <w:rFonts w:hint="eastAsia" w:ascii="宋体" w:hAnsi="宋体" w:cs="宋体"/>
                <w:color w:val="auto"/>
                <w:szCs w:val="21"/>
                <w:highlight w:val="none"/>
              </w:rPr>
            </w:pPr>
          </w:p>
        </w:tc>
        <w:tc>
          <w:tcPr>
            <w:tcW w:w="1478" w:type="dxa"/>
            <w:vAlign w:val="center"/>
          </w:tcPr>
          <w:p w14:paraId="58909C58">
            <w:pPr>
              <w:adjustRightInd w:val="0"/>
              <w:snapToGrid w:val="0"/>
              <w:jc w:val="center"/>
              <w:rPr>
                <w:rFonts w:hint="eastAsia" w:ascii="宋体" w:hAnsi="宋体" w:cs="宋体"/>
                <w:color w:val="auto"/>
                <w:szCs w:val="21"/>
                <w:highlight w:val="none"/>
              </w:rPr>
            </w:pPr>
          </w:p>
        </w:tc>
        <w:tc>
          <w:tcPr>
            <w:tcW w:w="992" w:type="dxa"/>
            <w:vAlign w:val="center"/>
          </w:tcPr>
          <w:p w14:paraId="6A18AC72">
            <w:pPr>
              <w:adjustRightInd w:val="0"/>
              <w:snapToGrid w:val="0"/>
              <w:jc w:val="center"/>
              <w:rPr>
                <w:rFonts w:hint="eastAsia" w:ascii="宋体" w:hAnsi="宋体" w:cs="宋体"/>
                <w:color w:val="auto"/>
                <w:szCs w:val="21"/>
                <w:highlight w:val="none"/>
              </w:rPr>
            </w:pPr>
          </w:p>
        </w:tc>
        <w:tc>
          <w:tcPr>
            <w:tcW w:w="1069" w:type="dxa"/>
            <w:vAlign w:val="center"/>
          </w:tcPr>
          <w:p w14:paraId="138EE486">
            <w:pPr>
              <w:adjustRightInd w:val="0"/>
              <w:snapToGrid w:val="0"/>
              <w:jc w:val="center"/>
              <w:rPr>
                <w:rFonts w:hint="eastAsia" w:ascii="宋体" w:hAnsi="宋体" w:cs="宋体"/>
                <w:color w:val="auto"/>
                <w:szCs w:val="21"/>
                <w:highlight w:val="none"/>
              </w:rPr>
            </w:pPr>
          </w:p>
        </w:tc>
        <w:tc>
          <w:tcPr>
            <w:tcW w:w="993" w:type="dxa"/>
            <w:vAlign w:val="center"/>
          </w:tcPr>
          <w:p w14:paraId="7D52F11A">
            <w:pPr>
              <w:adjustRightInd w:val="0"/>
              <w:snapToGrid w:val="0"/>
              <w:jc w:val="center"/>
              <w:rPr>
                <w:rFonts w:hint="eastAsia" w:ascii="宋体" w:hAnsi="宋体" w:cs="宋体"/>
                <w:color w:val="auto"/>
                <w:szCs w:val="21"/>
                <w:highlight w:val="none"/>
              </w:rPr>
            </w:pPr>
          </w:p>
        </w:tc>
        <w:tc>
          <w:tcPr>
            <w:tcW w:w="1134" w:type="dxa"/>
            <w:vAlign w:val="center"/>
          </w:tcPr>
          <w:p w14:paraId="5DB64E35">
            <w:pPr>
              <w:adjustRightInd w:val="0"/>
              <w:snapToGrid w:val="0"/>
              <w:jc w:val="center"/>
              <w:rPr>
                <w:rFonts w:hint="eastAsia" w:ascii="宋体" w:hAnsi="宋体" w:cs="宋体"/>
                <w:color w:val="auto"/>
                <w:szCs w:val="21"/>
                <w:highlight w:val="none"/>
              </w:rPr>
            </w:pPr>
          </w:p>
        </w:tc>
        <w:tc>
          <w:tcPr>
            <w:tcW w:w="930" w:type="dxa"/>
            <w:vAlign w:val="center"/>
          </w:tcPr>
          <w:p w14:paraId="5A5596B1">
            <w:pPr>
              <w:adjustRightInd w:val="0"/>
              <w:snapToGrid w:val="0"/>
              <w:jc w:val="center"/>
              <w:rPr>
                <w:rFonts w:hint="eastAsia" w:ascii="宋体" w:hAnsi="宋体" w:cs="宋体"/>
                <w:color w:val="auto"/>
                <w:szCs w:val="21"/>
                <w:highlight w:val="none"/>
              </w:rPr>
            </w:pPr>
          </w:p>
        </w:tc>
        <w:tc>
          <w:tcPr>
            <w:tcW w:w="1236" w:type="dxa"/>
            <w:vAlign w:val="center"/>
          </w:tcPr>
          <w:p w14:paraId="6560E3C7">
            <w:pPr>
              <w:adjustRightInd w:val="0"/>
              <w:snapToGrid w:val="0"/>
              <w:jc w:val="center"/>
              <w:rPr>
                <w:rFonts w:hint="eastAsia" w:ascii="宋体" w:hAnsi="宋体" w:cs="宋体"/>
                <w:color w:val="auto"/>
                <w:szCs w:val="21"/>
                <w:highlight w:val="none"/>
              </w:rPr>
            </w:pPr>
          </w:p>
        </w:tc>
      </w:tr>
      <w:tr w14:paraId="12FD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vAlign w:val="center"/>
          </w:tcPr>
          <w:p w14:paraId="200FA07A">
            <w:pPr>
              <w:adjustRightInd w:val="0"/>
              <w:snapToGrid w:val="0"/>
              <w:jc w:val="center"/>
              <w:rPr>
                <w:rFonts w:hint="eastAsia" w:ascii="宋体" w:hAnsi="宋体" w:cs="宋体"/>
                <w:color w:val="auto"/>
                <w:szCs w:val="21"/>
                <w:highlight w:val="none"/>
              </w:rPr>
            </w:pPr>
          </w:p>
        </w:tc>
        <w:tc>
          <w:tcPr>
            <w:tcW w:w="1478" w:type="dxa"/>
            <w:vAlign w:val="center"/>
          </w:tcPr>
          <w:p w14:paraId="5C56E160">
            <w:pPr>
              <w:adjustRightInd w:val="0"/>
              <w:snapToGrid w:val="0"/>
              <w:jc w:val="center"/>
              <w:rPr>
                <w:rFonts w:hint="eastAsia" w:ascii="宋体" w:hAnsi="宋体" w:cs="宋体"/>
                <w:color w:val="auto"/>
                <w:szCs w:val="21"/>
                <w:highlight w:val="none"/>
              </w:rPr>
            </w:pPr>
          </w:p>
        </w:tc>
        <w:tc>
          <w:tcPr>
            <w:tcW w:w="992" w:type="dxa"/>
            <w:vAlign w:val="center"/>
          </w:tcPr>
          <w:p w14:paraId="3287998D">
            <w:pPr>
              <w:adjustRightInd w:val="0"/>
              <w:snapToGrid w:val="0"/>
              <w:jc w:val="center"/>
              <w:rPr>
                <w:rFonts w:hint="eastAsia" w:ascii="宋体" w:hAnsi="宋体" w:cs="宋体"/>
                <w:color w:val="auto"/>
                <w:szCs w:val="21"/>
                <w:highlight w:val="none"/>
              </w:rPr>
            </w:pPr>
          </w:p>
        </w:tc>
        <w:tc>
          <w:tcPr>
            <w:tcW w:w="1069" w:type="dxa"/>
            <w:vAlign w:val="center"/>
          </w:tcPr>
          <w:p w14:paraId="2C2897BB">
            <w:pPr>
              <w:adjustRightInd w:val="0"/>
              <w:snapToGrid w:val="0"/>
              <w:jc w:val="center"/>
              <w:rPr>
                <w:rFonts w:hint="eastAsia" w:ascii="宋体" w:hAnsi="宋体" w:cs="宋体"/>
                <w:color w:val="auto"/>
                <w:szCs w:val="21"/>
                <w:highlight w:val="none"/>
              </w:rPr>
            </w:pPr>
          </w:p>
        </w:tc>
        <w:tc>
          <w:tcPr>
            <w:tcW w:w="993" w:type="dxa"/>
            <w:vAlign w:val="center"/>
          </w:tcPr>
          <w:p w14:paraId="79C177B4">
            <w:pPr>
              <w:adjustRightInd w:val="0"/>
              <w:snapToGrid w:val="0"/>
              <w:jc w:val="center"/>
              <w:rPr>
                <w:rFonts w:hint="eastAsia" w:ascii="宋体" w:hAnsi="宋体" w:cs="宋体"/>
                <w:color w:val="auto"/>
                <w:szCs w:val="21"/>
                <w:highlight w:val="none"/>
              </w:rPr>
            </w:pPr>
          </w:p>
        </w:tc>
        <w:tc>
          <w:tcPr>
            <w:tcW w:w="1134" w:type="dxa"/>
            <w:vAlign w:val="center"/>
          </w:tcPr>
          <w:p w14:paraId="1375D07F">
            <w:pPr>
              <w:adjustRightInd w:val="0"/>
              <w:snapToGrid w:val="0"/>
              <w:jc w:val="center"/>
              <w:rPr>
                <w:rFonts w:hint="eastAsia" w:ascii="宋体" w:hAnsi="宋体" w:cs="宋体"/>
                <w:color w:val="auto"/>
                <w:szCs w:val="21"/>
                <w:highlight w:val="none"/>
              </w:rPr>
            </w:pPr>
          </w:p>
        </w:tc>
        <w:tc>
          <w:tcPr>
            <w:tcW w:w="930" w:type="dxa"/>
            <w:vAlign w:val="center"/>
          </w:tcPr>
          <w:p w14:paraId="21ED7F09">
            <w:pPr>
              <w:adjustRightInd w:val="0"/>
              <w:snapToGrid w:val="0"/>
              <w:jc w:val="center"/>
              <w:rPr>
                <w:rFonts w:hint="eastAsia" w:ascii="宋体" w:hAnsi="宋体" w:cs="宋体"/>
                <w:color w:val="auto"/>
                <w:szCs w:val="21"/>
                <w:highlight w:val="none"/>
              </w:rPr>
            </w:pPr>
          </w:p>
        </w:tc>
        <w:tc>
          <w:tcPr>
            <w:tcW w:w="1236" w:type="dxa"/>
            <w:vAlign w:val="center"/>
          </w:tcPr>
          <w:p w14:paraId="31E4F2D8">
            <w:pPr>
              <w:adjustRightInd w:val="0"/>
              <w:snapToGrid w:val="0"/>
              <w:jc w:val="center"/>
              <w:rPr>
                <w:rFonts w:hint="eastAsia" w:ascii="宋体" w:hAnsi="宋体" w:cs="宋体"/>
                <w:color w:val="auto"/>
                <w:szCs w:val="21"/>
                <w:highlight w:val="none"/>
              </w:rPr>
            </w:pPr>
          </w:p>
        </w:tc>
      </w:tr>
    </w:tbl>
    <w:p w14:paraId="6CF07FD7">
      <w:pPr>
        <w:pStyle w:val="65"/>
        <w:ind w:firstLine="0" w:firstLineChars="0"/>
        <w:rPr>
          <w:rFonts w:hint="eastAsia" w:ascii="宋体" w:hAnsi="宋体" w:eastAsia="宋体" w:cs="宋体"/>
          <w:color w:val="auto"/>
          <w:highlight w:val="none"/>
        </w:rPr>
      </w:pPr>
      <w:r>
        <w:rPr>
          <w:rFonts w:hint="eastAsia" w:ascii="宋体" w:hAnsi="宋体" w:eastAsia="宋体" w:cs="宋体"/>
          <w:color w:val="auto"/>
          <w:spacing w:val="0"/>
          <w:kern w:val="2"/>
          <w:sz w:val="21"/>
          <w:szCs w:val="21"/>
          <w:highlight w:val="none"/>
        </w:rPr>
        <w:t>注：相应的证书附后。</w:t>
      </w:r>
    </w:p>
    <w:p w14:paraId="1E1379EB">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投标人名称（盖法人公章）：</w:t>
      </w:r>
    </w:p>
    <w:p w14:paraId="46569B63">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法定代表人或被授权人（签字或盖章）：</w:t>
      </w:r>
    </w:p>
    <w:p w14:paraId="35FFC38D">
      <w:pPr>
        <w:spacing w:line="440" w:lineRule="exact"/>
        <w:ind w:firstLine="5880" w:firstLineChars="28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44AF88EF">
      <w:pPr>
        <w:pStyle w:val="36"/>
        <w:rPr>
          <w:color w:val="auto"/>
          <w:highlight w:val="none"/>
        </w:rPr>
      </w:pPr>
    </w:p>
    <w:p w14:paraId="3668C310">
      <w:pPr>
        <w:pStyle w:val="36"/>
        <w:rPr>
          <w:color w:val="auto"/>
          <w:highlight w:val="none"/>
        </w:rPr>
      </w:pPr>
    </w:p>
    <w:p w14:paraId="7AE19A2D">
      <w:pPr>
        <w:rPr>
          <w:rFonts w:hint="eastAsia" w:ascii="宋体" w:hAnsi="宋体" w:cs="宋体"/>
          <w:b/>
          <w:color w:val="auto"/>
          <w:kern w:val="1"/>
          <w:sz w:val="24"/>
          <w:highlight w:val="none"/>
          <w:lang w:val="zh-CN"/>
        </w:rPr>
      </w:pPr>
      <w:bookmarkStart w:id="581" w:name="_Toc23488"/>
      <w:bookmarkEnd w:id="581"/>
      <w:bookmarkStart w:id="582" w:name="_Toc11799"/>
      <w:bookmarkEnd w:id="582"/>
      <w:r>
        <w:rPr>
          <w:rFonts w:hint="eastAsia" w:ascii="宋体" w:hAnsi="宋体" w:cs="宋体"/>
          <w:b/>
          <w:color w:val="auto"/>
          <w:kern w:val="1"/>
          <w:sz w:val="24"/>
          <w:highlight w:val="none"/>
          <w:lang w:val="zh-CN"/>
        </w:rPr>
        <w:br w:type="page"/>
      </w:r>
    </w:p>
    <w:p w14:paraId="4F728EE8">
      <w:pPr>
        <w:rPr>
          <w:rFonts w:hint="eastAsia" w:ascii="宋体" w:hAnsi="宋体" w:cs="宋体"/>
          <w:b/>
          <w:color w:val="auto"/>
          <w:kern w:val="1"/>
          <w:sz w:val="24"/>
          <w:highlight w:val="none"/>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8：</w:t>
      </w:r>
    </w:p>
    <w:p w14:paraId="235B212E">
      <w:pPr>
        <w:pStyle w:val="2"/>
        <w:spacing w:after="0" w:line="360" w:lineRule="auto"/>
        <w:ind w:firstLine="562" w:firstLineChars="200"/>
        <w:jc w:val="center"/>
        <w:rPr>
          <w:rFonts w:hint="eastAsia" w:ascii="宋体" w:hAnsi="宋体" w:cs="宋体"/>
          <w:color w:val="auto"/>
          <w:sz w:val="18"/>
          <w:szCs w:val="18"/>
          <w:highlight w:val="none"/>
        </w:rPr>
      </w:pPr>
      <w:r>
        <w:rPr>
          <w:rFonts w:hint="eastAsia" w:ascii="宋体" w:hAnsi="宋体" w:cs="宋体"/>
          <w:b/>
          <w:color w:val="auto"/>
          <w:sz w:val="28"/>
          <w:szCs w:val="28"/>
          <w:highlight w:val="none"/>
        </w:rPr>
        <w:t>投标文件编制人员名单</w:t>
      </w:r>
    </w:p>
    <w:tbl>
      <w:tblPr>
        <w:tblStyle w:val="37"/>
        <w:tblW w:w="0" w:type="auto"/>
        <w:tblInd w:w="0" w:type="dxa"/>
        <w:tblLayout w:type="fixed"/>
        <w:tblCellMar>
          <w:top w:w="0" w:type="dxa"/>
          <w:left w:w="108" w:type="dxa"/>
          <w:bottom w:w="0" w:type="dxa"/>
          <w:right w:w="108" w:type="dxa"/>
        </w:tblCellMar>
      </w:tblPr>
      <w:tblGrid>
        <w:gridCol w:w="1249"/>
        <w:gridCol w:w="1453"/>
        <w:gridCol w:w="2486"/>
        <w:gridCol w:w="2383"/>
        <w:gridCol w:w="1432"/>
      </w:tblGrid>
      <w:tr w14:paraId="72ABB2A6">
        <w:tblPrEx>
          <w:tblCellMar>
            <w:top w:w="0" w:type="dxa"/>
            <w:left w:w="108" w:type="dxa"/>
            <w:bottom w:w="0" w:type="dxa"/>
            <w:right w:w="108" w:type="dxa"/>
          </w:tblCellMar>
        </w:tblPrEx>
        <w:trPr>
          <w:trHeight w:val="318"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25CAB7FA">
            <w:pPr>
              <w:tabs>
                <w:tab w:val="left" w:pos="720"/>
              </w:tabs>
              <w:snapToGrid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投标单位名称：</w:t>
            </w:r>
          </w:p>
        </w:tc>
      </w:tr>
      <w:tr w14:paraId="514355E3">
        <w:tblPrEx>
          <w:tblCellMar>
            <w:top w:w="0" w:type="dxa"/>
            <w:left w:w="108" w:type="dxa"/>
            <w:bottom w:w="0" w:type="dxa"/>
            <w:right w:w="108" w:type="dxa"/>
          </w:tblCellMar>
        </w:tblPrEx>
        <w:trPr>
          <w:trHeight w:val="212" w:hRule="atLeast"/>
        </w:trPr>
        <w:tc>
          <w:tcPr>
            <w:tcW w:w="1249" w:type="dxa"/>
            <w:tcBorders>
              <w:top w:val="single" w:color="auto" w:sz="4" w:space="0"/>
              <w:left w:val="single" w:color="auto" w:sz="4" w:space="0"/>
              <w:bottom w:val="single" w:color="auto" w:sz="4" w:space="0"/>
              <w:right w:val="single" w:color="auto" w:sz="4" w:space="0"/>
            </w:tcBorders>
            <w:vAlign w:val="center"/>
          </w:tcPr>
          <w:p w14:paraId="10ABA391">
            <w:pPr>
              <w:tabs>
                <w:tab w:val="left" w:pos="720"/>
              </w:tabs>
              <w:snapToGrid w:val="0"/>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姓名</w:t>
            </w:r>
          </w:p>
        </w:tc>
        <w:tc>
          <w:tcPr>
            <w:tcW w:w="1453" w:type="dxa"/>
            <w:tcBorders>
              <w:top w:val="single" w:color="auto" w:sz="4" w:space="0"/>
              <w:left w:val="single" w:color="auto" w:sz="4" w:space="0"/>
              <w:bottom w:val="single" w:color="auto" w:sz="4" w:space="0"/>
              <w:right w:val="single" w:color="auto" w:sz="4" w:space="0"/>
            </w:tcBorders>
            <w:vAlign w:val="center"/>
          </w:tcPr>
          <w:p w14:paraId="43E1562E">
            <w:pPr>
              <w:tabs>
                <w:tab w:val="left" w:pos="720"/>
              </w:tabs>
              <w:snapToGrid w:val="0"/>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职务</w:t>
            </w:r>
          </w:p>
        </w:tc>
        <w:tc>
          <w:tcPr>
            <w:tcW w:w="2486" w:type="dxa"/>
            <w:tcBorders>
              <w:top w:val="single" w:color="auto" w:sz="4" w:space="0"/>
              <w:left w:val="single" w:color="auto" w:sz="4" w:space="0"/>
              <w:bottom w:val="single" w:color="auto" w:sz="4" w:space="0"/>
              <w:right w:val="single" w:color="auto" w:sz="4" w:space="0"/>
            </w:tcBorders>
            <w:vAlign w:val="center"/>
          </w:tcPr>
          <w:p w14:paraId="2BA039DD">
            <w:pPr>
              <w:tabs>
                <w:tab w:val="left" w:pos="720"/>
              </w:tabs>
              <w:snapToGrid w:val="0"/>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所承担工作</w:t>
            </w:r>
          </w:p>
        </w:tc>
        <w:tc>
          <w:tcPr>
            <w:tcW w:w="2383" w:type="dxa"/>
            <w:tcBorders>
              <w:top w:val="single" w:color="auto" w:sz="4" w:space="0"/>
              <w:left w:val="single" w:color="auto" w:sz="4" w:space="0"/>
              <w:bottom w:val="single" w:color="auto" w:sz="4" w:space="0"/>
              <w:right w:val="single" w:color="auto" w:sz="4" w:space="0"/>
            </w:tcBorders>
            <w:vAlign w:val="center"/>
          </w:tcPr>
          <w:p w14:paraId="4D4B8469">
            <w:pPr>
              <w:tabs>
                <w:tab w:val="left" w:pos="720"/>
              </w:tabs>
              <w:snapToGrid w:val="0"/>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身份证号码</w:t>
            </w:r>
          </w:p>
        </w:tc>
        <w:tc>
          <w:tcPr>
            <w:tcW w:w="1432" w:type="dxa"/>
            <w:tcBorders>
              <w:top w:val="single" w:color="auto" w:sz="4" w:space="0"/>
              <w:left w:val="single" w:color="auto" w:sz="4" w:space="0"/>
              <w:bottom w:val="single" w:color="auto" w:sz="4" w:space="0"/>
              <w:right w:val="single" w:color="auto" w:sz="4" w:space="0"/>
            </w:tcBorders>
            <w:vAlign w:val="center"/>
          </w:tcPr>
          <w:p w14:paraId="3CA44E4B">
            <w:pPr>
              <w:tabs>
                <w:tab w:val="left" w:pos="720"/>
              </w:tabs>
              <w:snapToGrid w:val="0"/>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本人签名栏</w:t>
            </w:r>
          </w:p>
        </w:tc>
      </w:tr>
      <w:tr w14:paraId="45AC7719">
        <w:tblPrEx>
          <w:tblCellMar>
            <w:top w:w="0" w:type="dxa"/>
            <w:left w:w="108" w:type="dxa"/>
            <w:bottom w:w="0" w:type="dxa"/>
            <w:right w:w="108" w:type="dxa"/>
          </w:tblCellMar>
        </w:tblPrEx>
        <w:trPr>
          <w:trHeight w:val="58" w:hRule="atLeast"/>
        </w:trPr>
        <w:tc>
          <w:tcPr>
            <w:tcW w:w="1249" w:type="dxa"/>
            <w:tcBorders>
              <w:top w:val="single" w:color="auto" w:sz="4" w:space="0"/>
              <w:left w:val="single" w:color="auto" w:sz="4" w:space="0"/>
              <w:bottom w:val="single" w:color="auto" w:sz="4" w:space="0"/>
              <w:right w:val="single" w:color="auto" w:sz="4" w:space="0"/>
            </w:tcBorders>
            <w:vAlign w:val="center"/>
          </w:tcPr>
          <w:p w14:paraId="64E86D66">
            <w:pPr>
              <w:tabs>
                <w:tab w:val="left" w:pos="720"/>
              </w:tabs>
              <w:snapToGrid w:val="0"/>
              <w:spacing w:line="360" w:lineRule="auto"/>
              <w:jc w:val="center"/>
              <w:rPr>
                <w:rFonts w:hint="eastAsia" w:ascii="宋体" w:hAnsi="宋体" w:cs="宋体"/>
                <w:color w:val="auto"/>
                <w:sz w:val="18"/>
                <w:szCs w:val="18"/>
                <w:highlight w:val="none"/>
              </w:rPr>
            </w:pPr>
          </w:p>
        </w:tc>
        <w:tc>
          <w:tcPr>
            <w:tcW w:w="1453" w:type="dxa"/>
            <w:tcBorders>
              <w:top w:val="single" w:color="auto" w:sz="4" w:space="0"/>
              <w:left w:val="single" w:color="auto" w:sz="4" w:space="0"/>
              <w:bottom w:val="single" w:color="auto" w:sz="4" w:space="0"/>
              <w:right w:val="single" w:color="auto" w:sz="4" w:space="0"/>
            </w:tcBorders>
            <w:vAlign w:val="center"/>
          </w:tcPr>
          <w:p w14:paraId="45446F75">
            <w:pPr>
              <w:tabs>
                <w:tab w:val="left" w:pos="720"/>
              </w:tabs>
              <w:snapToGrid w:val="0"/>
              <w:spacing w:line="360" w:lineRule="auto"/>
              <w:jc w:val="center"/>
              <w:rPr>
                <w:rFonts w:hint="eastAsia" w:ascii="宋体" w:hAnsi="宋体" w:cs="宋体"/>
                <w:color w:val="auto"/>
                <w:sz w:val="18"/>
                <w:szCs w:val="18"/>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1AAB5123">
            <w:pPr>
              <w:tabs>
                <w:tab w:val="left" w:pos="720"/>
              </w:tabs>
              <w:snapToGrid w:val="0"/>
              <w:spacing w:line="360" w:lineRule="auto"/>
              <w:jc w:val="center"/>
              <w:rPr>
                <w:rFonts w:hint="eastAsia" w:ascii="宋体" w:hAnsi="宋体" w:cs="宋体"/>
                <w:color w:val="auto"/>
                <w:sz w:val="18"/>
                <w:szCs w:val="18"/>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5B5B8D45">
            <w:pPr>
              <w:tabs>
                <w:tab w:val="left" w:pos="720"/>
              </w:tabs>
              <w:snapToGrid w:val="0"/>
              <w:spacing w:line="360" w:lineRule="auto"/>
              <w:jc w:val="center"/>
              <w:rPr>
                <w:rFonts w:hint="eastAsia" w:ascii="宋体" w:hAnsi="宋体" w:cs="宋体"/>
                <w:color w:val="auto"/>
                <w:sz w:val="18"/>
                <w:szCs w:val="18"/>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5658FDC4">
            <w:pPr>
              <w:tabs>
                <w:tab w:val="left" w:pos="720"/>
              </w:tabs>
              <w:snapToGrid w:val="0"/>
              <w:spacing w:line="360" w:lineRule="auto"/>
              <w:jc w:val="center"/>
              <w:rPr>
                <w:rFonts w:hint="eastAsia" w:ascii="宋体" w:hAnsi="宋体" w:cs="宋体"/>
                <w:color w:val="auto"/>
                <w:sz w:val="18"/>
                <w:szCs w:val="18"/>
                <w:highlight w:val="none"/>
              </w:rPr>
            </w:pPr>
          </w:p>
        </w:tc>
      </w:tr>
      <w:tr w14:paraId="190F7631">
        <w:tblPrEx>
          <w:tblCellMar>
            <w:top w:w="0" w:type="dxa"/>
            <w:left w:w="108" w:type="dxa"/>
            <w:bottom w:w="0" w:type="dxa"/>
            <w:right w:w="108" w:type="dxa"/>
          </w:tblCellMar>
        </w:tblPrEx>
        <w:trPr>
          <w:trHeight w:val="162" w:hRule="atLeast"/>
        </w:trPr>
        <w:tc>
          <w:tcPr>
            <w:tcW w:w="1249" w:type="dxa"/>
            <w:tcBorders>
              <w:top w:val="single" w:color="auto" w:sz="4" w:space="0"/>
              <w:left w:val="single" w:color="auto" w:sz="4" w:space="0"/>
              <w:bottom w:val="single" w:color="auto" w:sz="4" w:space="0"/>
              <w:right w:val="single" w:color="auto" w:sz="4" w:space="0"/>
            </w:tcBorders>
            <w:vAlign w:val="center"/>
          </w:tcPr>
          <w:p w14:paraId="2B67EF96">
            <w:pPr>
              <w:tabs>
                <w:tab w:val="left" w:pos="720"/>
              </w:tabs>
              <w:snapToGrid w:val="0"/>
              <w:spacing w:line="360" w:lineRule="auto"/>
              <w:jc w:val="center"/>
              <w:rPr>
                <w:rFonts w:hint="eastAsia" w:ascii="宋体" w:hAnsi="宋体" w:cs="宋体"/>
                <w:color w:val="auto"/>
                <w:sz w:val="18"/>
                <w:szCs w:val="18"/>
                <w:highlight w:val="none"/>
              </w:rPr>
            </w:pPr>
          </w:p>
        </w:tc>
        <w:tc>
          <w:tcPr>
            <w:tcW w:w="1453" w:type="dxa"/>
            <w:tcBorders>
              <w:top w:val="single" w:color="auto" w:sz="4" w:space="0"/>
              <w:left w:val="single" w:color="auto" w:sz="4" w:space="0"/>
              <w:bottom w:val="single" w:color="auto" w:sz="4" w:space="0"/>
              <w:right w:val="single" w:color="auto" w:sz="4" w:space="0"/>
            </w:tcBorders>
            <w:vAlign w:val="center"/>
          </w:tcPr>
          <w:p w14:paraId="5A23B8CF">
            <w:pPr>
              <w:tabs>
                <w:tab w:val="left" w:pos="720"/>
              </w:tabs>
              <w:snapToGrid w:val="0"/>
              <w:spacing w:line="360" w:lineRule="auto"/>
              <w:jc w:val="center"/>
              <w:rPr>
                <w:rFonts w:hint="eastAsia" w:ascii="宋体" w:hAnsi="宋体" w:cs="宋体"/>
                <w:color w:val="auto"/>
                <w:sz w:val="18"/>
                <w:szCs w:val="18"/>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3323C06B">
            <w:pPr>
              <w:tabs>
                <w:tab w:val="left" w:pos="720"/>
              </w:tabs>
              <w:snapToGrid w:val="0"/>
              <w:spacing w:line="360" w:lineRule="auto"/>
              <w:jc w:val="center"/>
              <w:rPr>
                <w:rFonts w:hint="eastAsia" w:ascii="宋体" w:hAnsi="宋体" w:cs="宋体"/>
                <w:color w:val="auto"/>
                <w:sz w:val="18"/>
                <w:szCs w:val="18"/>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06BA9072">
            <w:pPr>
              <w:tabs>
                <w:tab w:val="left" w:pos="720"/>
              </w:tabs>
              <w:snapToGrid w:val="0"/>
              <w:spacing w:line="360" w:lineRule="auto"/>
              <w:jc w:val="center"/>
              <w:rPr>
                <w:rFonts w:hint="eastAsia" w:ascii="宋体" w:hAnsi="宋体" w:cs="宋体"/>
                <w:color w:val="auto"/>
                <w:sz w:val="18"/>
                <w:szCs w:val="18"/>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046AFF6">
            <w:pPr>
              <w:tabs>
                <w:tab w:val="left" w:pos="720"/>
              </w:tabs>
              <w:snapToGrid w:val="0"/>
              <w:spacing w:line="360" w:lineRule="auto"/>
              <w:jc w:val="center"/>
              <w:rPr>
                <w:rFonts w:hint="eastAsia" w:ascii="宋体" w:hAnsi="宋体" w:cs="宋体"/>
                <w:color w:val="auto"/>
                <w:sz w:val="18"/>
                <w:szCs w:val="18"/>
                <w:highlight w:val="none"/>
              </w:rPr>
            </w:pPr>
          </w:p>
        </w:tc>
      </w:tr>
      <w:tr w14:paraId="0A1D62AF">
        <w:tblPrEx>
          <w:tblCellMar>
            <w:top w:w="0" w:type="dxa"/>
            <w:left w:w="108" w:type="dxa"/>
            <w:bottom w:w="0" w:type="dxa"/>
            <w:right w:w="108" w:type="dxa"/>
          </w:tblCellMar>
        </w:tblPrEx>
        <w:trPr>
          <w:trHeight w:val="123" w:hRule="atLeast"/>
        </w:trPr>
        <w:tc>
          <w:tcPr>
            <w:tcW w:w="1249" w:type="dxa"/>
            <w:tcBorders>
              <w:top w:val="single" w:color="auto" w:sz="4" w:space="0"/>
              <w:left w:val="single" w:color="auto" w:sz="4" w:space="0"/>
              <w:bottom w:val="single" w:color="auto" w:sz="4" w:space="0"/>
              <w:right w:val="single" w:color="auto" w:sz="4" w:space="0"/>
            </w:tcBorders>
            <w:vAlign w:val="center"/>
          </w:tcPr>
          <w:p w14:paraId="07DE145B">
            <w:pPr>
              <w:tabs>
                <w:tab w:val="left" w:pos="720"/>
              </w:tabs>
              <w:snapToGrid w:val="0"/>
              <w:spacing w:line="360" w:lineRule="auto"/>
              <w:jc w:val="center"/>
              <w:rPr>
                <w:rFonts w:hint="eastAsia" w:ascii="宋体" w:hAnsi="宋体" w:cs="宋体"/>
                <w:color w:val="auto"/>
                <w:sz w:val="18"/>
                <w:szCs w:val="18"/>
                <w:highlight w:val="none"/>
              </w:rPr>
            </w:pPr>
          </w:p>
        </w:tc>
        <w:tc>
          <w:tcPr>
            <w:tcW w:w="1453" w:type="dxa"/>
            <w:tcBorders>
              <w:top w:val="single" w:color="auto" w:sz="4" w:space="0"/>
              <w:left w:val="single" w:color="auto" w:sz="4" w:space="0"/>
              <w:bottom w:val="single" w:color="auto" w:sz="4" w:space="0"/>
              <w:right w:val="single" w:color="auto" w:sz="4" w:space="0"/>
            </w:tcBorders>
            <w:vAlign w:val="center"/>
          </w:tcPr>
          <w:p w14:paraId="2F251225">
            <w:pPr>
              <w:tabs>
                <w:tab w:val="left" w:pos="720"/>
              </w:tabs>
              <w:snapToGrid w:val="0"/>
              <w:spacing w:line="360" w:lineRule="auto"/>
              <w:jc w:val="center"/>
              <w:rPr>
                <w:rFonts w:hint="eastAsia" w:ascii="宋体" w:hAnsi="宋体" w:cs="宋体"/>
                <w:color w:val="auto"/>
                <w:sz w:val="18"/>
                <w:szCs w:val="18"/>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68807C82">
            <w:pPr>
              <w:tabs>
                <w:tab w:val="left" w:pos="720"/>
              </w:tabs>
              <w:snapToGrid w:val="0"/>
              <w:spacing w:line="360" w:lineRule="auto"/>
              <w:jc w:val="center"/>
              <w:rPr>
                <w:rFonts w:hint="eastAsia" w:ascii="宋体" w:hAnsi="宋体" w:cs="宋体"/>
                <w:color w:val="auto"/>
                <w:sz w:val="18"/>
                <w:szCs w:val="18"/>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50CD5E35">
            <w:pPr>
              <w:tabs>
                <w:tab w:val="left" w:pos="720"/>
              </w:tabs>
              <w:snapToGrid w:val="0"/>
              <w:spacing w:line="360" w:lineRule="auto"/>
              <w:jc w:val="center"/>
              <w:rPr>
                <w:rFonts w:hint="eastAsia" w:ascii="宋体" w:hAnsi="宋体" w:cs="宋体"/>
                <w:color w:val="auto"/>
                <w:sz w:val="18"/>
                <w:szCs w:val="18"/>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555F9793">
            <w:pPr>
              <w:tabs>
                <w:tab w:val="left" w:pos="720"/>
              </w:tabs>
              <w:snapToGrid w:val="0"/>
              <w:spacing w:line="360" w:lineRule="auto"/>
              <w:jc w:val="center"/>
              <w:rPr>
                <w:rFonts w:hint="eastAsia" w:ascii="宋体" w:hAnsi="宋体" w:cs="宋体"/>
                <w:color w:val="auto"/>
                <w:sz w:val="18"/>
                <w:szCs w:val="18"/>
                <w:highlight w:val="none"/>
              </w:rPr>
            </w:pPr>
          </w:p>
        </w:tc>
      </w:tr>
      <w:tr w14:paraId="55AC1FA6">
        <w:tblPrEx>
          <w:tblCellMar>
            <w:top w:w="0" w:type="dxa"/>
            <w:left w:w="108" w:type="dxa"/>
            <w:bottom w:w="0" w:type="dxa"/>
            <w:right w:w="108" w:type="dxa"/>
          </w:tblCellMar>
        </w:tblPrEx>
        <w:trPr>
          <w:trHeight w:val="214" w:hRule="atLeast"/>
        </w:trPr>
        <w:tc>
          <w:tcPr>
            <w:tcW w:w="1249" w:type="dxa"/>
            <w:tcBorders>
              <w:top w:val="single" w:color="auto" w:sz="4" w:space="0"/>
              <w:left w:val="single" w:color="auto" w:sz="4" w:space="0"/>
              <w:bottom w:val="single" w:color="auto" w:sz="4" w:space="0"/>
              <w:right w:val="single" w:color="auto" w:sz="4" w:space="0"/>
            </w:tcBorders>
            <w:vAlign w:val="center"/>
          </w:tcPr>
          <w:p w14:paraId="2980F7B5">
            <w:pPr>
              <w:tabs>
                <w:tab w:val="left" w:pos="720"/>
              </w:tabs>
              <w:snapToGrid w:val="0"/>
              <w:spacing w:line="360" w:lineRule="auto"/>
              <w:jc w:val="center"/>
              <w:rPr>
                <w:rFonts w:hint="eastAsia" w:ascii="宋体" w:hAnsi="宋体" w:cs="宋体"/>
                <w:color w:val="auto"/>
                <w:sz w:val="18"/>
                <w:szCs w:val="18"/>
                <w:highlight w:val="none"/>
              </w:rPr>
            </w:pPr>
          </w:p>
        </w:tc>
        <w:tc>
          <w:tcPr>
            <w:tcW w:w="1453" w:type="dxa"/>
            <w:tcBorders>
              <w:top w:val="single" w:color="auto" w:sz="4" w:space="0"/>
              <w:left w:val="single" w:color="auto" w:sz="4" w:space="0"/>
              <w:bottom w:val="single" w:color="auto" w:sz="4" w:space="0"/>
              <w:right w:val="single" w:color="auto" w:sz="4" w:space="0"/>
            </w:tcBorders>
            <w:vAlign w:val="center"/>
          </w:tcPr>
          <w:p w14:paraId="5A73C55B">
            <w:pPr>
              <w:tabs>
                <w:tab w:val="left" w:pos="720"/>
              </w:tabs>
              <w:snapToGrid w:val="0"/>
              <w:spacing w:line="360" w:lineRule="auto"/>
              <w:jc w:val="center"/>
              <w:rPr>
                <w:rFonts w:hint="eastAsia" w:ascii="宋体" w:hAnsi="宋体" w:cs="宋体"/>
                <w:color w:val="auto"/>
                <w:sz w:val="18"/>
                <w:szCs w:val="18"/>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2EEF1105">
            <w:pPr>
              <w:tabs>
                <w:tab w:val="left" w:pos="720"/>
              </w:tabs>
              <w:snapToGrid w:val="0"/>
              <w:spacing w:line="360" w:lineRule="auto"/>
              <w:jc w:val="center"/>
              <w:rPr>
                <w:rFonts w:hint="eastAsia" w:ascii="宋体" w:hAnsi="宋体" w:cs="宋体"/>
                <w:color w:val="auto"/>
                <w:sz w:val="18"/>
                <w:szCs w:val="18"/>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621B5495">
            <w:pPr>
              <w:tabs>
                <w:tab w:val="left" w:pos="720"/>
              </w:tabs>
              <w:snapToGrid w:val="0"/>
              <w:spacing w:line="360" w:lineRule="auto"/>
              <w:jc w:val="center"/>
              <w:rPr>
                <w:rFonts w:hint="eastAsia" w:ascii="宋体" w:hAnsi="宋体" w:cs="宋体"/>
                <w:color w:val="auto"/>
                <w:sz w:val="18"/>
                <w:szCs w:val="18"/>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59416B5">
            <w:pPr>
              <w:tabs>
                <w:tab w:val="left" w:pos="720"/>
              </w:tabs>
              <w:snapToGrid w:val="0"/>
              <w:spacing w:line="360" w:lineRule="auto"/>
              <w:jc w:val="center"/>
              <w:rPr>
                <w:rFonts w:hint="eastAsia" w:ascii="宋体" w:hAnsi="宋体" w:cs="宋体"/>
                <w:color w:val="auto"/>
                <w:sz w:val="18"/>
                <w:szCs w:val="18"/>
                <w:highlight w:val="none"/>
              </w:rPr>
            </w:pPr>
          </w:p>
        </w:tc>
      </w:tr>
      <w:tr w14:paraId="1CB24DFD">
        <w:tblPrEx>
          <w:tblCellMar>
            <w:top w:w="0" w:type="dxa"/>
            <w:left w:w="108" w:type="dxa"/>
            <w:bottom w:w="0" w:type="dxa"/>
            <w:right w:w="108" w:type="dxa"/>
          </w:tblCellMar>
        </w:tblPrEx>
        <w:trPr>
          <w:trHeight w:val="175" w:hRule="atLeast"/>
        </w:trPr>
        <w:tc>
          <w:tcPr>
            <w:tcW w:w="1249" w:type="dxa"/>
            <w:tcBorders>
              <w:top w:val="single" w:color="auto" w:sz="4" w:space="0"/>
              <w:left w:val="single" w:color="auto" w:sz="4" w:space="0"/>
              <w:bottom w:val="single" w:color="auto" w:sz="4" w:space="0"/>
              <w:right w:val="single" w:color="auto" w:sz="4" w:space="0"/>
            </w:tcBorders>
            <w:vAlign w:val="center"/>
          </w:tcPr>
          <w:p w14:paraId="0D016D94">
            <w:pPr>
              <w:tabs>
                <w:tab w:val="left" w:pos="720"/>
              </w:tabs>
              <w:snapToGrid w:val="0"/>
              <w:spacing w:line="360" w:lineRule="auto"/>
              <w:jc w:val="center"/>
              <w:rPr>
                <w:rFonts w:hint="eastAsia" w:ascii="宋体" w:hAnsi="宋体" w:cs="宋体"/>
                <w:color w:val="auto"/>
                <w:sz w:val="18"/>
                <w:szCs w:val="18"/>
                <w:highlight w:val="none"/>
              </w:rPr>
            </w:pPr>
          </w:p>
        </w:tc>
        <w:tc>
          <w:tcPr>
            <w:tcW w:w="1453" w:type="dxa"/>
            <w:tcBorders>
              <w:top w:val="single" w:color="auto" w:sz="4" w:space="0"/>
              <w:left w:val="single" w:color="auto" w:sz="4" w:space="0"/>
              <w:bottom w:val="single" w:color="auto" w:sz="4" w:space="0"/>
              <w:right w:val="single" w:color="auto" w:sz="4" w:space="0"/>
            </w:tcBorders>
            <w:vAlign w:val="center"/>
          </w:tcPr>
          <w:p w14:paraId="11C8AFC8">
            <w:pPr>
              <w:tabs>
                <w:tab w:val="left" w:pos="720"/>
              </w:tabs>
              <w:snapToGrid w:val="0"/>
              <w:spacing w:line="360" w:lineRule="auto"/>
              <w:jc w:val="center"/>
              <w:rPr>
                <w:rFonts w:hint="eastAsia" w:ascii="宋体" w:hAnsi="宋体" w:cs="宋体"/>
                <w:color w:val="auto"/>
                <w:sz w:val="18"/>
                <w:szCs w:val="18"/>
                <w:highlight w:val="none"/>
              </w:rPr>
            </w:pPr>
          </w:p>
        </w:tc>
        <w:tc>
          <w:tcPr>
            <w:tcW w:w="2486" w:type="dxa"/>
            <w:tcBorders>
              <w:top w:val="single" w:color="auto" w:sz="4" w:space="0"/>
              <w:left w:val="single" w:color="auto" w:sz="4" w:space="0"/>
              <w:bottom w:val="single" w:color="auto" w:sz="4" w:space="0"/>
              <w:right w:val="single" w:color="auto" w:sz="4" w:space="0"/>
            </w:tcBorders>
            <w:vAlign w:val="center"/>
          </w:tcPr>
          <w:p w14:paraId="72FAAE18">
            <w:pPr>
              <w:tabs>
                <w:tab w:val="left" w:pos="720"/>
              </w:tabs>
              <w:snapToGrid w:val="0"/>
              <w:spacing w:line="360" w:lineRule="auto"/>
              <w:jc w:val="center"/>
              <w:rPr>
                <w:rFonts w:hint="eastAsia" w:ascii="宋体" w:hAnsi="宋体" w:cs="宋体"/>
                <w:color w:val="auto"/>
                <w:sz w:val="18"/>
                <w:szCs w:val="18"/>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0BAF76F9">
            <w:pPr>
              <w:tabs>
                <w:tab w:val="left" w:pos="720"/>
              </w:tabs>
              <w:snapToGrid w:val="0"/>
              <w:spacing w:line="360" w:lineRule="auto"/>
              <w:jc w:val="center"/>
              <w:rPr>
                <w:rFonts w:hint="eastAsia" w:ascii="宋体" w:hAnsi="宋体" w:cs="宋体"/>
                <w:color w:val="auto"/>
                <w:sz w:val="18"/>
                <w:szCs w:val="18"/>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2ADAF2D">
            <w:pPr>
              <w:tabs>
                <w:tab w:val="left" w:pos="720"/>
              </w:tabs>
              <w:snapToGrid w:val="0"/>
              <w:spacing w:line="360" w:lineRule="auto"/>
              <w:jc w:val="center"/>
              <w:rPr>
                <w:rFonts w:hint="eastAsia" w:ascii="宋体" w:hAnsi="宋体" w:cs="宋体"/>
                <w:color w:val="auto"/>
                <w:sz w:val="18"/>
                <w:szCs w:val="18"/>
                <w:highlight w:val="none"/>
              </w:rPr>
            </w:pPr>
          </w:p>
        </w:tc>
      </w:tr>
    </w:tbl>
    <w:p w14:paraId="1F812A48">
      <w:pPr>
        <w:pStyle w:val="2"/>
        <w:spacing w:after="0" w:line="360" w:lineRule="auto"/>
        <w:ind w:left="-2" w:leftChars="-1" w:firstLine="0"/>
        <w:rPr>
          <w:rFonts w:hint="eastAsia" w:ascii="宋体" w:hAnsi="宋体" w:cs="宋体"/>
          <w:color w:val="auto"/>
          <w:sz w:val="18"/>
          <w:szCs w:val="18"/>
          <w:highlight w:val="none"/>
        </w:rPr>
      </w:pPr>
    </w:p>
    <w:p w14:paraId="6705EDC9">
      <w:pPr>
        <w:pStyle w:val="2"/>
        <w:spacing w:after="0" w:line="360" w:lineRule="auto"/>
        <w:ind w:left="-2" w:leftChars="-1" w:firstLine="0"/>
        <w:rPr>
          <w:rFonts w:hint="eastAsia" w:ascii="宋体" w:hAnsi="宋体" w:cs="宋体"/>
          <w:bCs/>
          <w:iCs/>
          <w:color w:val="auto"/>
          <w:sz w:val="18"/>
          <w:szCs w:val="18"/>
          <w:highlight w:val="none"/>
        </w:rPr>
      </w:pPr>
      <w:r>
        <w:rPr>
          <w:rFonts w:hint="eastAsia" w:ascii="宋体" w:hAnsi="宋体" w:cs="宋体"/>
          <w:color w:val="auto"/>
          <w:sz w:val="18"/>
          <w:szCs w:val="18"/>
          <w:highlight w:val="none"/>
        </w:rPr>
        <w:t>注：</w:t>
      </w:r>
      <w:r>
        <w:rPr>
          <w:rFonts w:hint="eastAsia" w:ascii="宋体" w:hAnsi="宋体" w:cs="宋体"/>
          <w:bCs/>
          <w:iCs/>
          <w:color w:val="auto"/>
          <w:sz w:val="18"/>
          <w:szCs w:val="18"/>
          <w:highlight w:val="none"/>
        </w:rPr>
        <w:t>参与编制标书所有人员名单应包括如编制工程承包实施方案、投标报价、负责清样校对、负责加密打包、负责上传、负责密封、负责打印及复印等所有人员在内的人员名单。</w:t>
      </w:r>
    </w:p>
    <w:p w14:paraId="47F2471A">
      <w:pPr>
        <w:widowControl/>
        <w:jc w:val="left"/>
        <w:rPr>
          <w:rFonts w:hint="eastAsia" w:ascii="宋体" w:hAnsi="宋体" w:cs="宋体"/>
          <w:b/>
          <w:color w:val="auto"/>
          <w:kern w:val="1"/>
          <w:sz w:val="24"/>
          <w:highlight w:val="none"/>
          <w:lang w:val="zh-CN"/>
        </w:rPr>
      </w:pPr>
    </w:p>
    <w:p w14:paraId="7994D08D">
      <w:pPr>
        <w:widowControl/>
        <w:jc w:val="left"/>
        <w:rPr>
          <w:rFonts w:hint="eastAsia" w:ascii="宋体" w:hAnsi="宋体" w:cs="宋体"/>
          <w:b/>
          <w:color w:val="auto"/>
          <w:kern w:val="1"/>
          <w:sz w:val="24"/>
          <w:highlight w:val="none"/>
          <w:lang w:val="zh-CN"/>
        </w:rPr>
      </w:pPr>
    </w:p>
    <w:p w14:paraId="0F452E1C">
      <w:pPr>
        <w:widowControl/>
        <w:jc w:val="left"/>
        <w:rPr>
          <w:rFonts w:hint="eastAsia" w:ascii="宋体" w:hAnsi="宋体" w:cs="宋体"/>
          <w:b/>
          <w:color w:val="auto"/>
          <w:kern w:val="1"/>
          <w:sz w:val="24"/>
          <w:highlight w:val="none"/>
          <w:lang w:val="zh-CN"/>
        </w:rPr>
      </w:pPr>
    </w:p>
    <w:p w14:paraId="6AE1F1E3">
      <w:pPr>
        <w:pStyle w:val="65"/>
        <w:ind w:firstLine="0" w:firstLineChars="0"/>
        <w:rPr>
          <w:rFonts w:hint="eastAsia" w:ascii="宋体" w:hAnsi="宋体" w:eastAsia="宋体" w:cs="宋体"/>
          <w:color w:val="auto"/>
          <w:highlight w:val="none"/>
        </w:rPr>
      </w:pPr>
    </w:p>
    <w:p w14:paraId="54C92346">
      <w:pPr>
        <w:pStyle w:val="65"/>
        <w:ind w:firstLine="0" w:firstLineChars="0"/>
        <w:rPr>
          <w:rFonts w:hint="eastAsia" w:ascii="宋体" w:hAnsi="宋体" w:eastAsia="宋体" w:cs="宋体"/>
          <w:color w:val="auto"/>
          <w:highlight w:val="none"/>
        </w:rPr>
      </w:pPr>
    </w:p>
    <w:p w14:paraId="342ABED9">
      <w:pPr>
        <w:pStyle w:val="65"/>
        <w:ind w:firstLine="0" w:firstLineChars="0"/>
        <w:rPr>
          <w:rFonts w:hint="eastAsia" w:ascii="宋体" w:hAnsi="宋体" w:eastAsia="宋体" w:cs="宋体"/>
          <w:color w:val="auto"/>
          <w:highlight w:val="none"/>
        </w:rPr>
      </w:pPr>
    </w:p>
    <w:p w14:paraId="2AE516D4">
      <w:pPr>
        <w:pStyle w:val="65"/>
        <w:ind w:firstLine="0" w:firstLineChars="0"/>
        <w:rPr>
          <w:rFonts w:hint="eastAsia" w:ascii="宋体" w:hAnsi="宋体" w:eastAsia="宋体" w:cs="宋体"/>
          <w:color w:val="auto"/>
          <w:highlight w:val="none"/>
        </w:rPr>
      </w:pPr>
    </w:p>
    <w:p w14:paraId="25B24080">
      <w:pPr>
        <w:pStyle w:val="65"/>
        <w:ind w:firstLine="0" w:firstLineChars="0"/>
        <w:rPr>
          <w:rFonts w:hint="eastAsia" w:ascii="宋体" w:hAnsi="宋体" w:eastAsia="宋体" w:cs="宋体"/>
          <w:color w:val="auto"/>
          <w:highlight w:val="none"/>
        </w:rPr>
      </w:pPr>
    </w:p>
    <w:p w14:paraId="547EAA1F">
      <w:pPr>
        <w:pStyle w:val="65"/>
        <w:ind w:firstLine="0" w:firstLineChars="0"/>
        <w:rPr>
          <w:rFonts w:hint="eastAsia" w:ascii="宋体" w:hAnsi="宋体" w:eastAsia="宋体" w:cs="宋体"/>
          <w:color w:val="auto"/>
          <w:highlight w:val="none"/>
        </w:rPr>
      </w:pPr>
    </w:p>
    <w:p w14:paraId="1C261BD8">
      <w:pPr>
        <w:pStyle w:val="65"/>
        <w:ind w:firstLine="0" w:firstLineChars="0"/>
        <w:rPr>
          <w:rFonts w:hint="eastAsia" w:ascii="宋体" w:hAnsi="宋体" w:eastAsia="宋体" w:cs="宋体"/>
          <w:color w:val="auto"/>
          <w:highlight w:val="none"/>
        </w:rPr>
      </w:pPr>
    </w:p>
    <w:p w14:paraId="704DFDCF">
      <w:pPr>
        <w:pStyle w:val="65"/>
        <w:ind w:firstLine="0" w:firstLineChars="0"/>
        <w:rPr>
          <w:rFonts w:hint="eastAsia" w:ascii="宋体" w:hAnsi="宋体" w:eastAsia="宋体" w:cs="宋体"/>
          <w:color w:val="auto"/>
          <w:highlight w:val="none"/>
        </w:rPr>
      </w:pPr>
    </w:p>
    <w:p w14:paraId="67B21C55">
      <w:pPr>
        <w:pStyle w:val="65"/>
        <w:ind w:firstLine="0" w:firstLineChars="0"/>
        <w:rPr>
          <w:rFonts w:hint="eastAsia" w:ascii="宋体" w:hAnsi="宋体" w:eastAsia="宋体" w:cs="宋体"/>
          <w:color w:val="auto"/>
          <w:highlight w:val="none"/>
        </w:rPr>
      </w:pPr>
    </w:p>
    <w:p w14:paraId="5D4D2482">
      <w:pPr>
        <w:pStyle w:val="65"/>
        <w:ind w:firstLine="0" w:firstLineChars="0"/>
        <w:rPr>
          <w:rFonts w:hint="eastAsia" w:ascii="宋体" w:hAnsi="宋体" w:eastAsia="宋体" w:cs="宋体"/>
          <w:color w:val="auto"/>
          <w:highlight w:val="none"/>
        </w:rPr>
      </w:pPr>
    </w:p>
    <w:p w14:paraId="1D25255F">
      <w:pPr>
        <w:pStyle w:val="65"/>
        <w:ind w:firstLine="0" w:firstLineChars="0"/>
        <w:rPr>
          <w:rFonts w:hint="eastAsia" w:ascii="宋体" w:hAnsi="宋体" w:eastAsia="宋体" w:cs="宋体"/>
          <w:color w:val="auto"/>
          <w:highlight w:val="none"/>
        </w:rPr>
      </w:pPr>
    </w:p>
    <w:p w14:paraId="4FD2BF84">
      <w:pPr>
        <w:pStyle w:val="65"/>
        <w:ind w:firstLine="0" w:firstLineChars="0"/>
        <w:rPr>
          <w:rFonts w:hint="eastAsia" w:ascii="宋体" w:hAnsi="宋体" w:eastAsia="宋体" w:cs="宋体"/>
          <w:color w:val="auto"/>
          <w:highlight w:val="none"/>
        </w:rPr>
      </w:pPr>
    </w:p>
    <w:p w14:paraId="6131903F">
      <w:pPr>
        <w:pStyle w:val="65"/>
        <w:ind w:firstLine="0" w:firstLineChars="0"/>
        <w:rPr>
          <w:rFonts w:hint="eastAsia" w:ascii="宋体" w:hAnsi="宋体" w:eastAsia="宋体" w:cs="宋体"/>
          <w:color w:val="auto"/>
          <w:highlight w:val="none"/>
        </w:rPr>
      </w:pPr>
    </w:p>
    <w:p w14:paraId="67FB4FE5">
      <w:pPr>
        <w:pStyle w:val="65"/>
        <w:ind w:firstLine="0" w:firstLineChars="0"/>
        <w:rPr>
          <w:rFonts w:hint="eastAsia" w:ascii="宋体" w:hAnsi="宋体" w:eastAsia="宋体" w:cs="宋体"/>
          <w:color w:val="auto"/>
          <w:highlight w:val="none"/>
        </w:rPr>
      </w:pPr>
    </w:p>
    <w:p w14:paraId="3E8862BA">
      <w:pPr>
        <w:pStyle w:val="65"/>
        <w:ind w:firstLine="0" w:firstLineChars="0"/>
        <w:rPr>
          <w:rFonts w:hint="eastAsia" w:ascii="宋体" w:hAnsi="宋体" w:eastAsia="宋体" w:cs="宋体"/>
          <w:color w:val="auto"/>
          <w:highlight w:val="none"/>
        </w:rPr>
      </w:pPr>
    </w:p>
    <w:p w14:paraId="7C8659F3">
      <w:pPr>
        <w:pStyle w:val="65"/>
        <w:ind w:firstLine="0" w:firstLineChars="0"/>
        <w:rPr>
          <w:rFonts w:hint="eastAsia" w:ascii="宋体" w:hAnsi="宋体" w:eastAsia="宋体" w:cs="宋体"/>
          <w:b/>
          <w:color w:val="auto"/>
          <w:spacing w:val="0"/>
          <w:kern w:val="1"/>
          <w:highlight w:val="none"/>
          <w:lang w:val="zh-CN"/>
        </w:rPr>
      </w:pPr>
      <w:r>
        <w:rPr>
          <w:rFonts w:ascii="宋体" w:hAnsi="宋体" w:eastAsia="宋体" w:cs="宋体"/>
          <w:b/>
          <w:color w:val="auto"/>
          <w:spacing w:val="0"/>
          <w:kern w:val="1"/>
          <w:highlight w:val="none"/>
        </w:rPr>
        <w:br w:type="page"/>
      </w:r>
      <w:r>
        <w:rPr>
          <w:rFonts w:hint="eastAsia" w:ascii="宋体" w:hAnsi="宋体" w:eastAsia="宋体" w:cs="宋体"/>
          <w:b/>
          <w:color w:val="auto"/>
          <w:spacing w:val="0"/>
          <w:kern w:val="1"/>
          <w:highlight w:val="none"/>
          <w:lang w:val="zh-CN"/>
        </w:rPr>
        <w:t>格式9</w:t>
      </w:r>
    </w:p>
    <w:p w14:paraId="07F106E0">
      <w:pPr>
        <w:pStyle w:val="65"/>
        <w:ind w:firstLine="0" w:firstLineChars="0"/>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投标人认为应该补充的资料</w:t>
      </w:r>
    </w:p>
    <w:p w14:paraId="0AF2BDCF">
      <w:pPr>
        <w:pStyle w:val="65"/>
        <w:ind w:firstLine="0" w:firstLineChars="0"/>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（内容格式自拟）</w:t>
      </w:r>
    </w:p>
    <w:p w14:paraId="1B3F9F76">
      <w:pPr>
        <w:widowControl/>
        <w:jc w:val="left"/>
        <w:rPr>
          <w:rFonts w:hint="eastAsia" w:ascii="宋体" w:hAnsi="宋体" w:cs="宋体"/>
          <w:b/>
          <w:color w:val="auto"/>
          <w:kern w:val="1"/>
          <w:sz w:val="24"/>
          <w:highlight w:val="none"/>
          <w:lang w:val="zh-CN"/>
        </w:rPr>
      </w:pPr>
    </w:p>
    <w:p w14:paraId="7E678D31">
      <w:pPr>
        <w:widowControl/>
        <w:jc w:val="left"/>
        <w:rPr>
          <w:rFonts w:hint="eastAsia" w:ascii="宋体" w:hAnsi="宋体" w:cs="宋体"/>
          <w:b/>
          <w:color w:val="auto"/>
          <w:kern w:val="1"/>
          <w:sz w:val="24"/>
          <w:highlight w:val="none"/>
          <w:lang w:val="zh-CN"/>
        </w:rPr>
      </w:pPr>
    </w:p>
    <w:p w14:paraId="6BBF407F">
      <w:pPr>
        <w:widowControl/>
        <w:jc w:val="left"/>
        <w:rPr>
          <w:rFonts w:hint="eastAsia" w:ascii="宋体" w:hAnsi="宋体" w:cs="宋体"/>
          <w:b/>
          <w:color w:val="auto"/>
          <w:kern w:val="1"/>
          <w:sz w:val="24"/>
          <w:highlight w:val="none"/>
          <w:lang w:val="zh-CN"/>
        </w:rPr>
      </w:pPr>
    </w:p>
    <w:p w14:paraId="206B9DA4">
      <w:pPr>
        <w:widowControl/>
        <w:jc w:val="left"/>
        <w:rPr>
          <w:rFonts w:hint="eastAsia" w:ascii="宋体" w:hAnsi="宋体" w:cs="宋体"/>
          <w:b/>
          <w:color w:val="auto"/>
          <w:kern w:val="1"/>
          <w:sz w:val="24"/>
          <w:highlight w:val="none"/>
          <w:lang w:val="zh-CN"/>
        </w:rPr>
      </w:pPr>
    </w:p>
    <w:p w14:paraId="2F318B97">
      <w:pPr>
        <w:widowControl/>
        <w:jc w:val="left"/>
        <w:rPr>
          <w:rFonts w:hint="eastAsia" w:ascii="宋体" w:hAnsi="宋体" w:cs="宋体"/>
          <w:b/>
          <w:color w:val="auto"/>
          <w:kern w:val="1"/>
          <w:sz w:val="24"/>
          <w:highlight w:val="none"/>
          <w:lang w:val="zh-CN"/>
        </w:rPr>
      </w:pPr>
    </w:p>
    <w:p w14:paraId="134FFA7C">
      <w:pPr>
        <w:widowControl/>
        <w:jc w:val="left"/>
        <w:rPr>
          <w:rFonts w:hint="eastAsia" w:ascii="宋体" w:hAnsi="宋体" w:cs="宋体"/>
          <w:b/>
          <w:color w:val="auto"/>
          <w:kern w:val="1"/>
          <w:sz w:val="24"/>
          <w:highlight w:val="none"/>
          <w:lang w:val="zh-CN"/>
        </w:rPr>
      </w:pPr>
    </w:p>
    <w:p w14:paraId="739660C2">
      <w:pPr>
        <w:widowControl/>
        <w:jc w:val="left"/>
        <w:rPr>
          <w:rFonts w:hint="eastAsia" w:ascii="宋体" w:hAnsi="宋体" w:cs="宋体"/>
          <w:b/>
          <w:color w:val="auto"/>
          <w:kern w:val="1"/>
          <w:sz w:val="24"/>
          <w:highlight w:val="none"/>
          <w:lang w:val="zh-CN"/>
        </w:rPr>
      </w:pPr>
    </w:p>
    <w:p w14:paraId="3EF0A4CA">
      <w:pPr>
        <w:widowControl/>
        <w:jc w:val="left"/>
        <w:rPr>
          <w:rFonts w:hint="eastAsia" w:ascii="宋体" w:hAnsi="宋体" w:cs="宋体"/>
          <w:b/>
          <w:color w:val="auto"/>
          <w:kern w:val="1"/>
          <w:sz w:val="24"/>
          <w:highlight w:val="none"/>
          <w:lang w:val="zh-CN"/>
        </w:rPr>
      </w:pPr>
    </w:p>
    <w:p w14:paraId="5ED177D4">
      <w:pPr>
        <w:widowControl/>
        <w:jc w:val="left"/>
        <w:rPr>
          <w:rFonts w:hint="eastAsia" w:ascii="宋体" w:hAnsi="宋体" w:cs="宋体"/>
          <w:b/>
          <w:color w:val="auto"/>
          <w:kern w:val="1"/>
          <w:sz w:val="24"/>
          <w:highlight w:val="none"/>
          <w:lang w:val="zh-CN"/>
        </w:rPr>
      </w:pPr>
    </w:p>
    <w:p w14:paraId="30F16BA2">
      <w:pPr>
        <w:widowControl/>
        <w:jc w:val="left"/>
        <w:rPr>
          <w:rFonts w:hint="eastAsia" w:ascii="宋体" w:hAnsi="宋体" w:cs="宋体"/>
          <w:b/>
          <w:color w:val="auto"/>
          <w:kern w:val="1"/>
          <w:sz w:val="24"/>
          <w:highlight w:val="none"/>
          <w:lang w:val="zh-CN"/>
        </w:rPr>
      </w:pPr>
    </w:p>
    <w:p w14:paraId="0CD32F7A">
      <w:pPr>
        <w:widowControl/>
        <w:jc w:val="left"/>
        <w:rPr>
          <w:rFonts w:hint="eastAsia" w:ascii="宋体" w:hAnsi="宋体" w:cs="宋体"/>
          <w:b/>
          <w:color w:val="auto"/>
          <w:kern w:val="1"/>
          <w:sz w:val="24"/>
          <w:highlight w:val="none"/>
          <w:lang w:val="zh-CN"/>
        </w:rPr>
      </w:pPr>
    </w:p>
    <w:p w14:paraId="17742861">
      <w:pPr>
        <w:widowControl/>
        <w:jc w:val="left"/>
        <w:rPr>
          <w:rFonts w:hint="eastAsia" w:ascii="宋体" w:hAnsi="宋体" w:cs="宋体"/>
          <w:b/>
          <w:color w:val="auto"/>
          <w:kern w:val="1"/>
          <w:sz w:val="24"/>
          <w:highlight w:val="none"/>
          <w:lang w:val="zh-CN"/>
        </w:rPr>
      </w:pPr>
    </w:p>
    <w:p w14:paraId="767C48D3">
      <w:pPr>
        <w:widowControl/>
        <w:jc w:val="left"/>
        <w:rPr>
          <w:rFonts w:hint="eastAsia" w:ascii="宋体" w:hAnsi="宋体" w:cs="宋体"/>
          <w:b/>
          <w:color w:val="auto"/>
          <w:kern w:val="1"/>
          <w:sz w:val="24"/>
          <w:highlight w:val="none"/>
          <w:lang w:val="zh-CN"/>
        </w:rPr>
      </w:pPr>
    </w:p>
    <w:p w14:paraId="2ABFE0A7">
      <w:pPr>
        <w:widowControl/>
        <w:jc w:val="left"/>
        <w:rPr>
          <w:rFonts w:hint="eastAsia" w:ascii="宋体" w:hAnsi="宋体" w:cs="宋体"/>
          <w:b/>
          <w:color w:val="auto"/>
          <w:kern w:val="1"/>
          <w:sz w:val="24"/>
          <w:highlight w:val="none"/>
          <w:lang w:val="zh-CN"/>
        </w:rPr>
      </w:pPr>
    </w:p>
    <w:p w14:paraId="7F13E33F">
      <w:pPr>
        <w:widowControl/>
        <w:jc w:val="left"/>
        <w:rPr>
          <w:rFonts w:hint="eastAsia" w:ascii="宋体" w:hAnsi="宋体" w:cs="宋体"/>
          <w:b/>
          <w:color w:val="auto"/>
          <w:kern w:val="1"/>
          <w:sz w:val="24"/>
          <w:highlight w:val="none"/>
          <w:lang w:val="zh-CN"/>
        </w:rPr>
      </w:pPr>
    </w:p>
    <w:p w14:paraId="094BB95A">
      <w:pPr>
        <w:widowControl/>
        <w:jc w:val="left"/>
        <w:rPr>
          <w:rFonts w:hint="eastAsia" w:ascii="宋体" w:hAnsi="宋体" w:cs="宋体"/>
          <w:b/>
          <w:color w:val="auto"/>
          <w:kern w:val="1"/>
          <w:sz w:val="24"/>
          <w:highlight w:val="none"/>
          <w:lang w:val="zh-CN"/>
        </w:rPr>
      </w:pPr>
    </w:p>
    <w:p w14:paraId="75D09A17">
      <w:pPr>
        <w:widowControl/>
        <w:jc w:val="left"/>
        <w:rPr>
          <w:rFonts w:hint="eastAsia" w:ascii="宋体" w:hAnsi="宋体" w:cs="宋体"/>
          <w:b/>
          <w:color w:val="auto"/>
          <w:kern w:val="1"/>
          <w:sz w:val="24"/>
          <w:highlight w:val="none"/>
          <w:lang w:val="zh-CN"/>
        </w:rPr>
      </w:pPr>
    </w:p>
    <w:p w14:paraId="761B65A6">
      <w:pPr>
        <w:widowControl/>
        <w:jc w:val="left"/>
        <w:rPr>
          <w:rFonts w:hint="eastAsia" w:ascii="宋体" w:hAnsi="宋体" w:cs="宋体"/>
          <w:b/>
          <w:color w:val="auto"/>
          <w:kern w:val="1"/>
          <w:sz w:val="24"/>
          <w:highlight w:val="none"/>
          <w:lang w:val="zh-CN"/>
        </w:rPr>
      </w:pPr>
    </w:p>
    <w:p w14:paraId="6109687F">
      <w:pPr>
        <w:widowControl/>
        <w:jc w:val="left"/>
        <w:rPr>
          <w:rFonts w:hint="eastAsia" w:ascii="宋体" w:hAnsi="宋体" w:cs="宋体"/>
          <w:b/>
          <w:color w:val="auto"/>
          <w:kern w:val="1"/>
          <w:sz w:val="24"/>
          <w:highlight w:val="none"/>
          <w:lang w:val="zh-CN"/>
        </w:rPr>
      </w:pPr>
    </w:p>
    <w:p w14:paraId="3A6B1877">
      <w:pPr>
        <w:widowControl/>
        <w:jc w:val="left"/>
        <w:rPr>
          <w:rFonts w:hint="eastAsia" w:ascii="宋体" w:hAnsi="宋体" w:cs="宋体"/>
          <w:b/>
          <w:color w:val="auto"/>
          <w:kern w:val="1"/>
          <w:sz w:val="24"/>
          <w:highlight w:val="none"/>
          <w:lang w:val="zh-CN"/>
        </w:rPr>
      </w:pPr>
    </w:p>
    <w:p w14:paraId="46842EC2">
      <w:pPr>
        <w:widowControl/>
        <w:jc w:val="left"/>
        <w:rPr>
          <w:rFonts w:hint="eastAsia" w:ascii="宋体" w:hAnsi="宋体" w:cs="宋体"/>
          <w:b/>
          <w:color w:val="auto"/>
          <w:kern w:val="1"/>
          <w:sz w:val="24"/>
          <w:highlight w:val="none"/>
          <w:lang w:val="zh-CN"/>
        </w:rPr>
      </w:pPr>
    </w:p>
    <w:p w14:paraId="787CFEE0">
      <w:pPr>
        <w:widowControl/>
        <w:jc w:val="left"/>
        <w:rPr>
          <w:rFonts w:hint="eastAsia" w:ascii="宋体" w:hAnsi="宋体" w:cs="宋体"/>
          <w:b/>
          <w:color w:val="auto"/>
          <w:kern w:val="1"/>
          <w:sz w:val="24"/>
          <w:highlight w:val="none"/>
          <w:lang w:val="zh-CN"/>
        </w:rPr>
      </w:pPr>
    </w:p>
    <w:p w14:paraId="7014D2FC">
      <w:pPr>
        <w:widowControl/>
        <w:jc w:val="left"/>
        <w:rPr>
          <w:rFonts w:hint="eastAsia" w:ascii="宋体" w:hAnsi="宋体" w:cs="宋体"/>
          <w:b/>
          <w:color w:val="auto"/>
          <w:kern w:val="1"/>
          <w:sz w:val="24"/>
          <w:highlight w:val="none"/>
          <w:lang w:val="zh-CN"/>
        </w:rPr>
      </w:pPr>
    </w:p>
    <w:p w14:paraId="0511DE9D">
      <w:pPr>
        <w:widowControl/>
        <w:jc w:val="left"/>
        <w:rPr>
          <w:rFonts w:hint="eastAsia" w:ascii="宋体" w:hAnsi="宋体" w:cs="宋体"/>
          <w:b/>
          <w:color w:val="auto"/>
          <w:kern w:val="1"/>
          <w:sz w:val="24"/>
          <w:highlight w:val="none"/>
          <w:lang w:val="zh-CN"/>
        </w:rPr>
      </w:pPr>
    </w:p>
    <w:p w14:paraId="60C6FDC5">
      <w:pPr>
        <w:widowControl/>
        <w:jc w:val="left"/>
        <w:rPr>
          <w:rFonts w:hint="eastAsia" w:ascii="宋体" w:hAnsi="宋体" w:cs="宋体"/>
          <w:b/>
          <w:color w:val="auto"/>
          <w:kern w:val="1"/>
          <w:sz w:val="24"/>
          <w:highlight w:val="none"/>
          <w:lang w:val="zh-CN"/>
        </w:rPr>
      </w:pPr>
    </w:p>
    <w:p w14:paraId="2DA5A87B">
      <w:pPr>
        <w:widowControl/>
        <w:jc w:val="left"/>
        <w:rPr>
          <w:rFonts w:hint="eastAsia" w:ascii="宋体" w:hAnsi="宋体" w:cs="宋体"/>
          <w:b/>
          <w:color w:val="auto"/>
          <w:kern w:val="1"/>
          <w:sz w:val="24"/>
          <w:highlight w:val="none"/>
          <w:lang w:val="zh-CN"/>
        </w:rPr>
      </w:pPr>
    </w:p>
    <w:p w14:paraId="2D8EEFD7">
      <w:pPr>
        <w:widowControl/>
        <w:jc w:val="left"/>
        <w:rPr>
          <w:rFonts w:hint="eastAsia" w:ascii="宋体" w:hAnsi="宋体" w:cs="宋体"/>
          <w:b/>
          <w:color w:val="auto"/>
          <w:kern w:val="1"/>
          <w:sz w:val="24"/>
          <w:highlight w:val="none"/>
          <w:lang w:val="zh-CN"/>
        </w:rPr>
      </w:pPr>
    </w:p>
    <w:p w14:paraId="459FCAD2">
      <w:pPr>
        <w:widowControl/>
        <w:jc w:val="left"/>
        <w:rPr>
          <w:rFonts w:hint="eastAsia" w:ascii="宋体" w:hAnsi="宋体" w:cs="宋体"/>
          <w:b/>
          <w:color w:val="auto"/>
          <w:kern w:val="1"/>
          <w:sz w:val="24"/>
          <w:highlight w:val="none"/>
          <w:lang w:val="zh-CN"/>
        </w:rPr>
      </w:pPr>
    </w:p>
    <w:p w14:paraId="6E1029DD">
      <w:pPr>
        <w:widowControl/>
        <w:jc w:val="left"/>
        <w:rPr>
          <w:rFonts w:hint="eastAsia" w:ascii="宋体" w:hAnsi="宋体" w:cs="宋体"/>
          <w:b/>
          <w:color w:val="auto"/>
          <w:kern w:val="1"/>
          <w:sz w:val="24"/>
          <w:highlight w:val="none"/>
          <w:lang w:val="zh-CN"/>
        </w:rPr>
      </w:pPr>
    </w:p>
    <w:p w14:paraId="0857C477">
      <w:pPr>
        <w:widowControl/>
        <w:jc w:val="left"/>
        <w:rPr>
          <w:rFonts w:hint="eastAsia" w:ascii="宋体" w:hAnsi="宋体" w:cs="宋体"/>
          <w:b/>
          <w:color w:val="auto"/>
          <w:kern w:val="1"/>
          <w:sz w:val="24"/>
          <w:highlight w:val="none"/>
          <w:lang w:val="zh-CN"/>
        </w:rPr>
      </w:pPr>
    </w:p>
    <w:p w14:paraId="6A14B546">
      <w:pPr>
        <w:pStyle w:val="15"/>
        <w:rPr>
          <w:rFonts w:hint="eastAsia" w:ascii="宋体" w:hAnsi="宋体" w:cs="宋体"/>
          <w:color w:val="auto"/>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8BBAF4-E5E2-4818-B471-DEF433E8CC3A}"/>
  </w:font>
  <w:font w:name="黑体">
    <w:panose1 w:val="02010609060101010101"/>
    <w:charset w:val="86"/>
    <w:family w:val="auto"/>
    <w:pitch w:val="default"/>
    <w:sig w:usb0="800002BF" w:usb1="38CF7CFA" w:usb2="00000016" w:usb3="00000000" w:csb0="00040001" w:csb1="00000000"/>
    <w:embedRegular r:id="rId2" w:fontKey="{40AE1D26-8EC7-4390-A320-1ADA452DDF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6CF9E2A7-82BF-4C4D-85DB-1BACB98B1EAB}"/>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1FDD3048-A51E-4D55-B255-4D4E67DEBA6D}"/>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embedRegular r:id="rId5" w:fontKey="{25022D8F-0CEC-4787-A82E-BE9F9B402DD1}"/>
  </w:font>
  <w:font w:name="方正小标宋简体">
    <w:panose1 w:val="02000000000000000000"/>
    <w:charset w:val="86"/>
    <w:family w:val="auto"/>
    <w:pitch w:val="default"/>
    <w:sig w:usb0="00000001" w:usb1="08000000" w:usb2="00000000" w:usb3="00000000" w:csb0="00040000" w:csb1="00000000"/>
    <w:embedRegular r:id="rId6" w:fontKey="{FCCAA7FD-77DE-485C-8184-F846BF740C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B5C2">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7ADFA5A">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Ae5bvyDQIAAAQEAAAOAAAAAAAAAAEAIAAAAB8B&#10;AABkcnMvZTJvRG9jLnhtbFBLBQYAAAAABgAGAFkBAACeBQAAAAA=&#10;">
              <v:fill on="f" focussize="0,0"/>
              <v:stroke on="f"/>
              <v:imagedata o:title=""/>
              <o:lock v:ext="edit" aspectratio="f"/>
              <v:textbox inset="0mm,0mm,0mm,0mm" style="mso-fit-shape-to-text:t;">
                <w:txbxContent>
                  <w:p w14:paraId="77ADFA5A">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595A1B61">
    <w:pPr>
      <w:pStyle w:val="25"/>
      <w:pBdr>
        <w:bottom w:val="none" w:color="auto" w:sz="0" w:space="0"/>
      </w:pBdr>
    </w:pPr>
  </w:p>
  <w:p w14:paraId="5F5C24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D12C">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CBFFD0A">
                          <w:pPr>
                            <w:pStyle w:val="2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AdmDgPDQIAAAQEAAAOAAAAAAAAAAEAIAAAAB8B&#10;AABkcnMvZTJvRG9jLnhtbFBLBQYAAAAABgAGAFkBAACeBQAAAAA=&#10;">
              <v:fill on="f" focussize="0,0"/>
              <v:stroke on="f"/>
              <v:imagedata o:title=""/>
              <o:lock v:ext="edit" aspectratio="f"/>
              <v:textbox inset="0mm,0mm,0mm,0mm" style="mso-fit-shape-to-text:t;">
                <w:txbxContent>
                  <w:p w14:paraId="1CBFFD0A">
                    <w:pPr>
                      <w:pStyle w:val="2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4689">
    <w:pPr>
      <w:pStyle w:val="24"/>
    </w:pPr>
    <w:r>
      <mc:AlternateContent>
        <mc:Choice Requires="wps">
          <w:drawing>
            <wp:anchor distT="0" distB="0" distL="114300" distR="114300" simplePos="0" relativeHeight="251660288" behindDoc="0" locked="0" layoutInCell="1" allowOverlap="1">
              <wp:simplePos x="0" y="0"/>
              <wp:positionH relativeFrom="margin">
                <wp:posOffset>2580005</wp:posOffset>
              </wp:positionH>
              <wp:positionV relativeFrom="paragraph">
                <wp:posOffset>0</wp:posOffset>
              </wp:positionV>
              <wp:extent cx="163830" cy="131445"/>
              <wp:effectExtent l="0" t="0" r="0" b="0"/>
              <wp:wrapNone/>
              <wp:docPr id="1"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63830" cy="131445"/>
                      </a:xfrm>
                      <a:prstGeom prst="rect">
                        <a:avLst/>
                      </a:prstGeom>
                      <a:noFill/>
                      <a:ln>
                        <a:noFill/>
                      </a:ln>
                    </wps:spPr>
                    <wps:txbx>
                      <w:txbxContent>
                        <w:p w14:paraId="5F73F7FC">
                          <w:pPr>
                            <w:pStyle w:val="2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文本框 1026" o:spid="_x0000_s1026" o:spt="202" type="#_x0000_t202" style="position:absolute;left:0pt;margin-left:203.15pt;margin-top:0pt;height:10.35pt;width:12.9pt;mso-position-horizontal-relative:margin;z-index:251660288;mso-width-relative:page;mso-height-relative:page;" filled="f" stroked="f" coordsize="21600,21600" o:gfxdata="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Px31AAAAAcBAAAPAAAAAAAAAAEAIAAAACIA&#10;AABkcnMvZG93bnJldi54bWxQSwECFAAUAAAACACHTuJAzIEJWA0CAAAHBAAADgAAAAAAAAABACAA&#10;AAAjAQAAZHJzL2Uyb0RvYy54bWxQSwUGAAAAAAYABgBZAQAAogUAAAAA&#10;">
              <v:fill on="f" focussize="0,0"/>
              <v:stroke on="f"/>
              <v:imagedata o:title=""/>
              <o:lock v:ext="edit" aspectratio="f"/>
              <v:textbox inset="0mm,0mm,0mm,0mm" style="mso-fit-shape-to-text:t;">
                <w:txbxContent>
                  <w:p w14:paraId="5F73F7FC">
                    <w:pPr>
                      <w:pStyle w:val="2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7612C"/>
    <w:multiLevelType w:val="singleLevel"/>
    <w:tmpl w:val="8AD7612C"/>
    <w:lvl w:ilvl="0" w:tentative="0">
      <w:start w:val="6"/>
      <w:numFmt w:val="decimal"/>
      <w:suff w:val="space"/>
      <w:lvlText w:val="%1."/>
      <w:lvlJc w:val="left"/>
    </w:lvl>
  </w:abstractNum>
  <w:abstractNum w:abstractNumId="1">
    <w:nsid w:val="CA2473D6"/>
    <w:multiLevelType w:val="singleLevel"/>
    <w:tmpl w:val="CA2473D6"/>
    <w:lvl w:ilvl="0" w:tentative="0">
      <w:start w:val="1"/>
      <w:numFmt w:val="decimal"/>
      <w:suff w:val="nothing"/>
      <w:lvlText w:val="%1、"/>
      <w:lvlJc w:val="left"/>
    </w:lvl>
  </w:abstractNum>
  <w:abstractNum w:abstractNumId="2">
    <w:nsid w:val="0563A288"/>
    <w:multiLevelType w:val="singleLevel"/>
    <w:tmpl w:val="0563A28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g5OTk4YzdlNWRhNjY5ZTBhNzdkZmZjYmEwZDYifQ=="/>
    <w:docVar w:name="KGWebUrl" w:val="http://10.168.30.10:7890/easoa/PositionServlet"/>
  </w:docVars>
  <w:rsids>
    <w:rsidRoot w:val="00172A27"/>
    <w:rsid w:val="00000393"/>
    <w:rsid w:val="00000DE9"/>
    <w:rsid w:val="0000133A"/>
    <w:rsid w:val="00001518"/>
    <w:rsid w:val="00001B17"/>
    <w:rsid w:val="0000378D"/>
    <w:rsid w:val="00003C7B"/>
    <w:rsid w:val="0000562D"/>
    <w:rsid w:val="0000771B"/>
    <w:rsid w:val="000108FA"/>
    <w:rsid w:val="00012E70"/>
    <w:rsid w:val="0001314A"/>
    <w:rsid w:val="00013409"/>
    <w:rsid w:val="0001673E"/>
    <w:rsid w:val="0001686B"/>
    <w:rsid w:val="00030637"/>
    <w:rsid w:val="00030BFA"/>
    <w:rsid w:val="00033FD3"/>
    <w:rsid w:val="00036079"/>
    <w:rsid w:val="00037489"/>
    <w:rsid w:val="0003765B"/>
    <w:rsid w:val="00040E20"/>
    <w:rsid w:val="00043F7E"/>
    <w:rsid w:val="0004572A"/>
    <w:rsid w:val="000473B5"/>
    <w:rsid w:val="0004768B"/>
    <w:rsid w:val="000527A5"/>
    <w:rsid w:val="0005291F"/>
    <w:rsid w:val="00052D5F"/>
    <w:rsid w:val="000538FB"/>
    <w:rsid w:val="000540B8"/>
    <w:rsid w:val="000547A0"/>
    <w:rsid w:val="000568C9"/>
    <w:rsid w:val="00060554"/>
    <w:rsid w:val="000609DC"/>
    <w:rsid w:val="00061B45"/>
    <w:rsid w:val="00061E2D"/>
    <w:rsid w:val="00062B5A"/>
    <w:rsid w:val="00066C21"/>
    <w:rsid w:val="00066E93"/>
    <w:rsid w:val="000677BD"/>
    <w:rsid w:val="0007044E"/>
    <w:rsid w:val="00071E5D"/>
    <w:rsid w:val="000728B4"/>
    <w:rsid w:val="00073ACE"/>
    <w:rsid w:val="0007578B"/>
    <w:rsid w:val="00075B15"/>
    <w:rsid w:val="00076D54"/>
    <w:rsid w:val="000773D6"/>
    <w:rsid w:val="000823A6"/>
    <w:rsid w:val="00082FEA"/>
    <w:rsid w:val="00083312"/>
    <w:rsid w:val="000842DE"/>
    <w:rsid w:val="00087775"/>
    <w:rsid w:val="000902A4"/>
    <w:rsid w:val="00093539"/>
    <w:rsid w:val="00094665"/>
    <w:rsid w:val="00096DB1"/>
    <w:rsid w:val="000974B7"/>
    <w:rsid w:val="00097D5C"/>
    <w:rsid w:val="00097E04"/>
    <w:rsid w:val="000A0AB8"/>
    <w:rsid w:val="000A10D2"/>
    <w:rsid w:val="000A401E"/>
    <w:rsid w:val="000A5AC8"/>
    <w:rsid w:val="000A68CC"/>
    <w:rsid w:val="000A6DC9"/>
    <w:rsid w:val="000A7CE9"/>
    <w:rsid w:val="000B22A1"/>
    <w:rsid w:val="000B2B70"/>
    <w:rsid w:val="000B36AD"/>
    <w:rsid w:val="000B5901"/>
    <w:rsid w:val="000B5A36"/>
    <w:rsid w:val="000B615E"/>
    <w:rsid w:val="000B7682"/>
    <w:rsid w:val="000B7757"/>
    <w:rsid w:val="000C1C5E"/>
    <w:rsid w:val="000C4A60"/>
    <w:rsid w:val="000C50C0"/>
    <w:rsid w:val="000C548B"/>
    <w:rsid w:val="000C5CD6"/>
    <w:rsid w:val="000C77AE"/>
    <w:rsid w:val="000C7F1C"/>
    <w:rsid w:val="000D1854"/>
    <w:rsid w:val="000D2806"/>
    <w:rsid w:val="000D4709"/>
    <w:rsid w:val="000D6EC1"/>
    <w:rsid w:val="000D7410"/>
    <w:rsid w:val="000E0542"/>
    <w:rsid w:val="000E3F41"/>
    <w:rsid w:val="000E64BF"/>
    <w:rsid w:val="000F0426"/>
    <w:rsid w:val="000F0E16"/>
    <w:rsid w:val="000F4262"/>
    <w:rsid w:val="000F4FE9"/>
    <w:rsid w:val="000F59AB"/>
    <w:rsid w:val="00100E67"/>
    <w:rsid w:val="00101757"/>
    <w:rsid w:val="0010359E"/>
    <w:rsid w:val="00104A71"/>
    <w:rsid w:val="00105273"/>
    <w:rsid w:val="0011035C"/>
    <w:rsid w:val="00111D53"/>
    <w:rsid w:val="00111F5F"/>
    <w:rsid w:val="0011205D"/>
    <w:rsid w:val="001132D2"/>
    <w:rsid w:val="00114E7E"/>
    <w:rsid w:val="00116540"/>
    <w:rsid w:val="001211A7"/>
    <w:rsid w:val="00121C2E"/>
    <w:rsid w:val="00122496"/>
    <w:rsid w:val="0012269E"/>
    <w:rsid w:val="00124134"/>
    <w:rsid w:val="001243AE"/>
    <w:rsid w:val="001245D3"/>
    <w:rsid w:val="0012543F"/>
    <w:rsid w:val="00126DDC"/>
    <w:rsid w:val="0013253A"/>
    <w:rsid w:val="00134893"/>
    <w:rsid w:val="001358F9"/>
    <w:rsid w:val="00136226"/>
    <w:rsid w:val="0013775A"/>
    <w:rsid w:val="001379A6"/>
    <w:rsid w:val="00140592"/>
    <w:rsid w:val="00140DC6"/>
    <w:rsid w:val="001415F6"/>
    <w:rsid w:val="001439D7"/>
    <w:rsid w:val="00144067"/>
    <w:rsid w:val="00144387"/>
    <w:rsid w:val="00146694"/>
    <w:rsid w:val="0015105C"/>
    <w:rsid w:val="00152925"/>
    <w:rsid w:val="0015336D"/>
    <w:rsid w:val="0015588E"/>
    <w:rsid w:val="00160969"/>
    <w:rsid w:val="00160F72"/>
    <w:rsid w:val="0016128D"/>
    <w:rsid w:val="00161F46"/>
    <w:rsid w:val="001630EA"/>
    <w:rsid w:val="0016373A"/>
    <w:rsid w:val="00163CC8"/>
    <w:rsid w:val="00165C2C"/>
    <w:rsid w:val="001667F7"/>
    <w:rsid w:val="00167C11"/>
    <w:rsid w:val="00167EEA"/>
    <w:rsid w:val="00170E33"/>
    <w:rsid w:val="00170F9F"/>
    <w:rsid w:val="001710EC"/>
    <w:rsid w:val="00171738"/>
    <w:rsid w:val="001724F4"/>
    <w:rsid w:val="00172A27"/>
    <w:rsid w:val="00176254"/>
    <w:rsid w:val="00177D2C"/>
    <w:rsid w:val="00181D3A"/>
    <w:rsid w:val="0018357F"/>
    <w:rsid w:val="0018385E"/>
    <w:rsid w:val="001853CD"/>
    <w:rsid w:val="00185E33"/>
    <w:rsid w:val="00186718"/>
    <w:rsid w:val="00187754"/>
    <w:rsid w:val="00187A83"/>
    <w:rsid w:val="001913B5"/>
    <w:rsid w:val="0019565B"/>
    <w:rsid w:val="001973D4"/>
    <w:rsid w:val="001A1BF6"/>
    <w:rsid w:val="001A346A"/>
    <w:rsid w:val="001A4C48"/>
    <w:rsid w:val="001A5612"/>
    <w:rsid w:val="001A7180"/>
    <w:rsid w:val="001A730F"/>
    <w:rsid w:val="001A7880"/>
    <w:rsid w:val="001B283F"/>
    <w:rsid w:val="001B32A6"/>
    <w:rsid w:val="001B39AC"/>
    <w:rsid w:val="001B4A13"/>
    <w:rsid w:val="001B5BF8"/>
    <w:rsid w:val="001B5DEE"/>
    <w:rsid w:val="001B62F8"/>
    <w:rsid w:val="001C143D"/>
    <w:rsid w:val="001C45BD"/>
    <w:rsid w:val="001C5C4F"/>
    <w:rsid w:val="001C614B"/>
    <w:rsid w:val="001C70DC"/>
    <w:rsid w:val="001C7EB3"/>
    <w:rsid w:val="001D13D5"/>
    <w:rsid w:val="001D2AC0"/>
    <w:rsid w:val="001D4370"/>
    <w:rsid w:val="001D4B15"/>
    <w:rsid w:val="001D4C1F"/>
    <w:rsid w:val="001E16C8"/>
    <w:rsid w:val="001E1759"/>
    <w:rsid w:val="001E17FC"/>
    <w:rsid w:val="001E2917"/>
    <w:rsid w:val="001E3DE6"/>
    <w:rsid w:val="001E4DE1"/>
    <w:rsid w:val="001F0447"/>
    <w:rsid w:val="001F0B11"/>
    <w:rsid w:val="001F1441"/>
    <w:rsid w:val="001F2AE7"/>
    <w:rsid w:val="001F4808"/>
    <w:rsid w:val="001F4EA1"/>
    <w:rsid w:val="001F6F0A"/>
    <w:rsid w:val="0020041E"/>
    <w:rsid w:val="00201111"/>
    <w:rsid w:val="00201ABD"/>
    <w:rsid w:val="002046B5"/>
    <w:rsid w:val="00204791"/>
    <w:rsid w:val="00204E1A"/>
    <w:rsid w:val="002074D8"/>
    <w:rsid w:val="00207A2B"/>
    <w:rsid w:val="00207E72"/>
    <w:rsid w:val="0021237C"/>
    <w:rsid w:val="00213DB0"/>
    <w:rsid w:val="00216226"/>
    <w:rsid w:val="00216350"/>
    <w:rsid w:val="00216982"/>
    <w:rsid w:val="00220CAC"/>
    <w:rsid w:val="00221377"/>
    <w:rsid w:val="00222071"/>
    <w:rsid w:val="00222AE0"/>
    <w:rsid w:val="00223225"/>
    <w:rsid w:val="00224318"/>
    <w:rsid w:val="00225C66"/>
    <w:rsid w:val="00230F5A"/>
    <w:rsid w:val="00232D5A"/>
    <w:rsid w:val="002363F8"/>
    <w:rsid w:val="0023665A"/>
    <w:rsid w:val="002378C5"/>
    <w:rsid w:val="00246CFF"/>
    <w:rsid w:val="002504BA"/>
    <w:rsid w:val="00251321"/>
    <w:rsid w:val="002513FB"/>
    <w:rsid w:val="002528C7"/>
    <w:rsid w:val="00253068"/>
    <w:rsid w:val="00254AF3"/>
    <w:rsid w:val="002609F1"/>
    <w:rsid w:val="00261799"/>
    <w:rsid w:val="00261A88"/>
    <w:rsid w:val="00261CA9"/>
    <w:rsid w:val="00262EC5"/>
    <w:rsid w:val="00263F40"/>
    <w:rsid w:val="00264E6E"/>
    <w:rsid w:val="00264EDB"/>
    <w:rsid w:val="00266162"/>
    <w:rsid w:val="00266B6C"/>
    <w:rsid w:val="00266D48"/>
    <w:rsid w:val="00267458"/>
    <w:rsid w:val="00267988"/>
    <w:rsid w:val="00267E84"/>
    <w:rsid w:val="002707E2"/>
    <w:rsid w:val="00270D15"/>
    <w:rsid w:val="0027131E"/>
    <w:rsid w:val="0027211D"/>
    <w:rsid w:val="0027400A"/>
    <w:rsid w:val="00274EC6"/>
    <w:rsid w:val="00275CAC"/>
    <w:rsid w:val="00276664"/>
    <w:rsid w:val="0027705D"/>
    <w:rsid w:val="00277F2C"/>
    <w:rsid w:val="00282818"/>
    <w:rsid w:val="00282C09"/>
    <w:rsid w:val="0028343D"/>
    <w:rsid w:val="00284D63"/>
    <w:rsid w:val="00285466"/>
    <w:rsid w:val="00286036"/>
    <w:rsid w:val="00287F11"/>
    <w:rsid w:val="00290E39"/>
    <w:rsid w:val="002915CD"/>
    <w:rsid w:val="00291ABE"/>
    <w:rsid w:val="00291E5D"/>
    <w:rsid w:val="0029268C"/>
    <w:rsid w:val="0029269C"/>
    <w:rsid w:val="00293037"/>
    <w:rsid w:val="00293BEC"/>
    <w:rsid w:val="00293C36"/>
    <w:rsid w:val="00294674"/>
    <w:rsid w:val="0029568C"/>
    <w:rsid w:val="00295708"/>
    <w:rsid w:val="00296277"/>
    <w:rsid w:val="002A0000"/>
    <w:rsid w:val="002A026C"/>
    <w:rsid w:val="002A0514"/>
    <w:rsid w:val="002A10D9"/>
    <w:rsid w:val="002A1B03"/>
    <w:rsid w:val="002A26AE"/>
    <w:rsid w:val="002A2DBA"/>
    <w:rsid w:val="002A30C4"/>
    <w:rsid w:val="002A317C"/>
    <w:rsid w:val="002A33E4"/>
    <w:rsid w:val="002A4006"/>
    <w:rsid w:val="002A43A5"/>
    <w:rsid w:val="002A5594"/>
    <w:rsid w:val="002A5913"/>
    <w:rsid w:val="002A62BD"/>
    <w:rsid w:val="002B2185"/>
    <w:rsid w:val="002B2CA4"/>
    <w:rsid w:val="002B3D06"/>
    <w:rsid w:val="002B4717"/>
    <w:rsid w:val="002C0033"/>
    <w:rsid w:val="002C18DD"/>
    <w:rsid w:val="002C2072"/>
    <w:rsid w:val="002C2F79"/>
    <w:rsid w:val="002C428C"/>
    <w:rsid w:val="002C58FE"/>
    <w:rsid w:val="002C6063"/>
    <w:rsid w:val="002D2274"/>
    <w:rsid w:val="002D2D65"/>
    <w:rsid w:val="002D35C5"/>
    <w:rsid w:val="002D68C0"/>
    <w:rsid w:val="002D70EB"/>
    <w:rsid w:val="002E0557"/>
    <w:rsid w:val="002E1FDF"/>
    <w:rsid w:val="002E202C"/>
    <w:rsid w:val="002E24F2"/>
    <w:rsid w:val="002E414B"/>
    <w:rsid w:val="002E43C5"/>
    <w:rsid w:val="002E7F95"/>
    <w:rsid w:val="002F01D0"/>
    <w:rsid w:val="002F3C62"/>
    <w:rsid w:val="002F3EA3"/>
    <w:rsid w:val="002F4079"/>
    <w:rsid w:val="002F5030"/>
    <w:rsid w:val="002F5281"/>
    <w:rsid w:val="002F5DA2"/>
    <w:rsid w:val="002F6332"/>
    <w:rsid w:val="002F7B55"/>
    <w:rsid w:val="0030093A"/>
    <w:rsid w:val="00300B06"/>
    <w:rsid w:val="003016BB"/>
    <w:rsid w:val="00303DBD"/>
    <w:rsid w:val="00304035"/>
    <w:rsid w:val="003050FC"/>
    <w:rsid w:val="00305258"/>
    <w:rsid w:val="0030662D"/>
    <w:rsid w:val="003074D3"/>
    <w:rsid w:val="003075E7"/>
    <w:rsid w:val="0031010C"/>
    <w:rsid w:val="003114E8"/>
    <w:rsid w:val="00312AA7"/>
    <w:rsid w:val="00313580"/>
    <w:rsid w:val="00314D9D"/>
    <w:rsid w:val="0031563E"/>
    <w:rsid w:val="0031593B"/>
    <w:rsid w:val="00315D5C"/>
    <w:rsid w:val="0031695B"/>
    <w:rsid w:val="003206FC"/>
    <w:rsid w:val="003217C5"/>
    <w:rsid w:val="00322579"/>
    <w:rsid w:val="00324276"/>
    <w:rsid w:val="00325081"/>
    <w:rsid w:val="00330509"/>
    <w:rsid w:val="0033058E"/>
    <w:rsid w:val="00332076"/>
    <w:rsid w:val="00333175"/>
    <w:rsid w:val="00334C0D"/>
    <w:rsid w:val="00335DBE"/>
    <w:rsid w:val="00336351"/>
    <w:rsid w:val="00336D5A"/>
    <w:rsid w:val="00337386"/>
    <w:rsid w:val="003376E5"/>
    <w:rsid w:val="00337E49"/>
    <w:rsid w:val="0034043A"/>
    <w:rsid w:val="00341D0C"/>
    <w:rsid w:val="00341DF6"/>
    <w:rsid w:val="00343460"/>
    <w:rsid w:val="00343A71"/>
    <w:rsid w:val="00344431"/>
    <w:rsid w:val="0034515A"/>
    <w:rsid w:val="00350009"/>
    <w:rsid w:val="00351550"/>
    <w:rsid w:val="00351A45"/>
    <w:rsid w:val="00351A93"/>
    <w:rsid w:val="00352BB1"/>
    <w:rsid w:val="00353155"/>
    <w:rsid w:val="00354E74"/>
    <w:rsid w:val="0035666E"/>
    <w:rsid w:val="003574C1"/>
    <w:rsid w:val="003608E3"/>
    <w:rsid w:val="00361DB2"/>
    <w:rsid w:val="00362FBE"/>
    <w:rsid w:val="00364051"/>
    <w:rsid w:val="00364812"/>
    <w:rsid w:val="0036481E"/>
    <w:rsid w:val="00364B3F"/>
    <w:rsid w:val="003654D3"/>
    <w:rsid w:val="00367C89"/>
    <w:rsid w:val="00367E75"/>
    <w:rsid w:val="0037065F"/>
    <w:rsid w:val="00370AA2"/>
    <w:rsid w:val="00372A67"/>
    <w:rsid w:val="00372B70"/>
    <w:rsid w:val="00373E82"/>
    <w:rsid w:val="00374C0D"/>
    <w:rsid w:val="003750F8"/>
    <w:rsid w:val="00376230"/>
    <w:rsid w:val="00377245"/>
    <w:rsid w:val="0037757B"/>
    <w:rsid w:val="003802FD"/>
    <w:rsid w:val="00380BDE"/>
    <w:rsid w:val="00382034"/>
    <w:rsid w:val="00383688"/>
    <w:rsid w:val="00390955"/>
    <w:rsid w:val="00391B4A"/>
    <w:rsid w:val="0039202F"/>
    <w:rsid w:val="0039216B"/>
    <w:rsid w:val="003943EC"/>
    <w:rsid w:val="00395588"/>
    <w:rsid w:val="00395D6F"/>
    <w:rsid w:val="003A01A8"/>
    <w:rsid w:val="003A0914"/>
    <w:rsid w:val="003A2152"/>
    <w:rsid w:val="003A2934"/>
    <w:rsid w:val="003A307E"/>
    <w:rsid w:val="003A49AD"/>
    <w:rsid w:val="003A50B6"/>
    <w:rsid w:val="003A5178"/>
    <w:rsid w:val="003A532D"/>
    <w:rsid w:val="003B0F44"/>
    <w:rsid w:val="003B1493"/>
    <w:rsid w:val="003B2155"/>
    <w:rsid w:val="003B217C"/>
    <w:rsid w:val="003B2ED9"/>
    <w:rsid w:val="003B46DF"/>
    <w:rsid w:val="003C4211"/>
    <w:rsid w:val="003C6E0A"/>
    <w:rsid w:val="003D016E"/>
    <w:rsid w:val="003D0C46"/>
    <w:rsid w:val="003D12B1"/>
    <w:rsid w:val="003D228E"/>
    <w:rsid w:val="003D2D40"/>
    <w:rsid w:val="003D2DA1"/>
    <w:rsid w:val="003D3657"/>
    <w:rsid w:val="003D49B3"/>
    <w:rsid w:val="003D4DCB"/>
    <w:rsid w:val="003D6028"/>
    <w:rsid w:val="003D7279"/>
    <w:rsid w:val="003D7908"/>
    <w:rsid w:val="003E0B8A"/>
    <w:rsid w:val="003E212B"/>
    <w:rsid w:val="003E4EC4"/>
    <w:rsid w:val="003E5720"/>
    <w:rsid w:val="003E755A"/>
    <w:rsid w:val="003F061A"/>
    <w:rsid w:val="003F3181"/>
    <w:rsid w:val="003F3708"/>
    <w:rsid w:val="003F3BE3"/>
    <w:rsid w:val="003F58D2"/>
    <w:rsid w:val="003F6817"/>
    <w:rsid w:val="003F68B1"/>
    <w:rsid w:val="00402290"/>
    <w:rsid w:val="00402748"/>
    <w:rsid w:val="00402A04"/>
    <w:rsid w:val="00403310"/>
    <w:rsid w:val="00403946"/>
    <w:rsid w:val="00403D3F"/>
    <w:rsid w:val="0040475C"/>
    <w:rsid w:val="00404FBA"/>
    <w:rsid w:val="00405EE9"/>
    <w:rsid w:val="004062B8"/>
    <w:rsid w:val="00407BB4"/>
    <w:rsid w:val="00410FD3"/>
    <w:rsid w:val="00411E2F"/>
    <w:rsid w:val="00413A76"/>
    <w:rsid w:val="00413ADB"/>
    <w:rsid w:val="004145DD"/>
    <w:rsid w:val="00415CCB"/>
    <w:rsid w:val="00416E62"/>
    <w:rsid w:val="004225F2"/>
    <w:rsid w:val="0042475D"/>
    <w:rsid w:val="00424801"/>
    <w:rsid w:val="004261A1"/>
    <w:rsid w:val="00426552"/>
    <w:rsid w:val="0042732D"/>
    <w:rsid w:val="0043077C"/>
    <w:rsid w:val="004311D6"/>
    <w:rsid w:val="004314F9"/>
    <w:rsid w:val="00432EC2"/>
    <w:rsid w:val="004332AB"/>
    <w:rsid w:val="0043367A"/>
    <w:rsid w:val="00434018"/>
    <w:rsid w:val="004345AA"/>
    <w:rsid w:val="00435039"/>
    <w:rsid w:val="00436222"/>
    <w:rsid w:val="00436E8A"/>
    <w:rsid w:val="00440FCB"/>
    <w:rsid w:val="0044282A"/>
    <w:rsid w:val="004431A5"/>
    <w:rsid w:val="0044332C"/>
    <w:rsid w:val="00444B58"/>
    <w:rsid w:val="00445197"/>
    <w:rsid w:val="00447E46"/>
    <w:rsid w:val="004511DC"/>
    <w:rsid w:val="0045132C"/>
    <w:rsid w:val="004517CA"/>
    <w:rsid w:val="00451E12"/>
    <w:rsid w:val="00452710"/>
    <w:rsid w:val="004532CE"/>
    <w:rsid w:val="004554AE"/>
    <w:rsid w:val="00456AC9"/>
    <w:rsid w:val="00457B69"/>
    <w:rsid w:val="0046132E"/>
    <w:rsid w:val="00463196"/>
    <w:rsid w:val="00466B95"/>
    <w:rsid w:val="00467288"/>
    <w:rsid w:val="00467786"/>
    <w:rsid w:val="004708AE"/>
    <w:rsid w:val="00470C4D"/>
    <w:rsid w:val="00471DFE"/>
    <w:rsid w:val="00472135"/>
    <w:rsid w:val="00473409"/>
    <w:rsid w:val="00474B4B"/>
    <w:rsid w:val="00475F43"/>
    <w:rsid w:val="0047619C"/>
    <w:rsid w:val="004761F4"/>
    <w:rsid w:val="00476944"/>
    <w:rsid w:val="00476E80"/>
    <w:rsid w:val="0047733F"/>
    <w:rsid w:val="004776F2"/>
    <w:rsid w:val="004810C7"/>
    <w:rsid w:val="0048165B"/>
    <w:rsid w:val="004822E7"/>
    <w:rsid w:val="00485A1F"/>
    <w:rsid w:val="00486726"/>
    <w:rsid w:val="00486BCD"/>
    <w:rsid w:val="00487072"/>
    <w:rsid w:val="0048708A"/>
    <w:rsid w:val="00490990"/>
    <w:rsid w:val="00491555"/>
    <w:rsid w:val="00492495"/>
    <w:rsid w:val="00495415"/>
    <w:rsid w:val="004964B5"/>
    <w:rsid w:val="00497291"/>
    <w:rsid w:val="004A140F"/>
    <w:rsid w:val="004A196E"/>
    <w:rsid w:val="004A216C"/>
    <w:rsid w:val="004A3A93"/>
    <w:rsid w:val="004A4887"/>
    <w:rsid w:val="004A764F"/>
    <w:rsid w:val="004B0BAC"/>
    <w:rsid w:val="004B1D11"/>
    <w:rsid w:val="004B1F08"/>
    <w:rsid w:val="004B28B8"/>
    <w:rsid w:val="004B2904"/>
    <w:rsid w:val="004B30A2"/>
    <w:rsid w:val="004B3953"/>
    <w:rsid w:val="004B44F0"/>
    <w:rsid w:val="004B45C8"/>
    <w:rsid w:val="004B53B9"/>
    <w:rsid w:val="004B6A56"/>
    <w:rsid w:val="004C1025"/>
    <w:rsid w:val="004C164C"/>
    <w:rsid w:val="004C21FE"/>
    <w:rsid w:val="004C2804"/>
    <w:rsid w:val="004C6064"/>
    <w:rsid w:val="004C7092"/>
    <w:rsid w:val="004D20D4"/>
    <w:rsid w:val="004D35D1"/>
    <w:rsid w:val="004D3947"/>
    <w:rsid w:val="004D4FE6"/>
    <w:rsid w:val="004D67A0"/>
    <w:rsid w:val="004D7F6F"/>
    <w:rsid w:val="004E0253"/>
    <w:rsid w:val="004E1452"/>
    <w:rsid w:val="004E16E5"/>
    <w:rsid w:val="004E21E4"/>
    <w:rsid w:val="004E3270"/>
    <w:rsid w:val="004E4624"/>
    <w:rsid w:val="004E5415"/>
    <w:rsid w:val="004E6D71"/>
    <w:rsid w:val="004E7DB3"/>
    <w:rsid w:val="004F2D16"/>
    <w:rsid w:val="004F3137"/>
    <w:rsid w:val="004F3849"/>
    <w:rsid w:val="004F581C"/>
    <w:rsid w:val="00501C0C"/>
    <w:rsid w:val="00502DBE"/>
    <w:rsid w:val="00505472"/>
    <w:rsid w:val="00505774"/>
    <w:rsid w:val="00506327"/>
    <w:rsid w:val="0050639C"/>
    <w:rsid w:val="00506AF2"/>
    <w:rsid w:val="00507D99"/>
    <w:rsid w:val="00510DB1"/>
    <w:rsid w:val="00512CC1"/>
    <w:rsid w:val="00515834"/>
    <w:rsid w:val="00516DBE"/>
    <w:rsid w:val="00517889"/>
    <w:rsid w:val="00520C76"/>
    <w:rsid w:val="005215B7"/>
    <w:rsid w:val="005216C4"/>
    <w:rsid w:val="00524210"/>
    <w:rsid w:val="00524A00"/>
    <w:rsid w:val="00524B01"/>
    <w:rsid w:val="005258D9"/>
    <w:rsid w:val="00527C61"/>
    <w:rsid w:val="00530D73"/>
    <w:rsid w:val="005315D7"/>
    <w:rsid w:val="005317D3"/>
    <w:rsid w:val="00534307"/>
    <w:rsid w:val="00536185"/>
    <w:rsid w:val="0053694F"/>
    <w:rsid w:val="00537D7A"/>
    <w:rsid w:val="00537FC0"/>
    <w:rsid w:val="00540D29"/>
    <w:rsid w:val="005438E1"/>
    <w:rsid w:val="00544D54"/>
    <w:rsid w:val="00545BA3"/>
    <w:rsid w:val="00546B4B"/>
    <w:rsid w:val="005515A6"/>
    <w:rsid w:val="00551D70"/>
    <w:rsid w:val="005600E9"/>
    <w:rsid w:val="00560665"/>
    <w:rsid w:val="00561A4C"/>
    <w:rsid w:val="0056221A"/>
    <w:rsid w:val="00563394"/>
    <w:rsid w:val="00563C21"/>
    <w:rsid w:val="0056449B"/>
    <w:rsid w:val="005647D4"/>
    <w:rsid w:val="0056497C"/>
    <w:rsid w:val="005655E4"/>
    <w:rsid w:val="00566A2E"/>
    <w:rsid w:val="0056719F"/>
    <w:rsid w:val="0057155B"/>
    <w:rsid w:val="0057182E"/>
    <w:rsid w:val="0057330F"/>
    <w:rsid w:val="0057440E"/>
    <w:rsid w:val="005753CA"/>
    <w:rsid w:val="005758AD"/>
    <w:rsid w:val="00576E16"/>
    <w:rsid w:val="005773B8"/>
    <w:rsid w:val="00580C55"/>
    <w:rsid w:val="00581590"/>
    <w:rsid w:val="00581771"/>
    <w:rsid w:val="0058189D"/>
    <w:rsid w:val="00581ECF"/>
    <w:rsid w:val="00582E1A"/>
    <w:rsid w:val="00583902"/>
    <w:rsid w:val="0058536C"/>
    <w:rsid w:val="00586647"/>
    <w:rsid w:val="005866B0"/>
    <w:rsid w:val="005874E7"/>
    <w:rsid w:val="00587F25"/>
    <w:rsid w:val="005900D3"/>
    <w:rsid w:val="005914A6"/>
    <w:rsid w:val="00591F8E"/>
    <w:rsid w:val="005923BC"/>
    <w:rsid w:val="00592C33"/>
    <w:rsid w:val="00592F9B"/>
    <w:rsid w:val="005946A1"/>
    <w:rsid w:val="0059573E"/>
    <w:rsid w:val="00595818"/>
    <w:rsid w:val="00595DFA"/>
    <w:rsid w:val="005962F1"/>
    <w:rsid w:val="00596853"/>
    <w:rsid w:val="005A30B8"/>
    <w:rsid w:val="005A35F5"/>
    <w:rsid w:val="005A7594"/>
    <w:rsid w:val="005B1497"/>
    <w:rsid w:val="005B1653"/>
    <w:rsid w:val="005B4939"/>
    <w:rsid w:val="005B4DFB"/>
    <w:rsid w:val="005B534B"/>
    <w:rsid w:val="005B7B86"/>
    <w:rsid w:val="005B7F0A"/>
    <w:rsid w:val="005C0484"/>
    <w:rsid w:val="005C08F6"/>
    <w:rsid w:val="005C0A93"/>
    <w:rsid w:val="005C2A4E"/>
    <w:rsid w:val="005C390D"/>
    <w:rsid w:val="005C4C61"/>
    <w:rsid w:val="005C687E"/>
    <w:rsid w:val="005D3F8B"/>
    <w:rsid w:val="005E0519"/>
    <w:rsid w:val="005E09EC"/>
    <w:rsid w:val="005E1567"/>
    <w:rsid w:val="005E1B95"/>
    <w:rsid w:val="005E3A10"/>
    <w:rsid w:val="005E6061"/>
    <w:rsid w:val="005F0993"/>
    <w:rsid w:val="005F1753"/>
    <w:rsid w:val="005F294A"/>
    <w:rsid w:val="005F2FEF"/>
    <w:rsid w:val="005F3199"/>
    <w:rsid w:val="005F32A1"/>
    <w:rsid w:val="005F3B68"/>
    <w:rsid w:val="005F3D90"/>
    <w:rsid w:val="005F3E78"/>
    <w:rsid w:val="005F3F07"/>
    <w:rsid w:val="005F5BF9"/>
    <w:rsid w:val="005F649A"/>
    <w:rsid w:val="006019FF"/>
    <w:rsid w:val="00601C00"/>
    <w:rsid w:val="00601D4B"/>
    <w:rsid w:val="0060298C"/>
    <w:rsid w:val="00602D22"/>
    <w:rsid w:val="00602EF2"/>
    <w:rsid w:val="00604B92"/>
    <w:rsid w:val="006066FA"/>
    <w:rsid w:val="006070DF"/>
    <w:rsid w:val="006071D9"/>
    <w:rsid w:val="0060763B"/>
    <w:rsid w:val="00611513"/>
    <w:rsid w:val="00611994"/>
    <w:rsid w:val="00612EC4"/>
    <w:rsid w:val="0061399D"/>
    <w:rsid w:val="00613A07"/>
    <w:rsid w:val="00613C47"/>
    <w:rsid w:val="00614EE2"/>
    <w:rsid w:val="00616B4D"/>
    <w:rsid w:val="0061725E"/>
    <w:rsid w:val="00617E0D"/>
    <w:rsid w:val="00621291"/>
    <w:rsid w:val="00621D07"/>
    <w:rsid w:val="00623651"/>
    <w:rsid w:val="00623756"/>
    <w:rsid w:val="006239C7"/>
    <w:rsid w:val="00623F04"/>
    <w:rsid w:val="006253B8"/>
    <w:rsid w:val="00626C90"/>
    <w:rsid w:val="006310A6"/>
    <w:rsid w:val="00631401"/>
    <w:rsid w:val="00631820"/>
    <w:rsid w:val="0063182E"/>
    <w:rsid w:val="00631A49"/>
    <w:rsid w:val="00634785"/>
    <w:rsid w:val="00634A1C"/>
    <w:rsid w:val="006352D5"/>
    <w:rsid w:val="00635B42"/>
    <w:rsid w:val="0063614B"/>
    <w:rsid w:val="00637EE9"/>
    <w:rsid w:val="00641825"/>
    <w:rsid w:val="00642860"/>
    <w:rsid w:val="00645A74"/>
    <w:rsid w:val="006475C6"/>
    <w:rsid w:val="00647C4D"/>
    <w:rsid w:val="006520B8"/>
    <w:rsid w:val="006522BD"/>
    <w:rsid w:val="0065254A"/>
    <w:rsid w:val="00654461"/>
    <w:rsid w:val="00655556"/>
    <w:rsid w:val="0065707C"/>
    <w:rsid w:val="006577F9"/>
    <w:rsid w:val="00657B07"/>
    <w:rsid w:val="00660056"/>
    <w:rsid w:val="006610F5"/>
    <w:rsid w:val="00661104"/>
    <w:rsid w:val="006634C8"/>
    <w:rsid w:val="0066428E"/>
    <w:rsid w:val="0066587F"/>
    <w:rsid w:val="00665F79"/>
    <w:rsid w:val="00666BE8"/>
    <w:rsid w:val="006671D1"/>
    <w:rsid w:val="00667B10"/>
    <w:rsid w:val="00667E02"/>
    <w:rsid w:val="00667FD8"/>
    <w:rsid w:val="00671213"/>
    <w:rsid w:val="0067233E"/>
    <w:rsid w:val="00672CBD"/>
    <w:rsid w:val="00673B0F"/>
    <w:rsid w:val="006749E4"/>
    <w:rsid w:val="00676EDB"/>
    <w:rsid w:val="00677FB1"/>
    <w:rsid w:val="00680D9C"/>
    <w:rsid w:val="006825C5"/>
    <w:rsid w:val="00683071"/>
    <w:rsid w:val="006834AC"/>
    <w:rsid w:val="006869CE"/>
    <w:rsid w:val="00686E9C"/>
    <w:rsid w:val="00690537"/>
    <w:rsid w:val="00693288"/>
    <w:rsid w:val="006958DB"/>
    <w:rsid w:val="00695FD6"/>
    <w:rsid w:val="00696295"/>
    <w:rsid w:val="00697849"/>
    <w:rsid w:val="00697AA5"/>
    <w:rsid w:val="006A0FFC"/>
    <w:rsid w:val="006A1B71"/>
    <w:rsid w:val="006A1C0F"/>
    <w:rsid w:val="006A1F8D"/>
    <w:rsid w:val="006A46B6"/>
    <w:rsid w:val="006A4838"/>
    <w:rsid w:val="006A6434"/>
    <w:rsid w:val="006A64E7"/>
    <w:rsid w:val="006B000C"/>
    <w:rsid w:val="006B04B3"/>
    <w:rsid w:val="006B0587"/>
    <w:rsid w:val="006B0D1A"/>
    <w:rsid w:val="006B0F09"/>
    <w:rsid w:val="006B1734"/>
    <w:rsid w:val="006B21A6"/>
    <w:rsid w:val="006B2A7A"/>
    <w:rsid w:val="006B417F"/>
    <w:rsid w:val="006B6D1F"/>
    <w:rsid w:val="006B6E5A"/>
    <w:rsid w:val="006B78AA"/>
    <w:rsid w:val="006B7FA1"/>
    <w:rsid w:val="006C0A05"/>
    <w:rsid w:val="006C1FB8"/>
    <w:rsid w:val="006C2D26"/>
    <w:rsid w:val="006C2F49"/>
    <w:rsid w:val="006C34DE"/>
    <w:rsid w:val="006C394D"/>
    <w:rsid w:val="006C5637"/>
    <w:rsid w:val="006C5C8F"/>
    <w:rsid w:val="006C7175"/>
    <w:rsid w:val="006C71E6"/>
    <w:rsid w:val="006C7B70"/>
    <w:rsid w:val="006D0AE8"/>
    <w:rsid w:val="006D0CC2"/>
    <w:rsid w:val="006D2271"/>
    <w:rsid w:val="006D431C"/>
    <w:rsid w:val="006D4E53"/>
    <w:rsid w:val="006D640B"/>
    <w:rsid w:val="006E0902"/>
    <w:rsid w:val="006E23AE"/>
    <w:rsid w:val="006E56EF"/>
    <w:rsid w:val="006E7F22"/>
    <w:rsid w:val="006F0A9D"/>
    <w:rsid w:val="006F1BD1"/>
    <w:rsid w:val="006F252D"/>
    <w:rsid w:val="006F419F"/>
    <w:rsid w:val="006F4C77"/>
    <w:rsid w:val="006F56AF"/>
    <w:rsid w:val="006F5B87"/>
    <w:rsid w:val="006F6011"/>
    <w:rsid w:val="006F6D59"/>
    <w:rsid w:val="0070062F"/>
    <w:rsid w:val="007006CB"/>
    <w:rsid w:val="00701776"/>
    <w:rsid w:val="007023F0"/>
    <w:rsid w:val="00702D82"/>
    <w:rsid w:val="00703C34"/>
    <w:rsid w:val="00704ADB"/>
    <w:rsid w:val="007064A7"/>
    <w:rsid w:val="00706584"/>
    <w:rsid w:val="00707F7B"/>
    <w:rsid w:val="007115F4"/>
    <w:rsid w:val="007131D2"/>
    <w:rsid w:val="007145FB"/>
    <w:rsid w:val="00715658"/>
    <w:rsid w:val="00716A53"/>
    <w:rsid w:val="00716BBB"/>
    <w:rsid w:val="00720F6B"/>
    <w:rsid w:val="00721B8A"/>
    <w:rsid w:val="00721C17"/>
    <w:rsid w:val="00721F31"/>
    <w:rsid w:val="007233B0"/>
    <w:rsid w:val="00724248"/>
    <w:rsid w:val="007274BB"/>
    <w:rsid w:val="00730FDA"/>
    <w:rsid w:val="0073153F"/>
    <w:rsid w:val="00731603"/>
    <w:rsid w:val="007320D7"/>
    <w:rsid w:val="00736CB5"/>
    <w:rsid w:val="00736D0A"/>
    <w:rsid w:val="007373D6"/>
    <w:rsid w:val="007408E5"/>
    <w:rsid w:val="00741334"/>
    <w:rsid w:val="007422BB"/>
    <w:rsid w:val="00742475"/>
    <w:rsid w:val="00742AC9"/>
    <w:rsid w:val="00743608"/>
    <w:rsid w:val="00745D95"/>
    <w:rsid w:val="00746202"/>
    <w:rsid w:val="00746846"/>
    <w:rsid w:val="0074791F"/>
    <w:rsid w:val="00751A10"/>
    <w:rsid w:val="00751F11"/>
    <w:rsid w:val="00752231"/>
    <w:rsid w:val="007529BB"/>
    <w:rsid w:val="00753536"/>
    <w:rsid w:val="007541ED"/>
    <w:rsid w:val="00756044"/>
    <w:rsid w:val="00756B36"/>
    <w:rsid w:val="00756EBD"/>
    <w:rsid w:val="00761A28"/>
    <w:rsid w:val="00761E6F"/>
    <w:rsid w:val="00761EE9"/>
    <w:rsid w:val="007621CB"/>
    <w:rsid w:val="007635D8"/>
    <w:rsid w:val="007647B7"/>
    <w:rsid w:val="00764EFF"/>
    <w:rsid w:val="00766B32"/>
    <w:rsid w:val="00766F31"/>
    <w:rsid w:val="00771758"/>
    <w:rsid w:val="00772351"/>
    <w:rsid w:val="00772551"/>
    <w:rsid w:val="00773328"/>
    <w:rsid w:val="00773A85"/>
    <w:rsid w:val="007741CA"/>
    <w:rsid w:val="007750CC"/>
    <w:rsid w:val="00775B37"/>
    <w:rsid w:val="00775F7F"/>
    <w:rsid w:val="007762BD"/>
    <w:rsid w:val="00783F4E"/>
    <w:rsid w:val="007847BD"/>
    <w:rsid w:val="00791DEB"/>
    <w:rsid w:val="00795B75"/>
    <w:rsid w:val="0079629D"/>
    <w:rsid w:val="00797EAB"/>
    <w:rsid w:val="007A1CBD"/>
    <w:rsid w:val="007A1EC6"/>
    <w:rsid w:val="007A1FD5"/>
    <w:rsid w:val="007A25E5"/>
    <w:rsid w:val="007A26CB"/>
    <w:rsid w:val="007A2A89"/>
    <w:rsid w:val="007A31D6"/>
    <w:rsid w:val="007A3BCD"/>
    <w:rsid w:val="007A46A1"/>
    <w:rsid w:val="007A7023"/>
    <w:rsid w:val="007B0ADC"/>
    <w:rsid w:val="007B11E2"/>
    <w:rsid w:val="007B347B"/>
    <w:rsid w:val="007B3D88"/>
    <w:rsid w:val="007B557C"/>
    <w:rsid w:val="007B77E7"/>
    <w:rsid w:val="007C00C2"/>
    <w:rsid w:val="007C0685"/>
    <w:rsid w:val="007C07F5"/>
    <w:rsid w:val="007C0F2D"/>
    <w:rsid w:val="007C0F83"/>
    <w:rsid w:val="007C1C1D"/>
    <w:rsid w:val="007C1D98"/>
    <w:rsid w:val="007C42BB"/>
    <w:rsid w:val="007C5E1D"/>
    <w:rsid w:val="007C6115"/>
    <w:rsid w:val="007C67A2"/>
    <w:rsid w:val="007D09C8"/>
    <w:rsid w:val="007D1589"/>
    <w:rsid w:val="007D2ADF"/>
    <w:rsid w:val="007D3209"/>
    <w:rsid w:val="007D35BB"/>
    <w:rsid w:val="007D41FF"/>
    <w:rsid w:val="007D5ABE"/>
    <w:rsid w:val="007E01D0"/>
    <w:rsid w:val="007E0759"/>
    <w:rsid w:val="007E0819"/>
    <w:rsid w:val="007E0A4E"/>
    <w:rsid w:val="007E0F4C"/>
    <w:rsid w:val="007E38D4"/>
    <w:rsid w:val="007E4F46"/>
    <w:rsid w:val="007E7FF1"/>
    <w:rsid w:val="007F0B17"/>
    <w:rsid w:val="007F1DD4"/>
    <w:rsid w:val="007F3CA4"/>
    <w:rsid w:val="007F3F75"/>
    <w:rsid w:val="007F54F1"/>
    <w:rsid w:val="007F63A3"/>
    <w:rsid w:val="007F6837"/>
    <w:rsid w:val="007F744C"/>
    <w:rsid w:val="008037AD"/>
    <w:rsid w:val="0080555F"/>
    <w:rsid w:val="00813085"/>
    <w:rsid w:val="00813760"/>
    <w:rsid w:val="00814224"/>
    <w:rsid w:val="008142EA"/>
    <w:rsid w:val="00815E9D"/>
    <w:rsid w:val="008169EF"/>
    <w:rsid w:val="0081736E"/>
    <w:rsid w:val="00820B12"/>
    <w:rsid w:val="00820B3C"/>
    <w:rsid w:val="00823B96"/>
    <w:rsid w:val="00826834"/>
    <w:rsid w:val="00826EB6"/>
    <w:rsid w:val="00827609"/>
    <w:rsid w:val="00827ED8"/>
    <w:rsid w:val="00830B52"/>
    <w:rsid w:val="008313F3"/>
    <w:rsid w:val="00831400"/>
    <w:rsid w:val="00831424"/>
    <w:rsid w:val="0083249F"/>
    <w:rsid w:val="00832629"/>
    <w:rsid w:val="00832F70"/>
    <w:rsid w:val="00834B33"/>
    <w:rsid w:val="00835FAA"/>
    <w:rsid w:val="00836A3D"/>
    <w:rsid w:val="00837377"/>
    <w:rsid w:val="00841741"/>
    <w:rsid w:val="00841B45"/>
    <w:rsid w:val="00842C3C"/>
    <w:rsid w:val="008439D4"/>
    <w:rsid w:val="00844CC6"/>
    <w:rsid w:val="00845B02"/>
    <w:rsid w:val="00847051"/>
    <w:rsid w:val="00847BB2"/>
    <w:rsid w:val="0085059A"/>
    <w:rsid w:val="00850A24"/>
    <w:rsid w:val="00850F37"/>
    <w:rsid w:val="0085384E"/>
    <w:rsid w:val="0085483E"/>
    <w:rsid w:val="00856025"/>
    <w:rsid w:val="00856E09"/>
    <w:rsid w:val="0085738E"/>
    <w:rsid w:val="0086111E"/>
    <w:rsid w:val="008616BD"/>
    <w:rsid w:val="00861B7D"/>
    <w:rsid w:val="00862CC8"/>
    <w:rsid w:val="00863581"/>
    <w:rsid w:val="00863898"/>
    <w:rsid w:val="00863F33"/>
    <w:rsid w:val="00864466"/>
    <w:rsid w:val="00865061"/>
    <w:rsid w:val="008655F3"/>
    <w:rsid w:val="00865908"/>
    <w:rsid w:val="00866623"/>
    <w:rsid w:val="00867B22"/>
    <w:rsid w:val="00872E05"/>
    <w:rsid w:val="00873BEE"/>
    <w:rsid w:val="008748C0"/>
    <w:rsid w:val="00874E79"/>
    <w:rsid w:val="00875006"/>
    <w:rsid w:val="0087532F"/>
    <w:rsid w:val="008818F0"/>
    <w:rsid w:val="00883408"/>
    <w:rsid w:val="00883BBF"/>
    <w:rsid w:val="00884CFF"/>
    <w:rsid w:val="008862CC"/>
    <w:rsid w:val="008862E3"/>
    <w:rsid w:val="00886816"/>
    <w:rsid w:val="0089100C"/>
    <w:rsid w:val="008928E5"/>
    <w:rsid w:val="00893A89"/>
    <w:rsid w:val="00894A47"/>
    <w:rsid w:val="008962C6"/>
    <w:rsid w:val="008A1B52"/>
    <w:rsid w:val="008A208E"/>
    <w:rsid w:val="008A3A59"/>
    <w:rsid w:val="008A3B8B"/>
    <w:rsid w:val="008A50EE"/>
    <w:rsid w:val="008A5442"/>
    <w:rsid w:val="008A641B"/>
    <w:rsid w:val="008B0143"/>
    <w:rsid w:val="008B254B"/>
    <w:rsid w:val="008B3768"/>
    <w:rsid w:val="008B50F8"/>
    <w:rsid w:val="008B5E01"/>
    <w:rsid w:val="008B5F1A"/>
    <w:rsid w:val="008B61CF"/>
    <w:rsid w:val="008B6D17"/>
    <w:rsid w:val="008B7410"/>
    <w:rsid w:val="008C0D26"/>
    <w:rsid w:val="008C4F23"/>
    <w:rsid w:val="008C7F75"/>
    <w:rsid w:val="008D0735"/>
    <w:rsid w:val="008D2C98"/>
    <w:rsid w:val="008D6BF0"/>
    <w:rsid w:val="008D7617"/>
    <w:rsid w:val="008D79EA"/>
    <w:rsid w:val="008E50B0"/>
    <w:rsid w:val="008E5861"/>
    <w:rsid w:val="008F15B1"/>
    <w:rsid w:val="008F1730"/>
    <w:rsid w:val="008F18F1"/>
    <w:rsid w:val="008F2ED5"/>
    <w:rsid w:val="008F37BD"/>
    <w:rsid w:val="008F3EDC"/>
    <w:rsid w:val="008F46C7"/>
    <w:rsid w:val="008F4895"/>
    <w:rsid w:val="008F4EDE"/>
    <w:rsid w:val="008F5C40"/>
    <w:rsid w:val="008F6D64"/>
    <w:rsid w:val="008F7EBD"/>
    <w:rsid w:val="00900C4B"/>
    <w:rsid w:val="00900E97"/>
    <w:rsid w:val="00903F29"/>
    <w:rsid w:val="009063F7"/>
    <w:rsid w:val="00906A27"/>
    <w:rsid w:val="009118B6"/>
    <w:rsid w:val="00912421"/>
    <w:rsid w:val="0091378B"/>
    <w:rsid w:val="0091756D"/>
    <w:rsid w:val="00921805"/>
    <w:rsid w:val="0092180F"/>
    <w:rsid w:val="00922FD6"/>
    <w:rsid w:val="009230E9"/>
    <w:rsid w:val="009238B5"/>
    <w:rsid w:val="009244EF"/>
    <w:rsid w:val="00924A12"/>
    <w:rsid w:val="00925DBA"/>
    <w:rsid w:val="009267E4"/>
    <w:rsid w:val="00930137"/>
    <w:rsid w:val="009302E8"/>
    <w:rsid w:val="00930EA6"/>
    <w:rsid w:val="009318EF"/>
    <w:rsid w:val="00932970"/>
    <w:rsid w:val="009332BD"/>
    <w:rsid w:val="00934EA6"/>
    <w:rsid w:val="00935977"/>
    <w:rsid w:val="00935D6B"/>
    <w:rsid w:val="009369BB"/>
    <w:rsid w:val="0093783D"/>
    <w:rsid w:val="00940493"/>
    <w:rsid w:val="00941067"/>
    <w:rsid w:val="009416A2"/>
    <w:rsid w:val="009435C7"/>
    <w:rsid w:val="00944ECD"/>
    <w:rsid w:val="00945087"/>
    <w:rsid w:val="00945C9B"/>
    <w:rsid w:val="00946513"/>
    <w:rsid w:val="009470B6"/>
    <w:rsid w:val="00950F66"/>
    <w:rsid w:val="00951E61"/>
    <w:rsid w:val="00955E2E"/>
    <w:rsid w:val="00957B69"/>
    <w:rsid w:val="00961A4A"/>
    <w:rsid w:val="00962A13"/>
    <w:rsid w:val="00963E5E"/>
    <w:rsid w:val="009644D4"/>
    <w:rsid w:val="00964B00"/>
    <w:rsid w:val="00966485"/>
    <w:rsid w:val="0097102D"/>
    <w:rsid w:val="009743FB"/>
    <w:rsid w:val="009750CA"/>
    <w:rsid w:val="00975BFE"/>
    <w:rsid w:val="00977DA9"/>
    <w:rsid w:val="009806E9"/>
    <w:rsid w:val="00981AB0"/>
    <w:rsid w:val="0098256F"/>
    <w:rsid w:val="00982816"/>
    <w:rsid w:val="00982936"/>
    <w:rsid w:val="00984DC3"/>
    <w:rsid w:val="009859E2"/>
    <w:rsid w:val="00987D11"/>
    <w:rsid w:val="00992237"/>
    <w:rsid w:val="00993C08"/>
    <w:rsid w:val="00995788"/>
    <w:rsid w:val="00995D75"/>
    <w:rsid w:val="00996298"/>
    <w:rsid w:val="00996FF5"/>
    <w:rsid w:val="00997177"/>
    <w:rsid w:val="009A01EE"/>
    <w:rsid w:val="009A1007"/>
    <w:rsid w:val="009A2D0A"/>
    <w:rsid w:val="009A2F21"/>
    <w:rsid w:val="009A38A0"/>
    <w:rsid w:val="009A393E"/>
    <w:rsid w:val="009A59F5"/>
    <w:rsid w:val="009A681C"/>
    <w:rsid w:val="009B1089"/>
    <w:rsid w:val="009B13C0"/>
    <w:rsid w:val="009B365C"/>
    <w:rsid w:val="009B6F9E"/>
    <w:rsid w:val="009C0137"/>
    <w:rsid w:val="009C0983"/>
    <w:rsid w:val="009C17AF"/>
    <w:rsid w:val="009C28B5"/>
    <w:rsid w:val="009C3F53"/>
    <w:rsid w:val="009C571B"/>
    <w:rsid w:val="009C630F"/>
    <w:rsid w:val="009C7ACA"/>
    <w:rsid w:val="009D0FD1"/>
    <w:rsid w:val="009D1005"/>
    <w:rsid w:val="009D1828"/>
    <w:rsid w:val="009D2049"/>
    <w:rsid w:val="009D2AEB"/>
    <w:rsid w:val="009D3F00"/>
    <w:rsid w:val="009D66C2"/>
    <w:rsid w:val="009E0DDE"/>
    <w:rsid w:val="009E2601"/>
    <w:rsid w:val="009E2677"/>
    <w:rsid w:val="009E2F1F"/>
    <w:rsid w:val="009E3064"/>
    <w:rsid w:val="009E4070"/>
    <w:rsid w:val="009E5525"/>
    <w:rsid w:val="009E60EC"/>
    <w:rsid w:val="009F0DBB"/>
    <w:rsid w:val="009F1397"/>
    <w:rsid w:val="009F1BA3"/>
    <w:rsid w:val="009F2A8F"/>
    <w:rsid w:val="009F420A"/>
    <w:rsid w:val="009F54BA"/>
    <w:rsid w:val="009F66BC"/>
    <w:rsid w:val="009F7596"/>
    <w:rsid w:val="009F77F6"/>
    <w:rsid w:val="00A014FC"/>
    <w:rsid w:val="00A01A8F"/>
    <w:rsid w:val="00A01EC3"/>
    <w:rsid w:val="00A01F84"/>
    <w:rsid w:val="00A04E4A"/>
    <w:rsid w:val="00A062FE"/>
    <w:rsid w:val="00A064BD"/>
    <w:rsid w:val="00A06B8F"/>
    <w:rsid w:val="00A07681"/>
    <w:rsid w:val="00A07BA7"/>
    <w:rsid w:val="00A109FA"/>
    <w:rsid w:val="00A10B34"/>
    <w:rsid w:val="00A13CEE"/>
    <w:rsid w:val="00A14102"/>
    <w:rsid w:val="00A142C3"/>
    <w:rsid w:val="00A15646"/>
    <w:rsid w:val="00A17372"/>
    <w:rsid w:val="00A1791E"/>
    <w:rsid w:val="00A20D25"/>
    <w:rsid w:val="00A21C2D"/>
    <w:rsid w:val="00A26D25"/>
    <w:rsid w:val="00A30B0E"/>
    <w:rsid w:val="00A33250"/>
    <w:rsid w:val="00A33B73"/>
    <w:rsid w:val="00A34A17"/>
    <w:rsid w:val="00A3543B"/>
    <w:rsid w:val="00A3657C"/>
    <w:rsid w:val="00A41B54"/>
    <w:rsid w:val="00A42397"/>
    <w:rsid w:val="00A42686"/>
    <w:rsid w:val="00A4295C"/>
    <w:rsid w:val="00A43863"/>
    <w:rsid w:val="00A43A38"/>
    <w:rsid w:val="00A4409C"/>
    <w:rsid w:val="00A4541B"/>
    <w:rsid w:val="00A479D3"/>
    <w:rsid w:val="00A47F19"/>
    <w:rsid w:val="00A50BE5"/>
    <w:rsid w:val="00A51C76"/>
    <w:rsid w:val="00A53E8F"/>
    <w:rsid w:val="00A54C91"/>
    <w:rsid w:val="00A54DFE"/>
    <w:rsid w:val="00A5520A"/>
    <w:rsid w:val="00A56818"/>
    <w:rsid w:val="00A61503"/>
    <w:rsid w:val="00A6275E"/>
    <w:rsid w:val="00A62DFC"/>
    <w:rsid w:val="00A654B3"/>
    <w:rsid w:val="00A65730"/>
    <w:rsid w:val="00A66BC4"/>
    <w:rsid w:val="00A67766"/>
    <w:rsid w:val="00A70218"/>
    <w:rsid w:val="00A70441"/>
    <w:rsid w:val="00A71E86"/>
    <w:rsid w:val="00A7390E"/>
    <w:rsid w:val="00A7430F"/>
    <w:rsid w:val="00A74755"/>
    <w:rsid w:val="00A74F96"/>
    <w:rsid w:val="00A74FDD"/>
    <w:rsid w:val="00A76040"/>
    <w:rsid w:val="00A76F9E"/>
    <w:rsid w:val="00A77427"/>
    <w:rsid w:val="00A77705"/>
    <w:rsid w:val="00A806EE"/>
    <w:rsid w:val="00A80BCF"/>
    <w:rsid w:val="00A81146"/>
    <w:rsid w:val="00A84EDA"/>
    <w:rsid w:val="00A852E8"/>
    <w:rsid w:val="00A853E3"/>
    <w:rsid w:val="00A91DE4"/>
    <w:rsid w:val="00A92C11"/>
    <w:rsid w:val="00A946D5"/>
    <w:rsid w:val="00A94960"/>
    <w:rsid w:val="00A9729B"/>
    <w:rsid w:val="00A97672"/>
    <w:rsid w:val="00A97760"/>
    <w:rsid w:val="00A97A87"/>
    <w:rsid w:val="00AA1351"/>
    <w:rsid w:val="00AA1AB1"/>
    <w:rsid w:val="00AA2DC0"/>
    <w:rsid w:val="00AA304E"/>
    <w:rsid w:val="00AA3630"/>
    <w:rsid w:val="00AA47E3"/>
    <w:rsid w:val="00AA55BD"/>
    <w:rsid w:val="00AA6244"/>
    <w:rsid w:val="00AA69AF"/>
    <w:rsid w:val="00AB0B5F"/>
    <w:rsid w:val="00AB1ECF"/>
    <w:rsid w:val="00AB2327"/>
    <w:rsid w:val="00AB276F"/>
    <w:rsid w:val="00AB27EB"/>
    <w:rsid w:val="00AB2E7E"/>
    <w:rsid w:val="00AB3D99"/>
    <w:rsid w:val="00AB4482"/>
    <w:rsid w:val="00AB4C8C"/>
    <w:rsid w:val="00AB569E"/>
    <w:rsid w:val="00AB755E"/>
    <w:rsid w:val="00AB7DBF"/>
    <w:rsid w:val="00AC0C73"/>
    <w:rsid w:val="00AC0E1B"/>
    <w:rsid w:val="00AC1603"/>
    <w:rsid w:val="00AC74D3"/>
    <w:rsid w:val="00AD03BE"/>
    <w:rsid w:val="00AD2263"/>
    <w:rsid w:val="00AD2D40"/>
    <w:rsid w:val="00AD2EA3"/>
    <w:rsid w:val="00AD3215"/>
    <w:rsid w:val="00AD549C"/>
    <w:rsid w:val="00AD6FC4"/>
    <w:rsid w:val="00AD759F"/>
    <w:rsid w:val="00AD75E0"/>
    <w:rsid w:val="00AD7800"/>
    <w:rsid w:val="00AE05E2"/>
    <w:rsid w:val="00AE0DF6"/>
    <w:rsid w:val="00AE1461"/>
    <w:rsid w:val="00AE1BB2"/>
    <w:rsid w:val="00AE27A7"/>
    <w:rsid w:val="00AE3E85"/>
    <w:rsid w:val="00AE59CA"/>
    <w:rsid w:val="00AE7F2E"/>
    <w:rsid w:val="00AF046E"/>
    <w:rsid w:val="00AF10EB"/>
    <w:rsid w:val="00AF5EC1"/>
    <w:rsid w:val="00AF6786"/>
    <w:rsid w:val="00AF7E28"/>
    <w:rsid w:val="00B004A2"/>
    <w:rsid w:val="00B00B6B"/>
    <w:rsid w:val="00B0321E"/>
    <w:rsid w:val="00B03FC2"/>
    <w:rsid w:val="00B0418A"/>
    <w:rsid w:val="00B05633"/>
    <w:rsid w:val="00B06839"/>
    <w:rsid w:val="00B06E28"/>
    <w:rsid w:val="00B06FF8"/>
    <w:rsid w:val="00B07FC9"/>
    <w:rsid w:val="00B10808"/>
    <w:rsid w:val="00B115E3"/>
    <w:rsid w:val="00B126C6"/>
    <w:rsid w:val="00B14486"/>
    <w:rsid w:val="00B14F6B"/>
    <w:rsid w:val="00B158F8"/>
    <w:rsid w:val="00B167E4"/>
    <w:rsid w:val="00B16985"/>
    <w:rsid w:val="00B17273"/>
    <w:rsid w:val="00B20889"/>
    <w:rsid w:val="00B2104C"/>
    <w:rsid w:val="00B21743"/>
    <w:rsid w:val="00B21AE8"/>
    <w:rsid w:val="00B23892"/>
    <w:rsid w:val="00B23D7F"/>
    <w:rsid w:val="00B25FF0"/>
    <w:rsid w:val="00B273A2"/>
    <w:rsid w:val="00B305B7"/>
    <w:rsid w:val="00B33AEC"/>
    <w:rsid w:val="00B35F69"/>
    <w:rsid w:val="00B36AFF"/>
    <w:rsid w:val="00B43DE9"/>
    <w:rsid w:val="00B43EA0"/>
    <w:rsid w:val="00B43F35"/>
    <w:rsid w:val="00B455B3"/>
    <w:rsid w:val="00B45854"/>
    <w:rsid w:val="00B45B7C"/>
    <w:rsid w:val="00B503E7"/>
    <w:rsid w:val="00B5175E"/>
    <w:rsid w:val="00B51BDC"/>
    <w:rsid w:val="00B52428"/>
    <w:rsid w:val="00B53BB9"/>
    <w:rsid w:val="00B53FE9"/>
    <w:rsid w:val="00B54011"/>
    <w:rsid w:val="00B553B8"/>
    <w:rsid w:val="00B57488"/>
    <w:rsid w:val="00B631CA"/>
    <w:rsid w:val="00B63268"/>
    <w:rsid w:val="00B6367B"/>
    <w:rsid w:val="00B64910"/>
    <w:rsid w:val="00B65221"/>
    <w:rsid w:val="00B65603"/>
    <w:rsid w:val="00B656A1"/>
    <w:rsid w:val="00B66203"/>
    <w:rsid w:val="00B66912"/>
    <w:rsid w:val="00B66A2D"/>
    <w:rsid w:val="00B7244A"/>
    <w:rsid w:val="00B75189"/>
    <w:rsid w:val="00B75BD3"/>
    <w:rsid w:val="00B7646C"/>
    <w:rsid w:val="00B76491"/>
    <w:rsid w:val="00B766B8"/>
    <w:rsid w:val="00B7722C"/>
    <w:rsid w:val="00B77267"/>
    <w:rsid w:val="00B77AE0"/>
    <w:rsid w:val="00B81346"/>
    <w:rsid w:val="00B81424"/>
    <w:rsid w:val="00B82BF5"/>
    <w:rsid w:val="00B83327"/>
    <w:rsid w:val="00B852B1"/>
    <w:rsid w:val="00B86838"/>
    <w:rsid w:val="00B872AF"/>
    <w:rsid w:val="00B9098C"/>
    <w:rsid w:val="00B91B72"/>
    <w:rsid w:val="00B93D95"/>
    <w:rsid w:val="00B962BC"/>
    <w:rsid w:val="00B970A7"/>
    <w:rsid w:val="00B974D4"/>
    <w:rsid w:val="00BA0FB1"/>
    <w:rsid w:val="00BA1EF7"/>
    <w:rsid w:val="00BA3623"/>
    <w:rsid w:val="00BA3941"/>
    <w:rsid w:val="00BA4457"/>
    <w:rsid w:val="00BB00E3"/>
    <w:rsid w:val="00BB0102"/>
    <w:rsid w:val="00BB02BA"/>
    <w:rsid w:val="00BB0EE5"/>
    <w:rsid w:val="00BB281B"/>
    <w:rsid w:val="00BB3483"/>
    <w:rsid w:val="00BB38ED"/>
    <w:rsid w:val="00BB3C79"/>
    <w:rsid w:val="00BB4E02"/>
    <w:rsid w:val="00BB6E9D"/>
    <w:rsid w:val="00BC03BA"/>
    <w:rsid w:val="00BC0E16"/>
    <w:rsid w:val="00BC0EAB"/>
    <w:rsid w:val="00BC16EF"/>
    <w:rsid w:val="00BC5059"/>
    <w:rsid w:val="00BC7540"/>
    <w:rsid w:val="00BD0EFF"/>
    <w:rsid w:val="00BD1E3F"/>
    <w:rsid w:val="00BD2A02"/>
    <w:rsid w:val="00BD341F"/>
    <w:rsid w:val="00BD4C7C"/>
    <w:rsid w:val="00BD4E11"/>
    <w:rsid w:val="00BD52E1"/>
    <w:rsid w:val="00BD7805"/>
    <w:rsid w:val="00BD7D3D"/>
    <w:rsid w:val="00BE00EF"/>
    <w:rsid w:val="00BE26A3"/>
    <w:rsid w:val="00BE2D59"/>
    <w:rsid w:val="00BE2E5F"/>
    <w:rsid w:val="00BE546D"/>
    <w:rsid w:val="00BE554F"/>
    <w:rsid w:val="00BE5DC9"/>
    <w:rsid w:val="00BE6FBF"/>
    <w:rsid w:val="00BE7055"/>
    <w:rsid w:val="00BE764A"/>
    <w:rsid w:val="00BE7A9C"/>
    <w:rsid w:val="00BF1561"/>
    <w:rsid w:val="00BF19D7"/>
    <w:rsid w:val="00BF1C96"/>
    <w:rsid w:val="00BF2163"/>
    <w:rsid w:val="00BF29DB"/>
    <w:rsid w:val="00BF2B9C"/>
    <w:rsid w:val="00BF2F11"/>
    <w:rsid w:val="00BF4A48"/>
    <w:rsid w:val="00BF5061"/>
    <w:rsid w:val="00BF5DD5"/>
    <w:rsid w:val="00BF692C"/>
    <w:rsid w:val="00BF77F8"/>
    <w:rsid w:val="00C01085"/>
    <w:rsid w:val="00C01768"/>
    <w:rsid w:val="00C0458C"/>
    <w:rsid w:val="00C04638"/>
    <w:rsid w:val="00C053CB"/>
    <w:rsid w:val="00C0786D"/>
    <w:rsid w:val="00C10A48"/>
    <w:rsid w:val="00C11B36"/>
    <w:rsid w:val="00C120DA"/>
    <w:rsid w:val="00C1287E"/>
    <w:rsid w:val="00C13CE3"/>
    <w:rsid w:val="00C14760"/>
    <w:rsid w:val="00C14874"/>
    <w:rsid w:val="00C15BBC"/>
    <w:rsid w:val="00C1634B"/>
    <w:rsid w:val="00C16AB1"/>
    <w:rsid w:val="00C17B41"/>
    <w:rsid w:val="00C20448"/>
    <w:rsid w:val="00C2196F"/>
    <w:rsid w:val="00C231AA"/>
    <w:rsid w:val="00C23948"/>
    <w:rsid w:val="00C271FC"/>
    <w:rsid w:val="00C276A6"/>
    <w:rsid w:val="00C276C9"/>
    <w:rsid w:val="00C30127"/>
    <w:rsid w:val="00C31031"/>
    <w:rsid w:val="00C32749"/>
    <w:rsid w:val="00C33169"/>
    <w:rsid w:val="00C33197"/>
    <w:rsid w:val="00C331CD"/>
    <w:rsid w:val="00C33EFE"/>
    <w:rsid w:val="00C35A4D"/>
    <w:rsid w:val="00C35E4D"/>
    <w:rsid w:val="00C368F3"/>
    <w:rsid w:val="00C37ADA"/>
    <w:rsid w:val="00C37FE7"/>
    <w:rsid w:val="00C40556"/>
    <w:rsid w:val="00C42B61"/>
    <w:rsid w:val="00C444BC"/>
    <w:rsid w:val="00C46733"/>
    <w:rsid w:val="00C4685E"/>
    <w:rsid w:val="00C51E21"/>
    <w:rsid w:val="00C53467"/>
    <w:rsid w:val="00C60C81"/>
    <w:rsid w:val="00C60E01"/>
    <w:rsid w:val="00C61329"/>
    <w:rsid w:val="00C61976"/>
    <w:rsid w:val="00C629B1"/>
    <w:rsid w:val="00C63FA0"/>
    <w:rsid w:val="00C646B0"/>
    <w:rsid w:val="00C64821"/>
    <w:rsid w:val="00C64F5D"/>
    <w:rsid w:val="00C67A5D"/>
    <w:rsid w:val="00C70958"/>
    <w:rsid w:val="00C71D13"/>
    <w:rsid w:val="00C7302F"/>
    <w:rsid w:val="00C73F2B"/>
    <w:rsid w:val="00C746A8"/>
    <w:rsid w:val="00C750A8"/>
    <w:rsid w:val="00C76C9A"/>
    <w:rsid w:val="00C77881"/>
    <w:rsid w:val="00C80B31"/>
    <w:rsid w:val="00C80D55"/>
    <w:rsid w:val="00C83261"/>
    <w:rsid w:val="00C84552"/>
    <w:rsid w:val="00C84EDA"/>
    <w:rsid w:val="00C851D0"/>
    <w:rsid w:val="00C8539D"/>
    <w:rsid w:val="00C85F20"/>
    <w:rsid w:val="00C862C0"/>
    <w:rsid w:val="00C87CCD"/>
    <w:rsid w:val="00C91022"/>
    <w:rsid w:val="00C919DB"/>
    <w:rsid w:val="00C92C73"/>
    <w:rsid w:val="00C93488"/>
    <w:rsid w:val="00C955AF"/>
    <w:rsid w:val="00C9573D"/>
    <w:rsid w:val="00C97326"/>
    <w:rsid w:val="00C97499"/>
    <w:rsid w:val="00C97A93"/>
    <w:rsid w:val="00C97CCE"/>
    <w:rsid w:val="00CA2156"/>
    <w:rsid w:val="00CA41B7"/>
    <w:rsid w:val="00CA603E"/>
    <w:rsid w:val="00CA6672"/>
    <w:rsid w:val="00CA7322"/>
    <w:rsid w:val="00CA7BE1"/>
    <w:rsid w:val="00CB198E"/>
    <w:rsid w:val="00CB294D"/>
    <w:rsid w:val="00CC0404"/>
    <w:rsid w:val="00CC0C3B"/>
    <w:rsid w:val="00CC17F2"/>
    <w:rsid w:val="00CC1996"/>
    <w:rsid w:val="00CC26AB"/>
    <w:rsid w:val="00CC2832"/>
    <w:rsid w:val="00CC2B90"/>
    <w:rsid w:val="00CC5687"/>
    <w:rsid w:val="00CD05E3"/>
    <w:rsid w:val="00CD0D93"/>
    <w:rsid w:val="00CD1B1A"/>
    <w:rsid w:val="00CD3536"/>
    <w:rsid w:val="00CD44E8"/>
    <w:rsid w:val="00CD46E2"/>
    <w:rsid w:val="00CD53C1"/>
    <w:rsid w:val="00CE043E"/>
    <w:rsid w:val="00CE1125"/>
    <w:rsid w:val="00CE29F0"/>
    <w:rsid w:val="00CE40CE"/>
    <w:rsid w:val="00CE42FA"/>
    <w:rsid w:val="00CE4CE9"/>
    <w:rsid w:val="00CE4DE9"/>
    <w:rsid w:val="00CE5369"/>
    <w:rsid w:val="00CE5DE4"/>
    <w:rsid w:val="00CE6809"/>
    <w:rsid w:val="00CE7788"/>
    <w:rsid w:val="00CF02E2"/>
    <w:rsid w:val="00CF09BC"/>
    <w:rsid w:val="00CF1C0B"/>
    <w:rsid w:val="00CF6E6C"/>
    <w:rsid w:val="00CF7142"/>
    <w:rsid w:val="00D005CF"/>
    <w:rsid w:val="00D00EC4"/>
    <w:rsid w:val="00D020B8"/>
    <w:rsid w:val="00D0227E"/>
    <w:rsid w:val="00D029F8"/>
    <w:rsid w:val="00D03224"/>
    <w:rsid w:val="00D03740"/>
    <w:rsid w:val="00D0503A"/>
    <w:rsid w:val="00D05C7B"/>
    <w:rsid w:val="00D05F79"/>
    <w:rsid w:val="00D12993"/>
    <w:rsid w:val="00D13400"/>
    <w:rsid w:val="00D14790"/>
    <w:rsid w:val="00D15A6E"/>
    <w:rsid w:val="00D15FC2"/>
    <w:rsid w:val="00D1757B"/>
    <w:rsid w:val="00D17887"/>
    <w:rsid w:val="00D17987"/>
    <w:rsid w:val="00D25EE9"/>
    <w:rsid w:val="00D2626E"/>
    <w:rsid w:val="00D26F03"/>
    <w:rsid w:val="00D27820"/>
    <w:rsid w:val="00D30A5C"/>
    <w:rsid w:val="00D318F3"/>
    <w:rsid w:val="00D31FAB"/>
    <w:rsid w:val="00D3394C"/>
    <w:rsid w:val="00D34578"/>
    <w:rsid w:val="00D34B2F"/>
    <w:rsid w:val="00D40664"/>
    <w:rsid w:val="00D41428"/>
    <w:rsid w:val="00D43690"/>
    <w:rsid w:val="00D458D5"/>
    <w:rsid w:val="00D46CE5"/>
    <w:rsid w:val="00D47C03"/>
    <w:rsid w:val="00D50B28"/>
    <w:rsid w:val="00D51640"/>
    <w:rsid w:val="00D52DE3"/>
    <w:rsid w:val="00D530A3"/>
    <w:rsid w:val="00D559F4"/>
    <w:rsid w:val="00D57DEE"/>
    <w:rsid w:val="00D628F5"/>
    <w:rsid w:val="00D637FB"/>
    <w:rsid w:val="00D63BDA"/>
    <w:rsid w:val="00D64660"/>
    <w:rsid w:val="00D6511B"/>
    <w:rsid w:val="00D668AF"/>
    <w:rsid w:val="00D66925"/>
    <w:rsid w:val="00D67D64"/>
    <w:rsid w:val="00D70919"/>
    <w:rsid w:val="00D7254F"/>
    <w:rsid w:val="00D737E1"/>
    <w:rsid w:val="00D73D75"/>
    <w:rsid w:val="00D74E43"/>
    <w:rsid w:val="00D76206"/>
    <w:rsid w:val="00D76409"/>
    <w:rsid w:val="00D8051B"/>
    <w:rsid w:val="00D80805"/>
    <w:rsid w:val="00D81E7D"/>
    <w:rsid w:val="00D85A89"/>
    <w:rsid w:val="00D86671"/>
    <w:rsid w:val="00D920B4"/>
    <w:rsid w:val="00D92795"/>
    <w:rsid w:val="00D96B76"/>
    <w:rsid w:val="00D96D07"/>
    <w:rsid w:val="00D96DC0"/>
    <w:rsid w:val="00D9718A"/>
    <w:rsid w:val="00D975F7"/>
    <w:rsid w:val="00D9775E"/>
    <w:rsid w:val="00DA2A78"/>
    <w:rsid w:val="00DA3435"/>
    <w:rsid w:val="00DA37F2"/>
    <w:rsid w:val="00DA3A12"/>
    <w:rsid w:val="00DA4CA8"/>
    <w:rsid w:val="00DA7846"/>
    <w:rsid w:val="00DA7C5B"/>
    <w:rsid w:val="00DB0BA1"/>
    <w:rsid w:val="00DB0F85"/>
    <w:rsid w:val="00DB1948"/>
    <w:rsid w:val="00DB1DF4"/>
    <w:rsid w:val="00DB239F"/>
    <w:rsid w:val="00DB3423"/>
    <w:rsid w:val="00DB34AE"/>
    <w:rsid w:val="00DB54CD"/>
    <w:rsid w:val="00DB587F"/>
    <w:rsid w:val="00DB664F"/>
    <w:rsid w:val="00DB6F97"/>
    <w:rsid w:val="00DB725E"/>
    <w:rsid w:val="00DC1AED"/>
    <w:rsid w:val="00DC2FC4"/>
    <w:rsid w:val="00DC4E3A"/>
    <w:rsid w:val="00DC6242"/>
    <w:rsid w:val="00DC6641"/>
    <w:rsid w:val="00DC7206"/>
    <w:rsid w:val="00DD2912"/>
    <w:rsid w:val="00DD4AD9"/>
    <w:rsid w:val="00DE0BE1"/>
    <w:rsid w:val="00DE0C61"/>
    <w:rsid w:val="00DE0FC3"/>
    <w:rsid w:val="00DE418A"/>
    <w:rsid w:val="00DE42D4"/>
    <w:rsid w:val="00DE499B"/>
    <w:rsid w:val="00DE4F70"/>
    <w:rsid w:val="00DE7026"/>
    <w:rsid w:val="00DE7C0E"/>
    <w:rsid w:val="00DF0FEB"/>
    <w:rsid w:val="00DF21B6"/>
    <w:rsid w:val="00DF4C88"/>
    <w:rsid w:val="00DF4F9A"/>
    <w:rsid w:val="00DF6207"/>
    <w:rsid w:val="00E008C8"/>
    <w:rsid w:val="00E01DE9"/>
    <w:rsid w:val="00E026BF"/>
    <w:rsid w:val="00E04250"/>
    <w:rsid w:val="00E043C7"/>
    <w:rsid w:val="00E04B49"/>
    <w:rsid w:val="00E0655B"/>
    <w:rsid w:val="00E0728C"/>
    <w:rsid w:val="00E10DD9"/>
    <w:rsid w:val="00E11139"/>
    <w:rsid w:val="00E121AC"/>
    <w:rsid w:val="00E139AA"/>
    <w:rsid w:val="00E17930"/>
    <w:rsid w:val="00E214FC"/>
    <w:rsid w:val="00E21B38"/>
    <w:rsid w:val="00E21BE6"/>
    <w:rsid w:val="00E24402"/>
    <w:rsid w:val="00E26F74"/>
    <w:rsid w:val="00E27B6A"/>
    <w:rsid w:val="00E307C5"/>
    <w:rsid w:val="00E32A92"/>
    <w:rsid w:val="00E32EDE"/>
    <w:rsid w:val="00E33D88"/>
    <w:rsid w:val="00E34E36"/>
    <w:rsid w:val="00E35579"/>
    <w:rsid w:val="00E37C19"/>
    <w:rsid w:val="00E37CED"/>
    <w:rsid w:val="00E37E2C"/>
    <w:rsid w:val="00E4009F"/>
    <w:rsid w:val="00E41414"/>
    <w:rsid w:val="00E4329C"/>
    <w:rsid w:val="00E436D8"/>
    <w:rsid w:val="00E4560D"/>
    <w:rsid w:val="00E460DA"/>
    <w:rsid w:val="00E46442"/>
    <w:rsid w:val="00E46F71"/>
    <w:rsid w:val="00E47371"/>
    <w:rsid w:val="00E47F06"/>
    <w:rsid w:val="00E51A41"/>
    <w:rsid w:val="00E52F76"/>
    <w:rsid w:val="00E53137"/>
    <w:rsid w:val="00E5565B"/>
    <w:rsid w:val="00E57051"/>
    <w:rsid w:val="00E618E4"/>
    <w:rsid w:val="00E61AE3"/>
    <w:rsid w:val="00E620D1"/>
    <w:rsid w:val="00E62D56"/>
    <w:rsid w:val="00E6486E"/>
    <w:rsid w:val="00E64BFC"/>
    <w:rsid w:val="00E64D22"/>
    <w:rsid w:val="00E64F43"/>
    <w:rsid w:val="00E65D76"/>
    <w:rsid w:val="00E71D3E"/>
    <w:rsid w:val="00E7207F"/>
    <w:rsid w:val="00E72798"/>
    <w:rsid w:val="00E7312C"/>
    <w:rsid w:val="00E74F53"/>
    <w:rsid w:val="00E75278"/>
    <w:rsid w:val="00E75DF8"/>
    <w:rsid w:val="00E774A0"/>
    <w:rsid w:val="00E80E88"/>
    <w:rsid w:val="00E8141E"/>
    <w:rsid w:val="00E84990"/>
    <w:rsid w:val="00E85061"/>
    <w:rsid w:val="00E85581"/>
    <w:rsid w:val="00E86B30"/>
    <w:rsid w:val="00E87500"/>
    <w:rsid w:val="00E92BF3"/>
    <w:rsid w:val="00E934A1"/>
    <w:rsid w:val="00E937EA"/>
    <w:rsid w:val="00E95A3C"/>
    <w:rsid w:val="00EA14EC"/>
    <w:rsid w:val="00EA1A84"/>
    <w:rsid w:val="00EA246D"/>
    <w:rsid w:val="00EA41A7"/>
    <w:rsid w:val="00EA6683"/>
    <w:rsid w:val="00EA6C77"/>
    <w:rsid w:val="00EB11D7"/>
    <w:rsid w:val="00EB12C0"/>
    <w:rsid w:val="00EB16A1"/>
    <w:rsid w:val="00EB2401"/>
    <w:rsid w:val="00EB2CAB"/>
    <w:rsid w:val="00EB2CB0"/>
    <w:rsid w:val="00EB3362"/>
    <w:rsid w:val="00EB46CB"/>
    <w:rsid w:val="00EB473C"/>
    <w:rsid w:val="00EB4B9D"/>
    <w:rsid w:val="00EB66F9"/>
    <w:rsid w:val="00EC046B"/>
    <w:rsid w:val="00EC283E"/>
    <w:rsid w:val="00EC2DD1"/>
    <w:rsid w:val="00EC35BD"/>
    <w:rsid w:val="00EC3EA0"/>
    <w:rsid w:val="00EC5D55"/>
    <w:rsid w:val="00EC7945"/>
    <w:rsid w:val="00ED0925"/>
    <w:rsid w:val="00ED1279"/>
    <w:rsid w:val="00ED1728"/>
    <w:rsid w:val="00ED1C2E"/>
    <w:rsid w:val="00ED265A"/>
    <w:rsid w:val="00ED3C95"/>
    <w:rsid w:val="00ED438B"/>
    <w:rsid w:val="00ED448D"/>
    <w:rsid w:val="00ED4AFE"/>
    <w:rsid w:val="00ED6502"/>
    <w:rsid w:val="00EE060F"/>
    <w:rsid w:val="00EE068C"/>
    <w:rsid w:val="00EE08C8"/>
    <w:rsid w:val="00EE1507"/>
    <w:rsid w:val="00EE1EEC"/>
    <w:rsid w:val="00EE2025"/>
    <w:rsid w:val="00EE2BAE"/>
    <w:rsid w:val="00EE2E7E"/>
    <w:rsid w:val="00EE2F28"/>
    <w:rsid w:val="00EE4FEE"/>
    <w:rsid w:val="00EE70DB"/>
    <w:rsid w:val="00EE782F"/>
    <w:rsid w:val="00EF45C3"/>
    <w:rsid w:val="00EF4BED"/>
    <w:rsid w:val="00EF52B1"/>
    <w:rsid w:val="00EF5DD9"/>
    <w:rsid w:val="00EF7C8D"/>
    <w:rsid w:val="00F0158F"/>
    <w:rsid w:val="00F06C67"/>
    <w:rsid w:val="00F07A7A"/>
    <w:rsid w:val="00F10111"/>
    <w:rsid w:val="00F101A3"/>
    <w:rsid w:val="00F10BB0"/>
    <w:rsid w:val="00F11A57"/>
    <w:rsid w:val="00F136E0"/>
    <w:rsid w:val="00F15EE7"/>
    <w:rsid w:val="00F16359"/>
    <w:rsid w:val="00F16B59"/>
    <w:rsid w:val="00F22920"/>
    <w:rsid w:val="00F22CAD"/>
    <w:rsid w:val="00F233C1"/>
    <w:rsid w:val="00F24C34"/>
    <w:rsid w:val="00F254AD"/>
    <w:rsid w:val="00F3192F"/>
    <w:rsid w:val="00F32BE6"/>
    <w:rsid w:val="00F3415E"/>
    <w:rsid w:val="00F35A30"/>
    <w:rsid w:val="00F369F7"/>
    <w:rsid w:val="00F40C61"/>
    <w:rsid w:val="00F421E5"/>
    <w:rsid w:val="00F43FB8"/>
    <w:rsid w:val="00F442EF"/>
    <w:rsid w:val="00F449F9"/>
    <w:rsid w:val="00F44B91"/>
    <w:rsid w:val="00F47FC7"/>
    <w:rsid w:val="00F50CDF"/>
    <w:rsid w:val="00F519E4"/>
    <w:rsid w:val="00F53257"/>
    <w:rsid w:val="00F533D5"/>
    <w:rsid w:val="00F5515A"/>
    <w:rsid w:val="00F5625A"/>
    <w:rsid w:val="00F5731E"/>
    <w:rsid w:val="00F604D4"/>
    <w:rsid w:val="00F63889"/>
    <w:rsid w:val="00F65DC3"/>
    <w:rsid w:val="00F6636A"/>
    <w:rsid w:val="00F71390"/>
    <w:rsid w:val="00F71DCE"/>
    <w:rsid w:val="00F76F95"/>
    <w:rsid w:val="00F80720"/>
    <w:rsid w:val="00F80FAB"/>
    <w:rsid w:val="00F82BC2"/>
    <w:rsid w:val="00F84186"/>
    <w:rsid w:val="00F859DA"/>
    <w:rsid w:val="00F905FA"/>
    <w:rsid w:val="00F9288D"/>
    <w:rsid w:val="00F93224"/>
    <w:rsid w:val="00F93895"/>
    <w:rsid w:val="00F9434D"/>
    <w:rsid w:val="00F94FE7"/>
    <w:rsid w:val="00F96A0F"/>
    <w:rsid w:val="00FA21A0"/>
    <w:rsid w:val="00FA2758"/>
    <w:rsid w:val="00FA4491"/>
    <w:rsid w:val="00FA49B8"/>
    <w:rsid w:val="00FA4A49"/>
    <w:rsid w:val="00FA61B1"/>
    <w:rsid w:val="00FA6D70"/>
    <w:rsid w:val="00FB007A"/>
    <w:rsid w:val="00FB16B5"/>
    <w:rsid w:val="00FB20BE"/>
    <w:rsid w:val="00FB230B"/>
    <w:rsid w:val="00FB272A"/>
    <w:rsid w:val="00FB28C4"/>
    <w:rsid w:val="00FB28E9"/>
    <w:rsid w:val="00FB2FE6"/>
    <w:rsid w:val="00FB34FE"/>
    <w:rsid w:val="00FB4431"/>
    <w:rsid w:val="00FB4D2B"/>
    <w:rsid w:val="00FB6A8E"/>
    <w:rsid w:val="00FB6F34"/>
    <w:rsid w:val="00FB7298"/>
    <w:rsid w:val="00FB752E"/>
    <w:rsid w:val="00FC2291"/>
    <w:rsid w:val="00FC22E4"/>
    <w:rsid w:val="00FC3E0F"/>
    <w:rsid w:val="00FC3FF6"/>
    <w:rsid w:val="00FC551C"/>
    <w:rsid w:val="00FC5C18"/>
    <w:rsid w:val="00FC60DB"/>
    <w:rsid w:val="00FC63FA"/>
    <w:rsid w:val="00FC6DDE"/>
    <w:rsid w:val="00FD2B05"/>
    <w:rsid w:val="00FD3369"/>
    <w:rsid w:val="00FD394A"/>
    <w:rsid w:val="00FD3EEF"/>
    <w:rsid w:val="00FD4A40"/>
    <w:rsid w:val="00FD4EF4"/>
    <w:rsid w:val="00FD5B7A"/>
    <w:rsid w:val="00FD60DD"/>
    <w:rsid w:val="00FE0116"/>
    <w:rsid w:val="00FE33B1"/>
    <w:rsid w:val="00FE368E"/>
    <w:rsid w:val="00FE374E"/>
    <w:rsid w:val="00FE40BE"/>
    <w:rsid w:val="00FE78F0"/>
    <w:rsid w:val="00FF30D4"/>
    <w:rsid w:val="00FF3A58"/>
    <w:rsid w:val="00FF5494"/>
    <w:rsid w:val="00FF7685"/>
    <w:rsid w:val="010A478A"/>
    <w:rsid w:val="010F524E"/>
    <w:rsid w:val="011253ED"/>
    <w:rsid w:val="01176EA7"/>
    <w:rsid w:val="011E1FE4"/>
    <w:rsid w:val="014C40D5"/>
    <w:rsid w:val="015E4AD6"/>
    <w:rsid w:val="0160084E"/>
    <w:rsid w:val="01C012ED"/>
    <w:rsid w:val="01D94483"/>
    <w:rsid w:val="01F40F97"/>
    <w:rsid w:val="01F82835"/>
    <w:rsid w:val="0200793B"/>
    <w:rsid w:val="0213766F"/>
    <w:rsid w:val="02144A36"/>
    <w:rsid w:val="023F2212"/>
    <w:rsid w:val="026C6D7F"/>
    <w:rsid w:val="02873BB9"/>
    <w:rsid w:val="029307AF"/>
    <w:rsid w:val="02987B74"/>
    <w:rsid w:val="02A46D01"/>
    <w:rsid w:val="02A8425B"/>
    <w:rsid w:val="02B853D7"/>
    <w:rsid w:val="02BE582C"/>
    <w:rsid w:val="02C32E43"/>
    <w:rsid w:val="02D52B76"/>
    <w:rsid w:val="03011BBD"/>
    <w:rsid w:val="032B6C3A"/>
    <w:rsid w:val="033267EB"/>
    <w:rsid w:val="034026E5"/>
    <w:rsid w:val="03435D32"/>
    <w:rsid w:val="03497A81"/>
    <w:rsid w:val="034C7AFF"/>
    <w:rsid w:val="03510B84"/>
    <w:rsid w:val="036F2FCB"/>
    <w:rsid w:val="036F6B27"/>
    <w:rsid w:val="039321C0"/>
    <w:rsid w:val="03A52548"/>
    <w:rsid w:val="03AF6F21"/>
    <w:rsid w:val="03BD5AE4"/>
    <w:rsid w:val="03C926DB"/>
    <w:rsid w:val="03DD6186"/>
    <w:rsid w:val="03DF34E4"/>
    <w:rsid w:val="03E04A35"/>
    <w:rsid w:val="03E05C76"/>
    <w:rsid w:val="03EC63C9"/>
    <w:rsid w:val="03F31506"/>
    <w:rsid w:val="041D47D5"/>
    <w:rsid w:val="044B1342"/>
    <w:rsid w:val="044E19F7"/>
    <w:rsid w:val="045521C0"/>
    <w:rsid w:val="04673CA2"/>
    <w:rsid w:val="04784101"/>
    <w:rsid w:val="04932CE9"/>
    <w:rsid w:val="049F48BF"/>
    <w:rsid w:val="04A84EAE"/>
    <w:rsid w:val="04AC7907"/>
    <w:rsid w:val="04C11604"/>
    <w:rsid w:val="04D74983"/>
    <w:rsid w:val="04DC01EC"/>
    <w:rsid w:val="04E81783"/>
    <w:rsid w:val="04FC43EA"/>
    <w:rsid w:val="05092FAB"/>
    <w:rsid w:val="051F457C"/>
    <w:rsid w:val="0539563E"/>
    <w:rsid w:val="05490DDB"/>
    <w:rsid w:val="0553487B"/>
    <w:rsid w:val="055A1B02"/>
    <w:rsid w:val="05812B41"/>
    <w:rsid w:val="0597643A"/>
    <w:rsid w:val="05A14F91"/>
    <w:rsid w:val="05A2221D"/>
    <w:rsid w:val="05C375FE"/>
    <w:rsid w:val="05DD1395"/>
    <w:rsid w:val="05DE1D42"/>
    <w:rsid w:val="05E05ABA"/>
    <w:rsid w:val="060043AE"/>
    <w:rsid w:val="06085010"/>
    <w:rsid w:val="060C68AF"/>
    <w:rsid w:val="061B6D6D"/>
    <w:rsid w:val="061D6D0E"/>
    <w:rsid w:val="062F259D"/>
    <w:rsid w:val="063876A4"/>
    <w:rsid w:val="0639341C"/>
    <w:rsid w:val="063F6C84"/>
    <w:rsid w:val="064A7E01"/>
    <w:rsid w:val="065F10D4"/>
    <w:rsid w:val="06621996"/>
    <w:rsid w:val="0687687D"/>
    <w:rsid w:val="06891846"/>
    <w:rsid w:val="069E1F4A"/>
    <w:rsid w:val="069E5DF6"/>
    <w:rsid w:val="06A905A2"/>
    <w:rsid w:val="06B06C5D"/>
    <w:rsid w:val="06BA630B"/>
    <w:rsid w:val="06BB2083"/>
    <w:rsid w:val="06D3303D"/>
    <w:rsid w:val="06DD1E11"/>
    <w:rsid w:val="06F42124"/>
    <w:rsid w:val="06F86E33"/>
    <w:rsid w:val="071719AF"/>
    <w:rsid w:val="071A324D"/>
    <w:rsid w:val="0721282E"/>
    <w:rsid w:val="07313D00"/>
    <w:rsid w:val="07391B32"/>
    <w:rsid w:val="073D1FEE"/>
    <w:rsid w:val="07464042"/>
    <w:rsid w:val="07623F84"/>
    <w:rsid w:val="0764271A"/>
    <w:rsid w:val="07724E37"/>
    <w:rsid w:val="0774295E"/>
    <w:rsid w:val="0777244E"/>
    <w:rsid w:val="07837045"/>
    <w:rsid w:val="07862691"/>
    <w:rsid w:val="07A174CB"/>
    <w:rsid w:val="07A33243"/>
    <w:rsid w:val="07B05960"/>
    <w:rsid w:val="07B21AAB"/>
    <w:rsid w:val="07C03DF5"/>
    <w:rsid w:val="07C26CA5"/>
    <w:rsid w:val="07E15B19"/>
    <w:rsid w:val="07E21FBD"/>
    <w:rsid w:val="07EA70C4"/>
    <w:rsid w:val="07EF6488"/>
    <w:rsid w:val="07FF3B44"/>
    <w:rsid w:val="080041F1"/>
    <w:rsid w:val="08114650"/>
    <w:rsid w:val="08122176"/>
    <w:rsid w:val="08145EEF"/>
    <w:rsid w:val="08164F13"/>
    <w:rsid w:val="08193505"/>
    <w:rsid w:val="08320D8F"/>
    <w:rsid w:val="08332819"/>
    <w:rsid w:val="08365E65"/>
    <w:rsid w:val="084F6F27"/>
    <w:rsid w:val="087C0E6B"/>
    <w:rsid w:val="08805332"/>
    <w:rsid w:val="088C017B"/>
    <w:rsid w:val="089221ED"/>
    <w:rsid w:val="089C57C4"/>
    <w:rsid w:val="08A54D99"/>
    <w:rsid w:val="08A600D3"/>
    <w:rsid w:val="08AA40C0"/>
    <w:rsid w:val="08B33959"/>
    <w:rsid w:val="08C23B9D"/>
    <w:rsid w:val="08C276F9"/>
    <w:rsid w:val="08C47915"/>
    <w:rsid w:val="08EC4C92"/>
    <w:rsid w:val="08F479AA"/>
    <w:rsid w:val="08FF094D"/>
    <w:rsid w:val="090715AF"/>
    <w:rsid w:val="09075A53"/>
    <w:rsid w:val="090B5543"/>
    <w:rsid w:val="090E6DE2"/>
    <w:rsid w:val="091A7535"/>
    <w:rsid w:val="091E614B"/>
    <w:rsid w:val="09300B06"/>
    <w:rsid w:val="09355DDA"/>
    <w:rsid w:val="09491BC8"/>
    <w:rsid w:val="094E71DE"/>
    <w:rsid w:val="09575226"/>
    <w:rsid w:val="096864F2"/>
    <w:rsid w:val="09694018"/>
    <w:rsid w:val="097035F9"/>
    <w:rsid w:val="099217C1"/>
    <w:rsid w:val="0992531D"/>
    <w:rsid w:val="099472E7"/>
    <w:rsid w:val="09C70E7A"/>
    <w:rsid w:val="09CB082F"/>
    <w:rsid w:val="09E10052"/>
    <w:rsid w:val="09E3201C"/>
    <w:rsid w:val="09E71B0D"/>
    <w:rsid w:val="09F204B1"/>
    <w:rsid w:val="09F75AC8"/>
    <w:rsid w:val="09FD0E9F"/>
    <w:rsid w:val="0A081A83"/>
    <w:rsid w:val="0A0C1573"/>
    <w:rsid w:val="0A1B5312"/>
    <w:rsid w:val="0A2166A1"/>
    <w:rsid w:val="0A2A4608"/>
    <w:rsid w:val="0A2C39C3"/>
    <w:rsid w:val="0A3C34DB"/>
    <w:rsid w:val="0A530F50"/>
    <w:rsid w:val="0A59408D"/>
    <w:rsid w:val="0A60366D"/>
    <w:rsid w:val="0A64315D"/>
    <w:rsid w:val="0A79472F"/>
    <w:rsid w:val="0A9357F1"/>
    <w:rsid w:val="0A956A37"/>
    <w:rsid w:val="0AA55524"/>
    <w:rsid w:val="0AAA2B3A"/>
    <w:rsid w:val="0AC736EC"/>
    <w:rsid w:val="0ADD081A"/>
    <w:rsid w:val="0ADD2EA9"/>
    <w:rsid w:val="0AEC3153"/>
    <w:rsid w:val="0AF52007"/>
    <w:rsid w:val="0AFA5870"/>
    <w:rsid w:val="0B016BFE"/>
    <w:rsid w:val="0B065FC2"/>
    <w:rsid w:val="0B073AE9"/>
    <w:rsid w:val="0B235325"/>
    <w:rsid w:val="0B2621C1"/>
    <w:rsid w:val="0B301291"/>
    <w:rsid w:val="0B353EC5"/>
    <w:rsid w:val="0B4E6AF0"/>
    <w:rsid w:val="0B5A4560"/>
    <w:rsid w:val="0B666A61"/>
    <w:rsid w:val="0B732F2C"/>
    <w:rsid w:val="0B756CA4"/>
    <w:rsid w:val="0B7A075E"/>
    <w:rsid w:val="0BB05F2E"/>
    <w:rsid w:val="0BB377CC"/>
    <w:rsid w:val="0BC1013B"/>
    <w:rsid w:val="0BC11374"/>
    <w:rsid w:val="0BD51E39"/>
    <w:rsid w:val="0BE95EF7"/>
    <w:rsid w:val="0BF24799"/>
    <w:rsid w:val="0BF95B27"/>
    <w:rsid w:val="0BFB189F"/>
    <w:rsid w:val="0C063DA0"/>
    <w:rsid w:val="0C0F44CB"/>
    <w:rsid w:val="0C193AD3"/>
    <w:rsid w:val="0C2F32F7"/>
    <w:rsid w:val="0C3254DC"/>
    <w:rsid w:val="0C34090D"/>
    <w:rsid w:val="0C4274CE"/>
    <w:rsid w:val="0C57284E"/>
    <w:rsid w:val="0C7D65BC"/>
    <w:rsid w:val="0C9571AF"/>
    <w:rsid w:val="0CA05FA3"/>
    <w:rsid w:val="0CAA0BCF"/>
    <w:rsid w:val="0CAD38AC"/>
    <w:rsid w:val="0CD52391"/>
    <w:rsid w:val="0CD65E68"/>
    <w:rsid w:val="0CD90881"/>
    <w:rsid w:val="0CD93263"/>
    <w:rsid w:val="0CE02843"/>
    <w:rsid w:val="0CE91DBB"/>
    <w:rsid w:val="0CED7D8C"/>
    <w:rsid w:val="0CEE4F60"/>
    <w:rsid w:val="0CF140C8"/>
    <w:rsid w:val="0D120738"/>
    <w:rsid w:val="0D162EF3"/>
    <w:rsid w:val="0D197B03"/>
    <w:rsid w:val="0D2070E4"/>
    <w:rsid w:val="0D2564A8"/>
    <w:rsid w:val="0D272220"/>
    <w:rsid w:val="0D2C7836"/>
    <w:rsid w:val="0D58687D"/>
    <w:rsid w:val="0D6A4AD7"/>
    <w:rsid w:val="0D9755F8"/>
    <w:rsid w:val="0D9C2C0E"/>
    <w:rsid w:val="0D9C676A"/>
    <w:rsid w:val="0DB37F58"/>
    <w:rsid w:val="0DC932D7"/>
    <w:rsid w:val="0DD53DD4"/>
    <w:rsid w:val="0DD57ECE"/>
    <w:rsid w:val="0DF76096"/>
    <w:rsid w:val="0DFC18FF"/>
    <w:rsid w:val="0E1704E7"/>
    <w:rsid w:val="0E26697C"/>
    <w:rsid w:val="0E323572"/>
    <w:rsid w:val="0E567261"/>
    <w:rsid w:val="0E855450"/>
    <w:rsid w:val="0E8C7F2B"/>
    <w:rsid w:val="0E9E4764"/>
    <w:rsid w:val="0EAA4EB7"/>
    <w:rsid w:val="0EBD089F"/>
    <w:rsid w:val="0EC20452"/>
    <w:rsid w:val="0ECA37AB"/>
    <w:rsid w:val="0ED40186"/>
    <w:rsid w:val="0EF40828"/>
    <w:rsid w:val="0EF645A0"/>
    <w:rsid w:val="0EF820C6"/>
    <w:rsid w:val="0F296723"/>
    <w:rsid w:val="0F470958"/>
    <w:rsid w:val="0F4E618A"/>
    <w:rsid w:val="0F644205"/>
    <w:rsid w:val="0F786D63"/>
    <w:rsid w:val="0F7A2ADB"/>
    <w:rsid w:val="0F9576F0"/>
    <w:rsid w:val="0F9718DF"/>
    <w:rsid w:val="0F9811B3"/>
    <w:rsid w:val="0F9D6B5D"/>
    <w:rsid w:val="0FB26719"/>
    <w:rsid w:val="0FBC30F4"/>
    <w:rsid w:val="0FD80032"/>
    <w:rsid w:val="0FF3288D"/>
    <w:rsid w:val="1009014F"/>
    <w:rsid w:val="10152804"/>
    <w:rsid w:val="101A606C"/>
    <w:rsid w:val="102D5D9F"/>
    <w:rsid w:val="103E1D5B"/>
    <w:rsid w:val="10545A22"/>
    <w:rsid w:val="105C6685"/>
    <w:rsid w:val="106A6FF4"/>
    <w:rsid w:val="107439CE"/>
    <w:rsid w:val="10923E54"/>
    <w:rsid w:val="109A0F5B"/>
    <w:rsid w:val="10A65B52"/>
    <w:rsid w:val="10A75C36"/>
    <w:rsid w:val="10CD30DE"/>
    <w:rsid w:val="10D4446D"/>
    <w:rsid w:val="10E01064"/>
    <w:rsid w:val="10F36FE9"/>
    <w:rsid w:val="11056D1C"/>
    <w:rsid w:val="11116F7C"/>
    <w:rsid w:val="11124F95"/>
    <w:rsid w:val="11214B6D"/>
    <w:rsid w:val="11276C93"/>
    <w:rsid w:val="11477335"/>
    <w:rsid w:val="11916802"/>
    <w:rsid w:val="11943BFC"/>
    <w:rsid w:val="11A622AD"/>
    <w:rsid w:val="11B5429E"/>
    <w:rsid w:val="11D00633"/>
    <w:rsid w:val="11D30BC8"/>
    <w:rsid w:val="12103BCB"/>
    <w:rsid w:val="12266F4A"/>
    <w:rsid w:val="12505D75"/>
    <w:rsid w:val="1255782F"/>
    <w:rsid w:val="125A6BF4"/>
    <w:rsid w:val="1261796C"/>
    <w:rsid w:val="126D4B79"/>
    <w:rsid w:val="127203E1"/>
    <w:rsid w:val="127F48AC"/>
    <w:rsid w:val="12971BF6"/>
    <w:rsid w:val="12A12A75"/>
    <w:rsid w:val="12A460C1"/>
    <w:rsid w:val="12BB58E4"/>
    <w:rsid w:val="12C10A21"/>
    <w:rsid w:val="12D270D2"/>
    <w:rsid w:val="12DC585B"/>
    <w:rsid w:val="1300779B"/>
    <w:rsid w:val="130D010A"/>
    <w:rsid w:val="13160D6D"/>
    <w:rsid w:val="13207E3D"/>
    <w:rsid w:val="133B3B5D"/>
    <w:rsid w:val="133F5C40"/>
    <w:rsid w:val="134C0C32"/>
    <w:rsid w:val="135E0D52"/>
    <w:rsid w:val="13715411"/>
    <w:rsid w:val="1373302C"/>
    <w:rsid w:val="137B5074"/>
    <w:rsid w:val="138A52B7"/>
    <w:rsid w:val="139879D4"/>
    <w:rsid w:val="13AC7923"/>
    <w:rsid w:val="13B91FDD"/>
    <w:rsid w:val="13D43AB9"/>
    <w:rsid w:val="13E470BD"/>
    <w:rsid w:val="13E946D3"/>
    <w:rsid w:val="13FA68E0"/>
    <w:rsid w:val="13FF7A53"/>
    <w:rsid w:val="14096B23"/>
    <w:rsid w:val="14340E2C"/>
    <w:rsid w:val="143E3DC9"/>
    <w:rsid w:val="144B0EEA"/>
    <w:rsid w:val="14522278"/>
    <w:rsid w:val="14531B4D"/>
    <w:rsid w:val="14587163"/>
    <w:rsid w:val="1461426A"/>
    <w:rsid w:val="14740441"/>
    <w:rsid w:val="147A357D"/>
    <w:rsid w:val="14894F33"/>
    <w:rsid w:val="149D101A"/>
    <w:rsid w:val="14A10B0A"/>
    <w:rsid w:val="14A8633C"/>
    <w:rsid w:val="14D25167"/>
    <w:rsid w:val="14E804E7"/>
    <w:rsid w:val="14F52C04"/>
    <w:rsid w:val="14F74BCE"/>
    <w:rsid w:val="15081290"/>
    <w:rsid w:val="151072FF"/>
    <w:rsid w:val="15155054"/>
    <w:rsid w:val="151C63E2"/>
    <w:rsid w:val="153B2D0D"/>
    <w:rsid w:val="156264EB"/>
    <w:rsid w:val="156758B0"/>
    <w:rsid w:val="156C55BC"/>
    <w:rsid w:val="156D10F1"/>
    <w:rsid w:val="157D344D"/>
    <w:rsid w:val="15B36D47"/>
    <w:rsid w:val="15B900D5"/>
    <w:rsid w:val="15BA391C"/>
    <w:rsid w:val="15C76D29"/>
    <w:rsid w:val="15C9016D"/>
    <w:rsid w:val="15D13671"/>
    <w:rsid w:val="15DE18EA"/>
    <w:rsid w:val="15F829AC"/>
    <w:rsid w:val="15F86E50"/>
    <w:rsid w:val="15F95707"/>
    <w:rsid w:val="15FB06EE"/>
    <w:rsid w:val="16013F56"/>
    <w:rsid w:val="16107164"/>
    <w:rsid w:val="161B48EC"/>
    <w:rsid w:val="161D2412"/>
    <w:rsid w:val="164328C7"/>
    <w:rsid w:val="1648040C"/>
    <w:rsid w:val="169A1CB5"/>
    <w:rsid w:val="169D4F63"/>
    <w:rsid w:val="16B20DAC"/>
    <w:rsid w:val="16BE59A3"/>
    <w:rsid w:val="16C3745D"/>
    <w:rsid w:val="16F413C5"/>
    <w:rsid w:val="170A0BE8"/>
    <w:rsid w:val="170A75EE"/>
    <w:rsid w:val="170F26A3"/>
    <w:rsid w:val="17103D25"/>
    <w:rsid w:val="17134CD7"/>
    <w:rsid w:val="17141A67"/>
    <w:rsid w:val="17153C0C"/>
    <w:rsid w:val="173E0892"/>
    <w:rsid w:val="173F7C7B"/>
    <w:rsid w:val="175B58E8"/>
    <w:rsid w:val="17936E30"/>
    <w:rsid w:val="17991F6C"/>
    <w:rsid w:val="179B3F36"/>
    <w:rsid w:val="17AE6E10"/>
    <w:rsid w:val="17D82A95"/>
    <w:rsid w:val="17E55ACB"/>
    <w:rsid w:val="18100480"/>
    <w:rsid w:val="18194E5B"/>
    <w:rsid w:val="181A12FF"/>
    <w:rsid w:val="181B5077"/>
    <w:rsid w:val="182201B4"/>
    <w:rsid w:val="18244E26"/>
    <w:rsid w:val="183506F4"/>
    <w:rsid w:val="183F2B14"/>
    <w:rsid w:val="18477C1A"/>
    <w:rsid w:val="18512847"/>
    <w:rsid w:val="18585984"/>
    <w:rsid w:val="187F73B4"/>
    <w:rsid w:val="189664AC"/>
    <w:rsid w:val="189A5F9C"/>
    <w:rsid w:val="189C7F66"/>
    <w:rsid w:val="18A1732B"/>
    <w:rsid w:val="18A40BC9"/>
    <w:rsid w:val="18A84B5D"/>
    <w:rsid w:val="18B37D3E"/>
    <w:rsid w:val="18BD7EDC"/>
    <w:rsid w:val="18C04373"/>
    <w:rsid w:val="18C3178B"/>
    <w:rsid w:val="18C9062F"/>
    <w:rsid w:val="18EB4A4A"/>
    <w:rsid w:val="190301FC"/>
    <w:rsid w:val="19033B41"/>
    <w:rsid w:val="19102702"/>
    <w:rsid w:val="19173A91"/>
    <w:rsid w:val="19193365"/>
    <w:rsid w:val="19495575"/>
    <w:rsid w:val="195A6DE8"/>
    <w:rsid w:val="197C1B46"/>
    <w:rsid w:val="198D5B01"/>
    <w:rsid w:val="199944A6"/>
    <w:rsid w:val="199B1FCC"/>
    <w:rsid w:val="199C5D44"/>
    <w:rsid w:val="19A52E4A"/>
    <w:rsid w:val="19BA5D94"/>
    <w:rsid w:val="19BC1F42"/>
    <w:rsid w:val="19D21766"/>
    <w:rsid w:val="19E75211"/>
    <w:rsid w:val="19EC6CCB"/>
    <w:rsid w:val="19F618F8"/>
    <w:rsid w:val="1A642D06"/>
    <w:rsid w:val="1A6C3968"/>
    <w:rsid w:val="1A8567D8"/>
    <w:rsid w:val="1A8B0292"/>
    <w:rsid w:val="1AA03612"/>
    <w:rsid w:val="1AA17AB6"/>
    <w:rsid w:val="1AA43102"/>
    <w:rsid w:val="1ACD08AB"/>
    <w:rsid w:val="1ADA4D76"/>
    <w:rsid w:val="1AF000F5"/>
    <w:rsid w:val="1B2D30F7"/>
    <w:rsid w:val="1B3A2A27"/>
    <w:rsid w:val="1B4641B9"/>
    <w:rsid w:val="1B486183"/>
    <w:rsid w:val="1B5543FC"/>
    <w:rsid w:val="1B5C1C2F"/>
    <w:rsid w:val="1B612DA1"/>
    <w:rsid w:val="1B627C0A"/>
    <w:rsid w:val="1B6F54BE"/>
    <w:rsid w:val="1B7603DB"/>
    <w:rsid w:val="1B7A01CA"/>
    <w:rsid w:val="1B812F99"/>
    <w:rsid w:val="1B852F33"/>
    <w:rsid w:val="1B8D003A"/>
    <w:rsid w:val="1B9C027D"/>
    <w:rsid w:val="1BA01B1B"/>
    <w:rsid w:val="1BD73063"/>
    <w:rsid w:val="1BE20386"/>
    <w:rsid w:val="1BE340FE"/>
    <w:rsid w:val="1BE7774A"/>
    <w:rsid w:val="1C0A3439"/>
    <w:rsid w:val="1C1B14A9"/>
    <w:rsid w:val="1C1D5C5A"/>
    <w:rsid w:val="1C252021"/>
    <w:rsid w:val="1C2564C4"/>
    <w:rsid w:val="1C3A1F70"/>
    <w:rsid w:val="1C3E30E2"/>
    <w:rsid w:val="1C876837"/>
    <w:rsid w:val="1C8B2DC8"/>
    <w:rsid w:val="1C8C6544"/>
    <w:rsid w:val="1C8E7BC6"/>
    <w:rsid w:val="1C9A2A0F"/>
    <w:rsid w:val="1CB44424"/>
    <w:rsid w:val="1CBD009F"/>
    <w:rsid w:val="1CCA15F3"/>
    <w:rsid w:val="1CD51C99"/>
    <w:rsid w:val="1CD8377F"/>
    <w:rsid w:val="1CED6FE2"/>
    <w:rsid w:val="1CF245F9"/>
    <w:rsid w:val="1D097B94"/>
    <w:rsid w:val="1D1A76AB"/>
    <w:rsid w:val="1D3C1D18"/>
    <w:rsid w:val="1D433820"/>
    <w:rsid w:val="1D440BCC"/>
    <w:rsid w:val="1D554B87"/>
    <w:rsid w:val="1D5A77BF"/>
    <w:rsid w:val="1D5C4168"/>
    <w:rsid w:val="1D5C5F16"/>
    <w:rsid w:val="1D667FFB"/>
    <w:rsid w:val="1D74500E"/>
    <w:rsid w:val="1D7E5E8C"/>
    <w:rsid w:val="1D8D60CF"/>
    <w:rsid w:val="1D9E652E"/>
    <w:rsid w:val="1DB218CD"/>
    <w:rsid w:val="1DC046F7"/>
    <w:rsid w:val="1DC5334C"/>
    <w:rsid w:val="1DEB1048"/>
    <w:rsid w:val="1DEF28E6"/>
    <w:rsid w:val="1E05210A"/>
    <w:rsid w:val="1E0565AE"/>
    <w:rsid w:val="1E075E82"/>
    <w:rsid w:val="1E1660C5"/>
    <w:rsid w:val="1E674B72"/>
    <w:rsid w:val="1E733517"/>
    <w:rsid w:val="1E74728F"/>
    <w:rsid w:val="1E7563B9"/>
    <w:rsid w:val="1E764E95"/>
    <w:rsid w:val="1E7B23CC"/>
    <w:rsid w:val="1E8C6387"/>
    <w:rsid w:val="1E933BB9"/>
    <w:rsid w:val="1E984D2C"/>
    <w:rsid w:val="1E9A6CF6"/>
    <w:rsid w:val="1EA336D1"/>
    <w:rsid w:val="1EB13227"/>
    <w:rsid w:val="1ED1023E"/>
    <w:rsid w:val="1EEA12FF"/>
    <w:rsid w:val="1EEE7042"/>
    <w:rsid w:val="1EF21687"/>
    <w:rsid w:val="1F06438B"/>
    <w:rsid w:val="1F0D396C"/>
    <w:rsid w:val="1F220A99"/>
    <w:rsid w:val="1F2C68C3"/>
    <w:rsid w:val="1F58270D"/>
    <w:rsid w:val="1F63358C"/>
    <w:rsid w:val="1F645556"/>
    <w:rsid w:val="1F7F7C9A"/>
    <w:rsid w:val="1F843D72"/>
    <w:rsid w:val="1F8E612F"/>
    <w:rsid w:val="1F9E2816"/>
    <w:rsid w:val="1FCB1131"/>
    <w:rsid w:val="1FEF4A96"/>
    <w:rsid w:val="1FF37588"/>
    <w:rsid w:val="1FF71F26"/>
    <w:rsid w:val="1FF94A12"/>
    <w:rsid w:val="201B4CE7"/>
    <w:rsid w:val="201B58A5"/>
    <w:rsid w:val="201E5705"/>
    <w:rsid w:val="202C6073"/>
    <w:rsid w:val="20363DAA"/>
    <w:rsid w:val="20450EE3"/>
    <w:rsid w:val="204C4020"/>
    <w:rsid w:val="205E01F7"/>
    <w:rsid w:val="20601879"/>
    <w:rsid w:val="2070748D"/>
    <w:rsid w:val="209634ED"/>
    <w:rsid w:val="20AD0BF1"/>
    <w:rsid w:val="20E57FD0"/>
    <w:rsid w:val="20F24498"/>
    <w:rsid w:val="20F85F56"/>
    <w:rsid w:val="21042B4C"/>
    <w:rsid w:val="210466A8"/>
    <w:rsid w:val="21162BA2"/>
    <w:rsid w:val="2116462E"/>
    <w:rsid w:val="21486EDD"/>
    <w:rsid w:val="2164183D"/>
    <w:rsid w:val="219C4B33"/>
    <w:rsid w:val="21AC584E"/>
    <w:rsid w:val="21BE2CFB"/>
    <w:rsid w:val="21F4496F"/>
    <w:rsid w:val="21F77FBB"/>
    <w:rsid w:val="21FE57EE"/>
    <w:rsid w:val="22052962"/>
    <w:rsid w:val="22056B7C"/>
    <w:rsid w:val="2220335F"/>
    <w:rsid w:val="222334A6"/>
    <w:rsid w:val="222B5EB7"/>
    <w:rsid w:val="222E39E5"/>
    <w:rsid w:val="223236E9"/>
    <w:rsid w:val="2237485C"/>
    <w:rsid w:val="224750CA"/>
    <w:rsid w:val="22525B39"/>
    <w:rsid w:val="22575200"/>
    <w:rsid w:val="225D635C"/>
    <w:rsid w:val="225E0B69"/>
    <w:rsid w:val="22603DB2"/>
    <w:rsid w:val="22714EB1"/>
    <w:rsid w:val="22717D6E"/>
    <w:rsid w:val="228201CD"/>
    <w:rsid w:val="22851A6B"/>
    <w:rsid w:val="22A174F9"/>
    <w:rsid w:val="22C5455D"/>
    <w:rsid w:val="22C824C6"/>
    <w:rsid w:val="22D4654E"/>
    <w:rsid w:val="22EE13BE"/>
    <w:rsid w:val="230C3F3A"/>
    <w:rsid w:val="230E7CB2"/>
    <w:rsid w:val="231150AD"/>
    <w:rsid w:val="23290648"/>
    <w:rsid w:val="2329499C"/>
    <w:rsid w:val="234F3F82"/>
    <w:rsid w:val="2366364A"/>
    <w:rsid w:val="236D70AB"/>
    <w:rsid w:val="23767606"/>
    <w:rsid w:val="237D6BE6"/>
    <w:rsid w:val="23E26A49"/>
    <w:rsid w:val="23E26F0C"/>
    <w:rsid w:val="23F8626D"/>
    <w:rsid w:val="241A61E3"/>
    <w:rsid w:val="24247062"/>
    <w:rsid w:val="24635DDC"/>
    <w:rsid w:val="246D0A09"/>
    <w:rsid w:val="24771887"/>
    <w:rsid w:val="248D2E59"/>
    <w:rsid w:val="249064A5"/>
    <w:rsid w:val="24AC106B"/>
    <w:rsid w:val="24AD7057"/>
    <w:rsid w:val="24AF2DCF"/>
    <w:rsid w:val="24AF4B7D"/>
    <w:rsid w:val="24B165F9"/>
    <w:rsid w:val="24B6742C"/>
    <w:rsid w:val="24B82068"/>
    <w:rsid w:val="24BB5C18"/>
    <w:rsid w:val="24BC54EC"/>
    <w:rsid w:val="24BE1264"/>
    <w:rsid w:val="24C21763"/>
    <w:rsid w:val="24D61B28"/>
    <w:rsid w:val="24E0567E"/>
    <w:rsid w:val="250F1AC0"/>
    <w:rsid w:val="252E1F46"/>
    <w:rsid w:val="25381017"/>
    <w:rsid w:val="25382DC5"/>
    <w:rsid w:val="25407ECB"/>
    <w:rsid w:val="254554E2"/>
    <w:rsid w:val="2546260F"/>
    <w:rsid w:val="256A6A48"/>
    <w:rsid w:val="256E2C8A"/>
    <w:rsid w:val="25777D91"/>
    <w:rsid w:val="257B4C0D"/>
    <w:rsid w:val="257D4C7B"/>
    <w:rsid w:val="25956469"/>
    <w:rsid w:val="25965D3D"/>
    <w:rsid w:val="25A246E2"/>
    <w:rsid w:val="25B032A3"/>
    <w:rsid w:val="25D074A1"/>
    <w:rsid w:val="25E20F82"/>
    <w:rsid w:val="25E571EB"/>
    <w:rsid w:val="25F211C5"/>
    <w:rsid w:val="26040EF9"/>
    <w:rsid w:val="260643AC"/>
    <w:rsid w:val="26121868"/>
    <w:rsid w:val="262558FD"/>
    <w:rsid w:val="262B2929"/>
    <w:rsid w:val="262D66A1"/>
    <w:rsid w:val="262F241A"/>
    <w:rsid w:val="263613A5"/>
    <w:rsid w:val="264F4FDA"/>
    <w:rsid w:val="26527C90"/>
    <w:rsid w:val="265A4FBD"/>
    <w:rsid w:val="26647BE9"/>
    <w:rsid w:val="26695200"/>
    <w:rsid w:val="266A3452"/>
    <w:rsid w:val="26735D8E"/>
    <w:rsid w:val="26A74146"/>
    <w:rsid w:val="26AC1B2A"/>
    <w:rsid w:val="26AD333E"/>
    <w:rsid w:val="26B446CD"/>
    <w:rsid w:val="26BB5A5B"/>
    <w:rsid w:val="26BC7A25"/>
    <w:rsid w:val="26BE0D88"/>
    <w:rsid w:val="26CD39E1"/>
    <w:rsid w:val="26CF1B23"/>
    <w:rsid w:val="26D66D39"/>
    <w:rsid w:val="26EA27E4"/>
    <w:rsid w:val="26F471BF"/>
    <w:rsid w:val="26FC2A88"/>
    <w:rsid w:val="27084A19"/>
    <w:rsid w:val="270858F0"/>
    <w:rsid w:val="27181100"/>
    <w:rsid w:val="272378A0"/>
    <w:rsid w:val="27265A63"/>
    <w:rsid w:val="27335F39"/>
    <w:rsid w:val="275D2FB6"/>
    <w:rsid w:val="27602AA7"/>
    <w:rsid w:val="27624129"/>
    <w:rsid w:val="27644345"/>
    <w:rsid w:val="276F394A"/>
    <w:rsid w:val="27850DB9"/>
    <w:rsid w:val="279135A5"/>
    <w:rsid w:val="27932534"/>
    <w:rsid w:val="279938C3"/>
    <w:rsid w:val="279B763B"/>
    <w:rsid w:val="27B64475"/>
    <w:rsid w:val="27C2106B"/>
    <w:rsid w:val="27D76FC4"/>
    <w:rsid w:val="27E4630B"/>
    <w:rsid w:val="27E47E54"/>
    <w:rsid w:val="27E64D5A"/>
    <w:rsid w:val="27EF5C4B"/>
    <w:rsid w:val="27F60D15"/>
    <w:rsid w:val="2803315A"/>
    <w:rsid w:val="281A0EA7"/>
    <w:rsid w:val="282835C4"/>
    <w:rsid w:val="28426463"/>
    <w:rsid w:val="28520641"/>
    <w:rsid w:val="2859377E"/>
    <w:rsid w:val="28665E9B"/>
    <w:rsid w:val="288D3427"/>
    <w:rsid w:val="289724F8"/>
    <w:rsid w:val="289E73E3"/>
    <w:rsid w:val="28A54C15"/>
    <w:rsid w:val="28AB7D51"/>
    <w:rsid w:val="28B07116"/>
    <w:rsid w:val="28BC438E"/>
    <w:rsid w:val="28CC03F4"/>
    <w:rsid w:val="28CE4769"/>
    <w:rsid w:val="28D42E04"/>
    <w:rsid w:val="28ED036A"/>
    <w:rsid w:val="291C47AB"/>
    <w:rsid w:val="292875F4"/>
    <w:rsid w:val="292C1FF8"/>
    <w:rsid w:val="29310257"/>
    <w:rsid w:val="294E4BC1"/>
    <w:rsid w:val="29581C87"/>
    <w:rsid w:val="295E6B72"/>
    <w:rsid w:val="296879F1"/>
    <w:rsid w:val="29817476"/>
    <w:rsid w:val="29845D0F"/>
    <w:rsid w:val="299A22A0"/>
    <w:rsid w:val="299D769A"/>
    <w:rsid w:val="29AC3D81"/>
    <w:rsid w:val="29B50E88"/>
    <w:rsid w:val="29EB48A9"/>
    <w:rsid w:val="29F738D5"/>
    <w:rsid w:val="29FD282F"/>
    <w:rsid w:val="2A0B6CFA"/>
    <w:rsid w:val="2A1738F0"/>
    <w:rsid w:val="2A1A6F3D"/>
    <w:rsid w:val="2A240F21"/>
    <w:rsid w:val="2A306760"/>
    <w:rsid w:val="2A337FFE"/>
    <w:rsid w:val="2A3E16D4"/>
    <w:rsid w:val="2A473AAA"/>
    <w:rsid w:val="2A481CFC"/>
    <w:rsid w:val="2A6071AB"/>
    <w:rsid w:val="2A6076F0"/>
    <w:rsid w:val="2A697EC4"/>
    <w:rsid w:val="2A7523C5"/>
    <w:rsid w:val="2A8B3997"/>
    <w:rsid w:val="2ABC1581"/>
    <w:rsid w:val="2AC11AAE"/>
    <w:rsid w:val="2ACD7048"/>
    <w:rsid w:val="2AD92954"/>
    <w:rsid w:val="2AE5754B"/>
    <w:rsid w:val="2AED63FF"/>
    <w:rsid w:val="2AF92FF6"/>
    <w:rsid w:val="2B053749"/>
    <w:rsid w:val="2B0F6376"/>
    <w:rsid w:val="2B146FA7"/>
    <w:rsid w:val="2B457FE9"/>
    <w:rsid w:val="2B4A1AA4"/>
    <w:rsid w:val="2B4C1378"/>
    <w:rsid w:val="2B4F2C16"/>
    <w:rsid w:val="2B523154"/>
    <w:rsid w:val="2B683CD8"/>
    <w:rsid w:val="2B6F3246"/>
    <w:rsid w:val="2B7408CF"/>
    <w:rsid w:val="2B77216D"/>
    <w:rsid w:val="2B794137"/>
    <w:rsid w:val="2BA07916"/>
    <w:rsid w:val="2BA70CA4"/>
    <w:rsid w:val="2BBF30C3"/>
    <w:rsid w:val="2BC9660D"/>
    <w:rsid w:val="2BD66E93"/>
    <w:rsid w:val="2BDF043E"/>
    <w:rsid w:val="2BEE242F"/>
    <w:rsid w:val="2BFA7026"/>
    <w:rsid w:val="2C161986"/>
    <w:rsid w:val="2C2038D9"/>
    <w:rsid w:val="2C27037A"/>
    <w:rsid w:val="2C293467"/>
    <w:rsid w:val="2C3F0EDD"/>
    <w:rsid w:val="2C3F712F"/>
    <w:rsid w:val="2C42277B"/>
    <w:rsid w:val="2C4509EF"/>
    <w:rsid w:val="2C471B3F"/>
    <w:rsid w:val="2C536736"/>
    <w:rsid w:val="2C5F4325"/>
    <w:rsid w:val="2C5F50DB"/>
    <w:rsid w:val="2C7C7A3B"/>
    <w:rsid w:val="2C8C39F6"/>
    <w:rsid w:val="2C8E776E"/>
    <w:rsid w:val="2C923702"/>
    <w:rsid w:val="2C9835CA"/>
    <w:rsid w:val="2C9A4365"/>
    <w:rsid w:val="2C9F3729"/>
    <w:rsid w:val="2CA11F33"/>
    <w:rsid w:val="2CA3146B"/>
    <w:rsid w:val="2CB216AE"/>
    <w:rsid w:val="2CB25B52"/>
    <w:rsid w:val="2CB34515"/>
    <w:rsid w:val="2CB500D0"/>
    <w:rsid w:val="2CC413E2"/>
    <w:rsid w:val="2D016192"/>
    <w:rsid w:val="2D1A7254"/>
    <w:rsid w:val="2D26209C"/>
    <w:rsid w:val="2D265BF9"/>
    <w:rsid w:val="2D2F71A3"/>
    <w:rsid w:val="2D355E3C"/>
    <w:rsid w:val="2D360531"/>
    <w:rsid w:val="2D482013"/>
    <w:rsid w:val="2D564730"/>
    <w:rsid w:val="2D7158B8"/>
    <w:rsid w:val="2D7F400A"/>
    <w:rsid w:val="2D8868B3"/>
    <w:rsid w:val="2D9139BA"/>
    <w:rsid w:val="2DA21723"/>
    <w:rsid w:val="2DA336ED"/>
    <w:rsid w:val="2DAA7713"/>
    <w:rsid w:val="2DB72CF5"/>
    <w:rsid w:val="2DC72F38"/>
    <w:rsid w:val="2DCC49F2"/>
    <w:rsid w:val="2DE0224B"/>
    <w:rsid w:val="2DFE26D1"/>
    <w:rsid w:val="2E0C1D6B"/>
    <w:rsid w:val="2E262354"/>
    <w:rsid w:val="2E2850C4"/>
    <w:rsid w:val="2E291E44"/>
    <w:rsid w:val="2E304BA3"/>
    <w:rsid w:val="2E3600BD"/>
    <w:rsid w:val="2E375F69"/>
    <w:rsid w:val="2E652751"/>
    <w:rsid w:val="2E711A24"/>
    <w:rsid w:val="2E864BA1"/>
    <w:rsid w:val="2EA414CB"/>
    <w:rsid w:val="2EAE1057"/>
    <w:rsid w:val="2EB63B09"/>
    <w:rsid w:val="2ECE666B"/>
    <w:rsid w:val="2F065CE2"/>
    <w:rsid w:val="2F083808"/>
    <w:rsid w:val="2F2B5748"/>
    <w:rsid w:val="2F3445FD"/>
    <w:rsid w:val="2F450157"/>
    <w:rsid w:val="2F560A17"/>
    <w:rsid w:val="2F6173BC"/>
    <w:rsid w:val="2F634EE2"/>
    <w:rsid w:val="2F6628DC"/>
    <w:rsid w:val="2F9037FD"/>
    <w:rsid w:val="2FAC28E5"/>
    <w:rsid w:val="2FB341DC"/>
    <w:rsid w:val="2FBF3F34"/>
    <w:rsid w:val="2FC52C51"/>
    <w:rsid w:val="2FE74788"/>
    <w:rsid w:val="2FF41FDE"/>
    <w:rsid w:val="30055F99"/>
    <w:rsid w:val="30073B78"/>
    <w:rsid w:val="301601A6"/>
    <w:rsid w:val="30161F54"/>
    <w:rsid w:val="302E54F0"/>
    <w:rsid w:val="30403475"/>
    <w:rsid w:val="30474804"/>
    <w:rsid w:val="304E7940"/>
    <w:rsid w:val="30640F12"/>
    <w:rsid w:val="306F78B6"/>
    <w:rsid w:val="309335A5"/>
    <w:rsid w:val="30A9322D"/>
    <w:rsid w:val="30AC28B9"/>
    <w:rsid w:val="30AD0B0B"/>
    <w:rsid w:val="30B05F05"/>
    <w:rsid w:val="30B45F5A"/>
    <w:rsid w:val="30C45E54"/>
    <w:rsid w:val="30C9346B"/>
    <w:rsid w:val="30F2476F"/>
    <w:rsid w:val="30FF1D00"/>
    <w:rsid w:val="3106021B"/>
    <w:rsid w:val="31102E48"/>
    <w:rsid w:val="311A54E9"/>
    <w:rsid w:val="311C7A3E"/>
    <w:rsid w:val="311E5564"/>
    <w:rsid w:val="31215055"/>
    <w:rsid w:val="31216E03"/>
    <w:rsid w:val="312C2234"/>
    <w:rsid w:val="314D7BF8"/>
    <w:rsid w:val="31501496"/>
    <w:rsid w:val="316A07AA"/>
    <w:rsid w:val="31725842"/>
    <w:rsid w:val="317957AA"/>
    <w:rsid w:val="317E36F8"/>
    <w:rsid w:val="31827B83"/>
    <w:rsid w:val="318F6462"/>
    <w:rsid w:val="319E48F7"/>
    <w:rsid w:val="31B9528D"/>
    <w:rsid w:val="31D71BB7"/>
    <w:rsid w:val="31D976DD"/>
    <w:rsid w:val="31DB3455"/>
    <w:rsid w:val="31E56082"/>
    <w:rsid w:val="31FD7870"/>
    <w:rsid w:val="320F1351"/>
    <w:rsid w:val="32186458"/>
    <w:rsid w:val="32230959"/>
    <w:rsid w:val="32270449"/>
    <w:rsid w:val="322A7F39"/>
    <w:rsid w:val="3247367B"/>
    <w:rsid w:val="32560D2E"/>
    <w:rsid w:val="32566F80"/>
    <w:rsid w:val="32803FFD"/>
    <w:rsid w:val="3281224F"/>
    <w:rsid w:val="32894C60"/>
    <w:rsid w:val="32A777DC"/>
    <w:rsid w:val="32B141B6"/>
    <w:rsid w:val="32BF68D3"/>
    <w:rsid w:val="32E75E2A"/>
    <w:rsid w:val="330D1551"/>
    <w:rsid w:val="33360382"/>
    <w:rsid w:val="33525999"/>
    <w:rsid w:val="33784CD4"/>
    <w:rsid w:val="337C47C4"/>
    <w:rsid w:val="3392223A"/>
    <w:rsid w:val="33A06705"/>
    <w:rsid w:val="33A855B9"/>
    <w:rsid w:val="33A87367"/>
    <w:rsid w:val="33BE4DDD"/>
    <w:rsid w:val="33D148B1"/>
    <w:rsid w:val="33D726ED"/>
    <w:rsid w:val="33EA3E24"/>
    <w:rsid w:val="34052A0C"/>
    <w:rsid w:val="34254E5C"/>
    <w:rsid w:val="34256C0A"/>
    <w:rsid w:val="342A06C4"/>
    <w:rsid w:val="342F1837"/>
    <w:rsid w:val="34346E4D"/>
    <w:rsid w:val="34347434"/>
    <w:rsid w:val="343E1A7A"/>
    <w:rsid w:val="3441272A"/>
    <w:rsid w:val="3441319B"/>
    <w:rsid w:val="34682775"/>
    <w:rsid w:val="346C65E7"/>
    <w:rsid w:val="347831DE"/>
    <w:rsid w:val="34806536"/>
    <w:rsid w:val="348749F5"/>
    <w:rsid w:val="348E47AF"/>
    <w:rsid w:val="349D2C44"/>
    <w:rsid w:val="34B4528F"/>
    <w:rsid w:val="34C74165"/>
    <w:rsid w:val="34C91C8B"/>
    <w:rsid w:val="34D67F04"/>
    <w:rsid w:val="34D80120"/>
    <w:rsid w:val="34DB19BE"/>
    <w:rsid w:val="34E00F20"/>
    <w:rsid w:val="34E15227"/>
    <w:rsid w:val="34FA3BF3"/>
    <w:rsid w:val="35007B1B"/>
    <w:rsid w:val="350D5220"/>
    <w:rsid w:val="35223149"/>
    <w:rsid w:val="35245113"/>
    <w:rsid w:val="352B0250"/>
    <w:rsid w:val="352B64A2"/>
    <w:rsid w:val="352D221A"/>
    <w:rsid w:val="354632DC"/>
    <w:rsid w:val="355A6D87"/>
    <w:rsid w:val="355C0417"/>
    <w:rsid w:val="35633E8E"/>
    <w:rsid w:val="356C2617"/>
    <w:rsid w:val="357240D1"/>
    <w:rsid w:val="35747E49"/>
    <w:rsid w:val="3575596F"/>
    <w:rsid w:val="357B46C9"/>
    <w:rsid w:val="359009FB"/>
    <w:rsid w:val="359758E5"/>
    <w:rsid w:val="359978AF"/>
    <w:rsid w:val="35A240D4"/>
    <w:rsid w:val="35A250E3"/>
    <w:rsid w:val="35A324DC"/>
    <w:rsid w:val="35AF5AAB"/>
    <w:rsid w:val="35BE10C4"/>
    <w:rsid w:val="35CA6610"/>
    <w:rsid w:val="35DA1C76"/>
    <w:rsid w:val="35DE3514"/>
    <w:rsid w:val="35E623C9"/>
    <w:rsid w:val="35F25212"/>
    <w:rsid w:val="35FB7A22"/>
    <w:rsid w:val="35FE7713"/>
    <w:rsid w:val="36195A35"/>
    <w:rsid w:val="364A6F3B"/>
    <w:rsid w:val="36545584"/>
    <w:rsid w:val="3681072C"/>
    <w:rsid w:val="368D0A96"/>
    <w:rsid w:val="369167D9"/>
    <w:rsid w:val="36AB74CE"/>
    <w:rsid w:val="36AC3612"/>
    <w:rsid w:val="36E27034"/>
    <w:rsid w:val="36E52680"/>
    <w:rsid w:val="36EA7C97"/>
    <w:rsid w:val="36ED0492"/>
    <w:rsid w:val="36F07AD7"/>
    <w:rsid w:val="37060F75"/>
    <w:rsid w:val="370E607B"/>
    <w:rsid w:val="37154308"/>
    <w:rsid w:val="371B2546"/>
    <w:rsid w:val="371B60A2"/>
    <w:rsid w:val="371F2036"/>
    <w:rsid w:val="373A0C1E"/>
    <w:rsid w:val="37517D16"/>
    <w:rsid w:val="37712166"/>
    <w:rsid w:val="377203B8"/>
    <w:rsid w:val="37732382"/>
    <w:rsid w:val="377F0D27"/>
    <w:rsid w:val="378E4AC6"/>
    <w:rsid w:val="37936580"/>
    <w:rsid w:val="37A92E71"/>
    <w:rsid w:val="37A95DA4"/>
    <w:rsid w:val="37E312B6"/>
    <w:rsid w:val="37E34E12"/>
    <w:rsid w:val="37E90DFF"/>
    <w:rsid w:val="37F0752F"/>
    <w:rsid w:val="37F60D8B"/>
    <w:rsid w:val="37F963E3"/>
    <w:rsid w:val="380C0500"/>
    <w:rsid w:val="381625C9"/>
    <w:rsid w:val="381C6576"/>
    <w:rsid w:val="381E2337"/>
    <w:rsid w:val="38262F51"/>
    <w:rsid w:val="38451629"/>
    <w:rsid w:val="38481119"/>
    <w:rsid w:val="385E6884"/>
    <w:rsid w:val="387737AC"/>
    <w:rsid w:val="38797524"/>
    <w:rsid w:val="388859B9"/>
    <w:rsid w:val="388F6D48"/>
    <w:rsid w:val="38B467AE"/>
    <w:rsid w:val="38BE762D"/>
    <w:rsid w:val="38C369F1"/>
    <w:rsid w:val="38D17360"/>
    <w:rsid w:val="38DE55D9"/>
    <w:rsid w:val="38E726E0"/>
    <w:rsid w:val="38E86458"/>
    <w:rsid w:val="38EF77E6"/>
    <w:rsid w:val="38FD63A7"/>
    <w:rsid w:val="39072D82"/>
    <w:rsid w:val="39243934"/>
    <w:rsid w:val="392B0556"/>
    <w:rsid w:val="394144E6"/>
    <w:rsid w:val="396A50BF"/>
    <w:rsid w:val="39A64349"/>
    <w:rsid w:val="39B10819"/>
    <w:rsid w:val="39C832FD"/>
    <w:rsid w:val="39D32FD8"/>
    <w:rsid w:val="39DE2D7E"/>
    <w:rsid w:val="39F03816"/>
    <w:rsid w:val="39F96B6F"/>
    <w:rsid w:val="3A0177D1"/>
    <w:rsid w:val="3A080B60"/>
    <w:rsid w:val="3A184B1B"/>
    <w:rsid w:val="3A190FBF"/>
    <w:rsid w:val="3A2160C5"/>
    <w:rsid w:val="3A267238"/>
    <w:rsid w:val="3A282FB0"/>
    <w:rsid w:val="3A4D0C68"/>
    <w:rsid w:val="3A5244D1"/>
    <w:rsid w:val="3A6769F0"/>
    <w:rsid w:val="3A745884"/>
    <w:rsid w:val="3A797CAF"/>
    <w:rsid w:val="3A7E52C6"/>
    <w:rsid w:val="3A816B64"/>
    <w:rsid w:val="3A9643BE"/>
    <w:rsid w:val="3A9B5E78"/>
    <w:rsid w:val="3AA56A3E"/>
    <w:rsid w:val="3AAD68F3"/>
    <w:rsid w:val="3AB26D1E"/>
    <w:rsid w:val="3AB46F3A"/>
    <w:rsid w:val="3AB64A60"/>
    <w:rsid w:val="3ACA22B9"/>
    <w:rsid w:val="3ACD3B57"/>
    <w:rsid w:val="3ACE574C"/>
    <w:rsid w:val="3AD14FE6"/>
    <w:rsid w:val="3ADD50BB"/>
    <w:rsid w:val="3ADE5D64"/>
    <w:rsid w:val="3AFE01B5"/>
    <w:rsid w:val="3B037579"/>
    <w:rsid w:val="3B091033"/>
    <w:rsid w:val="3B0B0AD5"/>
    <w:rsid w:val="3B6B19B8"/>
    <w:rsid w:val="3B6D5039"/>
    <w:rsid w:val="3B7566C9"/>
    <w:rsid w:val="3B8561E0"/>
    <w:rsid w:val="3B9052B1"/>
    <w:rsid w:val="3B935388"/>
    <w:rsid w:val="3B9823B7"/>
    <w:rsid w:val="3BB90CD7"/>
    <w:rsid w:val="3BBB7E54"/>
    <w:rsid w:val="3BDD426E"/>
    <w:rsid w:val="3BE13D5E"/>
    <w:rsid w:val="3BF0408B"/>
    <w:rsid w:val="3BFF2436"/>
    <w:rsid w:val="3C0161AE"/>
    <w:rsid w:val="3C033CD5"/>
    <w:rsid w:val="3C0E2679"/>
    <w:rsid w:val="3C1C08F2"/>
    <w:rsid w:val="3C221C81"/>
    <w:rsid w:val="3C3E2F5F"/>
    <w:rsid w:val="3C4E234C"/>
    <w:rsid w:val="3C6978B0"/>
    <w:rsid w:val="3C784739"/>
    <w:rsid w:val="3CB90837"/>
    <w:rsid w:val="3CBF1A5E"/>
    <w:rsid w:val="3CD25455"/>
    <w:rsid w:val="3CDB255C"/>
    <w:rsid w:val="3CF90C34"/>
    <w:rsid w:val="3CFE449C"/>
    <w:rsid w:val="3D015D3A"/>
    <w:rsid w:val="3D303804"/>
    <w:rsid w:val="3D3659E4"/>
    <w:rsid w:val="3D516CC2"/>
    <w:rsid w:val="3D6267D9"/>
    <w:rsid w:val="3D934BE4"/>
    <w:rsid w:val="3D947A19"/>
    <w:rsid w:val="3DA9265A"/>
    <w:rsid w:val="3DA94408"/>
    <w:rsid w:val="3DDF42CD"/>
    <w:rsid w:val="3E030956"/>
    <w:rsid w:val="3E077380"/>
    <w:rsid w:val="3E10477B"/>
    <w:rsid w:val="3E3C2B86"/>
    <w:rsid w:val="3E4B54BF"/>
    <w:rsid w:val="3E5527E2"/>
    <w:rsid w:val="3E6447D3"/>
    <w:rsid w:val="3E6842C3"/>
    <w:rsid w:val="3E802591"/>
    <w:rsid w:val="3E8B7FB1"/>
    <w:rsid w:val="3E9926CE"/>
    <w:rsid w:val="3EA6303D"/>
    <w:rsid w:val="3EA84E5D"/>
    <w:rsid w:val="3EC11C25"/>
    <w:rsid w:val="3EC534C3"/>
    <w:rsid w:val="3ED43706"/>
    <w:rsid w:val="3ED50CA5"/>
    <w:rsid w:val="3ED5122D"/>
    <w:rsid w:val="3ED53549"/>
    <w:rsid w:val="3ED656D0"/>
    <w:rsid w:val="3EEB0A50"/>
    <w:rsid w:val="3F0E09A9"/>
    <w:rsid w:val="3F1104B7"/>
    <w:rsid w:val="3F2216AD"/>
    <w:rsid w:val="3F2D5E1C"/>
    <w:rsid w:val="3F4C14EF"/>
    <w:rsid w:val="3F52287D"/>
    <w:rsid w:val="3F5B7984"/>
    <w:rsid w:val="3F8F587F"/>
    <w:rsid w:val="3F93085A"/>
    <w:rsid w:val="3F9B5FD2"/>
    <w:rsid w:val="3FBB48C6"/>
    <w:rsid w:val="3FCD1DFE"/>
    <w:rsid w:val="3FCF2120"/>
    <w:rsid w:val="3FD15E98"/>
    <w:rsid w:val="401D7FC2"/>
    <w:rsid w:val="402A69BE"/>
    <w:rsid w:val="403B4DBB"/>
    <w:rsid w:val="4044724E"/>
    <w:rsid w:val="404B5C4A"/>
    <w:rsid w:val="405A40DF"/>
    <w:rsid w:val="40833636"/>
    <w:rsid w:val="408B4299"/>
    <w:rsid w:val="408C16E3"/>
    <w:rsid w:val="409018AF"/>
    <w:rsid w:val="40B97058"/>
    <w:rsid w:val="40C652D1"/>
    <w:rsid w:val="40D07EFD"/>
    <w:rsid w:val="40DA0D7C"/>
    <w:rsid w:val="40E83499"/>
    <w:rsid w:val="414C1C7A"/>
    <w:rsid w:val="414C7ECC"/>
    <w:rsid w:val="416F7716"/>
    <w:rsid w:val="41805DAA"/>
    <w:rsid w:val="41A62A24"/>
    <w:rsid w:val="41AC44C7"/>
    <w:rsid w:val="41BE41FA"/>
    <w:rsid w:val="41BF069E"/>
    <w:rsid w:val="41C77552"/>
    <w:rsid w:val="41D35EF7"/>
    <w:rsid w:val="41D91034"/>
    <w:rsid w:val="41E9571B"/>
    <w:rsid w:val="41F91695"/>
    <w:rsid w:val="42263950"/>
    <w:rsid w:val="42415557"/>
    <w:rsid w:val="42417305"/>
    <w:rsid w:val="42426BD9"/>
    <w:rsid w:val="42507548"/>
    <w:rsid w:val="427663E1"/>
    <w:rsid w:val="427A45C5"/>
    <w:rsid w:val="429172CC"/>
    <w:rsid w:val="42B07FE6"/>
    <w:rsid w:val="42BB6E80"/>
    <w:rsid w:val="42CE0484"/>
    <w:rsid w:val="42F51FEF"/>
    <w:rsid w:val="42F73E67"/>
    <w:rsid w:val="42F9198D"/>
    <w:rsid w:val="43054933"/>
    <w:rsid w:val="430B16C1"/>
    <w:rsid w:val="431F54B9"/>
    <w:rsid w:val="432804C5"/>
    <w:rsid w:val="434370AD"/>
    <w:rsid w:val="43566DE0"/>
    <w:rsid w:val="436D4129"/>
    <w:rsid w:val="43811983"/>
    <w:rsid w:val="43866F99"/>
    <w:rsid w:val="43963680"/>
    <w:rsid w:val="43993170"/>
    <w:rsid w:val="439E42E3"/>
    <w:rsid w:val="43A14703"/>
    <w:rsid w:val="43B34232"/>
    <w:rsid w:val="43BC29BB"/>
    <w:rsid w:val="43EA39CC"/>
    <w:rsid w:val="43FA7D96"/>
    <w:rsid w:val="43FB1735"/>
    <w:rsid w:val="44366C11"/>
    <w:rsid w:val="443822C9"/>
    <w:rsid w:val="44472BCC"/>
    <w:rsid w:val="444C3D3F"/>
    <w:rsid w:val="44531571"/>
    <w:rsid w:val="445D5F4C"/>
    <w:rsid w:val="44775290"/>
    <w:rsid w:val="4484172B"/>
    <w:rsid w:val="4487121B"/>
    <w:rsid w:val="44957494"/>
    <w:rsid w:val="449C4CC6"/>
    <w:rsid w:val="44BA15F0"/>
    <w:rsid w:val="44CD4E80"/>
    <w:rsid w:val="44D0671E"/>
    <w:rsid w:val="44D3620E"/>
    <w:rsid w:val="44FE772F"/>
    <w:rsid w:val="4508235C"/>
    <w:rsid w:val="450B3BFA"/>
    <w:rsid w:val="451E56DB"/>
    <w:rsid w:val="451F670F"/>
    <w:rsid w:val="45356EC9"/>
    <w:rsid w:val="45521829"/>
    <w:rsid w:val="455F36F2"/>
    <w:rsid w:val="45617CBE"/>
    <w:rsid w:val="45667082"/>
    <w:rsid w:val="45717F01"/>
    <w:rsid w:val="457C0654"/>
    <w:rsid w:val="45A8769B"/>
    <w:rsid w:val="45B147A1"/>
    <w:rsid w:val="45B20519"/>
    <w:rsid w:val="45BE0C6C"/>
    <w:rsid w:val="45C60805"/>
    <w:rsid w:val="45D466E2"/>
    <w:rsid w:val="45DB7850"/>
    <w:rsid w:val="460F75B1"/>
    <w:rsid w:val="46224ADA"/>
    <w:rsid w:val="46445615"/>
    <w:rsid w:val="464F7B16"/>
    <w:rsid w:val="46562C4A"/>
    <w:rsid w:val="465810C1"/>
    <w:rsid w:val="46587D6C"/>
    <w:rsid w:val="465A0995"/>
    <w:rsid w:val="465C379B"/>
    <w:rsid w:val="4672373B"/>
    <w:rsid w:val="46731A57"/>
    <w:rsid w:val="468731C3"/>
    <w:rsid w:val="468D39EA"/>
    <w:rsid w:val="469F284C"/>
    <w:rsid w:val="46A63BDA"/>
    <w:rsid w:val="46A95479"/>
    <w:rsid w:val="46CA7B5A"/>
    <w:rsid w:val="46D16626"/>
    <w:rsid w:val="46D85D5E"/>
    <w:rsid w:val="46F8000E"/>
    <w:rsid w:val="47017063"/>
    <w:rsid w:val="4704295F"/>
    <w:rsid w:val="47064679"/>
    <w:rsid w:val="475E44B5"/>
    <w:rsid w:val="47777325"/>
    <w:rsid w:val="477C493B"/>
    <w:rsid w:val="47975C19"/>
    <w:rsid w:val="479A3013"/>
    <w:rsid w:val="47AD5B80"/>
    <w:rsid w:val="47B023EB"/>
    <w:rsid w:val="47CA7D9C"/>
    <w:rsid w:val="47EA7AF7"/>
    <w:rsid w:val="47F170D7"/>
    <w:rsid w:val="47F44E19"/>
    <w:rsid w:val="47FD5DF2"/>
    <w:rsid w:val="480908C5"/>
    <w:rsid w:val="481C13BF"/>
    <w:rsid w:val="488F68F0"/>
    <w:rsid w:val="48A0105D"/>
    <w:rsid w:val="48B00D40"/>
    <w:rsid w:val="48C77E38"/>
    <w:rsid w:val="48D35B86"/>
    <w:rsid w:val="48DD58AD"/>
    <w:rsid w:val="48EB1D78"/>
    <w:rsid w:val="4907292A"/>
    <w:rsid w:val="493556E9"/>
    <w:rsid w:val="493F3E72"/>
    <w:rsid w:val="494E1C53"/>
    <w:rsid w:val="495C2C76"/>
    <w:rsid w:val="4961028C"/>
    <w:rsid w:val="49757894"/>
    <w:rsid w:val="498F2A6E"/>
    <w:rsid w:val="49975A5C"/>
    <w:rsid w:val="49A5461D"/>
    <w:rsid w:val="49A62143"/>
    <w:rsid w:val="49BF133E"/>
    <w:rsid w:val="49C12AD9"/>
    <w:rsid w:val="49C36851"/>
    <w:rsid w:val="49CA4084"/>
    <w:rsid w:val="49D05807"/>
    <w:rsid w:val="49E905DC"/>
    <w:rsid w:val="49F42EAF"/>
    <w:rsid w:val="4A01097D"/>
    <w:rsid w:val="4A183615"/>
    <w:rsid w:val="4A1C3833"/>
    <w:rsid w:val="4A266DE0"/>
    <w:rsid w:val="4A3E05CE"/>
    <w:rsid w:val="4A4C6847"/>
    <w:rsid w:val="4A4F27DB"/>
    <w:rsid w:val="4A590F64"/>
    <w:rsid w:val="4A5B0554"/>
    <w:rsid w:val="4A5B1180"/>
    <w:rsid w:val="4A6873F9"/>
    <w:rsid w:val="4A6A13C3"/>
    <w:rsid w:val="4A8835F7"/>
    <w:rsid w:val="4A883874"/>
    <w:rsid w:val="4A8A55C1"/>
    <w:rsid w:val="4A8E6E5F"/>
    <w:rsid w:val="4A8F2BD7"/>
    <w:rsid w:val="4A8F4985"/>
    <w:rsid w:val="4A9F5E3B"/>
    <w:rsid w:val="4AB32D6A"/>
    <w:rsid w:val="4AC565F9"/>
    <w:rsid w:val="4AF74789"/>
    <w:rsid w:val="4B094738"/>
    <w:rsid w:val="4B11183E"/>
    <w:rsid w:val="4B202062"/>
    <w:rsid w:val="4B281394"/>
    <w:rsid w:val="4B2B6DA4"/>
    <w:rsid w:val="4B320132"/>
    <w:rsid w:val="4B3D0885"/>
    <w:rsid w:val="4B425E9C"/>
    <w:rsid w:val="4B4E43A6"/>
    <w:rsid w:val="4B5C4BC0"/>
    <w:rsid w:val="4B7342A7"/>
    <w:rsid w:val="4B7F2792"/>
    <w:rsid w:val="4B7F49FA"/>
    <w:rsid w:val="4B8D7117"/>
    <w:rsid w:val="4BB156FA"/>
    <w:rsid w:val="4BB41A6E"/>
    <w:rsid w:val="4BB64397"/>
    <w:rsid w:val="4BC845F3"/>
    <w:rsid w:val="4BCE582C"/>
    <w:rsid w:val="4BDE7972"/>
    <w:rsid w:val="4BDF36EB"/>
    <w:rsid w:val="4BE13907"/>
    <w:rsid w:val="4BE156B5"/>
    <w:rsid w:val="4BE551A5"/>
    <w:rsid w:val="4C0849EF"/>
    <w:rsid w:val="4C0F2222"/>
    <w:rsid w:val="4C0F5D7E"/>
    <w:rsid w:val="4C15535E"/>
    <w:rsid w:val="4C290DCF"/>
    <w:rsid w:val="4C3C7499"/>
    <w:rsid w:val="4C4243A5"/>
    <w:rsid w:val="4C672C81"/>
    <w:rsid w:val="4C7D4327"/>
    <w:rsid w:val="4C820C46"/>
    <w:rsid w:val="4CAC181F"/>
    <w:rsid w:val="4CB952A0"/>
    <w:rsid w:val="4CC86CA3"/>
    <w:rsid w:val="4CCE3E8B"/>
    <w:rsid w:val="4CE30117"/>
    <w:rsid w:val="4CF84A64"/>
    <w:rsid w:val="4CFD207A"/>
    <w:rsid w:val="4D077263"/>
    <w:rsid w:val="4D084657"/>
    <w:rsid w:val="4D090A1F"/>
    <w:rsid w:val="4D096BD6"/>
    <w:rsid w:val="4D0E24D9"/>
    <w:rsid w:val="4D317F76"/>
    <w:rsid w:val="4D3B0DF4"/>
    <w:rsid w:val="4D3D2DBF"/>
    <w:rsid w:val="4D440B3B"/>
    <w:rsid w:val="4D44414D"/>
    <w:rsid w:val="4D5C1497"/>
    <w:rsid w:val="4D5C3245"/>
    <w:rsid w:val="4D6C0FAE"/>
    <w:rsid w:val="4D704F42"/>
    <w:rsid w:val="4D782049"/>
    <w:rsid w:val="4D7F0CE1"/>
    <w:rsid w:val="4D9B6609"/>
    <w:rsid w:val="4DA150FB"/>
    <w:rsid w:val="4DA7365D"/>
    <w:rsid w:val="4DAB5F7A"/>
    <w:rsid w:val="4DB841F3"/>
    <w:rsid w:val="4DC81616"/>
    <w:rsid w:val="4DCE104D"/>
    <w:rsid w:val="4DD454D1"/>
    <w:rsid w:val="4DD728CB"/>
    <w:rsid w:val="4DE44FE8"/>
    <w:rsid w:val="4DF53699"/>
    <w:rsid w:val="4DFC67D6"/>
    <w:rsid w:val="4E197388"/>
    <w:rsid w:val="4E1F4272"/>
    <w:rsid w:val="4E241889"/>
    <w:rsid w:val="4E2A3343"/>
    <w:rsid w:val="4E3E294A"/>
    <w:rsid w:val="4E50267E"/>
    <w:rsid w:val="4E715E0B"/>
    <w:rsid w:val="4E83505D"/>
    <w:rsid w:val="4E872543"/>
    <w:rsid w:val="4E8862BB"/>
    <w:rsid w:val="4E8A004E"/>
    <w:rsid w:val="4E93713A"/>
    <w:rsid w:val="4E992DD9"/>
    <w:rsid w:val="4E9E3E16"/>
    <w:rsid w:val="4EB47032"/>
    <w:rsid w:val="4EB86BA1"/>
    <w:rsid w:val="4ECD3CCE"/>
    <w:rsid w:val="4EDB0166"/>
    <w:rsid w:val="4EDF1230"/>
    <w:rsid w:val="4EE53D72"/>
    <w:rsid w:val="4EF13E61"/>
    <w:rsid w:val="4F457D08"/>
    <w:rsid w:val="4F4977F9"/>
    <w:rsid w:val="4F5E3B4E"/>
    <w:rsid w:val="4F691735"/>
    <w:rsid w:val="4F8545A9"/>
    <w:rsid w:val="4F9111A0"/>
    <w:rsid w:val="4F93316A"/>
    <w:rsid w:val="4FA233AD"/>
    <w:rsid w:val="4FA709C3"/>
    <w:rsid w:val="4FB07878"/>
    <w:rsid w:val="4FB21842"/>
    <w:rsid w:val="4FB31116"/>
    <w:rsid w:val="4FBD1F95"/>
    <w:rsid w:val="4FC11A85"/>
    <w:rsid w:val="4FCB46B2"/>
    <w:rsid w:val="4FCD042A"/>
    <w:rsid w:val="4FDB7693"/>
    <w:rsid w:val="4FEE03A0"/>
    <w:rsid w:val="4FF52BAA"/>
    <w:rsid w:val="4FF80565"/>
    <w:rsid w:val="4FF9121F"/>
    <w:rsid w:val="50025BF9"/>
    <w:rsid w:val="501716A5"/>
    <w:rsid w:val="501778F7"/>
    <w:rsid w:val="5028102C"/>
    <w:rsid w:val="50306C0B"/>
    <w:rsid w:val="503A5393"/>
    <w:rsid w:val="503F0BFC"/>
    <w:rsid w:val="505062AF"/>
    <w:rsid w:val="50526B81"/>
    <w:rsid w:val="50591CBD"/>
    <w:rsid w:val="50724B2D"/>
    <w:rsid w:val="509176A9"/>
    <w:rsid w:val="5099030C"/>
    <w:rsid w:val="50A0169A"/>
    <w:rsid w:val="50A218B6"/>
    <w:rsid w:val="50AD2009"/>
    <w:rsid w:val="50BB2978"/>
    <w:rsid w:val="50C64E79"/>
    <w:rsid w:val="50C934FD"/>
    <w:rsid w:val="50CD4459"/>
    <w:rsid w:val="50DF58C1"/>
    <w:rsid w:val="50E377D9"/>
    <w:rsid w:val="50F97A8C"/>
    <w:rsid w:val="51087240"/>
    <w:rsid w:val="510A120A"/>
    <w:rsid w:val="511D2CEB"/>
    <w:rsid w:val="512300E0"/>
    <w:rsid w:val="5128120B"/>
    <w:rsid w:val="513B7615"/>
    <w:rsid w:val="514A5AAA"/>
    <w:rsid w:val="514C1822"/>
    <w:rsid w:val="51510BE7"/>
    <w:rsid w:val="51516E38"/>
    <w:rsid w:val="515F5A90"/>
    <w:rsid w:val="51764AF1"/>
    <w:rsid w:val="51825244"/>
    <w:rsid w:val="5196418D"/>
    <w:rsid w:val="51980D4A"/>
    <w:rsid w:val="51A74CAA"/>
    <w:rsid w:val="51A81F9C"/>
    <w:rsid w:val="51CC4711"/>
    <w:rsid w:val="51D610EC"/>
    <w:rsid w:val="51D6733E"/>
    <w:rsid w:val="51DD3CF4"/>
    <w:rsid w:val="51F91887"/>
    <w:rsid w:val="52097713"/>
    <w:rsid w:val="520B348B"/>
    <w:rsid w:val="520C7CAB"/>
    <w:rsid w:val="520E39C4"/>
    <w:rsid w:val="521F646D"/>
    <w:rsid w:val="521F6F37"/>
    <w:rsid w:val="522B58DB"/>
    <w:rsid w:val="522D5360"/>
    <w:rsid w:val="52320A18"/>
    <w:rsid w:val="523A13C9"/>
    <w:rsid w:val="52691F60"/>
    <w:rsid w:val="526A6404"/>
    <w:rsid w:val="52750905"/>
    <w:rsid w:val="52770B21"/>
    <w:rsid w:val="52787340"/>
    <w:rsid w:val="528F7C18"/>
    <w:rsid w:val="52A35472"/>
    <w:rsid w:val="52A42F98"/>
    <w:rsid w:val="52A526FE"/>
    <w:rsid w:val="52A66D10"/>
    <w:rsid w:val="52B21B59"/>
    <w:rsid w:val="52D03D8D"/>
    <w:rsid w:val="52D27B05"/>
    <w:rsid w:val="52E15F9A"/>
    <w:rsid w:val="52E636C6"/>
    <w:rsid w:val="52F65EE9"/>
    <w:rsid w:val="5302048C"/>
    <w:rsid w:val="53035F10"/>
    <w:rsid w:val="532723D6"/>
    <w:rsid w:val="53456529"/>
    <w:rsid w:val="53672943"/>
    <w:rsid w:val="537B0041"/>
    <w:rsid w:val="537B63EF"/>
    <w:rsid w:val="53B65679"/>
    <w:rsid w:val="53D224B3"/>
    <w:rsid w:val="53D40987"/>
    <w:rsid w:val="53D578AD"/>
    <w:rsid w:val="53DA3115"/>
    <w:rsid w:val="53EA0E7E"/>
    <w:rsid w:val="53F51CFD"/>
    <w:rsid w:val="54060FA4"/>
    <w:rsid w:val="542A243C"/>
    <w:rsid w:val="542C153F"/>
    <w:rsid w:val="54413194"/>
    <w:rsid w:val="5451789C"/>
    <w:rsid w:val="546F7BE3"/>
    <w:rsid w:val="548B0DE9"/>
    <w:rsid w:val="548E5CAE"/>
    <w:rsid w:val="549A28A4"/>
    <w:rsid w:val="54AF6350"/>
    <w:rsid w:val="54CA13DC"/>
    <w:rsid w:val="54CE0F89"/>
    <w:rsid w:val="54F833D3"/>
    <w:rsid w:val="5507618C"/>
    <w:rsid w:val="5512068D"/>
    <w:rsid w:val="55134FF8"/>
    <w:rsid w:val="551C21A7"/>
    <w:rsid w:val="551E34D6"/>
    <w:rsid w:val="552C5BF2"/>
    <w:rsid w:val="55314FB7"/>
    <w:rsid w:val="553D4864"/>
    <w:rsid w:val="55450A62"/>
    <w:rsid w:val="554566F2"/>
    <w:rsid w:val="554E3DBB"/>
    <w:rsid w:val="55570796"/>
    <w:rsid w:val="555D2250"/>
    <w:rsid w:val="55675466"/>
    <w:rsid w:val="556C2493"/>
    <w:rsid w:val="55711857"/>
    <w:rsid w:val="557D01FC"/>
    <w:rsid w:val="558477DD"/>
    <w:rsid w:val="55A25EB5"/>
    <w:rsid w:val="55AA4D69"/>
    <w:rsid w:val="55AC288F"/>
    <w:rsid w:val="55BD684B"/>
    <w:rsid w:val="55CE2806"/>
    <w:rsid w:val="55D63080"/>
    <w:rsid w:val="55F04E72"/>
    <w:rsid w:val="56024BA5"/>
    <w:rsid w:val="56156687"/>
    <w:rsid w:val="561A3C9D"/>
    <w:rsid w:val="562653FF"/>
    <w:rsid w:val="56332FB1"/>
    <w:rsid w:val="56383EDB"/>
    <w:rsid w:val="564209B4"/>
    <w:rsid w:val="56554CD5"/>
    <w:rsid w:val="56574EF1"/>
    <w:rsid w:val="567A0BDF"/>
    <w:rsid w:val="567D422C"/>
    <w:rsid w:val="568A7075"/>
    <w:rsid w:val="56941CA1"/>
    <w:rsid w:val="569752EE"/>
    <w:rsid w:val="56A25A40"/>
    <w:rsid w:val="56B23ED5"/>
    <w:rsid w:val="56BA0FDC"/>
    <w:rsid w:val="56DD22AA"/>
    <w:rsid w:val="56DF7CA4"/>
    <w:rsid w:val="56E12A0D"/>
    <w:rsid w:val="56E147BB"/>
    <w:rsid w:val="56EE0C86"/>
    <w:rsid w:val="57103F7B"/>
    <w:rsid w:val="571E1156"/>
    <w:rsid w:val="572A7F10"/>
    <w:rsid w:val="575256B8"/>
    <w:rsid w:val="57574A7D"/>
    <w:rsid w:val="57603931"/>
    <w:rsid w:val="577218B7"/>
    <w:rsid w:val="57764369"/>
    <w:rsid w:val="57771297"/>
    <w:rsid w:val="579730CB"/>
    <w:rsid w:val="579E08FE"/>
    <w:rsid w:val="57A83A08"/>
    <w:rsid w:val="57CF2DE7"/>
    <w:rsid w:val="57D165DD"/>
    <w:rsid w:val="57E83927"/>
    <w:rsid w:val="57F40CD0"/>
    <w:rsid w:val="5809221B"/>
    <w:rsid w:val="58296419"/>
    <w:rsid w:val="584414A5"/>
    <w:rsid w:val="584E7C2E"/>
    <w:rsid w:val="58535244"/>
    <w:rsid w:val="585B234B"/>
    <w:rsid w:val="586631C9"/>
    <w:rsid w:val="587C0C3F"/>
    <w:rsid w:val="5895585D"/>
    <w:rsid w:val="5899060A"/>
    <w:rsid w:val="589A168E"/>
    <w:rsid w:val="58A12453"/>
    <w:rsid w:val="58B008E9"/>
    <w:rsid w:val="58C93758"/>
    <w:rsid w:val="58CA527F"/>
    <w:rsid w:val="58F00CE5"/>
    <w:rsid w:val="59036C6A"/>
    <w:rsid w:val="590429E2"/>
    <w:rsid w:val="591C41D0"/>
    <w:rsid w:val="59262959"/>
    <w:rsid w:val="593037D7"/>
    <w:rsid w:val="595E20F3"/>
    <w:rsid w:val="596A6CE9"/>
    <w:rsid w:val="596D0588"/>
    <w:rsid w:val="596D2336"/>
    <w:rsid w:val="59777658"/>
    <w:rsid w:val="597838B3"/>
    <w:rsid w:val="59944FA9"/>
    <w:rsid w:val="59973856"/>
    <w:rsid w:val="59AA2C98"/>
    <w:rsid w:val="59AD6BD6"/>
    <w:rsid w:val="59BD150F"/>
    <w:rsid w:val="59D75B33"/>
    <w:rsid w:val="59E051FD"/>
    <w:rsid w:val="59EA7E2A"/>
    <w:rsid w:val="59F14D15"/>
    <w:rsid w:val="5A0342F6"/>
    <w:rsid w:val="5A0E1D6B"/>
    <w:rsid w:val="5A0F7891"/>
    <w:rsid w:val="5A13112F"/>
    <w:rsid w:val="5A1E62F5"/>
    <w:rsid w:val="5A2A6479"/>
    <w:rsid w:val="5A2C3F9F"/>
    <w:rsid w:val="5A4C30A3"/>
    <w:rsid w:val="5A574D33"/>
    <w:rsid w:val="5A706581"/>
    <w:rsid w:val="5A8E4C59"/>
    <w:rsid w:val="5A9B2ED2"/>
    <w:rsid w:val="5A9C7376"/>
    <w:rsid w:val="5AAC50E0"/>
    <w:rsid w:val="5AB53F94"/>
    <w:rsid w:val="5AD36B10"/>
    <w:rsid w:val="5ADD34EB"/>
    <w:rsid w:val="5B10566E"/>
    <w:rsid w:val="5B163769"/>
    <w:rsid w:val="5B1D417B"/>
    <w:rsid w:val="5B242EC8"/>
    <w:rsid w:val="5B2B6E12"/>
    <w:rsid w:val="5B2D7FCE"/>
    <w:rsid w:val="5B3255E5"/>
    <w:rsid w:val="5B345801"/>
    <w:rsid w:val="5B3550D5"/>
    <w:rsid w:val="5B3E21DC"/>
    <w:rsid w:val="5B435A44"/>
    <w:rsid w:val="5B5C08B4"/>
    <w:rsid w:val="5B6836FC"/>
    <w:rsid w:val="5B6D2AC1"/>
    <w:rsid w:val="5B845F39"/>
    <w:rsid w:val="5B9718EC"/>
    <w:rsid w:val="5BA74225"/>
    <w:rsid w:val="5BA858A7"/>
    <w:rsid w:val="5BB62BF4"/>
    <w:rsid w:val="5BC4185F"/>
    <w:rsid w:val="5BC67A99"/>
    <w:rsid w:val="5BCA1CC1"/>
    <w:rsid w:val="5BCF560E"/>
    <w:rsid w:val="5BDC37A3"/>
    <w:rsid w:val="5BE03293"/>
    <w:rsid w:val="5BF73773"/>
    <w:rsid w:val="5C0056E3"/>
    <w:rsid w:val="5C0F3B78"/>
    <w:rsid w:val="5C14118E"/>
    <w:rsid w:val="5C1B42CB"/>
    <w:rsid w:val="5C272945"/>
    <w:rsid w:val="5C2E0FC6"/>
    <w:rsid w:val="5C45397C"/>
    <w:rsid w:val="5C4A6E10"/>
    <w:rsid w:val="5C4F21C6"/>
    <w:rsid w:val="5C7B120D"/>
    <w:rsid w:val="5C902F0B"/>
    <w:rsid w:val="5C950521"/>
    <w:rsid w:val="5CB309A7"/>
    <w:rsid w:val="5CBF2236"/>
    <w:rsid w:val="5CC0462F"/>
    <w:rsid w:val="5CC04E72"/>
    <w:rsid w:val="5CD821BC"/>
    <w:rsid w:val="5CDC6150"/>
    <w:rsid w:val="5CEB0141"/>
    <w:rsid w:val="5CEE5E83"/>
    <w:rsid w:val="5CF979D4"/>
    <w:rsid w:val="5D221689"/>
    <w:rsid w:val="5D2673CB"/>
    <w:rsid w:val="5D4D6706"/>
    <w:rsid w:val="5D506A1D"/>
    <w:rsid w:val="5D5750F2"/>
    <w:rsid w:val="5D690575"/>
    <w:rsid w:val="5D8E6B86"/>
    <w:rsid w:val="5D973E25"/>
    <w:rsid w:val="5DAA43BA"/>
    <w:rsid w:val="5DAF751F"/>
    <w:rsid w:val="5DB70023"/>
    <w:rsid w:val="5DB91FED"/>
    <w:rsid w:val="5DBD092A"/>
    <w:rsid w:val="5E113BD7"/>
    <w:rsid w:val="5E241A10"/>
    <w:rsid w:val="5E420235"/>
    <w:rsid w:val="5E435949"/>
    <w:rsid w:val="5E4D0988"/>
    <w:rsid w:val="5E5D6E1D"/>
    <w:rsid w:val="5E604B5F"/>
    <w:rsid w:val="5E6A32E8"/>
    <w:rsid w:val="5E7303EE"/>
    <w:rsid w:val="5E734892"/>
    <w:rsid w:val="5E736640"/>
    <w:rsid w:val="5E756687"/>
    <w:rsid w:val="5E7B7515"/>
    <w:rsid w:val="5E8819C0"/>
    <w:rsid w:val="5E8F0379"/>
    <w:rsid w:val="5E930A90"/>
    <w:rsid w:val="5E9568F5"/>
    <w:rsid w:val="5E9860A7"/>
    <w:rsid w:val="5EB629D1"/>
    <w:rsid w:val="5EC023C8"/>
    <w:rsid w:val="5ED510A9"/>
    <w:rsid w:val="5ED82947"/>
    <w:rsid w:val="5EDF13B1"/>
    <w:rsid w:val="5EDF7832"/>
    <w:rsid w:val="5EED5BDD"/>
    <w:rsid w:val="5EF64B7B"/>
    <w:rsid w:val="5EF84D97"/>
    <w:rsid w:val="5F011023"/>
    <w:rsid w:val="5F0C25F1"/>
    <w:rsid w:val="5F1F615A"/>
    <w:rsid w:val="5F201E20"/>
    <w:rsid w:val="5F225970"/>
    <w:rsid w:val="5F2711D9"/>
    <w:rsid w:val="5F2F2831"/>
    <w:rsid w:val="5F557AF4"/>
    <w:rsid w:val="5F5C0E82"/>
    <w:rsid w:val="5F61293D"/>
    <w:rsid w:val="5F6E0BB6"/>
    <w:rsid w:val="5F8108E9"/>
    <w:rsid w:val="5F88611B"/>
    <w:rsid w:val="5F8D3CAC"/>
    <w:rsid w:val="5F9D4C39"/>
    <w:rsid w:val="5FA12D39"/>
    <w:rsid w:val="5FB213EA"/>
    <w:rsid w:val="5FC133DB"/>
    <w:rsid w:val="5FC86518"/>
    <w:rsid w:val="5FCD7FD2"/>
    <w:rsid w:val="5FD24066"/>
    <w:rsid w:val="5FD96977"/>
    <w:rsid w:val="5FDA624B"/>
    <w:rsid w:val="602A5424"/>
    <w:rsid w:val="60543434"/>
    <w:rsid w:val="605E7B3E"/>
    <w:rsid w:val="608A76DC"/>
    <w:rsid w:val="60932FCA"/>
    <w:rsid w:val="6098413C"/>
    <w:rsid w:val="609D5BF6"/>
    <w:rsid w:val="60B6140E"/>
    <w:rsid w:val="60C70EC5"/>
    <w:rsid w:val="60DF7FBD"/>
    <w:rsid w:val="60EA0C7D"/>
    <w:rsid w:val="610712C2"/>
    <w:rsid w:val="610C4B2A"/>
    <w:rsid w:val="610E08A2"/>
    <w:rsid w:val="611A0FF5"/>
    <w:rsid w:val="611A7202"/>
    <w:rsid w:val="611B2C3C"/>
    <w:rsid w:val="611F2AAF"/>
    <w:rsid w:val="6122434D"/>
    <w:rsid w:val="6126799A"/>
    <w:rsid w:val="612754C0"/>
    <w:rsid w:val="612E4AA0"/>
    <w:rsid w:val="61354081"/>
    <w:rsid w:val="6142679E"/>
    <w:rsid w:val="61475B62"/>
    <w:rsid w:val="614C4F26"/>
    <w:rsid w:val="61665FE8"/>
    <w:rsid w:val="61671D60"/>
    <w:rsid w:val="616B35FF"/>
    <w:rsid w:val="616E1341"/>
    <w:rsid w:val="6171498D"/>
    <w:rsid w:val="617E0876"/>
    <w:rsid w:val="618F19E3"/>
    <w:rsid w:val="619568CD"/>
    <w:rsid w:val="61A42FB4"/>
    <w:rsid w:val="61B2122D"/>
    <w:rsid w:val="61C947C9"/>
    <w:rsid w:val="61D13B9E"/>
    <w:rsid w:val="61D218D0"/>
    <w:rsid w:val="61D513C0"/>
    <w:rsid w:val="61DD0B9F"/>
    <w:rsid w:val="61E11B13"/>
    <w:rsid w:val="61E3588B"/>
    <w:rsid w:val="620C3034"/>
    <w:rsid w:val="62127F1E"/>
    <w:rsid w:val="621C0D9D"/>
    <w:rsid w:val="62215048"/>
    <w:rsid w:val="623C31ED"/>
    <w:rsid w:val="62414951"/>
    <w:rsid w:val="62426A55"/>
    <w:rsid w:val="624A0885"/>
    <w:rsid w:val="62685D90"/>
    <w:rsid w:val="62A50D92"/>
    <w:rsid w:val="62B40FD5"/>
    <w:rsid w:val="62B72874"/>
    <w:rsid w:val="62CC631F"/>
    <w:rsid w:val="62D90A3C"/>
    <w:rsid w:val="62E97BDC"/>
    <w:rsid w:val="62ED5AA7"/>
    <w:rsid w:val="62F53AC8"/>
    <w:rsid w:val="62F615EE"/>
    <w:rsid w:val="63051831"/>
    <w:rsid w:val="630755A9"/>
    <w:rsid w:val="63091321"/>
    <w:rsid w:val="631303F2"/>
    <w:rsid w:val="63424833"/>
    <w:rsid w:val="634B7B8C"/>
    <w:rsid w:val="6353259C"/>
    <w:rsid w:val="635A7DCF"/>
    <w:rsid w:val="636724EC"/>
    <w:rsid w:val="63952BB5"/>
    <w:rsid w:val="639A01CB"/>
    <w:rsid w:val="63B868A3"/>
    <w:rsid w:val="63D556A7"/>
    <w:rsid w:val="63D72461"/>
    <w:rsid w:val="63DC07E4"/>
    <w:rsid w:val="63ED479F"/>
    <w:rsid w:val="63F0428F"/>
    <w:rsid w:val="64002BE9"/>
    <w:rsid w:val="64181EC5"/>
    <w:rsid w:val="642F125B"/>
    <w:rsid w:val="643423CE"/>
    <w:rsid w:val="643F0D73"/>
    <w:rsid w:val="644A7E43"/>
    <w:rsid w:val="645E569D"/>
    <w:rsid w:val="648139C1"/>
    <w:rsid w:val="648916D0"/>
    <w:rsid w:val="649015CE"/>
    <w:rsid w:val="64B71B62"/>
    <w:rsid w:val="64C44984"/>
    <w:rsid w:val="64DD4813"/>
    <w:rsid w:val="6502427A"/>
    <w:rsid w:val="650A75D2"/>
    <w:rsid w:val="653D1756"/>
    <w:rsid w:val="6540070B"/>
    <w:rsid w:val="65444892"/>
    <w:rsid w:val="6558033E"/>
    <w:rsid w:val="655F347A"/>
    <w:rsid w:val="65695A9D"/>
    <w:rsid w:val="657131AE"/>
    <w:rsid w:val="657659F9"/>
    <w:rsid w:val="65842F89"/>
    <w:rsid w:val="659375C8"/>
    <w:rsid w:val="65953340"/>
    <w:rsid w:val="65B65064"/>
    <w:rsid w:val="65E87914"/>
    <w:rsid w:val="65FF4C5D"/>
    <w:rsid w:val="66091638"/>
    <w:rsid w:val="661E1587"/>
    <w:rsid w:val="663522DE"/>
    <w:rsid w:val="66393956"/>
    <w:rsid w:val="664D37C1"/>
    <w:rsid w:val="66524D8D"/>
    <w:rsid w:val="666A0329"/>
    <w:rsid w:val="666B22F3"/>
    <w:rsid w:val="668E0232"/>
    <w:rsid w:val="668F5FE1"/>
    <w:rsid w:val="66925AD1"/>
    <w:rsid w:val="66941658"/>
    <w:rsid w:val="66973195"/>
    <w:rsid w:val="669B6734"/>
    <w:rsid w:val="66A01F9C"/>
    <w:rsid w:val="66B23A7E"/>
    <w:rsid w:val="66B26BFD"/>
    <w:rsid w:val="66C537B1"/>
    <w:rsid w:val="66C56213"/>
    <w:rsid w:val="66CB4B3F"/>
    <w:rsid w:val="66DC0AFB"/>
    <w:rsid w:val="66E55C01"/>
    <w:rsid w:val="66F347C2"/>
    <w:rsid w:val="66FE4F15"/>
    <w:rsid w:val="67000C8D"/>
    <w:rsid w:val="67010561"/>
    <w:rsid w:val="6707201B"/>
    <w:rsid w:val="670A1B0C"/>
    <w:rsid w:val="671958AB"/>
    <w:rsid w:val="6723497B"/>
    <w:rsid w:val="672E6309"/>
    <w:rsid w:val="67423054"/>
    <w:rsid w:val="67467314"/>
    <w:rsid w:val="675D1C3B"/>
    <w:rsid w:val="6779459B"/>
    <w:rsid w:val="677E1BB2"/>
    <w:rsid w:val="679F4002"/>
    <w:rsid w:val="67A27F96"/>
    <w:rsid w:val="67A91325"/>
    <w:rsid w:val="67D02912"/>
    <w:rsid w:val="67E7176C"/>
    <w:rsid w:val="6817628E"/>
    <w:rsid w:val="681A7B2C"/>
    <w:rsid w:val="684150B9"/>
    <w:rsid w:val="685079F2"/>
    <w:rsid w:val="686D4100"/>
    <w:rsid w:val="6871363F"/>
    <w:rsid w:val="687436E1"/>
    <w:rsid w:val="68817BAC"/>
    <w:rsid w:val="688356D2"/>
    <w:rsid w:val="68993147"/>
    <w:rsid w:val="689F0032"/>
    <w:rsid w:val="68A63855"/>
    <w:rsid w:val="68B23596"/>
    <w:rsid w:val="68B735CD"/>
    <w:rsid w:val="68B7537B"/>
    <w:rsid w:val="68BA4E6C"/>
    <w:rsid w:val="68BE495C"/>
    <w:rsid w:val="68C857DA"/>
    <w:rsid w:val="68CC52CB"/>
    <w:rsid w:val="68D423D1"/>
    <w:rsid w:val="68DC1286"/>
    <w:rsid w:val="68EA3793"/>
    <w:rsid w:val="68EE6D01"/>
    <w:rsid w:val="690802CD"/>
    <w:rsid w:val="691737EF"/>
    <w:rsid w:val="691A195A"/>
    <w:rsid w:val="691C1682"/>
    <w:rsid w:val="691C5D7F"/>
    <w:rsid w:val="691C78D4"/>
    <w:rsid w:val="693115D2"/>
    <w:rsid w:val="69313380"/>
    <w:rsid w:val="69331FB4"/>
    <w:rsid w:val="69366BE8"/>
    <w:rsid w:val="69431305"/>
    <w:rsid w:val="69584DB0"/>
    <w:rsid w:val="69644B5A"/>
    <w:rsid w:val="69666837"/>
    <w:rsid w:val="69731BEA"/>
    <w:rsid w:val="697E40EB"/>
    <w:rsid w:val="69847953"/>
    <w:rsid w:val="699B6A4B"/>
    <w:rsid w:val="699F653B"/>
    <w:rsid w:val="69A00505"/>
    <w:rsid w:val="69AA4EE0"/>
    <w:rsid w:val="69AE677E"/>
    <w:rsid w:val="69AF0748"/>
    <w:rsid w:val="69C75A92"/>
    <w:rsid w:val="6A0B1E23"/>
    <w:rsid w:val="6A1422BF"/>
    <w:rsid w:val="6A232095"/>
    <w:rsid w:val="6A3053E5"/>
    <w:rsid w:val="6A462E5B"/>
    <w:rsid w:val="6A731776"/>
    <w:rsid w:val="6A8A24F9"/>
    <w:rsid w:val="6AA67D9D"/>
    <w:rsid w:val="6ABA73A5"/>
    <w:rsid w:val="6AD42215"/>
    <w:rsid w:val="6ADE7537"/>
    <w:rsid w:val="6AF64881"/>
    <w:rsid w:val="6AF97ECD"/>
    <w:rsid w:val="6B085216"/>
    <w:rsid w:val="6B0B49BA"/>
    <w:rsid w:val="6B272C8C"/>
    <w:rsid w:val="6B362ECF"/>
    <w:rsid w:val="6B511AB7"/>
    <w:rsid w:val="6B7632CC"/>
    <w:rsid w:val="6B7C465A"/>
    <w:rsid w:val="6B80414A"/>
    <w:rsid w:val="6B824366"/>
    <w:rsid w:val="6B8C2AEF"/>
    <w:rsid w:val="6B8C40E1"/>
    <w:rsid w:val="6B8E4AB9"/>
    <w:rsid w:val="6B910106"/>
    <w:rsid w:val="6B947BF6"/>
    <w:rsid w:val="6B99520C"/>
    <w:rsid w:val="6BA51E03"/>
    <w:rsid w:val="6BBB33D4"/>
    <w:rsid w:val="6BBF2EC5"/>
    <w:rsid w:val="6BBF6778"/>
    <w:rsid w:val="6BC009EB"/>
    <w:rsid w:val="6BD6020E"/>
    <w:rsid w:val="6BF02FA5"/>
    <w:rsid w:val="6BF54B38"/>
    <w:rsid w:val="6C3311BD"/>
    <w:rsid w:val="6C450EF0"/>
    <w:rsid w:val="6C465394"/>
    <w:rsid w:val="6C467142"/>
    <w:rsid w:val="6C53185F"/>
    <w:rsid w:val="6C7146F7"/>
    <w:rsid w:val="6C7C2B64"/>
    <w:rsid w:val="6C9003BD"/>
    <w:rsid w:val="6C965C75"/>
    <w:rsid w:val="6C9F2CF6"/>
    <w:rsid w:val="6CA12577"/>
    <w:rsid w:val="6CB71DEE"/>
    <w:rsid w:val="6CD04C5E"/>
    <w:rsid w:val="6CDC3602"/>
    <w:rsid w:val="6CE95D1F"/>
    <w:rsid w:val="6CED1CB3"/>
    <w:rsid w:val="6CED5810"/>
    <w:rsid w:val="6CF52916"/>
    <w:rsid w:val="6CF7043C"/>
    <w:rsid w:val="6D016FE2"/>
    <w:rsid w:val="6D0D3798"/>
    <w:rsid w:val="6D0F39D8"/>
    <w:rsid w:val="6D1F7993"/>
    <w:rsid w:val="6D316543"/>
    <w:rsid w:val="6D325918"/>
    <w:rsid w:val="6D3A657B"/>
    <w:rsid w:val="6D401DE3"/>
    <w:rsid w:val="6D417909"/>
    <w:rsid w:val="6D454C6D"/>
    <w:rsid w:val="6D5C4743"/>
    <w:rsid w:val="6D723F67"/>
    <w:rsid w:val="6D934609"/>
    <w:rsid w:val="6DAA54AF"/>
    <w:rsid w:val="6DD16EDF"/>
    <w:rsid w:val="6DD53539"/>
    <w:rsid w:val="6DE2733E"/>
    <w:rsid w:val="6DEA1D4F"/>
    <w:rsid w:val="6DF332FA"/>
    <w:rsid w:val="6E072901"/>
    <w:rsid w:val="6E0E0133"/>
    <w:rsid w:val="6E1161F1"/>
    <w:rsid w:val="6E394AF1"/>
    <w:rsid w:val="6E6C09B6"/>
    <w:rsid w:val="6E71421E"/>
    <w:rsid w:val="6E8B7608"/>
    <w:rsid w:val="6EB1286D"/>
    <w:rsid w:val="6EB74CEA"/>
    <w:rsid w:val="6EE175F6"/>
    <w:rsid w:val="6EE42C42"/>
    <w:rsid w:val="6EE92007"/>
    <w:rsid w:val="6EF966EE"/>
    <w:rsid w:val="6F241291"/>
    <w:rsid w:val="6F2533C2"/>
    <w:rsid w:val="6F2968A7"/>
    <w:rsid w:val="6F3B4F58"/>
    <w:rsid w:val="6F5002D8"/>
    <w:rsid w:val="6F5C6C7D"/>
    <w:rsid w:val="6F655B31"/>
    <w:rsid w:val="6F89202D"/>
    <w:rsid w:val="6F8F4467"/>
    <w:rsid w:val="6FA702DC"/>
    <w:rsid w:val="6FBE7937"/>
    <w:rsid w:val="6FC84254"/>
    <w:rsid w:val="70052E70"/>
    <w:rsid w:val="7007308C"/>
    <w:rsid w:val="70310109"/>
    <w:rsid w:val="703D260A"/>
    <w:rsid w:val="70514307"/>
    <w:rsid w:val="707B1384"/>
    <w:rsid w:val="708422B7"/>
    <w:rsid w:val="7084648B"/>
    <w:rsid w:val="708741CD"/>
    <w:rsid w:val="708E10B8"/>
    <w:rsid w:val="70A94143"/>
    <w:rsid w:val="70B54732"/>
    <w:rsid w:val="70D25448"/>
    <w:rsid w:val="70D7566B"/>
    <w:rsid w:val="70DC1E23"/>
    <w:rsid w:val="70DF5DB7"/>
    <w:rsid w:val="70E471AF"/>
    <w:rsid w:val="70E60EF4"/>
    <w:rsid w:val="70F415B2"/>
    <w:rsid w:val="70F73101"/>
    <w:rsid w:val="70FC649E"/>
    <w:rsid w:val="71186BD3"/>
    <w:rsid w:val="71463740"/>
    <w:rsid w:val="714D2D21"/>
    <w:rsid w:val="714D4ACF"/>
    <w:rsid w:val="716562BC"/>
    <w:rsid w:val="71662C52"/>
    <w:rsid w:val="716A441A"/>
    <w:rsid w:val="717604C9"/>
    <w:rsid w:val="71777D9E"/>
    <w:rsid w:val="71810C1C"/>
    <w:rsid w:val="718801FD"/>
    <w:rsid w:val="71DB032D"/>
    <w:rsid w:val="71EF57F9"/>
    <w:rsid w:val="71F1168F"/>
    <w:rsid w:val="72005FE5"/>
    <w:rsid w:val="72084E9A"/>
    <w:rsid w:val="72086C48"/>
    <w:rsid w:val="722D066E"/>
    <w:rsid w:val="724A0232"/>
    <w:rsid w:val="72677E12"/>
    <w:rsid w:val="72825E07"/>
    <w:rsid w:val="72850298"/>
    <w:rsid w:val="729E2462"/>
    <w:rsid w:val="72A11576"/>
    <w:rsid w:val="72A9042B"/>
    <w:rsid w:val="72AB41A3"/>
    <w:rsid w:val="72C214EC"/>
    <w:rsid w:val="72C4515F"/>
    <w:rsid w:val="72D66D46"/>
    <w:rsid w:val="72E43211"/>
    <w:rsid w:val="72EB0A43"/>
    <w:rsid w:val="72EB27F1"/>
    <w:rsid w:val="730E533D"/>
    <w:rsid w:val="73131D48"/>
    <w:rsid w:val="7329331A"/>
    <w:rsid w:val="73520AC2"/>
    <w:rsid w:val="73536CF4"/>
    <w:rsid w:val="735A17EF"/>
    <w:rsid w:val="73722F12"/>
    <w:rsid w:val="738F5872"/>
    <w:rsid w:val="739D2CBD"/>
    <w:rsid w:val="739E1612"/>
    <w:rsid w:val="73BA21C4"/>
    <w:rsid w:val="73BA794D"/>
    <w:rsid w:val="73BC5F3C"/>
    <w:rsid w:val="73CD1EF7"/>
    <w:rsid w:val="73E57241"/>
    <w:rsid w:val="74082F2F"/>
    <w:rsid w:val="74100036"/>
    <w:rsid w:val="741F515C"/>
    <w:rsid w:val="742064CB"/>
    <w:rsid w:val="74312486"/>
    <w:rsid w:val="74463A57"/>
    <w:rsid w:val="745131DF"/>
    <w:rsid w:val="74582108"/>
    <w:rsid w:val="747405C4"/>
    <w:rsid w:val="74782557"/>
    <w:rsid w:val="747D391D"/>
    <w:rsid w:val="74842EFD"/>
    <w:rsid w:val="748E78D8"/>
    <w:rsid w:val="749016E6"/>
    <w:rsid w:val="74BF6E58"/>
    <w:rsid w:val="74C432FA"/>
    <w:rsid w:val="74D15A17"/>
    <w:rsid w:val="74DF0134"/>
    <w:rsid w:val="75096F5F"/>
    <w:rsid w:val="75243A0F"/>
    <w:rsid w:val="753A35BC"/>
    <w:rsid w:val="754B7577"/>
    <w:rsid w:val="75706FDE"/>
    <w:rsid w:val="75742F72"/>
    <w:rsid w:val="75750A98"/>
    <w:rsid w:val="75976C60"/>
    <w:rsid w:val="75B01AD0"/>
    <w:rsid w:val="75BF44B0"/>
    <w:rsid w:val="75C15A8B"/>
    <w:rsid w:val="75D43A11"/>
    <w:rsid w:val="75E35A02"/>
    <w:rsid w:val="75E43528"/>
    <w:rsid w:val="75EA4FE2"/>
    <w:rsid w:val="75FC2F67"/>
    <w:rsid w:val="75FE0A8D"/>
    <w:rsid w:val="76226699"/>
    <w:rsid w:val="76472434"/>
    <w:rsid w:val="764A5A81"/>
    <w:rsid w:val="76544B51"/>
    <w:rsid w:val="765B5EE0"/>
    <w:rsid w:val="765C63A7"/>
    <w:rsid w:val="766905FD"/>
    <w:rsid w:val="766C59F7"/>
    <w:rsid w:val="766E2873"/>
    <w:rsid w:val="76726D86"/>
    <w:rsid w:val="7678122F"/>
    <w:rsid w:val="769245DD"/>
    <w:rsid w:val="76C07AF1"/>
    <w:rsid w:val="76F105F2"/>
    <w:rsid w:val="76F8372F"/>
    <w:rsid w:val="76F93003"/>
    <w:rsid w:val="77020109"/>
    <w:rsid w:val="771147F0"/>
    <w:rsid w:val="772B3B04"/>
    <w:rsid w:val="77470212"/>
    <w:rsid w:val="77471FC0"/>
    <w:rsid w:val="774C3647"/>
    <w:rsid w:val="77562203"/>
    <w:rsid w:val="7776441B"/>
    <w:rsid w:val="77866F8C"/>
    <w:rsid w:val="778E7BEF"/>
    <w:rsid w:val="77B43AFA"/>
    <w:rsid w:val="77BC650A"/>
    <w:rsid w:val="77C81353"/>
    <w:rsid w:val="77C875A5"/>
    <w:rsid w:val="77D575CC"/>
    <w:rsid w:val="77EB5041"/>
    <w:rsid w:val="77F064F7"/>
    <w:rsid w:val="7808174F"/>
    <w:rsid w:val="781E71C5"/>
    <w:rsid w:val="78250553"/>
    <w:rsid w:val="782F13D2"/>
    <w:rsid w:val="783267CC"/>
    <w:rsid w:val="78342545"/>
    <w:rsid w:val="783E1615"/>
    <w:rsid w:val="78485FF0"/>
    <w:rsid w:val="784A1D68"/>
    <w:rsid w:val="785901FD"/>
    <w:rsid w:val="786077DD"/>
    <w:rsid w:val="7863107C"/>
    <w:rsid w:val="786F17CF"/>
    <w:rsid w:val="78743EEF"/>
    <w:rsid w:val="78880AE2"/>
    <w:rsid w:val="788C2381"/>
    <w:rsid w:val="78C82E8E"/>
    <w:rsid w:val="78CF226D"/>
    <w:rsid w:val="78DC45ED"/>
    <w:rsid w:val="78E0686D"/>
    <w:rsid w:val="78F148D9"/>
    <w:rsid w:val="78F30B09"/>
    <w:rsid w:val="78F41CD4"/>
    <w:rsid w:val="78F63C9E"/>
    <w:rsid w:val="79352A18"/>
    <w:rsid w:val="794A5D98"/>
    <w:rsid w:val="79534C4C"/>
    <w:rsid w:val="795D3D1D"/>
    <w:rsid w:val="79654980"/>
    <w:rsid w:val="79667075"/>
    <w:rsid w:val="79787F10"/>
    <w:rsid w:val="798474E4"/>
    <w:rsid w:val="799E680F"/>
    <w:rsid w:val="79A27982"/>
    <w:rsid w:val="79A731EA"/>
    <w:rsid w:val="79B3393D"/>
    <w:rsid w:val="79C124FE"/>
    <w:rsid w:val="79C30024"/>
    <w:rsid w:val="79D12015"/>
    <w:rsid w:val="79F77CCE"/>
    <w:rsid w:val="7A0643B5"/>
    <w:rsid w:val="7A124B07"/>
    <w:rsid w:val="7A1C5986"/>
    <w:rsid w:val="7A1E3999"/>
    <w:rsid w:val="7A256A27"/>
    <w:rsid w:val="7A2605B3"/>
    <w:rsid w:val="7A28257D"/>
    <w:rsid w:val="7A374D14"/>
    <w:rsid w:val="7A37631C"/>
    <w:rsid w:val="7A4153ED"/>
    <w:rsid w:val="7A4E7482"/>
    <w:rsid w:val="7A7255A6"/>
    <w:rsid w:val="7A772BBC"/>
    <w:rsid w:val="7A7C4677"/>
    <w:rsid w:val="7A7F5669"/>
    <w:rsid w:val="7A94551C"/>
    <w:rsid w:val="7A9478C2"/>
    <w:rsid w:val="7A990D85"/>
    <w:rsid w:val="7AA716F4"/>
    <w:rsid w:val="7AB932A6"/>
    <w:rsid w:val="7AD973D3"/>
    <w:rsid w:val="7AEE7323"/>
    <w:rsid w:val="7B09274F"/>
    <w:rsid w:val="7B095F0A"/>
    <w:rsid w:val="7B152B01"/>
    <w:rsid w:val="7B182646"/>
    <w:rsid w:val="7B352BF1"/>
    <w:rsid w:val="7B3D06D4"/>
    <w:rsid w:val="7B475FAB"/>
    <w:rsid w:val="7B4E7DC1"/>
    <w:rsid w:val="7B5D6256"/>
    <w:rsid w:val="7B607AF4"/>
    <w:rsid w:val="7B61392C"/>
    <w:rsid w:val="7B754F5D"/>
    <w:rsid w:val="7B7E331B"/>
    <w:rsid w:val="7B89704B"/>
    <w:rsid w:val="7B9E45DB"/>
    <w:rsid w:val="7BBE2AF8"/>
    <w:rsid w:val="7BC2430B"/>
    <w:rsid w:val="7BCD00F5"/>
    <w:rsid w:val="7BD76009"/>
    <w:rsid w:val="7BDA1655"/>
    <w:rsid w:val="7BE61DA8"/>
    <w:rsid w:val="7BF5023D"/>
    <w:rsid w:val="7C4B388C"/>
    <w:rsid w:val="7C4E5B9F"/>
    <w:rsid w:val="7C514589"/>
    <w:rsid w:val="7C541407"/>
    <w:rsid w:val="7C6F6241"/>
    <w:rsid w:val="7C725D31"/>
    <w:rsid w:val="7C7C095E"/>
    <w:rsid w:val="7C947A56"/>
    <w:rsid w:val="7C9B7036"/>
    <w:rsid w:val="7C9C2DAE"/>
    <w:rsid w:val="7CA26617"/>
    <w:rsid w:val="7CAA54CB"/>
    <w:rsid w:val="7CCC5441"/>
    <w:rsid w:val="7CCF19CB"/>
    <w:rsid w:val="7CF624BE"/>
    <w:rsid w:val="7CFB7AD5"/>
    <w:rsid w:val="7D060228"/>
    <w:rsid w:val="7D0B583E"/>
    <w:rsid w:val="7D230DDA"/>
    <w:rsid w:val="7D2A660C"/>
    <w:rsid w:val="7D344D95"/>
    <w:rsid w:val="7D360B0D"/>
    <w:rsid w:val="7D3B25C7"/>
    <w:rsid w:val="7D494CE4"/>
    <w:rsid w:val="7D5B3117"/>
    <w:rsid w:val="7D6513F2"/>
    <w:rsid w:val="7D657644"/>
    <w:rsid w:val="7D676F18"/>
    <w:rsid w:val="7D9D4D8F"/>
    <w:rsid w:val="7DBB54B6"/>
    <w:rsid w:val="7DCC76C3"/>
    <w:rsid w:val="7DDB1BD7"/>
    <w:rsid w:val="7DE26D93"/>
    <w:rsid w:val="7DE63A7B"/>
    <w:rsid w:val="7DEC566F"/>
    <w:rsid w:val="7DF2712A"/>
    <w:rsid w:val="7DF30334"/>
    <w:rsid w:val="7E024E93"/>
    <w:rsid w:val="7E096221"/>
    <w:rsid w:val="7E0E1A8A"/>
    <w:rsid w:val="7E2C3CBE"/>
    <w:rsid w:val="7E2E5C88"/>
    <w:rsid w:val="7E462FD2"/>
    <w:rsid w:val="7E490D14"/>
    <w:rsid w:val="7E4B683A"/>
    <w:rsid w:val="7E607661"/>
    <w:rsid w:val="7E6671D0"/>
    <w:rsid w:val="7E6C1230"/>
    <w:rsid w:val="7E6D2268"/>
    <w:rsid w:val="7E74183B"/>
    <w:rsid w:val="7E7F0292"/>
    <w:rsid w:val="7E834226"/>
    <w:rsid w:val="7E924469"/>
    <w:rsid w:val="7E9F0934"/>
    <w:rsid w:val="7EB30378"/>
    <w:rsid w:val="7EC3792E"/>
    <w:rsid w:val="7EE24B36"/>
    <w:rsid w:val="7F1555BA"/>
    <w:rsid w:val="7F171895"/>
    <w:rsid w:val="7F2826D7"/>
    <w:rsid w:val="7F453289"/>
    <w:rsid w:val="7F45772D"/>
    <w:rsid w:val="7F4F5EB6"/>
    <w:rsid w:val="7F517E80"/>
    <w:rsid w:val="7F580E55"/>
    <w:rsid w:val="7F5D4A77"/>
    <w:rsid w:val="7F673200"/>
    <w:rsid w:val="7F721BA4"/>
    <w:rsid w:val="7F8A5EFB"/>
    <w:rsid w:val="7FA02BB5"/>
    <w:rsid w:val="7FC44AF6"/>
    <w:rsid w:val="7FC9210C"/>
    <w:rsid w:val="7FCC5758"/>
    <w:rsid w:val="7FD559E2"/>
    <w:rsid w:val="7FD56B4A"/>
    <w:rsid w:val="7FDB599C"/>
    <w:rsid w:val="7FDD34C2"/>
    <w:rsid w:val="7FE842B1"/>
    <w:rsid w:val="7FEC39ED"/>
    <w:rsid w:val="7FF8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7"/>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48"/>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7">
    <w:name w:val="heading 4"/>
    <w:basedOn w:val="1"/>
    <w:next w:val="1"/>
    <w:link w:val="49"/>
    <w:qFormat/>
    <w:uiPriority w:val="0"/>
    <w:pPr>
      <w:keepNext/>
      <w:keepLines/>
      <w:spacing w:before="280" w:after="290" w:line="374" w:lineRule="auto"/>
      <w:outlineLvl w:val="3"/>
    </w:pPr>
    <w:rPr>
      <w:rFonts w:ascii="Arial" w:hAnsi="Arial" w:eastAsia="黑体"/>
      <w:b/>
      <w:bCs/>
      <w:sz w:val="28"/>
      <w:szCs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9"/>
    <w:qFormat/>
    <w:uiPriority w:val="0"/>
    <w:pPr>
      <w:spacing w:line="312" w:lineRule="auto"/>
      <w:ind w:firstLine="420"/>
    </w:pPr>
    <w:rPr>
      <w:kern w:val="0"/>
      <w:sz w:val="20"/>
      <w:szCs w:val="20"/>
    </w:rPr>
  </w:style>
  <w:style w:type="paragraph" w:styleId="3">
    <w:name w:val="Body Text"/>
    <w:basedOn w:val="1"/>
    <w:next w:val="1"/>
    <w:link w:val="53"/>
    <w:qFormat/>
    <w:uiPriority w:val="0"/>
    <w:pPr>
      <w:spacing w:after="120"/>
    </w:p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firstLineChars="200"/>
    </w:pPr>
  </w:style>
  <w:style w:type="paragraph" w:styleId="14">
    <w:name w:val="Document Map"/>
    <w:basedOn w:val="1"/>
    <w:link w:val="50"/>
    <w:qFormat/>
    <w:uiPriority w:val="0"/>
    <w:pPr>
      <w:shd w:val="clear" w:color="auto" w:fill="000080"/>
    </w:pPr>
  </w:style>
  <w:style w:type="paragraph" w:styleId="15">
    <w:name w:val="annotation text"/>
    <w:basedOn w:val="1"/>
    <w:link w:val="51"/>
    <w:qFormat/>
    <w:uiPriority w:val="0"/>
    <w:pPr>
      <w:jc w:val="left"/>
    </w:pPr>
  </w:style>
  <w:style w:type="paragraph" w:styleId="16">
    <w:name w:val="Body Text 3"/>
    <w:basedOn w:val="1"/>
    <w:link w:val="52"/>
    <w:qFormat/>
    <w:uiPriority w:val="0"/>
    <w:rPr>
      <w:rFonts w:ascii="宋体"/>
      <w:sz w:val="24"/>
      <w:szCs w:val="20"/>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39"/>
    <w:pPr>
      <w:ind w:left="420"/>
      <w:jc w:val="left"/>
    </w:pPr>
    <w:rPr>
      <w:iCs/>
      <w:sz w:val="20"/>
      <w:szCs w:val="20"/>
    </w:rPr>
  </w:style>
  <w:style w:type="paragraph" w:styleId="20">
    <w:name w:val="Plain Text"/>
    <w:basedOn w:val="1"/>
    <w:next w:val="7"/>
    <w:link w:val="54"/>
    <w:qFormat/>
    <w:uiPriority w:val="0"/>
    <w:rPr>
      <w:rFonts w:ascii="等线" w:hAnsi="Courier New" w:eastAsia="等线"/>
      <w:szCs w:val="22"/>
    </w:rPr>
  </w:style>
  <w:style w:type="paragraph" w:styleId="21">
    <w:name w:val="toc 8"/>
    <w:basedOn w:val="1"/>
    <w:next w:val="1"/>
    <w:qFormat/>
    <w:uiPriority w:val="0"/>
    <w:pPr>
      <w:ind w:left="1470"/>
      <w:jc w:val="left"/>
    </w:pPr>
    <w:rPr>
      <w:sz w:val="18"/>
      <w:szCs w:val="18"/>
    </w:rPr>
  </w:style>
  <w:style w:type="paragraph" w:styleId="22">
    <w:name w:val="Date"/>
    <w:basedOn w:val="1"/>
    <w:next w:val="1"/>
    <w:link w:val="55"/>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56"/>
    <w:qFormat/>
    <w:uiPriority w:val="0"/>
    <w:pPr>
      <w:tabs>
        <w:tab w:val="center" w:pos="4153"/>
        <w:tab w:val="right" w:pos="8306"/>
      </w:tabs>
      <w:snapToGrid w:val="0"/>
      <w:jc w:val="left"/>
    </w:pPr>
    <w:rPr>
      <w:sz w:val="18"/>
      <w:szCs w:val="18"/>
    </w:rPr>
  </w:style>
  <w:style w:type="paragraph" w:styleId="25">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39"/>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Normal (Web)"/>
    <w:basedOn w:val="1"/>
    <w:qFormat/>
    <w:uiPriority w:val="0"/>
    <w:pPr>
      <w:widowControl/>
      <w:spacing w:before="100" w:beforeAutospacing="1" w:after="100" w:afterAutospacing="1"/>
      <w:jc w:val="left"/>
    </w:pPr>
    <w:rPr>
      <w:rFonts w:ascii="宋体" w:hAnsi="宋体" w:eastAsia="楷体_GB2312" w:cs="宋体"/>
      <w:kern w:val="0"/>
      <w:sz w:val="24"/>
    </w:rPr>
  </w:style>
  <w:style w:type="paragraph" w:styleId="33">
    <w:name w:val="index 1"/>
    <w:basedOn w:val="1"/>
    <w:next w:val="1"/>
    <w:qFormat/>
    <w:uiPriority w:val="0"/>
    <w:pPr>
      <w:spacing w:line="220" w:lineRule="exact"/>
      <w:jc w:val="center"/>
    </w:pPr>
    <w:rPr>
      <w:rFonts w:ascii="仿宋_GB2312" w:eastAsia="仿宋_GB2312"/>
      <w:szCs w:val="21"/>
    </w:rPr>
  </w:style>
  <w:style w:type="paragraph" w:styleId="3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5"/>
    <w:next w:val="15"/>
    <w:link w:val="58"/>
    <w:qFormat/>
    <w:uiPriority w:val="0"/>
    <w:pPr>
      <w:jc w:val="both"/>
    </w:pPr>
    <w:rPr>
      <w:b/>
      <w:bCs/>
    </w:rPr>
  </w:style>
  <w:style w:type="paragraph" w:styleId="36">
    <w:name w:val="Body Text First Indent 2"/>
    <w:basedOn w:val="17"/>
    <w:unhideWhenUsed/>
    <w:qFormat/>
    <w:uiPriority w:val="0"/>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1 字符"/>
    <w:link w:val="4"/>
    <w:qFormat/>
    <w:uiPriority w:val="0"/>
    <w:rPr>
      <w:rFonts w:eastAsia="宋体"/>
      <w:b/>
      <w:bCs/>
      <w:kern w:val="44"/>
      <w:sz w:val="44"/>
      <w:szCs w:val="44"/>
      <w:lang w:val="en-US" w:eastAsia="zh-CN" w:bidi="ar-SA"/>
    </w:rPr>
  </w:style>
  <w:style w:type="character" w:customStyle="1" w:styleId="47">
    <w:name w:val="标题 2 字符"/>
    <w:link w:val="5"/>
    <w:qFormat/>
    <w:uiPriority w:val="0"/>
    <w:rPr>
      <w:rFonts w:ascii="Arial" w:hAnsi="Arial" w:eastAsia="黑体"/>
      <w:b/>
      <w:bCs/>
      <w:kern w:val="2"/>
      <w:sz w:val="32"/>
      <w:szCs w:val="32"/>
      <w:lang w:val="en-US" w:eastAsia="zh-CN" w:bidi="ar-SA"/>
    </w:rPr>
  </w:style>
  <w:style w:type="character" w:customStyle="1" w:styleId="48">
    <w:name w:val="标题 3 字符"/>
    <w:link w:val="6"/>
    <w:qFormat/>
    <w:uiPriority w:val="0"/>
    <w:rPr>
      <w:rFonts w:ascii="黑体" w:hAnsi="宋体" w:eastAsia="黑体"/>
      <w:bCs/>
      <w:kern w:val="2"/>
      <w:sz w:val="28"/>
      <w:szCs w:val="28"/>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文档结构图 字符"/>
    <w:link w:val="14"/>
    <w:qFormat/>
    <w:uiPriority w:val="0"/>
    <w:rPr>
      <w:rFonts w:eastAsia="宋体"/>
      <w:kern w:val="2"/>
      <w:sz w:val="21"/>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3 字符"/>
    <w:link w:val="16"/>
    <w:qFormat/>
    <w:uiPriority w:val="0"/>
    <w:rPr>
      <w:rFonts w:ascii="宋体"/>
      <w:kern w:val="2"/>
      <w:sz w:val="24"/>
    </w:rPr>
  </w:style>
  <w:style w:type="character" w:customStyle="1" w:styleId="53">
    <w:name w:val="正文文本 字符"/>
    <w:link w:val="3"/>
    <w:qFormat/>
    <w:uiPriority w:val="0"/>
    <w:rPr>
      <w:rFonts w:eastAsia="宋体"/>
      <w:kern w:val="2"/>
      <w:sz w:val="21"/>
      <w:szCs w:val="24"/>
      <w:lang w:val="en-US" w:eastAsia="zh-CN" w:bidi="ar-SA"/>
    </w:rPr>
  </w:style>
  <w:style w:type="character" w:customStyle="1" w:styleId="54">
    <w:name w:val="纯文本 字符"/>
    <w:link w:val="20"/>
    <w:qFormat/>
    <w:uiPriority w:val="0"/>
    <w:rPr>
      <w:rFonts w:ascii="等线" w:hAnsi="Courier New" w:eastAsia="等线" w:cs="Courier New"/>
      <w:kern w:val="2"/>
      <w:sz w:val="21"/>
      <w:szCs w:val="22"/>
    </w:rPr>
  </w:style>
  <w:style w:type="character" w:customStyle="1" w:styleId="55">
    <w:name w:val="日期 字符"/>
    <w:link w:val="22"/>
    <w:qFormat/>
    <w:uiPriority w:val="0"/>
    <w:rPr>
      <w:kern w:val="2"/>
      <w:sz w:val="24"/>
    </w:rPr>
  </w:style>
  <w:style w:type="character" w:customStyle="1" w:styleId="56">
    <w:name w:val="页脚 字符"/>
    <w:link w:val="24"/>
    <w:qFormat/>
    <w:uiPriority w:val="0"/>
    <w:rPr>
      <w:rFonts w:eastAsia="宋体"/>
      <w:kern w:val="2"/>
      <w:sz w:val="18"/>
      <w:szCs w:val="18"/>
      <w:lang w:val="en-US" w:eastAsia="zh-CN" w:bidi="ar-SA"/>
    </w:rPr>
  </w:style>
  <w:style w:type="character" w:customStyle="1" w:styleId="57">
    <w:name w:val="页眉 字符"/>
    <w:link w:val="25"/>
    <w:qFormat/>
    <w:uiPriority w:val="0"/>
    <w:rPr>
      <w:rFonts w:eastAsia="宋体"/>
      <w:kern w:val="2"/>
      <w:sz w:val="18"/>
      <w:szCs w:val="18"/>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character" w:customStyle="1" w:styleId="59">
    <w:name w:val="正文文本首行缩进 字符"/>
    <w:link w:val="2"/>
    <w:qFormat/>
    <w:uiPriority w:val="0"/>
    <w:rPr>
      <w:lang w:val="en-US" w:eastAsia="zh-CN" w:bidi="ar-SA"/>
    </w:rPr>
  </w:style>
  <w:style w:type="character" w:customStyle="1" w:styleId="60">
    <w:name w:val="批注文字 Char1"/>
    <w:semiHidden/>
    <w:qFormat/>
    <w:locked/>
    <w:uiPriority w:val="0"/>
    <w:rPr>
      <w:kern w:val="2"/>
      <w:sz w:val="21"/>
      <w:szCs w:val="22"/>
    </w:rPr>
  </w:style>
  <w:style w:type="character" w:customStyle="1" w:styleId="61">
    <w:name w:val="font161"/>
    <w:qFormat/>
    <w:uiPriority w:val="0"/>
    <w:rPr>
      <w:b/>
      <w:bCs/>
      <w:sz w:val="32"/>
      <w:szCs w:val="32"/>
    </w:rPr>
  </w:style>
  <w:style w:type="character" w:customStyle="1" w:styleId="62">
    <w:name w:val="font11"/>
    <w:qFormat/>
    <w:uiPriority w:val="0"/>
    <w:rPr>
      <w:rFonts w:hint="eastAsia" w:ascii="仿宋" w:hAnsi="仿宋" w:eastAsia="仿宋" w:cs="仿宋"/>
      <w:color w:val="000000"/>
      <w:sz w:val="28"/>
      <w:szCs w:val="28"/>
      <w:u w:val="none"/>
    </w:rPr>
  </w:style>
  <w:style w:type="character" w:customStyle="1" w:styleId="63">
    <w:name w:val="font21"/>
    <w:qFormat/>
    <w:uiPriority w:val="0"/>
    <w:rPr>
      <w:rFonts w:hint="eastAsia" w:ascii="仿宋" w:hAnsi="仿宋" w:eastAsia="仿宋" w:cs="仿宋"/>
      <w:b/>
      <w:color w:val="000000"/>
      <w:sz w:val="28"/>
      <w:szCs w:val="28"/>
      <w:u w:val="none"/>
    </w:rPr>
  </w:style>
  <w:style w:type="character" w:customStyle="1" w:styleId="64">
    <w:name w:val="文一 Char Char"/>
    <w:link w:val="65"/>
    <w:qFormat/>
    <w:uiPriority w:val="0"/>
    <w:rPr>
      <w:rFonts w:ascii="等线" w:hAnsi="等线" w:eastAsia="等线"/>
      <w:spacing w:val="4"/>
      <w:sz w:val="24"/>
      <w:szCs w:val="24"/>
    </w:rPr>
  </w:style>
  <w:style w:type="paragraph" w:customStyle="1" w:styleId="65">
    <w:name w:val="文一"/>
    <w:basedOn w:val="1"/>
    <w:link w:val="64"/>
    <w:qFormat/>
    <w:uiPriority w:val="0"/>
    <w:pPr>
      <w:topLinePunct/>
      <w:adjustRightInd w:val="0"/>
      <w:snapToGrid w:val="0"/>
      <w:spacing w:line="360" w:lineRule="auto"/>
      <w:ind w:firstLine="200" w:firstLineChars="200"/>
    </w:pPr>
    <w:rPr>
      <w:rFonts w:ascii="等线" w:hAnsi="等线" w:eastAsia="等线"/>
      <w:spacing w:val="4"/>
      <w:kern w:val="0"/>
      <w:sz w:val="24"/>
    </w:rPr>
  </w:style>
  <w:style w:type="character" w:customStyle="1" w:styleId="66">
    <w:name w:val="fontstyle01"/>
    <w:qFormat/>
    <w:uiPriority w:val="0"/>
    <w:rPr>
      <w:rFonts w:hint="eastAsia" w:ascii="宋体" w:hAnsi="宋体" w:eastAsia="宋体"/>
      <w:color w:val="000000"/>
      <w:sz w:val="22"/>
      <w:szCs w:val="22"/>
    </w:rPr>
  </w:style>
  <w:style w:type="character" w:customStyle="1" w:styleId="67">
    <w:name w:val="纯文本 Char"/>
    <w:qFormat/>
    <w:uiPriority w:val="0"/>
    <w:rPr>
      <w:rFonts w:ascii="等线" w:hAnsi="Courier New" w:eastAsia="等线"/>
      <w:kern w:val="2"/>
      <w:sz w:val="21"/>
      <w:szCs w:val="22"/>
      <w:lang w:bidi="ar-SA"/>
    </w:rPr>
  </w:style>
  <w:style w:type="character" w:customStyle="1" w:styleId="68">
    <w:name w:val="批注文字 Char2"/>
    <w:qFormat/>
    <w:uiPriority w:val="0"/>
  </w:style>
  <w:style w:type="paragraph" w:styleId="69">
    <w:name w:val="List Paragraph"/>
    <w:basedOn w:val="1"/>
    <w:qFormat/>
    <w:uiPriority w:val="99"/>
    <w:pPr>
      <w:ind w:firstLine="420" w:firstLineChars="200"/>
    </w:pPr>
    <w:rPr>
      <w:szCs w:val="20"/>
    </w:rPr>
  </w:style>
  <w:style w:type="paragraph" w:customStyle="1" w:styleId="70">
    <w:name w:val="样式 标题 3 + (中文) 黑体 小四 非加粗 段前: 7.8 磅 段后: 0 磅 行距: 固定值 20 磅"/>
    <w:basedOn w:val="6"/>
    <w:qFormat/>
    <w:uiPriority w:val="0"/>
    <w:pPr>
      <w:spacing w:before="0" w:after="0" w:line="400" w:lineRule="exact"/>
    </w:pPr>
    <w:rPr>
      <w:rFonts w:cs="宋体"/>
      <w:bCs w:val="0"/>
      <w:sz w:val="24"/>
      <w:szCs w:val="20"/>
    </w:rPr>
  </w:style>
  <w:style w:type="paragraph" w:customStyle="1" w:styleId="7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2">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73">
    <w:name w:val="表头"/>
    <w:basedOn w:val="1"/>
    <w:qFormat/>
    <w:uiPriority w:val="0"/>
    <w:pPr>
      <w:spacing w:line="360" w:lineRule="auto"/>
      <w:jc w:val="center"/>
    </w:pPr>
    <w:rPr>
      <w:rFonts w:ascii="黑体" w:eastAsia="黑体"/>
      <w:kern w:val="0"/>
      <w:sz w:val="24"/>
      <w:szCs w:val="20"/>
    </w:rPr>
  </w:style>
  <w:style w:type="paragraph" w:customStyle="1" w:styleId="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5">
    <w:name w:val="Other|1"/>
    <w:basedOn w:val="1"/>
    <w:qFormat/>
    <w:uiPriority w:val="0"/>
    <w:pPr>
      <w:spacing w:line="228" w:lineRule="exact"/>
    </w:pPr>
    <w:rPr>
      <w:rFonts w:ascii="宋体" w:hAnsi="宋体" w:cs="宋体"/>
      <w:sz w:val="17"/>
      <w:szCs w:val="17"/>
      <w:lang w:val="zh-TW" w:eastAsia="zh-TW" w:bidi="zh-TW"/>
    </w:rPr>
  </w:style>
  <w:style w:type="paragraph" w:customStyle="1" w:styleId="76">
    <w:name w:val="修订11"/>
    <w:qFormat/>
    <w:uiPriority w:val="0"/>
    <w:rPr>
      <w:rFonts w:ascii="Times New Roman" w:hAnsi="Times New Roman" w:eastAsia="宋体" w:cs="Times New Roman"/>
      <w:kern w:val="2"/>
      <w:sz w:val="21"/>
      <w:szCs w:val="24"/>
      <w:lang w:val="en-US" w:eastAsia="zh-CN" w:bidi="ar-SA"/>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79">
    <w:name w:val="样式2"/>
    <w:basedOn w:val="6"/>
    <w:qFormat/>
    <w:uiPriority w:val="0"/>
    <w:rPr>
      <w:i/>
    </w:rPr>
  </w:style>
  <w:style w:type="paragraph" w:customStyle="1" w:styleId="8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81">
    <w:name w:val="表格文字"/>
    <w:basedOn w:val="1"/>
    <w:qFormat/>
    <w:uiPriority w:val="0"/>
    <w:pPr>
      <w:adjustRightInd w:val="0"/>
      <w:spacing w:line="420" w:lineRule="atLeast"/>
      <w:jc w:val="left"/>
      <w:textAlignment w:val="baseline"/>
    </w:pPr>
    <w:rPr>
      <w:kern w:val="0"/>
      <w:szCs w:val="20"/>
    </w:rPr>
  </w:style>
  <w:style w:type="paragraph" w:customStyle="1" w:styleId="8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83">
    <w:name w:val="Char1"/>
    <w:basedOn w:val="1"/>
    <w:qFormat/>
    <w:uiPriority w:val="0"/>
    <w:pPr>
      <w:tabs>
        <w:tab w:val="left" w:pos="360"/>
      </w:tabs>
    </w:pPr>
    <w:rPr>
      <w:sz w:val="24"/>
    </w:rPr>
  </w:style>
  <w:style w:type="paragraph" w:customStyle="1" w:styleId="84">
    <w:name w:val="发文落款"/>
    <w:basedOn w:val="80"/>
    <w:qFormat/>
    <w:uiPriority w:val="0"/>
    <w:pPr>
      <w:ind w:left="4094" w:right="607" w:firstLine="0"/>
      <w:jc w:val="center"/>
    </w:pPr>
  </w:style>
  <w:style w:type="paragraph" w:customStyle="1" w:styleId="85">
    <w:name w:val="1"/>
    <w:basedOn w:val="1"/>
    <w:qFormat/>
    <w:uiPriority w:val="0"/>
  </w:style>
  <w:style w:type="paragraph" w:customStyle="1" w:styleId="86">
    <w:name w:val="样式1"/>
    <w:basedOn w:val="1"/>
    <w:qFormat/>
    <w:uiPriority w:val="0"/>
    <w:pPr>
      <w:spacing w:line="360" w:lineRule="auto"/>
      <w:ind w:firstLine="420" w:firstLineChars="200"/>
    </w:pPr>
    <w:rPr>
      <w:rFonts w:ascii="宋体" w:hAnsi="宋体"/>
      <w:szCs w:val="21"/>
    </w:rPr>
  </w:style>
  <w:style w:type="paragraph" w:customStyle="1" w:styleId="87">
    <w:name w:val="正题"/>
    <w:basedOn w:val="65"/>
    <w:next w:val="65"/>
    <w:qFormat/>
    <w:uiPriority w:val="0"/>
    <w:pPr>
      <w:ind w:firstLine="0" w:firstLineChars="0"/>
      <w:jc w:val="center"/>
    </w:pPr>
    <w:rPr>
      <w:rFonts w:eastAsia="黑体"/>
      <w:b/>
      <w:sz w:val="36"/>
      <w:szCs w:val="36"/>
    </w:rPr>
  </w:style>
  <w:style w:type="paragraph" w:customStyle="1" w:styleId="88">
    <w:name w:val="Char"/>
    <w:basedOn w:val="1"/>
    <w:qFormat/>
    <w:uiPriority w:val="0"/>
    <w:pPr>
      <w:tabs>
        <w:tab w:val="left" w:pos="360"/>
      </w:tabs>
    </w:pPr>
    <w:rPr>
      <w:sz w:val="24"/>
    </w:rPr>
  </w:style>
  <w:style w:type="paragraph" w:customStyle="1" w:styleId="89">
    <w:name w:val="Body text|3"/>
    <w:basedOn w:val="1"/>
    <w:qFormat/>
    <w:uiPriority w:val="0"/>
    <w:rPr>
      <w:rFonts w:ascii="宋体" w:hAnsi="宋体" w:cs="宋体"/>
      <w:sz w:val="20"/>
      <w:szCs w:val="20"/>
      <w:lang w:val="zh-TW" w:eastAsia="zh-TW" w:bidi="zh-TW"/>
    </w:rPr>
  </w:style>
  <w:style w:type="paragraph" w:customStyle="1" w:styleId="90">
    <w:name w:val="表格"/>
    <w:basedOn w:val="1"/>
    <w:qFormat/>
    <w:uiPriority w:val="0"/>
    <w:pPr>
      <w:jc w:val="center"/>
      <w:textAlignment w:val="center"/>
    </w:pPr>
    <w:rPr>
      <w:rFonts w:ascii="华文细黑" w:hAnsi="华文细黑"/>
      <w:kern w:val="0"/>
      <w:szCs w:val="20"/>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2">
    <w:name w:val="font81"/>
    <w:qFormat/>
    <w:uiPriority w:val="0"/>
    <w:rPr>
      <w:rFonts w:hint="eastAsia" w:ascii="宋体" w:hAnsi="宋体" w:eastAsia="宋体" w:cs="宋体"/>
      <w:color w:val="000000"/>
      <w:sz w:val="21"/>
      <w:szCs w:val="21"/>
      <w:u w:val="none"/>
    </w:rPr>
  </w:style>
  <w:style w:type="table" w:customStyle="1" w:styleId="93">
    <w:name w:val="Table Normal"/>
    <w:semiHidden/>
    <w:unhideWhenUsed/>
    <w:qFormat/>
    <w:uiPriority w:val="0"/>
    <w:tblPr>
      <w:tblCellMar>
        <w:top w:w="0" w:type="dxa"/>
        <w:left w:w="0" w:type="dxa"/>
        <w:bottom w:w="0" w:type="dxa"/>
        <w:right w:w="0" w:type="dxa"/>
      </w:tblCellMar>
    </w:tblPr>
  </w:style>
  <w:style w:type="paragraph" w:customStyle="1" w:styleId="94">
    <w:name w:val="Table Paragraph"/>
    <w:basedOn w:val="1"/>
    <w:qFormat/>
    <w:uiPriority w:val="0"/>
    <w:pPr>
      <w:autoSpaceDE w:val="0"/>
      <w:autoSpaceDN w:val="0"/>
      <w:adjustRightInd w:val="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18165</Words>
  <Characters>19241</Characters>
  <Lines>275</Lines>
  <Paragraphs>77</Paragraphs>
  <TotalTime>5</TotalTime>
  <ScaleCrop>false</ScaleCrop>
  <LinksUpToDate>false</LinksUpToDate>
  <CharactersWithSpaces>19995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2022-08-11T08:10:00Z</dcterms:created>
  <dc:creator>GCB-YJ</dc:creator>
  <cp:lastModifiedBy>1111</cp:lastModifiedBy>
  <cp:lastPrinted>2021-05-28T03:28:00Z</cp:lastPrinted>
  <dcterms:modified xsi:type="dcterms:W3CDTF">2025-02-07T08:25:29Z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6456ECF6DC73471EB6E2EC49C698EE7C_13</vt:lpwstr>
  </property>
  <property fmtid="{D5CDD505-2E9C-101B-9397-08002B2CF9AE}" pid="4" name="KSOTemplateDocerSaveRecord">
    <vt:lpwstr>eyJoZGlkIjoiNGU5NDEzZTc1ZDlhNWEwNzM3N2Y5MTQwMjVhYjE2ZTEiLCJ1c2VySWQiOiIyMDEzODcxNjEifQ==</vt:lpwstr>
  </property>
</Properties>
</file>