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宋体" w:hAnsi="宋体"/>
          <w:b/>
          <w:sz w:val="32"/>
          <w:szCs w:val="32"/>
          <w:lang w:val="en-US" w:eastAsia="zh-CN"/>
        </w:rPr>
      </w:pPr>
      <w:r>
        <w:rPr>
          <w:rFonts w:hint="eastAsia" w:ascii="宋体" w:hAnsi="宋体"/>
          <w:b/>
          <w:sz w:val="32"/>
          <w:szCs w:val="32"/>
          <w:lang w:val="en-US" w:eastAsia="zh-CN"/>
        </w:rPr>
        <w:t>广州白云国际机场三期扩建工程配套旅客过夜用房智能化工程</w:t>
      </w:r>
    </w:p>
    <w:p>
      <w:pPr>
        <w:spacing w:line="400" w:lineRule="exact"/>
        <w:jc w:val="center"/>
        <w:rPr>
          <w:rFonts w:hint="eastAsia" w:ascii="宋体" w:hAnsi="宋体"/>
          <w:b/>
          <w:sz w:val="32"/>
          <w:szCs w:val="32"/>
        </w:rPr>
      </w:pPr>
      <w:r>
        <w:rPr>
          <w:rFonts w:hint="eastAsia" w:ascii="宋体" w:hAnsi="宋体"/>
          <w:b/>
          <w:sz w:val="32"/>
          <w:szCs w:val="32"/>
          <w:lang w:val="en-US" w:eastAsia="zh-CN"/>
        </w:rPr>
        <w:t>工程量清单</w:t>
      </w:r>
      <w:r>
        <w:rPr>
          <w:rFonts w:hint="eastAsia" w:ascii="宋体" w:hAnsi="宋体"/>
          <w:b/>
          <w:sz w:val="32"/>
          <w:szCs w:val="32"/>
        </w:rPr>
        <w:t>编制说明</w:t>
      </w:r>
    </w:p>
    <w:p>
      <w:pPr>
        <w:pStyle w:val="2"/>
        <w:rPr>
          <w:rFonts w:hint="eastAsia"/>
        </w:rPr>
      </w:pPr>
    </w:p>
    <w:p>
      <w:pPr>
        <w:pStyle w:val="2"/>
        <w:rPr>
          <w:rFonts w:hint="eastAsia"/>
        </w:rPr>
      </w:pPr>
    </w:p>
    <w:p>
      <w:pPr>
        <w:pStyle w:val="3"/>
        <w:numPr>
          <w:ilvl w:val="0"/>
          <w:numId w:val="0"/>
        </w:numPr>
        <w:spacing w:before="120"/>
        <w:rPr>
          <w:rFonts w:ascii="宋体" w:hAnsi="宋体"/>
          <w:sz w:val="21"/>
          <w:szCs w:val="21"/>
        </w:rPr>
      </w:pPr>
      <w:r>
        <w:rPr>
          <w:rFonts w:hint="eastAsia" w:ascii="宋体" w:hAnsi="宋体"/>
          <w:sz w:val="21"/>
          <w:szCs w:val="21"/>
        </w:rPr>
        <w:t>一、工程概况</w:t>
      </w:r>
    </w:p>
    <w:p>
      <w:pPr>
        <w:pStyle w:val="37"/>
        <w:spacing w:line="400" w:lineRule="exact"/>
        <w:ind w:firstLine="525" w:firstLineChars="250"/>
        <w:rPr>
          <w:rFonts w:hAnsi="宋体" w:cs="Times New Roman"/>
          <w:kern w:val="2"/>
          <w:sz w:val="21"/>
          <w:szCs w:val="21"/>
        </w:rPr>
      </w:pPr>
      <w:bookmarkStart w:id="0" w:name="_Toc262170258"/>
      <w:r>
        <w:rPr>
          <w:rFonts w:hint="eastAsia" w:hAnsi="宋体" w:cs="Times New Roman"/>
          <w:kern w:val="2"/>
          <w:sz w:val="21"/>
          <w:szCs w:val="21"/>
        </w:rPr>
        <w:t>见招标文件。</w:t>
      </w:r>
    </w:p>
    <w:bookmarkEnd w:id="0"/>
    <w:p>
      <w:pPr>
        <w:pStyle w:val="3"/>
        <w:numPr>
          <w:ilvl w:val="0"/>
          <w:numId w:val="0"/>
        </w:numPr>
        <w:spacing w:before="120"/>
        <w:rPr>
          <w:rFonts w:ascii="宋体" w:hAnsi="宋体"/>
          <w:sz w:val="21"/>
          <w:szCs w:val="21"/>
        </w:rPr>
      </w:pPr>
      <w:r>
        <w:rPr>
          <w:rFonts w:hint="eastAsia" w:ascii="宋体" w:hAnsi="宋体"/>
          <w:sz w:val="21"/>
          <w:szCs w:val="21"/>
        </w:rPr>
        <w:t>二、招标范围</w:t>
      </w:r>
    </w:p>
    <w:p>
      <w:pPr>
        <w:pStyle w:val="37"/>
        <w:spacing w:line="400" w:lineRule="exact"/>
        <w:ind w:firstLine="525" w:firstLineChars="250"/>
        <w:rPr>
          <w:rFonts w:hAnsi="宋体" w:cs="Times New Roman"/>
          <w:kern w:val="2"/>
          <w:sz w:val="21"/>
          <w:szCs w:val="21"/>
        </w:rPr>
      </w:pPr>
      <w:r>
        <w:rPr>
          <w:rFonts w:hint="eastAsia" w:hAnsi="宋体" w:cs="Times New Roman"/>
          <w:kern w:val="2"/>
          <w:sz w:val="21"/>
          <w:szCs w:val="21"/>
        </w:rPr>
        <w:t>见招标文件。</w:t>
      </w:r>
    </w:p>
    <w:p>
      <w:pPr>
        <w:pStyle w:val="3"/>
        <w:numPr>
          <w:ilvl w:val="0"/>
          <w:numId w:val="0"/>
        </w:numPr>
        <w:spacing w:before="120"/>
        <w:rPr>
          <w:rFonts w:ascii="宋体" w:hAnsi="宋体"/>
          <w:sz w:val="21"/>
          <w:szCs w:val="21"/>
        </w:rPr>
      </w:pPr>
      <w:r>
        <w:rPr>
          <w:rFonts w:hint="eastAsia" w:ascii="宋体" w:hAnsi="宋体"/>
          <w:sz w:val="21"/>
          <w:szCs w:val="21"/>
        </w:rPr>
        <w:t>三、编制依据</w:t>
      </w:r>
    </w:p>
    <w:p>
      <w:pPr>
        <w:pStyle w:val="22"/>
        <w:numPr>
          <w:ilvl w:val="0"/>
          <w:numId w:val="2"/>
        </w:numPr>
        <w:tabs>
          <w:tab w:val="left" w:pos="0"/>
          <w:tab w:val="left" w:pos="210"/>
          <w:tab w:val="left" w:pos="420"/>
        </w:tabs>
        <w:spacing w:line="360" w:lineRule="auto"/>
        <w:ind w:left="0" w:firstLine="420" w:firstLineChars="200"/>
        <w:rPr>
          <w:rFonts w:ascii="宋体" w:hAnsi="宋体"/>
          <w:sz w:val="21"/>
          <w:szCs w:val="21"/>
        </w:rPr>
      </w:pPr>
      <w:r>
        <w:rPr>
          <w:rFonts w:hint="eastAsia" w:ascii="宋体" w:hAnsi="宋体"/>
          <w:sz w:val="21"/>
          <w:szCs w:val="21"/>
        </w:rPr>
        <w:t>《建设工程工程量清单计价规范》（GB50500-2013）；</w:t>
      </w:r>
    </w:p>
    <w:p>
      <w:pPr>
        <w:pStyle w:val="22"/>
        <w:numPr>
          <w:ilvl w:val="0"/>
          <w:numId w:val="2"/>
        </w:numPr>
        <w:tabs>
          <w:tab w:val="left" w:pos="0"/>
          <w:tab w:val="left" w:pos="210"/>
          <w:tab w:val="left" w:pos="420"/>
        </w:tabs>
        <w:spacing w:line="360" w:lineRule="auto"/>
        <w:ind w:left="0" w:firstLine="420" w:firstLineChars="200"/>
        <w:rPr>
          <w:rFonts w:ascii="宋体" w:hAnsi="宋体"/>
          <w:sz w:val="21"/>
          <w:szCs w:val="21"/>
        </w:rPr>
      </w:pPr>
      <w:r>
        <w:rPr>
          <w:rFonts w:hint="eastAsia" w:ascii="宋体" w:hAnsi="宋体"/>
          <w:sz w:val="21"/>
          <w:szCs w:val="21"/>
        </w:rPr>
        <w:t>《通用安装工程工程量计算规范》（GB50856-2013）、</w:t>
      </w:r>
      <w:r>
        <w:rPr>
          <w:rFonts w:ascii="宋体" w:hAnsi="宋体"/>
          <w:sz w:val="21"/>
          <w:szCs w:val="21"/>
        </w:rPr>
        <w:t>《</w:t>
      </w:r>
      <w:r>
        <w:rPr>
          <w:rFonts w:hint="eastAsia" w:ascii="宋体" w:hAnsi="宋体"/>
          <w:sz w:val="21"/>
          <w:szCs w:val="21"/>
        </w:rPr>
        <w:t>关于贯彻&lt;通用安装工程工程量计算规范&gt;（</w:t>
      </w:r>
      <w:r>
        <w:rPr>
          <w:rFonts w:ascii="宋体" w:hAnsi="宋体"/>
          <w:sz w:val="21"/>
          <w:szCs w:val="21"/>
        </w:rPr>
        <w:t>GB50856-2013</w:t>
      </w:r>
      <w:r>
        <w:rPr>
          <w:rFonts w:hint="eastAsia" w:ascii="宋体" w:hAnsi="宋体"/>
          <w:sz w:val="21"/>
          <w:szCs w:val="21"/>
        </w:rPr>
        <w:t>）的实施意见》</w:t>
      </w:r>
      <w:r>
        <w:rPr>
          <w:rFonts w:ascii="宋体" w:hAnsi="宋体"/>
          <w:sz w:val="21"/>
          <w:szCs w:val="21"/>
        </w:rPr>
        <w:t>（</w:t>
      </w:r>
      <w:r>
        <w:rPr>
          <w:rFonts w:hint="eastAsia" w:ascii="宋体" w:hAnsi="宋体"/>
          <w:sz w:val="21"/>
          <w:szCs w:val="21"/>
        </w:rPr>
        <w:t>粤建造发〔201</w:t>
      </w:r>
      <w:r>
        <w:rPr>
          <w:rFonts w:ascii="宋体" w:hAnsi="宋体"/>
          <w:sz w:val="21"/>
          <w:szCs w:val="21"/>
        </w:rPr>
        <w:t>4</w:t>
      </w:r>
      <w:r>
        <w:rPr>
          <w:rFonts w:hint="eastAsia" w:ascii="宋体" w:hAnsi="宋体"/>
          <w:sz w:val="21"/>
          <w:szCs w:val="21"/>
        </w:rPr>
        <w:t>〕</w:t>
      </w:r>
      <w:r>
        <w:rPr>
          <w:rFonts w:ascii="宋体" w:hAnsi="宋体"/>
          <w:sz w:val="21"/>
          <w:szCs w:val="21"/>
        </w:rPr>
        <w:t>4</w:t>
      </w:r>
      <w:r>
        <w:rPr>
          <w:rFonts w:hint="eastAsia" w:ascii="宋体" w:hAnsi="宋体"/>
          <w:sz w:val="21"/>
          <w:szCs w:val="21"/>
        </w:rPr>
        <w:t>号</w:t>
      </w:r>
      <w:r>
        <w:rPr>
          <w:rFonts w:ascii="宋体" w:hAnsi="宋体"/>
          <w:sz w:val="21"/>
          <w:szCs w:val="21"/>
        </w:rPr>
        <w:t>）；</w:t>
      </w:r>
    </w:p>
    <w:p>
      <w:pPr>
        <w:pStyle w:val="22"/>
        <w:numPr>
          <w:ilvl w:val="0"/>
          <w:numId w:val="2"/>
        </w:numPr>
        <w:tabs>
          <w:tab w:val="left" w:pos="0"/>
          <w:tab w:val="left" w:pos="210"/>
          <w:tab w:val="left" w:pos="420"/>
        </w:tabs>
        <w:spacing w:line="360" w:lineRule="auto"/>
        <w:ind w:left="0" w:firstLine="420" w:firstLineChars="200"/>
        <w:rPr>
          <w:rFonts w:ascii="宋体" w:hAnsi="宋体"/>
          <w:sz w:val="21"/>
          <w:szCs w:val="21"/>
        </w:rPr>
      </w:pPr>
      <w:r>
        <w:rPr>
          <w:rFonts w:hint="eastAsia" w:ascii="宋体" w:hAnsi="宋体"/>
          <w:sz w:val="21"/>
          <w:szCs w:val="21"/>
        </w:rPr>
        <w:t>《广东省住房和城乡建设厅关于调整广东省建设工程计价依据增值税税率的通知》（粤建标函〔2019〕819号）；</w:t>
      </w:r>
    </w:p>
    <w:p>
      <w:pPr>
        <w:pStyle w:val="22"/>
        <w:numPr>
          <w:ilvl w:val="0"/>
          <w:numId w:val="2"/>
        </w:numPr>
        <w:tabs>
          <w:tab w:val="left" w:pos="0"/>
          <w:tab w:val="left" w:pos="210"/>
          <w:tab w:val="left" w:pos="420"/>
        </w:tabs>
        <w:spacing w:line="360" w:lineRule="auto"/>
        <w:ind w:left="0" w:firstLine="420" w:firstLineChars="200"/>
        <w:rPr>
          <w:rFonts w:ascii="宋体" w:hAnsi="宋体"/>
          <w:sz w:val="21"/>
          <w:szCs w:val="21"/>
          <w:highlight w:val="none"/>
        </w:rPr>
      </w:pPr>
      <w:r>
        <w:rPr>
          <w:rFonts w:hint="eastAsia" w:ascii="宋体" w:hAnsi="宋体"/>
          <w:sz w:val="21"/>
          <w:szCs w:val="21"/>
        </w:rPr>
        <w:t>招标</w:t>
      </w:r>
      <w:r>
        <w:rPr>
          <w:rFonts w:hint="eastAsia" w:ascii="宋体" w:hAnsi="宋体"/>
          <w:sz w:val="21"/>
          <w:szCs w:val="21"/>
          <w:highlight w:val="none"/>
        </w:rPr>
        <w:t>图纸：</w:t>
      </w:r>
    </w:p>
    <w:p>
      <w:pPr>
        <w:pStyle w:val="22"/>
        <w:numPr>
          <w:ilvl w:val="0"/>
          <w:numId w:val="3"/>
        </w:numPr>
        <w:tabs>
          <w:tab w:val="left" w:pos="0"/>
          <w:tab w:val="left" w:pos="210"/>
          <w:tab w:val="left" w:pos="420"/>
        </w:tabs>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广州白云国际机场三期扩建工程配套旅客过夜用房项目智能化施工图设计（日期：202</w:t>
      </w: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13</w:t>
      </w:r>
      <w:r>
        <w:rPr>
          <w:rFonts w:hint="eastAsia" w:ascii="宋体" w:hAnsi="宋体"/>
          <w:color w:val="auto"/>
          <w:sz w:val="21"/>
          <w:szCs w:val="21"/>
          <w:highlight w:val="none"/>
        </w:rPr>
        <w:t>）；</w:t>
      </w:r>
    </w:p>
    <w:p>
      <w:pPr>
        <w:pStyle w:val="22"/>
        <w:numPr>
          <w:ilvl w:val="0"/>
          <w:numId w:val="3"/>
        </w:numPr>
        <w:tabs>
          <w:tab w:val="left" w:pos="0"/>
          <w:tab w:val="left" w:pos="210"/>
          <w:tab w:val="left" w:pos="420"/>
        </w:tabs>
        <w:spacing w:line="360" w:lineRule="auto"/>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广州白云国际机场三期扩建工程配套旅客过夜用房项目</w:t>
      </w:r>
      <w:r>
        <w:rPr>
          <w:rFonts w:hint="eastAsia" w:ascii="宋体" w:hAnsi="宋体"/>
          <w:color w:val="auto"/>
          <w:sz w:val="21"/>
          <w:szCs w:val="21"/>
          <w:highlight w:val="none"/>
          <w:lang w:val="en-US" w:eastAsia="zh-CN"/>
        </w:rPr>
        <w:t>音视频</w:t>
      </w:r>
      <w:r>
        <w:rPr>
          <w:rFonts w:hint="eastAsia" w:ascii="宋体" w:hAnsi="宋体"/>
          <w:color w:val="auto"/>
          <w:sz w:val="21"/>
          <w:szCs w:val="21"/>
          <w:highlight w:val="none"/>
        </w:rPr>
        <w:t>施工图设计（日期：202</w:t>
      </w: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13</w:t>
      </w:r>
      <w:r>
        <w:rPr>
          <w:rFonts w:hint="eastAsia" w:ascii="宋体" w:hAnsi="宋体"/>
          <w:color w:val="auto"/>
          <w:sz w:val="21"/>
          <w:szCs w:val="21"/>
          <w:highlight w:val="none"/>
        </w:rPr>
        <w:t>）</w:t>
      </w:r>
      <w:r>
        <w:rPr>
          <w:rFonts w:hint="eastAsia" w:ascii="宋体" w:hAnsi="宋体"/>
          <w:color w:val="auto"/>
          <w:sz w:val="21"/>
          <w:szCs w:val="21"/>
          <w:highlight w:val="none"/>
          <w:lang w:eastAsia="zh-CN"/>
        </w:rPr>
        <w:t>；</w:t>
      </w:r>
    </w:p>
    <w:p>
      <w:pPr>
        <w:pStyle w:val="22"/>
        <w:numPr>
          <w:ilvl w:val="0"/>
          <w:numId w:val="2"/>
        </w:numPr>
        <w:tabs>
          <w:tab w:val="left" w:pos="420"/>
        </w:tabs>
        <w:spacing w:line="360" w:lineRule="auto"/>
        <w:ind w:left="0" w:firstLine="420" w:firstLineChars="200"/>
        <w:rPr>
          <w:rFonts w:ascii="宋体" w:hAnsi="宋体"/>
          <w:color w:val="auto"/>
          <w:sz w:val="21"/>
          <w:szCs w:val="21"/>
        </w:rPr>
      </w:pPr>
      <w:r>
        <w:rPr>
          <w:rFonts w:ascii="宋体" w:hAnsi="宋体"/>
          <w:color w:val="auto"/>
          <w:sz w:val="21"/>
          <w:szCs w:val="21"/>
        </w:rPr>
        <w:t>《</w:t>
      </w:r>
      <w:r>
        <w:rPr>
          <w:rFonts w:hint="eastAsia" w:ascii="宋体" w:hAnsi="宋体"/>
          <w:color w:val="auto"/>
          <w:sz w:val="21"/>
          <w:szCs w:val="21"/>
        </w:rPr>
        <w:t>广州市建设工程造价管理站关于发布202</w:t>
      </w:r>
      <w:r>
        <w:rPr>
          <w:rFonts w:hint="eastAsia" w:ascii="宋体" w:hAnsi="宋体"/>
          <w:color w:val="auto"/>
          <w:sz w:val="21"/>
          <w:szCs w:val="21"/>
          <w:lang w:val="en-US" w:eastAsia="zh-CN"/>
        </w:rPr>
        <w:t>4</w:t>
      </w:r>
      <w:r>
        <w:rPr>
          <w:rFonts w:hint="eastAsia" w:ascii="宋体" w:hAnsi="宋体"/>
          <w:color w:val="auto"/>
          <w:sz w:val="21"/>
          <w:szCs w:val="21"/>
        </w:rPr>
        <w:t>年</w:t>
      </w:r>
      <w:r>
        <w:rPr>
          <w:rFonts w:hint="eastAsia" w:ascii="宋体" w:hAnsi="宋体"/>
          <w:color w:val="auto"/>
          <w:sz w:val="21"/>
          <w:szCs w:val="21"/>
          <w:lang w:val="en-US" w:eastAsia="zh-CN"/>
        </w:rPr>
        <w:t>11</w:t>
      </w:r>
      <w:r>
        <w:rPr>
          <w:rFonts w:hint="eastAsia" w:ascii="宋体" w:hAnsi="宋体"/>
          <w:color w:val="auto"/>
          <w:sz w:val="21"/>
          <w:szCs w:val="21"/>
        </w:rPr>
        <w:t>月份广州市建设工程价格信息及有关计价办法的通知》（穗</w:t>
      </w:r>
      <w:r>
        <w:rPr>
          <w:rFonts w:hint="default" w:ascii="宋体" w:hAnsi="宋体"/>
          <w:color w:val="auto"/>
          <w:sz w:val="21"/>
          <w:szCs w:val="21"/>
        </w:rPr>
        <w:t>建造价〔2024〕136 号</w:t>
      </w:r>
      <w:r>
        <w:rPr>
          <w:rFonts w:hint="eastAsia" w:ascii="宋体" w:hAnsi="宋体"/>
          <w:color w:val="auto"/>
          <w:sz w:val="21"/>
          <w:szCs w:val="21"/>
        </w:rPr>
        <w:t>）；</w:t>
      </w:r>
    </w:p>
    <w:p>
      <w:pPr>
        <w:pStyle w:val="22"/>
        <w:numPr>
          <w:ilvl w:val="0"/>
          <w:numId w:val="2"/>
        </w:numPr>
        <w:tabs>
          <w:tab w:val="left" w:pos="420"/>
        </w:tabs>
        <w:spacing w:line="360" w:lineRule="auto"/>
        <w:ind w:left="0" w:firstLine="420" w:firstLineChars="200"/>
        <w:rPr>
          <w:rFonts w:ascii="宋体" w:hAnsi="宋体"/>
          <w:sz w:val="21"/>
          <w:szCs w:val="21"/>
        </w:rPr>
      </w:pPr>
      <w:r>
        <w:rPr>
          <w:rFonts w:hint="eastAsia" w:ascii="宋体" w:hAnsi="宋体"/>
          <w:sz w:val="21"/>
          <w:szCs w:val="21"/>
        </w:rPr>
        <w:t>《关于发布我省房屋建筑和市政基础设施工程人工价格指数和台班价格指数的通知》（粤标定函〔2022〕117 号）；</w:t>
      </w:r>
    </w:p>
    <w:p>
      <w:pPr>
        <w:pStyle w:val="22"/>
        <w:numPr>
          <w:ilvl w:val="0"/>
          <w:numId w:val="2"/>
        </w:numPr>
        <w:tabs>
          <w:tab w:val="left" w:pos="420"/>
        </w:tabs>
        <w:spacing w:line="360" w:lineRule="auto"/>
        <w:ind w:left="0" w:firstLine="420" w:firstLineChars="200"/>
        <w:rPr>
          <w:rFonts w:hint="eastAsia" w:ascii="宋体" w:hAnsi="宋体"/>
          <w:sz w:val="21"/>
          <w:szCs w:val="21"/>
        </w:rPr>
      </w:pPr>
      <w:r>
        <w:rPr>
          <w:rFonts w:hint="eastAsia" w:ascii="宋体" w:hAnsi="宋体"/>
          <w:sz w:val="21"/>
          <w:szCs w:val="21"/>
        </w:rPr>
        <w:t>国家相关法规及省市有关计费、计价文件规定。</w:t>
      </w:r>
    </w:p>
    <w:p>
      <w:pPr>
        <w:pStyle w:val="22"/>
        <w:numPr>
          <w:ilvl w:val="0"/>
          <w:numId w:val="4"/>
        </w:numPr>
        <w:tabs>
          <w:tab w:val="left" w:pos="420"/>
        </w:tabs>
        <w:spacing w:line="360" w:lineRule="auto"/>
        <w:ind w:leftChars="200"/>
        <w:outlineLvl w:val="0"/>
        <w:rPr>
          <w:rFonts w:hint="eastAsia" w:ascii="宋体" w:hAnsi="宋体"/>
          <w:b/>
          <w:bCs/>
          <w:sz w:val="21"/>
          <w:szCs w:val="21"/>
        </w:rPr>
      </w:pPr>
      <w:r>
        <w:rPr>
          <w:rFonts w:hint="eastAsia" w:ascii="宋体" w:hAnsi="宋体"/>
          <w:b/>
          <w:bCs/>
          <w:sz w:val="21"/>
          <w:szCs w:val="21"/>
        </w:rPr>
        <w:t>其他说明</w:t>
      </w:r>
    </w:p>
    <w:p>
      <w:pPr>
        <w:pStyle w:val="22"/>
        <w:numPr>
          <w:ilvl w:val="0"/>
          <w:numId w:val="0"/>
        </w:numPr>
        <w:tabs>
          <w:tab w:val="left" w:pos="420"/>
        </w:tabs>
        <w:spacing w:line="360" w:lineRule="auto"/>
        <w:ind w:firstLine="420" w:firstLineChars="200"/>
        <w:jc w:val="left"/>
        <w:outlineLvl w:val="1"/>
        <w:rPr>
          <w:rFonts w:ascii="宋体" w:hAnsi="宋体" w:eastAsia="宋体"/>
          <w:b w:val="0"/>
          <w:bCs w:val="0"/>
          <w:sz w:val="21"/>
          <w:szCs w:val="21"/>
        </w:rPr>
      </w:pPr>
      <w:r>
        <w:rPr>
          <w:rFonts w:ascii="宋体" w:hAnsi="宋体" w:eastAsia="宋体"/>
          <w:b w:val="0"/>
          <w:bCs w:val="0"/>
          <w:sz w:val="21"/>
          <w:szCs w:val="21"/>
        </w:rPr>
        <w:t>（一）总则</w:t>
      </w:r>
    </w:p>
    <w:p>
      <w:pPr>
        <w:pStyle w:val="22"/>
        <w:numPr>
          <w:ilvl w:val="0"/>
          <w:numId w:val="5"/>
        </w:numPr>
        <w:tabs>
          <w:tab w:val="left" w:pos="0"/>
          <w:tab w:val="left" w:pos="210"/>
          <w:tab w:val="left" w:pos="420"/>
        </w:tabs>
        <w:spacing w:line="360" w:lineRule="auto"/>
        <w:ind w:left="0" w:firstLine="420" w:firstLineChars="200"/>
        <w:rPr>
          <w:rFonts w:ascii="宋体" w:hAnsi="宋体"/>
          <w:sz w:val="21"/>
          <w:szCs w:val="21"/>
          <w:highlight w:val="none"/>
        </w:rPr>
      </w:pPr>
      <w:r>
        <w:rPr>
          <w:rFonts w:hint="eastAsia" w:ascii="宋体" w:hAnsi="宋体"/>
          <w:sz w:val="21"/>
          <w:szCs w:val="21"/>
        </w:rPr>
        <w:t>工程量清单由分部分项工</w:t>
      </w:r>
      <w:r>
        <w:rPr>
          <w:rFonts w:hint="eastAsia" w:ascii="宋体" w:hAnsi="宋体"/>
          <w:sz w:val="21"/>
          <w:szCs w:val="21"/>
          <w:highlight w:val="none"/>
        </w:rPr>
        <w:t>程量清单、措施项目清单、其他项目清单和税金组成。投标人投标时</w:t>
      </w:r>
      <w:r>
        <w:rPr>
          <w:rFonts w:ascii="宋体" w:hAnsi="宋体"/>
          <w:sz w:val="21"/>
          <w:szCs w:val="21"/>
          <w:highlight w:val="none"/>
        </w:rPr>
        <w:t>应</w:t>
      </w:r>
      <w:r>
        <w:rPr>
          <w:rFonts w:hint="eastAsia" w:ascii="宋体" w:hAnsi="宋体"/>
          <w:sz w:val="21"/>
          <w:szCs w:val="21"/>
          <w:highlight w:val="none"/>
        </w:rPr>
        <w:t>结合</w:t>
      </w:r>
      <w:r>
        <w:rPr>
          <w:rFonts w:ascii="宋体" w:hAnsi="宋体"/>
          <w:sz w:val="21"/>
          <w:szCs w:val="21"/>
          <w:highlight w:val="none"/>
        </w:rPr>
        <w:t>招标文件、合同条款、技术规范及图纸</w:t>
      </w:r>
      <w:r>
        <w:rPr>
          <w:rFonts w:hint="eastAsia" w:ascii="宋体" w:hAnsi="宋体"/>
          <w:sz w:val="21"/>
          <w:szCs w:val="21"/>
          <w:highlight w:val="none"/>
        </w:rPr>
        <w:t>报价。</w:t>
      </w:r>
    </w:p>
    <w:p>
      <w:pPr>
        <w:pStyle w:val="22"/>
        <w:numPr>
          <w:ilvl w:val="0"/>
          <w:numId w:val="5"/>
        </w:numPr>
        <w:tabs>
          <w:tab w:val="left" w:pos="0"/>
          <w:tab w:val="left" w:pos="210"/>
          <w:tab w:val="left" w:pos="420"/>
        </w:tabs>
        <w:spacing w:line="360" w:lineRule="auto"/>
        <w:ind w:left="0" w:firstLine="420" w:firstLineChars="200"/>
        <w:rPr>
          <w:rFonts w:ascii="宋体" w:hAnsi="宋体"/>
          <w:sz w:val="21"/>
          <w:szCs w:val="21"/>
          <w:highlight w:val="none"/>
        </w:rPr>
      </w:pPr>
      <w:r>
        <w:rPr>
          <w:rFonts w:hint="eastAsia" w:ascii="宋体" w:hAnsi="宋体"/>
          <w:sz w:val="21"/>
          <w:szCs w:val="21"/>
          <w:highlight w:val="none"/>
        </w:rPr>
        <w:t>本项目承包方式见合同专用条款。</w:t>
      </w:r>
    </w:p>
    <w:p>
      <w:pPr>
        <w:pStyle w:val="22"/>
        <w:numPr>
          <w:ilvl w:val="0"/>
          <w:numId w:val="5"/>
        </w:numPr>
        <w:tabs>
          <w:tab w:val="left" w:pos="0"/>
          <w:tab w:val="left" w:pos="210"/>
          <w:tab w:val="left" w:pos="420"/>
        </w:tabs>
        <w:spacing w:line="360" w:lineRule="auto"/>
        <w:ind w:left="0" w:firstLine="420" w:firstLineChars="200"/>
        <w:rPr>
          <w:rFonts w:ascii="宋体" w:hAnsi="宋体"/>
          <w:sz w:val="21"/>
          <w:szCs w:val="21"/>
          <w:highlight w:val="none"/>
        </w:rPr>
      </w:pPr>
      <w:r>
        <w:rPr>
          <w:rFonts w:hint="eastAsia" w:ascii="宋体" w:hAnsi="宋体"/>
          <w:sz w:val="21"/>
          <w:szCs w:val="21"/>
          <w:highlight w:val="none"/>
        </w:rPr>
        <w:t>合同价格在合同执行过程中发生下列情况，结算做相应调整：</w:t>
      </w:r>
    </w:p>
    <w:p>
      <w:pPr>
        <w:spacing w:line="360" w:lineRule="auto"/>
        <w:ind w:firstLine="420" w:firstLineChars="200"/>
        <w:rPr>
          <w:highlight w:val="none"/>
        </w:rPr>
      </w:pPr>
      <w:r>
        <w:rPr>
          <w:rFonts w:hint="eastAsia"/>
          <w:highlight w:val="none"/>
        </w:rPr>
        <w:t>（1）因发包人增加额外或减少原有需求，承包范围发生变化，导致增减工作内容或工程量；</w:t>
      </w:r>
    </w:p>
    <w:p>
      <w:pPr>
        <w:spacing w:line="360" w:lineRule="auto"/>
        <w:ind w:firstLine="420" w:firstLineChars="200"/>
        <w:rPr>
          <w:highlight w:val="none"/>
        </w:rPr>
      </w:pPr>
      <w:r>
        <w:rPr>
          <w:rFonts w:hint="eastAsia"/>
          <w:highlight w:val="none"/>
        </w:rPr>
        <w:t>（2）设计标准发生变化；因发包人原因发生的设计变更；</w:t>
      </w:r>
    </w:p>
    <w:p>
      <w:pPr>
        <w:spacing w:line="360" w:lineRule="auto"/>
        <w:ind w:firstLine="420" w:firstLineChars="200"/>
        <w:rPr>
          <w:highlight w:val="none"/>
        </w:rPr>
      </w:pPr>
      <w:r>
        <w:rPr>
          <w:rFonts w:hint="eastAsia"/>
          <w:highlight w:val="none"/>
        </w:rPr>
        <w:t>（3）工程量产生变化；</w:t>
      </w:r>
    </w:p>
    <w:p>
      <w:pPr>
        <w:spacing w:line="360" w:lineRule="auto"/>
        <w:ind w:firstLine="420" w:firstLineChars="200"/>
        <w:rPr>
          <w:highlight w:val="none"/>
        </w:rPr>
      </w:pPr>
      <w:r>
        <w:rPr>
          <w:rFonts w:hint="eastAsia"/>
          <w:highlight w:val="none"/>
        </w:rPr>
        <w:t>（4）在合同执行期间，因国家省市政策调整导致税金的费（税）率发生变化。</w:t>
      </w:r>
    </w:p>
    <w:p>
      <w:pPr>
        <w:pStyle w:val="22"/>
        <w:numPr>
          <w:ilvl w:val="0"/>
          <w:numId w:val="5"/>
        </w:numPr>
        <w:tabs>
          <w:tab w:val="left" w:pos="0"/>
          <w:tab w:val="left" w:pos="210"/>
          <w:tab w:val="left" w:pos="420"/>
        </w:tabs>
        <w:spacing w:line="360" w:lineRule="auto"/>
        <w:ind w:left="0" w:firstLine="420" w:firstLineChars="200"/>
        <w:rPr>
          <w:rFonts w:ascii="宋体" w:hAnsi="宋体"/>
          <w:sz w:val="21"/>
          <w:szCs w:val="21"/>
          <w:highlight w:val="none"/>
        </w:rPr>
      </w:pPr>
      <w:r>
        <w:rPr>
          <w:rFonts w:hint="eastAsia" w:ascii="宋体" w:hAnsi="宋体"/>
          <w:sz w:val="21"/>
          <w:szCs w:val="21"/>
          <w:highlight w:val="none"/>
        </w:rPr>
        <w:t>采用综合单价项目，结算量据实计算。投标人在报价时应严格按照工程量清单中的工程量报价，工程量不允许调整。如投标人提交的报价文件中的工程量与招标清单工程量不一致，发包人有权在评标时按招标清单工程量对投标文件工程量及报价进行修正，修正后的报价为评标价。中标价的确定执行招标文件规定。</w:t>
      </w:r>
    </w:p>
    <w:p>
      <w:pPr>
        <w:pStyle w:val="22"/>
        <w:numPr>
          <w:ilvl w:val="0"/>
          <w:numId w:val="5"/>
        </w:numPr>
        <w:tabs>
          <w:tab w:val="left" w:pos="0"/>
          <w:tab w:val="left" w:pos="210"/>
          <w:tab w:val="left" w:pos="420"/>
        </w:tabs>
        <w:spacing w:line="360" w:lineRule="auto"/>
        <w:ind w:left="0" w:firstLine="420" w:firstLineChars="200"/>
        <w:rPr>
          <w:rFonts w:ascii="宋体" w:hAnsi="宋体"/>
          <w:sz w:val="21"/>
          <w:szCs w:val="21"/>
          <w:highlight w:val="none"/>
        </w:rPr>
      </w:pPr>
      <w:r>
        <w:rPr>
          <w:rFonts w:hint="eastAsia" w:ascii="宋体" w:hAnsi="宋体"/>
          <w:sz w:val="21"/>
          <w:szCs w:val="21"/>
          <w:highlight w:val="none"/>
        </w:rPr>
        <w:t>中标价包括施工期内招标文件中要求承担的风险内容和范围、上级政府及当地政府现行规定的应缴纳的各种税收和费用（包含但不限于资源税、增值税、个人所得税等）、管理费、利润、其他保护措施及自然灾害等因素。未报价的项目</w:t>
      </w:r>
      <w:r>
        <w:rPr>
          <w:rFonts w:ascii="宋体" w:hAnsi="宋体"/>
          <w:sz w:val="21"/>
          <w:szCs w:val="21"/>
          <w:highlight w:val="none"/>
        </w:rPr>
        <w:t>则视为该项费用已含在相关项目的综合单价和合价内。</w:t>
      </w:r>
      <w:r>
        <w:rPr>
          <w:rFonts w:hint="eastAsia" w:ascii="宋体" w:hAnsi="宋体"/>
          <w:sz w:val="21"/>
          <w:szCs w:val="21"/>
          <w:highlight w:val="none"/>
        </w:rPr>
        <w:t>投标人在报价时应充分考虑各种施工可能出现的风险因素。</w:t>
      </w:r>
    </w:p>
    <w:p>
      <w:pPr>
        <w:pStyle w:val="22"/>
        <w:numPr>
          <w:ilvl w:val="0"/>
          <w:numId w:val="5"/>
        </w:numPr>
        <w:tabs>
          <w:tab w:val="left" w:pos="0"/>
          <w:tab w:val="left" w:pos="210"/>
          <w:tab w:val="left" w:pos="420"/>
        </w:tabs>
        <w:spacing w:line="360" w:lineRule="auto"/>
        <w:ind w:left="0" w:firstLine="420" w:firstLineChars="200"/>
        <w:rPr>
          <w:rFonts w:ascii="宋体" w:hAnsi="宋体"/>
          <w:sz w:val="21"/>
          <w:szCs w:val="21"/>
          <w:highlight w:val="none"/>
        </w:rPr>
      </w:pPr>
      <w:r>
        <w:rPr>
          <w:rFonts w:hint="eastAsia" w:ascii="宋体" w:hAnsi="宋体"/>
          <w:sz w:val="21"/>
          <w:szCs w:val="21"/>
          <w:highlight w:val="none"/>
        </w:rPr>
        <w:t>工程量清单中开列的工程量的工作内容包含：①清单计量规范规定的工作内容，项目名称及项目特征描述的工作内容；②《建设工程工程量清单计价规范》（GB50500-2013）、《广东省建设工程计价依据（2018）》中规定的工作内容；③除①②外完成本工程需要的其他工作内容（结合施工组织设计）。工程量清单项目中【项目特征】的描述须与本说明和规定共同使用。工程量清单项目中的综合单价除包括上述内容外，还应结合招标文件、招标文件所附合同条款、图纸等技术文件、有关技术规范及标准、现场施工条件、施工组织设计及施工方案等阅读、理解并进行报价。</w:t>
      </w:r>
    </w:p>
    <w:p>
      <w:pPr>
        <w:pStyle w:val="22"/>
        <w:numPr>
          <w:ilvl w:val="0"/>
          <w:numId w:val="5"/>
        </w:numPr>
        <w:tabs>
          <w:tab w:val="left" w:pos="0"/>
          <w:tab w:val="left" w:pos="210"/>
          <w:tab w:val="left" w:pos="420"/>
        </w:tabs>
        <w:spacing w:line="360" w:lineRule="auto"/>
        <w:ind w:left="0" w:firstLine="420" w:firstLineChars="200"/>
        <w:rPr>
          <w:rFonts w:ascii="宋体" w:hAnsi="宋体"/>
          <w:sz w:val="21"/>
          <w:szCs w:val="21"/>
          <w:highlight w:val="none"/>
        </w:rPr>
      </w:pPr>
      <w:r>
        <w:rPr>
          <w:rFonts w:ascii="宋体" w:hAnsi="宋体"/>
          <w:sz w:val="21"/>
          <w:szCs w:val="21"/>
          <w:highlight w:val="none"/>
        </w:rPr>
        <w:t>工程量清单中开列清单项目的工程量计算规则，在清单项目名称及特征中有说明的按照该说明，无说明的按照</w:t>
      </w:r>
      <w:r>
        <w:rPr>
          <w:rFonts w:hint="eastAsia" w:ascii="宋体" w:hAnsi="宋体"/>
          <w:sz w:val="21"/>
          <w:szCs w:val="21"/>
          <w:highlight w:val="none"/>
        </w:rPr>
        <w:t>清单计算规范</w:t>
      </w:r>
      <w:r>
        <w:rPr>
          <w:rFonts w:ascii="宋体" w:hAnsi="宋体"/>
          <w:sz w:val="21"/>
          <w:szCs w:val="21"/>
          <w:highlight w:val="none"/>
        </w:rPr>
        <w:t>执行。</w:t>
      </w:r>
    </w:p>
    <w:p>
      <w:pPr>
        <w:pStyle w:val="22"/>
        <w:numPr>
          <w:ilvl w:val="0"/>
          <w:numId w:val="5"/>
        </w:numPr>
        <w:tabs>
          <w:tab w:val="left" w:pos="0"/>
          <w:tab w:val="left" w:pos="210"/>
          <w:tab w:val="left" w:pos="420"/>
        </w:tabs>
        <w:spacing w:line="360" w:lineRule="auto"/>
        <w:ind w:left="0" w:firstLine="420" w:firstLineChars="200"/>
        <w:rPr>
          <w:rFonts w:ascii="宋体" w:hAnsi="宋体"/>
          <w:sz w:val="21"/>
          <w:szCs w:val="21"/>
          <w:highlight w:val="none"/>
        </w:rPr>
      </w:pPr>
      <w:r>
        <w:rPr>
          <w:rFonts w:hint="eastAsia" w:ascii="宋体" w:hAnsi="宋体"/>
          <w:sz w:val="21"/>
          <w:szCs w:val="21"/>
          <w:highlight w:val="none"/>
        </w:rPr>
        <w:t>除非合同中另有约定，投标人在工程量清单中填入的单价或费用应为综合单价。所谓综合单价应被理解为单价或费用已包含投标人为完成合同工程所需的劳务、材料、机械、质检、安装、缺陷修复、管理费、利润以及招标文件及合同中约定包含的风险费用、责任和义务等。</w:t>
      </w:r>
    </w:p>
    <w:p>
      <w:pPr>
        <w:pStyle w:val="22"/>
        <w:numPr>
          <w:ilvl w:val="0"/>
          <w:numId w:val="5"/>
        </w:numPr>
        <w:tabs>
          <w:tab w:val="left" w:pos="0"/>
          <w:tab w:val="left" w:pos="210"/>
          <w:tab w:val="left" w:pos="420"/>
        </w:tabs>
        <w:spacing w:line="360" w:lineRule="auto"/>
        <w:ind w:left="0" w:firstLine="420" w:firstLineChars="200"/>
        <w:rPr>
          <w:rFonts w:ascii="宋体" w:hAnsi="宋体"/>
          <w:sz w:val="21"/>
          <w:szCs w:val="21"/>
          <w:highlight w:val="none"/>
        </w:rPr>
      </w:pPr>
      <w:r>
        <w:rPr>
          <w:rFonts w:ascii="宋体" w:hAnsi="宋体"/>
          <w:sz w:val="21"/>
          <w:szCs w:val="21"/>
          <w:highlight w:val="none"/>
        </w:rPr>
        <w:t>投标人应对工程量清单列出的每一清单项目均需填报单价和合价。对没有填入或填入为“0”的单价与合价项目，则视为该项费用已含在其他工程量报价清单中的综合单价与合价内，或被视为免费提供此项服务，今后不做调整。</w:t>
      </w:r>
    </w:p>
    <w:p>
      <w:pPr>
        <w:pStyle w:val="22"/>
        <w:numPr>
          <w:ilvl w:val="0"/>
          <w:numId w:val="5"/>
        </w:numPr>
        <w:tabs>
          <w:tab w:val="left" w:pos="0"/>
          <w:tab w:val="left" w:pos="210"/>
          <w:tab w:val="left" w:pos="420"/>
        </w:tabs>
        <w:spacing w:line="360" w:lineRule="auto"/>
        <w:ind w:left="0" w:firstLine="420" w:firstLineChars="200"/>
        <w:rPr>
          <w:rFonts w:ascii="宋体" w:hAnsi="宋体"/>
          <w:sz w:val="21"/>
          <w:szCs w:val="21"/>
          <w:highlight w:val="none"/>
        </w:rPr>
      </w:pPr>
      <w:r>
        <w:rPr>
          <w:rFonts w:ascii="宋体" w:hAnsi="宋体"/>
          <w:sz w:val="21"/>
          <w:szCs w:val="21"/>
          <w:highlight w:val="none"/>
        </w:rPr>
        <w:t>工程量清单</w:t>
      </w:r>
      <w:r>
        <w:rPr>
          <w:rFonts w:hint="eastAsia" w:ascii="宋体" w:hAnsi="宋体"/>
          <w:sz w:val="21"/>
          <w:szCs w:val="21"/>
          <w:highlight w:val="none"/>
        </w:rPr>
        <w:t>表</w:t>
      </w:r>
      <w:r>
        <w:rPr>
          <w:rFonts w:ascii="宋体" w:hAnsi="宋体"/>
          <w:sz w:val="21"/>
          <w:szCs w:val="21"/>
          <w:highlight w:val="none"/>
        </w:rPr>
        <w:t>中</w:t>
      </w:r>
      <w:r>
        <w:rPr>
          <w:rFonts w:hint="eastAsia" w:ascii="宋体" w:hAnsi="宋体"/>
          <w:sz w:val="21"/>
          <w:szCs w:val="21"/>
          <w:highlight w:val="none"/>
        </w:rPr>
        <w:t>的</w:t>
      </w:r>
      <w:r>
        <w:rPr>
          <w:rFonts w:ascii="宋体" w:hAnsi="宋体"/>
          <w:sz w:val="21"/>
          <w:szCs w:val="21"/>
          <w:highlight w:val="none"/>
        </w:rPr>
        <w:t>所有项目均需按照给定的格式做详细的单价构成分析。相同清单项目名称</w:t>
      </w:r>
      <w:r>
        <w:rPr>
          <w:rFonts w:hint="eastAsia" w:ascii="宋体" w:hAnsi="宋体"/>
          <w:sz w:val="21"/>
          <w:szCs w:val="21"/>
          <w:highlight w:val="none"/>
        </w:rPr>
        <w:t>及项目特征描述</w:t>
      </w:r>
      <w:r>
        <w:rPr>
          <w:rFonts w:ascii="宋体" w:hAnsi="宋体"/>
          <w:sz w:val="21"/>
          <w:szCs w:val="21"/>
          <w:highlight w:val="none"/>
        </w:rPr>
        <w:t>可以只填报一个综合单价分析表，清单项目相同但所使用的主材不同的，则分别填报综合单价分析表。</w:t>
      </w:r>
      <w:r>
        <w:rPr>
          <w:rFonts w:hint="eastAsia" w:ascii="宋体" w:hAnsi="宋体"/>
          <w:sz w:val="21"/>
          <w:szCs w:val="21"/>
          <w:highlight w:val="none"/>
        </w:rPr>
        <w:t>分部分项工程和单价措施项目清单与计价表</w:t>
      </w:r>
      <w:r>
        <w:rPr>
          <w:rFonts w:ascii="宋体" w:hAnsi="宋体"/>
          <w:sz w:val="21"/>
          <w:szCs w:val="21"/>
          <w:highlight w:val="none"/>
        </w:rPr>
        <w:t>中的综合单价须与综合单价分析表中的综合单价对应一致，否则结算时以较低的综合单价计算</w:t>
      </w:r>
      <w:r>
        <w:rPr>
          <w:rFonts w:hint="eastAsia" w:ascii="宋体" w:hAnsi="宋体"/>
          <w:sz w:val="21"/>
          <w:szCs w:val="21"/>
          <w:highlight w:val="none"/>
        </w:rPr>
        <w:t>（合同包干部分按投标价结算）。</w:t>
      </w:r>
    </w:p>
    <w:p>
      <w:pPr>
        <w:pStyle w:val="22"/>
        <w:numPr>
          <w:ilvl w:val="0"/>
          <w:numId w:val="5"/>
        </w:numPr>
        <w:tabs>
          <w:tab w:val="left" w:pos="0"/>
          <w:tab w:val="left" w:pos="210"/>
          <w:tab w:val="left" w:pos="420"/>
        </w:tabs>
        <w:spacing w:line="360" w:lineRule="auto"/>
        <w:ind w:left="0" w:firstLine="420" w:firstLineChars="200"/>
        <w:rPr>
          <w:rFonts w:ascii="宋体" w:hAnsi="宋体"/>
          <w:sz w:val="21"/>
          <w:szCs w:val="21"/>
          <w:highlight w:val="none"/>
        </w:rPr>
      </w:pPr>
      <w:r>
        <w:rPr>
          <w:rFonts w:ascii="宋体" w:hAnsi="宋体"/>
          <w:sz w:val="21"/>
          <w:szCs w:val="21"/>
          <w:highlight w:val="none"/>
        </w:rPr>
        <w:t>投标人填入“开标一览表”中的“总报价”，必须与“</w:t>
      </w:r>
      <w:r>
        <w:rPr>
          <w:rFonts w:hint="eastAsia" w:ascii="宋体" w:hAnsi="宋体"/>
          <w:sz w:val="21"/>
          <w:szCs w:val="21"/>
          <w:highlight w:val="none"/>
        </w:rPr>
        <w:t>建设项目投标报价汇总表</w:t>
      </w:r>
      <w:r>
        <w:rPr>
          <w:rFonts w:ascii="宋体" w:hAnsi="宋体"/>
          <w:sz w:val="21"/>
          <w:szCs w:val="21"/>
          <w:highlight w:val="none"/>
        </w:rPr>
        <w:t>”中各项费用的合计相一致。</w:t>
      </w:r>
    </w:p>
    <w:p>
      <w:pPr>
        <w:pStyle w:val="22"/>
        <w:keepNext w:val="0"/>
        <w:keepLines w:val="0"/>
        <w:pageBreakBefore w:val="0"/>
        <w:widowControl w:val="0"/>
        <w:numPr>
          <w:ilvl w:val="0"/>
          <w:numId w:val="5"/>
        </w:numPr>
        <w:tabs>
          <w:tab w:val="left" w:pos="0"/>
          <w:tab w:val="left" w:pos="210"/>
          <w:tab w:val="left" w:pos="420"/>
        </w:tabs>
        <w:kinsoku/>
        <w:overflowPunct/>
        <w:topLinePunct w:val="0"/>
        <w:autoSpaceDE/>
        <w:autoSpaceDN/>
        <w:bidi w:val="0"/>
        <w:adjustRightInd/>
        <w:snapToGrid/>
        <w:spacing w:line="360" w:lineRule="auto"/>
        <w:ind w:left="0" w:firstLine="420" w:firstLineChars="200"/>
        <w:textAlignment w:val="auto"/>
        <w:rPr>
          <w:rFonts w:ascii="宋体" w:hAnsi="宋体"/>
          <w:sz w:val="21"/>
          <w:szCs w:val="21"/>
          <w:highlight w:val="none"/>
        </w:rPr>
      </w:pPr>
      <w:r>
        <w:rPr>
          <w:rFonts w:ascii="宋体" w:hAnsi="宋体"/>
          <w:sz w:val="21"/>
          <w:szCs w:val="21"/>
          <w:highlight w:val="none"/>
        </w:rPr>
        <w:t>投标人所报的材料及设备单价均为到工地结算价，即包含采购费、运杂费及运输损耗、仓储保管费、装卸费、吊装费及场内</w:t>
      </w:r>
      <w:r>
        <w:rPr>
          <w:rFonts w:hint="eastAsia" w:ascii="宋体" w:hAnsi="宋体"/>
          <w:sz w:val="21"/>
          <w:szCs w:val="21"/>
          <w:highlight w:val="none"/>
        </w:rPr>
        <w:t>多次</w:t>
      </w:r>
      <w:r>
        <w:rPr>
          <w:rFonts w:ascii="宋体" w:hAnsi="宋体"/>
          <w:sz w:val="21"/>
          <w:szCs w:val="21"/>
          <w:highlight w:val="none"/>
        </w:rPr>
        <w:t>转运费等</w:t>
      </w:r>
      <w:r>
        <w:rPr>
          <w:rFonts w:hint="eastAsia" w:ascii="宋体" w:hAnsi="宋体"/>
          <w:sz w:val="21"/>
          <w:szCs w:val="21"/>
          <w:highlight w:val="none"/>
          <w:lang w:eastAsia="zh-CN"/>
        </w:rPr>
        <w:t>。</w:t>
      </w:r>
    </w:p>
    <w:p>
      <w:pPr>
        <w:pStyle w:val="22"/>
        <w:keepNext w:val="0"/>
        <w:keepLines w:val="0"/>
        <w:pageBreakBefore w:val="0"/>
        <w:widowControl w:val="0"/>
        <w:numPr>
          <w:ilvl w:val="0"/>
          <w:numId w:val="5"/>
        </w:numPr>
        <w:tabs>
          <w:tab w:val="left" w:pos="0"/>
          <w:tab w:val="left" w:pos="210"/>
          <w:tab w:val="left" w:pos="420"/>
        </w:tabs>
        <w:kinsoku/>
        <w:overflowPunct/>
        <w:topLinePunct w:val="0"/>
        <w:autoSpaceDE/>
        <w:autoSpaceDN/>
        <w:bidi w:val="0"/>
        <w:adjustRightInd/>
        <w:snapToGrid/>
        <w:spacing w:line="360" w:lineRule="auto"/>
        <w:ind w:left="0" w:firstLine="420" w:firstLineChars="200"/>
        <w:textAlignment w:val="auto"/>
        <w:rPr>
          <w:rFonts w:hint="eastAsia" w:ascii="宋体" w:hAnsi="宋体" w:eastAsia="宋体"/>
          <w:sz w:val="21"/>
          <w:szCs w:val="21"/>
          <w:highlight w:val="none"/>
          <w:lang w:val="en-US" w:eastAsia="zh-CN"/>
        </w:rPr>
      </w:pPr>
      <w:r>
        <w:rPr>
          <w:rFonts w:ascii="宋体" w:hAnsi="宋体"/>
          <w:sz w:val="21"/>
          <w:szCs w:val="21"/>
          <w:highlight w:val="none"/>
        </w:rPr>
        <w:t>投标人所提供的电子文件必须能够打开，电子文件的内容必须按招标文件的要求格式填报，不得擅自调整格式及顺序，同时电子文件内容必须与纸质投标文件正本内容一致。</w:t>
      </w:r>
    </w:p>
    <w:p>
      <w:pPr>
        <w:pStyle w:val="22"/>
        <w:keepNext w:val="0"/>
        <w:keepLines w:val="0"/>
        <w:pageBreakBefore w:val="0"/>
        <w:widowControl w:val="0"/>
        <w:numPr>
          <w:ilvl w:val="0"/>
          <w:numId w:val="5"/>
        </w:numPr>
        <w:tabs>
          <w:tab w:val="left" w:pos="0"/>
          <w:tab w:val="left" w:pos="210"/>
          <w:tab w:val="left" w:pos="420"/>
        </w:tabs>
        <w:kinsoku/>
        <w:overflowPunct/>
        <w:topLinePunct w:val="0"/>
        <w:autoSpaceDE/>
        <w:autoSpaceDN/>
        <w:bidi w:val="0"/>
        <w:adjustRightInd/>
        <w:snapToGrid/>
        <w:spacing w:line="360" w:lineRule="auto"/>
        <w:ind w:left="0" w:firstLine="420" w:firstLineChars="200"/>
        <w:textAlignment w:val="auto"/>
        <w:rPr>
          <w:rFonts w:hint="eastAsia" w:ascii="宋体" w:hAnsi="宋体" w:eastAsia="宋体"/>
          <w:sz w:val="21"/>
          <w:szCs w:val="21"/>
          <w:highlight w:val="none"/>
          <w:lang w:val="en-US" w:eastAsia="zh-CN"/>
        </w:rPr>
      </w:pPr>
      <w:r>
        <w:rPr>
          <w:rFonts w:hint="eastAsia" w:ascii="宋体" w:hAnsi="宋体" w:eastAsia="宋体"/>
          <w:sz w:val="21"/>
          <w:szCs w:val="21"/>
          <w:highlight w:val="none"/>
          <w:lang w:val="en-US" w:eastAsia="zh-CN"/>
        </w:rPr>
        <w:t>发包人不组织投标人踏勘现场，投标人可自行前往现场考察，熟悉施工现场的地形、沟渠等情况，以获得可能影响投标报价的直接资料，所需发生的费用应在投标报价中综合考虑。投标人将一律被视为已确认所有现场条件，并预料到了可能发生的任何费用，招标结束后不得以不了解现场情况为由，提出投标报价以外的费用要求，对此发包人将不作考虑。考察现场的费用由投标人自己承担。</w:t>
      </w:r>
    </w:p>
    <w:p>
      <w:pPr>
        <w:pStyle w:val="22"/>
        <w:keepNext w:val="0"/>
        <w:keepLines w:val="0"/>
        <w:pageBreakBefore w:val="0"/>
        <w:widowControl w:val="0"/>
        <w:numPr>
          <w:ilvl w:val="0"/>
          <w:numId w:val="5"/>
        </w:numPr>
        <w:tabs>
          <w:tab w:val="left" w:pos="0"/>
          <w:tab w:val="left" w:pos="210"/>
          <w:tab w:val="left" w:pos="420"/>
        </w:tabs>
        <w:kinsoku/>
        <w:overflowPunct/>
        <w:topLinePunct w:val="0"/>
        <w:autoSpaceDE/>
        <w:autoSpaceDN/>
        <w:bidi w:val="0"/>
        <w:adjustRightInd/>
        <w:snapToGrid/>
        <w:spacing w:line="360" w:lineRule="auto"/>
        <w:ind w:left="0" w:firstLine="420" w:firstLineChars="200"/>
        <w:textAlignment w:val="auto"/>
        <w:rPr>
          <w:rFonts w:hint="eastAsia" w:ascii="宋体" w:hAnsi="宋体" w:eastAsia="宋体"/>
          <w:sz w:val="21"/>
          <w:szCs w:val="21"/>
          <w:highlight w:val="none"/>
          <w:lang w:val="en-US" w:eastAsia="zh-CN"/>
        </w:rPr>
      </w:pPr>
      <w:r>
        <w:rPr>
          <w:rFonts w:hint="eastAsia" w:ascii="宋体" w:hAnsi="宋体" w:eastAsia="宋体"/>
          <w:sz w:val="21"/>
          <w:szCs w:val="21"/>
          <w:highlight w:val="none"/>
          <w:lang w:val="en-US" w:eastAsia="zh-CN"/>
        </w:rPr>
        <w:t>发包人提供的施工现场资料和数据，只是为了使投标人能够利用发包人现有的资料。发包人对投标人由此而作出的推论、理解和结论概不负责。</w:t>
      </w:r>
    </w:p>
    <w:p>
      <w:pPr>
        <w:pStyle w:val="22"/>
        <w:keepNext w:val="0"/>
        <w:keepLines w:val="0"/>
        <w:pageBreakBefore w:val="0"/>
        <w:widowControl w:val="0"/>
        <w:numPr>
          <w:ilvl w:val="0"/>
          <w:numId w:val="5"/>
        </w:numPr>
        <w:tabs>
          <w:tab w:val="left" w:pos="0"/>
          <w:tab w:val="left" w:pos="210"/>
          <w:tab w:val="left" w:pos="420"/>
        </w:tabs>
        <w:kinsoku/>
        <w:overflowPunct/>
        <w:topLinePunct w:val="0"/>
        <w:autoSpaceDE/>
        <w:autoSpaceDN/>
        <w:bidi w:val="0"/>
        <w:adjustRightInd/>
        <w:snapToGrid/>
        <w:spacing w:line="360" w:lineRule="auto"/>
        <w:ind w:left="0" w:firstLine="420" w:firstLineChars="200"/>
        <w:textAlignment w:val="auto"/>
        <w:rPr>
          <w:rFonts w:hint="eastAsia" w:ascii="宋体" w:hAnsi="宋体" w:eastAsia="宋体"/>
          <w:sz w:val="21"/>
          <w:szCs w:val="21"/>
          <w:highlight w:val="none"/>
          <w:lang w:val="en-US" w:eastAsia="zh-CN"/>
        </w:rPr>
      </w:pPr>
      <w:r>
        <w:rPr>
          <w:rFonts w:hint="eastAsia" w:ascii="宋体" w:hAnsi="宋体" w:eastAsia="宋体"/>
          <w:sz w:val="21"/>
          <w:szCs w:val="21"/>
          <w:highlight w:val="none"/>
          <w:lang w:val="en-US" w:eastAsia="zh-CN"/>
        </w:rPr>
        <w:t>施工用水、电的单价及除供电局或广州市造价站发布的价格以外，由机场相关部门收取的公共成本分摊费由投标人综合考虑在投标报价内，结算时按投标水、电单价计算。除合同另有约定外，结算不作调整。</w:t>
      </w:r>
    </w:p>
    <w:p>
      <w:pPr>
        <w:pStyle w:val="22"/>
        <w:numPr>
          <w:ilvl w:val="0"/>
          <w:numId w:val="0"/>
        </w:numPr>
        <w:tabs>
          <w:tab w:val="left" w:pos="420"/>
        </w:tabs>
        <w:spacing w:line="360" w:lineRule="auto"/>
        <w:ind w:firstLine="210" w:firstLineChars="100"/>
        <w:jc w:val="left"/>
        <w:outlineLvl w:val="1"/>
        <w:rPr>
          <w:rFonts w:hint="eastAsia" w:ascii="宋体" w:hAnsi="宋体" w:eastAsia="宋体"/>
          <w:sz w:val="21"/>
          <w:szCs w:val="21"/>
          <w:highlight w:val="none"/>
        </w:rPr>
      </w:pPr>
      <w:r>
        <w:rPr>
          <w:rFonts w:ascii="宋体" w:hAnsi="宋体" w:eastAsia="宋体"/>
          <w:b w:val="0"/>
          <w:bCs w:val="0"/>
          <w:sz w:val="21"/>
          <w:szCs w:val="21"/>
          <w:highlight w:val="none"/>
        </w:rPr>
        <w:t>（</w:t>
      </w:r>
      <w:r>
        <w:rPr>
          <w:rFonts w:hint="eastAsia" w:ascii="宋体" w:hAnsi="宋体" w:eastAsia="宋体"/>
          <w:b w:val="0"/>
          <w:bCs w:val="0"/>
          <w:sz w:val="21"/>
          <w:szCs w:val="21"/>
          <w:highlight w:val="none"/>
          <w:lang w:val="en-US" w:eastAsia="zh-CN"/>
        </w:rPr>
        <w:t>二</w:t>
      </w:r>
      <w:r>
        <w:rPr>
          <w:rFonts w:ascii="宋体" w:hAnsi="宋体" w:eastAsia="宋体"/>
          <w:b w:val="0"/>
          <w:bCs w:val="0"/>
          <w:sz w:val="21"/>
          <w:szCs w:val="21"/>
          <w:highlight w:val="none"/>
        </w:rPr>
        <w:t>）</w:t>
      </w:r>
      <w:r>
        <w:rPr>
          <w:rFonts w:hint="eastAsia" w:ascii="宋体" w:hAnsi="宋体" w:eastAsia="宋体"/>
          <w:sz w:val="21"/>
          <w:szCs w:val="21"/>
          <w:highlight w:val="none"/>
        </w:rPr>
        <w:t>分部分项工程</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eastAsia"/>
          <w:highlight w:val="none"/>
          <w:lang w:val="en-US" w:eastAsia="zh-CN"/>
        </w:rPr>
      </w:pPr>
      <w:r>
        <w:rPr>
          <w:rFonts w:hint="eastAsia"/>
          <w:highlight w:val="none"/>
          <w:lang w:val="en-US" w:eastAsia="zh-CN"/>
        </w:rPr>
        <w:t>1.分部分项增加费</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1.1 工程超高增加费：由投标人自行在对应的清单项中考虑；</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highlight w:val="none"/>
          <w:lang w:val="en-US" w:eastAsia="zh-CN"/>
        </w:rPr>
      </w:pPr>
      <w:r>
        <w:rPr>
          <w:rFonts w:hint="eastAsia"/>
          <w:highlight w:val="none"/>
          <w:lang w:val="en-US" w:eastAsia="zh-CN"/>
        </w:rPr>
        <w:t>1.2 在管井内、竖井内、断面小于或等于2m2隧道或洞内、封闭吊顶天棚内进行安装而增加的费用，由投标人自行在对应的清单项中考虑。</w:t>
      </w:r>
    </w:p>
    <w:p>
      <w:pPr>
        <w:pStyle w:val="22"/>
        <w:numPr>
          <w:ilvl w:val="0"/>
          <w:numId w:val="0"/>
        </w:numPr>
        <w:tabs>
          <w:tab w:val="left" w:pos="420"/>
        </w:tabs>
        <w:spacing w:line="360" w:lineRule="auto"/>
        <w:ind w:firstLine="210" w:firstLineChars="100"/>
        <w:jc w:val="left"/>
        <w:outlineLvl w:val="1"/>
        <w:rPr>
          <w:rFonts w:hint="eastAsia" w:ascii="宋体" w:hAnsi="宋体" w:eastAsia="宋体"/>
          <w:sz w:val="21"/>
          <w:szCs w:val="21"/>
          <w:highlight w:val="none"/>
        </w:rPr>
      </w:pPr>
      <w:r>
        <w:rPr>
          <w:rFonts w:ascii="宋体" w:hAnsi="宋体" w:eastAsia="宋体"/>
          <w:b w:val="0"/>
          <w:bCs w:val="0"/>
          <w:sz w:val="21"/>
          <w:szCs w:val="21"/>
          <w:highlight w:val="none"/>
        </w:rPr>
        <w:t>（</w:t>
      </w:r>
      <w:r>
        <w:rPr>
          <w:rFonts w:hint="eastAsia" w:ascii="宋体" w:hAnsi="宋体" w:eastAsia="宋体"/>
          <w:b w:val="0"/>
          <w:bCs w:val="0"/>
          <w:sz w:val="21"/>
          <w:szCs w:val="21"/>
          <w:highlight w:val="none"/>
          <w:lang w:val="en-US" w:eastAsia="zh-CN"/>
        </w:rPr>
        <w:t>三</w:t>
      </w:r>
      <w:r>
        <w:rPr>
          <w:rFonts w:ascii="宋体" w:hAnsi="宋体" w:eastAsia="宋体"/>
          <w:b w:val="0"/>
          <w:bCs w:val="0"/>
          <w:sz w:val="21"/>
          <w:szCs w:val="21"/>
          <w:highlight w:val="none"/>
        </w:rPr>
        <w:t>）</w:t>
      </w:r>
      <w:r>
        <w:rPr>
          <w:rFonts w:hint="eastAsia" w:ascii="宋体" w:hAnsi="宋体" w:eastAsia="宋体"/>
          <w:sz w:val="21"/>
          <w:szCs w:val="21"/>
          <w:highlight w:val="none"/>
        </w:rPr>
        <w:t>措施项目</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default"/>
          <w:highlight w:val="none"/>
          <w:lang w:val="en-US" w:eastAsia="zh-CN"/>
        </w:rPr>
      </w:pPr>
      <w:r>
        <w:rPr>
          <w:rFonts w:hint="default"/>
          <w:highlight w:val="none"/>
          <w:lang w:val="en-US" w:eastAsia="zh-CN"/>
        </w:rPr>
        <w:t>招标人提出的措施项目清单是根据一般情况所列，因此投标人在报价时，应根据本企业的实际情况和拟采用的施工方案，详细分析其所含的项目特征和工程内容，自行报价，投标人没有计算或少计算的费用，视为已包括在其他相关费用内。</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default"/>
          <w:highlight w:val="none"/>
          <w:lang w:val="en-US" w:eastAsia="zh-CN"/>
        </w:rPr>
      </w:pPr>
      <w:r>
        <w:rPr>
          <w:rFonts w:hint="default"/>
          <w:highlight w:val="none"/>
          <w:lang w:val="en-US" w:eastAsia="zh-CN"/>
        </w:rPr>
        <w:t>所有涉及本工程制作安装的措施项目费用，投标时承包人均应作充分考虑，承包人不能以现有提供的各种条件不满足运输、制作、起吊安装、堆放保管条件为由而要求签证。同时也不能以实际施工条件与招标时发生变化作为索赔任何费用的依据。措施费包括如下：</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420"/>
        <w:textAlignment w:val="auto"/>
        <w:outlineLvl w:val="2"/>
        <w:rPr>
          <w:rFonts w:hint="eastAsia"/>
          <w:highlight w:val="none"/>
          <w:lang w:val="en-US" w:eastAsia="zh-CN"/>
        </w:rPr>
      </w:pPr>
      <w:r>
        <w:rPr>
          <w:rFonts w:hint="eastAsia"/>
          <w:highlight w:val="none"/>
          <w:lang w:val="en-US" w:eastAsia="zh-CN"/>
        </w:rPr>
        <w:t>绿色施工安全防护措施费</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highlight w:val="none"/>
          <w:lang w:val="en-US" w:eastAsia="zh-CN"/>
        </w:rPr>
      </w:pPr>
      <w:r>
        <w:rPr>
          <w:rFonts w:hint="eastAsia"/>
          <w:highlight w:val="none"/>
          <w:lang w:val="en-US" w:eastAsia="zh-CN"/>
        </w:rPr>
        <w:t xml:space="preserve">    1.1 绿色施工安全防护措施费是在现阶段建设施工过程中，为达到绿色施工和安全防护标准， 需实施实体工程之外的措施性项目而发生的费用，主要内容包括以下两个方面：1）按照国家现行的建筑施工安全、施工现场环境与卫生标准和有关规定，购置或更新施工安全防护用具及设施、改善安全生产条件和作业环境所需要的费用。2）在保证质量、安全等基本要求的前提下，项目实施中通过科学管理和技术进步，最大限度地节约资源，减少对环境影响，实现环境保护、节能与能源利用、节材与材料资源利用、节水与水资源利用、节地与土地资源保护，达到广东省《建筑工程绿色施工评价标准》所需要的措施性费用。具体包括两部分内容：</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default"/>
          <w:highlight w:val="none"/>
          <w:lang w:val="en-US" w:eastAsia="zh-CN"/>
        </w:rPr>
      </w:pPr>
      <w:r>
        <w:rPr>
          <w:rFonts w:hint="eastAsia"/>
          <w:highlight w:val="none"/>
          <w:lang w:val="en-US" w:eastAsia="zh-CN"/>
        </w:rPr>
        <w:t xml:space="preserve">     1）按相关定额子目计算的绿色施工安全防护措施费，包含内容详见《广东省建设工程计价依据（2018）》。</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highlight w:val="none"/>
          <w:lang w:val="en-US" w:eastAsia="zh-CN"/>
        </w:rPr>
      </w:pPr>
      <w:r>
        <w:rPr>
          <w:rFonts w:hint="eastAsia"/>
          <w:highlight w:val="none"/>
          <w:lang w:val="en-US" w:eastAsia="zh-CN"/>
        </w:rPr>
        <w:t xml:space="preserve">     2）按系数计算的绿色施工安全防护措施费，具体内容包含但不限于：</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default"/>
          <w:highlight w:val="none"/>
          <w:lang w:val="en-US" w:eastAsia="zh-CN"/>
        </w:rPr>
      </w:pPr>
      <w:r>
        <w:rPr>
          <w:rFonts w:hint="default"/>
          <w:highlight w:val="none"/>
          <w:lang w:val="en-US" w:eastAsia="zh-CN"/>
        </w:rPr>
        <w:t>①绿色施工（施工管理、环境保护、节能与能源利用、节材与材料资源利用、节水与水资源利用、节地与施工用地保护、发展绿色施工“四新” 技术等）。环境保护费指施工现场为达到环保部门要求所需要的各项费用，包括：施工现场的各种粉尘、废气、废水、固定废弃物以及噪声、振动对环境的污染和危害的控制措施费用；噪声、振动的施工机械采取减轻噪声扰民的控制措施费用；除四害、预防传染性疾病的措施费用。</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default"/>
          <w:highlight w:val="none"/>
          <w:lang w:val="en-US" w:eastAsia="zh-CN"/>
        </w:rPr>
      </w:pPr>
      <w:r>
        <w:rPr>
          <w:rFonts w:hint="default"/>
          <w:highlight w:val="none"/>
          <w:lang w:val="en-US" w:eastAsia="zh-CN"/>
        </w:rPr>
        <w:t>②临时设施（现场办公生活设施、施工现场临时用电、施工现场临时用水设施、施工现场、临时设施维护及拆除等）。临时设施费指除现有公共临时设施以外的为完成本标段承包范围内施工管理而发生的承包人为进行建筑工程施工所必须搭设的生活和生产用的临时建筑物、构筑物和其他临时设施费用等，包括：临时宿舍、文化福利及公用事业房屋与构筑物，仓库、办公室、加工厂以及招标范围内水、电、管线等临时设施和小型临时设施、施工现场设置挡水坎等。临时设施费用包括临时设施的搭设、维修、拆除和摊销费，还包括因场地的实际使用情况而发生的二次或多次搬迁搭拆费用。工程竣工后，除发包人通知需移交给发包人外，承包人在接到发包人书面通知后的一星期内无条件拆除、恢复原状、清理场地并垃圾外运。现有公共临时设施的建设和维护、保养、保修由承包单位提供。投标单位应根据现场实际情况综合考虑进行报价。投标单位报价时应考虑折旧、回收摊销的费用。</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default"/>
          <w:highlight w:val="none"/>
          <w:lang w:val="en-US" w:eastAsia="zh-CN"/>
        </w:rPr>
      </w:pPr>
      <w:r>
        <w:rPr>
          <w:rFonts w:hint="default"/>
          <w:highlight w:val="none"/>
          <w:lang w:val="en-US" w:eastAsia="zh-CN"/>
        </w:rPr>
        <w:t>③安全施工（临边洞口交叉高处作业防护、保健急救措施、安全检测费用、施工机具防护等）。安全施工费指除现有外排栅、外脚手架以外的为完成本标段承包范围内施工管理而发生的施工现场安全施工所需的各项费用。包括：临边、洞口、交叉、高处作业及基坑支护栏杆安全防护费用，保健急救措施费用；安全帽、安全带、安全网及安全设施的检测费用；施工机具防护费用；按省市有关文件规定对建设工程实行平安卡制度所发生的各项费用。现有外排栅、外脚手架的建设和维护、保养、保修由承包单位提供。</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default"/>
          <w:highlight w:val="none"/>
          <w:lang w:val="en-US" w:eastAsia="zh-CN"/>
        </w:rPr>
      </w:pPr>
      <w:r>
        <w:rPr>
          <w:rFonts w:hint="default"/>
          <w:highlight w:val="none"/>
          <w:lang w:val="en-US" w:eastAsia="zh-CN"/>
        </w:rPr>
        <w:t>④用工实名管理。包括：利用信息技术手段，对施工现场人员登记并进行监管的各项信息、建立实名管理制度，开展实名管理所需数据的提取、登记、审核、报送和档案管理等工作；在施工区域安装电子信息卡刷卡或者个人生物信息识别设备等门禁设施，用于施工现场人员的日常考勤和工作情况记录；在项目现场设置公示牌，将每月经施工现场人员确认的考勤与工资支付信息在公示牌上进行公示；落实工程建设领域人工费用与其他工程款分账管理制度，设立工资支付专用账户，统一为已实名信息采集的施工现场人员办理银行卡，并通过银行卡足额发放工资；自行或提请银行将银行卡制作发放信息、工资支付信息归集后上传至实名监管系统，并向施工现场人员反馈其工资收入信息；施工现场人员退场时，为其办理退场登记，填报登记退场日期、用工评价或者诚信记录。</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default"/>
          <w:highlight w:val="none"/>
          <w:lang w:val="en-US" w:eastAsia="zh-CN"/>
        </w:rPr>
      </w:pPr>
      <w:r>
        <w:rPr>
          <w:rFonts w:hint="eastAsia"/>
          <w:highlight w:val="none"/>
          <w:lang w:val="en-US" w:eastAsia="zh-CN"/>
        </w:rPr>
        <w:t>1.2 以下费用包括在绿色施工安全防护措施费中，均由投标人在该项措施内综合考虑：承包范围内的临水临电设施在施工期间的维护、保养、试验检验以及需要向第三方缴纳的费用；施工现场至建设单位提供的水电接驳点（详见招标文件）的临时用水用电线路；临时水电线路接通前的施工单位自行供水、供电措施及增加费用；招标图纸以外的进场道路、公共通道以及场地硬化。</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default"/>
          <w:highlight w:val="none"/>
          <w:lang w:val="en-US" w:eastAsia="zh-CN"/>
        </w:rPr>
      </w:pPr>
      <w:r>
        <w:rPr>
          <w:rFonts w:hint="eastAsia"/>
          <w:highlight w:val="none"/>
          <w:lang w:val="en-US" w:eastAsia="zh-CN"/>
        </w:rPr>
        <w:t xml:space="preserve">    </w:t>
      </w:r>
      <w:r>
        <w:rPr>
          <w:color w:val="auto"/>
          <w:highlight w:val="none"/>
        </w:rPr>
        <w:t>1.3</w:t>
      </w:r>
      <w:r>
        <w:rPr>
          <w:rFonts w:hint="eastAsia"/>
          <w:color w:val="auto"/>
          <w:highlight w:val="none"/>
        </w:rPr>
        <w:t>绿色施工安全防护措施费中的</w:t>
      </w:r>
      <w:r>
        <w:rPr>
          <w:rFonts w:hint="eastAsia"/>
          <w:b/>
          <w:bCs/>
          <w:color w:val="auto"/>
          <w:highlight w:val="none"/>
        </w:rPr>
        <w:t>“按系数计算的绿色施工安全防护措施费”</w:t>
      </w:r>
      <w:r>
        <w:rPr>
          <w:rFonts w:hint="eastAsia"/>
          <w:color w:val="auto"/>
          <w:highlight w:val="none"/>
        </w:rPr>
        <w:t>属于不可竞争费用，投标人按照招标清单列出的金额填写，并在投标报价中单列，结算时按照合同条款约定执行。绿色施工安全防护措施费中的</w:t>
      </w:r>
      <w:r>
        <w:rPr>
          <w:rFonts w:hint="eastAsia"/>
          <w:b/>
          <w:bCs/>
          <w:color w:val="auto"/>
          <w:highlight w:val="none"/>
        </w:rPr>
        <w:t>“按相关定额子目计算的绿色施工安全防护措施费”</w:t>
      </w:r>
      <w:r>
        <w:rPr>
          <w:rFonts w:hint="eastAsia"/>
          <w:color w:val="auto"/>
          <w:highlight w:val="none"/>
        </w:rPr>
        <w:t>由投标人</w:t>
      </w:r>
      <w:r>
        <w:rPr>
          <w:rFonts w:hint="eastAsia"/>
          <w:color w:val="auto"/>
          <w:highlight w:val="none"/>
          <w:lang w:val="en-US" w:eastAsia="zh-CN"/>
        </w:rPr>
        <w:t>结合实际情况综合考虑进行</w:t>
      </w:r>
      <w:r>
        <w:rPr>
          <w:rFonts w:hint="eastAsia"/>
          <w:color w:val="auto"/>
          <w:highlight w:val="none"/>
        </w:rPr>
        <w:t>报价。该费用属合价包干项目，除合同另有约定外，结算时不作调整。</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420"/>
        <w:textAlignment w:val="auto"/>
        <w:outlineLvl w:val="2"/>
        <w:rPr>
          <w:rFonts w:hint="default"/>
          <w:color w:val="auto"/>
          <w:highlight w:val="none"/>
          <w:lang w:val="en-US" w:eastAsia="zh-CN"/>
        </w:rPr>
      </w:pPr>
      <w:r>
        <w:rPr>
          <w:rFonts w:hint="eastAsia"/>
          <w:color w:val="auto"/>
          <w:highlight w:val="none"/>
          <w:lang w:val="en-US" w:eastAsia="zh-CN"/>
        </w:rPr>
        <w:t>措施其他项目</w:t>
      </w:r>
    </w:p>
    <w:p>
      <w:pPr>
        <w:pStyle w:val="14"/>
        <w:keepNext w:val="0"/>
        <w:keepLines w:val="0"/>
        <w:widowControl/>
        <w:suppressLineNumbers w:val="0"/>
        <w:spacing w:before="0" w:beforeAutospacing="0" w:after="0" w:afterAutospacing="0"/>
        <w:ind w:left="0" w:right="0" w:firstLine="420" w:firstLineChars="200"/>
        <w:rPr>
          <w:rFonts w:hint="eastAsia" w:ascii="宋体" w:hAnsi="Courier New" w:eastAsia="宋体" w:cs="Times New Roman"/>
          <w:color w:val="auto"/>
          <w:kern w:val="2"/>
          <w:sz w:val="21"/>
          <w:szCs w:val="24"/>
          <w:highlight w:val="none"/>
          <w:lang w:val="en-US" w:eastAsia="zh-CN" w:bidi="ar-SA"/>
        </w:rPr>
      </w:pPr>
      <w:r>
        <w:rPr>
          <w:rFonts w:hint="eastAsia" w:ascii="宋体" w:hAnsi="Courier New" w:eastAsia="宋体" w:cs="Times New Roman"/>
          <w:color w:val="auto"/>
          <w:kern w:val="2"/>
          <w:sz w:val="21"/>
          <w:szCs w:val="24"/>
          <w:highlight w:val="none"/>
          <w:lang w:val="en-US" w:eastAsia="zh-CN" w:bidi="ar-SA"/>
        </w:rPr>
        <w:t>2.1网络安全等级保护测评费：指在本项目验收前，需对所有系统完成等级保护工作（含定级和测评），具体措施包括：</w:t>
      </w:r>
    </w:p>
    <w:p>
      <w:pPr>
        <w:pStyle w:val="14"/>
        <w:keepNext w:val="0"/>
        <w:keepLines w:val="0"/>
        <w:widowControl/>
        <w:suppressLineNumbers w:val="0"/>
        <w:spacing w:before="0" w:beforeAutospacing="0" w:after="0" w:afterAutospacing="0"/>
        <w:ind w:left="0" w:right="0" w:firstLine="420" w:firstLineChars="200"/>
        <w:rPr>
          <w:rFonts w:hint="eastAsia" w:ascii="宋体" w:hAnsi="Courier New" w:eastAsia="宋体" w:cs="Times New Roman"/>
          <w:color w:val="auto"/>
          <w:kern w:val="2"/>
          <w:sz w:val="21"/>
          <w:szCs w:val="24"/>
          <w:highlight w:val="none"/>
          <w:lang w:val="en-US" w:eastAsia="zh-CN" w:bidi="ar-SA"/>
        </w:rPr>
      </w:pPr>
      <w:r>
        <w:rPr>
          <w:rFonts w:hint="eastAsia" w:ascii="宋体" w:hAnsi="Courier New" w:eastAsia="宋体" w:cs="Times New Roman"/>
          <w:color w:val="auto"/>
          <w:kern w:val="2"/>
          <w:sz w:val="21"/>
          <w:szCs w:val="24"/>
          <w:highlight w:val="none"/>
          <w:lang w:val="en-US" w:eastAsia="zh-CN" w:bidi="ar-SA"/>
        </w:rPr>
        <w:t>1）聘请符合资质的第三方测评机构按2级系统要求的防护水平进行测评，并出具测评报告。</w:t>
      </w:r>
    </w:p>
    <w:p>
      <w:pPr>
        <w:pStyle w:val="14"/>
        <w:keepNext w:val="0"/>
        <w:keepLines w:val="0"/>
        <w:widowControl/>
        <w:suppressLineNumbers w:val="0"/>
        <w:spacing w:before="0" w:beforeAutospacing="0" w:after="0" w:afterAutospacing="0"/>
        <w:ind w:left="0" w:right="0" w:firstLine="420" w:firstLineChars="200"/>
        <w:rPr>
          <w:rFonts w:hint="default" w:ascii="宋体" w:hAnsi="Courier New" w:eastAsia="宋体" w:cs="Times New Roman"/>
          <w:color w:val="auto"/>
          <w:kern w:val="2"/>
          <w:sz w:val="21"/>
          <w:szCs w:val="24"/>
          <w:highlight w:val="none"/>
          <w:lang w:val="en-US" w:eastAsia="zh-CN" w:bidi="ar-SA"/>
        </w:rPr>
      </w:pPr>
      <w:r>
        <w:rPr>
          <w:rFonts w:hint="eastAsia" w:ascii="宋体" w:hAnsi="Courier New" w:eastAsia="宋体" w:cs="Times New Roman"/>
          <w:color w:val="auto"/>
          <w:kern w:val="2"/>
          <w:sz w:val="21"/>
          <w:szCs w:val="24"/>
          <w:highlight w:val="none"/>
          <w:lang w:val="en-US" w:eastAsia="zh-CN" w:bidi="ar-SA"/>
        </w:rPr>
        <w:t>2）协助采购人完成公安局系统定级备案。</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eastAsia"/>
          <w:color w:val="auto"/>
          <w:highlight w:val="none"/>
          <w:lang w:val="en-US" w:eastAsia="zh-CN"/>
        </w:rPr>
      </w:pPr>
      <w:r>
        <w:rPr>
          <w:rFonts w:hint="default" w:ascii="宋体" w:hAnsi="Courier New" w:eastAsia="宋体" w:cs="Times New Roman"/>
          <w:color w:val="auto"/>
          <w:kern w:val="2"/>
          <w:sz w:val="21"/>
          <w:szCs w:val="24"/>
          <w:highlight w:val="none"/>
          <w:lang w:val="en-US" w:eastAsia="zh-CN" w:bidi="ar-SA"/>
        </w:rPr>
        <w:t>该费用属合价包干项目，除合同另有约定外，结算时不作调整</w:t>
      </w:r>
      <w:r>
        <w:rPr>
          <w:rFonts w:hint="eastAsia" w:ascii="宋体" w:hAnsi="Courier New" w:eastAsia="宋体" w:cs="Times New Roman"/>
          <w:color w:val="auto"/>
          <w:kern w:val="2"/>
          <w:sz w:val="21"/>
          <w:szCs w:val="24"/>
          <w:highlight w:val="none"/>
          <w:lang w:val="en-US" w:eastAsia="zh-CN" w:bidi="ar-SA"/>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default"/>
          <w:highlight w:val="none"/>
          <w:lang w:val="en-US" w:eastAsia="zh-CN"/>
        </w:rPr>
      </w:pPr>
      <w:r>
        <w:rPr>
          <w:rFonts w:hint="eastAsia"/>
          <w:highlight w:val="none"/>
          <w:lang w:val="en-US" w:eastAsia="zh-CN"/>
        </w:rPr>
        <w:t>2.2</w:t>
      </w:r>
      <w:r>
        <w:rPr>
          <w:rFonts w:hint="default"/>
          <w:highlight w:val="none"/>
          <w:lang w:val="en-US" w:eastAsia="zh-CN"/>
        </w:rPr>
        <w:t>深化设计费：</w:t>
      </w:r>
      <w:r>
        <w:rPr>
          <w:rFonts w:hint="default"/>
          <w:color w:val="auto"/>
          <w:highlight w:val="none"/>
          <w:lang w:val="en-US" w:eastAsia="zh-CN"/>
        </w:rPr>
        <w:t>是指依据国家有关法律、法规和工程建设强制性标准，根据招标文件及设计要求可能产生图纸、工艺深化等相关设计费用，该费用属合价包干项目，除合同另有约定外，结算时不作调整。深化设计导致的工程费用变化等在综合单价内综合考虑，结算时不因采用方式变化和深化设计而调整综合单价。需要提供深化设计的系统不限于以下系统：</w:t>
      </w:r>
      <w:r>
        <w:rPr>
          <w:rFonts w:hint="default"/>
          <w:strike w:val="0"/>
          <w:dstrike w:val="0"/>
          <w:color w:val="auto"/>
          <w:highlight w:val="none"/>
          <w:lang w:val="en-US" w:eastAsia="zh-CN"/>
        </w:rPr>
        <w:t>综合布线系统、IPTV系统、卫星及有线电视系统、视频监控系统、入侵报警及巡更系统、出入口控制系统、无线对讲系统、电梯六方对讲系统、客房管理及客房门锁系统、UPS电源系统、停车管理系统、智能照明系统、音视频系统</w:t>
      </w:r>
      <w:r>
        <w:rPr>
          <w:rFonts w:hint="eastAsia"/>
          <w:strike w:val="0"/>
          <w:dstrike w:val="0"/>
          <w:color w:val="auto"/>
          <w:highlight w:val="none"/>
          <w:lang w:val="en-US" w:eastAsia="zh-CN"/>
        </w:rPr>
        <w:t>、机房工程、线槽线管以及固定支架</w:t>
      </w:r>
      <w:r>
        <w:rPr>
          <w:rFonts w:hint="eastAsia"/>
          <w:color w:val="auto"/>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eastAsia"/>
          <w:highlight w:val="none"/>
          <w:lang w:val="en-US" w:eastAsia="zh-CN"/>
        </w:rPr>
      </w:pPr>
      <w:r>
        <w:rPr>
          <w:rFonts w:hint="eastAsia"/>
          <w:highlight w:val="none"/>
          <w:lang w:val="en-US" w:eastAsia="zh-CN"/>
        </w:rPr>
        <w:t>2.3垂直运输工程：指除现有水平、垂直运输设施以外的为完成本标段承包范围内施工管理而发生的建筑物施工中为了将所需人工、材料、机具自地面垂直提升到所需高度而发生的费用，投标单位应根据现场实际情况综合考虑进行报价。该费用属合价包干项目，除合同另有约定外，结算时不作调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default"/>
          <w:highlight w:val="none"/>
          <w:lang w:val="en-US" w:eastAsia="zh-CN"/>
        </w:rPr>
      </w:pPr>
      <w:r>
        <w:rPr>
          <w:rFonts w:hint="eastAsia"/>
          <w:highlight w:val="none"/>
          <w:lang w:val="en-US" w:eastAsia="zh-CN"/>
        </w:rPr>
        <w:t>2.4</w:t>
      </w:r>
      <w:r>
        <w:rPr>
          <w:rFonts w:hint="default"/>
          <w:highlight w:val="none"/>
          <w:lang w:val="en-US" w:eastAsia="zh-CN"/>
        </w:rPr>
        <w:t>夜间施工增加费</w:t>
      </w:r>
      <w:r>
        <w:rPr>
          <w:rFonts w:hint="eastAsia"/>
          <w:highlight w:val="none"/>
          <w:lang w:val="en-US" w:eastAsia="zh-CN"/>
        </w:rPr>
        <w:t>：除赶工和合理的施工作业要求外，因施工条件不允许在白天施工的工程，属合价包干项目，除合同另有约定外，结算时不作调整。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default"/>
          <w:highlight w:val="none"/>
          <w:lang w:val="en-US" w:eastAsia="zh-CN"/>
        </w:rPr>
      </w:pPr>
      <w:r>
        <w:rPr>
          <w:rFonts w:hint="eastAsia"/>
          <w:highlight w:val="none"/>
          <w:lang w:val="en-US" w:eastAsia="zh-CN"/>
        </w:rPr>
        <w:t>2.5</w:t>
      </w:r>
      <w:r>
        <w:rPr>
          <w:rFonts w:hint="default"/>
          <w:highlight w:val="none"/>
          <w:lang w:val="en-US" w:eastAsia="zh-CN"/>
        </w:rPr>
        <w:t>赶工措施费：在本标段工程施工期间应积极做好与本工程其它专业施工单位的配合工作，按照合同工期完成施工、工作面的移交等工作，在此过程中包括人工机械的赶工、夜班增加费、节假日加班等由投标人根据投标施工组织方案进行报价，综合考虑。该费用属合价包干项目，除合同另有约定外，结算时不作调整</w:t>
      </w:r>
      <w:r>
        <w:rPr>
          <w:rFonts w:hint="eastAsia"/>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eastAsia"/>
          <w:color w:val="auto"/>
          <w:highlight w:val="none"/>
          <w:lang w:val="en-US" w:eastAsia="zh-CN"/>
        </w:rPr>
      </w:pPr>
      <w:r>
        <w:rPr>
          <w:rFonts w:hint="eastAsia"/>
          <w:highlight w:val="none"/>
          <w:lang w:val="en-US" w:eastAsia="zh-CN"/>
        </w:rPr>
        <w:t>2.6</w:t>
      </w:r>
      <w:r>
        <w:rPr>
          <w:rFonts w:hint="eastAsia"/>
          <w:color w:val="auto"/>
          <w:highlight w:val="none"/>
          <w:lang w:val="en-US" w:eastAsia="zh-CN"/>
        </w:rPr>
        <w:t>工程优质费：由投标人根据本工程情况并结合自身条件综合考虑在投标报价内，该费用属合价包干项目，</w:t>
      </w:r>
      <w:r>
        <w:rPr>
          <w:rFonts w:hint="default"/>
          <w:highlight w:val="none"/>
          <w:lang w:val="en-US" w:eastAsia="zh-CN"/>
        </w:rPr>
        <w:t>除合同另有约定外，结算时不作调整</w:t>
      </w:r>
      <w:r>
        <w:rPr>
          <w:rFonts w:hint="eastAsia"/>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eastAsia"/>
          <w:highlight w:val="none"/>
          <w:lang w:val="en-US" w:eastAsia="zh-CN"/>
        </w:rPr>
      </w:pPr>
      <w:r>
        <w:rPr>
          <w:rFonts w:hint="eastAsia"/>
          <w:color w:val="auto"/>
          <w:highlight w:val="none"/>
          <w:lang w:val="en-US" w:eastAsia="zh-CN"/>
        </w:rPr>
        <w:t>2.7协助总包及机电承包人创优费用：由投标人根据本工程情况并结合自身条件综合考虑在投标报价内，该费用属合价包干项目，</w:t>
      </w:r>
      <w:r>
        <w:rPr>
          <w:rFonts w:hint="default"/>
          <w:highlight w:val="none"/>
          <w:lang w:val="en-US" w:eastAsia="zh-CN"/>
        </w:rPr>
        <w:t>除合同另有约定外，结算时不作调整</w:t>
      </w:r>
      <w:r>
        <w:rPr>
          <w:rFonts w:hint="eastAsia"/>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default"/>
          <w:highlight w:val="none"/>
          <w:lang w:val="en-US" w:eastAsia="zh-CN"/>
        </w:rPr>
      </w:pPr>
      <w:r>
        <w:rPr>
          <w:rFonts w:hint="eastAsia"/>
          <w:highlight w:val="none"/>
          <w:lang w:val="en-US" w:eastAsia="zh-CN"/>
        </w:rPr>
        <w:t>2.8已完工程及设备保护费：是指在施工期间，因本标段施工区域与总包单位已完成施工项目及装修单位或其他专业已完成施工项目交叉施工时，对总包单位已完成施工项目及装修单位已完成施工项目进行保护的费用，属合价包干项目，除合同另有约定外，结算时不作调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eastAsia" w:hAnsi="宋体"/>
          <w:color w:val="auto"/>
          <w:sz w:val="21"/>
          <w:szCs w:val="21"/>
          <w:highlight w:val="none"/>
          <w:lang w:val="en-US" w:eastAsia="zh-CN"/>
        </w:rPr>
      </w:pPr>
      <w:r>
        <w:rPr>
          <w:rFonts w:hint="eastAsia" w:hAnsi="宋体"/>
          <w:color w:val="auto"/>
          <w:sz w:val="21"/>
          <w:szCs w:val="21"/>
          <w:highlight w:val="none"/>
          <w:lang w:val="en-US" w:eastAsia="zh-CN"/>
        </w:rPr>
        <w:t>2.9建筑信息模型（BIM）费用：是指承包单位按招标文件要求完成与BIM相关工作需发生的费用。</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hAnsi="宋体"/>
          <w:color w:val="auto"/>
          <w:sz w:val="21"/>
          <w:szCs w:val="21"/>
          <w:highlight w:val="none"/>
          <w:lang w:val="en-US" w:eastAsia="zh-CN"/>
        </w:rPr>
      </w:pPr>
      <w:r>
        <w:rPr>
          <w:rFonts w:hint="eastAsia" w:hAnsi="宋体"/>
          <w:color w:val="auto"/>
          <w:sz w:val="21"/>
          <w:szCs w:val="21"/>
          <w:highlight w:val="none"/>
          <w:lang w:val="en-US" w:eastAsia="zh-CN"/>
        </w:rPr>
        <w:t>属合价包干项目，统一在单位工程“</w:t>
      </w:r>
      <w:r>
        <w:rPr>
          <w:rFonts w:hint="eastAsia"/>
          <w:strike w:val="0"/>
          <w:dstrike w:val="0"/>
          <w:color w:val="auto"/>
          <w:highlight w:val="none"/>
          <w:lang w:val="en-US" w:eastAsia="zh-CN"/>
        </w:rPr>
        <w:t>智能化工程</w:t>
      </w:r>
      <w:r>
        <w:rPr>
          <w:rFonts w:hint="eastAsia" w:hAnsi="宋体"/>
          <w:color w:val="auto"/>
          <w:sz w:val="21"/>
          <w:szCs w:val="21"/>
          <w:highlight w:val="none"/>
          <w:lang w:val="en-US" w:eastAsia="zh-CN"/>
        </w:rPr>
        <w:t>”中计列，除合同另有约定外，结算时不作调整。中标后按招标文件要求建立BIM模型，BIM模型经审核合格后开工，包括施工过程中的设计变更导致模型多次创建或重建，及竣工后中标人负责招标文件中总承包范围内智能建造工作要求，包括但不限于BIM模型合并及调整，该费用属合价包干项目，除合同另有约定外，结算时不作调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default"/>
          <w:highlight w:val="none"/>
          <w:lang w:val="en-US" w:eastAsia="zh-CN"/>
        </w:rPr>
      </w:pPr>
      <w:r>
        <w:rPr>
          <w:rFonts w:hint="eastAsia"/>
          <w:highlight w:val="none"/>
          <w:lang w:val="en-US" w:eastAsia="zh-CN"/>
        </w:rPr>
        <w:t>2.10</w:t>
      </w:r>
      <w:r>
        <w:rPr>
          <w:rFonts w:hint="default"/>
          <w:highlight w:val="none"/>
          <w:lang w:val="en-US" w:eastAsia="zh-CN"/>
        </w:rPr>
        <w:t>陪伴运行费：工程投入使用后,承包人应按招标文件规定人员配置、时间要求提供陪伴运行服务，由此产生的费用，该费用属合价包干项目，除合同另有约定外，结算时不作调整。如不满足招标文件的陪伴运行要求而给发包人造成损失，在结算中扣除相关费用</w:t>
      </w:r>
      <w:r>
        <w:rPr>
          <w:rFonts w:hint="eastAsia"/>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default"/>
          <w:highlight w:val="none"/>
          <w:lang w:val="en-US" w:eastAsia="zh-CN"/>
        </w:rPr>
      </w:pPr>
      <w:r>
        <w:rPr>
          <w:rFonts w:hint="eastAsia"/>
          <w:highlight w:val="none"/>
          <w:lang w:val="en-US" w:eastAsia="zh-CN"/>
        </w:rPr>
        <w:t>2.11</w:t>
      </w:r>
      <w:r>
        <w:rPr>
          <w:rFonts w:hint="default"/>
          <w:highlight w:val="none"/>
          <w:lang w:val="en-US" w:eastAsia="zh-CN"/>
        </w:rPr>
        <w:t>联合调试及试运行费：中标单位需负责该项目各系统的联合调试及试运行，联合调试及试运行的时间除应满足有关法律、规范要求外，还必须满足业主或使用单位的要求。联合调试及试运行的水电费由投标人负责。该费用属合价包干项目，除合同另有约定外，结算时不作调整</w:t>
      </w:r>
      <w:r>
        <w:rPr>
          <w:rFonts w:hint="eastAsia"/>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default"/>
          <w:highlight w:val="none"/>
          <w:lang w:val="en-US" w:eastAsia="zh-CN"/>
        </w:rPr>
      </w:pPr>
      <w:r>
        <w:rPr>
          <w:rFonts w:hint="eastAsia"/>
          <w:highlight w:val="none"/>
          <w:lang w:val="en-US" w:eastAsia="zh-CN"/>
        </w:rPr>
        <w:t>2.12</w:t>
      </w:r>
      <w:r>
        <w:rPr>
          <w:rFonts w:hint="default"/>
          <w:highlight w:val="none"/>
          <w:lang w:val="en-US" w:eastAsia="zh-CN"/>
        </w:rPr>
        <w:t>大型机械设备进出场及安拆：指机械整体或分体自停放场地运至施工现场或由一个施工地点运至另一个施工地点，所发生的机械进出场运输及转移费用及机械在施工现场进行安装、拆卸所需的人工费、材料费、机械费、试运转费和安装所需的辅助设施的费用，但不包括根据《广东省建设工程计价依据（2018）》规定应包含在管理费中的机械场外运费。承包人须提前进入现场，做好施工准备工作，施工期设备闲置费用已考虑在此措施费中。该费用属合价包干项目，除合同另有约定外，结算时不作调整</w:t>
      </w:r>
      <w:r>
        <w:rPr>
          <w:rFonts w:hint="eastAsia"/>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default"/>
          <w:highlight w:val="none"/>
          <w:lang w:val="en-US" w:eastAsia="zh-CN"/>
        </w:rPr>
      </w:pPr>
      <w:r>
        <w:rPr>
          <w:rFonts w:hint="eastAsia"/>
          <w:highlight w:val="none"/>
          <w:lang w:val="en-US" w:eastAsia="zh-CN"/>
        </w:rPr>
        <w:t>2.13</w:t>
      </w:r>
      <w:r>
        <w:rPr>
          <w:rFonts w:hint="default"/>
          <w:highlight w:val="none"/>
          <w:lang w:val="en-US" w:eastAsia="zh-CN"/>
        </w:rPr>
        <w:t>地下室增加费、高层建筑增加费</w:t>
      </w:r>
      <w:r>
        <w:rPr>
          <w:rFonts w:hint="eastAsia"/>
          <w:highlight w:val="none"/>
          <w:lang w:val="en-US" w:eastAsia="zh-CN"/>
        </w:rPr>
        <w:t>、</w:t>
      </w:r>
      <w:r>
        <w:rPr>
          <w:rFonts w:hint="default"/>
          <w:highlight w:val="none"/>
          <w:lang w:val="en-US" w:eastAsia="zh-CN"/>
        </w:rPr>
        <w:t>设置于管道（井）间或管廊内的管道施工增加费、地下室照明通风费等：指承包方为完成本标段承包范围内工作，依据国家有关法律、法规和工程建设强制性标准，应计取的地下室增加费、高层建筑增加费、设置于管道（井）间或管廊内的管道施工增加费、地下室照明通风费等相关费用。属合价包干项目，除合同另有约定外，结算时不作调整</w:t>
      </w:r>
      <w:r>
        <w:rPr>
          <w:rFonts w:hint="eastAsia"/>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default"/>
          <w:color w:val="auto"/>
          <w:highlight w:val="none"/>
          <w:lang w:val="en-US" w:eastAsia="zh-CN"/>
        </w:rPr>
      </w:pPr>
      <w:r>
        <w:rPr>
          <w:rFonts w:hint="eastAsia"/>
          <w:highlight w:val="none"/>
          <w:lang w:val="en-US" w:eastAsia="zh-CN"/>
        </w:rPr>
        <w:t>2.14</w:t>
      </w:r>
      <w:r>
        <w:rPr>
          <w:rFonts w:hint="eastAsia" w:hAnsi="宋体"/>
          <w:color w:val="auto"/>
          <w:sz w:val="21"/>
          <w:szCs w:val="21"/>
          <w:highlight w:val="none"/>
          <w:lang w:val="en-US" w:eastAsia="zh-CN"/>
        </w:rPr>
        <w:t>用户培训费：</w:t>
      </w:r>
      <w:r>
        <w:rPr>
          <w:rFonts w:hint="eastAsia"/>
          <w:color w:val="auto"/>
          <w:highlight w:val="none"/>
          <w:lang w:eastAsia="zh-CN"/>
        </w:rPr>
        <w:t>竣工验收合格后3个月内，承包人须针对各系统特点及项目实际情况编制使用手册、培训手册以及培训计划，并组织专人（包括主要设备供货商）对业主的管理人员进行培训工作，培训内容包括系统的功能介绍、性能介绍、操作要求、维护要求等，直至发包人管理人员能熟练掌握及正常使用系统。用户培训费</w:t>
      </w:r>
      <w:r>
        <w:rPr>
          <w:rFonts w:hint="eastAsia" w:hAnsi="宋体"/>
          <w:color w:val="auto"/>
          <w:sz w:val="21"/>
          <w:szCs w:val="21"/>
          <w:highlight w:val="none"/>
          <w:lang w:val="en-US" w:eastAsia="zh-CN"/>
        </w:rPr>
        <w:t>统一在单位工程“</w:t>
      </w:r>
      <w:r>
        <w:rPr>
          <w:rFonts w:hint="eastAsia"/>
          <w:strike w:val="0"/>
          <w:dstrike w:val="0"/>
          <w:color w:val="auto"/>
          <w:highlight w:val="none"/>
          <w:lang w:val="en-US" w:eastAsia="zh-CN"/>
        </w:rPr>
        <w:t>智能化工程</w:t>
      </w:r>
      <w:r>
        <w:rPr>
          <w:rFonts w:hint="eastAsia" w:hAnsi="宋体"/>
          <w:color w:val="auto"/>
          <w:sz w:val="21"/>
          <w:szCs w:val="21"/>
          <w:highlight w:val="none"/>
          <w:lang w:val="en-US" w:eastAsia="zh-CN"/>
        </w:rPr>
        <w:t>”</w:t>
      </w:r>
      <w:r>
        <w:rPr>
          <w:rFonts w:hint="eastAsia"/>
          <w:color w:val="auto"/>
          <w:highlight w:val="none"/>
          <w:lang w:eastAsia="zh-CN"/>
        </w:rPr>
        <w:t>措施项目清单计价表中</w:t>
      </w:r>
      <w:r>
        <w:rPr>
          <w:rFonts w:hint="eastAsia" w:hAnsi="宋体"/>
          <w:color w:val="auto"/>
          <w:sz w:val="21"/>
          <w:szCs w:val="21"/>
          <w:highlight w:val="none"/>
          <w:lang w:val="en-US" w:eastAsia="zh-CN"/>
        </w:rPr>
        <w:t>计列</w:t>
      </w:r>
      <w:r>
        <w:rPr>
          <w:rFonts w:hint="eastAsia"/>
          <w:color w:val="auto"/>
          <w:highlight w:val="none"/>
          <w:lang w:eastAsia="zh-CN"/>
        </w:rPr>
        <w:t>，由投标自行填报，培训期间产生的所有费用已包含在该项费用中，发包人不在另行支付其他费用。</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default"/>
          <w:highlight w:val="none"/>
          <w:lang w:val="en-US" w:eastAsia="zh-CN"/>
        </w:rPr>
      </w:pPr>
      <w:r>
        <w:rPr>
          <w:rFonts w:hint="eastAsia"/>
          <w:highlight w:val="none"/>
          <w:lang w:val="en-US" w:eastAsia="zh-CN"/>
        </w:rPr>
        <w:t>2.15</w:t>
      </w:r>
      <w:r>
        <w:rPr>
          <w:rFonts w:hint="default"/>
          <w:highlight w:val="none"/>
          <w:lang w:val="en-US" w:eastAsia="zh-CN"/>
        </w:rPr>
        <w:t>其他措施费用：本次招标各单位工程工程量清单中未明确的措施项目（包括但不限于工程量清单编制说明所列），施工中又必须发生或者投标人认为为完成本工程项目将会发生的其他措施费用、因施工方案不同造成的措施费用的增加或给出的措施清单工程量误差部分引起的费用增减，由投标人根据本工程具体情况并结合自身条件综合报价</w:t>
      </w:r>
      <w:r>
        <w:rPr>
          <w:rFonts w:hint="eastAsia"/>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default"/>
          <w:highlight w:val="none"/>
          <w:lang w:val="en-US" w:eastAsia="zh-CN"/>
        </w:rPr>
      </w:pPr>
      <w:r>
        <w:rPr>
          <w:rFonts w:hint="eastAsia"/>
          <w:highlight w:val="none"/>
          <w:lang w:val="en-US" w:eastAsia="zh-CN"/>
        </w:rPr>
        <w:t>2.16</w:t>
      </w:r>
      <w:r>
        <w:rPr>
          <w:rFonts w:hint="default"/>
          <w:highlight w:val="none"/>
          <w:lang w:val="en-US" w:eastAsia="zh-CN"/>
        </w:rPr>
        <w:t>上述费用中大型机械设备进出场及安拆</w:t>
      </w:r>
      <w:r>
        <w:rPr>
          <w:rFonts w:hint="eastAsia"/>
          <w:highlight w:val="none"/>
          <w:lang w:val="en-US" w:eastAsia="zh-CN"/>
        </w:rPr>
        <w:t>、</w:t>
      </w:r>
      <w:r>
        <w:rPr>
          <w:rFonts w:hint="default"/>
          <w:highlight w:val="none"/>
          <w:lang w:val="en-US" w:eastAsia="zh-CN"/>
        </w:rPr>
        <w:t>陪伴运行费</w:t>
      </w:r>
      <w:r>
        <w:rPr>
          <w:rFonts w:hint="eastAsia"/>
          <w:highlight w:val="none"/>
          <w:lang w:val="en-US" w:eastAsia="zh-CN"/>
        </w:rPr>
        <w:t>、</w:t>
      </w:r>
      <w:r>
        <w:rPr>
          <w:rFonts w:hint="default"/>
          <w:highlight w:val="none"/>
          <w:lang w:val="en-US" w:eastAsia="zh-CN"/>
        </w:rPr>
        <w:t>联合调试及试运行费</w:t>
      </w:r>
      <w:r>
        <w:rPr>
          <w:rFonts w:hint="eastAsia"/>
          <w:highlight w:val="none"/>
          <w:lang w:val="en-US" w:eastAsia="zh-CN"/>
        </w:rPr>
        <w:t>、</w:t>
      </w:r>
      <w:r>
        <w:rPr>
          <w:rFonts w:hint="default"/>
          <w:highlight w:val="none"/>
          <w:lang w:val="en-US" w:eastAsia="zh-CN"/>
        </w:rPr>
        <w:t>深化设计费、垂直运输工程、</w:t>
      </w:r>
      <w:r>
        <w:rPr>
          <w:rFonts w:hint="eastAsia"/>
          <w:highlight w:val="none"/>
          <w:lang w:val="en-US" w:eastAsia="zh-CN"/>
        </w:rPr>
        <w:t>夜间施工增加费、</w:t>
      </w:r>
      <w:r>
        <w:rPr>
          <w:rFonts w:hint="default"/>
          <w:highlight w:val="none"/>
          <w:lang w:val="en-US" w:eastAsia="zh-CN"/>
        </w:rPr>
        <w:t>赶工措施费、已完工程及设备保护费</w:t>
      </w:r>
      <w:r>
        <w:rPr>
          <w:rFonts w:hint="eastAsia"/>
          <w:highlight w:val="none"/>
          <w:lang w:val="en-US" w:eastAsia="zh-CN"/>
        </w:rPr>
        <w:t>、</w:t>
      </w:r>
      <w:r>
        <w:rPr>
          <w:rFonts w:hint="eastAsia"/>
          <w:color w:val="auto"/>
          <w:highlight w:val="none"/>
          <w:lang w:val="en-US" w:eastAsia="zh-CN"/>
        </w:rPr>
        <w:t>工程优质费、</w:t>
      </w:r>
      <w:r>
        <w:rPr>
          <w:rFonts w:hint="eastAsia"/>
          <w:color w:val="0000FF"/>
          <w:highlight w:val="none"/>
          <w:lang w:val="en-US" w:eastAsia="zh-CN"/>
        </w:rPr>
        <w:t>协助总包及机电承包人</w:t>
      </w:r>
      <w:r>
        <w:rPr>
          <w:rFonts w:hint="eastAsia"/>
          <w:color w:val="auto"/>
          <w:highlight w:val="none"/>
          <w:lang w:val="en-US" w:eastAsia="zh-CN"/>
        </w:rPr>
        <w:t>创优费用、</w:t>
      </w:r>
      <w:r>
        <w:rPr>
          <w:rFonts w:hint="eastAsia" w:hAnsi="宋体"/>
          <w:color w:val="auto"/>
          <w:sz w:val="21"/>
          <w:szCs w:val="21"/>
          <w:highlight w:val="none"/>
          <w:lang w:val="en-US" w:eastAsia="zh-CN"/>
        </w:rPr>
        <w:t>用户培训费</w:t>
      </w:r>
      <w:r>
        <w:rPr>
          <w:rFonts w:hint="default"/>
          <w:highlight w:val="none"/>
          <w:lang w:val="en-US" w:eastAsia="zh-CN"/>
        </w:rPr>
        <w:t>。统一在</w:t>
      </w:r>
      <w:r>
        <w:rPr>
          <w:rFonts w:hint="eastAsia"/>
          <w:highlight w:val="none"/>
          <w:lang w:val="en-US" w:eastAsia="zh-CN"/>
        </w:rPr>
        <w:t>“</w:t>
      </w:r>
      <w:r>
        <w:rPr>
          <w:rFonts w:hint="eastAsia"/>
          <w:strike w:val="0"/>
          <w:dstrike w:val="0"/>
          <w:color w:val="auto"/>
          <w:highlight w:val="none"/>
          <w:lang w:val="en-US" w:eastAsia="zh-CN"/>
        </w:rPr>
        <w:t>智能化工程</w:t>
      </w:r>
      <w:r>
        <w:rPr>
          <w:rFonts w:hint="eastAsia"/>
          <w:highlight w:val="none"/>
          <w:lang w:val="en-US" w:eastAsia="zh-CN"/>
        </w:rPr>
        <w:t>”</w:t>
      </w:r>
      <w:r>
        <w:rPr>
          <w:rFonts w:hint="default"/>
          <w:highlight w:val="none"/>
          <w:lang w:val="en-US" w:eastAsia="zh-CN"/>
        </w:rPr>
        <w:t>措施项目清单中报价</w:t>
      </w:r>
      <w:r>
        <w:rPr>
          <w:rFonts w:hint="eastAsia"/>
          <w:highlight w:val="none"/>
          <w:lang w:val="en-US" w:eastAsia="zh-CN"/>
        </w:rPr>
        <w:t>。</w:t>
      </w:r>
    </w:p>
    <w:p>
      <w:pPr>
        <w:pStyle w:val="22"/>
        <w:numPr>
          <w:ilvl w:val="0"/>
          <w:numId w:val="0"/>
        </w:numPr>
        <w:tabs>
          <w:tab w:val="left" w:pos="420"/>
        </w:tabs>
        <w:spacing w:line="360" w:lineRule="auto"/>
        <w:ind w:firstLine="210" w:firstLineChars="100"/>
        <w:jc w:val="left"/>
        <w:outlineLvl w:val="1"/>
        <w:rPr>
          <w:rFonts w:hint="eastAsia" w:ascii="宋体" w:hAnsi="宋体" w:eastAsia="宋体"/>
          <w:sz w:val="21"/>
          <w:szCs w:val="21"/>
          <w:highlight w:val="none"/>
        </w:rPr>
      </w:pPr>
      <w:r>
        <w:rPr>
          <w:rFonts w:ascii="宋体" w:hAnsi="宋体" w:eastAsia="宋体"/>
          <w:b w:val="0"/>
          <w:bCs w:val="0"/>
          <w:sz w:val="21"/>
          <w:szCs w:val="21"/>
          <w:highlight w:val="none"/>
        </w:rPr>
        <w:t>（</w:t>
      </w:r>
      <w:r>
        <w:rPr>
          <w:rFonts w:hint="eastAsia" w:ascii="宋体" w:hAnsi="宋体" w:eastAsia="宋体"/>
          <w:b w:val="0"/>
          <w:bCs w:val="0"/>
          <w:sz w:val="21"/>
          <w:szCs w:val="21"/>
          <w:highlight w:val="none"/>
          <w:lang w:val="en-US" w:eastAsia="zh-CN"/>
        </w:rPr>
        <w:t>四</w:t>
      </w:r>
      <w:r>
        <w:rPr>
          <w:rFonts w:ascii="宋体" w:hAnsi="宋体" w:eastAsia="宋体"/>
          <w:b w:val="0"/>
          <w:bCs w:val="0"/>
          <w:sz w:val="21"/>
          <w:szCs w:val="21"/>
          <w:highlight w:val="none"/>
        </w:rPr>
        <w:t>）</w:t>
      </w:r>
      <w:r>
        <w:rPr>
          <w:rFonts w:hint="eastAsia" w:ascii="宋体" w:hAnsi="宋体" w:eastAsia="宋体"/>
          <w:b w:val="0"/>
          <w:bCs w:val="0"/>
          <w:sz w:val="21"/>
          <w:szCs w:val="21"/>
          <w:highlight w:val="none"/>
          <w:lang w:val="en-US" w:eastAsia="zh-CN"/>
        </w:rPr>
        <w:t>其他</w:t>
      </w:r>
      <w:r>
        <w:rPr>
          <w:rFonts w:hint="eastAsia" w:ascii="宋体" w:hAnsi="宋体" w:eastAsia="宋体"/>
          <w:sz w:val="21"/>
          <w:szCs w:val="21"/>
          <w:highlight w:val="none"/>
        </w:rPr>
        <w:t>项目</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eastAsia"/>
          <w:highlight w:val="none"/>
          <w:lang w:val="en-US" w:eastAsia="zh-CN"/>
        </w:rPr>
      </w:pPr>
      <w:r>
        <w:rPr>
          <w:rFonts w:hint="eastAsia"/>
          <w:highlight w:val="none"/>
          <w:lang w:val="en-US" w:eastAsia="zh-CN"/>
        </w:rPr>
        <w:t>1.暂列金额：发包人暂定并包括在合同价款中的一笔款项。用于施工合同签订时尚未确定或者不可预见的所需材料、设备、服务的采购，施工中可能发生的工程变更、合同约定调整因素出现时的工程价款调整以及发生的索赔、现场签证确认等的费用。虽在投标时计入投标人的报价中，但不为投标人所有，在工程实施过程中，经招标人审批后方可使用。工程结算时，按合同约定和中标人实际完成的并经监理和招标人审定后的工作量结算，剩余部分仍归招标人所有。暂列金额应按招标工程量清单中列出的金额填写。</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default"/>
          <w:highlight w:val="none"/>
          <w:lang w:val="en-US" w:eastAsia="zh-CN"/>
        </w:rPr>
      </w:pPr>
      <w:r>
        <w:rPr>
          <w:rFonts w:hint="eastAsia"/>
          <w:highlight w:val="none"/>
          <w:lang w:val="en-US" w:eastAsia="zh-CN"/>
        </w:rPr>
        <w:t>2.预算包干费：预算包干内容一般包括施工雨（污）水的排除、因地形影响造成的场内料具二次运输、工程用水加压措施、施工材料堆放场地的整理、机电安装后的补洞（槽）工料费、工程成品保护费、施工中的临时停水停电、基础挖土方的塌方、日间照明施工增加费（不包括地下室和特殊工程）、完工清场后的垃圾外运、水电管线预埋因堵塞而增加的费用等。场地清理及垃圾外运项若承包人未按规定及时进行清运则由发包人另行委托队伍进行清运，实际清运费用由承包人承担。补洞工料费含孔洞的修补、塞洞补洞、塞缝和恢复费用等，补洞工作指孔洞的修补、塞洞补洞、塞缝和恢复等。预算包干费属合价包干项目，除合同另有约定外，结算时不作调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default"/>
          <w:highlight w:val="none"/>
          <w:lang w:val="en-US" w:eastAsia="zh-CN"/>
        </w:rPr>
      </w:pPr>
      <w:r>
        <w:rPr>
          <w:rFonts w:hint="eastAsia"/>
          <w:highlight w:val="none"/>
          <w:lang w:val="en-US" w:eastAsia="zh-CN"/>
        </w:rPr>
        <w:t>3.</w:t>
      </w:r>
      <w:r>
        <w:rPr>
          <w:rFonts w:hint="default"/>
          <w:highlight w:val="none"/>
          <w:lang w:val="en-US" w:eastAsia="zh-CN"/>
        </w:rPr>
        <w:t>本次招标控制价中不竞争费用包括：暂列</w:t>
      </w:r>
      <w:r>
        <w:rPr>
          <w:rFonts w:hint="eastAsia"/>
          <w:highlight w:val="none"/>
          <w:lang w:val="en-US" w:eastAsia="zh-CN"/>
        </w:rPr>
        <w:t>金额</w:t>
      </w:r>
      <w:r>
        <w:rPr>
          <w:rFonts w:hint="default"/>
          <w:highlight w:val="none"/>
          <w:lang w:val="en-US" w:eastAsia="zh-CN"/>
        </w:rPr>
        <w:t>、绿色施工安全防护措施费</w:t>
      </w:r>
      <w:r>
        <w:rPr>
          <w:rFonts w:hint="eastAsia"/>
          <w:highlight w:val="none"/>
          <w:lang w:val="en-US" w:eastAsia="zh-CN"/>
        </w:rPr>
        <w:t>。</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360" w:lineRule="auto"/>
        <w:textAlignment w:val="auto"/>
        <w:outlineLvl w:val="1"/>
        <w:rPr>
          <w:rFonts w:hint="eastAsia" w:ascii="宋体" w:hAnsi="宋体"/>
          <w:color w:val="auto"/>
          <w:sz w:val="21"/>
          <w:szCs w:val="21"/>
          <w:highlight w:val="none"/>
        </w:rPr>
      </w:pPr>
      <w:r>
        <w:rPr>
          <w:rFonts w:hint="eastAsia" w:ascii="宋体" w:hAnsi="宋体"/>
          <w:color w:val="auto"/>
          <w:sz w:val="21"/>
          <w:szCs w:val="21"/>
          <w:highlight w:val="none"/>
        </w:rPr>
        <w:t>其他计价说明</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2"/>
        <w:rPr>
          <w:rFonts w:hint="eastAsia"/>
          <w:highlight w:val="none"/>
          <w:lang w:val="en-US" w:eastAsia="zh-CN"/>
        </w:rPr>
      </w:pPr>
      <w:r>
        <w:rPr>
          <w:rFonts w:hint="eastAsia"/>
          <w:highlight w:val="none"/>
          <w:lang w:val="en-US" w:eastAsia="zh-CN"/>
        </w:rPr>
        <w:t>1.分部分项工程量清单中清单项目特征描述中有关型号、规格，技术参数及要求若与招标图纸及招标</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2"/>
        <w:rPr>
          <w:rFonts w:hint="eastAsia"/>
          <w:highlight w:val="none"/>
          <w:lang w:val="en-US" w:eastAsia="zh-CN"/>
        </w:rPr>
      </w:pPr>
      <w:r>
        <w:rPr>
          <w:rFonts w:hint="eastAsia"/>
          <w:highlight w:val="none"/>
          <w:lang w:val="en-US" w:eastAsia="zh-CN"/>
        </w:rPr>
        <w:t>文件技术要求不相符的，应以招标人确认的要求为准。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eastAsia" w:hAnsi="宋体"/>
          <w:color w:val="auto"/>
          <w:sz w:val="21"/>
          <w:szCs w:val="21"/>
          <w:highlight w:val="none"/>
          <w:lang w:val="en-US" w:eastAsia="zh-CN"/>
        </w:rPr>
      </w:pPr>
      <w:r>
        <w:rPr>
          <w:rFonts w:hint="eastAsia" w:hAnsi="宋体"/>
          <w:color w:val="auto"/>
          <w:sz w:val="21"/>
          <w:szCs w:val="21"/>
          <w:highlight w:val="none"/>
          <w:lang w:val="en-US" w:eastAsia="zh-CN"/>
        </w:rPr>
        <w:t>2.电缆桥架、线槽、封闭式母线、电缆、电气配管、风管、水管及其套管等在穿越防火分区楼板、隔</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hAnsi="宋体"/>
          <w:color w:val="auto"/>
          <w:sz w:val="21"/>
          <w:szCs w:val="21"/>
          <w:highlight w:val="none"/>
          <w:lang w:val="en-US" w:eastAsia="zh-CN"/>
        </w:rPr>
      </w:pPr>
      <w:r>
        <w:rPr>
          <w:rFonts w:hint="eastAsia" w:hAnsi="宋体"/>
          <w:color w:val="auto"/>
          <w:sz w:val="21"/>
          <w:szCs w:val="21"/>
          <w:highlight w:val="none"/>
          <w:lang w:val="en-US" w:eastAsia="zh-CN"/>
        </w:rPr>
        <w:t>墙及每层的电井楼板时，其空隙应采用相当于建筑构件耐火极限的不燃烧材料填塞密实进行阻火封堵，部分地方可能还要涉及用到混凝土封堵；电缆构筑物中电缆引至电气柜、盘或控制屏、台的开孔部位，电缆贯穿隔墙、楼板的孔洞处，工作井中电缆管孔等均应实施阻火封堵，以及涉及所有穿墙和穿楼板的洞口的普通封堵、线管与预埋套管之间的封堵等。相关工作内容及技术要求应满足招标及设计要求。相关费用投标人应综合考虑分摊到相应清单报价中，不另行列项增加费用。</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eastAsia" w:hAnsi="宋体"/>
          <w:color w:val="auto"/>
          <w:sz w:val="21"/>
          <w:szCs w:val="21"/>
          <w:highlight w:val="none"/>
          <w:lang w:val="en-US" w:eastAsia="zh-CN"/>
        </w:rPr>
      </w:pPr>
      <w:r>
        <w:rPr>
          <w:rFonts w:hint="eastAsia" w:hAnsi="宋体"/>
          <w:color w:val="auto"/>
          <w:sz w:val="21"/>
          <w:szCs w:val="21"/>
          <w:highlight w:val="none"/>
          <w:lang w:val="en-US" w:eastAsia="zh-CN"/>
        </w:rPr>
        <w:t>3.本项目中电气配电箱柜报价中，应包含柜体、智能数字电力仪表、智能电度表、微机综合保护测控</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2"/>
        <w:rPr>
          <w:rFonts w:hint="eastAsia" w:hAnsi="宋体"/>
          <w:color w:val="auto"/>
          <w:sz w:val="21"/>
          <w:szCs w:val="21"/>
          <w:highlight w:val="none"/>
          <w:lang w:val="en-US" w:eastAsia="zh-CN"/>
        </w:rPr>
      </w:pPr>
      <w:r>
        <w:rPr>
          <w:rFonts w:hint="eastAsia" w:hAnsi="宋体"/>
          <w:color w:val="auto"/>
          <w:sz w:val="21"/>
          <w:szCs w:val="21"/>
          <w:highlight w:val="none"/>
          <w:lang w:val="en-US" w:eastAsia="zh-CN"/>
        </w:rPr>
        <w:t>单元以及所有送配电电气元件等。不含电气火灾监控单元、电源监控系统、智能照明模块，但应预留安装位置，并配合其供货商安装。</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eastAsia" w:hAnsi="宋体"/>
          <w:color w:val="auto"/>
          <w:sz w:val="21"/>
          <w:szCs w:val="21"/>
          <w:highlight w:val="none"/>
          <w:lang w:val="en-US" w:eastAsia="zh-CN"/>
        </w:rPr>
      </w:pPr>
      <w:r>
        <w:rPr>
          <w:rFonts w:hint="eastAsia" w:hAnsi="宋体"/>
          <w:color w:val="auto"/>
          <w:sz w:val="21"/>
          <w:szCs w:val="21"/>
          <w:highlight w:val="none"/>
          <w:lang w:val="en-US" w:eastAsia="zh-CN"/>
        </w:rPr>
        <w:t>4.本项目清单中凡是由相关设备配套提供控制箱、控制柜的，请在相应设备清单子目中考虑，如投标</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2"/>
        <w:rPr>
          <w:rFonts w:hint="eastAsia" w:hAnsi="宋体"/>
          <w:color w:val="auto"/>
          <w:sz w:val="21"/>
          <w:szCs w:val="21"/>
          <w:highlight w:val="none"/>
          <w:lang w:val="en-US" w:eastAsia="zh-CN"/>
        </w:rPr>
      </w:pPr>
      <w:r>
        <w:rPr>
          <w:rFonts w:hint="eastAsia" w:hAnsi="宋体"/>
          <w:color w:val="auto"/>
          <w:sz w:val="21"/>
          <w:szCs w:val="21"/>
          <w:highlight w:val="none"/>
          <w:lang w:val="en-US" w:eastAsia="zh-CN"/>
        </w:rPr>
        <w:t>报价中未报价，结算不予调整，控制箱并要满足电气专业技术要求。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eastAsia" w:hAnsi="宋体"/>
          <w:color w:val="auto"/>
          <w:sz w:val="21"/>
          <w:szCs w:val="21"/>
          <w:highlight w:val="none"/>
          <w:lang w:val="en-US" w:eastAsia="zh-CN"/>
        </w:rPr>
      </w:pPr>
      <w:r>
        <w:rPr>
          <w:rFonts w:hint="eastAsia" w:hAnsi="宋体"/>
          <w:color w:val="auto"/>
          <w:sz w:val="21"/>
          <w:szCs w:val="21"/>
          <w:highlight w:val="none"/>
          <w:lang w:val="en-US" w:eastAsia="zh-CN"/>
        </w:rPr>
        <w:t>5.本项目设计及招标要求的各专业设备、专业系统需提供开发协议及接口的，需增加的费用在投标报</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hAnsi="宋体"/>
          <w:color w:val="auto"/>
          <w:sz w:val="21"/>
          <w:szCs w:val="21"/>
          <w:highlight w:val="none"/>
          <w:lang w:val="en-US" w:eastAsia="zh-CN"/>
        </w:rPr>
      </w:pPr>
      <w:r>
        <w:rPr>
          <w:rFonts w:hint="eastAsia" w:hAnsi="宋体"/>
          <w:color w:val="auto"/>
          <w:sz w:val="21"/>
          <w:szCs w:val="21"/>
          <w:highlight w:val="none"/>
          <w:lang w:val="en-US" w:eastAsia="zh-CN"/>
        </w:rPr>
        <w:t>价内综合考虑。结算不予调整。</w:t>
      </w:r>
    </w:p>
    <w:p>
      <w:pPr>
        <w:pStyle w:val="2"/>
        <w:numPr>
          <w:ilvl w:val="0"/>
          <w:numId w:val="0"/>
        </w:numPr>
        <w:spacing w:line="360" w:lineRule="auto"/>
        <w:ind w:leftChars="200"/>
        <w:outlineLvl w:val="2"/>
        <w:rPr>
          <w:rFonts w:hAnsi="宋体"/>
          <w:szCs w:val="21"/>
        </w:rPr>
      </w:pPr>
      <w:r>
        <w:rPr>
          <w:rFonts w:hint="eastAsia" w:hAnsi="宋体"/>
          <w:szCs w:val="21"/>
          <w:lang w:val="en-US" w:eastAsia="zh-CN"/>
        </w:rPr>
        <w:t>6.</w:t>
      </w:r>
      <w:r>
        <w:rPr>
          <w:rFonts w:hint="eastAsia" w:hAnsi="宋体"/>
          <w:szCs w:val="21"/>
        </w:rPr>
        <w:t>本项目相关设备、箱柜、管道等安装时基础型钢、支吊架均含在相关设备、箱柜清单子目中，不单</w:t>
      </w:r>
    </w:p>
    <w:p>
      <w:pPr>
        <w:pStyle w:val="2"/>
        <w:numPr>
          <w:ilvl w:val="0"/>
          <w:numId w:val="0"/>
        </w:numPr>
        <w:spacing w:line="360" w:lineRule="auto"/>
        <w:rPr>
          <w:rFonts w:hAnsi="宋体"/>
          <w:szCs w:val="21"/>
        </w:rPr>
      </w:pPr>
      <w:r>
        <w:rPr>
          <w:rFonts w:hint="eastAsia" w:hAnsi="宋体"/>
          <w:szCs w:val="21"/>
        </w:rPr>
        <w:t>独列项。需要考虑基础、基础型钢、支吊架的，已在相应清单中明确。但不限于已明确清单子目，投标人应结合图纸及实际情况综合考虑。中标后不因相关清单子目漏掉基础、基础型钢、支吊架等内容而变更单价。</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eastAsia" w:hAnsi="宋体"/>
          <w:color w:val="auto"/>
          <w:sz w:val="21"/>
          <w:szCs w:val="21"/>
          <w:highlight w:val="none"/>
          <w:lang w:val="en-US" w:eastAsia="zh-CN"/>
        </w:rPr>
      </w:pPr>
      <w:r>
        <w:rPr>
          <w:rFonts w:hint="eastAsia" w:hAnsi="宋体"/>
          <w:color w:val="auto"/>
          <w:sz w:val="21"/>
          <w:szCs w:val="21"/>
          <w:highlight w:val="none"/>
          <w:lang w:val="en-US" w:eastAsia="zh-CN"/>
        </w:rPr>
        <w:t>7.本标段与其他标段的收口、接口、系统对接工作满足招标文件和设计要求，费用在投标报价内综合</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hAnsi="宋体"/>
          <w:color w:val="auto"/>
          <w:sz w:val="21"/>
          <w:szCs w:val="21"/>
          <w:highlight w:val="none"/>
          <w:lang w:val="en-US" w:eastAsia="zh-CN"/>
        </w:rPr>
      </w:pPr>
      <w:r>
        <w:rPr>
          <w:rFonts w:hint="eastAsia" w:hAnsi="宋体"/>
          <w:color w:val="auto"/>
          <w:sz w:val="21"/>
          <w:szCs w:val="21"/>
          <w:highlight w:val="none"/>
          <w:lang w:val="en-US" w:eastAsia="zh-CN"/>
        </w:rPr>
        <w:t>考虑。</w:t>
      </w:r>
    </w:p>
    <w:p>
      <w:pPr>
        <w:pStyle w:val="2"/>
        <w:numPr>
          <w:ilvl w:val="0"/>
          <w:numId w:val="0"/>
        </w:numPr>
        <w:spacing w:line="360" w:lineRule="auto"/>
        <w:ind w:leftChars="200"/>
        <w:outlineLvl w:val="2"/>
        <w:rPr>
          <w:rFonts w:hAnsi="宋体"/>
          <w:szCs w:val="21"/>
        </w:rPr>
      </w:pPr>
      <w:r>
        <w:rPr>
          <w:rFonts w:hint="eastAsia" w:hAnsi="宋体"/>
          <w:szCs w:val="21"/>
          <w:lang w:val="en-US" w:eastAsia="zh-CN"/>
        </w:rPr>
        <w:t>8.</w:t>
      </w:r>
      <w:r>
        <w:rPr>
          <w:rFonts w:hint="eastAsia" w:hAnsi="宋体"/>
          <w:szCs w:val="21"/>
        </w:rPr>
        <w:t>投标人须按设计或使用单位或业主的要求，负责对管线、设备等进行标识，包括颜色、文字、标签</w:t>
      </w:r>
    </w:p>
    <w:p>
      <w:pPr>
        <w:pStyle w:val="2"/>
        <w:numPr>
          <w:ilvl w:val="0"/>
          <w:numId w:val="0"/>
        </w:numPr>
        <w:spacing w:line="360" w:lineRule="auto"/>
        <w:outlineLvl w:val="2"/>
        <w:rPr>
          <w:rFonts w:hAnsi="宋体"/>
          <w:szCs w:val="21"/>
        </w:rPr>
      </w:pPr>
      <w:r>
        <w:rPr>
          <w:rFonts w:hint="eastAsia" w:hAnsi="宋体"/>
          <w:szCs w:val="21"/>
        </w:rPr>
        <w:t>及其他必要的指示标志，负责提供设备信息二维码标签及本项目机电设备信息管理平台所需要信息资料等工作内容，此部分内容所需费用含在投标报价总价内。</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eastAsia" w:hAnsi="宋体"/>
          <w:color w:val="auto"/>
          <w:sz w:val="21"/>
          <w:szCs w:val="21"/>
          <w:highlight w:val="none"/>
          <w:lang w:val="en-US" w:eastAsia="zh-CN"/>
        </w:rPr>
      </w:pPr>
      <w:r>
        <w:rPr>
          <w:rFonts w:hint="eastAsia" w:hAnsi="宋体"/>
          <w:color w:val="auto"/>
          <w:sz w:val="21"/>
          <w:szCs w:val="21"/>
          <w:highlight w:val="none"/>
          <w:lang w:val="en-US" w:eastAsia="zh-CN"/>
        </w:rPr>
        <w:t>9.本标段内所有乙购材料及设备的场外运输及装卸、场内二次装卸和二次运输费，请投标人在投标单</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hAnsi="宋体"/>
          <w:color w:val="auto"/>
          <w:sz w:val="21"/>
          <w:szCs w:val="21"/>
          <w:highlight w:val="none"/>
          <w:lang w:val="en-US" w:eastAsia="zh-CN"/>
        </w:rPr>
      </w:pPr>
      <w:r>
        <w:rPr>
          <w:rFonts w:hint="eastAsia" w:hAnsi="宋体"/>
          <w:color w:val="auto"/>
          <w:sz w:val="21"/>
          <w:szCs w:val="21"/>
          <w:highlight w:val="none"/>
          <w:lang w:val="en-US" w:eastAsia="zh-CN"/>
        </w:rPr>
        <w:t>价内综合考虑，除合同另有约定外，结算时不作调整。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eastAsia" w:hAnsi="宋体"/>
          <w:color w:val="auto"/>
          <w:sz w:val="21"/>
          <w:szCs w:val="21"/>
          <w:highlight w:val="none"/>
          <w:lang w:val="en-US" w:eastAsia="zh-CN"/>
        </w:rPr>
      </w:pPr>
      <w:r>
        <w:rPr>
          <w:rFonts w:hint="eastAsia" w:hAnsi="宋体"/>
          <w:color w:val="auto"/>
          <w:sz w:val="21"/>
          <w:szCs w:val="21"/>
          <w:highlight w:val="none"/>
          <w:lang w:val="en-US" w:eastAsia="zh-CN"/>
        </w:rPr>
        <w:t>10.对地下管线、其它相邻建（构）物等的保护费及相应降效费：要求在本标段施工过程中及其他施工</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hAnsi="宋体"/>
          <w:color w:val="auto"/>
          <w:sz w:val="21"/>
          <w:szCs w:val="21"/>
          <w:highlight w:val="none"/>
          <w:lang w:val="en-US" w:eastAsia="zh-CN"/>
        </w:rPr>
      </w:pPr>
      <w:r>
        <w:rPr>
          <w:rFonts w:hint="eastAsia" w:hAnsi="宋体"/>
          <w:color w:val="auto"/>
          <w:sz w:val="21"/>
          <w:szCs w:val="21"/>
          <w:highlight w:val="none"/>
          <w:lang w:val="en-US" w:eastAsia="zh-CN"/>
        </w:rPr>
        <w:t>单位利用本标段施工过程中确保本标段范围内管线、其它相邻建（构）物等的安全，本标段施工作业前需人工探明地下管线、其它相邻建（构）物，做好相应的保护工作，发生的相关费用由投标人在投标报价中综合考虑。除合同另有约定外，结算时不作调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eastAsia" w:hAnsi="宋体"/>
          <w:color w:val="auto"/>
          <w:sz w:val="21"/>
          <w:szCs w:val="21"/>
          <w:highlight w:val="none"/>
          <w:lang w:val="en-US" w:eastAsia="zh-CN"/>
        </w:rPr>
      </w:pPr>
      <w:r>
        <w:rPr>
          <w:rFonts w:hint="eastAsia" w:hAnsi="宋体"/>
          <w:color w:val="auto"/>
          <w:sz w:val="21"/>
          <w:szCs w:val="21"/>
          <w:highlight w:val="none"/>
          <w:lang w:val="en-US" w:eastAsia="zh-CN"/>
        </w:rPr>
        <w:t>11.本招标范围内根据规范和招标文件要求投标人进行常规自检项目的检测，以及招标文件要求的有些</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hAnsi="宋体"/>
          <w:color w:val="auto"/>
          <w:sz w:val="21"/>
          <w:szCs w:val="21"/>
          <w:highlight w:val="none"/>
          <w:lang w:val="en-US" w:eastAsia="zh-CN"/>
        </w:rPr>
      </w:pPr>
      <w:r>
        <w:rPr>
          <w:rFonts w:hint="eastAsia" w:hAnsi="宋体"/>
          <w:color w:val="auto"/>
          <w:sz w:val="21"/>
          <w:szCs w:val="21"/>
          <w:highlight w:val="none"/>
          <w:lang w:val="en-US" w:eastAsia="zh-CN"/>
        </w:rPr>
        <w:t>特殊材料、设备或相应工序还需进行现场检验的费用，请投标人在投标报价中综合考虑，结算时不作调整。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eastAsia" w:hAnsi="宋体"/>
          <w:color w:val="auto"/>
          <w:sz w:val="21"/>
          <w:szCs w:val="21"/>
          <w:highlight w:val="none"/>
          <w:lang w:val="en-US" w:eastAsia="zh-CN"/>
        </w:rPr>
      </w:pPr>
      <w:r>
        <w:rPr>
          <w:rFonts w:hint="eastAsia" w:hAnsi="宋体"/>
          <w:color w:val="auto"/>
          <w:sz w:val="21"/>
          <w:szCs w:val="21"/>
          <w:highlight w:val="none"/>
          <w:lang w:val="en-US" w:eastAsia="zh-CN"/>
        </w:rPr>
        <w:t>12.本标段配合第三方材料检测产生的费用：主要设备材料的自检费用、提供给发包人委托的第三方检</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hAnsi="宋体"/>
          <w:color w:val="auto"/>
          <w:sz w:val="21"/>
          <w:szCs w:val="21"/>
          <w:highlight w:val="none"/>
          <w:lang w:val="en-US" w:eastAsia="zh-CN"/>
        </w:rPr>
      </w:pPr>
      <w:r>
        <w:rPr>
          <w:rFonts w:hint="eastAsia" w:hAnsi="宋体"/>
          <w:color w:val="auto"/>
          <w:sz w:val="21"/>
          <w:szCs w:val="21"/>
          <w:highlight w:val="none"/>
          <w:lang w:val="en-US" w:eastAsia="zh-CN"/>
        </w:rPr>
        <w:t>测的材料费用、配合第三方材料检测产生的费用（如原材料费用、送检费用等）、检测后工程实体的修复费用由投标人在投标报价中综合考虑，结算时不做调整。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eastAsia" w:hAnsi="宋体"/>
          <w:color w:val="auto"/>
          <w:sz w:val="21"/>
          <w:szCs w:val="21"/>
          <w:highlight w:val="none"/>
          <w:lang w:val="en-US" w:eastAsia="zh-CN"/>
        </w:rPr>
      </w:pPr>
      <w:r>
        <w:rPr>
          <w:rFonts w:hint="eastAsia" w:hAnsi="宋体"/>
          <w:color w:val="auto"/>
          <w:sz w:val="21"/>
          <w:szCs w:val="21"/>
          <w:highlight w:val="none"/>
          <w:lang w:val="en-US" w:eastAsia="zh-CN"/>
        </w:rPr>
        <w:t>13.本标段施工竣工验收前，对已完工程及设备采取的覆盖、包裹、封闭、隔离等必要保护措施所发生</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hAnsi="宋体"/>
          <w:color w:val="auto"/>
          <w:sz w:val="21"/>
          <w:szCs w:val="21"/>
          <w:highlight w:val="none"/>
          <w:lang w:val="en-US" w:eastAsia="zh-CN"/>
        </w:rPr>
      </w:pPr>
      <w:r>
        <w:rPr>
          <w:rFonts w:hint="eastAsia" w:hAnsi="宋体"/>
          <w:color w:val="auto"/>
          <w:sz w:val="21"/>
          <w:szCs w:val="21"/>
          <w:highlight w:val="none"/>
          <w:lang w:val="en-US" w:eastAsia="zh-CN"/>
        </w:rPr>
        <w:t>的费用。请投标人在投标报价中综合考虑。除合同另有约定外，结算时不作调整。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default" w:hAnsi="宋体"/>
          <w:color w:val="auto"/>
          <w:sz w:val="21"/>
          <w:szCs w:val="21"/>
          <w:highlight w:val="none"/>
          <w:lang w:val="en-US" w:eastAsia="zh-CN"/>
        </w:rPr>
      </w:pPr>
      <w:r>
        <w:rPr>
          <w:rFonts w:hint="eastAsia" w:hAnsi="宋体"/>
          <w:color w:val="auto"/>
          <w:sz w:val="21"/>
          <w:szCs w:val="21"/>
          <w:highlight w:val="none"/>
          <w:lang w:val="en-US" w:eastAsia="zh-CN"/>
        </w:rPr>
        <w:t>14.在本标段工程施工期间应积极做好与本工程其它专业施工单位的配合工作，包括且不限于配合旅客</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2"/>
        <w:rPr>
          <w:rFonts w:hint="default" w:hAnsi="宋体"/>
          <w:color w:val="auto"/>
          <w:sz w:val="21"/>
          <w:szCs w:val="21"/>
          <w:highlight w:val="none"/>
          <w:lang w:val="en-US" w:eastAsia="zh-CN"/>
        </w:rPr>
      </w:pPr>
      <w:r>
        <w:rPr>
          <w:rFonts w:hint="eastAsia" w:hAnsi="宋体"/>
          <w:color w:val="auto"/>
          <w:sz w:val="21"/>
          <w:szCs w:val="21"/>
          <w:highlight w:val="none"/>
          <w:lang w:val="en-US" w:eastAsia="zh-CN"/>
        </w:rPr>
        <w:t>过夜用房项目总包单位、装修及二次机电投标人、市政投标人等办理工作面交接。在此过程中包括人工机械的停滞、降效以及其他相关费用由投标人在投标报价中综合考虑。除合同另有约定外，结算时不作调整。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default" w:hAnsi="宋体"/>
          <w:color w:val="auto"/>
          <w:sz w:val="21"/>
          <w:szCs w:val="21"/>
          <w:highlight w:val="none"/>
          <w:lang w:val="en-US" w:eastAsia="zh-CN"/>
        </w:rPr>
      </w:pPr>
      <w:r>
        <w:rPr>
          <w:rFonts w:hint="eastAsia" w:hAnsi="宋体"/>
          <w:color w:val="auto"/>
          <w:sz w:val="21"/>
          <w:szCs w:val="21"/>
          <w:highlight w:val="none"/>
          <w:lang w:val="en-US" w:eastAsia="zh-CN"/>
        </w:rPr>
        <w:t>15.末端设备安装开孔：安装工程末端设备安装涉及开孔工作由装修标段配合完成，安装标段负责提供</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default" w:hAnsi="宋体"/>
          <w:color w:val="auto"/>
          <w:sz w:val="21"/>
          <w:szCs w:val="21"/>
          <w:highlight w:val="none"/>
          <w:lang w:val="en-US" w:eastAsia="zh-CN"/>
        </w:rPr>
      </w:pPr>
      <w:r>
        <w:rPr>
          <w:rFonts w:hint="eastAsia" w:hAnsi="宋体"/>
          <w:color w:val="auto"/>
          <w:sz w:val="21"/>
          <w:szCs w:val="21"/>
          <w:highlight w:val="none"/>
          <w:lang w:val="en-US" w:eastAsia="zh-CN"/>
        </w:rPr>
        <w:t>开孔定位图及开孔尺寸，定位图及开孔尺寸根据现场进度预留合理工作时间提前提供。因定位图及开孔尺寸提供错误导致开孔不符合要求，修复费用由安装标段负责赔偿，由于开孔操作失误或其他自身原因导致开孔不符合要求，由装修标段自行负责修复，不补偿任何费用。</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default" w:hAnsi="宋体"/>
          <w:strike/>
          <w:dstrike w:val="0"/>
          <w:color w:val="auto"/>
          <w:sz w:val="21"/>
          <w:szCs w:val="21"/>
          <w:highlight w:val="none"/>
          <w:lang w:val="en-US" w:eastAsia="zh-CN"/>
        </w:rPr>
      </w:pPr>
      <w:r>
        <w:rPr>
          <w:rFonts w:hint="eastAsia" w:hAnsi="宋体"/>
          <w:color w:val="auto"/>
          <w:sz w:val="21"/>
          <w:szCs w:val="21"/>
          <w:highlight w:val="none"/>
          <w:lang w:val="en-US" w:eastAsia="zh-CN"/>
        </w:rPr>
        <w:t>16.人员培训及其他：</w:t>
      </w:r>
      <w:r>
        <w:rPr>
          <w:rFonts w:hint="eastAsia"/>
          <w:color w:val="auto"/>
          <w:highlight w:val="none"/>
          <w:lang w:eastAsia="zh-CN"/>
        </w:rPr>
        <w:t>竣工验收合格后3个月内，承包人须针对各系统特点及项目实际情况编制使用手册、培训手册以及培训计划，并组织专人（包括主要设备供货商）对业主的管理人员进行培训工作，培训内容包括系统的功能介绍、性能介绍、操作要求、维护要求等，直至发包人管理人员能熟练掌握及正常使用系统。用户培训费</w:t>
      </w:r>
      <w:r>
        <w:rPr>
          <w:rFonts w:hint="eastAsia" w:hAnsi="宋体"/>
          <w:color w:val="auto"/>
          <w:sz w:val="21"/>
          <w:szCs w:val="21"/>
          <w:highlight w:val="none"/>
          <w:lang w:val="en-US" w:eastAsia="zh-CN"/>
        </w:rPr>
        <w:t>统一在单位工程“</w:t>
      </w:r>
      <w:r>
        <w:rPr>
          <w:rFonts w:hint="eastAsia"/>
          <w:strike w:val="0"/>
          <w:dstrike w:val="0"/>
          <w:color w:val="auto"/>
          <w:highlight w:val="none"/>
          <w:lang w:val="en-US" w:eastAsia="zh-CN"/>
        </w:rPr>
        <w:t>智能化工程</w:t>
      </w:r>
      <w:r>
        <w:rPr>
          <w:rFonts w:hint="eastAsia" w:hAnsi="宋体"/>
          <w:color w:val="auto"/>
          <w:sz w:val="21"/>
          <w:szCs w:val="21"/>
          <w:highlight w:val="none"/>
          <w:lang w:val="en-US" w:eastAsia="zh-CN"/>
        </w:rPr>
        <w:t>”</w:t>
      </w:r>
      <w:r>
        <w:rPr>
          <w:rFonts w:hint="eastAsia"/>
          <w:color w:val="auto"/>
          <w:highlight w:val="none"/>
          <w:lang w:eastAsia="zh-CN"/>
        </w:rPr>
        <w:t>措施项目清单计价表中</w:t>
      </w:r>
      <w:r>
        <w:rPr>
          <w:rFonts w:hint="eastAsia" w:hAnsi="宋体"/>
          <w:color w:val="auto"/>
          <w:sz w:val="21"/>
          <w:szCs w:val="21"/>
          <w:highlight w:val="none"/>
          <w:lang w:val="en-US" w:eastAsia="zh-CN"/>
        </w:rPr>
        <w:t>计列</w:t>
      </w:r>
      <w:r>
        <w:rPr>
          <w:rFonts w:hint="eastAsia"/>
          <w:color w:val="auto"/>
          <w:highlight w:val="none"/>
          <w:lang w:eastAsia="zh-CN"/>
        </w:rPr>
        <w:t>，由投标自行填报，培训期间产生的所有费用已包含在该项费用中，发包人不在另行支付其他费用。</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eastAsia" w:hAnsi="宋体"/>
          <w:color w:val="auto"/>
          <w:sz w:val="21"/>
          <w:szCs w:val="21"/>
          <w:highlight w:val="none"/>
          <w:lang w:val="en-US" w:eastAsia="zh-CN"/>
        </w:rPr>
      </w:pPr>
      <w:r>
        <w:rPr>
          <w:rFonts w:hint="eastAsia" w:hAnsi="宋体"/>
          <w:color w:val="auto"/>
          <w:sz w:val="21"/>
          <w:szCs w:val="21"/>
          <w:highlight w:val="none"/>
          <w:lang w:val="en-US" w:eastAsia="zh-CN"/>
        </w:rPr>
        <w:t>17.在施工过程中部分系统会出现提前使用的情况，例如永久照明系统当做施工照明使用、给排水系统</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hAnsi="宋体"/>
          <w:color w:val="auto"/>
          <w:sz w:val="21"/>
          <w:szCs w:val="21"/>
          <w:highlight w:val="none"/>
          <w:lang w:val="en-US" w:eastAsia="zh-CN"/>
        </w:rPr>
      </w:pPr>
      <w:r>
        <w:rPr>
          <w:rFonts w:hint="eastAsia" w:hAnsi="宋体"/>
          <w:color w:val="auto"/>
          <w:sz w:val="21"/>
          <w:szCs w:val="21"/>
          <w:highlight w:val="none"/>
          <w:lang w:val="en-US" w:eastAsia="zh-CN"/>
        </w:rPr>
        <w:t>提前使用、BAS系统提前使用等，当出现安装完成的设备和系统提前使用的情况后，承包单位应在竣工验收前将所有提前使用的设备或系统的易损件、消耗件及因提前使用等原因造成的设备或系统的损坏进行更换，确保移交给使用单位的设备为无故障无损耗的，所发生费用由投标人综合考虑在投标报价内。</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eastAsia" w:hAnsi="宋体"/>
          <w:color w:val="auto"/>
          <w:sz w:val="21"/>
          <w:szCs w:val="21"/>
          <w:highlight w:val="none"/>
          <w:lang w:val="en-US" w:eastAsia="zh-CN"/>
        </w:rPr>
      </w:pPr>
      <w:r>
        <w:rPr>
          <w:rFonts w:hint="eastAsia" w:hAnsi="宋体"/>
          <w:color w:val="auto"/>
          <w:sz w:val="21"/>
          <w:szCs w:val="21"/>
          <w:highlight w:val="none"/>
          <w:lang w:val="en-US" w:eastAsia="zh-CN"/>
        </w:rPr>
        <w:t>18.投标人须严格落实国家和地方各级政府以及相关管理单位关于疫情防控工作的要求，由投标人根据</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hAnsi="宋体"/>
          <w:color w:val="auto"/>
          <w:sz w:val="21"/>
          <w:szCs w:val="21"/>
          <w:highlight w:val="none"/>
          <w:lang w:val="en-US" w:eastAsia="zh-CN"/>
        </w:rPr>
      </w:pPr>
      <w:r>
        <w:rPr>
          <w:rFonts w:hint="eastAsia" w:hAnsi="宋体"/>
          <w:color w:val="auto"/>
          <w:sz w:val="21"/>
          <w:szCs w:val="21"/>
          <w:highlight w:val="none"/>
          <w:lang w:val="en-US" w:eastAsia="zh-CN"/>
        </w:rPr>
        <w:t>本工程情况并结合自身条件综合考虑在投标报价内，除合同另有约定外，结算时不作调整。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eastAsia" w:hAnsi="宋体"/>
          <w:color w:val="auto"/>
          <w:sz w:val="21"/>
          <w:szCs w:val="21"/>
          <w:highlight w:val="none"/>
          <w:lang w:val="en-US" w:eastAsia="zh-CN"/>
        </w:rPr>
      </w:pPr>
      <w:r>
        <w:rPr>
          <w:rFonts w:hint="eastAsia" w:hAnsi="宋体"/>
          <w:color w:val="auto"/>
          <w:sz w:val="21"/>
          <w:szCs w:val="21"/>
          <w:highlight w:val="none"/>
          <w:lang w:val="en-US" w:eastAsia="zh-CN"/>
        </w:rPr>
        <w:t>19.各承包单位除负责施工时期各自的临时用水用电外，各承包单位安装范围内的设备、设施调试期间，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hAnsi="宋体"/>
          <w:color w:val="auto"/>
          <w:sz w:val="21"/>
          <w:szCs w:val="21"/>
          <w:highlight w:val="none"/>
          <w:lang w:val="en-US" w:eastAsia="zh-CN"/>
        </w:rPr>
      </w:pPr>
      <w:r>
        <w:rPr>
          <w:rFonts w:hint="eastAsia" w:hAnsi="宋体"/>
          <w:color w:val="auto"/>
          <w:sz w:val="21"/>
          <w:szCs w:val="21"/>
          <w:highlight w:val="none"/>
          <w:lang w:val="en-US" w:eastAsia="zh-CN"/>
        </w:rPr>
        <w:t>至项目竣工验收之前的正式水、电费由各承包单位承担，各承包单位投标时应进行充分的测算，并在投标报价中综合考虑。各用电单位的用电、计量等使用方案由投标单位制定，经发包人、监理、</w:t>
      </w:r>
      <w:r>
        <w:rPr>
          <w:rFonts w:hint="eastAsia" w:hAnsi="宋体"/>
          <w:color w:val="FF0000"/>
          <w:sz w:val="21"/>
          <w:szCs w:val="21"/>
          <w:highlight w:val="none"/>
          <w:lang w:val="en-US" w:eastAsia="zh-CN"/>
        </w:rPr>
        <w:t>总承包人</w:t>
      </w:r>
      <w:r>
        <w:rPr>
          <w:rFonts w:hint="eastAsia" w:hAnsi="宋体"/>
          <w:color w:val="auto"/>
          <w:sz w:val="21"/>
          <w:szCs w:val="21"/>
          <w:highlight w:val="none"/>
          <w:lang w:val="en-US" w:eastAsia="zh-CN"/>
        </w:rPr>
        <w:t>审核后实施。</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default" w:hAnsi="宋体"/>
          <w:color w:val="auto"/>
          <w:sz w:val="21"/>
          <w:szCs w:val="21"/>
          <w:highlight w:val="none"/>
          <w:lang w:val="en-US" w:eastAsia="zh-CN"/>
        </w:rPr>
      </w:pPr>
      <w:r>
        <w:rPr>
          <w:rFonts w:hint="eastAsia" w:hAnsi="宋体"/>
          <w:color w:val="auto"/>
          <w:sz w:val="21"/>
          <w:szCs w:val="21"/>
          <w:highlight w:val="none"/>
          <w:lang w:val="en-US" w:eastAsia="zh-CN"/>
        </w:rPr>
        <w:t>20.</w:t>
      </w:r>
      <w:r>
        <w:rPr>
          <w:rFonts w:hint="default" w:hAnsi="宋体"/>
          <w:color w:val="auto"/>
          <w:sz w:val="21"/>
          <w:szCs w:val="21"/>
          <w:highlight w:val="none"/>
          <w:lang w:val="en-US" w:eastAsia="zh-CN"/>
        </w:rPr>
        <w:t>施工过程中的凿墙刨沟、凿砼刨沟、沟槽封堵及修复等费用已含在相应的清单综合单价内，由投标</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default" w:hAnsi="宋体"/>
          <w:color w:val="auto"/>
          <w:sz w:val="21"/>
          <w:szCs w:val="21"/>
          <w:highlight w:val="none"/>
          <w:lang w:val="en-US" w:eastAsia="zh-CN"/>
        </w:rPr>
      </w:pPr>
      <w:r>
        <w:rPr>
          <w:rFonts w:hint="default" w:hAnsi="宋体"/>
          <w:color w:val="auto"/>
          <w:sz w:val="21"/>
          <w:szCs w:val="21"/>
          <w:highlight w:val="none"/>
          <w:lang w:val="en-US" w:eastAsia="zh-CN"/>
        </w:rPr>
        <w:t>人综合考虑报价，结算时不另计算。</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default" w:hAnsi="宋体"/>
          <w:color w:val="auto"/>
          <w:sz w:val="21"/>
          <w:szCs w:val="21"/>
          <w:highlight w:val="none"/>
          <w:lang w:val="en-US" w:eastAsia="zh-CN"/>
        </w:rPr>
      </w:pPr>
      <w:r>
        <w:rPr>
          <w:rFonts w:hint="eastAsia" w:hAnsi="宋体"/>
          <w:color w:val="auto"/>
          <w:sz w:val="21"/>
          <w:szCs w:val="21"/>
          <w:highlight w:val="none"/>
          <w:lang w:val="en-US" w:eastAsia="zh-CN"/>
        </w:rPr>
        <w:t>21.</w:t>
      </w:r>
      <w:r>
        <w:rPr>
          <w:rFonts w:hint="default" w:hAnsi="宋体"/>
          <w:color w:val="auto"/>
          <w:sz w:val="21"/>
          <w:szCs w:val="21"/>
          <w:highlight w:val="none"/>
          <w:lang w:val="en-US" w:eastAsia="zh-CN"/>
        </w:rPr>
        <w:t>承包人须提供足够的材料样品作试验之用，若有需要进行破坏性的试验，因此产生的样品和试验所</w:t>
      </w:r>
      <w:r>
        <w:rPr>
          <w:rFonts w:hint="eastAsia" w:hAnsi="宋体"/>
          <w:color w:val="auto"/>
          <w:sz w:val="21"/>
          <w:szCs w:val="21"/>
          <w:highlight w:val="none"/>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default" w:hAnsi="宋体"/>
          <w:color w:val="auto"/>
          <w:sz w:val="21"/>
          <w:szCs w:val="21"/>
          <w:highlight w:val="none"/>
          <w:lang w:val="en-US" w:eastAsia="zh-CN"/>
        </w:rPr>
      </w:pPr>
      <w:r>
        <w:rPr>
          <w:rFonts w:hint="default" w:hAnsi="宋体"/>
          <w:color w:val="auto"/>
          <w:sz w:val="21"/>
          <w:szCs w:val="21"/>
          <w:highlight w:val="none"/>
          <w:lang w:val="en-US" w:eastAsia="zh-CN"/>
        </w:rPr>
        <w:t>需的有关费用已包含在投标报价内。</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default" w:hAnsi="宋体"/>
          <w:color w:val="auto"/>
          <w:sz w:val="21"/>
          <w:szCs w:val="21"/>
          <w:highlight w:val="none"/>
          <w:lang w:val="en-US" w:eastAsia="zh-CN"/>
        </w:rPr>
      </w:pPr>
      <w:r>
        <w:rPr>
          <w:rFonts w:hint="eastAsia" w:hAnsi="宋体"/>
          <w:color w:val="auto"/>
          <w:sz w:val="21"/>
          <w:szCs w:val="21"/>
          <w:highlight w:val="none"/>
          <w:lang w:val="en-US" w:eastAsia="zh-CN"/>
        </w:rPr>
        <w:t>22.</w:t>
      </w:r>
      <w:r>
        <w:rPr>
          <w:rFonts w:hint="default" w:hAnsi="宋体"/>
          <w:color w:val="auto"/>
          <w:sz w:val="21"/>
          <w:szCs w:val="21"/>
          <w:highlight w:val="none"/>
          <w:lang w:val="en-US" w:eastAsia="zh-CN"/>
        </w:rPr>
        <w:t>本项目水电费由投标人自主报价，除政策性调整外，结算不予调整。施工实际用水用电费收费标准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default" w:hAnsi="宋体"/>
          <w:color w:val="auto"/>
          <w:sz w:val="21"/>
          <w:szCs w:val="21"/>
          <w:highlight w:val="none"/>
          <w:lang w:val="en-US" w:eastAsia="zh-CN"/>
        </w:rPr>
      </w:pPr>
      <w:r>
        <w:rPr>
          <w:rFonts w:hint="default" w:hAnsi="宋体"/>
          <w:color w:val="auto"/>
          <w:sz w:val="21"/>
          <w:szCs w:val="21"/>
          <w:highlight w:val="none"/>
          <w:lang w:val="en-US" w:eastAsia="zh-CN"/>
        </w:rPr>
        <w:t>按机场水电管理单位规定执行，水电管理单位的收费标准与信息价或投标单位水电单价不一致的、实际水电费与投标报价水电费不一致的，均由投标人综合考虑在投标报价内，结算不作调整。</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default" w:hAnsi="宋体"/>
          <w:color w:val="auto"/>
          <w:sz w:val="21"/>
          <w:szCs w:val="21"/>
          <w:highlight w:val="none"/>
          <w:lang w:val="en-US" w:eastAsia="zh-CN"/>
        </w:rPr>
      </w:pPr>
      <w:r>
        <w:rPr>
          <w:rFonts w:hint="eastAsia" w:hAnsi="宋体"/>
          <w:color w:val="auto"/>
          <w:sz w:val="21"/>
          <w:szCs w:val="21"/>
          <w:highlight w:val="none"/>
          <w:lang w:val="en-US" w:eastAsia="zh-CN"/>
        </w:rPr>
        <w:t>23.</w:t>
      </w:r>
      <w:r>
        <w:rPr>
          <w:rFonts w:hint="default" w:hAnsi="宋体"/>
          <w:color w:val="auto"/>
          <w:sz w:val="21"/>
          <w:szCs w:val="21"/>
          <w:highlight w:val="none"/>
          <w:lang w:val="en-US" w:eastAsia="zh-CN"/>
        </w:rPr>
        <w:t>投标人须按发包人提供的电气元器件分解表格式填报配电箱、配电柜、高低压柜等的电气元器件价</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2"/>
        <w:rPr>
          <w:rFonts w:hint="default" w:hAnsi="宋体"/>
          <w:color w:val="auto"/>
          <w:sz w:val="21"/>
          <w:szCs w:val="21"/>
          <w:highlight w:val="none"/>
          <w:lang w:val="en-US" w:eastAsia="zh-CN"/>
        </w:rPr>
      </w:pPr>
      <w:r>
        <w:rPr>
          <w:rFonts w:hint="default" w:hAnsi="宋体"/>
          <w:color w:val="auto"/>
          <w:sz w:val="21"/>
          <w:szCs w:val="21"/>
          <w:highlight w:val="none"/>
          <w:lang w:val="en-US" w:eastAsia="zh-CN"/>
        </w:rPr>
        <w:t>格分析。</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default" w:hAnsi="宋体"/>
          <w:color w:val="auto"/>
          <w:sz w:val="21"/>
          <w:szCs w:val="21"/>
          <w:highlight w:val="none"/>
          <w:lang w:val="en-US" w:eastAsia="zh-CN"/>
        </w:rPr>
      </w:pPr>
      <w:r>
        <w:rPr>
          <w:rFonts w:hint="eastAsia" w:hAnsi="宋体"/>
          <w:color w:val="auto"/>
          <w:sz w:val="21"/>
          <w:szCs w:val="21"/>
          <w:highlight w:val="none"/>
          <w:lang w:val="en-US" w:eastAsia="zh-CN"/>
        </w:rPr>
        <w:t>24.</w:t>
      </w:r>
      <w:r>
        <w:rPr>
          <w:rFonts w:hint="default" w:hAnsi="宋体"/>
          <w:color w:val="auto"/>
          <w:sz w:val="21"/>
          <w:szCs w:val="21"/>
          <w:highlight w:val="none"/>
          <w:lang w:val="en-US" w:eastAsia="zh-CN"/>
        </w:rPr>
        <w:t>清单综合单价分析表导出时需包含该单价下挂定额明细、该单价所有人材机明细，请投标人在投标</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2"/>
        <w:rPr>
          <w:rFonts w:hint="default" w:hAnsi="宋体"/>
          <w:color w:val="auto"/>
          <w:sz w:val="21"/>
          <w:szCs w:val="21"/>
          <w:highlight w:val="none"/>
          <w:lang w:val="en-US" w:eastAsia="zh-CN"/>
        </w:rPr>
      </w:pPr>
      <w:r>
        <w:rPr>
          <w:rFonts w:hint="default" w:hAnsi="宋体"/>
          <w:color w:val="auto"/>
          <w:sz w:val="21"/>
          <w:szCs w:val="21"/>
          <w:highlight w:val="none"/>
          <w:lang w:val="en-US" w:eastAsia="zh-CN"/>
        </w:rPr>
        <w:t>报价时单价分析表按清单表格格式要求设置导出单价分析表。</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default" w:hAnsi="宋体"/>
          <w:color w:val="auto"/>
          <w:sz w:val="21"/>
          <w:szCs w:val="21"/>
          <w:highlight w:val="none"/>
          <w:lang w:val="en-US" w:eastAsia="zh-CN"/>
        </w:rPr>
      </w:pPr>
      <w:r>
        <w:rPr>
          <w:rFonts w:hint="eastAsia" w:hAnsi="宋体"/>
          <w:color w:val="auto"/>
          <w:sz w:val="21"/>
          <w:szCs w:val="21"/>
          <w:highlight w:val="none"/>
          <w:lang w:val="en-US" w:eastAsia="zh-CN"/>
        </w:rPr>
        <w:t>25.</w:t>
      </w:r>
      <w:r>
        <w:rPr>
          <w:rFonts w:hint="default" w:hAnsi="宋体"/>
          <w:color w:val="auto"/>
          <w:sz w:val="21"/>
          <w:szCs w:val="21"/>
          <w:highlight w:val="none"/>
          <w:lang w:val="en-US" w:eastAsia="zh-CN"/>
        </w:rPr>
        <w:t>本项目需要卫生检验和检疫的费用，请投</w:t>
      </w:r>
      <w:bookmarkStart w:id="1" w:name="_GoBack"/>
      <w:bookmarkEnd w:id="1"/>
      <w:r>
        <w:rPr>
          <w:rFonts w:hint="default" w:hAnsi="宋体"/>
          <w:color w:val="auto"/>
          <w:sz w:val="21"/>
          <w:szCs w:val="21"/>
          <w:highlight w:val="none"/>
          <w:lang w:val="en-US" w:eastAsia="zh-CN"/>
        </w:rPr>
        <w:t>标人在投标报价内综合考虑，投标人需提交卫生检验和检</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default" w:hAnsi="宋体"/>
          <w:color w:val="auto"/>
          <w:sz w:val="21"/>
          <w:szCs w:val="21"/>
          <w:highlight w:val="none"/>
          <w:lang w:val="en-US" w:eastAsia="zh-CN"/>
        </w:rPr>
      </w:pPr>
      <w:r>
        <w:rPr>
          <w:rFonts w:hint="default" w:hAnsi="宋体"/>
          <w:color w:val="auto"/>
          <w:sz w:val="21"/>
          <w:szCs w:val="21"/>
          <w:highlight w:val="none"/>
          <w:lang w:val="en-US" w:eastAsia="zh-CN"/>
        </w:rPr>
        <w:t>疫的合格证给发包人。如投标人未能提交合格证，发包人自行委托卫生检验和检疫，并将在投标人的结算中扣除此项费用。</w:t>
      </w:r>
    </w:p>
    <w:p>
      <w:pPr>
        <w:pStyle w:val="2"/>
        <w:keepNext w:val="0"/>
        <w:keepLines w:val="0"/>
        <w:pageBreakBefore w:val="0"/>
        <w:widowControl w:val="0"/>
        <w:numPr>
          <w:ilvl w:val="0"/>
          <w:numId w:val="8"/>
        </w:numPr>
        <w:kinsoku/>
        <w:wordWrap/>
        <w:overflowPunct/>
        <w:topLinePunct w:val="0"/>
        <w:autoSpaceDE/>
        <w:autoSpaceDN/>
        <w:bidi w:val="0"/>
        <w:adjustRightInd/>
        <w:snapToGrid/>
        <w:spacing w:line="360" w:lineRule="auto"/>
        <w:ind w:left="420" w:leftChars="0" w:firstLine="0" w:firstLineChars="0"/>
        <w:textAlignment w:val="auto"/>
        <w:outlineLvl w:val="9"/>
        <w:rPr>
          <w:rFonts w:hint="default" w:hAnsi="宋体"/>
          <w:color w:val="auto"/>
          <w:sz w:val="21"/>
          <w:szCs w:val="21"/>
          <w:highlight w:val="none"/>
          <w:lang w:val="en-US" w:eastAsia="zh-CN"/>
        </w:rPr>
      </w:pPr>
      <w:r>
        <w:rPr>
          <w:rFonts w:hint="eastAsia" w:hAnsi="宋体"/>
          <w:color w:val="auto"/>
          <w:sz w:val="21"/>
          <w:szCs w:val="21"/>
          <w:highlight w:val="none"/>
          <w:lang w:val="en-US" w:eastAsia="zh-CN"/>
        </w:rPr>
        <w:t>本项目工程创优、获奖和创新按照技术规格书和合同条款承诺和完成,由于承包人原因未实现目标</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default" w:hAnsi="宋体"/>
          <w:color w:val="auto"/>
          <w:sz w:val="21"/>
          <w:szCs w:val="21"/>
          <w:highlight w:val="none"/>
          <w:lang w:val="en-US" w:eastAsia="zh-CN"/>
        </w:rPr>
      </w:pPr>
      <w:r>
        <w:rPr>
          <w:rFonts w:hint="eastAsia" w:hAnsi="宋体"/>
          <w:color w:val="auto"/>
          <w:sz w:val="21"/>
          <w:szCs w:val="21"/>
          <w:highlight w:val="none"/>
          <w:lang w:val="en-US" w:eastAsia="zh-CN"/>
        </w:rPr>
        <w:t>的按照合同和技术规格书相应条款处罚和承担违约责任，违约责任详见合同专用条款及技术规格书约定。</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default" w:hAnsi="宋体"/>
          <w:color w:val="auto"/>
          <w:sz w:val="21"/>
          <w:szCs w:val="21"/>
          <w:highlight w:val="none"/>
          <w:lang w:val="en-US" w:eastAsia="zh-CN"/>
        </w:rPr>
      </w:pPr>
      <w:r>
        <w:rPr>
          <w:rFonts w:hint="eastAsia" w:hAnsi="宋体"/>
          <w:color w:val="auto"/>
          <w:sz w:val="21"/>
          <w:szCs w:val="21"/>
          <w:highlight w:val="none"/>
          <w:lang w:val="en-US" w:eastAsia="zh-CN"/>
        </w:rPr>
        <w:t xml:space="preserve">    27.项目建设整体需满足《MH/T 0076-2020民用航空网络安全等级保护要求》的安全要求细则，主要包括安全的通信网络、安全的区域边界、安全的计算环境、安全的管理环境等，符合相应网络等级保护要求，同时必须符合机场信息安全管理要求，所需费用包含在报价中。</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outlineLvl w:val="2"/>
        <w:rPr>
          <w:rFonts w:hint="default" w:hAnsi="宋体"/>
          <w:color w:val="auto"/>
          <w:sz w:val="21"/>
          <w:szCs w:val="21"/>
          <w:highlight w:val="none"/>
          <w:lang w:val="en-US" w:eastAsia="zh-CN"/>
        </w:rPr>
      </w:pPr>
      <w:r>
        <w:rPr>
          <w:rFonts w:hint="eastAsia" w:hAnsi="宋体"/>
          <w:color w:val="auto"/>
          <w:sz w:val="21"/>
          <w:szCs w:val="21"/>
          <w:highlight w:val="none"/>
          <w:lang w:val="en-US" w:eastAsia="zh-CN"/>
        </w:rPr>
        <w:t>28.</w:t>
      </w:r>
      <w:r>
        <w:rPr>
          <w:rFonts w:hint="default" w:hAnsi="宋体"/>
          <w:color w:val="auto"/>
          <w:sz w:val="21"/>
          <w:szCs w:val="21"/>
          <w:highlight w:val="none"/>
          <w:lang w:val="en-US" w:eastAsia="zh-CN"/>
        </w:rPr>
        <w:t>招标文件中要求其他的工作、职责、规定，上面未提及的，请投标人在投标报价综合考虑。</w:t>
      </w:r>
    </w:p>
    <w:sectPr>
      <w:headerReference r:id="rId3" w:type="default"/>
      <w:footerReference r:id="rId4" w:type="default"/>
      <w:pgSz w:w="11906" w:h="16838"/>
      <w:pgMar w:top="1440" w:right="1080" w:bottom="1440" w:left="108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rFonts w:hint="eastAsia"/>
        <w:i/>
        <w:iCs/>
      </w:rPr>
    </w:pPr>
    <w:r>
      <w:rPr>
        <w:rFonts w:hint="eastAsia"/>
        <w:i/>
        <w:iCs/>
        <w:lang w:val="en-US" w:eastAsia="zh-CN"/>
      </w:rPr>
      <w:t>广州白云国际机场三期扩建工程配套旅客过夜用房智能化工程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0E2D88"/>
    <w:multiLevelType w:val="singleLevel"/>
    <w:tmpl w:val="D40E2D88"/>
    <w:lvl w:ilvl="0" w:tentative="0">
      <w:start w:val="26"/>
      <w:numFmt w:val="decimal"/>
      <w:lvlText w:val="%1."/>
      <w:lvlJc w:val="left"/>
      <w:pPr>
        <w:tabs>
          <w:tab w:val="left" w:pos="312"/>
        </w:tabs>
        <w:ind w:left="420" w:leftChars="0" w:firstLine="0" w:firstLineChars="0"/>
      </w:pPr>
    </w:lvl>
  </w:abstractNum>
  <w:abstractNum w:abstractNumId="1">
    <w:nsid w:val="F4AB9969"/>
    <w:multiLevelType w:val="singleLevel"/>
    <w:tmpl w:val="F4AB9969"/>
    <w:lvl w:ilvl="0" w:tentative="0">
      <w:start w:val="1"/>
      <w:numFmt w:val="decimal"/>
      <w:suff w:val="nothing"/>
      <w:lvlText w:val="（%1）"/>
      <w:lvlJc w:val="left"/>
    </w:lvl>
  </w:abstractNum>
  <w:abstractNum w:abstractNumId="2">
    <w:nsid w:val="FD67C2E8"/>
    <w:multiLevelType w:val="singleLevel"/>
    <w:tmpl w:val="FD67C2E8"/>
    <w:lvl w:ilvl="0" w:tentative="0">
      <w:start w:val="5"/>
      <w:numFmt w:val="chineseCounting"/>
      <w:suff w:val="nothing"/>
      <w:lvlText w:val="（%1）"/>
      <w:lvlJc w:val="left"/>
      <w:rPr>
        <w:rFonts w:hint="eastAsia"/>
      </w:rPr>
    </w:lvl>
  </w:abstractNum>
  <w:abstractNum w:abstractNumId="3">
    <w:nsid w:val="00000007"/>
    <w:multiLevelType w:val="multilevel"/>
    <w:tmpl w:val="00000007"/>
    <w:lvl w:ilvl="0" w:tentative="0">
      <w:start w:val="1"/>
      <w:numFmt w:val="decimal"/>
      <w:pStyle w:val="3"/>
      <w:lvlText w:val="%1."/>
      <w:legacy w:legacy="1" w:legacySpace="144" w:legacyIndent="0"/>
      <w:lvlJc w:val="left"/>
    </w:lvl>
    <w:lvl w:ilvl="1" w:tentative="0">
      <w:start w:val="1"/>
      <w:numFmt w:val="decimal"/>
      <w:lvlText w:val="%1.%2"/>
      <w:legacy w:legacy="1" w:legacySpace="144" w:legacyIndent="0"/>
      <w:lvlJc w:val="left"/>
    </w:lvl>
    <w:lvl w:ilvl="2" w:tentative="0">
      <w:start w:val="1"/>
      <w:numFmt w:val="decimal"/>
      <w:lvlText w:val="%1.%2.%3"/>
      <w:legacy w:legacy="1" w:legacySpace="144" w:legacyIndent="0"/>
      <w:lvlJc w:val="left"/>
    </w:lvl>
    <w:lvl w:ilvl="3" w:tentative="0">
      <w:start w:val="1"/>
      <w:numFmt w:val="decimal"/>
      <w:lvlText w:val="%1.%2.%3.%4"/>
      <w:legacy w:legacy="1" w:legacySpace="144" w:legacyIndent="0"/>
      <w:lvlJc w:val="left"/>
    </w:lvl>
    <w:lvl w:ilvl="4" w:tentative="0">
      <w:start w:val="1"/>
      <w:numFmt w:val="decimal"/>
      <w:lvlText w:val="%1.%2.%3.%4.%5"/>
      <w:legacy w:legacy="1" w:legacySpace="144" w:legacyIndent="0"/>
      <w:lvlJc w:val="left"/>
    </w:lvl>
    <w:lvl w:ilvl="5" w:tentative="0">
      <w:start w:val="1"/>
      <w:numFmt w:val="decimal"/>
      <w:lvlText w:val="%1.%2.%3.%4.%5.%6"/>
      <w:legacy w:legacy="1" w:legacySpace="144" w:legacyIndent="0"/>
      <w:lvlJc w:val="left"/>
    </w:lvl>
    <w:lvl w:ilvl="6" w:tentative="0">
      <w:start w:val="1"/>
      <w:numFmt w:val="decimal"/>
      <w:lvlText w:val="%1.%2.%3.%4.%5.%6.%7"/>
      <w:legacy w:legacy="1" w:legacySpace="144" w:legacyIndent="0"/>
      <w:lvlJc w:val="left"/>
    </w:lvl>
    <w:lvl w:ilvl="7" w:tentative="0">
      <w:start w:val="1"/>
      <w:numFmt w:val="decimal"/>
      <w:lvlText w:val="%1.%2.%3.%4.%5.%6.%7.%8"/>
      <w:legacy w:legacy="1" w:legacySpace="144" w:legacyIndent="0"/>
      <w:lvlJc w:val="left"/>
    </w:lvl>
    <w:lvl w:ilvl="8" w:tentative="0">
      <w:start w:val="1"/>
      <w:numFmt w:val="decimal"/>
      <w:lvlText w:val="%1.%2.%3.%4.%5.%6.%7.%8.%9"/>
      <w:legacy w:legacy="1" w:legacySpace="144" w:legacyIndent="0"/>
      <w:lvlJc w:val="left"/>
    </w:lvl>
  </w:abstractNum>
  <w:abstractNum w:abstractNumId="4">
    <w:nsid w:val="07806638"/>
    <w:multiLevelType w:val="multilevel"/>
    <w:tmpl w:val="07806638"/>
    <w:lvl w:ilvl="0" w:tentative="0">
      <w:start w:val="1"/>
      <w:numFmt w:val="decimal"/>
      <w:suff w:val="nothing"/>
      <w:lvlText w:val="%1."/>
      <w:lvlJc w:val="left"/>
      <w:pPr>
        <w:ind w:left="846" w:hanging="420"/>
      </w:pPr>
      <w:rPr>
        <w:rFonts w:hint="default"/>
        <w:b w:val="0"/>
        <w:bCs w:val="0"/>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318323D5"/>
    <w:multiLevelType w:val="multilevel"/>
    <w:tmpl w:val="318323D5"/>
    <w:lvl w:ilvl="0" w:tentative="0">
      <w:start w:val="1"/>
      <w:numFmt w:val="decimal"/>
      <w:suff w:val="nothing"/>
      <w:lvlText w:val="%1."/>
      <w:lvlJc w:val="left"/>
      <w:pPr>
        <w:ind w:left="703" w:hanging="420"/>
      </w:pPr>
      <w:rPr>
        <w:rFonts w:hint="default" w:ascii="Times New Roman" w:hAnsi="Times New Roman" w:cs="Times New Roman"/>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6">
    <w:nsid w:val="45D6CE03"/>
    <w:multiLevelType w:val="singleLevel"/>
    <w:tmpl w:val="45D6CE03"/>
    <w:lvl w:ilvl="0" w:tentative="0">
      <w:start w:val="4"/>
      <w:numFmt w:val="chineseCounting"/>
      <w:suff w:val="nothing"/>
      <w:lvlText w:val="%1、"/>
      <w:lvlJc w:val="left"/>
      <w:rPr>
        <w:rFonts w:hint="eastAsia"/>
      </w:rPr>
    </w:lvl>
  </w:abstractNum>
  <w:abstractNum w:abstractNumId="7">
    <w:nsid w:val="517710D3"/>
    <w:multiLevelType w:val="singleLevel"/>
    <w:tmpl w:val="517710D3"/>
    <w:lvl w:ilvl="0" w:tentative="0">
      <w:start w:val="1"/>
      <w:numFmt w:val="decimal"/>
      <w:lvlText w:val="%1."/>
      <w:lvlJc w:val="left"/>
      <w:pPr>
        <w:tabs>
          <w:tab w:val="left" w:pos="312"/>
        </w:tabs>
      </w:pPr>
    </w:lvl>
  </w:abstractNum>
  <w:num w:numId="1">
    <w:abstractNumId w:val="3"/>
  </w:num>
  <w:num w:numId="2">
    <w:abstractNumId w:val="4"/>
  </w:num>
  <w:num w:numId="3">
    <w:abstractNumId w:val="1"/>
  </w:num>
  <w:num w:numId="4">
    <w:abstractNumId w:val="6"/>
  </w:num>
  <w:num w:numId="5">
    <w:abstractNumId w:val="5"/>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5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xM2NjMGE4OTdiNGZjMzJmNmZjMzI3N2RlZmNiZmYifQ=="/>
  </w:docVars>
  <w:rsids>
    <w:rsidRoot w:val="00B9511C"/>
    <w:rsid w:val="000C4B33"/>
    <w:rsid w:val="001513FB"/>
    <w:rsid w:val="00184A74"/>
    <w:rsid w:val="00193C66"/>
    <w:rsid w:val="0026685B"/>
    <w:rsid w:val="002B5D04"/>
    <w:rsid w:val="002D52CB"/>
    <w:rsid w:val="003A14F0"/>
    <w:rsid w:val="003D1037"/>
    <w:rsid w:val="003E3DDF"/>
    <w:rsid w:val="004277C9"/>
    <w:rsid w:val="0045780C"/>
    <w:rsid w:val="00484A60"/>
    <w:rsid w:val="004E274E"/>
    <w:rsid w:val="004F7BE9"/>
    <w:rsid w:val="00513252"/>
    <w:rsid w:val="005224D9"/>
    <w:rsid w:val="00527E7F"/>
    <w:rsid w:val="005378C7"/>
    <w:rsid w:val="005660A0"/>
    <w:rsid w:val="00585C6D"/>
    <w:rsid w:val="005B548B"/>
    <w:rsid w:val="005D7C67"/>
    <w:rsid w:val="005D7CED"/>
    <w:rsid w:val="00627DAD"/>
    <w:rsid w:val="00716C5E"/>
    <w:rsid w:val="007204C9"/>
    <w:rsid w:val="007242A1"/>
    <w:rsid w:val="007A4764"/>
    <w:rsid w:val="007F7F61"/>
    <w:rsid w:val="00823651"/>
    <w:rsid w:val="008702EB"/>
    <w:rsid w:val="008A1892"/>
    <w:rsid w:val="008B18C3"/>
    <w:rsid w:val="008B316A"/>
    <w:rsid w:val="008D3C42"/>
    <w:rsid w:val="00903512"/>
    <w:rsid w:val="00984477"/>
    <w:rsid w:val="00984E21"/>
    <w:rsid w:val="009928A9"/>
    <w:rsid w:val="00997D67"/>
    <w:rsid w:val="00AA3856"/>
    <w:rsid w:val="00AC2545"/>
    <w:rsid w:val="00B13D3E"/>
    <w:rsid w:val="00B87CFB"/>
    <w:rsid w:val="00B9511C"/>
    <w:rsid w:val="00C32C6E"/>
    <w:rsid w:val="00CC13EF"/>
    <w:rsid w:val="00CE5C6C"/>
    <w:rsid w:val="00D96FC2"/>
    <w:rsid w:val="00DA27F5"/>
    <w:rsid w:val="00DA38F8"/>
    <w:rsid w:val="00DA57F9"/>
    <w:rsid w:val="00E334A5"/>
    <w:rsid w:val="00E57A02"/>
    <w:rsid w:val="00F200D8"/>
    <w:rsid w:val="00F2183B"/>
    <w:rsid w:val="00F402C9"/>
    <w:rsid w:val="00F80F3D"/>
    <w:rsid w:val="00FC3C63"/>
    <w:rsid w:val="01031C1C"/>
    <w:rsid w:val="011E4F1F"/>
    <w:rsid w:val="013637D1"/>
    <w:rsid w:val="013A080E"/>
    <w:rsid w:val="01597337"/>
    <w:rsid w:val="018427DC"/>
    <w:rsid w:val="0192773E"/>
    <w:rsid w:val="01C67676"/>
    <w:rsid w:val="01FE3F51"/>
    <w:rsid w:val="020016E9"/>
    <w:rsid w:val="02072A78"/>
    <w:rsid w:val="020C62E0"/>
    <w:rsid w:val="025D2470"/>
    <w:rsid w:val="027A4F42"/>
    <w:rsid w:val="028A67B7"/>
    <w:rsid w:val="028E7C43"/>
    <w:rsid w:val="029307AF"/>
    <w:rsid w:val="029F455D"/>
    <w:rsid w:val="02C15D5B"/>
    <w:rsid w:val="02D13F89"/>
    <w:rsid w:val="02F17356"/>
    <w:rsid w:val="030F2294"/>
    <w:rsid w:val="03453DDC"/>
    <w:rsid w:val="03541CED"/>
    <w:rsid w:val="03564C06"/>
    <w:rsid w:val="035B20C7"/>
    <w:rsid w:val="035E7275"/>
    <w:rsid w:val="03692170"/>
    <w:rsid w:val="036E4623"/>
    <w:rsid w:val="0382197C"/>
    <w:rsid w:val="038C7AD9"/>
    <w:rsid w:val="038F4B41"/>
    <w:rsid w:val="03A013D6"/>
    <w:rsid w:val="03FA2051"/>
    <w:rsid w:val="040E2864"/>
    <w:rsid w:val="041443A7"/>
    <w:rsid w:val="042B5A6A"/>
    <w:rsid w:val="04376BA4"/>
    <w:rsid w:val="043817A7"/>
    <w:rsid w:val="045C1BEC"/>
    <w:rsid w:val="04966335"/>
    <w:rsid w:val="04B66593"/>
    <w:rsid w:val="04B8381C"/>
    <w:rsid w:val="04C97481"/>
    <w:rsid w:val="04D51447"/>
    <w:rsid w:val="04D8694E"/>
    <w:rsid w:val="04E74BBB"/>
    <w:rsid w:val="04E91AB4"/>
    <w:rsid w:val="04EC3DA3"/>
    <w:rsid w:val="04F609B1"/>
    <w:rsid w:val="05102254"/>
    <w:rsid w:val="051B0BC9"/>
    <w:rsid w:val="05233EFD"/>
    <w:rsid w:val="05320C94"/>
    <w:rsid w:val="05386AD8"/>
    <w:rsid w:val="05407702"/>
    <w:rsid w:val="055943D7"/>
    <w:rsid w:val="057C7E0F"/>
    <w:rsid w:val="05821D6D"/>
    <w:rsid w:val="05986FCA"/>
    <w:rsid w:val="05B77DDA"/>
    <w:rsid w:val="05D9297D"/>
    <w:rsid w:val="05DD0CA4"/>
    <w:rsid w:val="05F27A4D"/>
    <w:rsid w:val="05FD221B"/>
    <w:rsid w:val="0635436F"/>
    <w:rsid w:val="06445D74"/>
    <w:rsid w:val="06661851"/>
    <w:rsid w:val="0667679E"/>
    <w:rsid w:val="068648B3"/>
    <w:rsid w:val="06916CB8"/>
    <w:rsid w:val="06A81AFB"/>
    <w:rsid w:val="06AC59C3"/>
    <w:rsid w:val="06C21663"/>
    <w:rsid w:val="06DC2725"/>
    <w:rsid w:val="070D0B30"/>
    <w:rsid w:val="072C0D9E"/>
    <w:rsid w:val="07577FFE"/>
    <w:rsid w:val="078919BC"/>
    <w:rsid w:val="07A25F88"/>
    <w:rsid w:val="07AE1DDD"/>
    <w:rsid w:val="07C114E1"/>
    <w:rsid w:val="07CB1CD0"/>
    <w:rsid w:val="07D53466"/>
    <w:rsid w:val="07E601F4"/>
    <w:rsid w:val="081E6453"/>
    <w:rsid w:val="08406CE4"/>
    <w:rsid w:val="08872B64"/>
    <w:rsid w:val="088B2485"/>
    <w:rsid w:val="089C4DD4"/>
    <w:rsid w:val="08AE3149"/>
    <w:rsid w:val="08B43BC2"/>
    <w:rsid w:val="08C7517E"/>
    <w:rsid w:val="08E510A5"/>
    <w:rsid w:val="08ED67CB"/>
    <w:rsid w:val="091031EE"/>
    <w:rsid w:val="091A3DF1"/>
    <w:rsid w:val="093076EB"/>
    <w:rsid w:val="09573962"/>
    <w:rsid w:val="095A6B97"/>
    <w:rsid w:val="095B7DEA"/>
    <w:rsid w:val="098B2B38"/>
    <w:rsid w:val="098C05B9"/>
    <w:rsid w:val="09B37A48"/>
    <w:rsid w:val="09C33BBB"/>
    <w:rsid w:val="09EF6C13"/>
    <w:rsid w:val="09F31EAA"/>
    <w:rsid w:val="09F912A5"/>
    <w:rsid w:val="0A1A50CB"/>
    <w:rsid w:val="0A204958"/>
    <w:rsid w:val="0A237DCF"/>
    <w:rsid w:val="0A2B62D1"/>
    <w:rsid w:val="0A4800D1"/>
    <w:rsid w:val="0A524C06"/>
    <w:rsid w:val="0A7665A4"/>
    <w:rsid w:val="0A945568"/>
    <w:rsid w:val="0ACC697F"/>
    <w:rsid w:val="0AD578B4"/>
    <w:rsid w:val="0B186C34"/>
    <w:rsid w:val="0B6F221F"/>
    <w:rsid w:val="0B7021C9"/>
    <w:rsid w:val="0B707453"/>
    <w:rsid w:val="0B927DB0"/>
    <w:rsid w:val="0B994A86"/>
    <w:rsid w:val="0B9C4882"/>
    <w:rsid w:val="0BA366B3"/>
    <w:rsid w:val="0BBC48D3"/>
    <w:rsid w:val="0BCA4623"/>
    <w:rsid w:val="0BCB401B"/>
    <w:rsid w:val="0BF44343"/>
    <w:rsid w:val="0BF96FC7"/>
    <w:rsid w:val="0BFD677A"/>
    <w:rsid w:val="0C0766DC"/>
    <w:rsid w:val="0C0971A7"/>
    <w:rsid w:val="0C1A784C"/>
    <w:rsid w:val="0C303605"/>
    <w:rsid w:val="0C6672E1"/>
    <w:rsid w:val="0CAB0FE3"/>
    <w:rsid w:val="0CB35CD6"/>
    <w:rsid w:val="0CB729F6"/>
    <w:rsid w:val="0D0B3D64"/>
    <w:rsid w:val="0D152D25"/>
    <w:rsid w:val="0D200769"/>
    <w:rsid w:val="0D2B1F4B"/>
    <w:rsid w:val="0D38468B"/>
    <w:rsid w:val="0D4678BB"/>
    <w:rsid w:val="0D4B53F0"/>
    <w:rsid w:val="0D8B5F0A"/>
    <w:rsid w:val="0DAC63D7"/>
    <w:rsid w:val="0DC325B4"/>
    <w:rsid w:val="0DE10289"/>
    <w:rsid w:val="0DEA5A98"/>
    <w:rsid w:val="0E0D77D4"/>
    <w:rsid w:val="0E0E3492"/>
    <w:rsid w:val="0E550512"/>
    <w:rsid w:val="0E557DFF"/>
    <w:rsid w:val="0E751180"/>
    <w:rsid w:val="0E7B7FC5"/>
    <w:rsid w:val="0EB70036"/>
    <w:rsid w:val="0EB96D0F"/>
    <w:rsid w:val="0EC114B6"/>
    <w:rsid w:val="0ED44126"/>
    <w:rsid w:val="0ED5767A"/>
    <w:rsid w:val="0EE45392"/>
    <w:rsid w:val="0EF67BBB"/>
    <w:rsid w:val="0F026AA1"/>
    <w:rsid w:val="0F2347FF"/>
    <w:rsid w:val="0F267C10"/>
    <w:rsid w:val="0F2804EA"/>
    <w:rsid w:val="0F4B55A7"/>
    <w:rsid w:val="0F525276"/>
    <w:rsid w:val="0F631CBA"/>
    <w:rsid w:val="0F657030"/>
    <w:rsid w:val="0F761399"/>
    <w:rsid w:val="0F933BF6"/>
    <w:rsid w:val="0F98698F"/>
    <w:rsid w:val="0F9A13CF"/>
    <w:rsid w:val="0FA662D9"/>
    <w:rsid w:val="0FAC4347"/>
    <w:rsid w:val="0FB96634"/>
    <w:rsid w:val="0FF02D9D"/>
    <w:rsid w:val="100E39DE"/>
    <w:rsid w:val="10107C9B"/>
    <w:rsid w:val="102C4895"/>
    <w:rsid w:val="103D7805"/>
    <w:rsid w:val="10867DF2"/>
    <w:rsid w:val="10966303"/>
    <w:rsid w:val="109E7101"/>
    <w:rsid w:val="10A47674"/>
    <w:rsid w:val="10C734B1"/>
    <w:rsid w:val="10D71E7F"/>
    <w:rsid w:val="112C6057"/>
    <w:rsid w:val="11365128"/>
    <w:rsid w:val="11504267"/>
    <w:rsid w:val="11666B9B"/>
    <w:rsid w:val="117143B2"/>
    <w:rsid w:val="118B451B"/>
    <w:rsid w:val="118D548D"/>
    <w:rsid w:val="11955682"/>
    <w:rsid w:val="11AF737B"/>
    <w:rsid w:val="11D418AF"/>
    <w:rsid w:val="12094E86"/>
    <w:rsid w:val="12151945"/>
    <w:rsid w:val="12230B33"/>
    <w:rsid w:val="125A3098"/>
    <w:rsid w:val="127952CC"/>
    <w:rsid w:val="12A3281E"/>
    <w:rsid w:val="12AA012C"/>
    <w:rsid w:val="12CF313E"/>
    <w:rsid w:val="12D63440"/>
    <w:rsid w:val="130368D8"/>
    <w:rsid w:val="132058E6"/>
    <w:rsid w:val="132632F9"/>
    <w:rsid w:val="132711CC"/>
    <w:rsid w:val="13456BDD"/>
    <w:rsid w:val="13500F65"/>
    <w:rsid w:val="135A1FF5"/>
    <w:rsid w:val="13822DFE"/>
    <w:rsid w:val="138E1503"/>
    <w:rsid w:val="139B3968"/>
    <w:rsid w:val="13BA5B9C"/>
    <w:rsid w:val="13DA40A1"/>
    <w:rsid w:val="13DE4E92"/>
    <w:rsid w:val="13F66433"/>
    <w:rsid w:val="13F95965"/>
    <w:rsid w:val="13FB17DE"/>
    <w:rsid w:val="13FF401E"/>
    <w:rsid w:val="144B1DEA"/>
    <w:rsid w:val="14650E7F"/>
    <w:rsid w:val="146D1382"/>
    <w:rsid w:val="146E73C1"/>
    <w:rsid w:val="149C7998"/>
    <w:rsid w:val="14BB6424"/>
    <w:rsid w:val="14C75C50"/>
    <w:rsid w:val="14C91523"/>
    <w:rsid w:val="14DA3C44"/>
    <w:rsid w:val="14F1166B"/>
    <w:rsid w:val="150E5CC2"/>
    <w:rsid w:val="151A080B"/>
    <w:rsid w:val="15406463"/>
    <w:rsid w:val="154B5119"/>
    <w:rsid w:val="154C29EF"/>
    <w:rsid w:val="154E1B4E"/>
    <w:rsid w:val="1567793C"/>
    <w:rsid w:val="158A77F0"/>
    <w:rsid w:val="158E0BE6"/>
    <w:rsid w:val="15BF13FD"/>
    <w:rsid w:val="15C21FB9"/>
    <w:rsid w:val="15CF6BB0"/>
    <w:rsid w:val="15D915A4"/>
    <w:rsid w:val="15E62E7C"/>
    <w:rsid w:val="15EB6226"/>
    <w:rsid w:val="16321C77"/>
    <w:rsid w:val="16333219"/>
    <w:rsid w:val="163E4FD8"/>
    <w:rsid w:val="163E7C71"/>
    <w:rsid w:val="163F6D8E"/>
    <w:rsid w:val="16435794"/>
    <w:rsid w:val="16500D37"/>
    <w:rsid w:val="16575DD3"/>
    <w:rsid w:val="165E2053"/>
    <w:rsid w:val="166D72BD"/>
    <w:rsid w:val="16747342"/>
    <w:rsid w:val="16CE70A8"/>
    <w:rsid w:val="16E64EFA"/>
    <w:rsid w:val="16F220B5"/>
    <w:rsid w:val="16F35E59"/>
    <w:rsid w:val="16F77107"/>
    <w:rsid w:val="16FB5676"/>
    <w:rsid w:val="17206600"/>
    <w:rsid w:val="17225ADC"/>
    <w:rsid w:val="17260A3D"/>
    <w:rsid w:val="17461BF4"/>
    <w:rsid w:val="174640DB"/>
    <w:rsid w:val="1789234B"/>
    <w:rsid w:val="17BB5F40"/>
    <w:rsid w:val="17C4601E"/>
    <w:rsid w:val="17E2079B"/>
    <w:rsid w:val="17F04282"/>
    <w:rsid w:val="180C10A8"/>
    <w:rsid w:val="180E750C"/>
    <w:rsid w:val="185A2BA7"/>
    <w:rsid w:val="187D7061"/>
    <w:rsid w:val="18AC50FA"/>
    <w:rsid w:val="18CB7348"/>
    <w:rsid w:val="18D33378"/>
    <w:rsid w:val="18DF1005"/>
    <w:rsid w:val="18E84F59"/>
    <w:rsid w:val="190E58A7"/>
    <w:rsid w:val="190F6E75"/>
    <w:rsid w:val="191D7F9E"/>
    <w:rsid w:val="192963F6"/>
    <w:rsid w:val="195D1ADE"/>
    <w:rsid w:val="196D5A05"/>
    <w:rsid w:val="19773F01"/>
    <w:rsid w:val="19797304"/>
    <w:rsid w:val="198117A8"/>
    <w:rsid w:val="19A1335A"/>
    <w:rsid w:val="19AA6074"/>
    <w:rsid w:val="19C347CF"/>
    <w:rsid w:val="19C71013"/>
    <w:rsid w:val="19D857FC"/>
    <w:rsid w:val="19E11F44"/>
    <w:rsid w:val="19E90A8E"/>
    <w:rsid w:val="19EE6645"/>
    <w:rsid w:val="1A3E79A7"/>
    <w:rsid w:val="1A4C51B2"/>
    <w:rsid w:val="1A4E6DC5"/>
    <w:rsid w:val="1A6564D6"/>
    <w:rsid w:val="1A797632"/>
    <w:rsid w:val="1A7A6085"/>
    <w:rsid w:val="1A7D297D"/>
    <w:rsid w:val="1A8C5DB8"/>
    <w:rsid w:val="1A900724"/>
    <w:rsid w:val="1A934A09"/>
    <w:rsid w:val="1AD50107"/>
    <w:rsid w:val="1AF30EDE"/>
    <w:rsid w:val="1B0342CC"/>
    <w:rsid w:val="1B147937"/>
    <w:rsid w:val="1B2D40E8"/>
    <w:rsid w:val="1B3A39FE"/>
    <w:rsid w:val="1B6C7C62"/>
    <w:rsid w:val="1B7725C5"/>
    <w:rsid w:val="1BA535D6"/>
    <w:rsid w:val="1BC26D50"/>
    <w:rsid w:val="1BDB11A2"/>
    <w:rsid w:val="1BE50366"/>
    <w:rsid w:val="1BF704A8"/>
    <w:rsid w:val="1C0A0066"/>
    <w:rsid w:val="1C194552"/>
    <w:rsid w:val="1C444019"/>
    <w:rsid w:val="1C4941B6"/>
    <w:rsid w:val="1C4C1270"/>
    <w:rsid w:val="1C512E16"/>
    <w:rsid w:val="1C5D0FC7"/>
    <w:rsid w:val="1C9F706D"/>
    <w:rsid w:val="1CBD102D"/>
    <w:rsid w:val="1CBD2262"/>
    <w:rsid w:val="1CCD534E"/>
    <w:rsid w:val="1CD13F56"/>
    <w:rsid w:val="1CE11DED"/>
    <w:rsid w:val="1CED071E"/>
    <w:rsid w:val="1CF06AD2"/>
    <w:rsid w:val="1CFC0FD3"/>
    <w:rsid w:val="1D393463"/>
    <w:rsid w:val="1D6215E1"/>
    <w:rsid w:val="1D6C4284"/>
    <w:rsid w:val="1D6E38A6"/>
    <w:rsid w:val="1D787D18"/>
    <w:rsid w:val="1D7A1E50"/>
    <w:rsid w:val="1D927D41"/>
    <w:rsid w:val="1D980759"/>
    <w:rsid w:val="1D990FDC"/>
    <w:rsid w:val="1D9D1D62"/>
    <w:rsid w:val="1DCB1864"/>
    <w:rsid w:val="1DEA2008"/>
    <w:rsid w:val="1DF009C5"/>
    <w:rsid w:val="1E004446"/>
    <w:rsid w:val="1E1A7B5D"/>
    <w:rsid w:val="1E20313A"/>
    <w:rsid w:val="1E2047F3"/>
    <w:rsid w:val="1E221991"/>
    <w:rsid w:val="1E2B4196"/>
    <w:rsid w:val="1E4824CC"/>
    <w:rsid w:val="1E50544B"/>
    <w:rsid w:val="1E55796B"/>
    <w:rsid w:val="1E8745D1"/>
    <w:rsid w:val="1E9B1504"/>
    <w:rsid w:val="1E9F3B69"/>
    <w:rsid w:val="1EC70525"/>
    <w:rsid w:val="1F046865"/>
    <w:rsid w:val="1F2D555F"/>
    <w:rsid w:val="1F3F0AE3"/>
    <w:rsid w:val="1F4309F8"/>
    <w:rsid w:val="1F481106"/>
    <w:rsid w:val="1F7E26B9"/>
    <w:rsid w:val="1F850839"/>
    <w:rsid w:val="1F8F4381"/>
    <w:rsid w:val="1F9A77C9"/>
    <w:rsid w:val="1FA052FE"/>
    <w:rsid w:val="1FAA2283"/>
    <w:rsid w:val="1FAF461B"/>
    <w:rsid w:val="1FBD4304"/>
    <w:rsid w:val="20103217"/>
    <w:rsid w:val="20161F4D"/>
    <w:rsid w:val="201B6FB0"/>
    <w:rsid w:val="20271083"/>
    <w:rsid w:val="20304E03"/>
    <w:rsid w:val="204748C7"/>
    <w:rsid w:val="2051031F"/>
    <w:rsid w:val="20601E11"/>
    <w:rsid w:val="20612199"/>
    <w:rsid w:val="206A387C"/>
    <w:rsid w:val="20711212"/>
    <w:rsid w:val="20816A63"/>
    <w:rsid w:val="20960DC3"/>
    <w:rsid w:val="20A536C4"/>
    <w:rsid w:val="20D30807"/>
    <w:rsid w:val="20EB41A6"/>
    <w:rsid w:val="20FE5EDA"/>
    <w:rsid w:val="213A0C00"/>
    <w:rsid w:val="216276F2"/>
    <w:rsid w:val="21674F02"/>
    <w:rsid w:val="218B6DCA"/>
    <w:rsid w:val="21902AA8"/>
    <w:rsid w:val="21B93937"/>
    <w:rsid w:val="22133C25"/>
    <w:rsid w:val="22237BE6"/>
    <w:rsid w:val="2235653A"/>
    <w:rsid w:val="22405740"/>
    <w:rsid w:val="225E37E2"/>
    <w:rsid w:val="226A5B67"/>
    <w:rsid w:val="22731412"/>
    <w:rsid w:val="229543C6"/>
    <w:rsid w:val="22981651"/>
    <w:rsid w:val="22996AD6"/>
    <w:rsid w:val="22B460C9"/>
    <w:rsid w:val="22E905DE"/>
    <w:rsid w:val="22F955DF"/>
    <w:rsid w:val="232349C1"/>
    <w:rsid w:val="23343B79"/>
    <w:rsid w:val="234C3A0C"/>
    <w:rsid w:val="235038CA"/>
    <w:rsid w:val="23520C37"/>
    <w:rsid w:val="235A425B"/>
    <w:rsid w:val="23675615"/>
    <w:rsid w:val="23696C97"/>
    <w:rsid w:val="23765E18"/>
    <w:rsid w:val="23863CED"/>
    <w:rsid w:val="238C6E29"/>
    <w:rsid w:val="23A777BF"/>
    <w:rsid w:val="23AB0215"/>
    <w:rsid w:val="23AE0B4E"/>
    <w:rsid w:val="23ED1676"/>
    <w:rsid w:val="23F4563E"/>
    <w:rsid w:val="23F6158E"/>
    <w:rsid w:val="23F74124"/>
    <w:rsid w:val="23FC78DA"/>
    <w:rsid w:val="243D3514"/>
    <w:rsid w:val="246D1A2D"/>
    <w:rsid w:val="24836FD1"/>
    <w:rsid w:val="24AC21C6"/>
    <w:rsid w:val="24D71F01"/>
    <w:rsid w:val="24E91894"/>
    <w:rsid w:val="24F20F0E"/>
    <w:rsid w:val="2505316D"/>
    <w:rsid w:val="252E2EA0"/>
    <w:rsid w:val="25362980"/>
    <w:rsid w:val="25365A81"/>
    <w:rsid w:val="25391118"/>
    <w:rsid w:val="25570DEC"/>
    <w:rsid w:val="25662DAC"/>
    <w:rsid w:val="25B518F8"/>
    <w:rsid w:val="25C4149A"/>
    <w:rsid w:val="25D211A0"/>
    <w:rsid w:val="25F435D2"/>
    <w:rsid w:val="26117E8E"/>
    <w:rsid w:val="261E149E"/>
    <w:rsid w:val="26457DA3"/>
    <w:rsid w:val="26523C4D"/>
    <w:rsid w:val="265C3F8A"/>
    <w:rsid w:val="26710963"/>
    <w:rsid w:val="267D0A75"/>
    <w:rsid w:val="268E37D0"/>
    <w:rsid w:val="26B94D73"/>
    <w:rsid w:val="26C856AB"/>
    <w:rsid w:val="26CB06E8"/>
    <w:rsid w:val="26E03807"/>
    <w:rsid w:val="26E37507"/>
    <w:rsid w:val="26FA5F6D"/>
    <w:rsid w:val="2707319A"/>
    <w:rsid w:val="27184B7A"/>
    <w:rsid w:val="27277595"/>
    <w:rsid w:val="273E06AB"/>
    <w:rsid w:val="27527BF8"/>
    <w:rsid w:val="27534D41"/>
    <w:rsid w:val="277A3B68"/>
    <w:rsid w:val="27814EF7"/>
    <w:rsid w:val="279C0CF3"/>
    <w:rsid w:val="27A479E7"/>
    <w:rsid w:val="27AD3B56"/>
    <w:rsid w:val="27CE0F6F"/>
    <w:rsid w:val="27DF44A9"/>
    <w:rsid w:val="28273093"/>
    <w:rsid w:val="28355F04"/>
    <w:rsid w:val="283E5715"/>
    <w:rsid w:val="285A5748"/>
    <w:rsid w:val="285E12CD"/>
    <w:rsid w:val="28607787"/>
    <w:rsid w:val="286872A1"/>
    <w:rsid w:val="288910BF"/>
    <w:rsid w:val="289A78F2"/>
    <w:rsid w:val="28DC615D"/>
    <w:rsid w:val="28EA6ACC"/>
    <w:rsid w:val="28FB31A8"/>
    <w:rsid w:val="28FF00B1"/>
    <w:rsid w:val="291D4BD0"/>
    <w:rsid w:val="29241261"/>
    <w:rsid w:val="293E6EC0"/>
    <w:rsid w:val="294462F2"/>
    <w:rsid w:val="294F0DD5"/>
    <w:rsid w:val="295B562D"/>
    <w:rsid w:val="29884E59"/>
    <w:rsid w:val="2994629F"/>
    <w:rsid w:val="29A67B8A"/>
    <w:rsid w:val="29AF55AA"/>
    <w:rsid w:val="29B527B3"/>
    <w:rsid w:val="29C7552F"/>
    <w:rsid w:val="29D41A6D"/>
    <w:rsid w:val="29E02EA2"/>
    <w:rsid w:val="29E66E9B"/>
    <w:rsid w:val="29ED1060"/>
    <w:rsid w:val="2A10297A"/>
    <w:rsid w:val="2A226BAF"/>
    <w:rsid w:val="2A29123E"/>
    <w:rsid w:val="2A3200B0"/>
    <w:rsid w:val="2A383867"/>
    <w:rsid w:val="2A9D055E"/>
    <w:rsid w:val="2AA31CAB"/>
    <w:rsid w:val="2AAE58D7"/>
    <w:rsid w:val="2AB005C7"/>
    <w:rsid w:val="2AC3157C"/>
    <w:rsid w:val="2AC44873"/>
    <w:rsid w:val="2AC507FE"/>
    <w:rsid w:val="2B135C79"/>
    <w:rsid w:val="2B1575E3"/>
    <w:rsid w:val="2B197C49"/>
    <w:rsid w:val="2B3D2C78"/>
    <w:rsid w:val="2B3E1934"/>
    <w:rsid w:val="2B9935D7"/>
    <w:rsid w:val="2B9B2B99"/>
    <w:rsid w:val="2BB90842"/>
    <w:rsid w:val="2BE34E53"/>
    <w:rsid w:val="2C1B14CB"/>
    <w:rsid w:val="2C263639"/>
    <w:rsid w:val="2C2830EB"/>
    <w:rsid w:val="2C30560B"/>
    <w:rsid w:val="2C33078A"/>
    <w:rsid w:val="2C494245"/>
    <w:rsid w:val="2C5A1872"/>
    <w:rsid w:val="2C5E4C2F"/>
    <w:rsid w:val="2C6646BB"/>
    <w:rsid w:val="2C8F4AA5"/>
    <w:rsid w:val="2C984F6D"/>
    <w:rsid w:val="2CAB7CDF"/>
    <w:rsid w:val="2CE1542E"/>
    <w:rsid w:val="2CEA3B3F"/>
    <w:rsid w:val="2CF55B22"/>
    <w:rsid w:val="2CF95111"/>
    <w:rsid w:val="2CF9546F"/>
    <w:rsid w:val="2D100209"/>
    <w:rsid w:val="2D170337"/>
    <w:rsid w:val="2D4121B7"/>
    <w:rsid w:val="2D5C2B7A"/>
    <w:rsid w:val="2D817536"/>
    <w:rsid w:val="2D983E7E"/>
    <w:rsid w:val="2D9D235F"/>
    <w:rsid w:val="2DB50C8A"/>
    <w:rsid w:val="2DB7765E"/>
    <w:rsid w:val="2DB80402"/>
    <w:rsid w:val="2DB85492"/>
    <w:rsid w:val="2DD93EC5"/>
    <w:rsid w:val="2E665115"/>
    <w:rsid w:val="2E6D0A16"/>
    <w:rsid w:val="2E71538D"/>
    <w:rsid w:val="2E7248C0"/>
    <w:rsid w:val="2EA0758D"/>
    <w:rsid w:val="2EA71C10"/>
    <w:rsid w:val="2EBA484A"/>
    <w:rsid w:val="2EBD46E5"/>
    <w:rsid w:val="2ECC1AD7"/>
    <w:rsid w:val="2ECD1E00"/>
    <w:rsid w:val="2ED44965"/>
    <w:rsid w:val="2EE5148C"/>
    <w:rsid w:val="2F1919F7"/>
    <w:rsid w:val="2F392AED"/>
    <w:rsid w:val="2F395D80"/>
    <w:rsid w:val="2F5A4E26"/>
    <w:rsid w:val="2F605D0E"/>
    <w:rsid w:val="2F7013AD"/>
    <w:rsid w:val="2F7A7054"/>
    <w:rsid w:val="2F84029D"/>
    <w:rsid w:val="2F8479C3"/>
    <w:rsid w:val="2F932B09"/>
    <w:rsid w:val="2FBD61A2"/>
    <w:rsid w:val="30091E78"/>
    <w:rsid w:val="302208F9"/>
    <w:rsid w:val="305269DE"/>
    <w:rsid w:val="30550AF5"/>
    <w:rsid w:val="305769A1"/>
    <w:rsid w:val="30650A22"/>
    <w:rsid w:val="30721B99"/>
    <w:rsid w:val="30754AA9"/>
    <w:rsid w:val="307A0F29"/>
    <w:rsid w:val="309745F8"/>
    <w:rsid w:val="30C640C8"/>
    <w:rsid w:val="30CB0F91"/>
    <w:rsid w:val="30DA1EAE"/>
    <w:rsid w:val="30DC14B6"/>
    <w:rsid w:val="30E958BB"/>
    <w:rsid w:val="30F922EB"/>
    <w:rsid w:val="310746E0"/>
    <w:rsid w:val="31121581"/>
    <w:rsid w:val="311B6C4B"/>
    <w:rsid w:val="3159659D"/>
    <w:rsid w:val="316A1352"/>
    <w:rsid w:val="316B4522"/>
    <w:rsid w:val="31720979"/>
    <w:rsid w:val="319401D8"/>
    <w:rsid w:val="31A70DF7"/>
    <w:rsid w:val="31B92B8B"/>
    <w:rsid w:val="31BF50A0"/>
    <w:rsid w:val="31DD7BAF"/>
    <w:rsid w:val="31FE0694"/>
    <w:rsid w:val="322D4902"/>
    <w:rsid w:val="32344983"/>
    <w:rsid w:val="323E4F73"/>
    <w:rsid w:val="325730C6"/>
    <w:rsid w:val="325A6A70"/>
    <w:rsid w:val="325E63C7"/>
    <w:rsid w:val="326E4429"/>
    <w:rsid w:val="327539B4"/>
    <w:rsid w:val="32764F2C"/>
    <w:rsid w:val="32770553"/>
    <w:rsid w:val="327C0AE2"/>
    <w:rsid w:val="32802058"/>
    <w:rsid w:val="32805DAB"/>
    <w:rsid w:val="32985042"/>
    <w:rsid w:val="32C2260C"/>
    <w:rsid w:val="32DA370D"/>
    <w:rsid w:val="32E02BD5"/>
    <w:rsid w:val="32E43999"/>
    <w:rsid w:val="32EB4A9A"/>
    <w:rsid w:val="32EB6F6B"/>
    <w:rsid w:val="32FD3F4C"/>
    <w:rsid w:val="331A7BE5"/>
    <w:rsid w:val="33525999"/>
    <w:rsid w:val="33560102"/>
    <w:rsid w:val="33590AD6"/>
    <w:rsid w:val="3361228C"/>
    <w:rsid w:val="33784CD4"/>
    <w:rsid w:val="33861554"/>
    <w:rsid w:val="33922CA9"/>
    <w:rsid w:val="33AB49D7"/>
    <w:rsid w:val="33BD0A78"/>
    <w:rsid w:val="33C223B3"/>
    <w:rsid w:val="33E84E63"/>
    <w:rsid w:val="341B6844"/>
    <w:rsid w:val="342A5D91"/>
    <w:rsid w:val="34400842"/>
    <w:rsid w:val="34671F2E"/>
    <w:rsid w:val="34684E59"/>
    <w:rsid w:val="346C5601"/>
    <w:rsid w:val="3479238D"/>
    <w:rsid w:val="34972F12"/>
    <w:rsid w:val="349B7EB8"/>
    <w:rsid w:val="34AE2CF2"/>
    <w:rsid w:val="34AE6BFF"/>
    <w:rsid w:val="35006703"/>
    <w:rsid w:val="351A2AF9"/>
    <w:rsid w:val="3532573B"/>
    <w:rsid w:val="35505F08"/>
    <w:rsid w:val="355D23D3"/>
    <w:rsid w:val="35625732"/>
    <w:rsid w:val="356419B4"/>
    <w:rsid w:val="357015B0"/>
    <w:rsid w:val="358A3F0B"/>
    <w:rsid w:val="358F2AEF"/>
    <w:rsid w:val="359E1A84"/>
    <w:rsid w:val="35BF3D8A"/>
    <w:rsid w:val="35C06F27"/>
    <w:rsid w:val="35C4779A"/>
    <w:rsid w:val="35C73812"/>
    <w:rsid w:val="35E36164"/>
    <w:rsid w:val="35ED20DC"/>
    <w:rsid w:val="36192BB7"/>
    <w:rsid w:val="362E54AE"/>
    <w:rsid w:val="363D46DF"/>
    <w:rsid w:val="36486BE0"/>
    <w:rsid w:val="36595BB5"/>
    <w:rsid w:val="366C2FAD"/>
    <w:rsid w:val="368F788A"/>
    <w:rsid w:val="3691408D"/>
    <w:rsid w:val="3699743B"/>
    <w:rsid w:val="36B04FAF"/>
    <w:rsid w:val="36F700C6"/>
    <w:rsid w:val="3706567A"/>
    <w:rsid w:val="37184804"/>
    <w:rsid w:val="372E2279"/>
    <w:rsid w:val="3750027A"/>
    <w:rsid w:val="37502A77"/>
    <w:rsid w:val="3772191D"/>
    <w:rsid w:val="377D6A97"/>
    <w:rsid w:val="3790083E"/>
    <w:rsid w:val="37973E5A"/>
    <w:rsid w:val="37B33878"/>
    <w:rsid w:val="37B713CA"/>
    <w:rsid w:val="37CC6816"/>
    <w:rsid w:val="37D02C9E"/>
    <w:rsid w:val="37EC7E77"/>
    <w:rsid w:val="37F658C6"/>
    <w:rsid w:val="37FE1758"/>
    <w:rsid w:val="38141C21"/>
    <w:rsid w:val="38423425"/>
    <w:rsid w:val="386649DE"/>
    <w:rsid w:val="386D2F89"/>
    <w:rsid w:val="386D66C1"/>
    <w:rsid w:val="38736A58"/>
    <w:rsid w:val="387B0772"/>
    <w:rsid w:val="388B1407"/>
    <w:rsid w:val="38944A7C"/>
    <w:rsid w:val="38C31050"/>
    <w:rsid w:val="38C522B1"/>
    <w:rsid w:val="38E1635E"/>
    <w:rsid w:val="38F57270"/>
    <w:rsid w:val="38F90ABB"/>
    <w:rsid w:val="390B1F4B"/>
    <w:rsid w:val="391F631E"/>
    <w:rsid w:val="39276F80"/>
    <w:rsid w:val="39463B04"/>
    <w:rsid w:val="397B586C"/>
    <w:rsid w:val="397B655D"/>
    <w:rsid w:val="398F43B5"/>
    <w:rsid w:val="39C41D52"/>
    <w:rsid w:val="39D26F6B"/>
    <w:rsid w:val="39DE5BA2"/>
    <w:rsid w:val="39E00378"/>
    <w:rsid w:val="39E23435"/>
    <w:rsid w:val="39E55080"/>
    <w:rsid w:val="3A04610E"/>
    <w:rsid w:val="3A06128C"/>
    <w:rsid w:val="3A0737BA"/>
    <w:rsid w:val="3A1A0B34"/>
    <w:rsid w:val="3A35391F"/>
    <w:rsid w:val="3AAF14FA"/>
    <w:rsid w:val="3AB32002"/>
    <w:rsid w:val="3ABD7192"/>
    <w:rsid w:val="3AE1152B"/>
    <w:rsid w:val="3AF958C0"/>
    <w:rsid w:val="3B3543E1"/>
    <w:rsid w:val="3B420484"/>
    <w:rsid w:val="3B425C85"/>
    <w:rsid w:val="3B762441"/>
    <w:rsid w:val="3B88401D"/>
    <w:rsid w:val="3B8A40BE"/>
    <w:rsid w:val="3BA70A2F"/>
    <w:rsid w:val="3BCD4482"/>
    <w:rsid w:val="3BEB75DB"/>
    <w:rsid w:val="3C0E1A2B"/>
    <w:rsid w:val="3C215F09"/>
    <w:rsid w:val="3C2C4D5E"/>
    <w:rsid w:val="3C3F57E3"/>
    <w:rsid w:val="3C44609B"/>
    <w:rsid w:val="3C460498"/>
    <w:rsid w:val="3C4A7A12"/>
    <w:rsid w:val="3C520E93"/>
    <w:rsid w:val="3C6F28A4"/>
    <w:rsid w:val="3C7B6A2F"/>
    <w:rsid w:val="3C7B6ECA"/>
    <w:rsid w:val="3C8E6CE2"/>
    <w:rsid w:val="3C8F7316"/>
    <w:rsid w:val="3C922D81"/>
    <w:rsid w:val="3C966C3F"/>
    <w:rsid w:val="3CC03FA6"/>
    <w:rsid w:val="3CCD7F97"/>
    <w:rsid w:val="3CDE7F5A"/>
    <w:rsid w:val="3CE27B73"/>
    <w:rsid w:val="3CFD12F6"/>
    <w:rsid w:val="3D177B23"/>
    <w:rsid w:val="3D2C3485"/>
    <w:rsid w:val="3D552CD9"/>
    <w:rsid w:val="3D5A3DC8"/>
    <w:rsid w:val="3D8A3ABE"/>
    <w:rsid w:val="3D8E5820"/>
    <w:rsid w:val="3DAB38D2"/>
    <w:rsid w:val="3DB41C50"/>
    <w:rsid w:val="3DBB4664"/>
    <w:rsid w:val="3DC70D32"/>
    <w:rsid w:val="3DDC027E"/>
    <w:rsid w:val="3DDF607B"/>
    <w:rsid w:val="3E03340C"/>
    <w:rsid w:val="3E1F291C"/>
    <w:rsid w:val="3E24017F"/>
    <w:rsid w:val="3E374C21"/>
    <w:rsid w:val="3E601236"/>
    <w:rsid w:val="3E615DE4"/>
    <w:rsid w:val="3E7C0A65"/>
    <w:rsid w:val="3E98174B"/>
    <w:rsid w:val="3EB36B9C"/>
    <w:rsid w:val="3EE70D49"/>
    <w:rsid w:val="3EEF0540"/>
    <w:rsid w:val="3EFC0E22"/>
    <w:rsid w:val="3F023D64"/>
    <w:rsid w:val="3F1558C2"/>
    <w:rsid w:val="3F1608EE"/>
    <w:rsid w:val="3F2D383B"/>
    <w:rsid w:val="3F3441A5"/>
    <w:rsid w:val="3F8F587D"/>
    <w:rsid w:val="3FFD4EDF"/>
    <w:rsid w:val="402121C3"/>
    <w:rsid w:val="405A1FA0"/>
    <w:rsid w:val="406B3BF6"/>
    <w:rsid w:val="409C46F8"/>
    <w:rsid w:val="40DE261A"/>
    <w:rsid w:val="40E13EB9"/>
    <w:rsid w:val="4106153C"/>
    <w:rsid w:val="41084A3F"/>
    <w:rsid w:val="4122012B"/>
    <w:rsid w:val="41236C0B"/>
    <w:rsid w:val="412D3023"/>
    <w:rsid w:val="413C37E5"/>
    <w:rsid w:val="416D38F5"/>
    <w:rsid w:val="4176231E"/>
    <w:rsid w:val="41B82C9E"/>
    <w:rsid w:val="41C419C4"/>
    <w:rsid w:val="41D07BEC"/>
    <w:rsid w:val="41D66ADA"/>
    <w:rsid w:val="41F971E7"/>
    <w:rsid w:val="421F7A8A"/>
    <w:rsid w:val="426119A9"/>
    <w:rsid w:val="42641B71"/>
    <w:rsid w:val="426A7782"/>
    <w:rsid w:val="428D71CF"/>
    <w:rsid w:val="42946983"/>
    <w:rsid w:val="42BD1F2C"/>
    <w:rsid w:val="42C4601A"/>
    <w:rsid w:val="42C8119D"/>
    <w:rsid w:val="42CB381B"/>
    <w:rsid w:val="42EB54C2"/>
    <w:rsid w:val="42F56341"/>
    <w:rsid w:val="42F8375D"/>
    <w:rsid w:val="431D7F78"/>
    <w:rsid w:val="433E1868"/>
    <w:rsid w:val="434C41B3"/>
    <w:rsid w:val="4354430D"/>
    <w:rsid w:val="43790D20"/>
    <w:rsid w:val="438870AF"/>
    <w:rsid w:val="438F6F2B"/>
    <w:rsid w:val="43BD4724"/>
    <w:rsid w:val="43CB61C7"/>
    <w:rsid w:val="43D45F57"/>
    <w:rsid w:val="43E059E8"/>
    <w:rsid w:val="43F7309A"/>
    <w:rsid w:val="44071E88"/>
    <w:rsid w:val="44127C9E"/>
    <w:rsid w:val="442C2699"/>
    <w:rsid w:val="443D2315"/>
    <w:rsid w:val="44981759"/>
    <w:rsid w:val="44A9510B"/>
    <w:rsid w:val="44AA112D"/>
    <w:rsid w:val="44AB4E19"/>
    <w:rsid w:val="44B27A92"/>
    <w:rsid w:val="44B41377"/>
    <w:rsid w:val="44B444D3"/>
    <w:rsid w:val="44B92F23"/>
    <w:rsid w:val="44BC1BA8"/>
    <w:rsid w:val="44BC3610"/>
    <w:rsid w:val="44C83D0E"/>
    <w:rsid w:val="44E970E5"/>
    <w:rsid w:val="45102204"/>
    <w:rsid w:val="45363A3A"/>
    <w:rsid w:val="45BF3667"/>
    <w:rsid w:val="45D360CF"/>
    <w:rsid w:val="45DE004E"/>
    <w:rsid w:val="45F60B3A"/>
    <w:rsid w:val="46224483"/>
    <w:rsid w:val="46251EA4"/>
    <w:rsid w:val="466148B0"/>
    <w:rsid w:val="4672311A"/>
    <w:rsid w:val="469211D3"/>
    <w:rsid w:val="46B31821"/>
    <w:rsid w:val="46B45763"/>
    <w:rsid w:val="46FD7F43"/>
    <w:rsid w:val="47106C72"/>
    <w:rsid w:val="472E3D89"/>
    <w:rsid w:val="47322C84"/>
    <w:rsid w:val="473A6EC1"/>
    <w:rsid w:val="47501A36"/>
    <w:rsid w:val="4755115C"/>
    <w:rsid w:val="476822F1"/>
    <w:rsid w:val="479A1A05"/>
    <w:rsid w:val="479A3013"/>
    <w:rsid w:val="47AF5C6C"/>
    <w:rsid w:val="47CE37D0"/>
    <w:rsid w:val="47CF6F05"/>
    <w:rsid w:val="47D74267"/>
    <w:rsid w:val="47E37262"/>
    <w:rsid w:val="47E524E0"/>
    <w:rsid w:val="47E8329F"/>
    <w:rsid w:val="47ED018A"/>
    <w:rsid w:val="47ED3A0E"/>
    <w:rsid w:val="480967B9"/>
    <w:rsid w:val="480E42D2"/>
    <w:rsid w:val="48161405"/>
    <w:rsid w:val="4816723A"/>
    <w:rsid w:val="48234A4F"/>
    <w:rsid w:val="48475276"/>
    <w:rsid w:val="486C2C02"/>
    <w:rsid w:val="48894FF4"/>
    <w:rsid w:val="48B015EF"/>
    <w:rsid w:val="48CE7418"/>
    <w:rsid w:val="48F35A68"/>
    <w:rsid w:val="49251C7A"/>
    <w:rsid w:val="4930182A"/>
    <w:rsid w:val="493046D9"/>
    <w:rsid w:val="49304D27"/>
    <w:rsid w:val="495302FE"/>
    <w:rsid w:val="4968161B"/>
    <w:rsid w:val="499B188A"/>
    <w:rsid w:val="49A068D7"/>
    <w:rsid w:val="49EC47D8"/>
    <w:rsid w:val="49EC7066"/>
    <w:rsid w:val="49FA7EC0"/>
    <w:rsid w:val="4A047551"/>
    <w:rsid w:val="4A0B150D"/>
    <w:rsid w:val="4A323A1C"/>
    <w:rsid w:val="4A390080"/>
    <w:rsid w:val="4A3C23B4"/>
    <w:rsid w:val="4A4618F0"/>
    <w:rsid w:val="4A5A1B93"/>
    <w:rsid w:val="4ADD3943"/>
    <w:rsid w:val="4AE02AE7"/>
    <w:rsid w:val="4AE57050"/>
    <w:rsid w:val="4AEF1162"/>
    <w:rsid w:val="4AF64A04"/>
    <w:rsid w:val="4AFB588F"/>
    <w:rsid w:val="4B215F23"/>
    <w:rsid w:val="4B25001A"/>
    <w:rsid w:val="4B2D2BE6"/>
    <w:rsid w:val="4B2D5EA8"/>
    <w:rsid w:val="4B7D48FD"/>
    <w:rsid w:val="4B8B4F59"/>
    <w:rsid w:val="4B8D0681"/>
    <w:rsid w:val="4BCA0873"/>
    <w:rsid w:val="4BCD1AC9"/>
    <w:rsid w:val="4BCD35DC"/>
    <w:rsid w:val="4BDF0E05"/>
    <w:rsid w:val="4BEA1393"/>
    <w:rsid w:val="4C1A3999"/>
    <w:rsid w:val="4C2B4DB0"/>
    <w:rsid w:val="4C2E2149"/>
    <w:rsid w:val="4C6E29BB"/>
    <w:rsid w:val="4C7161F0"/>
    <w:rsid w:val="4C9743B6"/>
    <w:rsid w:val="4CC80132"/>
    <w:rsid w:val="4CD8706F"/>
    <w:rsid w:val="4CD94AD2"/>
    <w:rsid w:val="4CDC19B8"/>
    <w:rsid w:val="4CE3251B"/>
    <w:rsid w:val="4CE444B6"/>
    <w:rsid w:val="4CFA395C"/>
    <w:rsid w:val="4D18035C"/>
    <w:rsid w:val="4D4600D8"/>
    <w:rsid w:val="4D4A758E"/>
    <w:rsid w:val="4D50479E"/>
    <w:rsid w:val="4D551DB4"/>
    <w:rsid w:val="4D5C470F"/>
    <w:rsid w:val="4D74270C"/>
    <w:rsid w:val="4DA222EA"/>
    <w:rsid w:val="4DAB1AD6"/>
    <w:rsid w:val="4DDC4DF6"/>
    <w:rsid w:val="4DEE498F"/>
    <w:rsid w:val="4E0F6950"/>
    <w:rsid w:val="4E461191"/>
    <w:rsid w:val="4E705DCA"/>
    <w:rsid w:val="4E727B56"/>
    <w:rsid w:val="4EB30C3A"/>
    <w:rsid w:val="4ED67027"/>
    <w:rsid w:val="4EE769A4"/>
    <w:rsid w:val="4F013AB2"/>
    <w:rsid w:val="4F1A0F75"/>
    <w:rsid w:val="4F4C3399"/>
    <w:rsid w:val="4F505AAF"/>
    <w:rsid w:val="4F566000"/>
    <w:rsid w:val="4F5F6F20"/>
    <w:rsid w:val="4F6D560D"/>
    <w:rsid w:val="4F7B62BA"/>
    <w:rsid w:val="4F7F2792"/>
    <w:rsid w:val="4FB053B6"/>
    <w:rsid w:val="4FB07F85"/>
    <w:rsid w:val="4FD02EC1"/>
    <w:rsid w:val="4FD64808"/>
    <w:rsid w:val="4FDC6307"/>
    <w:rsid w:val="4FE32F95"/>
    <w:rsid w:val="4FE338DA"/>
    <w:rsid w:val="4FE97B59"/>
    <w:rsid w:val="4FF00C36"/>
    <w:rsid w:val="4FF65ECF"/>
    <w:rsid w:val="5001721D"/>
    <w:rsid w:val="501C0A75"/>
    <w:rsid w:val="5084192B"/>
    <w:rsid w:val="50914C61"/>
    <w:rsid w:val="50A6730D"/>
    <w:rsid w:val="50C66923"/>
    <w:rsid w:val="50DA6E4B"/>
    <w:rsid w:val="50E479E0"/>
    <w:rsid w:val="50EF34FD"/>
    <w:rsid w:val="5100038B"/>
    <w:rsid w:val="51140057"/>
    <w:rsid w:val="51225778"/>
    <w:rsid w:val="51273B6A"/>
    <w:rsid w:val="512C6A81"/>
    <w:rsid w:val="5153730C"/>
    <w:rsid w:val="518976D2"/>
    <w:rsid w:val="51976CD3"/>
    <w:rsid w:val="519B6066"/>
    <w:rsid w:val="51B15B29"/>
    <w:rsid w:val="51C476DD"/>
    <w:rsid w:val="51E20537"/>
    <w:rsid w:val="51E64DE7"/>
    <w:rsid w:val="51F61456"/>
    <w:rsid w:val="51F97FE7"/>
    <w:rsid w:val="521F23B3"/>
    <w:rsid w:val="522E39CA"/>
    <w:rsid w:val="523C3645"/>
    <w:rsid w:val="5266383D"/>
    <w:rsid w:val="52825DB2"/>
    <w:rsid w:val="52952D55"/>
    <w:rsid w:val="529C40E3"/>
    <w:rsid w:val="52AF2B57"/>
    <w:rsid w:val="52C13312"/>
    <w:rsid w:val="52E22421"/>
    <w:rsid w:val="52EC1416"/>
    <w:rsid w:val="52F410A8"/>
    <w:rsid w:val="531351F7"/>
    <w:rsid w:val="532E1FE6"/>
    <w:rsid w:val="533D688F"/>
    <w:rsid w:val="537C2E7E"/>
    <w:rsid w:val="5381551F"/>
    <w:rsid w:val="53913A44"/>
    <w:rsid w:val="5395134A"/>
    <w:rsid w:val="53B84F4D"/>
    <w:rsid w:val="53C3157B"/>
    <w:rsid w:val="53C909CA"/>
    <w:rsid w:val="53E556EE"/>
    <w:rsid w:val="53F10DC5"/>
    <w:rsid w:val="53FF440B"/>
    <w:rsid w:val="54085ED4"/>
    <w:rsid w:val="543478D1"/>
    <w:rsid w:val="545309D2"/>
    <w:rsid w:val="54612146"/>
    <w:rsid w:val="547846DC"/>
    <w:rsid w:val="548D0188"/>
    <w:rsid w:val="549A4653"/>
    <w:rsid w:val="549C6689"/>
    <w:rsid w:val="549F7F1C"/>
    <w:rsid w:val="54AE49FC"/>
    <w:rsid w:val="54B60B9E"/>
    <w:rsid w:val="54B85A54"/>
    <w:rsid w:val="54BC5B15"/>
    <w:rsid w:val="54CC295A"/>
    <w:rsid w:val="54CE4B89"/>
    <w:rsid w:val="54CF66EA"/>
    <w:rsid w:val="54EC6A5F"/>
    <w:rsid w:val="54F75836"/>
    <w:rsid w:val="550C799B"/>
    <w:rsid w:val="55287EB0"/>
    <w:rsid w:val="55434677"/>
    <w:rsid w:val="55656E66"/>
    <w:rsid w:val="5577167F"/>
    <w:rsid w:val="55D3031E"/>
    <w:rsid w:val="55E94461"/>
    <w:rsid w:val="55F52F47"/>
    <w:rsid w:val="55F57BAE"/>
    <w:rsid w:val="560C5489"/>
    <w:rsid w:val="560D1867"/>
    <w:rsid w:val="56324B78"/>
    <w:rsid w:val="563A7E9B"/>
    <w:rsid w:val="564B654C"/>
    <w:rsid w:val="566B09FA"/>
    <w:rsid w:val="56885586"/>
    <w:rsid w:val="5697709C"/>
    <w:rsid w:val="569A2B36"/>
    <w:rsid w:val="56AF0889"/>
    <w:rsid w:val="56B126DD"/>
    <w:rsid w:val="56DA628A"/>
    <w:rsid w:val="56EB3E63"/>
    <w:rsid w:val="56EE2D2C"/>
    <w:rsid w:val="56EF4625"/>
    <w:rsid w:val="56F269C8"/>
    <w:rsid w:val="5700678B"/>
    <w:rsid w:val="57213C87"/>
    <w:rsid w:val="57545F54"/>
    <w:rsid w:val="57A624DB"/>
    <w:rsid w:val="57AE4348"/>
    <w:rsid w:val="57D1482F"/>
    <w:rsid w:val="57D24D23"/>
    <w:rsid w:val="57E175D7"/>
    <w:rsid w:val="57EE4CC3"/>
    <w:rsid w:val="57EF38A0"/>
    <w:rsid w:val="58064CF4"/>
    <w:rsid w:val="58113055"/>
    <w:rsid w:val="581705EF"/>
    <w:rsid w:val="5822405A"/>
    <w:rsid w:val="58350137"/>
    <w:rsid w:val="58501BF8"/>
    <w:rsid w:val="587727F2"/>
    <w:rsid w:val="58DA3BB7"/>
    <w:rsid w:val="58E66830"/>
    <w:rsid w:val="58E92BFB"/>
    <w:rsid w:val="59034EBC"/>
    <w:rsid w:val="593A3D77"/>
    <w:rsid w:val="59643735"/>
    <w:rsid w:val="597204CD"/>
    <w:rsid w:val="597C66D3"/>
    <w:rsid w:val="59972C8B"/>
    <w:rsid w:val="59BD09F0"/>
    <w:rsid w:val="59D03107"/>
    <w:rsid w:val="59D223DF"/>
    <w:rsid w:val="59D81CCC"/>
    <w:rsid w:val="5A0341DB"/>
    <w:rsid w:val="5A1C750B"/>
    <w:rsid w:val="5A3046DB"/>
    <w:rsid w:val="5A3A6A30"/>
    <w:rsid w:val="5A3E3CD2"/>
    <w:rsid w:val="5A51171B"/>
    <w:rsid w:val="5A535100"/>
    <w:rsid w:val="5A5C2CF4"/>
    <w:rsid w:val="5A6B69C0"/>
    <w:rsid w:val="5A6C0AF7"/>
    <w:rsid w:val="5A7B6CD4"/>
    <w:rsid w:val="5A8C70A5"/>
    <w:rsid w:val="5A8E2815"/>
    <w:rsid w:val="5A991F56"/>
    <w:rsid w:val="5A9A014C"/>
    <w:rsid w:val="5AAD3975"/>
    <w:rsid w:val="5AB54ED1"/>
    <w:rsid w:val="5AC87DD5"/>
    <w:rsid w:val="5AEA1BB4"/>
    <w:rsid w:val="5AF522F2"/>
    <w:rsid w:val="5AFF25E0"/>
    <w:rsid w:val="5B13570C"/>
    <w:rsid w:val="5B1C2265"/>
    <w:rsid w:val="5B6463C7"/>
    <w:rsid w:val="5B6B6D49"/>
    <w:rsid w:val="5B7106FF"/>
    <w:rsid w:val="5BAD5674"/>
    <w:rsid w:val="5BBE331C"/>
    <w:rsid w:val="5BC64D2B"/>
    <w:rsid w:val="5C1218E5"/>
    <w:rsid w:val="5C301E06"/>
    <w:rsid w:val="5C313AEE"/>
    <w:rsid w:val="5C554C52"/>
    <w:rsid w:val="5C63523E"/>
    <w:rsid w:val="5CB4315F"/>
    <w:rsid w:val="5CCD4D38"/>
    <w:rsid w:val="5D015447"/>
    <w:rsid w:val="5D032927"/>
    <w:rsid w:val="5D094A6B"/>
    <w:rsid w:val="5D155E03"/>
    <w:rsid w:val="5D2A7845"/>
    <w:rsid w:val="5D980C1C"/>
    <w:rsid w:val="5D9B3795"/>
    <w:rsid w:val="5D9C34B8"/>
    <w:rsid w:val="5DCF0D76"/>
    <w:rsid w:val="5E18345C"/>
    <w:rsid w:val="5E232E56"/>
    <w:rsid w:val="5E317890"/>
    <w:rsid w:val="5E336B8B"/>
    <w:rsid w:val="5E472631"/>
    <w:rsid w:val="5E7C4328"/>
    <w:rsid w:val="5E8343A9"/>
    <w:rsid w:val="5EA80A59"/>
    <w:rsid w:val="5EA960E8"/>
    <w:rsid w:val="5EC65392"/>
    <w:rsid w:val="5EDA046D"/>
    <w:rsid w:val="5EFB7BC5"/>
    <w:rsid w:val="5EFC04E3"/>
    <w:rsid w:val="5F0B7029"/>
    <w:rsid w:val="5F2402B1"/>
    <w:rsid w:val="5F610C29"/>
    <w:rsid w:val="5F743F2F"/>
    <w:rsid w:val="5FAD4A84"/>
    <w:rsid w:val="5FC46748"/>
    <w:rsid w:val="5FC84D97"/>
    <w:rsid w:val="5FE00931"/>
    <w:rsid w:val="5FE01AB3"/>
    <w:rsid w:val="5FE7460D"/>
    <w:rsid w:val="5FE97DAA"/>
    <w:rsid w:val="5FEB66AA"/>
    <w:rsid w:val="5FF217E7"/>
    <w:rsid w:val="60350F28"/>
    <w:rsid w:val="604A3672"/>
    <w:rsid w:val="604F3361"/>
    <w:rsid w:val="60565291"/>
    <w:rsid w:val="60850903"/>
    <w:rsid w:val="60A8479B"/>
    <w:rsid w:val="60AF3D9F"/>
    <w:rsid w:val="60D809DC"/>
    <w:rsid w:val="60DE56BB"/>
    <w:rsid w:val="60E6759D"/>
    <w:rsid w:val="60F22BA1"/>
    <w:rsid w:val="60FB7DAB"/>
    <w:rsid w:val="61055308"/>
    <w:rsid w:val="610B6170"/>
    <w:rsid w:val="61391FB4"/>
    <w:rsid w:val="61433C21"/>
    <w:rsid w:val="614A40EA"/>
    <w:rsid w:val="61555581"/>
    <w:rsid w:val="616768DD"/>
    <w:rsid w:val="616E53A2"/>
    <w:rsid w:val="61880654"/>
    <w:rsid w:val="61A624C4"/>
    <w:rsid w:val="61B34EBD"/>
    <w:rsid w:val="61DD4800"/>
    <w:rsid w:val="621028EA"/>
    <w:rsid w:val="623C6109"/>
    <w:rsid w:val="624B464C"/>
    <w:rsid w:val="62610F56"/>
    <w:rsid w:val="62BC7D02"/>
    <w:rsid w:val="62C32E18"/>
    <w:rsid w:val="62F81FED"/>
    <w:rsid w:val="6301344D"/>
    <w:rsid w:val="6312641A"/>
    <w:rsid w:val="63362299"/>
    <w:rsid w:val="633D5970"/>
    <w:rsid w:val="63512CC8"/>
    <w:rsid w:val="63513002"/>
    <w:rsid w:val="63597E8D"/>
    <w:rsid w:val="637320F2"/>
    <w:rsid w:val="637606BD"/>
    <w:rsid w:val="638210D3"/>
    <w:rsid w:val="63822E81"/>
    <w:rsid w:val="63860E8D"/>
    <w:rsid w:val="63924AD6"/>
    <w:rsid w:val="63AA6E92"/>
    <w:rsid w:val="63B2651C"/>
    <w:rsid w:val="63D92960"/>
    <w:rsid w:val="63DA4095"/>
    <w:rsid w:val="6417108D"/>
    <w:rsid w:val="641B5E1B"/>
    <w:rsid w:val="641E2A44"/>
    <w:rsid w:val="645E38EF"/>
    <w:rsid w:val="6463123F"/>
    <w:rsid w:val="646D3AF9"/>
    <w:rsid w:val="64831EB6"/>
    <w:rsid w:val="64B75D94"/>
    <w:rsid w:val="64C024DC"/>
    <w:rsid w:val="64C85A75"/>
    <w:rsid w:val="64D176CB"/>
    <w:rsid w:val="64D95F27"/>
    <w:rsid w:val="64FE7903"/>
    <w:rsid w:val="651129BB"/>
    <w:rsid w:val="65222B6E"/>
    <w:rsid w:val="653943C2"/>
    <w:rsid w:val="656815B9"/>
    <w:rsid w:val="65794512"/>
    <w:rsid w:val="65952CA6"/>
    <w:rsid w:val="65C23A09"/>
    <w:rsid w:val="65DD748A"/>
    <w:rsid w:val="65E068A7"/>
    <w:rsid w:val="662118C9"/>
    <w:rsid w:val="662D765C"/>
    <w:rsid w:val="664A6540"/>
    <w:rsid w:val="665761F7"/>
    <w:rsid w:val="667C6015"/>
    <w:rsid w:val="66B75918"/>
    <w:rsid w:val="66CE3F70"/>
    <w:rsid w:val="66F548E4"/>
    <w:rsid w:val="67065A02"/>
    <w:rsid w:val="670D0CB5"/>
    <w:rsid w:val="673A3676"/>
    <w:rsid w:val="67406157"/>
    <w:rsid w:val="674C6704"/>
    <w:rsid w:val="67560396"/>
    <w:rsid w:val="675A50FC"/>
    <w:rsid w:val="67650AF0"/>
    <w:rsid w:val="67807583"/>
    <w:rsid w:val="678C2D71"/>
    <w:rsid w:val="6798119F"/>
    <w:rsid w:val="67B00FA4"/>
    <w:rsid w:val="68190258"/>
    <w:rsid w:val="681C6DDC"/>
    <w:rsid w:val="682265E2"/>
    <w:rsid w:val="683E4D93"/>
    <w:rsid w:val="68437E5B"/>
    <w:rsid w:val="68486DD8"/>
    <w:rsid w:val="68685845"/>
    <w:rsid w:val="687023AD"/>
    <w:rsid w:val="68813E00"/>
    <w:rsid w:val="68AA5354"/>
    <w:rsid w:val="68AB6CFB"/>
    <w:rsid w:val="68C74FE5"/>
    <w:rsid w:val="68D47AF5"/>
    <w:rsid w:val="691704B0"/>
    <w:rsid w:val="691B0000"/>
    <w:rsid w:val="691C4781"/>
    <w:rsid w:val="69205385"/>
    <w:rsid w:val="692F7608"/>
    <w:rsid w:val="693C4541"/>
    <w:rsid w:val="694A2840"/>
    <w:rsid w:val="696B7AE0"/>
    <w:rsid w:val="69842EAC"/>
    <w:rsid w:val="698D62EB"/>
    <w:rsid w:val="69BA223C"/>
    <w:rsid w:val="6A0119C3"/>
    <w:rsid w:val="6A0B3C31"/>
    <w:rsid w:val="6A2F5D91"/>
    <w:rsid w:val="6A3020ED"/>
    <w:rsid w:val="6A36358B"/>
    <w:rsid w:val="6A7C0301"/>
    <w:rsid w:val="6AC517EB"/>
    <w:rsid w:val="6AC935C4"/>
    <w:rsid w:val="6AE130E3"/>
    <w:rsid w:val="6AF2121F"/>
    <w:rsid w:val="6B584291"/>
    <w:rsid w:val="6B63611A"/>
    <w:rsid w:val="6B894E15"/>
    <w:rsid w:val="6B92518A"/>
    <w:rsid w:val="6BA916AA"/>
    <w:rsid w:val="6BB855A0"/>
    <w:rsid w:val="6BE2040C"/>
    <w:rsid w:val="6BE96E14"/>
    <w:rsid w:val="6C104DCF"/>
    <w:rsid w:val="6C1B596B"/>
    <w:rsid w:val="6C2F77DB"/>
    <w:rsid w:val="6C303DC2"/>
    <w:rsid w:val="6C643878"/>
    <w:rsid w:val="6C757D03"/>
    <w:rsid w:val="6C7D608C"/>
    <w:rsid w:val="6CA50599"/>
    <w:rsid w:val="6CB82BA5"/>
    <w:rsid w:val="6CC85CB8"/>
    <w:rsid w:val="6CD56718"/>
    <w:rsid w:val="6CF43042"/>
    <w:rsid w:val="6D060AF2"/>
    <w:rsid w:val="6D23209D"/>
    <w:rsid w:val="6D3336FD"/>
    <w:rsid w:val="6D353DDB"/>
    <w:rsid w:val="6D394EF9"/>
    <w:rsid w:val="6D430295"/>
    <w:rsid w:val="6D507DB5"/>
    <w:rsid w:val="6D513FF0"/>
    <w:rsid w:val="6D584E5E"/>
    <w:rsid w:val="6D5E78A1"/>
    <w:rsid w:val="6D6C7F13"/>
    <w:rsid w:val="6D725D15"/>
    <w:rsid w:val="6D804EE1"/>
    <w:rsid w:val="6D811639"/>
    <w:rsid w:val="6D9C04C0"/>
    <w:rsid w:val="6DAA3701"/>
    <w:rsid w:val="6DCD1BED"/>
    <w:rsid w:val="6DF144FB"/>
    <w:rsid w:val="6E03170B"/>
    <w:rsid w:val="6E033B42"/>
    <w:rsid w:val="6E3B4622"/>
    <w:rsid w:val="6E505F87"/>
    <w:rsid w:val="6E6A33E9"/>
    <w:rsid w:val="6E74440E"/>
    <w:rsid w:val="6E847214"/>
    <w:rsid w:val="6E8E565B"/>
    <w:rsid w:val="6E9D1986"/>
    <w:rsid w:val="6EC46E52"/>
    <w:rsid w:val="6EE9679B"/>
    <w:rsid w:val="6F086931"/>
    <w:rsid w:val="6F171269"/>
    <w:rsid w:val="6F174CC1"/>
    <w:rsid w:val="6F3E67F6"/>
    <w:rsid w:val="6F561763"/>
    <w:rsid w:val="6F593630"/>
    <w:rsid w:val="6F8D30D8"/>
    <w:rsid w:val="6F913909"/>
    <w:rsid w:val="6F987120"/>
    <w:rsid w:val="6FC6645F"/>
    <w:rsid w:val="6FDB6707"/>
    <w:rsid w:val="6FDC3362"/>
    <w:rsid w:val="6FEF2BB1"/>
    <w:rsid w:val="702A6D7B"/>
    <w:rsid w:val="702B0E22"/>
    <w:rsid w:val="704503CB"/>
    <w:rsid w:val="704B4560"/>
    <w:rsid w:val="70697B15"/>
    <w:rsid w:val="707149AA"/>
    <w:rsid w:val="70817105"/>
    <w:rsid w:val="70951EB1"/>
    <w:rsid w:val="709C35CE"/>
    <w:rsid w:val="70A128B3"/>
    <w:rsid w:val="70A1703D"/>
    <w:rsid w:val="70B30B1E"/>
    <w:rsid w:val="70D728BC"/>
    <w:rsid w:val="70DD5DD0"/>
    <w:rsid w:val="710F044A"/>
    <w:rsid w:val="71177A0A"/>
    <w:rsid w:val="7125212D"/>
    <w:rsid w:val="71286954"/>
    <w:rsid w:val="71297032"/>
    <w:rsid w:val="71404FF0"/>
    <w:rsid w:val="71453614"/>
    <w:rsid w:val="7150636D"/>
    <w:rsid w:val="71573D01"/>
    <w:rsid w:val="71592386"/>
    <w:rsid w:val="715952EE"/>
    <w:rsid w:val="71882F2E"/>
    <w:rsid w:val="718B10FA"/>
    <w:rsid w:val="71C33125"/>
    <w:rsid w:val="71C411E8"/>
    <w:rsid w:val="71CC03C2"/>
    <w:rsid w:val="71E563D1"/>
    <w:rsid w:val="71E847F7"/>
    <w:rsid w:val="720979F9"/>
    <w:rsid w:val="720B620B"/>
    <w:rsid w:val="721E46BD"/>
    <w:rsid w:val="72216C4D"/>
    <w:rsid w:val="722851A2"/>
    <w:rsid w:val="724F2AC9"/>
    <w:rsid w:val="727D7636"/>
    <w:rsid w:val="72954A0D"/>
    <w:rsid w:val="72AB41A3"/>
    <w:rsid w:val="72CA35A0"/>
    <w:rsid w:val="72CF1364"/>
    <w:rsid w:val="72D16002"/>
    <w:rsid w:val="72EB0A43"/>
    <w:rsid w:val="73315A60"/>
    <w:rsid w:val="7362505B"/>
    <w:rsid w:val="73DB6265"/>
    <w:rsid w:val="73DF2D98"/>
    <w:rsid w:val="73F109E5"/>
    <w:rsid w:val="744F3F1F"/>
    <w:rsid w:val="74684F3B"/>
    <w:rsid w:val="74687E72"/>
    <w:rsid w:val="7476304A"/>
    <w:rsid w:val="74A213EB"/>
    <w:rsid w:val="74A23AD9"/>
    <w:rsid w:val="74D83951"/>
    <w:rsid w:val="74E5396C"/>
    <w:rsid w:val="750E0AAE"/>
    <w:rsid w:val="751207AB"/>
    <w:rsid w:val="753E119F"/>
    <w:rsid w:val="7559153E"/>
    <w:rsid w:val="756103A4"/>
    <w:rsid w:val="756B1122"/>
    <w:rsid w:val="75775309"/>
    <w:rsid w:val="759323CD"/>
    <w:rsid w:val="759A5F7F"/>
    <w:rsid w:val="75BE7AA3"/>
    <w:rsid w:val="75D528E1"/>
    <w:rsid w:val="75DE27A2"/>
    <w:rsid w:val="75E64D79"/>
    <w:rsid w:val="75F07B9E"/>
    <w:rsid w:val="7614229E"/>
    <w:rsid w:val="766C1E28"/>
    <w:rsid w:val="76726CA6"/>
    <w:rsid w:val="769D02A6"/>
    <w:rsid w:val="76B807A0"/>
    <w:rsid w:val="76E67512"/>
    <w:rsid w:val="76FE6B16"/>
    <w:rsid w:val="775B32C9"/>
    <w:rsid w:val="776377C3"/>
    <w:rsid w:val="77756362"/>
    <w:rsid w:val="779C7DF7"/>
    <w:rsid w:val="77A43A56"/>
    <w:rsid w:val="77A92C7B"/>
    <w:rsid w:val="77AF2011"/>
    <w:rsid w:val="77B5517C"/>
    <w:rsid w:val="77D92540"/>
    <w:rsid w:val="77DA0236"/>
    <w:rsid w:val="77E522C1"/>
    <w:rsid w:val="77ED69DD"/>
    <w:rsid w:val="77F90F61"/>
    <w:rsid w:val="78014865"/>
    <w:rsid w:val="781F42B3"/>
    <w:rsid w:val="783C5064"/>
    <w:rsid w:val="7843495B"/>
    <w:rsid w:val="78630991"/>
    <w:rsid w:val="786D633C"/>
    <w:rsid w:val="78804A5A"/>
    <w:rsid w:val="788A279B"/>
    <w:rsid w:val="788A40D3"/>
    <w:rsid w:val="789C5E02"/>
    <w:rsid w:val="789C6986"/>
    <w:rsid w:val="78A53107"/>
    <w:rsid w:val="78CA7293"/>
    <w:rsid w:val="78E25D97"/>
    <w:rsid w:val="78F86E75"/>
    <w:rsid w:val="78FF76F5"/>
    <w:rsid w:val="79027C98"/>
    <w:rsid w:val="790B5CF7"/>
    <w:rsid w:val="79132D7C"/>
    <w:rsid w:val="795409C4"/>
    <w:rsid w:val="795645C4"/>
    <w:rsid w:val="79802062"/>
    <w:rsid w:val="79AF2BB1"/>
    <w:rsid w:val="79E17BAC"/>
    <w:rsid w:val="79E97308"/>
    <w:rsid w:val="7A1A2231"/>
    <w:rsid w:val="7A1F7BB8"/>
    <w:rsid w:val="7A3E10AE"/>
    <w:rsid w:val="7A460C55"/>
    <w:rsid w:val="7A580FFD"/>
    <w:rsid w:val="7A71598F"/>
    <w:rsid w:val="7A936BBE"/>
    <w:rsid w:val="7AAD5595"/>
    <w:rsid w:val="7AAF5FD7"/>
    <w:rsid w:val="7AB21E46"/>
    <w:rsid w:val="7AE86416"/>
    <w:rsid w:val="7AF52FBD"/>
    <w:rsid w:val="7AFA0F30"/>
    <w:rsid w:val="7B101CDA"/>
    <w:rsid w:val="7B244F03"/>
    <w:rsid w:val="7B2D0269"/>
    <w:rsid w:val="7B3D0965"/>
    <w:rsid w:val="7B3E1AC5"/>
    <w:rsid w:val="7B3F14E6"/>
    <w:rsid w:val="7B521A35"/>
    <w:rsid w:val="7B564EC8"/>
    <w:rsid w:val="7B830A97"/>
    <w:rsid w:val="7B8900AD"/>
    <w:rsid w:val="7B9B04ED"/>
    <w:rsid w:val="7BE343FF"/>
    <w:rsid w:val="7BE53CE6"/>
    <w:rsid w:val="7BF9515D"/>
    <w:rsid w:val="7C126419"/>
    <w:rsid w:val="7C132E51"/>
    <w:rsid w:val="7C2F09E5"/>
    <w:rsid w:val="7C330E98"/>
    <w:rsid w:val="7C4D0079"/>
    <w:rsid w:val="7C516DA3"/>
    <w:rsid w:val="7C523627"/>
    <w:rsid w:val="7C567E41"/>
    <w:rsid w:val="7C9B6CDE"/>
    <w:rsid w:val="7CB55896"/>
    <w:rsid w:val="7CC965BB"/>
    <w:rsid w:val="7CFD3C4F"/>
    <w:rsid w:val="7D0074D8"/>
    <w:rsid w:val="7D100648"/>
    <w:rsid w:val="7D1652C0"/>
    <w:rsid w:val="7D242972"/>
    <w:rsid w:val="7D4B47DB"/>
    <w:rsid w:val="7D536120"/>
    <w:rsid w:val="7D5B21A0"/>
    <w:rsid w:val="7D5D23BD"/>
    <w:rsid w:val="7D6E721F"/>
    <w:rsid w:val="7D7E01AB"/>
    <w:rsid w:val="7DA57A41"/>
    <w:rsid w:val="7DA90593"/>
    <w:rsid w:val="7DAB08DE"/>
    <w:rsid w:val="7DB7103C"/>
    <w:rsid w:val="7DBE064F"/>
    <w:rsid w:val="7DBE6FDF"/>
    <w:rsid w:val="7DDD095E"/>
    <w:rsid w:val="7DE14013"/>
    <w:rsid w:val="7E2B626A"/>
    <w:rsid w:val="7E32537E"/>
    <w:rsid w:val="7E3E1001"/>
    <w:rsid w:val="7E4543B7"/>
    <w:rsid w:val="7E590F57"/>
    <w:rsid w:val="7E6A1687"/>
    <w:rsid w:val="7E715FD1"/>
    <w:rsid w:val="7EA21BD3"/>
    <w:rsid w:val="7EA3332A"/>
    <w:rsid w:val="7ECA57CE"/>
    <w:rsid w:val="7ECD36FC"/>
    <w:rsid w:val="7EDD3C39"/>
    <w:rsid w:val="7EF770CE"/>
    <w:rsid w:val="7EFA225C"/>
    <w:rsid w:val="7EFF338C"/>
    <w:rsid w:val="7F531E4A"/>
    <w:rsid w:val="7F7A5BD6"/>
    <w:rsid w:val="7F8D0BFF"/>
    <w:rsid w:val="7F952C72"/>
    <w:rsid w:val="7FA15385"/>
    <w:rsid w:val="7FCD0EBD"/>
    <w:rsid w:val="7FD63C4E"/>
    <w:rsid w:val="7FFE5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4"/>
    <w:qFormat/>
    <w:uiPriority w:val="0"/>
    <w:pPr>
      <w:keepNext/>
      <w:widowControl/>
      <w:numPr>
        <w:ilvl w:val="0"/>
        <w:numId w:val="1"/>
      </w:numPr>
      <w:spacing w:before="240" w:after="120"/>
      <w:jc w:val="left"/>
      <w:outlineLvl w:val="0"/>
    </w:pPr>
    <w:rPr>
      <w:b/>
      <w:caps/>
      <w:kern w:val="28"/>
      <w:sz w:val="24"/>
      <w:szCs w:val="20"/>
    </w:rPr>
  </w:style>
  <w:style w:type="paragraph" w:styleId="5">
    <w:name w:val="heading 2"/>
    <w:basedOn w:val="1"/>
    <w:next w:val="4"/>
    <w:unhideWhenUsed/>
    <w:qFormat/>
    <w:uiPriority w:val="9"/>
    <w:pPr>
      <w:keepNext/>
      <w:keepLines/>
      <w:spacing w:line="413" w:lineRule="auto"/>
      <w:outlineLvl w:val="1"/>
    </w:pPr>
    <w:rPr>
      <w:rFonts w:ascii="Arial" w:hAnsi="Arial" w:eastAsia="黑体"/>
      <w:b/>
      <w:sz w:val="32"/>
    </w:rPr>
  </w:style>
  <w:style w:type="paragraph" w:styleId="6">
    <w:name w:val="heading 3"/>
    <w:basedOn w:val="1"/>
    <w:next w:val="1"/>
    <w:unhideWhenUsed/>
    <w:qFormat/>
    <w:uiPriority w:val="9"/>
    <w:pPr>
      <w:keepNext/>
      <w:keepLines/>
      <w:spacing w:line="413" w:lineRule="auto"/>
      <w:outlineLvl w:val="2"/>
    </w:pPr>
    <w:rPr>
      <w:b/>
      <w:sz w:val="3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4">
    <w:name w:val="Body Text"/>
    <w:basedOn w:val="1"/>
    <w:qFormat/>
    <w:uiPriority w:val="0"/>
    <w:rPr>
      <w:rFonts w:ascii="仿宋_GB2312" w:eastAsia="仿宋_GB2312"/>
      <w:sz w:val="28"/>
    </w:rPr>
  </w:style>
  <w:style w:type="paragraph" w:styleId="7">
    <w:name w:val="table of authorities"/>
    <w:basedOn w:val="1"/>
    <w:next w:val="1"/>
    <w:qFormat/>
    <w:uiPriority w:val="0"/>
    <w:pPr>
      <w:ind w:left="420" w:leftChars="200"/>
    </w:pPr>
    <w:rPr>
      <w:szCs w:val="21"/>
    </w:rPr>
  </w:style>
  <w:style w:type="paragraph" w:styleId="8">
    <w:name w:val="caption"/>
    <w:basedOn w:val="1"/>
    <w:next w:val="1"/>
    <w:semiHidden/>
    <w:unhideWhenUsed/>
    <w:qFormat/>
    <w:uiPriority w:val="35"/>
    <w:rPr>
      <w:rFonts w:ascii="Arial" w:hAnsi="Arial" w:eastAsia="黑体"/>
      <w:sz w:val="20"/>
    </w:rPr>
  </w:style>
  <w:style w:type="paragraph" w:styleId="9">
    <w:name w:val="annotation text"/>
    <w:basedOn w:val="1"/>
    <w:semiHidden/>
    <w:unhideWhenUsed/>
    <w:qFormat/>
    <w:uiPriority w:val="99"/>
    <w:pPr>
      <w:jc w:val="left"/>
    </w:pPr>
  </w:style>
  <w:style w:type="paragraph" w:styleId="10">
    <w:name w:val="Balloon Text"/>
    <w:basedOn w:val="1"/>
    <w:link w:val="31"/>
    <w:semiHidden/>
    <w:unhideWhenUsed/>
    <w:qFormat/>
    <w:uiPriority w:val="99"/>
    <w:rPr>
      <w:sz w:val="18"/>
      <w:szCs w:val="18"/>
    </w:rPr>
  </w:style>
  <w:style w:type="paragraph" w:styleId="11">
    <w:name w:val="footer"/>
    <w:basedOn w:val="1"/>
    <w:link w:val="27"/>
    <w:unhideWhenUsed/>
    <w:qFormat/>
    <w:uiPriority w:val="99"/>
    <w:pPr>
      <w:tabs>
        <w:tab w:val="center" w:pos="4153"/>
        <w:tab w:val="right" w:pos="8306"/>
      </w:tabs>
      <w:snapToGrid w:val="0"/>
      <w:jc w:val="left"/>
    </w:pPr>
    <w:rPr>
      <w:sz w:val="18"/>
      <w:szCs w:val="18"/>
    </w:rPr>
  </w:style>
  <w:style w:type="paragraph" w:styleId="12">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Subtitle"/>
    <w:basedOn w:val="1"/>
    <w:next w:val="1"/>
    <w:link w:val="24"/>
    <w:qFormat/>
    <w:uiPriority w:val="11"/>
    <w:pPr>
      <w:spacing w:before="240" w:after="60" w:line="312" w:lineRule="auto"/>
      <w:jc w:val="center"/>
      <w:outlineLvl w:val="1"/>
    </w:pPr>
    <w:rPr>
      <w:rFonts w:asciiTheme="majorHAnsi" w:hAnsiTheme="majorHAnsi" w:cstheme="majorBidi"/>
      <w:b/>
      <w:bCs/>
      <w:kern w:val="28"/>
      <w:sz w:val="32"/>
      <w:szCs w:val="32"/>
    </w:rPr>
  </w:style>
  <w:style w:type="paragraph" w:styleId="14">
    <w:name w:val="Normal (Web)"/>
    <w:basedOn w:val="1"/>
    <w:semiHidden/>
    <w:unhideWhenUsed/>
    <w:qFormat/>
    <w:uiPriority w:val="99"/>
    <w:pPr>
      <w:spacing w:beforeAutospacing="1" w:afterAutospacing="1"/>
      <w:jc w:val="left"/>
    </w:pPr>
    <w:rPr>
      <w:kern w:val="0"/>
      <w:sz w:val="24"/>
    </w:rPr>
  </w:style>
  <w:style w:type="paragraph" w:styleId="15">
    <w:name w:val="Title"/>
    <w:basedOn w:val="1"/>
    <w:next w:val="1"/>
    <w:link w:val="23"/>
    <w:qFormat/>
    <w:uiPriority w:val="10"/>
    <w:pPr>
      <w:spacing w:before="240" w:after="60"/>
      <w:jc w:val="center"/>
      <w:outlineLvl w:val="0"/>
    </w:pPr>
    <w:rPr>
      <w:rFonts w:asciiTheme="majorHAnsi" w:hAnsiTheme="majorHAnsi" w:cstheme="majorBidi"/>
      <w:b/>
      <w:bCs/>
      <w:sz w:val="32"/>
      <w:szCs w:val="32"/>
    </w:rPr>
  </w:style>
  <w:style w:type="paragraph" w:styleId="16">
    <w:name w:val="Body Text First Indent"/>
    <w:basedOn w:val="4"/>
    <w:qFormat/>
    <w:uiPriority w:val="0"/>
    <w:pPr>
      <w:ind w:firstLine="420" w:firstLineChars="100"/>
    </w:pPr>
    <w:rPr>
      <w:rFonts w:ascii="Times New Roman" w:eastAsia="宋体"/>
      <w:sz w:val="21"/>
    </w:rPr>
  </w:style>
  <w:style w:type="character" w:styleId="19">
    <w:name w:val="Emphasis"/>
    <w:basedOn w:val="18"/>
    <w:qFormat/>
    <w:uiPriority w:val="20"/>
    <w:rPr>
      <w:i/>
    </w:rPr>
  </w:style>
  <w:style w:type="character" w:styleId="20">
    <w:name w:val="annotation reference"/>
    <w:basedOn w:val="18"/>
    <w:semiHidden/>
    <w:unhideWhenUsed/>
    <w:qFormat/>
    <w:uiPriority w:val="99"/>
    <w:rPr>
      <w:sz w:val="21"/>
      <w:szCs w:val="21"/>
    </w:rPr>
  </w:style>
  <w:style w:type="character" w:customStyle="1" w:styleId="21">
    <w:name w:val="列表编号 2A Char Char"/>
    <w:link w:val="22"/>
    <w:qFormat/>
    <w:uiPriority w:val="0"/>
    <w:rPr>
      <w:sz w:val="28"/>
    </w:rPr>
  </w:style>
  <w:style w:type="paragraph" w:customStyle="1" w:styleId="22">
    <w:name w:val="列表编号 2A"/>
    <w:basedOn w:val="1"/>
    <w:link w:val="21"/>
    <w:qFormat/>
    <w:uiPriority w:val="0"/>
    <w:pPr>
      <w:tabs>
        <w:tab w:val="left" w:pos="845"/>
      </w:tabs>
    </w:pPr>
    <w:rPr>
      <w:rFonts w:asciiTheme="minorHAnsi" w:hAnsiTheme="minorHAnsi" w:eastAsiaTheme="minorEastAsia" w:cstheme="minorBidi"/>
      <w:sz w:val="28"/>
      <w:szCs w:val="22"/>
    </w:rPr>
  </w:style>
  <w:style w:type="character" w:customStyle="1" w:styleId="23">
    <w:name w:val="标题 Char"/>
    <w:basedOn w:val="18"/>
    <w:link w:val="15"/>
    <w:qFormat/>
    <w:uiPriority w:val="10"/>
    <w:rPr>
      <w:rFonts w:eastAsia="宋体" w:asciiTheme="majorHAnsi" w:hAnsiTheme="majorHAnsi" w:cstheme="majorBidi"/>
      <w:b/>
      <w:bCs/>
      <w:sz w:val="32"/>
      <w:szCs w:val="32"/>
    </w:rPr>
  </w:style>
  <w:style w:type="character" w:customStyle="1" w:styleId="24">
    <w:name w:val="副标题 Char"/>
    <w:basedOn w:val="18"/>
    <w:link w:val="13"/>
    <w:qFormat/>
    <w:uiPriority w:val="11"/>
    <w:rPr>
      <w:rFonts w:eastAsia="宋体" w:asciiTheme="majorHAnsi" w:hAnsiTheme="majorHAnsi" w:cstheme="majorBidi"/>
      <w:b/>
      <w:bCs/>
      <w:kern w:val="28"/>
      <w:sz w:val="32"/>
      <w:szCs w:val="32"/>
    </w:rPr>
  </w:style>
  <w:style w:type="paragraph" w:customStyle="1" w:styleId="25">
    <w:name w:val="列出段落1"/>
    <w:basedOn w:val="1"/>
    <w:link w:val="28"/>
    <w:qFormat/>
    <w:uiPriority w:val="34"/>
    <w:pPr>
      <w:ind w:firstLine="420" w:firstLineChars="200"/>
    </w:pPr>
  </w:style>
  <w:style w:type="character" w:customStyle="1" w:styleId="26">
    <w:name w:val="页眉 Char"/>
    <w:basedOn w:val="18"/>
    <w:link w:val="12"/>
    <w:qFormat/>
    <w:uiPriority w:val="99"/>
    <w:rPr>
      <w:rFonts w:ascii="Times New Roman" w:hAnsi="Times New Roman" w:eastAsia="宋体" w:cs="Times New Roman"/>
      <w:sz w:val="18"/>
      <w:szCs w:val="18"/>
    </w:rPr>
  </w:style>
  <w:style w:type="character" w:customStyle="1" w:styleId="27">
    <w:name w:val="页脚 Char"/>
    <w:basedOn w:val="18"/>
    <w:link w:val="11"/>
    <w:qFormat/>
    <w:uiPriority w:val="99"/>
    <w:rPr>
      <w:rFonts w:ascii="Times New Roman" w:hAnsi="Times New Roman" w:eastAsia="宋体" w:cs="Times New Roman"/>
      <w:sz w:val="18"/>
      <w:szCs w:val="18"/>
    </w:rPr>
  </w:style>
  <w:style w:type="character" w:customStyle="1" w:styleId="28">
    <w:name w:val="List Paragraph Char"/>
    <w:link w:val="25"/>
    <w:qFormat/>
    <w:uiPriority w:val="34"/>
  </w:style>
  <w:style w:type="paragraph" w:customStyle="1" w:styleId="29">
    <w:name w:val="彩色列表 - 着色 11"/>
    <w:basedOn w:val="1"/>
    <w:qFormat/>
    <w:uiPriority w:val="34"/>
    <w:pPr>
      <w:ind w:firstLine="420" w:firstLineChars="200"/>
    </w:pPr>
    <w:rPr>
      <w:rFonts w:ascii="Calibri" w:hAnsi="Calibri"/>
      <w:szCs w:val="22"/>
    </w:rPr>
  </w:style>
  <w:style w:type="paragraph" w:customStyle="1" w:styleId="30">
    <w:name w:val="彩色列表1"/>
    <w:basedOn w:val="1"/>
    <w:qFormat/>
    <w:uiPriority w:val="34"/>
    <w:pPr>
      <w:ind w:firstLine="420" w:firstLineChars="200"/>
    </w:pPr>
    <w:rPr>
      <w:rFonts w:ascii="Calibri" w:hAnsi="Calibri"/>
      <w:szCs w:val="22"/>
    </w:rPr>
  </w:style>
  <w:style w:type="character" w:customStyle="1" w:styleId="31">
    <w:name w:val="批注框文本 Char"/>
    <w:basedOn w:val="18"/>
    <w:link w:val="10"/>
    <w:semiHidden/>
    <w:qFormat/>
    <w:uiPriority w:val="99"/>
    <w:rPr>
      <w:kern w:val="2"/>
      <w:sz w:val="18"/>
      <w:szCs w:val="18"/>
    </w:rPr>
  </w:style>
  <w:style w:type="paragraph" w:styleId="32">
    <w:name w:val="List Paragraph"/>
    <w:basedOn w:val="1"/>
    <w:unhideWhenUsed/>
    <w:qFormat/>
    <w:uiPriority w:val="99"/>
    <w:pPr>
      <w:ind w:firstLine="420" w:firstLineChars="200"/>
    </w:pPr>
  </w:style>
  <w:style w:type="character" w:customStyle="1" w:styleId="33">
    <w:name w:val="font01"/>
    <w:basedOn w:val="18"/>
    <w:qFormat/>
    <w:uiPriority w:val="0"/>
    <w:rPr>
      <w:rFonts w:hint="eastAsia" w:ascii="宋体" w:hAnsi="宋体" w:eastAsia="宋体" w:cs="宋体"/>
      <w:color w:val="000000"/>
      <w:sz w:val="24"/>
      <w:szCs w:val="24"/>
      <w:u w:val="none"/>
    </w:rPr>
  </w:style>
  <w:style w:type="character" w:customStyle="1" w:styleId="34">
    <w:name w:val="font11"/>
    <w:basedOn w:val="18"/>
    <w:qFormat/>
    <w:uiPriority w:val="0"/>
    <w:rPr>
      <w:rFonts w:hint="eastAsia" w:ascii="宋体" w:hAnsi="宋体" w:eastAsia="宋体" w:cs="宋体"/>
      <w:color w:val="000000"/>
      <w:sz w:val="22"/>
      <w:szCs w:val="22"/>
      <w:u w:val="none"/>
    </w:rPr>
  </w:style>
  <w:style w:type="character" w:customStyle="1" w:styleId="35">
    <w:name w:val="font21"/>
    <w:basedOn w:val="18"/>
    <w:qFormat/>
    <w:uiPriority w:val="0"/>
    <w:rPr>
      <w:rFonts w:hint="eastAsia" w:ascii="宋体" w:hAnsi="宋体" w:eastAsia="宋体" w:cs="宋体"/>
      <w:color w:val="000000"/>
      <w:sz w:val="22"/>
      <w:szCs w:val="22"/>
      <w:u w:val="none"/>
    </w:rPr>
  </w:style>
  <w:style w:type="character" w:customStyle="1" w:styleId="36">
    <w:name w:val="font71"/>
    <w:basedOn w:val="18"/>
    <w:qFormat/>
    <w:uiPriority w:val="0"/>
    <w:rPr>
      <w:rFonts w:hint="eastAsia" w:ascii="宋体" w:hAnsi="宋体" w:eastAsia="宋体" w:cs="宋体"/>
      <w:color w:val="000000"/>
      <w:sz w:val="22"/>
      <w:szCs w:val="22"/>
      <w:u w:val="none"/>
    </w:rPr>
  </w:style>
  <w:style w:type="paragraph" w:customStyle="1" w:styleId="37">
    <w:name w:val="CM91"/>
    <w:basedOn w:val="1"/>
    <w:next w:val="1"/>
    <w:qFormat/>
    <w:uiPriority w:val="0"/>
    <w:pPr>
      <w:autoSpaceDE w:val="0"/>
      <w:autoSpaceDN w:val="0"/>
      <w:adjustRightInd w:val="0"/>
      <w:jc w:val="left"/>
    </w:pPr>
    <w:rPr>
      <w:rFonts w:asci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8185</Words>
  <Characters>10878</Characters>
  <Lines>86</Lines>
  <Paragraphs>24</Paragraphs>
  <TotalTime>21</TotalTime>
  <ScaleCrop>false</ScaleCrop>
  <LinksUpToDate>false</LinksUpToDate>
  <CharactersWithSpaces>11061</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2022-09-09T14:54:00Z</dcterms:created>
  <dc:creator>Microsoft 帐户</dc:creator>
  <cp:lastModifiedBy>HP</cp:lastModifiedBy>
  <cp:lastPrinted>2022-09-15T17:16:00Z</cp:lastPrinted>
  <dcterms:modified xsi:type="dcterms:W3CDTF">2025-01-24T09:16:40Z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3BBCA72EBD2A45E281140E4E153FF57D</vt:lpwstr>
  </property>
</Properties>
</file>