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78E91">
      <w:pPr>
        <w:pStyle w:val="8"/>
        <w:spacing w:line="360" w:lineRule="auto"/>
        <w:jc w:val="center"/>
        <w:rPr>
          <w:b/>
          <w:bCs/>
          <w:color w:val="auto"/>
          <w:sz w:val="30"/>
          <w:szCs w:val="30"/>
          <w:highlight w:val="none"/>
        </w:rPr>
      </w:pPr>
      <w:r>
        <w:rPr>
          <w:rFonts w:hint="eastAsia"/>
          <w:b/>
          <w:bCs/>
          <w:color w:val="auto"/>
          <w:sz w:val="30"/>
          <w:szCs w:val="30"/>
          <w:highlight w:val="none"/>
        </w:rPr>
        <w:t>海珠区南洲街后滘片区品质提升及安全隐患整治项目施工总承包</w:t>
      </w:r>
    </w:p>
    <w:p w14:paraId="61ECC337">
      <w:pPr>
        <w:pStyle w:val="8"/>
        <w:spacing w:line="360" w:lineRule="auto"/>
        <w:jc w:val="center"/>
        <w:rPr>
          <w:b/>
          <w:bCs/>
          <w:color w:val="auto"/>
          <w:sz w:val="30"/>
          <w:szCs w:val="30"/>
          <w:highlight w:val="none"/>
        </w:rPr>
      </w:pPr>
      <w:r>
        <w:rPr>
          <w:rFonts w:hint="eastAsia"/>
          <w:b/>
          <w:bCs/>
          <w:color w:val="auto"/>
          <w:sz w:val="30"/>
          <w:szCs w:val="30"/>
          <w:highlight w:val="none"/>
        </w:rPr>
        <w:t>招标公告</w:t>
      </w:r>
    </w:p>
    <w:p w14:paraId="62E6B0E6">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穗海发改投批〔2023〕31号</w:t>
      </w:r>
      <w:r>
        <w:rPr>
          <w:rFonts w:hint="eastAsia" w:ascii="宋体" w:hAnsi="宋体"/>
          <w:color w:val="auto"/>
          <w:szCs w:val="21"/>
          <w:highlight w:val="none"/>
        </w:rPr>
        <w:t>文件批准，并且图纸和技术资料满足施工需要，</w:t>
      </w:r>
      <w:r>
        <w:rPr>
          <w:rFonts w:hint="eastAsia" w:ascii="宋体" w:hAnsi="宋体"/>
          <w:color w:val="auto"/>
          <w:szCs w:val="21"/>
          <w:highlight w:val="none"/>
          <w:u w:val="single"/>
        </w:rPr>
        <w:t>广州市海珠区人民政府南洲街道办事处</w:t>
      </w:r>
      <w:r>
        <w:rPr>
          <w:rFonts w:hint="eastAsia" w:ascii="宋体" w:hAnsi="宋体"/>
          <w:color w:val="auto"/>
          <w:szCs w:val="21"/>
          <w:highlight w:val="none"/>
        </w:rPr>
        <w:t>现对</w:t>
      </w:r>
      <w:r>
        <w:rPr>
          <w:rFonts w:hint="eastAsia" w:ascii="宋体" w:hAnsi="宋体"/>
          <w:color w:val="auto"/>
          <w:szCs w:val="21"/>
          <w:highlight w:val="none"/>
          <w:u w:val="single"/>
        </w:rPr>
        <w:t>海珠区南洲街后滘片区品质提升及安全隐患整治项目</w:t>
      </w:r>
      <w:r>
        <w:rPr>
          <w:rFonts w:hint="eastAsia" w:ascii="宋体" w:hAnsi="宋体"/>
          <w:color w:val="auto"/>
          <w:szCs w:val="21"/>
          <w:highlight w:val="none"/>
        </w:rPr>
        <w:t>进行施工总承包公开招标，选定承包人。</w:t>
      </w:r>
    </w:p>
    <w:p w14:paraId="40460BEE">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一、工程名称：</w:t>
      </w:r>
      <w:r>
        <w:rPr>
          <w:rFonts w:hint="eastAsia" w:ascii="宋体" w:hAnsi="宋体"/>
          <w:color w:val="auto"/>
          <w:szCs w:val="21"/>
          <w:highlight w:val="none"/>
          <w:u w:val="single"/>
        </w:rPr>
        <w:t>海珠区南洲街后滘片区品质提升及安全隐患整治项目施工总承包</w:t>
      </w:r>
    </w:p>
    <w:p w14:paraId="77A70712">
      <w:pPr>
        <w:spacing w:line="450" w:lineRule="exact"/>
        <w:ind w:firstLine="840" w:firstLineChars="400"/>
        <w:rPr>
          <w:rFonts w:ascii="宋体" w:hAnsi="宋体"/>
          <w:color w:val="auto"/>
          <w:szCs w:val="21"/>
          <w:highlight w:val="none"/>
        </w:rPr>
      </w:pPr>
      <w:r>
        <w:rPr>
          <w:rFonts w:hint="eastAsia" w:ascii="宋体" w:hAnsi="宋体"/>
          <w:color w:val="auto"/>
          <w:szCs w:val="21"/>
          <w:highlight w:val="none"/>
        </w:rPr>
        <w:t>项目代码：</w:t>
      </w:r>
      <w:r>
        <w:rPr>
          <w:rFonts w:hint="eastAsia" w:ascii="宋体" w:hAnsi="宋体"/>
          <w:color w:val="auto"/>
          <w:szCs w:val="21"/>
          <w:highlight w:val="none"/>
          <w:u w:val="single"/>
        </w:rPr>
        <w:t>2305-440105-04-01-483590</w:t>
      </w:r>
    </w:p>
    <w:p w14:paraId="17496B96">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二、招标单位：</w:t>
      </w:r>
      <w:r>
        <w:rPr>
          <w:rFonts w:hint="eastAsia" w:ascii="宋体" w:hAnsi="宋体"/>
          <w:color w:val="auto"/>
          <w:szCs w:val="21"/>
          <w:highlight w:val="none"/>
          <w:u w:val="single"/>
        </w:rPr>
        <w:t>广州市海珠区人民政府南洲街道办事处</w:t>
      </w:r>
    </w:p>
    <w:p w14:paraId="2B41873F">
      <w:pPr>
        <w:spacing w:line="450" w:lineRule="exact"/>
        <w:ind w:firstLine="840" w:firstLineChars="400"/>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胡工</w:t>
      </w:r>
      <w:r>
        <w:rPr>
          <w:rFonts w:hint="eastAsia" w:ascii="宋体" w:hAnsi="宋体"/>
          <w:color w:val="auto"/>
          <w:szCs w:val="21"/>
          <w:highlight w:val="none"/>
        </w:rPr>
        <w:t xml:space="preserve">     联系电话：</w:t>
      </w:r>
      <w:r>
        <w:rPr>
          <w:rFonts w:hint="eastAsia" w:ascii="宋体" w:hAnsi="宋体"/>
          <w:color w:val="auto"/>
          <w:szCs w:val="21"/>
          <w:highlight w:val="none"/>
          <w:u w:val="single"/>
        </w:rPr>
        <w:t>020-34317564</w:t>
      </w:r>
    </w:p>
    <w:p w14:paraId="3EF1700E">
      <w:pPr>
        <w:spacing w:line="450" w:lineRule="exact"/>
        <w:ind w:firstLine="840" w:firstLineChars="400"/>
        <w:rPr>
          <w:rFonts w:ascii="宋体" w:hAnsi="宋体"/>
          <w:color w:val="auto"/>
          <w:szCs w:val="21"/>
          <w:highlight w:val="none"/>
        </w:rPr>
      </w:pPr>
      <w:r>
        <w:rPr>
          <w:rFonts w:hint="eastAsia" w:ascii="宋体" w:hAnsi="宋体"/>
          <w:color w:val="auto"/>
          <w:szCs w:val="21"/>
          <w:highlight w:val="none"/>
        </w:rPr>
        <w:t>联系地址：</w:t>
      </w:r>
      <w:r>
        <w:rPr>
          <w:rFonts w:hint="eastAsia" w:ascii="宋体" w:hAnsi="宋体"/>
          <w:color w:val="auto"/>
          <w:szCs w:val="21"/>
          <w:highlight w:val="none"/>
          <w:u w:val="single"/>
        </w:rPr>
        <w:t>广州市海珠区南洲路331号</w:t>
      </w:r>
    </w:p>
    <w:p w14:paraId="256E745E">
      <w:pPr>
        <w:spacing w:line="450" w:lineRule="exact"/>
        <w:ind w:firstLine="840" w:firstLineChars="400"/>
        <w:rPr>
          <w:rFonts w:ascii="宋体" w:hAnsi="宋体"/>
          <w:color w:val="auto"/>
          <w:szCs w:val="21"/>
          <w:highlight w:val="none"/>
        </w:rPr>
      </w:pPr>
      <w:r>
        <w:rPr>
          <w:rFonts w:hint="eastAsia" w:ascii="宋体" w:hAnsi="宋体"/>
          <w:color w:val="auto"/>
          <w:szCs w:val="21"/>
          <w:highlight w:val="none"/>
        </w:rPr>
        <w:t>招标代理机构：</w:t>
      </w:r>
      <w:r>
        <w:rPr>
          <w:rFonts w:hint="eastAsia" w:ascii="宋体" w:hAnsi="宋体"/>
          <w:color w:val="auto"/>
          <w:szCs w:val="21"/>
          <w:highlight w:val="none"/>
          <w:u w:val="single"/>
        </w:rPr>
        <w:t>广东省机电设备招标中心有限公司</w:t>
      </w:r>
    </w:p>
    <w:p w14:paraId="17BC3427">
      <w:pPr>
        <w:spacing w:line="450" w:lineRule="exact"/>
        <w:ind w:firstLine="840" w:firstLineChars="400"/>
        <w:rPr>
          <w:rFonts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single"/>
        </w:rPr>
        <w:t>秦熙桢、肖巧云</w:t>
      </w:r>
      <w:r>
        <w:rPr>
          <w:rFonts w:hint="eastAsia" w:ascii="宋体" w:hAnsi="宋体"/>
          <w:color w:val="auto"/>
          <w:szCs w:val="21"/>
          <w:highlight w:val="none"/>
        </w:rPr>
        <w:t xml:space="preserve">     联系电话：</w:t>
      </w:r>
      <w:r>
        <w:rPr>
          <w:rFonts w:hint="eastAsia" w:ascii="宋体" w:hAnsi="宋体"/>
          <w:color w:val="auto"/>
          <w:szCs w:val="21"/>
          <w:highlight w:val="none"/>
          <w:u w:val="single"/>
        </w:rPr>
        <w:t>020-66341792（13060944953）</w:t>
      </w:r>
    </w:p>
    <w:p w14:paraId="02268A65">
      <w:pPr>
        <w:spacing w:line="450" w:lineRule="exact"/>
        <w:ind w:firstLine="840" w:firstLineChars="400"/>
        <w:rPr>
          <w:rFonts w:ascii="宋体" w:hAnsi="宋体"/>
          <w:color w:val="auto"/>
          <w:szCs w:val="21"/>
          <w:highlight w:val="none"/>
          <w:u w:val="single"/>
        </w:rPr>
      </w:pPr>
      <w:r>
        <w:rPr>
          <w:rFonts w:hint="eastAsia" w:ascii="宋体" w:hAnsi="宋体"/>
          <w:color w:val="auto"/>
          <w:szCs w:val="21"/>
          <w:highlight w:val="none"/>
        </w:rPr>
        <w:t>联系地址：</w:t>
      </w:r>
      <w:r>
        <w:rPr>
          <w:rFonts w:hint="eastAsia" w:ascii="宋体" w:hAnsi="宋体"/>
          <w:color w:val="auto"/>
          <w:szCs w:val="21"/>
          <w:highlight w:val="none"/>
          <w:u w:val="single"/>
        </w:rPr>
        <w:t>广州市东风中路515号东照大厦5楼509室招标四部</w:t>
      </w:r>
    </w:p>
    <w:p w14:paraId="15061517">
      <w:pPr>
        <w:spacing w:line="450" w:lineRule="exact"/>
        <w:ind w:firstLine="840" w:firstLineChars="400"/>
        <w:rPr>
          <w:rFonts w:ascii="宋体" w:hAnsi="宋体"/>
          <w:color w:val="auto"/>
          <w:szCs w:val="21"/>
          <w:highlight w:val="none"/>
        </w:rPr>
      </w:pPr>
      <w:r>
        <w:rPr>
          <w:rFonts w:hint="eastAsia" w:ascii="宋体" w:hAnsi="宋体"/>
          <w:color w:val="auto"/>
          <w:szCs w:val="21"/>
          <w:highlight w:val="none"/>
        </w:rPr>
        <w:t>招标监督机构：</w:t>
      </w:r>
      <w:r>
        <w:rPr>
          <w:rFonts w:hint="eastAsia" w:ascii="宋体" w:hAnsi="宋体"/>
          <w:color w:val="auto"/>
          <w:szCs w:val="21"/>
          <w:highlight w:val="none"/>
          <w:u w:val="single"/>
        </w:rPr>
        <w:t>广州市海珠区建设工程招标管理办公室</w:t>
      </w:r>
    </w:p>
    <w:p w14:paraId="3222FB6D">
      <w:pPr>
        <w:spacing w:line="450" w:lineRule="exact"/>
        <w:ind w:firstLine="840" w:firstLineChars="400"/>
        <w:rPr>
          <w:rFonts w:ascii="宋体" w:hAnsi="宋体"/>
          <w:color w:val="auto"/>
          <w:szCs w:val="21"/>
          <w:highlight w:val="none"/>
        </w:rPr>
      </w:pPr>
      <w:r>
        <w:rPr>
          <w:rFonts w:hint="eastAsia" w:ascii="宋体" w:hAnsi="宋体"/>
          <w:color w:val="auto"/>
          <w:szCs w:val="21"/>
          <w:highlight w:val="none"/>
        </w:rPr>
        <w:t>监督电话：</w:t>
      </w:r>
      <w:r>
        <w:rPr>
          <w:rFonts w:ascii="宋体" w:hAnsi="宋体"/>
          <w:color w:val="auto"/>
          <w:szCs w:val="21"/>
          <w:highlight w:val="none"/>
          <w:u w:val="single"/>
        </w:rPr>
        <w:t>020-89885682</w:t>
      </w:r>
    </w:p>
    <w:p w14:paraId="7713371A">
      <w:pPr>
        <w:spacing w:line="450" w:lineRule="exact"/>
        <w:ind w:firstLine="840" w:firstLineChars="400"/>
        <w:rPr>
          <w:rFonts w:ascii="宋体" w:hAnsi="宋体"/>
          <w:color w:val="auto"/>
          <w:szCs w:val="21"/>
          <w:highlight w:val="none"/>
        </w:rPr>
      </w:pPr>
      <w:r>
        <w:rPr>
          <w:rFonts w:hint="eastAsia" w:ascii="宋体" w:hAnsi="宋体"/>
          <w:color w:val="auto"/>
          <w:szCs w:val="21"/>
          <w:highlight w:val="none"/>
        </w:rPr>
        <w:t>联系地址：</w:t>
      </w:r>
      <w:r>
        <w:rPr>
          <w:rFonts w:hint="eastAsia" w:ascii="宋体" w:hAnsi="宋体"/>
          <w:color w:val="auto"/>
          <w:szCs w:val="21"/>
          <w:highlight w:val="none"/>
          <w:u w:val="single"/>
        </w:rPr>
        <w:t>广州市海珠区新港中路4</w:t>
      </w:r>
      <w:r>
        <w:rPr>
          <w:rFonts w:ascii="宋体" w:hAnsi="宋体"/>
          <w:color w:val="auto"/>
          <w:szCs w:val="21"/>
          <w:highlight w:val="none"/>
          <w:u w:val="single"/>
        </w:rPr>
        <w:t>72</w:t>
      </w:r>
      <w:r>
        <w:rPr>
          <w:rFonts w:hint="eastAsia" w:ascii="宋体" w:hAnsi="宋体"/>
          <w:color w:val="auto"/>
          <w:szCs w:val="21"/>
          <w:highlight w:val="none"/>
          <w:u w:val="single"/>
        </w:rPr>
        <w:t>号</w:t>
      </w:r>
    </w:p>
    <w:p w14:paraId="75535A2F">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三、建设地点：</w:t>
      </w:r>
      <w:r>
        <w:rPr>
          <w:rFonts w:hint="eastAsia" w:ascii="宋体" w:hAnsi="宋体"/>
          <w:color w:val="auto"/>
          <w:szCs w:val="21"/>
          <w:highlight w:val="none"/>
          <w:u w:val="single"/>
        </w:rPr>
        <w:t>广州市海珠区南洲街</w:t>
      </w:r>
    </w:p>
    <w:p w14:paraId="5A5263F1">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四、项目概况：</w:t>
      </w:r>
      <w:r>
        <w:rPr>
          <w:rFonts w:hint="eastAsia" w:ascii="宋体" w:hAnsi="宋体"/>
          <w:color w:val="auto"/>
          <w:szCs w:val="21"/>
          <w:highlight w:val="none"/>
          <w:u w:val="single"/>
        </w:rPr>
        <w:t>项目占地面积约 31.34 万平方米，本次改造范围:东至新光快速，南至南洲路，西至西禄涌，北至海珠湖和创投小镇。项目的建设内容主要是对项目范围内的道路病害、安防、消防和垃圾分类点进行治理，以消除项目范围内安全隐患及改善人居环境。</w:t>
      </w:r>
    </w:p>
    <w:p w14:paraId="5D86190F">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五、标段划分及各标段招标内容、规模和最高投标限价：</w:t>
      </w:r>
    </w:p>
    <w:p w14:paraId="2B4B5272">
      <w:pPr>
        <w:spacing w:line="450" w:lineRule="exact"/>
        <w:ind w:firstLine="420" w:firstLineChars="200"/>
        <w:rPr>
          <w:rFonts w:ascii="宋体" w:hAnsi="宋体"/>
          <w:color w:val="auto"/>
          <w:szCs w:val="21"/>
          <w:highlight w:val="none"/>
          <w:u w:val="single"/>
        </w:rPr>
      </w:pPr>
      <w:r>
        <w:rPr>
          <w:rFonts w:ascii="宋体" w:hAnsi="宋体"/>
          <w:color w:val="auto"/>
          <w:szCs w:val="21"/>
          <w:highlight w:val="none"/>
        </w:rPr>
        <w:t>1.</w:t>
      </w:r>
      <w:r>
        <w:rPr>
          <w:rFonts w:hint="eastAsia" w:ascii="宋体" w:hAnsi="宋体"/>
          <w:color w:val="auto"/>
          <w:szCs w:val="21"/>
          <w:highlight w:val="none"/>
        </w:rPr>
        <w:t>标段划分：</w:t>
      </w:r>
      <w:r>
        <w:rPr>
          <w:rFonts w:hint="eastAsia" w:ascii="宋体" w:hAnsi="宋体"/>
          <w:color w:val="auto"/>
          <w:szCs w:val="21"/>
          <w:highlight w:val="none"/>
          <w:u w:val="single"/>
        </w:rPr>
        <w:t>本工程划分为1个标段。</w:t>
      </w:r>
    </w:p>
    <w:p w14:paraId="0F50D457">
      <w:pPr>
        <w:spacing w:line="45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招标内容及规模：</w:t>
      </w:r>
    </w:p>
    <w:p w14:paraId="34CA7CED">
      <w:pPr>
        <w:spacing w:line="450" w:lineRule="exact"/>
        <w:ind w:firstLine="420" w:firstLineChars="200"/>
        <w:rPr>
          <w:rFonts w:ascii="宋体" w:hAnsi="宋体"/>
          <w:color w:val="auto"/>
          <w:szCs w:val="21"/>
          <w:highlight w:val="none"/>
          <w:u w:val="single"/>
        </w:rPr>
      </w:pPr>
      <w:r>
        <w:rPr>
          <w:rFonts w:ascii="宋体" w:hAnsi="宋体"/>
          <w:color w:val="auto"/>
          <w:szCs w:val="21"/>
          <w:highlight w:val="none"/>
        </w:rPr>
        <w:t>2.1</w:t>
      </w:r>
      <w:r>
        <w:rPr>
          <w:rFonts w:hint="eastAsia" w:ascii="宋体" w:hAnsi="宋体"/>
          <w:color w:val="auto"/>
          <w:szCs w:val="21"/>
          <w:highlight w:val="none"/>
        </w:rPr>
        <w:t>招标内容：</w:t>
      </w:r>
      <w:r>
        <w:rPr>
          <w:rFonts w:hint="eastAsia" w:ascii="宋体" w:hAnsi="宋体"/>
          <w:color w:val="auto"/>
          <w:szCs w:val="21"/>
          <w:highlight w:val="none"/>
          <w:u w:val="single"/>
        </w:rPr>
        <w:t>项目占地面积约 31.34 万平方米，本次改造范围:东至新光快速，南至南洲路，西至西禄涌，北至海珠湖和创投小镇。项目的建设内容主要是对项目范围内的道路病害、安防、消防和垃圾分类点进行治理，以消除项目范围内安全隐患及改善人居环境。该项目属于小型道路，具体以招标文件、招标图纸、工程量清单及有关资料说明为准。</w:t>
      </w:r>
    </w:p>
    <w:p w14:paraId="69A37F92">
      <w:pPr>
        <w:spacing w:line="450" w:lineRule="exact"/>
        <w:ind w:firstLine="420" w:firstLineChars="200"/>
        <w:rPr>
          <w:rFonts w:ascii="宋体" w:hAnsi="宋体"/>
          <w:color w:val="auto"/>
          <w:szCs w:val="21"/>
          <w:highlight w:val="none"/>
          <w:u w:val="single"/>
        </w:rPr>
      </w:pPr>
      <w:r>
        <w:rPr>
          <w:rFonts w:hint="eastAsia" w:ascii="宋体" w:hAnsi="宋体"/>
          <w:color w:val="auto"/>
          <w:highlight w:val="none"/>
        </w:rPr>
        <w:t>2</w:t>
      </w:r>
      <w:r>
        <w:rPr>
          <w:rFonts w:ascii="宋体" w:hAnsi="宋体"/>
          <w:color w:val="auto"/>
          <w:highlight w:val="none"/>
        </w:rPr>
        <w:t>.2</w:t>
      </w:r>
      <w:r>
        <w:rPr>
          <w:rFonts w:hint="eastAsia" w:ascii="宋体" w:hAnsi="宋体"/>
          <w:color w:val="auto"/>
          <w:highlight w:val="none"/>
        </w:rPr>
        <w:t>招标规模：</w:t>
      </w:r>
      <w:r>
        <w:rPr>
          <w:rFonts w:hint="eastAsia" w:ascii="宋体" w:hAnsi="宋体"/>
          <w:color w:val="auto"/>
          <w:highlight w:val="none"/>
          <w:u w:val="single"/>
        </w:rPr>
        <w:t>项目总投资1090.22万元。</w:t>
      </w:r>
    </w:p>
    <w:p w14:paraId="7B82DB44">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最高投标限价：</w:t>
      </w:r>
      <w:r>
        <w:rPr>
          <w:rFonts w:ascii="宋体" w:hAnsi="宋体"/>
          <w:color w:val="auto"/>
          <w:szCs w:val="21"/>
          <w:highlight w:val="none"/>
          <w:u w:val="single"/>
        </w:rPr>
        <w:t>8274404.33</w:t>
      </w:r>
      <w:r>
        <w:rPr>
          <w:rFonts w:hint="eastAsia" w:ascii="宋体" w:hAnsi="宋体"/>
          <w:color w:val="auto"/>
          <w:szCs w:val="21"/>
          <w:highlight w:val="none"/>
        </w:rPr>
        <w:t>元。</w:t>
      </w:r>
    </w:p>
    <w:p w14:paraId="1C06FBA4">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六、资金来源：</w:t>
      </w:r>
      <w:r>
        <w:rPr>
          <w:rFonts w:hint="eastAsia" w:ascii="宋体" w:hAnsi="宋体"/>
          <w:color w:val="auto"/>
          <w:szCs w:val="21"/>
          <w:highlight w:val="none"/>
          <w:u w:val="single"/>
        </w:rPr>
        <w:t>区财政资金（政府债券为主）</w:t>
      </w:r>
    </w:p>
    <w:p w14:paraId="2B48DD43">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注：政府投资项目一律不得以建筑业企业带资承包的方式进行建设。</w:t>
      </w:r>
    </w:p>
    <w:p w14:paraId="796E5673">
      <w:pPr>
        <w:spacing w:line="450" w:lineRule="exact"/>
        <w:ind w:firstLine="420" w:firstLineChars="200"/>
        <w:rPr>
          <w:rFonts w:ascii="宋体" w:hAnsi="宋体"/>
          <w:color w:val="auto"/>
          <w:szCs w:val="21"/>
          <w:highlight w:val="none"/>
          <w:u w:val="single"/>
        </w:rPr>
      </w:pPr>
      <w:r>
        <w:rPr>
          <w:rFonts w:hint="eastAsia" w:ascii="宋体" w:hAnsi="宋体" w:cs="宋体"/>
          <w:color w:val="auto"/>
          <w:kern w:val="0"/>
          <w:szCs w:val="21"/>
          <w:highlight w:val="none"/>
        </w:rPr>
        <w:t>七、</w:t>
      </w:r>
      <w:r>
        <w:rPr>
          <w:rFonts w:hint="eastAsia" w:ascii="宋体" w:hAnsi="宋体"/>
          <w:color w:val="auto"/>
          <w:szCs w:val="21"/>
          <w:highlight w:val="none"/>
        </w:rPr>
        <w:t>公告发布日期、</w:t>
      </w:r>
      <w:r>
        <w:rPr>
          <w:rFonts w:hint="eastAsia" w:ascii="宋体" w:hAnsi="宋体" w:cs="宋体"/>
          <w:color w:val="auto"/>
          <w:szCs w:val="21"/>
          <w:highlight w:val="none"/>
        </w:rPr>
        <w:t>递交投标文件时间与开标时间：</w:t>
      </w:r>
    </w:p>
    <w:p w14:paraId="2C6A4199">
      <w:pPr>
        <w:spacing w:line="450" w:lineRule="exact"/>
        <w:ind w:firstLine="420" w:firstLineChars="200"/>
        <w:rPr>
          <w:rFonts w:ascii="宋体" w:hAnsi="宋体"/>
          <w:color w:val="auto"/>
          <w:szCs w:val="21"/>
          <w:highlight w:val="none"/>
          <w:u w:val="single"/>
        </w:rPr>
      </w:pPr>
      <w:r>
        <w:rPr>
          <w:rFonts w:ascii="宋体" w:hAnsi="宋体"/>
          <w:color w:val="auto"/>
          <w:szCs w:val="21"/>
          <w:highlight w:val="none"/>
        </w:rPr>
        <w:t>1.</w:t>
      </w:r>
      <w:r>
        <w:rPr>
          <w:rFonts w:hint="eastAsia" w:ascii="宋体" w:hAnsi="宋体"/>
          <w:color w:val="auto"/>
          <w:szCs w:val="21"/>
          <w:highlight w:val="none"/>
        </w:rPr>
        <w:t>公告发布日期（含本日）：</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  月  日至2024年  月  日  时  分</w:t>
      </w:r>
    </w:p>
    <w:p w14:paraId="278F620A">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凡有意参加投标者，请登录</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交易平台网站下载电子招标文件。</w:t>
      </w:r>
    </w:p>
    <w:p w14:paraId="6B31EA56">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注：发布招标公告的时间为招标公告发出之日起至投标截止时间止。</w:t>
      </w:r>
    </w:p>
    <w:p w14:paraId="0DE83057">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递交投标文件起始时间：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  月  日   时   分</w:t>
      </w:r>
      <w:r>
        <w:rPr>
          <w:rFonts w:hint="eastAsia" w:ascii="宋体" w:hAnsi="宋体"/>
          <w:color w:val="auto"/>
          <w:szCs w:val="21"/>
          <w:highlight w:val="none"/>
        </w:rPr>
        <w:t>；</w:t>
      </w:r>
    </w:p>
    <w:p w14:paraId="255B3079">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截止时间：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  月  日  时  分。</w:t>
      </w:r>
    </w:p>
    <w:p w14:paraId="13602272">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递交投标文件备用光盘时间：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  月  日  时  分至2024年  月  日  时  分；</w:t>
      </w:r>
    </w:p>
    <w:p w14:paraId="4BB41527">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递交投标文件备用光盘地点：广州交易集团有限公司（广州公共资源交易中心）开标室。</w:t>
      </w:r>
    </w:p>
    <w:p w14:paraId="3EDD7183">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开标开始时间：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  月  日  时  分。</w:t>
      </w:r>
    </w:p>
    <w:p w14:paraId="4F57A6F5">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24B52414">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投标人通过</w:t>
      </w:r>
      <w:r>
        <w:rPr>
          <w:rFonts w:hint="eastAsia" w:ascii="宋体" w:hAnsi="宋体"/>
          <w:color w:val="auto"/>
          <w:szCs w:val="21"/>
          <w:highlight w:val="none"/>
          <w:u w:val="single"/>
        </w:rPr>
        <w:t>广州交易集团有限公司（广州交易集团有限公司（广州公共资源交易中心））</w:t>
      </w:r>
      <w:r>
        <w:rPr>
          <w:rFonts w:hint="eastAsia" w:ascii="宋体" w:hAnsi="宋体"/>
          <w:color w:val="auto"/>
          <w:szCs w:val="21"/>
          <w:highlight w:val="none"/>
        </w:rPr>
        <w:t>交易平台递交电子投标文件。投标人应在递交投标文件截止时间前，登录</w:t>
      </w:r>
      <w:r>
        <w:rPr>
          <w:rFonts w:hint="eastAsia" w:ascii="宋体" w:hAnsi="宋体"/>
          <w:color w:val="auto"/>
          <w:szCs w:val="21"/>
          <w:highlight w:val="none"/>
          <w:u w:val="single"/>
        </w:rPr>
        <w:t>广州交易集团有限公司（广州交易集团有限公司（广州公共资源交易中心））交</w:t>
      </w:r>
      <w:r>
        <w:rPr>
          <w:rFonts w:hint="eastAsia" w:ascii="宋体" w:hAnsi="宋体"/>
          <w:color w:val="auto"/>
          <w:szCs w:val="21"/>
          <w:highlight w:val="none"/>
        </w:rPr>
        <w:t>易平台网站办理网上投标登记手续。按照交易平台关于全流程电子化项目的相关指南进行操作。详见：</w:t>
      </w:r>
      <w:r>
        <w:rPr>
          <w:rFonts w:hint="eastAsia" w:ascii="宋体" w:hAnsi="宋体"/>
          <w:color w:val="auto"/>
          <w:szCs w:val="21"/>
          <w:highlight w:val="none"/>
          <w:u w:val="single"/>
        </w:rPr>
        <w:t>广州交易集团有限公司（广州交易集团有限公司（广州公共资源交易中心））网站http://www.gzggzy.cn）最新发布的指引。</w:t>
      </w:r>
    </w:p>
    <w:p w14:paraId="58CB84EA">
      <w:pPr>
        <w:spacing w:line="450" w:lineRule="exact"/>
        <w:ind w:firstLine="420" w:firstLineChars="200"/>
        <w:rPr>
          <w:rFonts w:ascii="宋体" w:hAnsi="宋体"/>
          <w:color w:val="auto"/>
          <w:szCs w:val="21"/>
          <w:highlight w:val="none"/>
          <w:u w:val="single"/>
        </w:rPr>
      </w:pPr>
      <w:r>
        <w:rPr>
          <w:rFonts w:ascii="宋体" w:hAnsi="宋体"/>
          <w:color w:val="auto"/>
          <w:szCs w:val="21"/>
          <w:highlight w:val="none"/>
        </w:rPr>
        <w:t>6.</w:t>
      </w:r>
      <w:r>
        <w:rPr>
          <w:rFonts w:hint="eastAsia" w:ascii="宋体" w:hAnsi="宋体"/>
          <w:color w:val="auto"/>
          <w:szCs w:val="21"/>
          <w:highlight w:val="none"/>
        </w:rPr>
        <w:t>在投标登记时，投标人应按要求在交易系统中填写《施工项目管理团队人员信息表》（详见本公告附件二），表中的项目管理团队人员信息作为投标文件的一部分，将由交易系统提取后供各相关单位在中标人履约时进行比对、查核。</w:t>
      </w:r>
    </w:p>
    <w:p w14:paraId="592109FF">
      <w:pPr>
        <w:spacing w:line="450" w:lineRule="exact"/>
        <w:ind w:firstLine="420" w:firstLineChars="200"/>
        <w:rPr>
          <w:rFonts w:ascii="宋体" w:hAnsi="宋体"/>
          <w:color w:val="auto"/>
          <w:szCs w:val="21"/>
          <w:highlight w:val="none"/>
          <w:u w:val="single"/>
        </w:rPr>
      </w:pPr>
      <w:r>
        <w:rPr>
          <w:rFonts w:hint="eastAsia" w:ascii="宋体" w:hAnsi="宋体" w:cs="宋体"/>
          <w:color w:val="auto"/>
          <w:kern w:val="0"/>
          <w:szCs w:val="21"/>
          <w:highlight w:val="none"/>
        </w:rPr>
        <w:t>八、招标文件获取方式：</w:t>
      </w:r>
    </w:p>
    <w:p w14:paraId="0A8AE4FB">
      <w:pPr>
        <w:spacing w:line="450" w:lineRule="exact"/>
        <w:ind w:firstLine="420" w:firstLineChars="200"/>
        <w:rPr>
          <w:rFonts w:ascii="宋体" w:hAnsi="宋体"/>
          <w:color w:val="auto"/>
          <w:szCs w:val="21"/>
          <w:highlight w:val="none"/>
          <w:u w:val="single"/>
        </w:rPr>
      </w:pPr>
      <w:r>
        <w:rPr>
          <w:rFonts w:hint="eastAsia" w:ascii="宋体" w:hAnsi="宋体" w:cs="宋体"/>
          <w:color w:val="auto"/>
          <w:kern w:val="0"/>
          <w:szCs w:val="21"/>
          <w:highlight w:val="none"/>
        </w:rPr>
        <w:t>本项目招标文件随招标公告一并在</w:t>
      </w:r>
      <w:r>
        <w:rPr>
          <w:rFonts w:hint="eastAsia" w:ascii="宋体" w:hAnsi="宋体"/>
          <w:color w:val="auto"/>
          <w:szCs w:val="21"/>
          <w:highlight w:val="none"/>
          <w:u w:val="single"/>
        </w:rPr>
        <w:t>广州交易集团有限公司（广州交易集团有限公司（广州公共资源交易中心））</w:t>
      </w:r>
      <w:r>
        <w:rPr>
          <w:rFonts w:hint="eastAsia" w:ascii="宋体" w:hAnsi="宋体"/>
          <w:color w:val="auto"/>
          <w:szCs w:val="21"/>
          <w:highlight w:val="none"/>
        </w:rPr>
        <w:t>交易平台网站发布。招标文件</w:t>
      </w:r>
      <w:r>
        <w:rPr>
          <w:rFonts w:hint="eastAsia" w:ascii="宋体" w:hAnsi="宋体" w:cs="宋体"/>
          <w:color w:val="auto"/>
          <w:kern w:val="0"/>
          <w:szCs w:val="21"/>
          <w:highlight w:val="none"/>
        </w:rPr>
        <w:t>一经在</w:t>
      </w:r>
      <w:r>
        <w:rPr>
          <w:rFonts w:hint="eastAsia" w:ascii="宋体" w:hAnsi="宋体"/>
          <w:color w:val="auto"/>
          <w:szCs w:val="21"/>
          <w:highlight w:val="none"/>
          <w:u w:val="single"/>
        </w:rPr>
        <w:t>广州交易集团有限公司（广州交易集团有限公司（广州公共资源交易中心））</w:t>
      </w:r>
      <w:r>
        <w:rPr>
          <w:rFonts w:hint="eastAsia" w:ascii="宋体" w:hAnsi="宋体"/>
          <w:color w:val="auto"/>
          <w:szCs w:val="21"/>
          <w:highlight w:val="none"/>
        </w:rPr>
        <w:t>交易平台</w:t>
      </w:r>
      <w:r>
        <w:rPr>
          <w:rFonts w:hint="eastAsia" w:ascii="宋体" w:hAnsi="宋体" w:cs="宋体"/>
          <w:color w:val="auto"/>
          <w:kern w:val="0"/>
          <w:szCs w:val="21"/>
          <w:highlight w:val="none"/>
        </w:rPr>
        <w:t>发布，视为发售给投标人，招标文件由投标人自行在</w:t>
      </w:r>
      <w:r>
        <w:rPr>
          <w:rFonts w:hint="eastAsia" w:ascii="宋体" w:hAnsi="宋体"/>
          <w:color w:val="auto"/>
          <w:szCs w:val="21"/>
          <w:highlight w:val="none"/>
          <w:u w:val="single"/>
        </w:rPr>
        <w:t>广州交易集团有限公司（广州交易集团有限公司（广州公共资源交易中心））</w:t>
      </w:r>
      <w:r>
        <w:rPr>
          <w:rFonts w:hint="eastAsia" w:ascii="宋体" w:hAnsi="宋体"/>
          <w:color w:val="auto"/>
          <w:szCs w:val="21"/>
          <w:highlight w:val="none"/>
        </w:rPr>
        <w:t>交易平台</w:t>
      </w:r>
      <w:r>
        <w:rPr>
          <w:rFonts w:hint="eastAsia" w:ascii="宋体" w:hAnsi="宋体" w:cs="宋体"/>
          <w:color w:val="auto"/>
          <w:kern w:val="0"/>
          <w:szCs w:val="21"/>
          <w:highlight w:val="none"/>
        </w:rPr>
        <w:t>网站下载。</w:t>
      </w:r>
    </w:p>
    <w:p w14:paraId="4D807B64">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九、投标人合格条件：</w:t>
      </w:r>
    </w:p>
    <w:p w14:paraId="2AFB77DB">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投标人参加投标的意思表达清楚，投标人代表被授权有效。</w:t>
      </w:r>
    </w:p>
    <w:p w14:paraId="4DF68F71">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投标人均具有独立法人资格，按国家法律经营。</w:t>
      </w:r>
    </w:p>
    <w:p w14:paraId="558F1B0A">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投标人均持有建设行政主管部门颁发的有效期内的企业资质证书及安全生产许可证。</w:t>
      </w:r>
    </w:p>
    <w:p w14:paraId="00BA645B">
      <w:pPr>
        <w:spacing w:line="45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投标人应具备承接本工程所需的</w:t>
      </w:r>
      <w:r>
        <w:rPr>
          <w:rFonts w:hint="eastAsia" w:ascii="宋体" w:hAnsi="宋体"/>
          <w:color w:val="auto"/>
          <w:szCs w:val="21"/>
          <w:highlight w:val="none"/>
          <w:u w:val="single"/>
        </w:rPr>
        <w:t>市政公用工程施工总承包三级或以上级别施工总承包资质</w:t>
      </w:r>
      <w:r>
        <w:rPr>
          <w:rFonts w:hint="eastAsia" w:ascii="宋体" w:hAnsi="宋体"/>
          <w:color w:val="auto"/>
          <w:szCs w:val="21"/>
          <w:highlight w:val="none"/>
        </w:rPr>
        <w:t>。</w:t>
      </w:r>
    </w:p>
    <w:p w14:paraId="4BE572CC">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投标人拟担任本工程项目负责人的人员为：</w:t>
      </w:r>
      <w:bookmarkStart w:id="0" w:name="_GoBack"/>
      <w:r>
        <w:rPr>
          <w:rFonts w:hint="eastAsia" w:ascii="宋体" w:hAnsi="宋体"/>
          <w:color w:val="auto"/>
          <w:szCs w:val="21"/>
          <w:highlight w:val="none"/>
          <w:u w:val="single"/>
        </w:rPr>
        <w:t>市政公用工程专业二级或以上注册建造师</w:t>
      </w:r>
      <w:bookmarkEnd w:id="0"/>
      <w:r>
        <w:rPr>
          <w:rFonts w:hint="eastAsia" w:ascii="宋体" w:hAnsi="宋体"/>
          <w:color w:val="auto"/>
          <w:szCs w:val="21"/>
          <w:highlight w:val="none"/>
        </w:rPr>
        <w:t>。</w:t>
      </w:r>
    </w:p>
    <w:p w14:paraId="54C02EA3">
      <w:pPr>
        <w:spacing w:line="45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283E51B2">
      <w:pPr>
        <w:spacing w:line="45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47178FE4">
      <w:pPr>
        <w:spacing w:line="45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12D6AEB9">
      <w:pPr>
        <w:spacing w:line="45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8671770">
      <w:pPr>
        <w:spacing w:line="45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6311ECC4">
      <w:pPr>
        <w:spacing w:line="45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ascii="宋体" w:hAnsi="宋体"/>
          <w:bCs/>
          <w:color w:val="auto"/>
          <w:szCs w:val="21"/>
          <w:highlight w:val="none"/>
        </w:rPr>
        <w:t>项目负责人持有安全</w:t>
      </w:r>
      <w:r>
        <w:rPr>
          <w:rFonts w:hint="eastAsia" w:ascii="宋体" w:hAnsi="宋体"/>
          <w:bCs/>
          <w:color w:val="auto"/>
          <w:szCs w:val="21"/>
          <w:highlight w:val="none"/>
        </w:rPr>
        <w:t>生产</w:t>
      </w:r>
      <w:r>
        <w:rPr>
          <w:rFonts w:ascii="宋体" w:hAnsi="宋体"/>
          <w:bCs/>
          <w:color w:val="auto"/>
          <w:szCs w:val="21"/>
          <w:highlight w:val="none"/>
        </w:rPr>
        <w:t>考核合格证（B类）</w:t>
      </w:r>
      <w:r>
        <w:rPr>
          <w:rFonts w:ascii="宋体" w:hAnsi="宋体" w:cs="宋体"/>
          <w:color w:val="auto"/>
          <w:szCs w:val="21"/>
          <w:highlight w:val="none"/>
        </w:rPr>
        <w:t>或</w:t>
      </w:r>
      <w:r>
        <w:rPr>
          <w:rFonts w:hint="eastAsia" w:ascii="宋体" w:hAnsi="宋体" w:cs="宋体"/>
          <w:color w:val="auto"/>
          <w:szCs w:val="21"/>
          <w:highlight w:val="none"/>
        </w:rPr>
        <w:t>建筑施工企业项目负责人安全生产考核合格证书。</w:t>
      </w:r>
    </w:p>
    <w:p w14:paraId="4E5E5DD3">
      <w:pPr>
        <w:spacing w:line="450" w:lineRule="exact"/>
        <w:ind w:firstLine="420" w:firstLineChars="200"/>
        <w:rPr>
          <w:rFonts w:ascii="宋体" w:hAnsi="宋体"/>
          <w:color w:val="auto"/>
          <w:szCs w:val="21"/>
          <w:highlight w:val="none"/>
          <w:u w:val="single"/>
        </w:rPr>
      </w:pPr>
      <w:r>
        <w:rPr>
          <w:rFonts w:ascii="宋体" w:hAnsi="宋体" w:cs="宋体"/>
          <w:color w:val="auto"/>
          <w:szCs w:val="21"/>
          <w:highlight w:val="none"/>
        </w:rPr>
        <w:t>6.</w:t>
      </w:r>
      <w:r>
        <w:rPr>
          <w:rFonts w:hint="eastAsia" w:ascii="宋体" w:hAnsi="宋体"/>
          <w:color w:val="auto"/>
          <w:szCs w:val="21"/>
          <w:highlight w:val="none"/>
        </w:rPr>
        <w:t>投标人拟担任本工程技术负责人的资格要求为：</w:t>
      </w:r>
      <w:r>
        <w:rPr>
          <w:rFonts w:hint="eastAsia" w:ascii="宋体" w:hAnsi="宋体"/>
          <w:color w:val="auto"/>
          <w:szCs w:val="21"/>
          <w:highlight w:val="none"/>
          <w:u w:val="single"/>
        </w:rPr>
        <w:t>具有市政工程相关专业中级或以上技术职称。</w:t>
      </w:r>
    </w:p>
    <w:p w14:paraId="203B52BF">
      <w:pPr>
        <w:spacing w:line="45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bCs/>
          <w:color w:val="auto"/>
          <w:szCs w:val="21"/>
          <w:highlight w:val="none"/>
        </w:rPr>
        <w:t>专职安全员须具有在有效期内的安全生产考核合格证（C类）或建筑施工企业专职安全生产管理人员安全生产考核合格证书（C3）</w:t>
      </w:r>
      <w:r>
        <w:rPr>
          <w:rFonts w:hint="eastAsia" w:ascii="宋体" w:hAnsi="宋体" w:cs="宋体"/>
          <w:color w:val="auto"/>
          <w:szCs w:val="21"/>
          <w:highlight w:val="none"/>
        </w:rPr>
        <w:t>。</w:t>
      </w:r>
    </w:p>
    <w:p w14:paraId="390FD825">
      <w:pPr>
        <w:spacing w:line="45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olor w:val="auto"/>
          <w:szCs w:val="21"/>
          <w:highlight w:val="none"/>
        </w:rPr>
        <w:t>投标人已按照附件一的内容签署盖章的《投标人声明》。</w:t>
      </w:r>
    </w:p>
    <w:p w14:paraId="5BECA656">
      <w:pPr>
        <w:spacing w:line="450" w:lineRule="exact"/>
        <w:ind w:firstLine="420" w:firstLineChars="200"/>
        <w:rPr>
          <w:rFonts w:ascii="宋体" w:hAnsi="宋体"/>
          <w:color w:val="auto"/>
          <w:szCs w:val="21"/>
          <w:highlight w:val="none"/>
          <w:u w:val="single"/>
        </w:rPr>
      </w:pPr>
      <w:r>
        <w:rPr>
          <w:rFonts w:hint="eastAsia" w:ascii="宋体" w:hAnsi="宋体" w:cs="宋体"/>
          <w:color w:val="auto"/>
          <w:szCs w:val="21"/>
          <w:highlight w:val="none"/>
        </w:rPr>
        <w:t>9</w:t>
      </w:r>
      <w:r>
        <w:rPr>
          <w:rFonts w:ascii="宋体" w:hAnsi="宋体" w:cs="宋体"/>
          <w:color w:val="auto"/>
          <w:szCs w:val="21"/>
          <w:highlight w:val="none"/>
        </w:rPr>
        <w:t>.</w:t>
      </w:r>
      <w:r>
        <w:rPr>
          <w:rFonts w:hint="eastAsia" w:ascii="宋体" w:hAnsi="宋体"/>
          <w:color w:val="auto"/>
          <w:szCs w:val="21"/>
          <w:highlight w:val="none"/>
        </w:rPr>
        <w:t>关于联合体投标：</w:t>
      </w:r>
      <w:r>
        <w:rPr>
          <w:rFonts w:hint="eastAsia" w:ascii="宋体" w:hAnsi="宋体"/>
          <w:color w:val="auto"/>
          <w:szCs w:val="21"/>
          <w:highlight w:val="none"/>
          <w:u w:val="single"/>
        </w:rPr>
        <w:t>本项目不接受联合体投标。</w:t>
      </w:r>
    </w:p>
    <w:p w14:paraId="351C1014">
      <w:pPr>
        <w:spacing w:line="450" w:lineRule="exact"/>
        <w:ind w:firstLine="420" w:firstLineChars="200"/>
        <w:rPr>
          <w:rFonts w:ascii="宋体" w:hAnsi="宋体"/>
          <w:bCs/>
          <w:color w:val="auto"/>
          <w:szCs w:val="21"/>
          <w:highlight w:val="none"/>
        </w:rPr>
      </w:pPr>
      <w:r>
        <w:rPr>
          <w:rFonts w:ascii="宋体" w:hAnsi="宋体" w:cs="宋体"/>
          <w:color w:val="auto"/>
          <w:szCs w:val="21"/>
          <w:highlight w:val="none"/>
        </w:rPr>
        <w:t>10.</w:t>
      </w:r>
      <w:r>
        <w:rPr>
          <w:rFonts w:hint="eastAsia" w:ascii="宋体" w:hAnsi="宋体"/>
          <w:bCs/>
          <w:color w:val="auto"/>
          <w:szCs w:val="21"/>
          <w:highlight w:val="none"/>
        </w:rPr>
        <w:t>资格审查前，投标人已在广州交易集团有限公司（广州公共资源交易中心）企业库办理企业信息登记，本项目负责人、专职安全员是本企业在广州交易集团有限公司（广州公共资源交易中心）企业信息登记中的在册人员。</w:t>
      </w:r>
    </w:p>
    <w:p w14:paraId="08A644C1">
      <w:pPr>
        <w:spacing w:line="450" w:lineRule="exact"/>
        <w:ind w:firstLine="420" w:firstLineChars="200"/>
        <w:rPr>
          <w:rFonts w:ascii="宋体" w:hAnsi="宋体"/>
          <w:bCs/>
          <w:color w:val="auto"/>
          <w:szCs w:val="21"/>
          <w:highlight w:val="none"/>
        </w:rPr>
      </w:pPr>
      <w:r>
        <w:rPr>
          <w:rFonts w:hint="eastAsia" w:ascii="宋体" w:hAnsi="宋体"/>
          <w:bCs/>
          <w:color w:val="auto"/>
          <w:szCs w:val="21"/>
          <w:highlight w:val="none"/>
        </w:rPr>
        <w:t>注：企业信息登记取自投标截止时间投标人在广州交易集团有限公司（广州公共资源交易中心）企业库的信息，投标人无需提交相关资料，若招标人延长递交投标文件截止时间的，企业信息的评审时点也相应延长。投标人应及时维护其在广州交易集团有限公司（广州公共资源交易中心）企业库信息，确保各项信息在有效期内。</w:t>
      </w:r>
    </w:p>
    <w:p w14:paraId="5BBA8355">
      <w:pPr>
        <w:spacing w:line="450" w:lineRule="exact"/>
        <w:ind w:firstLine="420" w:firstLineChars="200"/>
        <w:rPr>
          <w:rFonts w:ascii="宋体" w:hAnsi="宋体"/>
          <w:bCs/>
          <w:color w:val="auto"/>
          <w:szCs w:val="21"/>
          <w:highlight w:val="none"/>
        </w:rPr>
      </w:pPr>
      <w:r>
        <w:rPr>
          <w:rFonts w:ascii="宋体" w:hAnsi="宋体"/>
          <w:color w:val="auto"/>
          <w:szCs w:val="21"/>
          <w:highlight w:val="none"/>
        </w:rPr>
        <w:t>11.</w:t>
      </w:r>
      <w:r>
        <w:rPr>
          <w:rFonts w:hint="eastAsia" w:ascii="宋体" w:hAnsi="宋体"/>
          <w:bCs/>
          <w:color w:val="auto"/>
          <w:szCs w:val="21"/>
          <w:highlight w:val="none"/>
        </w:rPr>
        <w:t>投标人未出现以下情形：与其它投标人的单位负责人为同一人或者存在控股、管理关系的（按投标人提供的《投标人声明》第八条内容进行评审）。如不同投标人出现单位负责人为同一人或者存在控股、管理关系的情形，</w:t>
      </w:r>
      <w:r>
        <w:rPr>
          <w:rFonts w:hint="eastAsia" w:ascii="宋体" w:hAnsi="宋体"/>
          <w:bCs/>
          <w:color w:val="auto"/>
          <w:szCs w:val="21"/>
          <w:highlight w:val="none"/>
          <w:u w:val="single"/>
        </w:rPr>
        <w:t>则视为无效投标。</w:t>
      </w:r>
    </w:p>
    <w:p w14:paraId="2ACD2E5E">
      <w:pPr>
        <w:spacing w:line="450" w:lineRule="exact"/>
        <w:ind w:firstLine="420" w:firstLineChars="200"/>
        <w:rPr>
          <w:rFonts w:ascii="宋体" w:hAnsi="宋体"/>
          <w:bCs/>
          <w:color w:val="auto"/>
          <w:szCs w:val="21"/>
          <w:highlight w:val="none"/>
        </w:rPr>
      </w:pPr>
      <w:r>
        <w:rPr>
          <w:rFonts w:ascii="宋体" w:hAnsi="宋体"/>
          <w:bCs/>
          <w:color w:val="auto"/>
          <w:szCs w:val="21"/>
          <w:highlight w:val="none"/>
        </w:rPr>
        <w:t>12.</w:t>
      </w:r>
      <w:r>
        <w:rPr>
          <w:rFonts w:hint="eastAsia" w:ascii="宋体" w:hAnsi="宋体"/>
          <w:bCs/>
          <w:color w:val="auto"/>
          <w:szCs w:val="21"/>
          <w:highlight w:val="none"/>
        </w:rPr>
        <w:t>未被列入拖欠农民工工资失信联合惩戒对象名单。</w:t>
      </w:r>
    </w:p>
    <w:p w14:paraId="1FC4EDBD">
      <w:pPr>
        <w:spacing w:line="450" w:lineRule="exact"/>
        <w:ind w:firstLine="420" w:firstLineChars="200"/>
        <w:rPr>
          <w:rFonts w:ascii="宋体" w:hAnsi="宋体"/>
          <w:bCs/>
          <w:color w:val="auto"/>
          <w:szCs w:val="21"/>
          <w:highlight w:val="none"/>
        </w:rPr>
      </w:pPr>
      <w:r>
        <w:rPr>
          <w:rFonts w:hint="eastAsia" w:ascii="宋体" w:hAnsi="宋体"/>
          <w:color w:val="auto"/>
          <w:szCs w:val="21"/>
          <w:highlight w:val="none"/>
        </w:rPr>
        <w:t>注：未在招标公告第九条单列的资审合格条件，不作为资审不合格的依据。</w:t>
      </w:r>
    </w:p>
    <w:p w14:paraId="71C31C6E">
      <w:pPr>
        <w:spacing w:line="450" w:lineRule="exact"/>
        <w:ind w:firstLine="420" w:firstLineChars="200"/>
        <w:rPr>
          <w:rFonts w:ascii="宋体" w:hAnsi="宋体"/>
          <w:bCs/>
          <w:color w:val="auto"/>
          <w:szCs w:val="21"/>
          <w:highlight w:val="none"/>
        </w:rPr>
      </w:pPr>
      <w:r>
        <w:rPr>
          <w:rFonts w:hint="eastAsia" w:ascii="宋体" w:hAnsi="宋体" w:cs="宋体"/>
          <w:color w:val="auto"/>
          <w:szCs w:val="21"/>
          <w:highlight w:val="none"/>
        </w:rPr>
        <w:t>十、资格审查方式：</w:t>
      </w:r>
    </w:p>
    <w:p w14:paraId="1EA7829E">
      <w:pPr>
        <w:spacing w:line="450" w:lineRule="exact"/>
        <w:ind w:firstLine="420" w:firstLineChars="200"/>
        <w:rPr>
          <w:rFonts w:ascii="宋体" w:hAnsi="宋体"/>
          <w:bCs/>
          <w:color w:val="auto"/>
          <w:szCs w:val="21"/>
          <w:highlight w:val="none"/>
        </w:rPr>
      </w:pPr>
      <w:r>
        <w:rPr>
          <w:rFonts w:hint="eastAsia" w:ascii="宋体" w:hAnsi="宋体" w:cs="宋体"/>
          <w:color w:val="auto"/>
          <w:szCs w:val="21"/>
          <w:highlight w:val="none"/>
        </w:rPr>
        <w:t>本工程采用资格后审方式，由评标委员会负责资格审查。</w:t>
      </w:r>
    </w:p>
    <w:p w14:paraId="5ED3EE3F">
      <w:pPr>
        <w:spacing w:line="450" w:lineRule="exact"/>
        <w:ind w:firstLine="420" w:firstLineChars="200"/>
        <w:rPr>
          <w:rFonts w:ascii="宋体" w:hAnsi="宋体"/>
          <w:bCs/>
          <w:color w:val="auto"/>
          <w:szCs w:val="21"/>
          <w:highlight w:val="none"/>
        </w:rPr>
      </w:pPr>
      <w:r>
        <w:rPr>
          <w:rFonts w:hint="eastAsia" w:ascii="宋体" w:hAnsi="宋体"/>
          <w:color w:val="auto"/>
          <w:szCs w:val="21"/>
          <w:highlight w:val="none"/>
        </w:rPr>
        <w:t>十一、资格审查结果将在</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交易平台和广东省招标投标监管网公示，</w:t>
      </w:r>
      <w:r>
        <w:rPr>
          <w:rFonts w:hint="eastAsia" w:ascii="宋体" w:hAnsi="宋体"/>
          <w:bCs/>
          <w:color w:val="auto"/>
          <w:szCs w:val="21"/>
          <w:highlight w:val="none"/>
        </w:rPr>
        <w:t>公示时间不得少于3日。</w:t>
      </w:r>
    </w:p>
    <w:p w14:paraId="109E4F3B">
      <w:pPr>
        <w:spacing w:line="450" w:lineRule="exact"/>
        <w:ind w:firstLine="420" w:firstLineChars="200"/>
        <w:rPr>
          <w:rFonts w:ascii="宋体" w:hAnsi="宋体"/>
          <w:bCs/>
          <w:color w:val="auto"/>
          <w:szCs w:val="21"/>
          <w:highlight w:val="none"/>
        </w:rPr>
      </w:pPr>
      <w:r>
        <w:rPr>
          <w:rFonts w:hint="eastAsia" w:ascii="宋体" w:hAnsi="宋体"/>
          <w:color w:val="auto"/>
          <w:szCs w:val="21"/>
          <w:highlight w:val="none"/>
        </w:rPr>
        <w:t>十二、满足资格审查合格条件的投标人不足3名或通过有效性审查的投标人不足3名时为招标失败。招标人分析招标失败原因，修正招标方案，报有关管理部门核准后，重新组织招标。</w:t>
      </w:r>
    </w:p>
    <w:p w14:paraId="4B9C8EAD">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3BB9F41A">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十四、</w:t>
      </w:r>
      <w:r>
        <w:rPr>
          <w:rFonts w:hint="eastAsia" w:ascii="宋体" w:hAnsi="宋体"/>
          <w:bCs/>
          <w:color w:val="auto"/>
          <w:szCs w:val="21"/>
          <w:highlight w:val="none"/>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34B712D1">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十五、潜在投标人或利害关系人对本招标公告及招标文件有异议的，应当在投标截止时间10日前向招标人书面提出。</w:t>
      </w:r>
    </w:p>
    <w:p w14:paraId="47469A0D">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异议受理部门：</w:t>
      </w:r>
      <w:r>
        <w:rPr>
          <w:rFonts w:hint="eastAsia" w:ascii="宋体" w:hAnsi="宋体"/>
          <w:color w:val="auto"/>
          <w:szCs w:val="21"/>
          <w:highlight w:val="none"/>
          <w:u w:val="single"/>
        </w:rPr>
        <w:t>广州市海珠区人民政府南洲街道办事处</w:t>
      </w:r>
    </w:p>
    <w:p w14:paraId="1067AC8E">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异议受理电话：</w:t>
      </w:r>
      <w:r>
        <w:rPr>
          <w:rFonts w:ascii="宋体" w:hAnsi="宋体"/>
          <w:color w:val="auto"/>
          <w:szCs w:val="21"/>
          <w:highlight w:val="none"/>
          <w:u w:val="single"/>
        </w:rPr>
        <w:t>020-34317564</w:t>
      </w:r>
    </w:p>
    <w:p w14:paraId="05AA1AE1">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地址：</w:t>
      </w:r>
      <w:r>
        <w:rPr>
          <w:rFonts w:hint="eastAsia" w:ascii="宋体" w:hAnsi="宋体"/>
          <w:color w:val="auto"/>
          <w:szCs w:val="21"/>
          <w:highlight w:val="none"/>
          <w:u w:val="single"/>
        </w:rPr>
        <w:t>广州市海珠区南洲路331号</w:t>
      </w:r>
    </w:p>
    <w:p w14:paraId="11FF5FB5">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047CE1B">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十六、本公告在广州交易集团有限公司（广州公共资源交易中心）官网（网址：http://www.gzggzy.cn）、广东省招标投标监管网（网址：https://zbtb.gd.gov.cn/）和中国招标投标公共服务平台（网址：http://www.cebpubservice.com/）发布，本公告的修改、补充，在广州交易集团有限公司（广州公共资源交易中心）官网发布。本公告在各媒体发布的文本如有不同之处，以在广州交易集团有限公司（广州公共资源交易中心）官网发布的文本为准。</w:t>
      </w:r>
    </w:p>
    <w:p w14:paraId="1B5440D9">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十七、本招标公告及招标文件使用GZZB2018-3招标文件范本。本公告与范本内容不同之处均以下划线标明，所有标明下划线部分属于本公告的组成部分，同其他部分具有同样的效力。</w:t>
      </w:r>
    </w:p>
    <w:p w14:paraId="08485B14">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十八、</w:t>
      </w:r>
      <w:r>
        <w:rPr>
          <w:rFonts w:hint="eastAsia" w:ascii="宋体" w:hAnsi="宋体"/>
          <w:color w:val="auto"/>
          <w:szCs w:val="21"/>
          <w:highlight w:val="none"/>
          <w:lang w:val="en-US" w:eastAsia="zh-CN"/>
        </w:rPr>
        <w:t>招</w:t>
      </w:r>
      <w:r>
        <w:rPr>
          <w:rFonts w:hint="eastAsia" w:ascii="宋体" w:hAnsi="宋体"/>
          <w:color w:val="auto"/>
          <w:szCs w:val="21"/>
          <w:highlight w:val="none"/>
        </w:rPr>
        <w:t>标公告网上发布时，同时发布招标文件、施工图纸、最高投标限价。本工程根据国家和省有关计价规范设置最高投标限价。招标公告发布之日起计算编制投标文件时间，编制投标文件的时间不得少于20天。</w:t>
      </w:r>
    </w:p>
    <w:p w14:paraId="499D47EA">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特别提示：投标人在本项目招标人的工程项目中存在下列行为的，将被拒绝一定时期内参与招标人后续工程投标。（注：拒绝投标时限由招标人视严重程度确定，最低三个月起，自招标人发出通知之日起计）：</w:t>
      </w:r>
    </w:p>
    <w:p w14:paraId="6F295F17">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1.将中标工程转包或者违法分包的;</w:t>
      </w:r>
    </w:p>
    <w:p w14:paraId="5B63C7F2">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2.在中标工程中不执行质量、安全生产相关规定的，造成质量或安全事故的；</w:t>
      </w:r>
    </w:p>
    <w:p w14:paraId="21B1D840">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3.出让投标资格的；</w:t>
      </w:r>
    </w:p>
    <w:p w14:paraId="133956D7">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4.存在围标或串标情形的;</w:t>
      </w:r>
    </w:p>
    <w:p w14:paraId="3309ABD2">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5.在投标文件中提供虚假材料的；</w:t>
      </w:r>
    </w:p>
    <w:p w14:paraId="26D7D77A">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6. 存在少放、不放业绩、奖项等客观评审资料，减少自身竞争力情形的；</w:t>
      </w:r>
    </w:p>
    <w:p w14:paraId="2873DB2C">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7.存在行贿情形的;</w:t>
      </w:r>
    </w:p>
    <w:p w14:paraId="2F01FE09">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8.拖欠农民工工资的；</w:t>
      </w:r>
    </w:p>
    <w:p w14:paraId="0BEE786A">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9.未按照国家、省、市有关建筑施工实名制管理和工人工资支付分账管理的规定执行，被行政监管部门处罚的；</w:t>
      </w:r>
    </w:p>
    <w:p w14:paraId="571C95BC">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10.中标人在项目实施过程中选取的专业分包单位或劳务企业或劳务班组长与投标时不一致的（如有）；</w:t>
      </w:r>
    </w:p>
    <w:p w14:paraId="00D2D44D">
      <w:pPr>
        <w:spacing w:line="450" w:lineRule="exact"/>
        <w:ind w:firstLine="420" w:firstLineChars="200"/>
        <w:rPr>
          <w:rFonts w:ascii="宋体" w:hAnsi="宋体"/>
          <w:color w:val="auto"/>
          <w:szCs w:val="21"/>
          <w:highlight w:val="none"/>
        </w:rPr>
      </w:pPr>
    </w:p>
    <w:p w14:paraId="313F10A1">
      <w:pPr>
        <w:spacing w:line="450" w:lineRule="exact"/>
        <w:ind w:firstLine="420" w:firstLineChars="200"/>
        <w:rPr>
          <w:rFonts w:ascii="宋体" w:hAnsi="宋体"/>
          <w:color w:val="auto"/>
          <w:szCs w:val="21"/>
          <w:highlight w:val="none"/>
        </w:rPr>
      </w:pPr>
    </w:p>
    <w:p w14:paraId="7C27156B">
      <w:pPr>
        <w:spacing w:line="450" w:lineRule="exact"/>
        <w:ind w:right="252" w:rightChars="120" w:firstLine="3570" w:firstLineChars="1700"/>
        <w:jc w:val="right"/>
        <w:rPr>
          <w:rFonts w:ascii="宋体" w:hAnsi="宋体"/>
          <w:color w:val="auto"/>
          <w:szCs w:val="21"/>
          <w:highlight w:val="none"/>
        </w:rPr>
      </w:pPr>
    </w:p>
    <w:p w14:paraId="67B077FE">
      <w:pPr>
        <w:spacing w:line="450" w:lineRule="exact"/>
        <w:ind w:right="252" w:rightChars="120" w:firstLine="3570" w:firstLineChars="1700"/>
        <w:jc w:val="right"/>
        <w:rPr>
          <w:rFonts w:ascii="宋体" w:hAnsi="宋体"/>
          <w:color w:val="auto"/>
          <w:szCs w:val="21"/>
          <w:highlight w:val="none"/>
        </w:rPr>
      </w:pPr>
    </w:p>
    <w:p w14:paraId="5DA5EDAF">
      <w:pPr>
        <w:spacing w:line="450" w:lineRule="exact"/>
        <w:ind w:right="252" w:rightChars="120" w:firstLine="3570" w:firstLineChars="1700"/>
        <w:jc w:val="right"/>
        <w:rPr>
          <w:rFonts w:ascii="宋体" w:hAnsi="宋体"/>
          <w:color w:val="auto"/>
          <w:szCs w:val="21"/>
          <w:highlight w:val="none"/>
        </w:rPr>
      </w:pPr>
      <w:r>
        <w:rPr>
          <w:rFonts w:hint="eastAsia" w:ascii="宋体" w:hAnsi="宋体"/>
          <w:color w:val="auto"/>
          <w:szCs w:val="21"/>
          <w:highlight w:val="none"/>
        </w:rPr>
        <w:t>招标人：广州市海珠区人民政府南洲街道办事处</w:t>
      </w:r>
    </w:p>
    <w:p w14:paraId="09692BEC">
      <w:pPr>
        <w:spacing w:line="450" w:lineRule="exact"/>
        <w:ind w:right="252" w:rightChars="120" w:firstLine="3570" w:firstLineChars="1700"/>
        <w:jc w:val="right"/>
        <w:rPr>
          <w:rFonts w:ascii="宋体" w:hAnsi="宋体"/>
          <w:color w:val="auto"/>
          <w:szCs w:val="21"/>
          <w:highlight w:val="none"/>
        </w:rPr>
      </w:pPr>
      <w:r>
        <w:rPr>
          <w:rFonts w:hint="eastAsia" w:ascii="宋体" w:hAnsi="宋体"/>
          <w:color w:val="auto"/>
          <w:szCs w:val="21"/>
          <w:highlight w:val="none"/>
        </w:rPr>
        <w:t>招标代理：广东省机电设备招标中心有限公司</w:t>
      </w:r>
    </w:p>
    <w:p w14:paraId="20B6738C">
      <w:pPr>
        <w:spacing w:line="450" w:lineRule="exact"/>
        <w:ind w:right="252" w:rightChars="120" w:firstLine="6098" w:firstLineChars="2904"/>
        <w:jc w:val="right"/>
        <w:rPr>
          <w:rFonts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  月  日</w:t>
      </w:r>
    </w:p>
    <w:p w14:paraId="17B284D8">
      <w:pPr>
        <w:rPr>
          <w:rFonts w:ascii="宋体" w:hAnsi="宋体"/>
          <w:color w:val="auto"/>
          <w:szCs w:val="21"/>
          <w:highlight w:val="none"/>
        </w:rPr>
      </w:pPr>
      <w:r>
        <w:rPr>
          <w:rFonts w:hint="eastAsia" w:ascii="宋体" w:hAnsi="宋体"/>
          <w:color w:val="auto"/>
          <w:szCs w:val="21"/>
          <w:highlight w:val="none"/>
        </w:rPr>
        <w:br w:type="page"/>
      </w:r>
    </w:p>
    <w:p w14:paraId="44CB0D55">
      <w:pPr>
        <w:pStyle w:val="4"/>
        <w:rPr>
          <w:color w:val="auto"/>
          <w:highlight w:val="none"/>
        </w:rPr>
      </w:pPr>
    </w:p>
    <w:p w14:paraId="3004B311">
      <w:pPr>
        <w:spacing w:line="360" w:lineRule="auto"/>
        <w:rPr>
          <w:b/>
          <w:color w:val="auto"/>
          <w:sz w:val="44"/>
          <w:highlight w:val="none"/>
        </w:rPr>
      </w:pPr>
      <w:r>
        <w:rPr>
          <w:rFonts w:hint="eastAsia" w:ascii="宋体" w:hAnsi="宋体"/>
          <w:color w:val="auto"/>
          <w:sz w:val="24"/>
          <w:highlight w:val="none"/>
        </w:rPr>
        <w:t>附件一：</w:t>
      </w:r>
    </w:p>
    <w:p w14:paraId="519FC9E0">
      <w:pPr>
        <w:jc w:val="center"/>
        <w:rPr>
          <w:b/>
          <w:color w:val="auto"/>
          <w:sz w:val="44"/>
          <w:szCs w:val="44"/>
          <w:highlight w:val="none"/>
        </w:rPr>
      </w:pPr>
      <w:r>
        <w:rPr>
          <w:rFonts w:hint="eastAsia"/>
          <w:b/>
          <w:color w:val="auto"/>
          <w:kern w:val="0"/>
          <w:sz w:val="36"/>
          <w:szCs w:val="36"/>
          <w:highlight w:val="none"/>
        </w:rPr>
        <w:t>投标人</w:t>
      </w:r>
      <w:r>
        <w:rPr>
          <w:rFonts w:hint="eastAsia"/>
          <w:b/>
          <w:color w:val="auto"/>
          <w:sz w:val="36"/>
          <w:szCs w:val="36"/>
          <w:highlight w:val="none"/>
        </w:rPr>
        <w:t>声明</w:t>
      </w:r>
    </w:p>
    <w:p w14:paraId="5E6B0DCD">
      <w:pPr>
        <w:spacing w:line="340" w:lineRule="exact"/>
        <w:rPr>
          <w:rFonts w:ascii="宋体" w:hAnsi="宋体"/>
          <w:color w:val="auto"/>
          <w:szCs w:val="21"/>
          <w:highlight w:val="none"/>
        </w:rPr>
      </w:pPr>
      <w:r>
        <w:rPr>
          <w:rFonts w:hint="eastAsia" w:ascii="宋体" w:hAnsi="宋体"/>
          <w:color w:val="auto"/>
          <w:szCs w:val="21"/>
          <w:highlight w:val="none"/>
        </w:rPr>
        <w:t>本招标项目招标人及招标监管机构：</w:t>
      </w:r>
    </w:p>
    <w:p w14:paraId="64C1D15E">
      <w:pPr>
        <w:spacing w:line="340" w:lineRule="exact"/>
        <w:ind w:firstLine="629"/>
        <w:rPr>
          <w:rFonts w:ascii="宋体" w:hAnsi="宋体"/>
          <w:color w:val="auto"/>
          <w:szCs w:val="21"/>
          <w:highlight w:val="none"/>
        </w:rPr>
      </w:pPr>
      <w:r>
        <w:rPr>
          <w:rFonts w:hint="eastAsia" w:ascii="宋体" w:hAnsi="宋体"/>
          <w:color w:val="auto"/>
          <w:szCs w:val="21"/>
          <w:highlight w:val="none"/>
        </w:rPr>
        <w:t>本公司就参加</w:t>
      </w:r>
      <w:r>
        <w:rPr>
          <w:rFonts w:ascii="宋体" w:hAnsi="宋体"/>
          <w:color w:val="auto"/>
          <w:szCs w:val="21"/>
          <w:highlight w:val="none"/>
        </w:rPr>
        <w:t xml:space="preserve">    </w:t>
      </w:r>
      <w:r>
        <w:rPr>
          <w:rFonts w:ascii="宋体" w:hAnsi="宋体"/>
          <w:color w:val="auto"/>
          <w:szCs w:val="21"/>
          <w:highlight w:val="none"/>
          <w:u w:val="single"/>
        </w:rPr>
        <w:t xml:space="preserve">（项目名称）    </w:t>
      </w:r>
      <w:r>
        <w:rPr>
          <w:rFonts w:hint="eastAsia" w:ascii="宋体" w:hAnsi="宋体"/>
          <w:color w:val="auto"/>
          <w:szCs w:val="21"/>
          <w:highlight w:val="none"/>
        </w:rPr>
        <w:t>投标工作，作出郑重声明：</w:t>
      </w:r>
    </w:p>
    <w:p w14:paraId="0660A105">
      <w:pPr>
        <w:spacing w:line="340" w:lineRule="exact"/>
        <w:ind w:firstLine="629"/>
        <w:rPr>
          <w:rFonts w:ascii="宋体" w:hAnsi="宋体"/>
          <w:color w:val="auto"/>
          <w:szCs w:val="21"/>
          <w:highlight w:val="none"/>
        </w:rPr>
      </w:pPr>
      <w:r>
        <w:rPr>
          <w:rFonts w:hint="eastAsia" w:ascii="宋体" w:hAnsi="宋体"/>
          <w:color w:val="auto"/>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2DD98732">
      <w:pPr>
        <w:spacing w:line="340" w:lineRule="exact"/>
        <w:ind w:firstLine="629"/>
        <w:rPr>
          <w:rFonts w:ascii="宋体" w:hAnsi="宋体"/>
          <w:color w:val="auto"/>
          <w:szCs w:val="21"/>
          <w:highlight w:val="none"/>
        </w:rPr>
      </w:pPr>
      <w:r>
        <w:rPr>
          <w:rFonts w:hint="eastAsia" w:ascii="宋体" w:hAnsi="宋体"/>
          <w:color w:val="auto"/>
          <w:szCs w:val="21"/>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77B1296D">
      <w:pPr>
        <w:spacing w:line="340" w:lineRule="exact"/>
        <w:ind w:firstLine="629"/>
        <w:rPr>
          <w:rFonts w:ascii="宋体" w:hAnsi="宋体"/>
          <w:color w:val="auto"/>
          <w:szCs w:val="21"/>
          <w:highlight w:val="none"/>
        </w:rPr>
      </w:pPr>
      <w:r>
        <w:rPr>
          <w:rFonts w:hint="eastAsia" w:ascii="宋体" w:hAnsi="宋体"/>
          <w:color w:val="auto"/>
          <w:szCs w:val="21"/>
          <w:highlight w:val="none"/>
        </w:rPr>
        <w:t>三、本公司不存在下列情形之一：</w:t>
      </w:r>
    </w:p>
    <w:p w14:paraId="76C43E5F">
      <w:pPr>
        <w:spacing w:line="340" w:lineRule="exact"/>
        <w:ind w:firstLine="629"/>
        <w:rPr>
          <w:rFonts w:ascii="宋体" w:hAnsi="宋体"/>
          <w:color w:val="auto"/>
          <w:szCs w:val="21"/>
          <w:highlight w:val="none"/>
        </w:rPr>
      </w:pPr>
      <w:r>
        <w:rPr>
          <w:rFonts w:hint="eastAsia" w:ascii="宋体" w:hAnsi="宋体"/>
          <w:color w:val="auto"/>
          <w:szCs w:val="21"/>
          <w:highlight w:val="none"/>
        </w:rPr>
        <w:t>（1）为招标人不具有独立法人资格的附属机构（单位）；</w:t>
      </w:r>
    </w:p>
    <w:p w14:paraId="2E96A52C">
      <w:pPr>
        <w:spacing w:line="340" w:lineRule="exact"/>
        <w:ind w:firstLine="629"/>
        <w:rPr>
          <w:rFonts w:ascii="宋体" w:hAnsi="宋体"/>
          <w:color w:val="auto"/>
          <w:szCs w:val="21"/>
          <w:highlight w:val="none"/>
        </w:rPr>
      </w:pPr>
      <w:r>
        <w:rPr>
          <w:rFonts w:hint="eastAsia" w:ascii="宋体" w:hAnsi="宋体"/>
          <w:color w:val="auto"/>
          <w:szCs w:val="21"/>
          <w:highlight w:val="none"/>
        </w:rPr>
        <w:t>（2）为本标段前期准备提供设计或咨询服务或者与本项目设计人或提供咨询服务的机构存在附属关系的；</w:t>
      </w:r>
    </w:p>
    <w:p w14:paraId="38BAD229">
      <w:pPr>
        <w:spacing w:line="340" w:lineRule="exact"/>
        <w:ind w:firstLine="629"/>
        <w:rPr>
          <w:rFonts w:ascii="宋体" w:hAnsi="宋体"/>
          <w:color w:val="auto"/>
          <w:szCs w:val="21"/>
          <w:highlight w:val="none"/>
        </w:rPr>
      </w:pPr>
      <w:r>
        <w:rPr>
          <w:rFonts w:hint="eastAsia" w:ascii="宋体" w:hAnsi="宋体"/>
          <w:color w:val="auto"/>
          <w:szCs w:val="21"/>
          <w:highlight w:val="none"/>
        </w:rPr>
        <w:t>（3）为本标段监理人或者与本标段监理人存在隶属关系或者其他利害关系；</w:t>
      </w:r>
    </w:p>
    <w:p w14:paraId="2DC42248">
      <w:pPr>
        <w:spacing w:line="340" w:lineRule="exact"/>
        <w:ind w:firstLine="629"/>
        <w:rPr>
          <w:rFonts w:ascii="宋体" w:hAnsi="宋体"/>
          <w:color w:val="auto"/>
          <w:szCs w:val="21"/>
          <w:highlight w:val="none"/>
        </w:rPr>
      </w:pPr>
      <w:r>
        <w:rPr>
          <w:rFonts w:hint="eastAsia" w:ascii="宋体" w:hAnsi="宋体"/>
          <w:color w:val="auto"/>
          <w:szCs w:val="21"/>
          <w:highlight w:val="none"/>
        </w:rPr>
        <w:t>（4）为本标段的代建人；</w:t>
      </w:r>
    </w:p>
    <w:p w14:paraId="0888B282">
      <w:pPr>
        <w:spacing w:line="340" w:lineRule="exact"/>
        <w:ind w:firstLine="629"/>
        <w:rPr>
          <w:rFonts w:ascii="宋体" w:hAnsi="宋体"/>
          <w:color w:val="auto"/>
          <w:szCs w:val="21"/>
          <w:highlight w:val="none"/>
        </w:rPr>
      </w:pPr>
      <w:r>
        <w:rPr>
          <w:rFonts w:hint="eastAsia" w:ascii="宋体" w:hAnsi="宋体"/>
          <w:color w:val="auto"/>
          <w:szCs w:val="21"/>
          <w:highlight w:val="none"/>
        </w:rPr>
        <w:t>（5）为本标段提供招标代理服务的；</w:t>
      </w:r>
    </w:p>
    <w:p w14:paraId="2644B422">
      <w:pPr>
        <w:spacing w:line="340" w:lineRule="exact"/>
        <w:ind w:firstLine="629"/>
        <w:rPr>
          <w:rFonts w:ascii="宋体" w:hAnsi="宋体"/>
          <w:color w:val="auto"/>
          <w:szCs w:val="21"/>
          <w:highlight w:val="none"/>
        </w:rPr>
      </w:pPr>
      <w:r>
        <w:rPr>
          <w:rFonts w:hint="eastAsia" w:ascii="宋体" w:hAnsi="宋体"/>
          <w:color w:val="auto"/>
          <w:szCs w:val="21"/>
          <w:highlight w:val="none"/>
        </w:rPr>
        <w:t>（6）与本标段的监理人或代建人或招标代理机构同为一个法定代表人的；</w:t>
      </w:r>
    </w:p>
    <w:p w14:paraId="0208BA45">
      <w:pPr>
        <w:spacing w:line="340" w:lineRule="exact"/>
        <w:ind w:firstLine="629"/>
        <w:rPr>
          <w:rFonts w:ascii="宋体" w:hAnsi="宋体"/>
          <w:color w:val="auto"/>
          <w:szCs w:val="21"/>
          <w:highlight w:val="none"/>
        </w:rPr>
      </w:pPr>
      <w:r>
        <w:rPr>
          <w:rFonts w:hint="eastAsia" w:ascii="宋体" w:hAnsi="宋体"/>
          <w:color w:val="auto"/>
          <w:szCs w:val="21"/>
          <w:highlight w:val="none"/>
        </w:rPr>
        <w:t>（7）与本标段的监理人或代建人或招标代理机构互相控股或参股的；</w:t>
      </w:r>
    </w:p>
    <w:p w14:paraId="067BC2A7">
      <w:pPr>
        <w:spacing w:line="340" w:lineRule="exact"/>
        <w:ind w:firstLine="629"/>
        <w:rPr>
          <w:rFonts w:ascii="宋体" w:hAnsi="宋体"/>
          <w:color w:val="auto"/>
          <w:szCs w:val="21"/>
          <w:highlight w:val="none"/>
        </w:rPr>
      </w:pPr>
      <w:r>
        <w:rPr>
          <w:rFonts w:hint="eastAsia" w:ascii="宋体" w:hAnsi="宋体"/>
          <w:color w:val="auto"/>
          <w:szCs w:val="21"/>
          <w:highlight w:val="none"/>
        </w:rPr>
        <w:t>（8）与本标段的监理人或代建人或招标代理机构相互任职或工作的；</w:t>
      </w:r>
    </w:p>
    <w:p w14:paraId="0BACBEFA">
      <w:pPr>
        <w:spacing w:line="340" w:lineRule="exact"/>
        <w:ind w:firstLine="629"/>
        <w:rPr>
          <w:rFonts w:ascii="宋体" w:hAnsi="宋体"/>
          <w:color w:val="auto"/>
          <w:szCs w:val="21"/>
          <w:highlight w:val="none"/>
        </w:rPr>
      </w:pPr>
      <w:r>
        <w:rPr>
          <w:rFonts w:hint="eastAsia" w:ascii="宋体" w:hAnsi="宋体"/>
          <w:color w:val="auto"/>
          <w:szCs w:val="21"/>
          <w:highlight w:val="none"/>
        </w:rPr>
        <w:t>（9）与本标段的检测机构有隶属关系或者其他利害关系；</w:t>
      </w:r>
    </w:p>
    <w:p w14:paraId="2DBAADEF">
      <w:pPr>
        <w:spacing w:line="340" w:lineRule="exact"/>
        <w:ind w:firstLine="629"/>
        <w:rPr>
          <w:rFonts w:ascii="宋体" w:hAnsi="宋体"/>
          <w:color w:val="auto"/>
          <w:szCs w:val="21"/>
          <w:highlight w:val="none"/>
        </w:rPr>
      </w:pPr>
      <w:r>
        <w:rPr>
          <w:rFonts w:hint="eastAsia" w:ascii="宋体" w:hAnsi="宋体"/>
          <w:color w:val="auto"/>
          <w:szCs w:val="21"/>
          <w:highlight w:val="none"/>
        </w:rPr>
        <w:t xml:space="preserve">（10）与招标人存在利害关系且可能影响招标公正性； </w:t>
      </w:r>
    </w:p>
    <w:p w14:paraId="4165D91D">
      <w:pPr>
        <w:spacing w:line="340" w:lineRule="exact"/>
        <w:ind w:firstLine="629"/>
        <w:rPr>
          <w:rFonts w:ascii="宋体" w:hAnsi="宋体"/>
          <w:color w:val="auto"/>
          <w:szCs w:val="21"/>
          <w:highlight w:val="none"/>
        </w:rPr>
      </w:pPr>
      <w:r>
        <w:rPr>
          <w:rFonts w:hint="eastAsia" w:ascii="宋体" w:hAnsi="宋体"/>
          <w:color w:val="auto"/>
          <w:szCs w:val="21"/>
          <w:highlight w:val="none"/>
        </w:rPr>
        <w:t>（11）</w:t>
      </w:r>
      <w:r>
        <w:rPr>
          <w:rFonts w:hint="eastAsia" w:ascii="宋体" w:hAnsi="宋体" w:cs="宋体"/>
          <w:color w:val="auto"/>
          <w:szCs w:val="21"/>
          <w:highlight w:val="none"/>
        </w:rPr>
        <w:t>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452BEE64">
      <w:pPr>
        <w:spacing w:line="340" w:lineRule="exact"/>
        <w:ind w:firstLine="629"/>
        <w:rPr>
          <w:rFonts w:ascii="宋体" w:hAnsi="宋体"/>
          <w:color w:val="auto"/>
          <w:szCs w:val="21"/>
          <w:highlight w:val="none"/>
        </w:rPr>
      </w:pPr>
      <w:r>
        <w:rPr>
          <w:rFonts w:hint="eastAsia" w:ascii="宋体" w:hAnsi="宋体"/>
          <w:color w:val="auto"/>
          <w:szCs w:val="21"/>
          <w:highlight w:val="none"/>
        </w:rPr>
        <w:t xml:space="preserve">（12）被责令停产停业、暂扣或者吊销许可证、暂扣或者吊销执照的（本项事实应当以根据《中华人民共和国行政处罚法》依法作出并已经生效的行政处罚决定为认定依据。）； </w:t>
      </w:r>
    </w:p>
    <w:p w14:paraId="1A422639">
      <w:pPr>
        <w:spacing w:line="340" w:lineRule="exact"/>
        <w:ind w:firstLine="629"/>
        <w:rPr>
          <w:rFonts w:ascii="宋体" w:hAnsi="宋体"/>
          <w:color w:val="auto"/>
          <w:szCs w:val="21"/>
          <w:highlight w:val="none"/>
        </w:rPr>
      </w:pPr>
      <w:r>
        <w:rPr>
          <w:rFonts w:hint="eastAsia" w:ascii="宋体" w:hAnsi="宋体"/>
          <w:color w:val="auto"/>
          <w:szCs w:val="21"/>
          <w:highlight w:val="none"/>
        </w:rPr>
        <w:t>（13）进入清算程序，或被宣布破产，或其他丧失履约能力的情形；</w:t>
      </w:r>
    </w:p>
    <w:p w14:paraId="4ECDECA3">
      <w:pPr>
        <w:spacing w:line="340" w:lineRule="exact"/>
        <w:ind w:firstLine="630" w:firstLineChars="300"/>
        <w:rPr>
          <w:rFonts w:ascii="宋体" w:hAnsi="宋体"/>
          <w:color w:val="auto"/>
          <w:szCs w:val="21"/>
          <w:highlight w:val="none"/>
        </w:rPr>
      </w:pPr>
      <w:r>
        <w:rPr>
          <w:rFonts w:hint="eastAsia" w:ascii="宋体" w:hAnsi="宋体"/>
          <w:color w:val="auto"/>
          <w:szCs w:val="21"/>
          <w:highlight w:val="none"/>
        </w:rPr>
        <w:t xml:space="preserve">（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 </w:t>
      </w:r>
    </w:p>
    <w:p w14:paraId="04B405C0">
      <w:pPr>
        <w:spacing w:line="340" w:lineRule="exact"/>
        <w:ind w:firstLine="630" w:firstLineChars="300"/>
        <w:rPr>
          <w:rFonts w:ascii="宋体" w:hAnsi="宋体"/>
          <w:color w:val="auto"/>
          <w:szCs w:val="21"/>
          <w:highlight w:val="none"/>
        </w:rPr>
      </w:pPr>
      <w:r>
        <w:rPr>
          <w:rFonts w:hint="eastAsia" w:ascii="宋体" w:hAnsi="宋体"/>
          <w:color w:val="auto"/>
          <w:szCs w:val="21"/>
          <w:highlight w:val="none"/>
        </w:rPr>
        <w:t>（15）法律法规规定的其他情形。</w:t>
      </w:r>
    </w:p>
    <w:p w14:paraId="146C03FD">
      <w:pPr>
        <w:spacing w:line="340" w:lineRule="exact"/>
        <w:ind w:firstLine="629"/>
        <w:rPr>
          <w:rFonts w:ascii="仿宋_GB2312" w:hAnsi="Calisto MT" w:eastAsia="仿宋_GB2312"/>
          <w:color w:val="auto"/>
          <w:sz w:val="32"/>
          <w:szCs w:val="20"/>
          <w:highlight w:val="none"/>
        </w:rPr>
      </w:pPr>
      <w:r>
        <w:rPr>
          <w:rFonts w:hint="eastAsia" w:ascii="宋体" w:hAnsi="宋体"/>
          <w:color w:val="auto"/>
          <w:szCs w:val="21"/>
          <w:highlight w:val="none"/>
        </w:rPr>
        <w:t>四、本公司保证：本项目拟派的项目负责人没有在其他在建项目中任施工单位项目负责人，本项目拟派的专职安全员没有在其他在建项目中任职。</w:t>
      </w:r>
    </w:p>
    <w:p w14:paraId="11A255F9">
      <w:pPr>
        <w:spacing w:line="340" w:lineRule="exact"/>
        <w:ind w:firstLine="629"/>
        <w:rPr>
          <w:rFonts w:ascii="仿宋_GB2312" w:hAnsi="Calisto MT" w:eastAsia="仿宋_GB2312"/>
          <w:color w:val="auto"/>
          <w:sz w:val="32"/>
          <w:szCs w:val="20"/>
          <w:highlight w:val="none"/>
        </w:rPr>
      </w:pPr>
      <w:r>
        <w:rPr>
          <w:rFonts w:hint="eastAsia" w:ascii="宋体" w:hAnsi="宋体"/>
          <w:color w:val="auto"/>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267E5B6">
      <w:pPr>
        <w:spacing w:line="340" w:lineRule="exact"/>
        <w:ind w:firstLine="629"/>
        <w:rPr>
          <w:rFonts w:ascii="宋体" w:hAnsi="宋体"/>
          <w:color w:val="auto"/>
          <w:szCs w:val="21"/>
          <w:highlight w:val="none"/>
        </w:rPr>
      </w:pPr>
      <w:r>
        <w:rPr>
          <w:rFonts w:hint="eastAsia" w:ascii="宋体" w:hAnsi="宋体"/>
          <w:color w:val="auto"/>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15A6A5B">
      <w:pPr>
        <w:spacing w:line="340" w:lineRule="exact"/>
        <w:ind w:firstLine="629"/>
        <w:rPr>
          <w:rFonts w:ascii="宋体" w:hAnsi="宋体"/>
          <w:color w:val="auto"/>
          <w:szCs w:val="21"/>
          <w:highlight w:val="none"/>
        </w:rPr>
      </w:pPr>
      <w:r>
        <w:rPr>
          <w:rFonts w:hint="eastAsia" w:ascii="宋体" w:hAnsi="宋体"/>
          <w:color w:val="auto"/>
          <w:szCs w:val="21"/>
          <w:highlight w:val="none"/>
        </w:rPr>
        <w:t>七、本公司承诺，切实落实《住房城乡建设部人力资源社会保障部关于印发建筑工人实名</w:t>
      </w:r>
      <w:r>
        <w:rPr>
          <w:rFonts w:ascii="宋体" w:hAnsi="宋体"/>
          <w:color w:val="auto"/>
          <w:szCs w:val="21"/>
          <w:highlight w:val="none"/>
        </w:rPr>
        <w:t>制</w:t>
      </w:r>
      <w:r>
        <w:rPr>
          <w:rFonts w:hint="eastAsia" w:ascii="宋体" w:hAnsi="宋体"/>
          <w:color w:val="auto"/>
          <w:szCs w:val="21"/>
          <w:highlight w:val="none"/>
        </w:rPr>
        <w:t>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223CD8A4">
      <w:pPr>
        <w:spacing w:line="340" w:lineRule="exact"/>
        <w:ind w:firstLine="629"/>
        <w:rPr>
          <w:rFonts w:ascii="宋体" w:hAnsi="宋体"/>
          <w:color w:val="auto"/>
          <w:szCs w:val="21"/>
          <w:highlight w:val="none"/>
        </w:rPr>
      </w:pPr>
      <w:r>
        <w:rPr>
          <w:rFonts w:hint="eastAsia" w:ascii="宋体" w:hAnsi="宋体"/>
          <w:color w:val="auto"/>
          <w:szCs w:val="21"/>
          <w:highlight w:val="none"/>
        </w:rPr>
        <w:t>八、与本公司单位负责人为同一人或者与本公司存在控股、管理关系的其他单位包括：</w:t>
      </w:r>
      <w:r>
        <w:rPr>
          <w:rFonts w:ascii="宋体" w:hAnsi="宋体"/>
          <w:color w:val="auto"/>
          <w:szCs w:val="21"/>
          <w:highlight w:val="none"/>
          <w:u w:val="single"/>
        </w:rPr>
        <w:t xml:space="preserve">               </w:t>
      </w:r>
      <w:r>
        <w:rPr>
          <w:rFonts w:hint="eastAsia" w:ascii="宋体" w:hAnsi="宋体"/>
          <w:color w:val="auto"/>
          <w:szCs w:val="21"/>
          <w:highlight w:val="none"/>
        </w:rPr>
        <w:t>。（注：本条由投标人如实填写，如有，应列出全部满足招标公告资质要求的相关单位的名称；如无，则填写“无”。）</w:t>
      </w:r>
    </w:p>
    <w:p w14:paraId="499FDC75">
      <w:pPr>
        <w:spacing w:line="340" w:lineRule="exact"/>
        <w:ind w:firstLine="629"/>
        <w:rPr>
          <w:rFonts w:ascii="宋体" w:hAnsi="宋体"/>
          <w:color w:val="auto"/>
          <w:szCs w:val="21"/>
          <w:highlight w:val="none"/>
        </w:rPr>
      </w:pPr>
      <w:r>
        <w:rPr>
          <w:rFonts w:hint="eastAsia" w:ascii="宋体" w:hAnsi="宋体"/>
          <w:color w:val="auto"/>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523A4EE1">
      <w:pPr>
        <w:spacing w:line="340" w:lineRule="exact"/>
        <w:ind w:firstLine="629"/>
        <w:jc w:val="left"/>
        <w:rPr>
          <w:rFonts w:ascii="宋体" w:hAnsi="宋体"/>
          <w:color w:val="auto"/>
          <w:szCs w:val="21"/>
          <w:highlight w:val="none"/>
        </w:rPr>
      </w:pPr>
      <w:r>
        <w:rPr>
          <w:rFonts w:hint="eastAsia" w:ascii="宋体" w:hAnsi="宋体"/>
          <w:color w:val="auto"/>
          <w:szCs w:val="21"/>
          <w:highlight w:val="none"/>
        </w:rPr>
        <w:t>十、本公司承诺，中标后将按招标人要求，积极响应广州市关于投身“百千万工程”的号召，主动参与建筑业结对帮扶。</w:t>
      </w:r>
    </w:p>
    <w:p w14:paraId="4858A6B2">
      <w:pPr>
        <w:spacing w:line="340" w:lineRule="exact"/>
        <w:ind w:firstLine="629"/>
        <w:jc w:val="left"/>
        <w:rPr>
          <w:rFonts w:ascii="宋体" w:hAnsi="宋体"/>
          <w:color w:val="auto"/>
          <w:szCs w:val="21"/>
          <w:highlight w:val="none"/>
        </w:rPr>
      </w:pPr>
      <w:r>
        <w:rPr>
          <w:rFonts w:hint="eastAsia" w:ascii="宋体" w:hAnsi="宋体"/>
          <w:color w:val="auto"/>
          <w:szCs w:val="21"/>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37FD3B96">
      <w:pPr>
        <w:spacing w:line="340" w:lineRule="exact"/>
        <w:ind w:firstLine="629"/>
        <w:jc w:val="left"/>
        <w:rPr>
          <w:rFonts w:ascii="宋体" w:hAnsi="宋体"/>
          <w:color w:val="auto"/>
          <w:szCs w:val="21"/>
          <w:highlight w:val="none"/>
        </w:rPr>
      </w:pPr>
      <w:r>
        <w:rPr>
          <w:rFonts w:hint="eastAsia" w:ascii="宋体" w:hAnsi="宋体"/>
          <w:color w:val="auto"/>
          <w:szCs w:val="21"/>
          <w:highlight w:val="none"/>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1C7160D7">
      <w:pPr>
        <w:spacing w:line="340" w:lineRule="exact"/>
        <w:ind w:firstLine="629"/>
        <w:rPr>
          <w:rFonts w:ascii="宋体" w:hAnsi="宋体"/>
          <w:color w:val="auto"/>
          <w:szCs w:val="21"/>
          <w:highlight w:val="none"/>
        </w:rPr>
      </w:pPr>
    </w:p>
    <w:p w14:paraId="353C78AF">
      <w:pPr>
        <w:spacing w:line="340" w:lineRule="exact"/>
        <w:ind w:firstLine="629"/>
        <w:rPr>
          <w:rFonts w:ascii="宋体" w:hAnsi="宋体"/>
          <w:color w:val="auto"/>
          <w:szCs w:val="21"/>
          <w:highlight w:val="none"/>
        </w:rPr>
      </w:pPr>
    </w:p>
    <w:p w14:paraId="17409EE2">
      <w:pPr>
        <w:spacing w:line="340" w:lineRule="exact"/>
        <w:ind w:firstLine="629"/>
        <w:rPr>
          <w:rFonts w:hint="eastAsia" w:ascii="宋体" w:hAnsi="宋体" w:eastAsia="宋体"/>
          <w:color w:val="auto"/>
          <w:szCs w:val="21"/>
          <w:highlight w:val="none"/>
          <w:lang w:eastAsia="zh-CN"/>
        </w:rPr>
      </w:pPr>
      <w:r>
        <w:rPr>
          <w:rFonts w:hint="eastAsia" w:ascii="宋体" w:hAnsi="宋体"/>
          <w:color w:val="auto"/>
          <w:szCs w:val="21"/>
          <w:highlight w:val="none"/>
        </w:rPr>
        <w:t>特此声明</w:t>
      </w:r>
      <w:r>
        <w:rPr>
          <w:rFonts w:hint="eastAsia" w:ascii="宋体" w:hAnsi="宋体"/>
          <w:color w:val="auto"/>
          <w:szCs w:val="21"/>
          <w:highlight w:val="none"/>
          <w:lang w:eastAsia="zh-CN"/>
        </w:rPr>
        <w:t>。</w:t>
      </w:r>
    </w:p>
    <w:p w14:paraId="082C03E4">
      <w:pPr>
        <w:spacing w:line="320" w:lineRule="exact"/>
        <w:ind w:right="1470"/>
        <w:jc w:val="right"/>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声明企业</w:t>
      </w:r>
      <w:r>
        <w:rPr>
          <w:rFonts w:hint="eastAsia" w:ascii="宋体" w:hAnsi="宋体"/>
          <w:color w:val="auto"/>
          <w:kern w:val="0"/>
          <w:szCs w:val="21"/>
          <w:highlight w:val="none"/>
        </w:rPr>
        <w:t>（企业公章）</w:t>
      </w:r>
      <w:r>
        <w:rPr>
          <w:rFonts w:hint="eastAsia" w:ascii="宋体" w:hAnsi="宋体"/>
          <w:color w:val="auto"/>
          <w:szCs w:val="21"/>
          <w:highlight w:val="none"/>
        </w:rPr>
        <w:t>：</w:t>
      </w:r>
    </w:p>
    <w:p w14:paraId="16B187B9">
      <w:pPr>
        <w:spacing w:line="320" w:lineRule="exact"/>
        <w:ind w:right="1179" w:firstLine="5460" w:firstLineChars="2600"/>
        <w:jc w:val="both"/>
        <w:rPr>
          <w:rFonts w:ascii="宋体" w:hAnsi="宋体"/>
          <w:color w:val="auto"/>
          <w:szCs w:val="21"/>
          <w:highlight w:val="none"/>
        </w:rPr>
      </w:pPr>
      <w:r>
        <w:rPr>
          <w:rFonts w:hint="eastAsia" w:ascii="宋体" w:hAnsi="宋体"/>
          <w:color w:val="auto"/>
          <w:szCs w:val="21"/>
          <w:highlight w:val="none"/>
        </w:rPr>
        <w:t>项目负责人签字:</w:t>
      </w:r>
    </w:p>
    <w:p w14:paraId="7A105B54">
      <w:pPr>
        <w:spacing w:line="320" w:lineRule="exact"/>
        <w:ind w:right="879" w:firstLine="5460" w:firstLineChars="2600"/>
        <w:jc w:val="both"/>
        <w:rPr>
          <w:rFonts w:ascii="宋体" w:hAnsi="宋体"/>
          <w:color w:val="auto"/>
          <w:szCs w:val="21"/>
          <w:highlight w:val="none"/>
        </w:rPr>
      </w:pPr>
      <w:r>
        <w:rPr>
          <w:rFonts w:hint="eastAsia" w:ascii="宋体" w:hAnsi="宋体"/>
          <w:color w:val="auto"/>
          <w:szCs w:val="21"/>
          <w:highlight w:val="none"/>
        </w:rPr>
        <w:t>技术负责人签字：</w:t>
      </w:r>
    </w:p>
    <w:p w14:paraId="2E36B661">
      <w:pPr>
        <w:spacing w:line="320" w:lineRule="exact"/>
        <w:ind w:right="669" w:firstLine="1890" w:firstLineChars="900"/>
        <w:jc w:val="right"/>
        <w:rPr>
          <w:rFonts w:ascii="宋体" w:hAnsi="宋体"/>
          <w:color w:val="auto"/>
          <w:szCs w:val="21"/>
          <w:highlight w:val="none"/>
        </w:rPr>
      </w:pPr>
    </w:p>
    <w:p w14:paraId="4B5DFC47">
      <w:pPr>
        <w:spacing w:line="320" w:lineRule="exact"/>
        <w:ind w:right="669" w:firstLine="1890" w:firstLineChars="900"/>
        <w:jc w:val="right"/>
        <w:rPr>
          <w:rFonts w:ascii="宋体" w:hAnsi="宋体"/>
          <w:color w:val="auto"/>
          <w:szCs w:val="21"/>
          <w:highlight w:val="none"/>
        </w:rPr>
      </w:pPr>
      <w:r>
        <w:rPr>
          <w:rFonts w:hint="eastAsia" w:ascii="宋体" w:hAnsi="宋体"/>
          <w:color w:val="auto"/>
          <w:szCs w:val="21"/>
          <w:highlight w:val="none"/>
        </w:rPr>
        <w:t>年     月     日</w:t>
      </w:r>
    </w:p>
    <w:p w14:paraId="553E8FAF">
      <w:pPr>
        <w:snapToGrid w:val="0"/>
        <w:spacing w:line="360" w:lineRule="auto"/>
        <w:ind w:right="102"/>
        <w:jc w:val="left"/>
        <w:rPr>
          <w:rFonts w:ascii="宋体" w:hAnsi="宋体"/>
          <w:color w:val="auto"/>
          <w:szCs w:val="21"/>
          <w:highlight w:val="none"/>
        </w:rPr>
      </w:pPr>
    </w:p>
    <w:p w14:paraId="7B2C9C50">
      <w:pPr>
        <w:spacing w:line="360" w:lineRule="auto"/>
        <w:ind w:left="359" w:leftChars="171"/>
        <w:rPr>
          <w:color w:val="auto"/>
          <w:highlight w:val="none"/>
        </w:rPr>
      </w:pPr>
      <w:r>
        <w:rPr>
          <w:rFonts w:hint="eastAsia" w:ascii="宋体" w:hAnsi="宋体"/>
          <w:color w:val="auto"/>
          <w:szCs w:val="21"/>
          <w:highlight w:val="none"/>
        </w:rPr>
        <w:t>注：招标人应当要求投标人的项目负责人和技术负责人签字。</w:t>
      </w:r>
    </w:p>
    <w:p w14:paraId="10F8ADA2">
      <w:pPr>
        <w:spacing w:line="360" w:lineRule="auto"/>
        <w:rPr>
          <w:rFonts w:ascii="宋体" w:hAnsi="宋体" w:cs="黑体"/>
          <w:b/>
          <w:bCs/>
          <w:color w:val="auto"/>
          <w:kern w:val="0"/>
          <w:szCs w:val="21"/>
          <w:highlight w:val="none"/>
        </w:rPr>
      </w:pPr>
      <w:r>
        <w:rPr>
          <w:rFonts w:hint="eastAsia" w:ascii="宋体" w:hAnsi="宋体" w:cs="黑体"/>
          <w:b/>
          <w:bCs/>
          <w:color w:val="auto"/>
          <w:kern w:val="0"/>
          <w:szCs w:val="21"/>
          <w:highlight w:val="none"/>
        </w:rPr>
        <w:br w:type="page"/>
      </w:r>
    </w:p>
    <w:p w14:paraId="4FC5421D">
      <w:pPr>
        <w:spacing w:line="360" w:lineRule="auto"/>
        <w:outlineLvl w:val="0"/>
        <w:rPr>
          <w:rFonts w:ascii="宋体" w:hAnsi="宋体"/>
          <w:b/>
          <w:bCs/>
          <w:color w:val="auto"/>
          <w:szCs w:val="21"/>
          <w:highlight w:val="none"/>
        </w:rPr>
      </w:pPr>
      <w:r>
        <w:rPr>
          <w:rFonts w:hint="eastAsia" w:ascii="宋体" w:hAnsi="宋体"/>
          <w:b/>
          <w:bCs/>
          <w:color w:val="auto"/>
          <w:szCs w:val="21"/>
          <w:highlight w:val="none"/>
        </w:rPr>
        <w:t>附件二：</w:t>
      </w:r>
    </w:p>
    <w:p w14:paraId="23141451">
      <w:pPr>
        <w:spacing w:line="360" w:lineRule="auto"/>
        <w:jc w:val="center"/>
        <w:outlineLvl w:val="1"/>
        <w:rPr>
          <w:rFonts w:ascii="宋体" w:hAnsi="宋体"/>
          <w:b/>
          <w:color w:val="auto"/>
          <w:kern w:val="0"/>
          <w:sz w:val="24"/>
          <w:szCs w:val="24"/>
          <w:highlight w:val="none"/>
        </w:rPr>
      </w:pPr>
      <w:r>
        <w:rPr>
          <w:rFonts w:ascii="宋体" w:hAnsi="宋体"/>
          <w:b/>
          <w:color w:val="auto"/>
          <w:kern w:val="0"/>
          <w:sz w:val="24"/>
          <w:szCs w:val="24"/>
          <w:highlight w:val="none"/>
        </w:rPr>
        <w:t>施工项目管理团队人员信息表</w:t>
      </w:r>
    </w:p>
    <w:tbl>
      <w:tblPr>
        <w:tblStyle w:val="9"/>
        <w:tblW w:w="9100" w:type="dxa"/>
        <w:tblInd w:w="0" w:type="dxa"/>
        <w:tblLayout w:type="fixed"/>
        <w:tblCellMar>
          <w:top w:w="0" w:type="dxa"/>
          <w:left w:w="0" w:type="dxa"/>
          <w:bottom w:w="0" w:type="dxa"/>
          <w:right w:w="0" w:type="dxa"/>
        </w:tblCellMar>
      </w:tblPr>
      <w:tblGrid>
        <w:gridCol w:w="689"/>
        <w:gridCol w:w="1518"/>
        <w:gridCol w:w="1860"/>
        <w:gridCol w:w="1866"/>
        <w:gridCol w:w="3167"/>
      </w:tblGrid>
      <w:tr w14:paraId="7532591C">
        <w:tblPrEx>
          <w:tblCellMar>
            <w:top w:w="0" w:type="dxa"/>
            <w:left w:w="0" w:type="dxa"/>
            <w:bottom w:w="0" w:type="dxa"/>
            <w:right w:w="0" w:type="dxa"/>
          </w:tblCellMar>
        </w:tblPrEx>
        <w:trPr>
          <w:trHeight w:val="617"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3E25C6">
            <w:pPr>
              <w:widowControl/>
              <w:spacing w:line="276" w:lineRule="auto"/>
              <w:jc w:val="center"/>
              <w:textAlignment w:val="center"/>
              <w:rPr>
                <w:rFonts w:ascii="宋体" w:hAnsi="宋体" w:cs="仿宋"/>
                <w:b/>
                <w:color w:val="auto"/>
                <w:szCs w:val="21"/>
                <w:highlight w:val="none"/>
              </w:rPr>
            </w:pPr>
            <w:r>
              <w:rPr>
                <w:rFonts w:hint="eastAsia" w:ascii="宋体" w:hAnsi="宋体" w:cs="仿宋"/>
                <w:b/>
                <w:color w:val="auto"/>
                <w:kern w:val="0"/>
                <w:szCs w:val="21"/>
                <w:highlight w:val="none"/>
              </w:rPr>
              <w:t>序号</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48A23">
            <w:pPr>
              <w:widowControl/>
              <w:spacing w:line="276" w:lineRule="auto"/>
              <w:jc w:val="center"/>
              <w:textAlignment w:val="center"/>
              <w:rPr>
                <w:rFonts w:ascii="宋体" w:hAnsi="宋体" w:cs="仿宋"/>
                <w:b/>
                <w:color w:val="auto"/>
                <w:szCs w:val="21"/>
                <w:highlight w:val="none"/>
              </w:rPr>
            </w:pPr>
            <w:r>
              <w:rPr>
                <w:rFonts w:hint="eastAsia" w:ascii="宋体" w:hAnsi="宋体" w:cs="仿宋"/>
                <w:b/>
                <w:color w:val="auto"/>
                <w:kern w:val="0"/>
                <w:szCs w:val="21"/>
                <w:highlight w:val="none"/>
              </w:rPr>
              <w:t>姓名</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407AA">
            <w:pPr>
              <w:widowControl/>
              <w:spacing w:line="276" w:lineRule="auto"/>
              <w:jc w:val="center"/>
              <w:textAlignment w:val="center"/>
              <w:rPr>
                <w:rFonts w:ascii="宋体" w:hAnsi="宋体" w:cs="仿宋"/>
                <w:b/>
                <w:color w:val="auto"/>
                <w:szCs w:val="21"/>
                <w:highlight w:val="none"/>
              </w:rPr>
            </w:pPr>
            <w:r>
              <w:rPr>
                <w:rFonts w:hint="eastAsia" w:ascii="宋体" w:hAnsi="宋体" w:cs="仿宋"/>
                <w:b/>
                <w:color w:val="auto"/>
                <w:kern w:val="0"/>
                <w:szCs w:val="21"/>
                <w:highlight w:val="none"/>
              </w:rPr>
              <w:t>岗位</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F2CC8">
            <w:pPr>
              <w:widowControl/>
              <w:spacing w:line="276" w:lineRule="auto"/>
              <w:jc w:val="center"/>
              <w:textAlignment w:val="center"/>
              <w:rPr>
                <w:rFonts w:ascii="宋体" w:hAnsi="宋体" w:cs="仿宋"/>
                <w:b/>
                <w:color w:val="auto"/>
                <w:szCs w:val="21"/>
                <w:highlight w:val="none"/>
              </w:rPr>
            </w:pPr>
            <w:r>
              <w:rPr>
                <w:rFonts w:hint="eastAsia" w:ascii="宋体" w:hAnsi="宋体" w:cs="仿宋"/>
                <w:b/>
                <w:color w:val="auto"/>
                <w:kern w:val="0"/>
                <w:szCs w:val="21"/>
                <w:highlight w:val="none"/>
              </w:rPr>
              <w:t>职称</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05A28">
            <w:pPr>
              <w:widowControl/>
              <w:spacing w:line="276" w:lineRule="auto"/>
              <w:jc w:val="center"/>
              <w:textAlignment w:val="center"/>
              <w:rPr>
                <w:rFonts w:ascii="宋体" w:hAnsi="宋体" w:cs="仿宋"/>
                <w:b/>
                <w:color w:val="auto"/>
                <w:szCs w:val="21"/>
                <w:highlight w:val="none"/>
              </w:rPr>
            </w:pPr>
            <w:r>
              <w:rPr>
                <w:rFonts w:hint="eastAsia" w:ascii="宋体" w:hAnsi="宋体" w:cs="仿宋"/>
                <w:b/>
                <w:color w:val="auto"/>
                <w:kern w:val="0"/>
                <w:szCs w:val="21"/>
                <w:highlight w:val="none"/>
              </w:rPr>
              <w:t>职称证书或资格证书编号</w:t>
            </w:r>
          </w:p>
        </w:tc>
      </w:tr>
      <w:tr w14:paraId="0AC6E04E">
        <w:tblPrEx>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B8DBB">
            <w:pPr>
              <w:widowControl/>
              <w:spacing w:line="276" w:lineRule="auto"/>
              <w:jc w:val="center"/>
              <w:textAlignment w:val="center"/>
              <w:rPr>
                <w:rFonts w:ascii="宋体" w:hAnsi="宋体" w:cs="仿宋"/>
                <w:color w:val="auto"/>
                <w:szCs w:val="21"/>
                <w:highlight w:val="none"/>
              </w:rPr>
            </w:pPr>
            <w:r>
              <w:rPr>
                <w:rFonts w:hint="eastAsia" w:ascii="宋体" w:hAnsi="宋体" w:cs="仿宋"/>
                <w:color w:val="auto"/>
                <w:szCs w:val="21"/>
                <w:highlight w:val="none"/>
              </w:rPr>
              <w:t>1</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B18F5">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A87ABB9">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技术负责人</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2099C">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88963">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r>
      <w:tr w14:paraId="33BFE94C">
        <w:tblPrEx>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FBAF2">
            <w:pPr>
              <w:widowControl/>
              <w:spacing w:line="276" w:lineRule="auto"/>
              <w:jc w:val="center"/>
              <w:textAlignment w:val="center"/>
              <w:rPr>
                <w:rFonts w:ascii="宋体" w:hAnsi="宋体" w:cs="仿宋"/>
                <w:color w:val="auto"/>
                <w:szCs w:val="21"/>
                <w:highlight w:val="none"/>
              </w:rPr>
            </w:pPr>
            <w:r>
              <w:rPr>
                <w:rFonts w:hint="eastAsia" w:ascii="宋体" w:hAnsi="宋体" w:cs="仿宋"/>
                <w:color w:val="auto"/>
                <w:szCs w:val="21"/>
                <w:highlight w:val="none"/>
              </w:rPr>
              <w:t>2</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5EB5B2">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D50C4A5">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安全负责人</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6D39B">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A3A6C">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r>
      <w:tr w14:paraId="2DF0130B">
        <w:tblPrEx>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C3162">
            <w:pPr>
              <w:widowControl/>
              <w:spacing w:line="276" w:lineRule="auto"/>
              <w:jc w:val="center"/>
              <w:textAlignment w:val="center"/>
              <w:rPr>
                <w:rFonts w:ascii="宋体" w:hAnsi="宋体" w:cs="仿宋"/>
                <w:color w:val="auto"/>
                <w:szCs w:val="21"/>
                <w:highlight w:val="none"/>
              </w:rPr>
            </w:pPr>
            <w:r>
              <w:rPr>
                <w:rFonts w:hint="eastAsia" w:ascii="宋体" w:hAnsi="宋体" w:cs="仿宋"/>
                <w:color w:val="auto"/>
                <w:szCs w:val="21"/>
                <w:highlight w:val="none"/>
              </w:rPr>
              <w:t>3</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76B41">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A24B56A">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造价负责人</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6FFD3">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6DDC1">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r>
      <w:tr w14:paraId="3AED1137">
        <w:tblPrEx>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158F7">
            <w:pPr>
              <w:widowControl/>
              <w:spacing w:line="276" w:lineRule="auto"/>
              <w:jc w:val="center"/>
              <w:textAlignment w:val="center"/>
              <w:rPr>
                <w:rFonts w:ascii="宋体" w:hAnsi="宋体" w:cs="仿宋"/>
                <w:color w:val="auto"/>
                <w:szCs w:val="21"/>
                <w:highlight w:val="none"/>
              </w:rPr>
            </w:pPr>
            <w:r>
              <w:rPr>
                <w:rFonts w:hint="eastAsia" w:ascii="宋体" w:hAnsi="宋体" w:cs="仿宋"/>
                <w:color w:val="auto"/>
                <w:szCs w:val="21"/>
                <w:highlight w:val="none"/>
              </w:rPr>
              <w:t>……</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F7FE4">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62E64AE">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51B18B">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6289B">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r>
      <w:tr w14:paraId="45521E3B">
        <w:tblPrEx>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72A0E">
            <w:pPr>
              <w:widowControl/>
              <w:spacing w:line="276" w:lineRule="auto"/>
              <w:jc w:val="center"/>
              <w:textAlignment w:val="center"/>
              <w:rPr>
                <w:rFonts w:ascii="宋体" w:hAnsi="宋体" w:cs="仿宋"/>
                <w:color w:val="auto"/>
                <w:szCs w:val="21"/>
                <w:highlight w:val="none"/>
              </w:rPr>
            </w:pPr>
            <w:r>
              <w:rPr>
                <w:rFonts w:hint="eastAsia" w:ascii="宋体" w:hAnsi="宋体" w:cs="仿宋"/>
                <w:color w:val="auto"/>
                <w:szCs w:val="21"/>
                <w:highlight w:val="none"/>
              </w:rPr>
              <w:t>……</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8008E7">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E236994">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0C9C4">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D52817">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r>
      <w:tr w14:paraId="74FE9DED">
        <w:tblPrEx>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A9AE9">
            <w:pPr>
              <w:widowControl/>
              <w:spacing w:line="276" w:lineRule="auto"/>
              <w:jc w:val="center"/>
              <w:textAlignment w:val="center"/>
              <w:rPr>
                <w:rFonts w:ascii="宋体" w:hAnsi="宋体" w:cs="仿宋"/>
                <w:color w:val="auto"/>
                <w:szCs w:val="21"/>
                <w:highlight w:val="none"/>
              </w:rPr>
            </w:pPr>
            <w:r>
              <w:rPr>
                <w:rFonts w:hint="eastAsia" w:ascii="宋体" w:hAnsi="宋体" w:cs="仿宋"/>
                <w:color w:val="auto"/>
                <w:szCs w:val="21"/>
                <w:highlight w:val="none"/>
              </w:rPr>
              <w:t>……</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4BAA7">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1E1EF9A">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4D3D00">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BEF3C8">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r>
      <w:tr w14:paraId="3092C846">
        <w:tblPrEx>
          <w:tblCellMar>
            <w:top w:w="0" w:type="dxa"/>
            <w:left w:w="0" w:type="dxa"/>
            <w:bottom w:w="0" w:type="dxa"/>
            <w:right w:w="0" w:type="dxa"/>
          </w:tblCellMar>
        </w:tblPrEx>
        <w:trPr>
          <w:trHeight w:val="415" w:hRule="atLeast"/>
        </w:trPr>
        <w:tc>
          <w:tcPr>
            <w:tcW w:w="91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FEA7A">
            <w:pPr>
              <w:widowControl/>
              <w:spacing w:line="276" w:lineRule="auto"/>
              <w:jc w:val="left"/>
              <w:textAlignment w:val="center"/>
              <w:rPr>
                <w:rFonts w:ascii="宋体" w:hAnsi="宋体" w:cs="仿宋"/>
                <w:color w:val="auto"/>
                <w:szCs w:val="21"/>
                <w:highlight w:val="none"/>
              </w:rPr>
            </w:pPr>
            <w:r>
              <w:rPr>
                <w:rFonts w:ascii="宋体" w:hAnsi="宋体" w:cs="仿宋"/>
                <w:color w:val="auto"/>
                <w:szCs w:val="21"/>
                <w:highlight w:val="none"/>
              </w:rPr>
              <w:t>备注：</w:t>
            </w:r>
            <w:r>
              <w:rPr>
                <w:rFonts w:ascii="宋体" w:hAnsi="宋体" w:cs="仿宋"/>
                <w:color w:val="auto"/>
                <w:szCs w:val="21"/>
                <w:highlight w:val="none"/>
              </w:rPr>
              <w:br w:type="textWrapping"/>
            </w:r>
            <w:r>
              <w:rPr>
                <w:rFonts w:ascii="宋体" w:hAnsi="宋体" w:cs="仿宋"/>
                <w:color w:val="auto"/>
                <w:szCs w:val="21"/>
                <w:highlight w:val="none"/>
              </w:rPr>
              <w:t>1.“岗位”要求（除项目负责人和专职安全员外）由招标人根据项目管理需要在本表备注中明确提出，如：拟派驻施工现场的技术负责人、安全负责人、造价负责人、质量负责人、</w:t>
            </w:r>
            <w:r>
              <w:rPr>
                <w:rFonts w:hint="eastAsia" w:ascii="宋体" w:hAnsi="宋体" w:cs="仿宋"/>
                <w:color w:val="auto"/>
                <w:szCs w:val="21"/>
                <w:highlight w:val="none"/>
              </w:rPr>
              <w:t>市政公用工程师</w:t>
            </w:r>
            <w:r>
              <w:rPr>
                <w:rFonts w:ascii="宋体" w:hAnsi="宋体" w:cs="仿宋"/>
                <w:color w:val="auto"/>
                <w:szCs w:val="21"/>
                <w:highlight w:val="none"/>
              </w:rPr>
              <w:t>、</w:t>
            </w:r>
            <w:r>
              <w:rPr>
                <w:rFonts w:hint="eastAsia" w:ascii="宋体" w:hAnsi="宋体" w:cs="仿宋"/>
                <w:color w:val="auto"/>
                <w:szCs w:val="21"/>
                <w:highlight w:val="none"/>
              </w:rPr>
              <w:t>电气专业工程</w:t>
            </w:r>
            <w:r>
              <w:rPr>
                <w:rFonts w:ascii="宋体" w:hAnsi="宋体" w:cs="仿宋"/>
                <w:color w:val="auto"/>
                <w:szCs w:val="21"/>
                <w:highlight w:val="none"/>
              </w:rPr>
              <w:t>、</w:t>
            </w:r>
            <w:r>
              <w:rPr>
                <w:rFonts w:hint="eastAsia" w:ascii="宋体" w:hAnsi="宋体" w:cs="仿宋"/>
                <w:color w:val="auto"/>
                <w:szCs w:val="21"/>
                <w:highlight w:val="none"/>
              </w:rPr>
              <w:t>造价员</w:t>
            </w:r>
            <w:r>
              <w:rPr>
                <w:rFonts w:ascii="宋体" w:hAnsi="宋体" w:cs="仿宋"/>
                <w:color w:val="auto"/>
                <w:szCs w:val="21"/>
                <w:highlight w:val="none"/>
              </w:rPr>
              <w:t>、</w:t>
            </w:r>
            <w:r>
              <w:rPr>
                <w:rFonts w:hint="eastAsia" w:ascii="宋体" w:hAnsi="宋体" w:cs="仿宋"/>
                <w:color w:val="auto"/>
                <w:szCs w:val="21"/>
                <w:highlight w:val="none"/>
              </w:rPr>
              <w:t>施工员、质量员、安全员、资料员</w:t>
            </w:r>
            <w:r>
              <w:rPr>
                <w:rFonts w:ascii="宋体" w:hAnsi="宋体" w:cs="仿宋"/>
                <w:color w:val="auto"/>
                <w:szCs w:val="21"/>
                <w:highlight w:val="none"/>
              </w:rPr>
              <w:t>等。以上项目管理团队人员信息将由交易系统提取后供各相关单位在履约时比对、查核。</w:t>
            </w:r>
          </w:p>
          <w:p w14:paraId="71D343EC">
            <w:pPr>
              <w:widowControl/>
              <w:spacing w:line="276" w:lineRule="auto"/>
              <w:jc w:val="left"/>
              <w:textAlignment w:val="center"/>
              <w:rPr>
                <w:rFonts w:ascii="宋体" w:hAnsi="宋体" w:cs="仿宋"/>
                <w:color w:val="auto"/>
                <w:szCs w:val="21"/>
                <w:highlight w:val="none"/>
              </w:rPr>
            </w:pPr>
            <w:r>
              <w:rPr>
                <w:rFonts w:hint="eastAsia" w:ascii="宋体" w:hAnsi="宋体" w:cs="仿宋"/>
                <w:color w:val="auto"/>
                <w:szCs w:val="21"/>
                <w:highlight w:val="none"/>
              </w:rPr>
              <w:t>2</w:t>
            </w:r>
            <w:r>
              <w:rPr>
                <w:rFonts w:ascii="宋体" w:hAnsi="宋体" w:cs="仿宋"/>
                <w:color w:val="auto"/>
                <w:szCs w:val="21"/>
                <w:highlight w:val="none"/>
              </w:rPr>
              <w:t>.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Fonts w:hint="eastAsia" w:ascii="宋体" w:hAnsi="宋体" w:cs="仿宋"/>
                <w:color w:val="auto"/>
                <w:szCs w:val="21"/>
                <w:highlight w:val="none"/>
              </w:rPr>
              <w:t>（</w:t>
            </w:r>
            <w:r>
              <w:rPr>
                <w:rFonts w:ascii="宋体" w:hAnsi="宋体" w:cs="仿宋"/>
                <w:color w:val="auto"/>
                <w:szCs w:val="21"/>
                <w:highlight w:val="none"/>
              </w:rPr>
              <w:t>投标截止时间前可以补充、修改、替代</w:t>
            </w:r>
            <w:r>
              <w:rPr>
                <w:rFonts w:hint="eastAsia" w:ascii="宋体" w:hAnsi="宋体" w:cs="仿宋"/>
                <w:color w:val="auto"/>
                <w:szCs w:val="21"/>
                <w:highlight w:val="none"/>
              </w:rPr>
              <w:t>）</w:t>
            </w:r>
            <w:r>
              <w:rPr>
                <w:rFonts w:ascii="宋体" w:hAnsi="宋体" w:cs="仿宋"/>
                <w:color w:val="auto"/>
                <w:szCs w:val="21"/>
                <w:highlight w:val="none"/>
              </w:rPr>
              <w:t>。</w:t>
            </w:r>
          </w:p>
          <w:p w14:paraId="4F883578">
            <w:pPr>
              <w:widowControl/>
              <w:spacing w:line="276" w:lineRule="auto"/>
              <w:jc w:val="left"/>
              <w:textAlignment w:val="center"/>
              <w:rPr>
                <w:rFonts w:ascii="宋体" w:hAnsi="宋体" w:cs="仿宋"/>
                <w:color w:val="auto"/>
                <w:szCs w:val="21"/>
                <w:highlight w:val="none"/>
              </w:rPr>
            </w:pPr>
            <w:r>
              <w:rPr>
                <w:rFonts w:ascii="宋体" w:hAnsi="宋体" w:cs="仿宋"/>
                <w:color w:val="auto"/>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20EBF15F">
      <w:pPr>
        <w:spacing w:line="276" w:lineRule="auto"/>
        <w:rPr>
          <w:rFonts w:ascii="宋体" w:hAnsi="宋体"/>
          <w:color w:val="auto"/>
          <w:szCs w:val="21"/>
          <w:highlight w:val="none"/>
        </w:rPr>
      </w:pPr>
      <w:r>
        <w:rPr>
          <w:rFonts w:hint="eastAsia" w:ascii="宋体" w:hAnsi="宋体"/>
          <w:color w:val="auto"/>
          <w:szCs w:val="21"/>
          <w:highlight w:val="none"/>
        </w:rPr>
        <w:t>注：投标人按本表格式可自行扩展填写。</w:t>
      </w:r>
    </w:p>
    <w:p w14:paraId="5011CCB0">
      <w:pPr>
        <w:pStyle w:val="4"/>
        <w:rPr>
          <w:rFonts w:ascii="宋体" w:hAnsi="宋体" w:eastAsia="宋体"/>
          <w:color w:val="auto"/>
          <w:highlight w:val="none"/>
        </w:rPr>
      </w:pPr>
    </w:p>
    <w:sectPr>
      <w:headerReference r:id="rId3" w:type="default"/>
      <w:footerReference r:id="rId4" w:type="default"/>
      <w:pgSz w:w="11906" w:h="16838"/>
      <w:pgMar w:top="1418" w:right="1418" w:bottom="1418" w:left="1418" w:header="851" w:footer="68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C7A6">
    <w:pPr>
      <w:pStyle w:val="6"/>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矩形 1"/>
              <wp:cNvGraphicFramePr/>
              <a:graphic xmlns:a="http://schemas.openxmlformats.org/drawingml/2006/main">
                <a:graphicData uri="http://schemas.microsoft.com/office/word/2010/wordprocessingShape">
                  <wps:wsp>
                    <wps:cNvSpPr/>
                    <wps:spPr>
                      <a:xfrm>
                        <a:off x="0" y="0"/>
                        <a:ext cx="116205" cy="278765"/>
                      </a:xfrm>
                      <a:prstGeom prst="rect">
                        <a:avLst/>
                      </a:prstGeom>
                      <a:ln>
                        <a:noFill/>
                      </a:ln>
                    </wps:spPr>
                    <wps:txbx>
                      <w:txbxContent>
                        <w:p w14:paraId="75ECAA15">
                          <w:pPr>
                            <w:pStyle w:val="6"/>
                            <w:jc w:val="center"/>
                            <w:rPr>
                              <w:rStyle w:val="11"/>
                            </w:rPr>
                          </w:pPr>
                          <w:r>
                            <w:rPr>
                              <w:rStyle w:val="11"/>
                            </w:rPr>
                            <w:fldChar w:fldCharType="begin"/>
                          </w:r>
                          <w:r>
                            <w:rPr>
                              <w:rStyle w:val="11"/>
                            </w:rPr>
                            <w:instrText xml:space="preserve">PAGE  </w:instrText>
                          </w:r>
                          <w:r>
                            <w:rPr>
                              <w:rStyle w:val="11"/>
                            </w:rPr>
                            <w:fldChar w:fldCharType="separate"/>
                          </w:r>
                          <w:r>
                            <w:rPr>
                              <w:rStyle w:val="11"/>
                            </w:rPr>
                            <w:t>10</w:t>
                          </w:r>
                          <w:r>
                            <w:rPr>
                              <w:rStyle w:val="11"/>
                            </w:rPr>
                            <w:fldChar w:fldCharType="end"/>
                          </w:r>
                        </w:p>
                        <w:p w14:paraId="13DCD95C">
                          <w:pPr>
                            <w:pStyle w:val="6"/>
                            <w:ind w:left="-4410" w:leftChars="-2100" w:right="-4439" w:rightChars="-2114"/>
                            <w:rPr>
                              <w:rStyle w:val="11"/>
                            </w:rPr>
                          </w:pPr>
                        </w:p>
                      </w:txbxContent>
                    </wps:txbx>
                    <wps:bodyPr wrap="none" lIns="0" tIns="0" rIns="0" bIns="0" upright="1">
                      <a:spAutoFit/>
                    </wps:bodyPr>
                  </wps:wsp>
                </a:graphicData>
              </a:graphic>
            </wp:anchor>
          </w:drawing>
        </mc:Choice>
        <mc:Fallback>
          <w:pict>
            <v:rect id="_x0000_s1026" o:spid="_x0000_s1026" o:spt="1"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zXI9LSAAAAAwEAAA8AAAAAAAAAAQAgAAAAIgAAAGRycy9kb3ducmV2LnhtbFBLAQIU&#10;ABQAAAAIAIdO4kBvpC+FwAEAAH8DAAAOAAAAAAAAAAEAIAAAACEBAABkcnMvZTJvRG9jLnhtbFBL&#10;BQYAAAAABgAGAFkBAABTBQAAAAA=&#10;">
              <v:fill on="f" focussize="0,0"/>
              <v:stroke on="f"/>
              <v:imagedata o:title=""/>
              <o:lock v:ext="edit" aspectratio="f"/>
              <v:textbox inset="0mm,0mm,0mm,0mm" style="mso-fit-shape-to-text:t;">
                <w:txbxContent>
                  <w:p w14:paraId="75ECAA15">
                    <w:pPr>
                      <w:pStyle w:val="6"/>
                      <w:jc w:val="center"/>
                      <w:rPr>
                        <w:rStyle w:val="11"/>
                      </w:rPr>
                    </w:pPr>
                    <w:r>
                      <w:rPr>
                        <w:rStyle w:val="11"/>
                      </w:rPr>
                      <w:fldChar w:fldCharType="begin"/>
                    </w:r>
                    <w:r>
                      <w:rPr>
                        <w:rStyle w:val="11"/>
                      </w:rPr>
                      <w:instrText xml:space="preserve">PAGE  </w:instrText>
                    </w:r>
                    <w:r>
                      <w:rPr>
                        <w:rStyle w:val="11"/>
                      </w:rPr>
                      <w:fldChar w:fldCharType="separate"/>
                    </w:r>
                    <w:r>
                      <w:rPr>
                        <w:rStyle w:val="11"/>
                      </w:rPr>
                      <w:t>10</w:t>
                    </w:r>
                    <w:r>
                      <w:rPr>
                        <w:rStyle w:val="11"/>
                      </w:rPr>
                      <w:fldChar w:fldCharType="end"/>
                    </w:r>
                  </w:p>
                  <w:p w14:paraId="13DCD95C">
                    <w:pPr>
                      <w:pStyle w:val="6"/>
                      <w:ind w:left="-4410" w:leftChars="-2100" w:right="-4439" w:rightChars="-2114"/>
                      <w:rPr>
                        <w:rStyle w:val="11"/>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43288">
    <w:pPr>
      <w:pStyle w:val="7"/>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ZTM5NDVhYzQzMjM0ZmQwN2QyYTQwYzc4YTNlM2MifQ=="/>
  </w:docVars>
  <w:rsids>
    <w:rsidRoot w:val="00667467"/>
    <w:rsid w:val="00007CC3"/>
    <w:rsid w:val="00025E55"/>
    <w:rsid w:val="000638A3"/>
    <w:rsid w:val="00073013"/>
    <w:rsid w:val="000976B2"/>
    <w:rsid w:val="000A5297"/>
    <w:rsid w:val="000B56E2"/>
    <w:rsid w:val="000C6388"/>
    <w:rsid w:val="000D3893"/>
    <w:rsid w:val="000E7AB9"/>
    <w:rsid w:val="00106D72"/>
    <w:rsid w:val="0011013D"/>
    <w:rsid w:val="001105AD"/>
    <w:rsid w:val="00114D8C"/>
    <w:rsid w:val="0013675C"/>
    <w:rsid w:val="0015307C"/>
    <w:rsid w:val="001538F1"/>
    <w:rsid w:val="00157617"/>
    <w:rsid w:val="00160322"/>
    <w:rsid w:val="0016579C"/>
    <w:rsid w:val="00167655"/>
    <w:rsid w:val="00175F55"/>
    <w:rsid w:val="00186A07"/>
    <w:rsid w:val="001C7ACD"/>
    <w:rsid w:val="00217356"/>
    <w:rsid w:val="00221D9E"/>
    <w:rsid w:val="00223A92"/>
    <w:rsid w:val="00225ED0"/>
    <w:rsid w:val="002342D2"/>
    <w:rsid w:val="002404F0"/>
    <w:rsid w:val="00241E3A"/>
    <w:rsid w:val="002468D5"/>
    <w:rsid w:val="00290642"/>
    <w:rsid w:val="00291F25"/>
    <w:rsid w:val="002B1288"/>
    <w:rsid w:val="002D140E"/>
    <w:rsid w:val="002F496E"/>
    <w:rsid w:val="00304CB5"/>
    <w:rsid w:val="00316388"/>
    <w:rsid w:val="0031707B"/>
    <w:rsid w:val="00340AC5"/>
    <w:rsid w:val="00375090"/>
    <w:rsid w:val="00385890"/>
    <w:rsid w:val="003A2307"/>
    <w:rsid w:val="003A5D77"/>
    <w:rsid w:val="003F001D"/>
    <w:rsid w:val="00400D23"/>
    <w:rsid w:val="00410668"/>
    <w:rsid w:val="004228D7"/>
    <w:rsid w:val="00423552"/>
    <w:rsid w:val="00426D6B"/>
    <w:rsid w:val="00432B24"/>
    <w:rsid w:val="00454613"/>
    <w:rsid w:val="0048037D"/>
    <w:rsid w:val="004D1C33"/>
    <w:rsid w:val="004D2575"/>
    <w:rsid w:val="004E4677"/>
    <w:rsid w:val="00507E0A"/>
    <w:rsid w:val="00521FB1"/>
    <w:rsid w:val="0054471A"/>
    <w:rsid w:val="005479D4"/>
    <w:rsid w:val="00570AB8"/>
    <w:rsid w:val="005B0329"/>
    <w:rsid w:val="005F3990"/>
    <w:rsid w:val="00623C0D"/>
    <w:rsid w:val="00630205"/>
    <w:rsid w:val="006447F0"/>
    <w:rsid w:val="00667467"/>
    <w:rsid w:val="00671C03"/>
    <w:rsid w:val="0068597C"/>
    <w:rsid w:val="00685CD1"/>
    <w:rsid w:val="006952E9"/>
    <w:rsid w:val="006A51FD"/>
    <w:rsid w:val="006B0FD1"/>
    <w:rsid w:val="006D28F2"/>
    <w:rsid w:val="006D74B4"/>
    <w:rsid w:val="006F5BA1"/>
    <w:rsid w:val="007106B5"/>
    <w:rsid w:val="00720244"/>
    <w:rsid w:val="0072080B"/>
    <w:rsid w:val="00724B90"/>
    <w:rsid w:val="00731FCC"/>
    <w:rsid w:val="00770E57"/>
    <w:rsid w:val="00793DCC"/>
    <w:rsid w:val="00795AAF"/>
    <w:rsid w:val="007B3077"/>
    <w:rsid w:val="007C2D6C"/>
    <w:rsid w:val="007E1AF5"/>
    <w:rsid w:val="00814CE0"/>
    <w:rsid w:val="00836BBF"/>
    <w:rsid w:val="00851091"/>
    <w:rsid w:val="00885C2C"/>
    <w:rsid w:val="00890C0F"/>
    <w:rsid w:val="008B7CA7"/>
    <w:rsid w:val="008C7ACC"/>
    <w:rsid w:val="008D54AD"/>
    <w:rsid w:val="00915810"/>
    <w:rsid w:val="00923D08"/>
    <w:rsid w:val="009704D2"/>
    <w:rsid w:val="009B0158"/>
    <w:rsid w:val="009C5C02"/>
    <w:rsid w:val="009D1FF2"/>
    <w:rsid w:val="009D2DB7"/>
    <w:rsid w:val="00A10E76"/>
    <w:rsid w:val="00A12AC9"/>
    <w:rsid w:val="00A2023D"/>
    <w:rsid w:val="00A25058"/>
    <w:rsid w:val="00A409DB"/>
    <w:rsid w:val="00A6176B"/>
    <w:rsid w:val="00A67109"/>
    <w:rsid w:val="00A72AC4"/>
    <w:rsid w:val="00B142AD"/>
    <w:rsid w:val="00B2280F"/>
    <w:rsid w:val="00B54C7D"/>
    <w:rsid w:val="00B73436"/>
    <w:rsid w:val="00B83239"/>
    <w:rsid w:val="00BA0139"/>
    <w:rsid w:val="00BA0E6C"/>
    <w:rsid w:val="00BA640F"/>
    <w:rsid w:val="00BF301C"/>
    <w:rsid w:val="00C00D40"/>
    <w:rsid w:val="00C02C5D"/>
    <w:rsid w:val="00C07447"/>
    <w:rsid w:val="00C0773F"/>
    <w:rsid w:val="00C13A82"/>
    <w:rsid w:val="00C2733C"/>
    <w:rsid w:val="00C51E66"/>
    <w:rsid w:val="00C57819"/>
    <w:rsid w:val="00C6108D"/>
    <w:rsid w:val="00CA67B5"/>
    <w:rsid w:val="00CC4E63"/>
    <w:rsid w:val="00CD4E11"/>
    <w:rsid w:val="00CF3117"/>
    <w:rsid w:val="00CF3D25"/>
    <w:rsid w:val="00D07C6C"/>
    <w:rsid w:val="00D114CF"/>
    <w:rsid w:val="00D11C1F"/>
    <w:rsid w:val="00D16CA6"/>
    <w:rsid w:val="00D25908"/>
    <w:rsid w:val="00D33769"/>
    <w:rsid w:val="00D51A6C"/>
    <w:rsid w:val="00DA214C"/>
    <w:rsid w:val="00DA3433"/>
    <w:rsid w:val="00DD27AB"/>
    <w:rsid w:val="00DE39A7"/>
    <w:rsid w:val="00DF42D8"/>
    <w:rsid w:val="00DF4EC2"/>
    <w:rsid w:val="00E615C2"/>
    <w:rsid w:val="00E65BE9"/>
    <w:rsid w:val="00E6630B"/>
    <w:rsid w:val="00E86AEA"/>
    <w:rsid w:val="00EA2858"/>
    <w:rsid w:val="00EB4F89"/>
    <w:rsid w:val="00ED4356"/>
    <w:rsid w:val="00ED4F09"/>
    <w:rsid w:val="00EF18DC"/>
    <w:rsid w:val="00F00CB9"/>
    <w:rsid w:val="00F07D16"/>
    <w:rsid w:val="00F50F2B"/>
    <w:rsid w:val="00F562B5"/>
    <w:rsid w:val="00F62659"/>
    <w:rsid w:val="00F743B2"/>
    <w:rsid w:val="00F80AB9"/>
    <w:rsid w:val="00F86BAA"/>
    <w:rsid w:val="00F8751C"/>
    <w:rsid w:val="00FA2ECE"/>
    <w:rsid w:val="00FA55AA"/>
    <w:rsid w:val="00FB7DF5"/>
    <w:rsid w:val="00FF037B"/>
    <w:rsid w:val="00FF1CB5"/>
    <w:rsid w:val="0340720F"/>
    <w:rsid w:val="048C3708"/>
    <w:rsid w:val="07FC0BA5"/>
    <w:rsid w:val="0EBD2206"/>
    <w:rsid w:val="1032392D"/>
    <w:rsid w:val="17171557"/>
    <w:rsid w:val="193B3B9B"/>
    <w:rsid w:val="198121BC"/>
    <w:rsid w:val="1C514B13"/>
    <w:rsid w:val="1D1207F7"/>
    <w:rsid w:val="1DD20C44"/>
    <w:rsid w:val="22A92475"/>
    <w:rsid w:val="25F77687"/>
    <w:rsid w:val="2ACF41CB"/>
    <w:rsid w:val="2F556F59"/>
    <w:rsid w:val="31FE56EF"/>
    <w:rsid w:val="391C18D4"/>
    <w:rsid w:val="39C80763"/>
    <w:rsid w:val="3E5C147A"/>
    <w:rsid w:val="4453331F"/>
    <w:rsid w:val="47D3493F"/>
    <w:rsid w:val="4AF01898"/>
    <w:rsid w:val="4E9B7A04"/>
    <w:rsid w:val="51635C82"/>
    <w:rsid w:val="537D3F15"/>
    <w:rsid w:val="5906675A"/>
    <w:rsid w:val="59350DEE"/>
    <w:rsid w:val="59996547"/>
    <w:rsid w:val="5B7D779A"/>
    <w:rsid w:val="604E19EC"/>
    <w:rsid w:val="64B60849"/>
    <w:rsid w:val="6A063997"/>
    <w:rsid w:val="6A0F6794"/>
    <w:rsid w:val="6F605FD2"/>
    <w:rsid w:val="70C71A1F"/>
    <w:rsid w:val="72C94629"/>
    <w:rsid w:val="743D61FE"/>
    <w:rsid w:val="74933140"/>
    <w:rsid w:val="75596138"/>
    <w:rsid w:val="78B43685"/>
    <w:rsid w:val="7C2C12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next w:val="1"/>
    <w:link w:val="14"/>
    <w:unhideWhenUsed/>
    <w:qFormat/>
    <w:uiPriority w:val="0"/>
    <w:rPr>
      <w:rFonts w:hAnsi="Courier New" w:cs="Courier New" w:asciiTheme="minorEastAsia" w:eastAsiaTheme="minorEastAsia"/>
    </w:rPr>
  </w:style>
  <w:style w:type="paragraph" w:styleId="5">
    <w:name w:val="Balloon Text"/>
    <w:basedOn w:val="1"/>
    <w:link w:val="25"/>
    <w:semiHidden/>
    <w:unhideWhenUsed/>
    <w:uiPriority w:val="99"/>
    <w:rPr>
      <w:sz w:val="18"/>
      <w:szCs w:val="18"/>
    </w:rPr>
  </w:style>
  <w:style w:type="paragraph" w:styleId="6">
    <w:name w:val="footer"/>
    <w:basedOn w:val="1"/>
    <w:link w:val="21"/>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2"/>
    <w:qFormat/>
    <w:uiPriority w:val="0"/>
    <w:rPr>
      <w:rFonts w:ascii="宋体" w:hAnsi="宋体"/>
      <w:szCs w:val="24"/>
      <w:u w:val="single"/>
    </w:rPr>
  </w:style>
  <w:style w:type="character" w:styleId="11">
    <w:name w:val="page number"/>
    <w:qFormat/>
    <w:uiPriority w:val="0"/>
    <w:rPr>
      <w:rFonts w:cs="Times New Roman"/>
    </w:rPr>
  </w:style>
  <w:style w:type="character" w:styleId="12">
    <w:name w:val="Hyperlink"/>
    <w:unhideWhenUsed/>
    <w:qFormat/>
    <w:uiPriority w:val="99"/>
    <w:rPr>
      <w:color w:val="000000"/>
      <w:u w:val="none"/>
    </w:rPr>
  </w:style>
  <w:style w:type="character" w:styleId="13">
    <w:name w:val="annotation reference"/>
    <w:basedOn w:val="10"/>
    <w:semiHidden/>
    <w:unhideWhenUsed/>
    <w:qFormat/>
    <w:uiPriority w:val="99"/>
    <w:rPr>
      <w:sz w:val="21"/>
      <w:szCs w:val="21"/>
    </w:rPr>
  </w:style>
  <w:style w:type="character" w:customStyle="1" w:styleId="14">
    <w:name w:val="纯文本 Char"/>
    <w:basedOn w:val="10"/>
    <w:link w:val="4"/>
    <w:qFormat/>
    <w:uiPriority w:val="0"/>
    <w:rPr>
      <w:rFonts w:hAnsi="Courier New" w:cs="Courier New" w:asciiTheme="minorEastAsia"/>
    </w:rPr>
  </w:style>
  <w:style w:type="character" w:customStyle="1" w:styleId="15">
    <w:name w:val="页脚 字符"/>
    <w:basedOn w:val="10"/>
    <w:semiHidden/>
    <w:qFormat/>
    <w:uiPriority w:val="99"/>
    <w:rPr>
      <w:rFonts w:ascii="Calibri" w:hAnsi="Calibri" w:eastAsia="宋体" w:cs="Times New Roman"/>
      <w:sz w:val="18"/>
      <w:szCs w:val="18"/>
    </w:rPr>
  </w:style>
  <w:style w:type="character" w:customStyle="1" w:styleId="16">
    <w:name w:val="页眉 字符"/>
    <w:basedOn w:val="10"/>
    <w:semiHidden/>
    <w:qFormat/>
    <w:uiPriority w:val="99"/>
    <w:rPr>
      <w:rFonts w:ascii="Calibri" w:hAnsi="Calibri" w:eastAsia="宋体" w:cs="Times New Roman"/>
      <w:sz w:val="18"/>
      <w:szCs w:val="18"/>
    </w:rPr>
  </w:style>
  <w:style w:type="character" w:customStyle="1" w:styleId="17">
    <w:name w:val="正文文本 2 字符"/>
    <w:basedOn w:val="10"/>
    <w:semiHidden/>
    <w:qFormat/>
    <w:uiPriority w:val="99"/>
    <w:rPr>
      <w:rFonts w:ascii="Calibri" w:hAnsi="Calibri" w:eastAsia="宋体" w:cs="Times New Roman"/>
    </w:rPr>
  </w:style>
  <w:style w:type="paragraph" w:customStyle="1" w:styleId="1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9">
    <w:name w:val="发文落款"/>
    <w:basedOn w:val="18"/>
    <w:qFormat/>
    <w:uiPriority w:val="0"/>
    <w:pPr>
      <w:ind w:left="4094" w:right="607" w:firstLine="0"/>
      <w:jc w:val="center"/>
    </w:pPr>
  </w:style>
  <w:style w:type="character" w:customStyle="1" w:styleId="20">
    <w:name w:val="页眉 Char"/>
    <w:link w:val="7"/>
    <w:qFormat/>
    <w:uiPriority w:val="0"/>
    <w:rPr>
      <w:rFonts w:ascii="Calibri" w:hAnsi="Calibri" w:eastAsia="宋体" w:cs="Times New Roman"/>
      <w:sz w:val="18"/>
      <w:szCs w:val="18"/>
    </w:rPr>
  </w:style>
  <w:style w:type="character" w:customStyle="1" w:styleId="21">
    <w:name w:val="页脚 Char"/>
    <w:link w:val="6"/>
    <w:qFormat/>
    <w:uiPriority w:val="0"/>
    <w:rPr>
      <w:rFonts w:ascii="Calibri" w:hAnsi="Calibri" w:eastAsia="宋体" w:cs="Times New Roman"/>
      <w:sz w:val="18"/>
      <w:szCs w:val="18"/>
    </w:rPr>
  </w:style>
  <w:style w:type="character" w:customStyle="1" w:styleId="22">
    <w:name w:val="正文文本 2 Char"/>
    <w:link w:val="8"/>
    <w:qFormat/>
    <w:uiPriority w:val="0"/>
    <w:rPr>
      <w:rFonts w:ascii="宋体" w:hAnsi="宋体" w:eastAsia="宋体" w:cs="Times New Roman"/>
      <w:szCs w:val="24"/>
      <w:u w:val="single"/>
    </w:rPr>
  </w:style>
  <w:style w:type="character" w:customStyle="1" w:styleId="23">
    <w:name w:val="NormalCharacter"/>
    <w:qFormat/>
    <w:uiPriority w:val="0"/>
  </w:style>
  <w:style w:type="paragraph" w:customStyle="1" w:styleId="24">
    <w:name w:val="UserStyle_66"/>
    <w:autoRedefine/>
    <w:qFormat/>
    <w:uiPriority w:val="0"/>
    <w:pPr>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25">
    <w:name w:val="批注框文本 Char"/>
    <w:basedOn w:val="10"/>
    <w:link w:val="5"/>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7746</Words>
  <Characters>8118</Characters>
  <Lines>59</Lines>
  <Paragraphs>16</Paragraphs>
  <TotalTime>29</TotalTime>
  <ScaleCrop>false</ScaleCrop>
  <LinksUpToDate>false</LinksUpToDate>
  <CharactersWithSpaces>8229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2024-12-02T08:42:00Z</dcterms:created>
  <dc:creator>HM .F</dc:creator>
  <cp:lastModifiedBy>吴嘉鹏</cp:lastModifiedBy>
  <dcterms:modified xsi:type="dcterms:W3CDTF">2025-01-26T09:31:44Z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C4C186211D0B47C99004A62D2EC4AFC2_12</vt:lpwstr>
  </property>
  <property fmtid="{D5CDD505-2E9C-101B-9397-08002B2CF9AE}" pid="4" name="KSOTemplateDocerSaveRecord">
    <vt:lpwstr>eyJoZGlkIjoiYzk5MWE3MGUzNzg0MDAyNTA4MWNjNGYzM2ZkMzc1MmYiLCJ1c2VySWQiOiI3NDc2MDgyMzUifQ==</vt:lpwstr>
  </property>
</Properties>
</file>