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5DAFA">
      <w:pPr>
        <w:pStyle w:val="13"/>
        <w:rPr>
          <w:rFonts w:hint="default"/>
          <w:color w:val="auto"/>
          <w:highlight w:val="none"/>
        </w:rPr>
      </w:pPr>
      <w:permStart w:id="0" w:edGrp="everyone"/>
      <w:permEnd w:id="0"/>
    </w:p>
    <w:p w14:paraId="5CE01F07">
      <w:pPr>
        <w:rPr>
          <w:color w:val="auto"/>
          <w:highlight w:val="none"/>
        </w:rPr>
      </w:pPr>
    </w:p>
    <w:p w14:paraId="0B5C4396">
      <w:pPr>
        <w:rPr>
          <w:rFonts w:ascii="宋体" w:hAnsi="宋体"/>
          <w:b/>
          <w:color w:val="auto"/>
          <w:sz w:val="48"/>
          <w:szCs w:val="46"/>
          <w:highlight w:val="none"/>
        </w:rPr>
      </w:pPr>
    </w:p>
    <w:p w14:paraId="65820252">
      <w:pPr>
        <w:spacing w:line="360" w:lineRule="auto"/>
        <w:jc w:val="center"/>
        <w:rPr>
          <w:rFonts w:hint="eastAsia" w:eastAsia="宋体"/>
          <w:color w:val="auto"/>
          <w:sz w:val="36"/>
          <w:highlight w:val="none"/>
          <w:u w:val="single"/>
          <w:lang w:eastAsia="zh-CN"/>
        </w:rPr>
      </w:pPr>
      <w:r>
        <w:rPr>
          <w:rFonts w:hint="eastAsia" w:ascii="宋体" w:hAnsi="宋体"/>
          <w:b/>
          <w:color w:val="auto"/>
          <w:sz w:val="48"/>
          <w:szCs w:val="46"/>
          <w:highlight w:val="none"/>
          <w:lang w:eastAsia="zh-CN"/>
        </w:rPr>
        <w:t>国家林业和草原局穿山甲保护研究中心项目施工总承包</w:t>
      </w:r>
    </w:p>
    <w:p w14:paraId="71D05ABF">
      <w:pPr>
        <w:spacing w:line="360" w:lineRule="auto"/>
        <w:jc w:val="center"/>
        <w:rPr>
          <w:color w:val="auto"/>
          <w:sz w:val="36"/>
          <w:highlight w:val="none"/>
          <w:u w:val="single"/>
        </w:rPr>
      </w:pPr>
    </w:p>
    <w:p w14:paraId="11C22AAA">
      <w:pPr>
        <w:spacing w:line="360" w:lineRule="auto"/>
        <w:jc w:val="center"/>
        <w:rPr>
          <w:color w:val="auto"/>
          <w:sz w:val="36"/>
          <w:highlight w:val="none"/>
          <w:u w:val="single"/>
        </w:rPr>
      </w:pPr>
    </w:p>
    <w:p w14:paraId="183A5BBE">
      <w:pPr>
        <w:spacing w:line="360" w:lineRule="auto"/>
        <w:jc w:val="center"/>
        <w:rPr>
          <w:rFonts w:ascii="宋体" w:hAnsi="宋体"/>
          <w:b/>
          <w:bCs/>
          <w:color w:val="auto"/>
          <w:spacing w:val="26"/>
          <w:sz w:val="110"/>
          <w:szCs w:val="110"/>
          <w:highlight w:val="none"/>
        </w:rPr>
      </w:pPr>
      <w:r>
        <w:rPr>
          <w:rFonts w:hint="eastAsia" w:ascii="宋体" w:hAnsi="宋体"/>
          <w:b/>
          <w:bCs/>
          <w:color w:val="auto"/>
          <w:spacing w:val="26"/>
          <w:sz w:val="110"/>
          <w:szCs w:val="110"/>
          <w:highlight w:val="none"/>
        </w:rPr>
        <w:t>招标文件</w:t>
      </w:r>
    </w:p>
    <w:p w14:paraId="3783CC5B">
      <w:pPr>
        <w:spacing w:line="360" w:lineRule="auto"/>
        <w:jc w:val="center"/>
        <w:rPr>
          <w:color w:val="auto"/>
          <w:sz w:val="32"/>
          <w:highlight w:val="none"/>
        </w:rPr>
      </w:pPr>
    </w:p>
    <w:p w14:paraId="73DA60A1">
      <w:pPr>
        <w:spacing w:line="360" w:lineRule="auto"/>
        <w:ind w:firstLine="2560" w:firstLineChars="800"/>
        <w:rPr>
          <w:color w:val="auto"/>
          <w:sz w:val="32"/>
          <w:highlight w:val="none"/>
        </w:rPr>
      </w:pPr>
    </w:p>
    <w:p w14:paraId="7FB6D840">
      <w:pPr>
        <w:spacing w:line="360" w:lineRule="auto"/>
        <w:ind w:firstLine="2560" w:firstLineChars="800"/>
        <w:rPr>
          <w:color w:val="auto"/>
          <w:sz w:val="32"/>
          <w:highlight w:val="none"/>
        </w:rPr>
      </w:pPr>
    </w:p>
    <w:p w14:paraId="64DA08BA">
      <w:pPr>
        <w:pStyle w:val="13"/>
        <w:rPr>
          <w:rFonts w:hint="default"/>
          <w:color w:val="auto"/>
          <w:highlight w:val="none"/>
        </w:rPr>
      </w:pPr>
    </w:p>
    <w:p w14:paraId="79C4213D">
      <w:pPr>
        <w:rPr>
          <w:color w:val="auto"/>
          <w:highlight w:val="none"/>
        </w:rPr>
      </w:pPr>
    </w:p>
    <w:p w14:paraId="0CD19A97">
      <w:pPr>
        <w:pStyle w:val="13"/>
        <w:rPr>
          <w:rFonts w:hint="default"/>
          <w:color w:val="auto"/>
          <w:highlight w:val="none"/>
        </w:rPr>
      </w:pPr>
    </w:p>
    <w:p w14:paraId="383BB51A">
      <w:pPr>
        <w:rPr>
          <w:color w:val="auto"/>
          <w:highlight w:val="none"/>
        </w:rPr>
      </w:pPr>
    </w:p>
    <w:p w14:paraId="773161EA">
      <w:pPr>
        <w:spacing w:line="360" w:lineRule="auto"/>
        <w:ind w:firstLine="2560" w:firstLineChars="800"/>
        <w:rPr>
          <w:color w:val="auto"/>
          <w:sz w:val="32"/>
          <w:highlight w:val="none"/>
        </w:rPr>
      </w:pPr>
    </w:p>
    <w:p w14:paraId="0A308220">
      <w:pPr>
        <w:tabs>
          <w:tab w:val="left" w:pos="2513"/>
        </w:tabs>
        <w:spacing w:line="360" w:lineRule="auto"/>
        <w:rPr>
          <w:color w:val="auto"/>
          <w:sz w:val="52"/>
          <w:highlight w:val="none"/>
        </w:rPr>
      </w:pPr>
    </w:p>
    <w:p w14:paraId="3C4DE95D">
      <w:pPr>
        <w:spacing w:line="360" w:lineRule="auto"/>
        <w:ind w:firstLine="835" w:firstLineChars="167"/>
        <w:rPr>
          <w:rFonts w:hint="eastAsia" w:eastAsia="宋体"/>
          <w:color w:val="auto"/>
          <w:sz w:val="30"/>
          <w:szCs w:val="30"/>
          <w:highlight w:val="none"/>
          <w:u w:val="single"/>
          <w:lang w:eastAsia="zh-CN"/>
        </w:rPr>
      </w:pPr>
      <w:r>
        <w:rPr>
          <w:rFonts w:hint="eastAsia"/>
          <w:color w:val="auto"/>
          <w:spacing w:val="100"/>
          <w:kern w:val="0"/>
          <w:sz w:val="30"/>
          <w:szCs w:val="30"/>
          <w:highlight w:val="none"/>
          <w:fitText w:val="1800" w:id="1439367395"/>
        </w:rPr>
        <w:t>招标单</w:t>
      </w:r>
      <w:r>
        <w:rPr>
          <w:rFonts w:hint="eastAsia"/>
          <w:color w:val="auto"/>
          <w:spacing w:val="0"/>
          <w:kern w:val="0"/>
          <w:sz w:val="30"/>
          <w:szCs w:val="30"/>
          <w:highlight w:val="none"/>
          <w:fitText w:val="1800" w:id="1439367395"/>
        </w:rPr>
        <w:t>位</w:t>
      </w:r>
      <w:r>
        <w:rPr>
          <w:rFonts w:hint="eastAsia"/>
          <w:color w:val="auto"/>
          <w:sz w:val="30"/>
          <w:szCs w:val="30"/>
          <w:highlight w:val="none"/>
        </w:rPr>
        <w:t>：</w:t>
      </w:r>
      <w:r>
        <w:rPr>
          <w:rFonts w:hint="eastAsia"/>
          <w:color w:val="auto"/>
          <w:sz w:val="30"/>
          <w:szCs w:val="30"/>
          <w:highlight w:val="none"/>
          <w:u w:val="single"/>
          <w:lang w:eastAsia="zh-CN"/>
        </w:rPr>
        <w:t>广东省野生动物监测救护中心</w:t>
      </w:r>
    </w:p>
    <w:p w14:paraId="4A5ED201">
      <w:pPr>
        <w:spacing w:line="360" w:lineRule="auto"/>
        <w:ind w:firstLine="837" w:firstLineChars="279"/>
        <w:jc w:val="left"/>
        <w:rPr>
          <w:rFonts w:hint="eastAsia" w:eastAsia="宋体"/>
          <w:color w:val="auto"/>
          <w:sz w:val="30"/>
          <w:szCs w:val="30"/>
          <w:highlight w:val="none"/>
          <w:u w:val="single"/>
          <w:lang w:eastAsia="zh-CN"/>
        </w:rPr>
      </w:pPr>
      <w:r>
        <w:rPr>
          <w:rFonts w:hint="eastAsia"/>
          <w:color w:val="auto"/>
          <w:sz w:val="30"/>
          <w:szCs w:val="30"/>
          <w:highlight w:val="none"/>
        </w:rPr>
        <w:t>招标代理单位：</w:t>
      </w:r>
      <w:r>
        <w:rPr>
          <w:rFonts w:hint="eastAsia"/>
          <w:color w:val="auto"/>
          <w:sz w:val="30"/>
          <w:szCs w:val="30"/>
          <w:highlight w:val="none"/>
          <w:u w:val="single"/>
          <w:lang w:eastAsia="zh-CN"/>
        </w:rPr>
        <w:t>广东省国际工程咨询有限公司</w:t>
      </w:r>
    </w:p>
    <w:p w14:paraId="65EB9D14">
      <w:pPr>
        <w:spacing w:line="360" w:lineRule="auto"/>
        <w:ind w:firstLine="840" w:firstLineChars="56"/>
        <w:jc w:val="left"/>
        <w:rPr>
          <w:color w:val="auto"/>
          <w:sz w:val="30"/>
          <w:szCs w:val="30"/>
          <w:highlight w:val="none"/>
          <w:u w:val="single"/>
        </w:rPr>
      </w:pPr>
      <w:r>
        <w:rPr>
          <w:rFonts w:hint="eastAsia"/>
          <w:color w:val="auto"/>
          <w:spacing w:val="600"/>
          <w:kern w:val="0"/>
          <w:sz w:val="30"/>
          <w:szCs w:val="30"/>
          <w:highlight w:val="none"/>
          <w:fitText w:val="1800" w:id="1600480214"/>
        </w:rPr>
        <w:t>日</w:t>
      </w:r>
      <w:r>
        <w:rPr>
          <w:rFonts w:hint="eastAsia"/>
          <w:color w:val="auto"/>
          <w:spacing w:val="0"/>
          <w:kern w:val="0"/>
          <w:sz w:val="30"/>
          <w:szCs w:val="30"/>
          <w:highlight w:val="none"/>
          <w:fitText w:val="1800" w:id="1600480214"/>
        </w:rPr>
        <w:t>期</w:t>
      </w:r>
      <w:r>
        <w:rPr>
          <w:rFonts w:hint="eastAsia"/>
          <w:color w:val="auto"/>
          <w:sz w:val="30"/>
          <w:szCs w:val="30"/>
          <w:highlight w:val="none"/>
        </w:rPr>
        <w:t>：</w:t>
      </w:r>
      <w:r>
        <w:rPr>
          <w:rFonts w:hint="eastAsia"/>
          <w:color w:val="auto"/>
          <w:sz w:val="30"/>
          <w:szCs w:val="30"/>
          <w:highlight w:val="none"/>
          <w:u w:val="single"/>
        </w:rPr>
        <w:t>202</w:t>
      </w:r>
      <w:r>
        <w:rPr>
          <w:rFonts w:hint="eastAsia"/>
          <w:color w:val="auto"/>
          <w:sz w:val="30"/>
          <w:szCs w:val="30"/>
          <w:highlight w:val="none"/>
          <w:u w:val="single"/>
          <w:lang w:val="en-US" w:eastAsia="zh-CN"/>
        </w:rPr>
        <w:t>5</w:t>
      </w:r>
      <w:r>
        <w:rPr>
          <w:rFonts w:hint="eastAsia"/>
          <w:color w:val="auto"/>
          <w:sz w:val="30"/>
          <w:szCs w:val="30"/>
          <w:highlight w:val="none"/>
          <w:u w:val="single"/>
        </w:rPr>
        <w:t>年</w:t>
      </w:r>
      <w:r>
        <w:rPr>
          <w:rFonts w:hint="eastAsia"/>
          <w:color w:val="auto"/>
          <w:sz w:val="30"/>
          <w:szCs w:val="30"/>
          <w:highlight w:val="none"/>
          <w:u w:val="single"/>
          <w:lang w:val="en-US" w:eastAsia="zh-CN"/>
        </w:rPr>
        <w:t>1</w:t>
      </w:r>
      <w:r>
        <w:rPr>
          <w:rFonts w:hint="eastAsia"/>
          <w:color w:val="auto"/>
          <w:sz w:val="30"/>
          <w:szCs w:val="30"/>
          <w:highlight w:val="none"/>
          <w:u w:val="single"/>
        </w:rPr>
        <w:t>月</w:t>
      </w:r>
    </w:p>
    <w:p w14:paraId="3D0E71B6">
      <w:pPr>
        <w:spacing w:line="360" w:lineRule="auto"/>
        <w:ind w:firstLine="300" w:firstLineChars="100"/>
        <w:jc w:val="left"/>
        <w:rPr>
          <w:color w:val="auto"/>
          <w:kern w:val="0"/>
          <w:sz w:val="30"/>
          <w:szCs w:val="30"/>
          <w:highlight w:val="none"/>
        </w:rPr>
      </w:pPr>
    </w:p>
    <w:p w14:paraId="04F699FF">
      <w:pPr>
        <w:pStyle w:val="13"/>
        <w:rPr>
          <w:rFonts w:hint="default"/>
          <w:color w:val="auto"/>
          <w:highlight w:val="none"/>
        </w:rPr>
        <w:sectPr>
          <w:headerReference r:id="rId3" w:type="even"/>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1B6594ED">
      <w:pPr>
        <w:jc w:val="center"/>
        <w:rPr>
          <w:rFonts w:ascii="宋体" w:hAnsi="宋体"/>
          <w:b/>
          <w:bCs/>
          <w:caps/>
          <w:color w:val="auto"/>
          <w:kern w:val="0"/>
          <w:sz w:val="24"/>
          <w:szCs w:val="28"/>
          <w:highlight w:val="none"/>
        </w:rPr>
      </w:pPr>
      <w:r>
        <w:rPr>
          <w:rFonts w:hint="eastAsia"/>
          <w:b/>
          <w:bCs/>
          <w:color w:val="auto"/>
          <w:sz w:val="36"/>
          <w:szCs w:val="36"/>
          <w:highlight w:val="none"/>
        </w:rPr>
        <w:t>目   录</w:t>
      </w:r>
    </w:p>
    <w:p w14:paraId="6360B25B">
      <w:pPr>
        <w:tabs>
          <w:tab w:val="right" w:leader="dot" w:pos="8364"/>
        </w:tabs>
        <w:adjustRightInd w:val="0"/>
        <w:snapToGrid w:val="0"/>
        <w:spacing w:line="360" w:lineRule="auto"/>
        <w:jc w:val="center"/>
        <w:textAlignment w:val="baseline"/>
        <w:rPr>
          <w:b/>
          <w:color w:val="auto"/>
          <w:highlight w:val="none"/>
        </w:rPr>
      </w:pPr>
      <w:r>
        <w:rPr>
          <w:caps/>
          <w:color w:val="auto"/>
          <w:kern w:val="0"/>
          <w:sz w:val="24"/>
          <w:szCs w:val="32"/>
          <w:highlight w:val="none"/>
        </w:rPr>
        <w:fldChar w:fldCharType="begin"/>
      </w:r>
      <w:r>
        <w:rPr>
          <w:caps/>
          <w:color w:val="auto"/>
          <w:kern w:val="0"/>
          <w:sz w:val="24"/>
          <w:szCs w:val="32"/>
          <w:highlight w:val="none"/>
        </w:rPr>
        <w:instrText xml:space="preserve"> TOC \o "1-3" \h \z \u </w:instrText>
      </w:r>
      <w:r>
        <w:rPr>
          <w:caps/>
          <w:color w:val="auto"/>
          <w:kern w:val="0"/>
          <w:sz w:val="24"/>
          <w:szCs w:val="32"/>
          <w:highlight w:val="none"/>
        </w:rPr>
        <w:fldChar w:fldCharType="separate"/>
      </w:r>
      <w:r>
        <w:rPr>
          <w:color w:val="auto"/>
          <w:highlight w:val="none"/>
        </w:rPr>
        <w:fldChar w:fldCharType="begin"/>
      </w:r>
      <w:r>
        <w:rPr>
          <w:color w:val="auto"/>
          <w:highlight w:val="none"/>
        </w:rPr>
        <w:instrText xml:space="preserve"> HYPERLINK \l "_Toc2272545" </w:instrText>
      </w:r>
      <w:r>
        <w:rPr>
          <w:color w:val="auto"/>
          <w:highlight w:val="none"/>
        </w:rPr>
        <w:fldChar w:fldCharType="separate"/>
      </w:r>
      <w:r>
        <w:rPr>
          <w:b/>
          <w:caps/>
          <w:color w:val="auto"/>
          <w:kern w:val="0"/>
          <w:sz w:val="24"/>
          <w:szCs w:val="32"/>
          <w:highlight w:val="none"/>
          <w:u w:val="single"/>
        </w:rPr>
        <w:t>第一章  投标须知</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_Toc2272545 \h </w:instrText>
      </w:r>
      <w:r>
        <w:rPr>
          <w:b/>
          <w:caps/>
          <w:color w:val="auto"/>
          <w:kern w:val="0"/>
          <w:sz w:val="24"/>
          <w:szCs w:val="32"/>
          <w:highlight w:val="none"/>
        </w:rPr>
        <w:fldChar w:fldCharType="separate"/>
      </w:r>
      <w:r>
        <w:rPr>
          <w:b/>
          <w:caps/>
          <w:color w:val="auto"/>
          <w:kern w:val="0"/>
          <w:sz w:val="24"/>
          <w:szCs w:val="32"/>
          <w:highlight w:val="none"/>
        </w:rPr>
        <w:t>2</w:t>
      </w:r>
      <w:r>
        <w:rPr>
          <w:b/>
          <w:caps/>
          <w:color w:val="auto"/>
          <w:kern w:val="0"/>
          <w:sz w:val="24"/>
          <w:szCs w:val="32"/>
          <w:highlight w:val="none"/>
        </w:rPr>
        <w:fldChar w:fldCharType="end"/>
      </w:r>
      <w:r>
        <w:rPr>
          <w:b/>
          <w:caps/>
          <w:color w:val="auto"/>
          <w:kern w:val="0"/>
          <w:sz w:val="24"/>
          <w:szCs w:val="32"/>
          <w:highlight w:val="none"/>
        </w:rPr>
        <w:fldChar w:fldCharType="end"/>
      </w:r>
    </w:p>
    <w:p w14:paraId="4DFAC33C">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"_Toc2272546" </w:instrText>
      </w:r>
      <w:r>
        <w:rPr>
          <w:color w:val="auto"/>
          <w:highlight w:val="none"/>
        </w:rPr>
        <w:fldChar w:fldCharType="separate"/>
      </w:r>
      <w:r>
        <w:rPr>
          <w:color w:val="auto"/>
          <w:sz w:val="24"/>
          <w:szCs w:val="24"/>
          <w:highlight w:val="none"/>
          <w:u w:val="single"/>
        </w:rPr>
        <w:t>一、投标须知前附表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p>
    <w:p w14:paraId="267C06DD">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"_Toc2272547" </w:instrText>
      </w:r>
      <w:r>
        <w:rPr>
          <w:color w:val="auto"/>
          <w:highlight w:val="none"/>
        </w:rPr>
        <w:fldChar w:fldCharType="separate"/>
      </w:r>
      <w:r>
        <w:rPr>
          <w:color w:val="auto"/>
          <w:sz w:val="24"/>
          <w:szCs w:val="24"/>
          <w:highlight w:val="none"/>
          <w:u w:val="single"/>
        </w:rPr>
        <w:t>二、投标须知修改表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_Toc2272547 \h </w:instrText>
      </w:r>
      <w:r>
        <w:rPr>
          <w:color w:val="auto"/>
          <w:sz w:val="24"/>
          <w:szCs w:val="24"/>
          <w:highlight w:val="none"/>
        </w:rPr>
        <w:fldChar w:fldCharType="separate"/>
      </w:r>
      <w:r>
        <w:rPr>
          <w:color w:val="auto"/>
          <w:sz w:val="24"/>
          <w:szCs w:val="24"/>
          <w:highlight w:val="none"/>
        </w:rPr>
        <w:t>7</w:t>
      </w:r>
      <w:r>
        <w:rPr>
          <w:color w:val="auto"/>
          <w:sz w:val="24"/>
          <w:szCs w:val="24"/>
          <w:highlight w:val="none"/>
        </w:rPr>
        <w:fldChar w:fldCharType="end"/>
      </w:r>
      <w:r>
        <w:rPr>
          <w:color w:val="auto"/>
          <w:sz w:val="24"/>
          <w:szCs w:val="24"/>
          <w:highlight w:val="none"/>
        </w:rPr>
        <w:fldChar w:fldCharType="end"/>
      </w:r>
    </w:p>
    <w:p w14:paraId="4F76C22D">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"_Toc2272548" </w:instrText>
      </w:r>
      <w:r>
        <w:rPr>
          <w:color w:val="auto"/>
          <w:highlight w:val="none"/>
        </w:rPr>
        <w:fldChar w:fldCharType="separate"/>
      </w:r>
      <w:r>
        <w:rPr>
          <w:color w:val="auto"/>
          <w:sz w:val="24"/>
          <w:szCs w:val="24"/>
          <w:highlight w:val="none"/>
          <w:u w:val="single"/>
        </w:rPr>
        <w:t>三、投标须知通用条款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_Toc2272548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21AD7879">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"_Toc2272549"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_Toc2272549 \h </w:instrText>
      </w:r>
      <w:r>
        <w:rPr>
          <w:color w:val="auto"/>
          <w:sz w:val="24"/>
          <w:szCs w:val="20"/>
          <w:highlight w:val="none"/>
        </w:rPr>
        <w:fldChar w:fldCharType="separate"/>
      </w:r>
      <w:r>
        <w:rPr>
          <w:color w:val="auto"/>
          <w:sz w:val="24"/>
          <w:szCs w:val="20"/>
          <w:highlight w:val="none"/>
        </w:rPr>
        <w:t>19</w:t>
      </w:r>
      <w:r>
        <w:rPr>
          <w:color w:val="auto"/>
          <w:sz w:val="24"/>
          <w:szCs w:val="20"/>
          <w:highlight w:val="none"/>
        </w:rPr>
        <w:fldChar w:fldCharType="end"/>
      </w:r>
      <w:r>
        <w:rPr>
          <w:color w:val="auto"/>
          <w:sz w:val="24"/>
          <w:szCs w:val="20"/>
          <w:highlight w:val="none"/>
        </w:rPr>
        <w:fldChar w:fldCharType="end"/>
      </w:r>
    </w:p>
    <w:p w14:paraId="5CA10F71">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"_Toc2272550" </w:instrText>
      </w:r>
      <w:r>
        <w:rPr>
          <w:color w:val="auto"/>
          <w:highlight w:val="none"/>
        </w:rPr>
        <w:fldChar w:fldCharType="separate"/>
      </w:r>
      <w:r>
        <w:rPr>
          <w:color w:val="auto"/>
          <w:sz w:val="24"/>
          <w:szCs w:val="20"/>
          <w:highlight w:val="none"/>
          <w:u w:val="single"/>
        </w:rPr>
        <w:t>（二）招标文件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_Toc2272550 \h </w:instrText>
      </w:r>
      <w:r>
        <w:rPr>
          <w:color w:val="auto"/>
          <w:sz w:val="24"/>
          <w:szCs w:val="20"/>
          <w:highlight w:val="none"/>
        </w:rPr>
        <w:fldChar w:fldCharType="separate"/>
      </w:r>
      <w:r>
        <w:rPr>
          <w:color w:val="auto"/>
          <w:sz w:val="24"/>
          <w:szCs w:val="20"/>
          <w:highlight w:val="none"/>
        </w:rPr>
        <w:t>20</w:t>
      </w:r>
      <w:r>
        <w:rPr>
          <w:color w:val="auto"/>
          <w:sz w:val="24"/>
          <w:szCs w:val="20"/>
          <w:highlight w:val="none"/>
        </w:rPr>
        <w:fldChar w:fldCharType="end"/>
      </w:r>
      <w:r>
        <w:rPr>
          <w:color w:val="auto"/>
          <w:sz w:val="24"/>
          <w:szCs w:val="20"/>
          <w:highlight w:val="none"/>
        </w:rPr>
        <w:fldChar w:fldCharType="end"/>
      </w:r>
    </w:p>
    <w:p w14:paraId="2426CBBE">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"_Toc2272551" </w:instrText>
      </w:r>
      <w:r>
        <w:rPr>
          <w:color w:val="auto"/>
          <w:highlight w:val="none"/>
        </w:rPr>
        <w:fldChar w:fldCharType="separate"/>
      </w:r>
      <w:r>
        <w:rPr>
          <w:color w:val="auto"/>
          <w:sz w:val="24"/>
          <w:szCs w:val="20"/>
          <w:highlight w:val="none"/>
          <w:u w:val="single"/>
        </w:rPr>
        <w:t>（三）投标文件的编制</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_Toc2272551 \h </w:instrText>
      </w:r>
      <w:r>
        <w:rPr>
          <w:color w:val="auto"/>
          <w:sz w:val="24"/>
          <w:szCs w:val="20"/>
          <w:highlight w:val="none"/>
        </w:rPr>
        <w:fldChar w:fldCharType="separate"/>
      </w:r>
      <w:r>
        <w:rPr>
          <w:color w:val="auto"/>
          <w:sz w:val="24"/>
          <w:szCs w:val="20"/>
          <w:highlight w:val="none"/>
        </w:rPr>
        <w:t>21</w:t>
      </w:r>
      <w:r>
        <w:rPr>
          <w:color w:val="auto"/>
          <w:sz w:val="24"/>
          <w:szCs w:val="20"/>
          <w:highlight w:val="none"/>
        </w:rPr>
        <w:fldChar w:fldCharType="end"/>
      </w:r>
      <w:r>
        <w:rPr>
          <w:color w:val="auto"/>
          <w:sz w:val="24"/>
          <w:szCs w:val="20"/>
          <w:highlight w:val="none"/>
        </w:rPr>
        <w:fldChar w:fldCharType="end"/>
      </w:r>
    </w:p>
    <w:p w14:paraId="4975A33F">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"_Toc2272552" </w:instrText>
      </w:r>
      <w:r>
        <w:rPr>
          <w:color w:val="auto"/>
          <w:highlight w:val="none"/>
        </w:rPr>
        <w:fldChar w:fldCharType="separate"/>
      </w:r>
      <w:r>
        <w:rPr>
          <w:color w:val="auto"/>
          <w:sz w:val="24"/>
          <w:szCs w:val="20"/>
          <w:highlight w:val="none"/>
          <w:u w:val="single"/>
        </w:rPr>
        <w:t>（四）投标文件的提交</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_Toc2272552 \h </w:instrText>
      </w:r>
      <w:r>
        <w:rPr>
          <w:color w:val="auto"/>
          <w:sz w:val="24"/>
          <w:szCs w:val="20"/>
          <w:highlight w:val="none"/>
        </w:rPr>
        <w:fldChar w:fldCharType="separate"/>
      </w:r>
      <w:r>
        <w:rPr>
          <w:color w:val="auto"/>
          <w:sz w:val="24"/>
          <w:szCs w:val="20"/>
          <w:highlight w:val="none"/>
        </w:rPr>
        <w:t>28</w:t>
      </w:r>
      <w:r>
        <w:rPr>
          <w:color w:val="auto"/>
          <w:sz w:val="24"/>
          <w:szCs w:val="20"/>
          <w:highlight w:val="none"/>
        </w:rPr>
        <w:fldChar w:fldCharType="end"/>
      </w:r>
      <w:r>
        <w:rPr>
          <w:color w:val="auto"/>
          <w:sz w:val="24"/>
          <w:szCs w:val="20"/>
          <w:highlight w:val="none"/>
        </w:rPr>
        <w:fldChar w:fldCharType="end"/>
      </w:r>
    </w:p>
    <w:p w14:paraId="324982A9">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"_Toc2272553" </w:instrText>
      </w:r>
      <w:r>
        <w:rPr>
          <w:color w:val="auto"/>
          <w:highlight w:val="none"/>
        </w:rPr>
        <w:fldChar w:fldCharType="separate"/>
      </w:r>
      <w:r>
        <w:rPr>
          <w:color w:val="auto"/>
          <w:sz w:val="24"/>
          <w:szCs w:val="20"/>
          <w:highlight w:val="none"/>
          <w:u w:val="single"/>
        </w:rPr>
        <w:t>（五）开标、评标、定标及合同签定</w:t>
      </w:r>
      <w:r>
        <w:rPr>
          <w:color w:val="auto"/>
          <w:sz w:val="24"/>
          <w:szCs w:val="20"/>
          <w:highlight w:val="none"/>
        </w:rPr>
        <w:tab/>
      </w:r>
      <w:r>
        <w:rPr>
          <w:color w:val="auto"/>
          <w:sz w:val="24"/>
          <w:szCs w:val="20"/>
          <w:highlight w:val="none"/>
        </w:rPr>
        <w:fldChar w:fldCharType="begin"/>
      </w:r>
      <w:r>
        <w:rPr>
          <w:color w:val="auto"/>
          <w:sz w:val="24"/>
          <w:szCs w:val="20"/>
          <w:highlight w:val="none"/>
        </w:rPr>
        <w:instrText xml:space="preserve"> PAGEREF _Toc2272553 \h </w:instrText>
      </w:r>
      <w:r>
        <w:rPr>
          <w:color w:val="auto"/>
          <w:sz w:val="24"/>
          <w:szCs w:val="20"/>
          <w:highlight w:val="none"/>
        </w:rPr>
        <w:fldChar w:fldCharType="separate"/>
      </w:r>
      <w:r>
        <w:rPr>
          <w:color w:val="auto"/>
          <w:sz w:val="24"/>
          <w:szCs w:val="20"/>
          <w:highlight w:val="none"/>
        </w:rPr>
        <w:t>29</w:t>
      </w:r>
      <w:r>
        <w:rPr>
          <w:color w:val="auto"/>
          <w:sz w:val="24"/>
          <w:szCs w:val="20"/>
          <w:highlight w:val="none"/>
        </w:rPr>
        <w:fldChar w:fldCharType="end"/>
      </w:r>
      <w:r>
        <w:rPr>
          <w:color w:val="auto"/>
          <w:sz w:val="24"/>
          <w:szCs w:val="20"/>
          <w:highlight w:val="none"/>
        </w:rPr>
        <w:fldChar w:fldCharType="end"/>
      </w:r>
    </w:p>
    <w:p w14:paraId="41A5F317">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"_Toc2272554" </w:instrText>
      </w:r>
      <w:r>
        <w:rPr>
          <w:color w:val="auto"/>
          <w:highlight w:val="none"/>
        </w:rPr>
        <w:fldChar w:fldCharType="separate"/>
      </w:r>
      <w:r>
        <w:rPr>
          <w:b/>
          <w:caps/>
          <w:color w:val="auto"/>
          <w:kern w:val="0"/>
          <w:sz w:val="24"/>
          <w:szCs w:val="32"/>
          <w:highlight w:val="none"/>
          <w:u w:val="single"/>
        </w:rPr>
        <w:t>第二章  开标、评标及定标办法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_Toc2272554 \h </w:instrText>
      </w:r>
      <w:r>
        <w:rPr>
          <w:b/>
          <w:caps/>
          <w:color w:val="auto"/>
          <w:kern w:val="0"/>
          <w:sz w:val="24"/>
          <w:szCs w:val="32"/>
          <w:highlight w:val="none"/>
        </w:rPr>
        <w:fldChar w:fldCharType="separate"/>
      </w:r>
      <w:r>
        <w:rPr>
          <w:b/>
          <w:caps/>
          <w:color w:val="auto"/>
          <w:kern w:val="0"/>
          <w:sz w:val="24"/>
          <w:szCs w:val="32"/>
          <w:highlight w:val="none"/>
        </w:rPr>
        <w:t>32</w:t>
      </w:r>
      <w:r>
        <w:rPr>
          <w:b/>
          <w:caps/>
          <w:color w:val="auto"/>
          <w:kern w:val="0"/>
          <w:sz w:val="24"/>
          <w:szCs w:val="32"/>
          <w:highlight w:val="none"/>
        </w:rPr>
        <w:fldChar w:fldCharType="end"/>
      </w:r>
      <w:r>
        <w:rPr>
          <w:b/>
          <w:caps/>
          <w:color w:val="auto"/>
          <w:kern w:val="0"/>
          <w:sz w:val="24"/>
          <w:szCs w:val="32"/>
          <w:highlight w:val="none"/>
        </w:rPr>
        <w:fldChar w:fldCharType="end"/>
      </w:r>
    </w:p>
    <w:p w14:paraId="2E8B88C9">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"_Toc2272555" </w:instrText>
      </w:r>
      <w:r>
        <w:rPr>
          <w:color w:val="auto"/>
          <w:highlight w:val="none"/>
        </w:rPr>
        <w:fldChar w:fldCharType="separate"/>
      </w:r>
      <w:r>
        <w:rPr>
          <w:color w:val="auto"/>
          <w:sz w:val="24"/>
          <w:szCs w:val="24"/>
          <w:highlight w:val="none"/>
          <w:u w:val="single"/>
        </w:rPr>
        <w:t>一、开标、评标及定标办法修改表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_Toc2272555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14:paraId="5DD339E1">
      <w:pPr>
        <w:tabs>
          <w:tab w:val="right" w:leader="dot" w:pos="8364"/>
        </w:tabs>
        <w:snapToGrid w:val="0"/>
        <w:spacing w:line="360" w:lineRule="auto"/>
        <w:ind w:left="420" w:leftChars="200"/>
        <w:jc w:val="center"/>
        <w:rPr>
          <w:color w:val="auto"/>
          <w:highlight w:val="none"/>
        </w:rPr>
      </w:pPr>
      <w:r>
        <w:rPr>
          <w:color w:val="auto"/>
          <w:highlight w:val="none"/>
        </w:rPr>
        <w:fldChar w:fldCharType="begin"/>
      </w:r>
      <w:r>
        <w:rPr>
          <w:color w:val="auto"/>
          <w:highlight w:val="none"/>
        </w:rPr>
        <w:instrText xml:space="preserve"> HYPERLINK \l "_Toc2272556" </w:instrText>
      </w:r>
      <w:r>
        <w:rPr>
          <w:color w:val="auto"/>
          <w:highlight w:val="none"/>
        </w:rPr>
        <w:fldChar w:fldCharType="separate"/>
      </w:r>
      <w:r>
        <w:rPr>
          <w:color w:val="auto"/>
          <w:sz w:val="24"/>
          <w:szCs w:val="24"/>
          <w:highlight w:val="none"/>
          <w:u w:val="single"/>
        </w:rPr>
        <w:t>二、开标、评标及定标办法通用条款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_Toc2272556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color w:val="auto"/>
          <w:sz w:val="24"/>
          <w:szCs w:val="24"/>
          <w:highlight w:val="none"/>
        </w:rPr>
        <w:fldChar w:fldCharType="end"/>
      </w:r>
    </w:p>
    <w:p w14:paraId="4FB8C35A">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"_Toc2272557" </w:instrText>
      </w:r>
      <w:r>
        <w:rPr>
          <w:color w:val="auto"/>
          <w:highlight w:val="none"/>
        </w:rPr>
        <w:fldChar w:fldCharType="separate"/>
      </w:r>
      <w:r>
        <w:rPr>
          <w:color w:val="auto"/>
          <w:sz w:val="24"/>
          <w:szCs w:val="20"/>
          <w:highlight w:val="none"/>
          <w:u w:val="single"/>
        </w:rPr>
        <w:t>（一）总则</w:t>
      </w:r>
      <w:r>
        <w:rPr>
          <w:color w:val="auto"/>
          <w:sz w:val="24"/>
          <w:szCs w:val="20"/>
          <w:highlight w:val="none"/>
        </w:rPr>
        <w:tab/>
      </w:r>
      <w:r>
        <w:rPr>
          <w:color w:val="auto"/>
          <w:sz w:val="24"/>
          <w:szCs w:val="20"/>
          <w:highlight w:val="none"/>
        </w:rPr>
        <w:fldChar w:fldCharType="end"/>
      </w:r>
      <w:r>
        <w:rPr>
          <w:rFonts w:hint="eastAsia"/>
          <w:color w:val="auto"/>
          <w:sz w:val="24"/>
          <w:szCs w:val="20"/>
          <w:highlight w:val="none"/>
        </w:rPr>
        <w:t>36</w:t>
      </w:r>
    </w:p>
    <w:p w14:paraId="69C1DB56">
      <w:pPr>
        <w:tabs>
          <w:tab w:val="right" w:leader="dot" w:pos="8364"/>
        </w:tabs>
        <w:snapToGrid w:val="0"/>
        <w:spacing w:line="360" w:lineRule="auto"/>
        <w:ind w:left="840" w:leftChars="400"/>
        <w:jc w:val="center"/>
        <w:rPr>
          <w:color w:val="auto"/>
          <w:highlight w:val="none"/>
        </w:rPr>
      </w:pPr>
      <w:r>
        <w:rPr>
          <w:color w:val="auto"/>
          <w:highlight w:val="none"/>
        </w:rPr>
        <w:fldChar w:fldCharType="begin"/>
      </w:r>
      <w:r>
        <w:rPr>
          <w:color w:val="auto"/>
          <w:highlight w:val="none"/>
        </w:rPr>
        <w:instrText xml:space="preserve"> HYPERLINK \l "_Toc2272558" </w:instrText>
      </w:r>
      <w:r>
        <w:rPr>
          <w:color w:val="auto"/>
          <w:highlight w:val="none"/>
        </w:rPr>
        <w:fldChar w:fldCharType="separate"/>
      </w:r>
      <w:r>
        <w:rPr>
          <w:color w:val="auto"/>
          <w:sz w:val="24"/>
          <w:szCs w:val="20"/>
          <w:highlight w:val="none"/>
          <w:u w:val="single"/>
        </w:rPr>
        <w:t>（二）开标评标办法程序和细则</w:t>
      </w:r>
      <w:r>
        <w:rPr>
          <w:color w:val="auto"/>
          <w:sz w:val="24"/>
          <w:szCs w:val="20"/>
          <w:highlight w:val="none"/>
        </w:rPr>
        <w:tab/>
      </w:r>
      <w:r>
        <w:rPr>
          <w:color w:val="auto"/>
          <w:sz w:val="24"/>
          <w:szCs w:val="20"/>
          <w:highlight w:val="none"/>
        </w:rPr>
        <w:fldChar w:fldCharType="end"/>
      </w:r>
      <w:r>
        <w:rPr>
          <w:rFonts w:hint="eastAsia"/>
          <w:color w:val="auto"/>
          <w:sz w:val="24"/>
          <w:szCs w:val="20"/>
          <w:highlight w:val="none"/>
        </w:rPr>
        <w:t>38</w:t>
      </w:r>
    </w:p>
    <w:p w14:paraId="23E92FE5">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"_Toc2272566" </w:instrText>
      </w:r>
      <w:r>
        <w:rPr>
          <w:color w:val="auto"/>
          <w:highlight w:val="none"/>
        </w:rPr>
        <w:fldChar w:fldCharType="separate"/>
      </w:r>
      <w:r>
        <w:rPr>
          <w:b/>
          <w:caps/>
          <w:color w:val="auto"/>
          <w:kern w:val="0"/>
          <w:sz w:val="24"/>
          <w:szCs w:val="32"/>
          <w:highlight w:val="none"/>
          <w:u w:val="single"/>
        </w:rPr>
        <w:t>第三章  合同条款</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_Toc2272566 \h </w:instrText>
      </w:r>
      <w:r>
        <w:rPr>
          <w:b/>
          <w:caps/>
          <w:color w:val="auto"/>
          <w:kern w:val="0"/>
          <w:sz w:val="24"/>
          <w:szCs w:val="32"/>
          <w:highlight w:val="none"/>
        </w:rPr>
        <w:fldChar w:fldCharType="separate"/>
      </w:r>
      <w:r>
        <w:rPr>
          <w:b/>
          <w:caps/>
          <w:color w:val="auto"/>
          <w:kern w:val="0"/>
          <w:sz w:val="24"/>
          <w:szCs w:val="32"/>
          <w:highlight w:val="none"/>
        </w:rPr>
        <w:t>50</w:t>
      </w:r>
      <w:r>
        <w:rPr>
          <w:b/>
          <w:caps/>
          <w:color w:val="auto"/>
          <w:kern w:val="0"/>
          <w:sz w:val="24"/>
          <w:szCs w:val="32"/>
          <w:highlight w:val="none"/>
        </w:rPr>
        <w:fldChar w:fldCharType="end"/>
      </w:r>
      <w:r>
        <w:rPr>
          <w:b/>
          <w:caps/>
          <w:color w:val="auto"/>
          <w:kern w:val="0"/>
          <w:sz w:val="24"/>
          <w:szCs w:val="32"/>
          <w:highlight w:val="none"/>
        </w:rPr>
        <w:fldChar w:fldCharType="end"/>
      </w:r>
    </w:p>
    <w:p w14:paraId="7F892C4A">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"_Toc2272567" </w:instrText>
      </w:r>
      <w:r>
        <w:rPr>
          <w:color w:val="auto"/>
          <w:highlight w:val="none"/>
        </w:rPr>
        <w:fldChar w:fldCharType="separate"/>
      </w:r>
      <w:r>
        <w:rPr>
          <w:b/>
          <w:caps/>
          <w:color w:val="auto"/>
          <w:kern w:val="0"/>
          <w:sz w:val="24"/>
          <w:szCs w:val="32"/>
          <w:highlight w:val="none"/>
          <w:u w:val="single"/>
        </w:rPr>
        <w:t>第四章  投标文件格式</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_Toc2272567 \h </w:instrText>
      </w:r>
      <w:r>
        <w:rPr>
          <w:b/>
          <w:caps/>
          <w:color w:val="auto"/>
          <w:kern w:val="0"/>
          <w:sz w:val="24"/>
          <w:szCs w:val="32"/>
          <w:highlight w:val="none"/>
        </w:rPr>
        <w:fldChar w:fldCharType="separate"/>
      </w:r>
      <w:r>
        <w:rPr>
          <w:b/>
          <w:caps/>
          <w:color w:val="auto"/>
          <w:kern w:val="0"/>
          <w:sz w:val="24"/>
          <w:szCs w:val="32"/>
          <w:highlight w:val="none"/>
        </w:rPr>
        <w:t>60</w:t>
      </w:r>
      <w:r>
        <w:rPr>
          <w:b/>
          <w:caps/>
          <w:color w:val="auto"/>
          <w:kern w:val="0"/>
          <w:sz w:val="24"/>
          <w:szCs w:val="32"/>
          <w:highlight w:val="none"/>
        </w:rPr>
        <w:fldChar w:fldCharType="end"/>
      </w:r>
      <w:r>
        <w:rPr>
          <w:b/>
          <w:caps/>
          <w:color w:val="auto"/>
          <w:kern w:val="0"/>
          <w:sz w:val="24"/>
          <w:szCs w:val="32"/>
          <w:highlight w:val="none"/>
        </w:rPr>
        <w:fldChar w:fldCharType="end"/>
      </w:r>
    </w:p>
    <w:p w14:paraId="62E44052">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"_Toc2272568" </w:instrText>
      </w:r>
      <w:r>
        <w:rPr>
          <w:color w:val="auto"/>
          <w:highlight w:val="none"/>
        </w:rPr>
        <w:fldChar w:fldCharType="separate"/>
      </w:r>
      <w:r>
        <w:rPr>
          <w:b/>
          <w:caps/>
          <w:color w:val="auto"/>
          <w:kern w:val="0"/>
          <w:sz w:val="24"/>
          <w:szCs w:val="32"/>
          <w:highlight w:val="none"/>
          <w:u w:val="single"/>
        </w:rPr>
        <w:t>第五章  技术条件（工程建设标准）</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_Toc2272568 \h </w:instrText>
      </w:r>
      <w:r>
        <w:rPr>
          <w:b/>
          <w:caps/>
          <w:color w:val="auto"/>
          <w:kern w:val="0"/>
          <w:sz w:val="24"/>
          <w:szCs w:val="32"/>
          <w:highlight w:val="none"/>
        </w:rPr>
        <w:fldChar w:fldCharType="separate"/>
      </w:r>
      <w:r>
        <w:rPr>
          <w:b/>
          <w:caps/>
          <w:color w:val="auto"/>
          <w:kern w:val="0"/>
          <w:sz w:val="24"/>
          <w:szCs w:val="32"/>
          <w:highlight w:val="none"/>
        </w:rPr>
        <w:t>77</w:t>
      </w:r>
      <w:r>
        <w:rPr>
          <w:b/>
          <w:caps/>
          <w:color w:val="auto"/>
          <w:kern w:val="0"/>
          <w:sz w:val="24"/>
          <w:szCs w:val="32"/>
          <w:highlight w:val="none"/>
        </w:rPr>
        <w:fldChar w:fldCharType="end"/>
      </w:r>
      <w:r>
        <w:rPr>
          <w:b/>
          <w:caps/>
          <w:color w:val="auto"/>
          <w:kern w:val="0"/>
          <w:sz w:val="24"/>
          <w:szCs w:val="32"/>
          <w:highlight w:val="none"/>
        </w:rPr>
        <w:fldChar w:fldCharType="end"/>
      </w:r>
    </w:p>
    <w:p w14:paraId="4FDFD2AC">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"_Toc2272569" </w:instrText>
      </w:r>
      <w:r>
        <w:rPr>
          <w:color w:val="auto"/>
          <w:highlight w:val="none"/>
        </w:rPr>
        <w:fldChar w:fldCharType="separate"/>
      </w:r>
      <w:r>
        <w:rPr>
          <w:b/>
          <w:caps/>
          <w:color w:val="auto"/>
          <w:kern w:val="0"/>
          <w:sz w:val="24"/>
          <w:szCs w:val="32"/>
          <w:highlight w:val="none"/>
          <w:u w:val="single"/>
        </w:rPr>
        <w:t>第六章  图纸及勘察资料</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_Toc2272569 \h </w:instrText>
      </w:r>
      <w:r>
        <w:rPr>
          <w:b/>
          <w:caps/>
          <w:color w:val="auto"/>
          <w:kern w:val="0"/>
          <w:sz w:val="24"/>
          <w:szCs w:val="32"/>
          <w:highlight w:val="none"/>
        </w:rPr>
        <w:fldChar w:fldCharType="separate"/>
      </w:r>
      <w:r>
        <w:rPr>
          <w:b/>
          <w:caps/>
          <w:color w:val="auto"/>
          <w:kern w:val="0"/>
          <w:sz w:val="24"/>
          <w:szCs w:val="32"/>
          <w:highlight w:val="none"/>
        </w:rPr>
        <w:t>90</w:t>
      </w:r>
      <w:r>
        <w:rPr>
          <w:b/>
          <w:caps/>
          <w:color w:val="auto"/>
          <w:kern w:val="0"/>
          <w:sz w:val="24"/>
          <w:szCs w:val="32"/>
          <w:highlight w:val="none"/>
        </w:rPr>
        <w:fldChar w:fldCharType="end"/>
      </w:r>
      <w:r>
        <w:rPr>
          <w:b/>
          <w:caps/>
          <w:color w:val="auto"/>
          <w:kern w:val="0"/>
          <w:sz w:val="24"/>
          <w:szCs w:val="32"/>
          <w:highlight w:val="none"/>
        </w:rPr>
        <w:fldChar w:fldCharType="end"/>
      </w:r>
    </w:p>
    <w:p w14:paraId="5B795230">
      <w:pPr>
        <w:tabs>
          <w:tab w:val="right" w:leader="dot" w:pos="8364"/>
        </w:tabs>
        <w:adjustRightInd w:val="0"/>
        <w:snapToGrid w:val="0"/>
        <w:spacing w:line="360" w:lineRule="auto"/>
        <w:jc w:val="center"/>
        <w:textAlignment w:val="baseline"/>
        <w:rPr>
          <w:b/>
          <w:color w:val="auto"/>
          <w:highlight w:val="none"/>
        </w:rPr>
      </w:pPr>
      <w:r>
        <w:rPr>
          <w:color w:val="auto"/>
          <w:highlight w:val="none"/>
        </w:rPr>
        <w:fldChar w:fldCharType="begin"/>
      </w:r>
      <w:r>
        <w:rPr>
          <w:color w:val="auto"/>
          <w:highlight w:val="none"/>
        </w:rPr>
        <w:instrText xml:space="preserve"> HYPERLINK \l "_Toc2272570" </w:instrText>
      </w:r>
      <w:r>
        <w:rPr>
          <w:color w:val="auto"/>
          <w:highlight w:val="none"/>
        </w:rPr>
        <w:fldChar w:fldCharType="separate"/>
      </w:r>
      <w:r>
        <w:rPr>
          <w:b/>
          <w:caps/>
          <w:color w:val="auto"/>
          <w:kern w:val="0"/>
          <w:sz w:val="24"/>
          <w:szCs w:val="32"/>
          <w:highlight w:val="none"/>
          <w:u w:val="single"/>
        </w:rPr>
        <w:t>第七章  工程量清单</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_Toc2272570 \h </w:instrText>
      </w:r>
      <w:r>
        <w:rPr>
          <w:b/>
          <w:caps/>
          <w:color w:val="auto"/>
          <w:kern w:val="0"/>
          <w:sz w:val="24"/>
          <w:szCs w:val="32"/>
          <w:highlight w:val="none"/>
        </w:rPr>
        <w:fldChar w:fldCharType="separate"/>
      </w:r>
      <w:r>
        <w:rPr>
          <w:b/>
          <w:caps/>
          <w:color w:val="auto"/>
          <w:kern w:val="0"/>
          <w:sz w:val="24"/>
          <w:szCs w:val="32"/>
          <w:highlight w:val="none"/>
        </w:rPr>
        <w:t>91</w:t>
      </w:r>
      <w:r>
        <w:rPr>
          <w:b/>
          <w:caps/>
          <w:color w:val="auto"/>
          <w:kern w:val="0"/>
          <w:sz w:val="24"/>
          <w:szCs w:val="32"/>
          <w:highlight w:val="none"/>
        </w:rPr>
        <w:fldChar w:fldCharType="end"/>
      </w:r>
      <w:r>
        <w:rPr>
          <w:b/>
          <w:caps/>
          <w:color w:val="auto"/>
          <w:kern w:val="0"/>
          <w:sz w:val="24"/>
          <w:szCs w:val="32"/>
          <w:highlight w:val="none"/>
        </w:rPr>
        <w:fldChar w:fldCharType="end"/>
      </w:r>
    </w:p>
    <w:p w14:paraId="708997EE">
      <w:pPr>
        <w:tabs>
          <w:tab w:val="right" w:leader="dot" w:pos="8364"/>
        </w:tabs>
        <w:adjustRightInd w:val="0"/>
        <w:snapToGrid w:val="0"/>
        <w:spacing w:line="360" w:lineRule="auto"/>
        <w:jc w:val="center"/>
        <w:textAlignment w:val="baseline"/>
        <w:rPr>
          <w:b/>
          <w:caps/>
          <w:color w:val="auto"/>
          <w:kern w:val="0"/>
          <w:sz w:val="24"/>
          <w:szCs w:val="32"/>
          <w:highlight w:val="none"/>
        </w:rPr>
      </w:pPr>
      <w:r>
        <w:rPr>
          <w:color w:val="auto"/>
          <w:highlight w:val="none"/>
        </w:rPr>
        <w:fldChar w:fldCharType="begin"/>
      </w:r>
      <w:r>
        <w:rPr>
          <w:color w:val="auto"/>
          <w:highlight w:val="none"/>
        </w:rPr>
        <w:instrText xml:space="preserve"> HYPERLINK \l "_Toc2272571" </w:instrText>
      </w:r>
      <w:r>
        <w:rPr>
          <w:color w:val="auto"/>
          <w:highlight w:val="none"/>
        </w:rPr>
        <w:fldChar w:fldCharType="separate"/>
      </w:r>
      <w:r>
        <w:rPr>
          <w:b/>
          <w:caps/>
          <w:color w:val="auto"/>
          <w:kern w:val="0"/>
          <w:sz w:val="24"/>
          <w:szCs w:val="32"/>
          <w:highlight w:val="none"/>
          <w:u w:val="single"/>
        </w:rPr>
        <w:t>第八章  最高投标</w:t>
      </w:r>
      <w:bookmarkStart w:id="0" w:name="_Hlt62130756"/>
      <w:bookmarkStart w:id="1" w:name="_Hlt62130755"/>
      <w:r>
        <w:rPr>
          <w:b/>
          <w:caps/>
          <w:color w:val="auto"/>
          <w:kern w:val="0"/>
          <w:sz w:val="24"/>
          <w:szCs w:val="32"/>
          <w:highlight w:val="none"/>
          <w:u w:val="single"/>
        </w:rPr>
        <w:t>限</w:t>
      </w:r>
      <w:bookmarkEnd w:id="0"/>
      <w:bookmarkEnd w:id="1"/>
      <w:r>
        <w:rPr>
          <w:b/>
          <w:caps/>
          <w:color w:val="auto"/>
          <w:kern w:val="0"/>
          <w:sz w:val="24"/>
          <w:szCs w:val="32"/>
          <w:highlight w:val="none"/>
          <w:u w:val="single"/>
        </w:rPr>
        <w:t>价</w:t>
      </w:r>
      <w:r>
        <w:rPr>
          <w:b/>
          <w:caps/>
          <w:color w:val="auto"/>
          <w:kern w:val="0"/>
          <w:sz w:val="24"/>
          <w:szCs w:val="32"/>
          <w:highlight w:val="none"/>
        </w:rPr>
        <w:tab/>
      </w:r>
      <w:r>
        <w:rPr>
          <w:b/>
          <w:caps/>
          <w:color w:val="auto"/>
          <w:kern w:val="0"/>
          <w:sz w:val="24"/>
          <w:szCs w:val="32"/>
          <w:highlight w:val="none"/>
        </w:rPr>
        <w:fldChar w:fldCharType="begin"/>
      </w:r>
      <w:r>
        <w:rPr>
          <w:b/>
          <w:caps/>
          <w:color w:val="auto"/>
          <w:kern w:val="0"/>
          <w:sz w:val="24"/>
          <w:szCs w:val="32"/>
          <w:highlight w:val="none"/>
        </w:rPr>
        <w:instrText xml:space="preserve"> PAGEREF _Toc2272571 \h </w:instrText>
      </w:r>
      <w:r>
        <w:rPr>
          <w:b/>
          <w:caps/>
          <w:color w:val="auto"/>
          <w:kern w:val="0"/>
          <w:sz w:val="24"/>
          <w:szCs w:val="32"/>
          <w:highlight w:val="none"/>
        </w:rPr>
        <w:fldChar w:fldCharType="separate"/>
      </w:r>
      <w:r>
        <w:rPr>
          <w:b/>
          <w:caps/>
          <w:color w:val="auto"/>
          <w:kern w:val="0"/>
          <w:sz w:val="24"/>
          <w:szCs w:val="32"/>
          <w:highlight w:val="none"/>
        </w:rPr>
        <w:t>92</w:t>
      </w:r>
      <w:r>
        <w:rPr>
          <w:b/>
          <w:caps/>
          <w:color w:val="auto"/>
          <w:kern w:val="0"/>
          <w:sz w:val="24"/>
          <w:szCs w:val="32"/>
          <w:highlight w:val="none"/>
        </w:rPr>
        <w:fldChar w:fldCharType="end"/>
      </w:r>
      <w:r>
        <w:rPr>
          <w:b/>
          <w:caps/>
          <w:color w:val="auto"/>
          <w:kern w:val="0"/>
          <w:sz w:val="24"/>
          <w:szCs w:val="32"/>
          <w:highlight w:val="none"/>
        </w:rPr>
        <w:fldChar w:fldCharType="end"/>
      </w:r>
    </w:p>
    <w:p w14:paraId="70875605">
      <w:pPr>
        <w:widowControl/>
        <w:jc w:val="center"/>
        <w:rPr>
          <w:color w:val="auto"/>
          <w:highlight w:val="none"/>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04B3D244">
      <w:pPr>
        <w:widowControl/>
        <w:jc w:val="center"/>
        <w:outlineLvl w:val="0"/>
        <w:rPr>
          <w:b/>
          <w:color w:val="auto"/>
          <w:sz w:val="28"/>
          <w:szCs w:val="28"/>
          <w:highlight w:val="none"/>
        </w:rPr>
      </w:pPr>
      <w:r>
        <w:rPr>
          <w:color w:val="auto"/>
          <w:highlight w:val="none"/>
        </w:rPr>
        <w:fldChar w:fldCharType="end"/>
      </w:r>
      <w:bookmarkStart w:id="2" w:name="_Toc62056014"/>
      <w:bookmarkStart w:id="3" w:name="_Toc2272545"/>
      <w:r>
        <w:rPr>
          <w:rFonts w:hint="eastAsia"/>
          <w:b/>
          <w:color w:val="auto"/>
          <w:sz w:val="28"/>
          <w:szCs w:val="28"/>
          <w:highlight w:val="none"/>
        </w:rPr>
        <w:t>第一章</w:t>
      </w:r>
      <w:r>
        <w:rPr>
          <w:b/>
          <w:color w:val="auto"/>
          <w:sz w:val="28"/>
          <w:szCs w:val="28"/>
          <w:highlight w:val="none"/>
        </w:rPr>
        <w:t xml:space="preserve">  </w:t>
      </w:r>
      <w:r>
        <w:rPr>
          <w:rFonts w:hint="eastAsia"/>
          <w:b/>
          <w:color w:val="auto"/>
          <w:sz w:val="28"/>
          <w:szCs w:val="28"/>
          <w:highlight w:val="none"/>
        </w:rPr>
        <w:t>投标须知</w:t>
      </w:r>
      <w:bookmarkEnd w:id="2"/>
      <w:bookmarkEnd w:id="3"/>
    </w:p>
    <w:p w14:paraId="4721B2D7">
      <w:pPr>
        <w:keepNext/>
        <w:keepLines/>
        <w:spacing w:before="120" w:after="120" w:line="415" w:lineRule="auto"/>
        <w:jc w:val="center"/>
        <w:outlineLvl w:val="1"/>
        <w:rPr>
          <w:rFonts w:ascii="Arial" w:hAnsi="Arial"/>
          <w:b/>
          <w:color w:val="auto"/>
          <w:sz w:val="28"/>
          <w:szCs w:val="24"/>
          <w:highlight w:val="none"/>
        </w:rPr>
      </w:pPr>
      <w:bookmarkStart w:id="4" w:name="_Toc2272546"/>
      <w:bookmarkStart w:id="5" w:name="_Toc62056015"/>
      <w:r>
        <w:rPr>
          <w:rFonts w:hint="eastAsia" w:ascii="Arial" w:hAnsi="Arial"/>
          <w:b/>
          <w:color w:val="auto"/>
          <w:sz w:val="28"/>
          <w:szCs w:val="24"/>
          <w:highlight w:val="none"/>
        </w:rPr>
        <w:t>一、投标须知前附表</w:t>
      </w:r>
      <w:bookmarkEnd w:id="4"/>
      <w:bookmarkEnd w:id="5"/>
    </w:p>
    <w:p w14:paraId="4C231A3F">
      <w:pPr>
        <w:spacing w:line="360" w:lineRule="auto"/>
        <w:rPr>
          <w:rFonts w:ascii="宋体" w:hAnsi="宋体"/>
          <w:b/>
          <w:color w:val="auto"/>
          <w:kern w:val="0"/>
          <w:sz w:val="24"/>
          <w:szCs w:val="24"/>
          <w:highlight w:val="none"/>
        </w:rPr>
      </w:pPr>
      <w:r>
        <w:rPr>
          <w:rFonts w:hint="eastAsia" w:ascii="宋体" w:hAnsi="宋体"/>
          <w:b/>
          <w:color w:val="auto"/>
          <w:kern w:val="0"/>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5"/>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4B2BAD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3DAD4DFD">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41B7DC20">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36096E2C">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7E1CC7A6">
            <w:pPr>
              <w:ind w:firstLine="458"/>
              <w:jc w:val="center"/>
              <w:rPr>
                <w:rFonts w:ascii="宋体" w:hAnsi="宋体"/>
                <w:color w:val="auto"/>
                <w:kern w:val="0"/>
                <w:sz w:val="20"/>
                <w:szCs w:val="21"/>
                <w:highlight w:val="none"/>
              </w:rPr>
            </w:pPr>
            <w:r>
              <w:rPr>
                <w:rFonts w:hint="eastAsia" w:ascii="宋体" w:hAnsi="宋体"/>
                <w:color w:val="auto"/>
                <w:kern w:val="0"/>
                <w:sz w:val="20"/>
                <w:szCs w:val="21"/>
                <w:highlight w:val="none"/>
              </w:rPr>
              <w:t>说明与要求</w:t>
            </w:r>
          </w:p>
        </w:tc>
      </w:tr>
      <w:tr w14:paraId="4CE019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29AB4E3F">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476E3ACF">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02B9E160">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16201852">
            <w:pPr>
              <w:spacing w:line="24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广东省野生动物监测救护中心</w:t>
            </w:r>
          </w:p>
          <w:p w14:paraId="5D43BDF6">
            <w:pPr>
              <w:spacing w:line="240" w:lineRule="auto"/>
              <w:rPr>
                <w:rFonts w:hint="eastAsia" w:ascii="宋体" w:hAnsi="宋体" w:eastAsia="宋体" w:cs="宋体"/>
                <w:color w:val="auto"/>
                <w:szCs w:val="21"/>
                <w:highlight w:val="none"/>
                <w:u w:val="none"/>
                <w:lang w:eastAsia="zh-CN"/>
              </w:rPr>
            </w:pPr>
            <w:r>
              <w:rPr>
                <w:rFonts w:hint="eastAsia" w:ascii="宋体" w:hAnsi="宋体" w:eastAsia="宋体" w:cs="宋体"/>
                <w:color w:val="auto"/>
                <w:spacing w:val="0"/>
                <w:kern w:val="2"/>
                <w:sz w:val="21"/>
                <w:szCs w:val="21"/>
                <w:highlight w:val="none"/>
                <w:lang w:val="en-US" w:eastAsia="zh-CN" w:bidi="ar-SA"/>
              </w:rPr>
              <w:t>监理单位：</w:t>
            </w:r>
            <w:r>
              <w:rPr>
                <w:rFonts w:hint="eastAsia" w:ascii="宋体" w:hAnsi="宋体" w:cs="宋体"/>
                <w:color w:val="auto"/>
                <w:szCs w:val="21"/>
                <w:highlight w:val="none"/>
                <w:u w:val="single"/>
                <w:lang w:eastAsia="zh-CN"/>
              </w:rPr>
              <w:t>广东省国际工程咨询有限公司</w:t>
            </w:r>
          </w:p>
          <w:p w14:paraId="7EF8C8D9">
            <w:pPr>
              <w:rPr>
                <w:rFonts w:hint="eastAsia" w:ascii="宋体" w:hAnsi="宋体" w:cs="宋体"/>
                <w:color w:val="auto"/>
                <w:szCs w:val="21"/>
                <w:highlight w:val="none"/>
                <w:u w:val="single"/>
                <w:lang w:eastAsia="zh-CN"/>
              </w:rPr>
            </w:pPr>
            <w:r>
              <w:rPr>
                <w:rFonts w:hint="eastAsia" w:ascii="宋体" w:hAnsi="宋体" w:cs="宋体"/>
                <w:color w:val="auto"/>
                <w:spacing w:val="0"/>
                <w:sz w:val="21"/>
                <w:szCs w:val="21"/>
                <w:highlight w:val="none"/>
              </w:rPr>
              <w:t>设计单位：</w:t>
            </w:r>
            <w:r>
              <w:rPr>
                <w:rFonts w:hint="eastAsia" w:ascii="宋体" w:hAnsi="宋体" w:cs="宋体"/>
                <w:color w:val="auto"/>
                <w:szCs w:val="21"/>
                <w:highlight w:val="none"/>
                <w:u w:val="single"/>
                <w:lang w:eastAsia="zh-CN"/>
              </w:rPr>
              <w:t>广东省建科建筑设计院有限公司</w:t>
            </w:r>
          </w:p>
          <w:p w14:paraId="4F5BE711">
            <w:pPr>
              <w:pStyle w:val="13"/>
              <w:rPr>
                <w:rFonts w:hint="default" w:eastAsia="宋体"/>
                <w:color w:val="auto"/>
                <w:highlight w:val="none"/>
                <w:lang w:val="en-US"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广东省国际工程咨询有限公司</w:t>
            </w:r>
          </w:p>
        </w:tc>
      </w:tr>
      <w:tr w14:paraId="0D43E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6AFCB57A">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3B717DC">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798CBD3">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4E0681B5">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国家林业和草原局穿山甲保护研究中心项目施工总承包</w:t>
            </w:r>
          </w:p>
        </w:tc>
      </w:tr>
      <w:tr w14:paraId="7AAB6D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5E2629ED">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1EC5295B">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31C1ECA0">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2827D7BC">
            <w:pPr>
              <w:rPr>
                <w:rFonts w:ascii="宋体" w:hAnsi="宋体"/>
                <w:color w:val="auto"/>
                <w:szCs w:val="21"/>
                <w:highlight w:val="none"/>
                <w:u w:val="single"/>
              </w:rPr>
            </w:pPr>
            <w:r>
              <w:rPr>
                <w:rFonts w:hint="eastAsia" w:ascii="宋体" w:hAnsi="宋体"/>
                <w:color w:val="auto"/>
                <w:szCs w:val="21"/>
                <w:highlight w:val="none"/>
              </w:rPr>
              <w:t>详见本工程招标公告。</w:t>
            </w:r>
          </w:p>
        </w:tc>
      </w:tr>
      <w:tr w14:paraId="509549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0597038E">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3ACC9E17">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BE87736">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2760DCCE">
            <w:pPr>
              <w:rPr>
                <w:rFonts w:ascii="宋体" w:hAnsi="宋体" w:cs="宋体"/>
                <w:color w:val="auto"/>
                <w:highlight w:val="none"/>
                <w:u w:val="single"/>
              </w:rPr>
            </w:pPr>
            <w:r>
              <w:rPr>
                <w:rFonts w:hint="eastAsia" w:ascii="宋体" w:hAnsi="宋体"/>
                <w:color w:val="auto"/>
                <w:szCs w:val="21"/>
                <w:highlight w:val="none"/>
              </w:rPr>
              <w:t>详见本工程招标公告。</w:t>
            </w:r>
          </w:p>
        </w:tc>
      </w:tr>
      <w:tr w14:paraId="4542E9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2" w:type="dxa"/>
            <w:tcBorders>
              <w:top w:val="single" w:color="auto" w:sz="4" w:space="0"/>
              <w:left w:val="double" w:color="auto" w:sz="4" w:space="0"/>
              <w:bottom w:val="single" w:color="auto" w:sz="4" w:space="0"/>
              <w:right w:val="single" w:color="auto" w:sz="4" w:space="0"/>
            </w:tcBorders>
            <w:vAlign w:val="center"/>
          </w:tcPr>
          <w:p w14:paraId="4E8018A6">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1F193063">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1A20F36">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569F429E">
            <w:pPr>
              <w:rPr>
                <w:rFonts w:hint="eastAsia" w:ascii="宋体" w:hAnsi="宋体"/>
                <w:color w:val="auto"/>
                <w:szCs w:val="21"/>
                <w:highlight w:val="none"/>
              </w:rPr>
            </w:pPr>
            <w:r>
              <w:rPr>
                <w:rFonts w:hint="eastAsia" w:ascii="宋体" w:hAnsi="宋体"/>
                <w:color w:val="auto"/>
                <w:szCs w:val="21"/>
                <w:highlight w:val="none"/>
              </w:rPr>
              <w:t>（1）本合同采用“工程量清单综合单价包干＋措施项目费总价包干＋预算包干费总价包干”方式，计算本工程承包合同价款。其中：</w:t>
            </w:r>
          </w:p>
          <w:p w14:paraId="4AC29B88">
            <w:pPr>
              <w:rPr>
                <w:rFonts w:hint="eastAsia" w:ascii="宋体" w:hAnsi="宋体"/>
                <w:color w:val="auto"/>
                <w:szCs w:val="21"/>
                <w:highlight w:val="none"/>
              </w:rPr>
            </w:pPr>
            <w:r>
              <w:rPr>
                <w:rFonts w:hint="eastAsia" w:ascii="宋体" w:hAnsi="宋体"/>
                <w:color w:val="auto"/>
                <w:szCs w:val="21"/>
                <w:highlight w:val="none"/>
              </w:rPr>
              <w:t>1）分部分项工程费：根据承包人实际完成工程量按承包人工程量清单投标报价的综合单价包干计量计价结算，但专用条款另有调整约定情况除外；</w:t>
            </w:r>
          </w:p>
          <w:p w14:paraId="446E9472">
            <w:pPr>
              <w:rPr>
                <w:rFonts w:hint="eastAsia" w:ascii="宋体" w:hAnsi="宋体"/>
                <w:color w:val="auto"/>
                <w:szCs w:val="21"/>
                <w:highlight w:val="none"/>
              </w:rPr>
            </w:pPr>
            <w:r>
              <w:rPr>
                <w:rFonts w:hint="eastAsia" w:ascii="宋体" w:hAnsi="宋体"/>
                <w:color w:val="auto"/>
                <w:szCs w:val="21"/>
                <w:highlight w:val="none"/>
              </w:rPr>
              <w:t>2）措施项目费：按承包人投标报价的合价包干结算；其中包括：绿色施工安全防护费包干价；</w:t>
            </w:r>
          </w:p>
          <w:p w14:paraId="3136D4B2">
            <w:pPr>
              <w:rPr>
                <w:rFonts w:hint="eastAsia" w:ascii="宋体" w:hAnsi="宋体"/>
                <w:color w:val="auto"/>
                <w:szCs w:val="21"/>
                <w:highlight w:val="none"/>
              </w:rPr>
            </w:pPr>
            <w:r>
              <w:rPr>
                <w:rFonts w:hint="eastAsia" w:ascii="宋体" w:hAnsi="宋体"/>
                <w:color w:val="auto"/>
                <w:szCs w:val="21"/>
                <w:highlight w:val="none"/>
              </w:rPr>
              <w:t>3）预算包干费：按承包人投标报价的合价包干结算。</w:t>
            </w:r>
          </w:p>
          <w:p w14:paraId="727F7B9A">
            <w:pPr>
              <w:rPr>
                <w:rFonts w:hint="eastAsia" w:ascii="宋体" w:hAnsi="宋体" w:cs="Times New Roman"/>
                <w:color w:val="auto"/>
                <w:szCs w:val="21"/>
                <w:highlight w:val="none"/>
              </w:rPr>
            </w:pPr>
            <w:r>
              <w:rPr>
                <w:rFonts w:hint="eastAsia" w:ascii="宋体" w:hAnsi="宋体" w:cs="Times New Roman"/>
                <w:color w:val="auto"/>
                <w:szCs w:val="21"/>
                <w:highlight w:val="none"/>
              </w:rPr>
              <w:t>（2）由承包人按照本合同约定范围和图纸内容、工程量清单实行工程施工总承包，包括但不限于包工、包料、包工期、包质量、包安全、包文明施工，包承包范围内工程验收通过、包办理通水电气的全部手续、包移交、包结算、包资料整理、包竣工图编制、包总承包管理和现场整体组织、包专业协调及配合、包各系统调试及联合调试、包运行维护管理及相关部门报建/报批手续等。</w:t>
            </w:r>
          </w:p>
          <w:p w14:paraId="3D35B44E">
            <w:pPr>
              <w:rPr>
                <w:rFonts w:hint="eastAsia" w:ascii="宋体" w:hAnsi="宋体"/>
                <w:color w:val="auto"/>
                <w:szCs w:val="21"/>
                <w:highlight w:val="none"/>
              </w:rPr>
            </w:pP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其余详见施工合同约定。</w:t>
            </w:r>
          </w:p>
        </w:tc>
      </w:tr>
      <w:tr w14:paraId="006B85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265D3ADF">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44AD979D">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25440A28">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47678252">
            <w:pPr>
              <w:rPr>
                <w:rFonts w:ascii="宋体" w:hAnsi="宋体"/>
                <w:color w:val="auto"/>
                <w:szCs w:val="21"/>
                <w:highlight w:val="none"/>
                <w:u w:val="single"/>
              </w:rPr>
            </w:pPr>
            <w:r>
              <w:rPr>
                <w:rFonts w:hint="eastAsia" w:ascii="宋体" w:hAnsi="宋体"/>
                <w:color w:val="auto"/>
                <w:szCs w:val="21"/>
                <w:highlight w:val="none"/>
                <w:u w:val="single"/>
              </w:rPr>
              <w:t>确保符合国家、省、市及《建筑工程施工质量验收统一标准》及相应配套的各专业质量验收标准，并达到合格或（以上标准）。</w:t>
            </w:r>
          </w:p>
        </w:tc>
      </w:tr>
      <w:tr w14:paraId="331403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221126B8">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2E567096">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DFA6B12">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42F5FA72">
            <w:pPr>
              <w:rPr>
                <w:rFonts w:ascii="宋体" w:hAnsi="宋体"/>
                <w:color w:val="auto"/>
                <w:szCs w:val="21"/>
                <w:highlight w:val="none"/>
                <w:u w:val="single"/>
              </w:rPr>
            </w:pPr>
            <w:r>
              <w:rPr>
                <w:rFonts w:hint="eastAsia" w:ascii="宋体" w:hAnsi="宋体"/>
                <w:color w:val="auto"/>
                <w:szCs w:val="21"/>
                <w:highlight w:val="none"/>
              </w:rPr>
              <w:t>见本工程招标公告。</w:t>
            </w:r>
          </w:p>
        </w:tc>
      </w:tr>
      <w:tr w14:paraId="1DED01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2F761AA0">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6D27C7A4">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95B0BB0">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4F86CD01">
            <w:pPr>
              <w:rPr>
                <w:rFonts w:ascii="宋体" w:hAnsi="宋体"/>
                <w:color w:val="auto"/>
                <w:szCs w:val="21"/>
                <w:highlight w:val="none"/>
              </w:rPr>
            </w:pPr>
            <w:r>
              <w:rPr>
                <w:rFonts w:hint="eastAsia" w:ascii="宋体" w:hAnsi="宋体"/>
                <w:color w:val="auto"/>
                <w:highlight w:val="none"/>
              </w:rPr>
              <w:t>本工程总工期为</w:t>
            </w:r>
            <w:r>
              <w:rPr>
                <w:rFonts w:hint="eastAsia" w:ascii="宋体" w:hAnsi="宋体"/>
                <w:color w:val="auto"/>
                <w:highlight w:val="none"/>
                <w:lang w:val="en-US" w:eastAsia="zh-CN"/>
              </w:rPr>
              <w:t>540</w:t>
            </w:r>
            <w:r>
              <w:rPr>
                <w:rFonts w:hint="eastAsia" w:ascii="宋体" w:hAnsi="宋体"/>
                <w:color w:val="auto"/>
                <w:highlight w:val="none"/>
              </w:rPr>
              <w:t>个日历天</w:t>
            </w:r>
            <w:r>
              <w:rPr>
                <w:rFonts w:hint="eastAsia" w:ascii="宋体" w:hAnsi="宋体" w:cs="宋体"/>
                <w:color w:val="auto"/>
                <w:szCs w:val="21"/>
                <w:highlight w:val="none"/>
              </w:rPr>
              <w:t>。具体开工日期以监理下发的开工令日期为准，招标人原因引起的不能施工，则工期顺延。</w:t>
            </w:r>
          </w:p>
        </w:tc>
      </w:tr>
      <w:tr w14:paraId="1BC785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54A86BD">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08E00F06">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14:paraId="251D9927">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7766E340">
            <w:pPr>
              <w:rPr>
                <w:rFonts w:ascii="宋体" w:hAnsi="宋体"/>
                <w:color w:val="auto"/>
                <w:highlight w:val="none"/>
                <w:u w:val="single"/>
              </w:rPr>
            </w:pPr>
            <w:r>
              <w:rPr>
                <w:rFonts w:hint="eastAsia" w:ascii="宋体" w:hAnsi="宋体"/>
                <w:color w:val="auto"/>
                <w:highlight w:val="none"/>
                <w:u w:val="single"/>
              </w:rPr>
              <w:t>中央资金及省级财政资金。</w:t>
            </w:r>
          </w:p>
        </w:tc>
      </w:tr>
      <w:tr w14:paraId="21AE6A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62968E56">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558EACC1">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14:paraId="5CD479B0">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63D4906B">
            <w:pPr>
              <w:rPr>
                <w:rFonts w:ascii="宋体" w:hAnsi="宋体"/>
                <w:color w:val="auto"/>
                <w:szCs w:val="21"/>
                <w:highlight w:val="none"/>
              </w:rPr>
            </w:pPr>
            <w:r>
              <w:rPr>
                <w:rFonts w:hint="eastAsia" w:ascii="宋体" w:hAnsi="宋体"/>
                <w:color w:val="auto"/>
                <w:szCs w:val="21"/>
                <w:highlight w:val="none"/>
              </w:rPr>
              <w:t>详见本工程招标公告。</w:t>
            </w:r>
          </w:p>
        </w:tc>
      </w:tr>
      <w:tr w14:paraId="086D13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28FEBB6">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2AE59C3C">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C2B47AA">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5DBF3131">
            <w:pPr>
              <w:rPr>
                <w:rFonts w:ascii="宋体" w:hAnsi="宋体"/>
                <w:color w:val="auto"/>
                <w:szCs w:val="21"/>
                <w:highlight w:val="none"/>
              </w:rPr>
            </w:pPr>
            <w:r>
              <w:rPr>
                <w:rFonts w:hint="eastAsia" w:ascii="宋体" w:hAnsi="宋体"/>
                <w:color w:val="auto"/>
                <w:szCs w:val="21"/>
                <w:highlight w:val="none"/>
              </w:rPr>
              <w:t>详见本工程招标公告。</w:t>
            </w:r>
          </w:p>
        </w:tc>
      </w:tr>
      <w:tr w14:paraId="6D2D0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7BFA58F">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6355AC83">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2B432626">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14FA1D21">
            <w:pPr>
              <w:rPr>
                <w:rFonts w:ascii="宋体" w:hAnsi="宋体"/>
                <w:color w:val="auto"/>
                <w:szCs w:val="21"/>
                <w:highlight w:val="none"/>
              </w:rPr>
            </w:pPr>
            <w:r>
              <w:rPr>
                <w:rFonts w:hint="eastAsia" w:ascii="宋体" w:hAnsi="宋体"/>
                <w:color w:val="auto"/>
                <w:szCs w:val="21"/>
                <w:highlight w:val="none"/>
              </w:rPr>
              <w:t>工程量清单计价。</w:t>
            </w:r>
          </w:p>
        </w:tc>
      </w:tr>
      <w:tr w14:paraId="56C6DC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5DCDA5F6">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61D5A9A8">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4F9CB178">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02FB51E0">
            <w:pPr>
              <w:rPr>
                <w:rFonts w:ascii="宋体" w:hAnsi="宋体"/>
                <w:color w:val="auto"/>
                <w:szCs w:val="21"/>
                <w:highlight w:val="none"/>
                <w:u w:val="single"/>
              </w:rPr>
            </w:pPr>
            <w:r>
              <w:rPr>
                <w:rFonts w:hint="eastAsia" w:ascii="宋体" w:hAnsi="宋体"/>
                <w:color w:val="auto"/>
                <w:szCs w:val="21"/>
                <w:highlight w:val="none"/>
                <w:u w:val="single"/>
              </w:rPr>
              <w:t>120</w:t>
            </w:r>
            <w:r>
              <w:rPr>
                <w:rFonts w:hint="eastAsia" w:ascii="宋体" w:hAnsi="宋体"/>
                <w:color w:val="auto"/>
                <w:szCs w:val="21"/>
                <w:highlight w:val="none"/>
              </w:rPr>
              <w:t>日历天。（从投标截止之日计起）</w:t>
            </w:r>
          </w:p>
        </w:tc>
      </w:tr>
      <w:tr w14:paraId="1C8C46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702" w:type="dxa"/>
            <w:tcBorders>
              <w:top w:val="single" w:color="auto" w:sz="4" w:space="0"/>
              <w:left w:val="double" w:color="auto" w:sz="4" w:space="0"/>
              <w:bottom w:val="single" w:color="auto" w:sz="4" w:space="0"/>
              <w:right w:val="single" w:color="auto" w:sz="4" w:space="0"/>
            </w:tcBorders>
            <w:vAlign w:val="center"/>
          </w:tcPr>
          <w:p w14:paraId="4CFADA02">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74B38FDD">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7C4C7E4F">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1CB5747C">
            <w:pPr>
              <w:widowControl/>
              <w:jc w:val="left"/>
              <w:rPr>
                <w:rFonts w:ascii="宋体" w:hAnsi="宋体" w:cs="宋体"/>
                <w:bCs/>
                <w:color w:val="auto"/>
                <w:kern w:val="0"/>
                <w:szCs w:val="21"/>
                <w:highlight w:val="none"/>
              </w:rPr>
            </w:pPr>
            <w:r>
              <w:rPr>
                <w:rFonts w:hint="eastAsia" w:ascii="宋体" w:hAnsi="宋体" w:cs="宋体"/>
                <w:b/>
                <w:color w:val="auto"/>
                <w:kern w:val="0"/>
                <w:szCs w:val="21"/>
                <w:highlight w:val="none"/>
              </w:rPr>
              <w:t>本项目</w:t>
            </w:r>
            <w:r>
              <w:rPr>
                <w:rFonts w:hint="eastAsia" w:ascii="宋体" w:hAnsi="宋体" w:cs="宋体"/>
                <w:b/>
                <w:color w:val="auto"/>
                <w:kern w:val="0"/>
                <w:szCs w:val="21"/>
                <w:highlight w:val="none"/>
                <w:lang w:val="en-US" w:eastAsia="zh-CN"/>
              </w:rPr>
              <w:t>不</w:t>
            </w:r>
            <w:r>
              <w:rPr>
                <w:rFonts w:hint="eastAsia" w:ascii="宋体" w:hAnsi="宋体" w:cs="宋体"/>
                <w:b/>
                <w:color w:val="auto"/>
                <w:kern w:val="0"/>
                <w:szCs w:val="21"/>
                <w:highlight w:val="none"/>
              </w:rPr>
              <w:t>收取投标保证金</w:t>
            </w:r>
            <w:r>
              <w:rPr>
                <w:rFonts w:hint="eastAsia" w:ascii="宋体" w:hAnsi="宋体" w:cs="宋体"/>
                <w:bCs/>
                <w:color w:val="auto"/>
                <w:kern w:val="0"/>
                <w:szCs w:val="21"/>
                <w:highlight w:val="none"/>
              </w:rPr>
              <w:t>。</w:t>
            </w:r>
          </w:p>
          <w:p w14:paraId="643C32C7">
            <w:pPr>
              <w:widowControl/>
              <w:jc w:val="left"/>
              <w:rPr>
                <w:color w:val="auto"/>
                <w:highlight w:val="none"/>
              </w:rPr>
            </w:pPr>
            <w:r>
              <w:rPr>
                <w:rFonts w:hint="eastAsia" w:ascii="仿宋" w:hAnsi="仿宋" w:eastAsia="仿宋" w:cs="宋体"/>
                <w:bCs/>
                <w:color w:val="auto"/>
                <w:kern w:val="0"/>
                <w:sz w:val="22"/>
                <w:highlight w:val="none"/>
              </w:rPr>
              <w:t>注：</w:t>
            </w:r>
            <w:r>
              <w:rPr>
                <w:rFonts w:hint="eastAsia"/>
                <w:color w:val="auto"/>
                <w:highlight w:val="none"/>
              </w:rPr>
              <w:t>1、</w:t>
            </w:r>
            <w:r>
              <w:rPr>
                <w:rFonts w:hint="eastAsia"/>
                <w:b/>
                <w:bCs/>
                <w:color w:val="auto"/>
                <w:highlight w:val="none"/>
              </w:rPr>
              <w:t>政府投资项目不得收取投标保证金。</w:t>
            </w:r>
            <w:r>
              <w:rPr>
                <w:rFonts w:hint="eastAsia"/>
                <w:color w:val="auto"/>
                <w:highlight w:val="none"/>
              </w:rPr>
              <w:t>鼓励招标人对简单小额项目不要求提供投标担保，对中小企业投标人免除投标担保。</w:t>
            </w:r>
          </w:p>
          <w:p w14:paraId="5A9391CB">
            <w:pPr>
              <w:rPr>
                <w:color w:val="auto"/>
                <w:highlight w:val="none"/>
              </w:rPr>
            </w:pPr>
            <w:r>
              <w:rPr>
                <w:rFonts w:hint="eastAsia"/>
                <w:color w:val="auto"/>
                <w:highlight w:val="none"/>
              </w:rPr>
              <w:t>2、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69CECB5F">
            <w:pPr>
              <w:spacing w:line="288" w:lineRule="auto"/>
              <w:rPr>
                <w:rFonts w:ascii="宋体" w:hAnsi="宋体" w:cs="宋体"/>
                <w:color w:val="auto"/>
                <w:sz w:val="24"/>
                <w:szCs w:val="24"/>
                <w:highlight w:val="none"/>
              </w:rPr>
            </w:pPr>
            <w:r>
              <w:rPr>
                <w:rFonts w:hint="eastAsia"/>
                <w:color w:val="auto"/>
                <w:highlight w:val="none"/>
              </w:rPr>
              <w:t>3、招标人在免收投标保证金的同时，应约定免交投标保证金的投标人存在16.4条款所列情形的后续处理措施。</w:t>
            </w:r>
          </w:p>
        </w:tc>
      </w:tr>
      <w:tr w14:paraId="70798E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5E3CC12">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22E4AB1D">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14:paraId="0A3B1336">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2BCBA9C3">
            <w:pPr>
              <w:rPr>
                <w:rFonts w:ascii="宋体" w:hAnsi="宋体"/>
                <w:color w:val="auto"/>
                <w:kern w:val="0"/>
                <w:sz w:val="20"/>
                <w:szCs w:val="21"/>
                <w:highlight w:val="none"/>
              </w:rPr>
            </w:pPr>
            <w:r>
              <w:rPr>
                <w:rFonts w:hint="eastAsia"/>
                <w:color w:val="auto"/>
                <w:highlight w:val="none"/>
              </w:rPr>
              <w:t>招标人不集中组织，投标人自行踏勘。</w:t>
            </w:r>
          </w:p>
        </w:tc>
      </w:tr>
      <w:tr w14:paraId="54B961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C049FF2">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30701211">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14:paraId="6890B2D4">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1477C125">
            <w:pPr>
              <w:rPr>
                <w:rFonts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在递交投标文件截止日期前18日</w:t>
            </w:r>
            <w:r>
              <w:rPr>
                <w:rFonts w:hint="eastAsia" w:ascii="宋体" w:hAnsi="宋体" w:cs="宋体"/>
                <w:color w:val="auto"/>
                <w:szCs w:val="21"/>
                <w:highlight w:val="none"/>
              </w:rPr>
              <w:t>；</w:t>
            </w:r>
          </w:p>
          <w:p w14:paraId="26A13781">
            <w:pPr>
              <w:rPr>
                <w:rFonts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交易平台提交。</w:t>
            </w:r>
          </w:p>
          <w:p w14:paraId="1EA03F24">
            <w:pPr>
              <w:rPr>
                <w:rFonts w:ascii="宋体" w:hAnsi="宋体" w:cs="宋体"/>
                <w:color w:val="auto"/>
                <w:szCs w:val="21"/>
                <w:highlight w:val="none"/>
              </w:rPr>
            </w:pPr>
            <w:r>
              <w:rPr>
                <w:rFonts w:hint="eastAsia" w:ascii="宋体" w:hAnsi="宋体" w:cs="宋体"/>
                <w:color w:val="auto"/>
                <w:szCs w:val="21"/>
                <w:highlight w:val="none"/>
              </w:rPr>
              <w:t>3、招标人澄清、修补或答疑期限：</w:t>
            </w:r>
            <w:r>
              <w:rPr>
                <w:rFonts w:hint="eastAsia" w:ascii="宋体" w:hAnsi="宋体" w:cs="宋体"/>
                <w:color w:val="auto"/>
                <w:szCs w:val="21"/>
                <w:highlight w:val="none"/>
                <w:u w:val="single"/>
              </w:rPr>
              <w:t>在递交投标文件截止日期前15日</w:t>
            </w:r>
            <w:r>
              <w:rPr>
                <w:rFonts w:hint="eastAsia" w:ascii="宋体" w:hAnsi="宋体" w:cs="宋体"/>
                <w:color w:val="auto"/>
                <w:szCs w:val="21"/>
                <w:highlight w:val="none"/>
              </w:rPr>
              <w:t>；</w:t>
            </w:r>
          </w:p>
          <w:p w14:paraId="6AADF837">
            <w:pPr>
              <w:rPr>
                <w:rFonts w:ascii="宋体" w:hAnsi="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rPr>
              <w:t>广州公共资源交易中心网站(http:/ www.gzggzy.cn)服务指南栏目</w:t>
            </w:r>
            <w:r>
              <w:rPr>
                <w:rFonts w:hint="eastAsia" w:ascii="宋体" w:hAnsi="宋体" w:cs="宋体"/>
                <w:color w:val="auto"/>
                <w:szCs w:val="21"/>
                <w:highlight w:val="none"/>
              </w:rPr>
              <w:t>。提问一律不得署名。</w:t>
            </w:r>
          </w:p>
        </w:tc>
      </w:tr>
      <w:tr w14:paraId="1F6F9E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DEB9F0F">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5BB76D66">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14:paraId="62DDA0FA">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3F8E0EC4">
            <w:pPr>
              <w:rPr>
                <w:rFonts w:ascii="宋体" w:hAnsi="宋体"/>
                <w:strike/>
                <w:color w:val="auto"/>
                <w:szCs w:val="21"/>
                <w:highlight w:val="none"/>
              </w:rPr>
            </w:pPr>
            <w:r>
              <w:rPr>
                <w:rFonts w:hint="eastAsia" w:ascii="宋体" w:hAnsi="宋体"/>
                <w:color w:val="auto"/>
                <w:szCs w:val="21"/>
                <w:highlight w:val="none"/>
                <w:u w:val="single"/>
                <w:lang w:val="en-US" w:eastAsia="zh-CN"/>
              </w:rPr>
              <w:t>2025</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时（北京时间）。（详见广州</w:t>
            </w:r>
            <w:r>
              <w:rPr>
                <w:rFonts w:ascii="宋体" w:hAnsi="宋体"/>
                <w:color w:val="auto"/>
                <w:szCs w:val="21"/>
                <w:highlight w:val="none"/>
              </w:rPr>
              <w:t>公共资源交易中心</w:t>
            </w:r>
            <w:r>
              <w:rPr>
                <w:rFonts w:hint="eastAsia" w:ascii="宋体" w:hAnsi="宋体"/>
                <w:color w:val="auto"/>
                <w:szCs w:val="21"/>
                <w:highlight w:val="none"/>
              </w:rPr>
              <w:t>网站信息）</w:t>
            </w:r>
          </w:p>
        </w:tc>
      </w:tr>
      <w:tr w14:paraId="26DF1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7DDD9B7">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70813A09">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551C0F02">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13906EF5">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（技术标和经济标同时开标）</w:t>
            </w:r>
          </w:p>
          <w:p w14:paraId="26846032">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开标开始时间：</w:t>
            </w:r>
            <w:r>
              <w:rPr>
                <w:rFonts w:hint="eastAsia" w:ascii="宋体" w:hAnsi="宋体" w:cs="宋体"/>
                <w:bCs/>
                <w:color w:val="auto"/>
                <w:kern w:val="0"/>
                <w:szCs w:val="21"/>
                <w:highlight w:val="none"/>
                <w:u w:val="single"/>
                <w:lang w:val="en-US" w:eastAsia="zh-CN" w:bidi="ar"/>
              </w:rPr>
              <w:t>2025</w:t>
            </w:r>
            <w:r>
              <w:rPr>
                <w:rFonts w:hint="eastAsia" w:ascii="宋体" w:hAnsi="宋体" w:cs="宋体"/>
                <w:bCs/>
                <w:color w:val="auto"/>
                <w:kern w:val="0"/>
                <w:szCs w:val="21"/>
                <w:highlight w:val="none"/>
                <w:lang w:bidi="ar"/>
              </w:rPr>
              <w:t>年</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月</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日</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时</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分（与投标截止时间为同一时间），地点：</w:t>
            </w:r>
            <w:r>
              <w:rPr>
                <w:rFonts w:hint="eastAsia" w:ascii="宋体" w:hAnsi="宋体" w:cs="宋体"/>
                <w:bCs/>
                <w:color w:val="auto"/>
                <w:kern w:val="0"/>
                <w:szCs w:val="21"/>
                <w:highlight w:val="none"/>
                <w:u w:val="single"/>
                <w:lang w:val="en-US" w:eastAsia="zh-CN" w:bidi="ar"/>
              </w:rPr>
              <w:t>广州市公共资源交易中心开标室</w:t>
            </w:r>
            <w:r>
              <w:rPr>
                <w:rFonts w:hint="eastAsia" w:ascii="宋体" w:hAnsi="宋体" w:cs="宋体"/>
                <w:bCs/>
                <w:color w:val="auto"/>
                <w:kern w:val="0"/>
                <w:szCs w:val="21"/>
                <w:highlight w:val="none"/>
                <w:u w:val="single"/>
                <w:lang w:bidi="ar"/>
              </w:rPr>
              <w:t xml:space="preserve"> </w:t>
            </w:r>
            <w:r>
              <w:rPr>
                <w:rFonts w:hint="eastAsia" w:ascii="宋体" w:hAnsi="宋体" w:cs="宋体"/>
                <w:bCs/>
                <w:color w:val="auto"/>
                <w:kern w:val="0"/>
                <w:szCs w:val="21"/>
                <w:highlight w:val="none"/>
                <w:lang w:bidi="ar"/>
              </w:rPr>
              <w:t>。</w:t>
            </w:r>
            <w:r>
              <w:rPr>
                <w:rFonts w:hint="eastAsia" w:ascii="宋体" w:hAnsi="宋体" w:cs="宋体"/>
                <w:b/>
                <w:color w:val="auto"/>
                <w:kern w:val="0"/>
                <w:szCs w:val="21"/>
                <w:highlight w:val="none"/>
                <w:lang w:bidi="ar"/>
              </w:rPr>
              <w:t>投标人也可选择参加在线开标，具体按照交易平台相关指南进行操作。详见：</w:t>
            </w:r>
            <w:r>
              <w:rPr>
                <w:rFonts w:hint="eastAsia" w:ascii="宋体" w:hAnsi="宋体" w:cs="宋体"/>
                <w:b/>
                <w:color w:val="auto"/>
                <w:kern w:val="0"/>
                <w:szCs w:val="21"/>
                <w:highlight w:val="none"/>
                <w:u w:val="single"/>
                <w:lang w:bidi="ar"/>
              </w:rPr>
              <w:t>《建设工程全流程电子化项目操作指南》</w:t>
            </w:r>
            <w:r>
              <w:rPr>
                <w:rFonts w:hint="eastAsia" w:ascii="宋体" w:hAnsi="宋体" w:cs="宋体"/>
                <w:b/>
                <w:color w:val="auto"/>
                <w:kern w:val="0"/>
                <w:szCs w:val="21"/>
                <w:highlight w:val="none"/>
                <w:lang w:bidi="ar"/>
              </w:rPr>
              <w:t>。</w:t>
            </w:r>
          </w:p>
          <w:p w14:paraId="77D16740">
            <w:pPr>
              <w:widowControl/>
              <w:jc w:val="left"/>
              <w:rPr>
                <w:rFonts w:ascii="宋体" w:hAnsi="宋体" w:cs="宋体"/>
                <w:bCs/>
                <w:color w:val="auto"/>
                <w:kern w:val="0"/>
                <w:szCs w:val="21"/>
                <w:highlight w:val="none"/>
              </w:rPr>
            </w:pPr>
            <w:r>
              <w:rPr>
                <w:rFonts w:hint="eastAsia" w:ascii="宋体" w:hAnsi="宋体" w:cs="宋体"/>
                <w:bCs/>
                <w:color w:val="auto"/>
                <w:kern w:val="0"/>
                <w:szCs w:val="21"/>
                <w:highlight w:val="none"/>
                <w:lang w:bidi="ar"/>
              </w:rPr>
              <w:t>注：投标文件解密问题。投标人只用执行一次解密，招标人执行解密次数根据招标文件开标次数确定。</w:t>
            </w:r>
          </w:p>
          <w:p w14:paraId="15872A5A">
            <w:pPr>
              <w:rPr>
                <w:rFonts w:ascii="宋体" w:hAnsi="宋体"/>
                <w:color w:val="auto"/>
                <w:szCs w:val="21"/>
                <w:highlight w:val="none"/>
              </w:rPr>
            </w:pPr>
            <w:r>
              <w:rPr>
                <w:rFonts w:hint="eastAsia" w:ascii="宋体" w:hAnsi="宋体" w:cs="宋体"/>
                <w:bCs/>
                <w:color w:val="auto"/>
                <w:kern w:val="0"/>
                <w:szCs w:val="21"/>
                <w:highlight w:val="none"/>
                <w:lang w:bidi="ar"/>
              </w:rPr>
              <w:t>上述时间及地点是否有改变，请密切留意</w:t>
            </w:r>
            <w:r>
              <w:rPr>
                <w:rFonts w:hint="eastAsia" w:ascii="宋体" w:hAnsi="宋体" w:cs="宋体"/>
                <w:color w:val="auto"/>
                <w:kern w:val="0"/>
                <w:szCs w:val="21"/>
                <w:highlight w:val="none"/>
                <w:lang w:bidi="ar"/>
              </w:rPr>
              <w:t>补充公告和</w:t>
            </w:r>
            <w:r>
              <w:rPr>
                <w:rFonts w:hint="eastAsia" w:ascii="宋体" w:hAnsi="宋体" w:cs="宋体"/>
                <w:bCs/>
                <w:color w:val="auto"/>
                <w:kern w:val="0"/>
                <w:szCs w:val="21"/>
                <w:highlight w:val="none"/>
                <w:lang w:bidi="ar"/>
              </w:rPr>
              <w:t>招标答疑纪要的相关信息。</w:t>
            </w:r>
          </w:p>
        </w:tc>
      </w:tr>
      <w:tr w14:paraId="787892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35372C7E">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5ABECAA4">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14:paraId="41473484">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1639089C">
            <w:pPr>
              <w:pStyle w:val="23"/>
              <w:ind w:firstLine="0"/>
              <w:rPr>
                <w:rFonts w:ascii="宋体" w:hAnsi="宋体"/>
                <w:color w:val="auto"/>
                <w:szCs w:val="21"/>
                <w:highlight w:val="none"/>
              </w:rPr>
            </w:pPr>
            <w:r>
              <w:rPr>
                <w:rFonts w:hint="eastAsia" w:ascii="宋体" w:hAnsi="宋体"/>
                <w:color w:val="auto"/>
                <w:szCs w:val="21"/>
                <w:highlight w:val="none"/>
              </w:rPr>
              <w:t>方式一：选取方法</w:t>
            </w:r>
            <w:r>
              <w:rPr>
                <w:rFonts w:hint="eastAsia" w:ascii="宋体" w:hAnsi="宋体"/>
                <w:color w:val="auto"/>
                <w:szCs w:val="21"/>
                <w:highlight w:val="none"/>
                <w:u w:val="single"/>
              </w:rPr>
              <w:t xml:space="preserve"> 七（适合综合评分办法四，技术标与经济标同时开启）</w:t>
            </w:r>
            <w:r>
              <w:rPr>
                <w:rFonts w:hint="eastAsia" w:ascii="宋体" w:hAnsi="宋体"/>
                <w:color w:val="auto"/>
                <w:szCs w:val="21"/>
                <w:highlight w:val="none"/>
              </w:rPr>
              <w:t>；</w:t>
            </w:r>
          </w:p>
          <w:p w14:paraId="5AA8965C">
            <w:pPr>
              <w:spacing w:after="120"/>
              <w:rPr>
                <w:rFonts w:ascii="宋体" w:hAnsi="宋体"/>
                <w:b/>
                <w:color w:val="auto"/>
                <w:szCs w:val="21"/>
                <w:highlight w:val="none"/>
                <w:u w:val="single"/>
              </w:rPr>
            </w:pPr>
            <w:r>
              <w:rPr>
                <w:rFonts w:hint="eastAsia" w:ascii="宋体" w:hAnsi="宋体"/>
                <w:color w:val="auto"/>
                <w:szCs w:val="21"/>
                <w:highlight w:val="none"/>
                <w:u w:val="single"/>
              </w:rPr>
              <w:t>投标人总得分=技术得分×</w:t>
            </w:r>
            <w:r>
              <w:rPr>
                <w:rFonts w:hint="eastAsia" w:ascii="宋体" w:hAnsi="宋体"/>
                <w:color w:val="auto"/>
                <w:szCs w:val="21"/>
                <w:highlight w:val="none"/>
                <w:u w:val="single"/>
                <w:lang w:val="en-US" w:eastAsia="zh-CN"/>
              </w:rPr>
              <w:t>技术</w:t>
            </w:r>
            <w:r>
              <w:rPr>
                <w:rFonts w:hint="eastAsia" w:ascii="宋体" w:hAnsi="宋体"/>
                <w:color w:val="auto"/>
                <w:szCs w:val="21"/>
                <w:highlight w:val="none"/>
                <w:u w:val="single"/>
              </w:rPr>
              <w:t>得分权重（</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0%）＋经济得分×经济得分权重（80%）</w:t>
            </w:r>
          </w:p>
        </w:tc>
      </w:tr>
      <w:tr w14:paraId="5C1BB0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98253FA">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1D8A7BB9">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713ABDF4">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1B561F22">
            <w:pPr>
              <w:rPr>
                <w:color w:val="auto"/>
                <w:highlight w:val="none"/>
              </w:rPr>
            </w:pPr>
            <w:r>
              <w:rPr>
                <w:rFonts w:hint="eastAsia" w:ascii="宋体" w:hAnsi="宋体"/>
                <w:color w:val="auto"/>
                <w:highlight w:val="none"/>
              </w:rPr>
              <w:t>方式一：</w:t>
            </w:r>
            <w:r>
              <w:rPr>
                <w:rFonts w:hint="eastAsia" w:ascii="宋体" w:hAnsi="宋体" w:cs="宋体"/>
                <w:color w:val="auto"/>
                <w:kern w:val="0"/>
                <w:szCs w:val="21"/>
                <w:highlight w:val="none"/>
              </w:rPr>
              <w:t>中标人提供的履约保证金为中标价款的10%。</w:t>
            </w:r>
            <w:r>
              <w:rPr>
                <w:rFonts w:hint="eastAsia"/>
                <w:color w:val="auto"/>
                <w:szCs w:val="21"/>
                <w:highlight w:val="none"/>
                <w:u w:val="single"/>
              </w:rPr>
              <w:t>（具体形式详见合同）</w:t>
            </w:r>
          </w:p>
        </w:tc>
      </w:tr>
      <w:tr w14:paraId="299025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02" w:type="dxa"/>
            <w:tcBorders>
              <w:top w:val="single" w:color="auto" w:sz="4" w:space="0"/>
              <w:left w:val="double" w:color="auto" w:sz="4" w:space="0"/>
              <w:bottom w:val="single" w:color="auto" w:sz="4" w:space="0"/>
              <w:right w:val="single" w:color="auto" w:sz="4" w:space="0"/>
            </w:tcBorders>
            <w:vAlign w:val="center"/>
          </w:tcPr>
          <w:p w14:paraId="5D7BED6E">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650B27CA">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526DF88">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52C249A3">
            <w:pPr>
              <w:rPr>
                <w:rFonts w:ascii="宋体" w:hAnsi="宋体"/>
                <w:color w:val="auto"/>
                <w:szCs w:val="21"/>
                <w:highlight w:val="none"/>
              </w:rPr>
            </w:pPr>
            <w:r>
              <w:rPr>
                <w:rFonts w:hint="eastAsia" w:ascii="宋体" w:hAnsi="宋体"/>
                <w:color w:val="auto"/>
                <w:szCs w:val="21"/>
                <w:highlight w:val="none"/>
              </w:rPr>
              <w:t>本项目最高投标限价为人民币</w:t>
            </w:r>
            <w:r>
              <w:rPr>
                <w:rFonts w:hint="eastAsia" w:ascii="宋体" w:hAnsi="宋体"/>
                <w:color w:val="auto"/>
                <w:szCs w:val="21"/>
                <w:highlight w:val="none"/>
                <w:u w:val="single"/>
              </w:rPr>
              <w:t>179,860,741.79</w:t>
            </w:r>
            <w:r>
              <w:rPr>
                <w:rFonts w:hint="eastAsia" w:ascii="宋体" w:hAnsi="宋体"/>
                <w:color w:val="auto"/>
                <w:szCs w:val="21"/>
                <w:highlight w:val="none"/>
              </w:rPr>
              <w:t>元。</w:t>
            </w:r>
          </w:p>
        </w:tc>
      </w:tr>
      <w:tr w14:paraId="647BBA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56503808">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14EFB526">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0E68598">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37D01CD2">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single"/>
                <w:lang w:val="en-US" w:eastAsia="zh-CN"/>
              </w:rPr>
              <w:t>8,239,305.42</w:t>
            </w:r>
            <w:r>
              <w:rPr>
                <w:rFonts w:hint="eastAsia" w:ascii="宋体" w:hAnsi="宋体"/>
                <w:color w:val="auto"/>
                <w:szCs w:val="21"/>
                <w:highlight w:val="none"/>
                <w:u w:val="single"/>
              </w:rPr>
              <w:t>元</w:t>
            </w:r>
            <w:r>
              <w:rPr>
                <w:rFonts w:hint="eastAsia" w:ascii="宋体" w:hAnsi="宋体"/>
                <w:color w:val="auto"/>
                <w:szCs w:val="21"/>
                <w:highlight w:val="none"/>
              </w:rPr>
              <w:t>，暂列金额为</w:t>
            </w:r>
            <w:r>
              <w:rPr>
                <w:rFonts w:hint="eastAsia" w:ascii="宋体" w:hAnsi="宋体"/>
                <w:color w:val="auto"/>
                <w:szCs w:val="21"/>
                <w:highlight w:val="none"/>
                <w:u w:val="single"/>
                <w:lang w:val="en-US" w:eastAsia="zh-CN"/>
              </w:rPr>
              <w:t>10,647,211.19</w:t>
            </w:r>
            <w:r>
              <w:rPr>
                <w:rFonts w:hint="eastAsia" w:ascii="宋体" w:hAnsi="宋体"/>
                <w:color w:val="auto"/>
                <w:szCs w:val="21"/>
                <w:highlight w:val="none"/>
                <w:u w:val="single"/>
              </w:rPr>
              <w:t>元</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专业工程暂估价</w:t>
            </w:r>
            <w:r>
              <w:rPr>
                <w:rFonts w:hint="eastAsia" w:ascii="宋体" w:hAnsi="宋体"/>
                <w:color w:val="auto"/>
                <w:szCs w:val="21"/>
                <w:highlight w:val="none"/>
                <w:u w:val="single"/>
                <w:lang w:val="en-US" w:eastAsia="zh-CN"/>
              </w:rPr>
              <w:t>2,699,799.09元</w:t>
            </w:r>
            <w:r>
              <w:rPr>
                <w:rFonts w:hint="eastAsia" w:ascii="宋体" w:hAnsi="宋体"/>
                <w:color w:val="auto"/>
                <w:szCs w:val="21"/>
                <w:highlight w:val="none"/>
              </w:rPr>
              <w:t>。（未按招标文件规定的金额填写的，由评标委员会按照招标文件规定的金额进行修正）</w:t>
            </w:r>
          </w:p>
        </w:tc>
      </w:tr>
      <w:tr w14:paraId="0A308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02" w:type="dxa"/>
            <w:tcBorders>
              <w:top w:val="single" w:color="auto" w:sz="4" w:space="0"/>
              <w:left w:val="double" w:color="auto" w:sz="4" w:space="0"/>
              <w:bottom w:val="single" w:color="auto" w:sz="4" w:space="0"/>
              <w:right w:val="single" w:color="auto" w:sz="4" w:space="0"/>
            </w:tcBorders>
            <w:vAlign w:val="center"/>
          </w:tcPr>
          <w:p w14:paraId="3925168B">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14:paraId="412D1BE5">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9BBE0E5">
            <w:pPr>
              <w:spacing w:after="12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087E55DF">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14:paraId="74D8BF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569DF543">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12FAC140">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26F9B086">
            <w:pPr>
              <w:spacing w:after="120"/>
              <w:rPr>
                <w:rFonts w:ascii="宋体" w:hAnsi="宋体"/>
                <w:color w:val="auto"/>
                <w:szCs w:val="21"/>
                <w:highlight w:val="none"/>
              </w:rPr>
            </w:pPr>
            <w:r>
              <w:rPr>
                <w:rFonts w:hint="eastAsia" w:ascii="宋体" w:hAnsi="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467F1198">
            <w:pPr>
              <w:rPr>
                <w:rFonts w:ascii="宋体" w:hAnsi="宋体"/>
                <w:color w:val="auto"/>
                <w:szCs w:val="21"/>
                <w:highlight w:val="none"/>
              </w:rPr>
            </w:pPr>
            <w:r>
              <w:rPr>
                <w:rFonts w:hint="eastAsia" w:ascii="宋体" w:hAnsi="宋体"/>
                <w:color w:val="auto"/>
                <w:szCs w:val="21"/>
                <w:highlight w:val="none"/>
              </w:rPr>
              <w:t>计算评标参考价的等分点值X在开标前从[0,100] 的整数中随机抽取。</w:t>
            </w:r>
          </w:p>
        </w:tc>
      </w:tr>
      <w:tr w14:paraId="21A07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02" w:type="dxa"/>
            <w:tcBorders>
              <w:top w:val="single" w:color="auto" w:sz="4" w:space="0"/>
              <w:left w:val="double" w:color="auto" w:sz="4" w:space="0"/>
              <w:bottom w:val="single" w:color="auto" w:sz="4" w:space="0"/>
              <w:right w:val="single" w:color="auto" w:sz="4" w:space="0"/>
            </w:tcBorders>
            <w:vAlign w:val="center"/>
          </w:tcPr>
          <w:p w14:paraId="357BA7CB">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03BE1A05">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05E43909">
            <w:pPr>
              <w:spacing w:after="120"/>
              <w:rPr>
                <w:rFonts w:ascii="宋体" w:hAnsi="宋体"/>
                <w:color w:val="auto"/>
                <w:szCs w:val="21"/>
                <w:highlight w:val="none"/>
              </w:rPr>
            </w:pPr>
            <w:r>
              <w:rPr>
                <w:rFonts w:hint="eastAsia"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79943A29">
            <w:pPr>
              <w:rPr>
                <w:rFonts w:ascii="宋体" w:hAnsi="宋体"/>
                <w:color w:val="auto"/>
                <w:szCs w:val="21"/>
                <w:highlight w:val="none"/>
              </w:rPr>
            </w:pPr>
            <w:r>
              <w:rPr>
                <w:rFonts w:hint="eastAsia" w:ascii="宋体" w:hAnsi="宋体"/>
                <w:color w:val="auto"/>
                <w:szCs w:val="21"/>
                <w:highlight w:val="none"/>
                <w:u w:val="single"/>
              </w:rPr>
              <w:t>本项目不适用。</w:t>
            </w:r>
          </w:p>
        </w:tc>
      </w:tr>
      <w:tr w14:paraId="4C9036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E59B5B5">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5355672B">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583C845">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6CB79C8B">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rPr>
              <w:t>161</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874</w:t>
            </w:r>
            <w:r>
              <w:rPr>
                <w:rFonts w:hint="eastAsia" w:ascii="宋体" w:hAnsi="宋体"/>
                <w:color w:val="auto"/>
                <w:szCs w:val="21"/>
                <w:highlight w:val="none"/>
                <w:u w:val="single"/>
                <w:lang w:val="en-US" w:eastAsia="zh-CN"/>
              </w:rPr>
              <w:t>,</w:t>
            </w:r>
            <w:r>
              <w:rPr>
                <w:rFonts w:hint="eastAsia" w:ascii="宋体" w:hAnsi="宋体"/>
                <w:color w:val="auto"/>
                <w:szCs w:val="21"/>
                <w:highlight w:val="none"/>
                <w:u w:val="single"/>
              </w:rPr>
              <w:t>667.61</w:t>
            </w:r>
            <w:r>
              <w:rPr>
                <w:rFonts w:hint="eastAsia" w:ascii="宋体" w:hAnsi="宋体"/>
                <w:color w:val="auto"/>
                <w:szCs w:val="21"/>
                <w:highlight w:val="none"/>
              </w:rPr>
              <w:t>元</w:t>
            </w:r>
            <w:r>
              <w:rPr>
                <w:rFonts w:hint="eastAsia" w:ascii="宋体" w:hAnsi="宋体" w:cs="宋体"/>
                <w:color w:val="auto"/>
                <w:szCs w:val="21"/>
                <w:highlight w:val="none"/>
              </w:rPr>
              <w:t>（按最高投标限价的</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%设置）</w:t>
            </w:r>
            <w:r>
              <w:rPr>
                <w:rFonts w:hint="eastAsia" w:ascii="宋体" w:hAnsi="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1B2FB3DA">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14:paraId="45FCAC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02" w:type="dxa"/>
            <w:tcBorders>
              <w:top w:val="single" w:color="auto" w:sz="4" w:space="0"/>
              <w:left w:val="double" w:color="auto" w:sz="4" w:space="0"/>
              <w:bottom w:val="single" w:color="auto" w:sz="4" w:space="0"/>
              <w:right w:val="single" w:color="auto" w:sz="4" w:space="0"/>
            </w:tcBorders>
            <w:vAlign w:val="center"/>
          </w:tcPr>
          <w:p w14:paraId="73342919">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1D958DAB">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349E989">
            <w:pPr>
              <w:rPr>
                <w:rFonts w:ascii="宋体" w:hAnsi="宋体"/>
                <w:color w:val="auto"/>
                <w:szCs w:val="21"/>
                <w:highlight w:val="none"/>
              </w:rPr>
            </w:pPr>
            <w:r>
              <w:rPr>
                <w:rFonts w:hint="eastAsia"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3076AD6E">
            <w:pPr>
              <w:spacing w:line="320" w:lineRule="exact"/>
              <w:rPr>
                <w:rFonts w:ascii="宋体" w:hAnsi="宋体"/>
                <w:color w:val="auto"/>
                <w:szCs w:val="21"/>
                <w:highlight w:val="none"/>
              </w:rPr>
            </w:pPr>
            <w:r>
              <w:rPr>
                <w:rFonts w:hint="eastAsia" w:ascii="宋体" w:hAnsi="宋体"/>
                <w:color w:val="auto"/>
                <w:szCs w:val="21"/>
                <w:highlight w:val="none"/>
                <w:u w:val="single"/>
              </w:rPr>
              <w:t>本项目不适用。</w:t>
            </w:r>
          </w:p>
        </w:tc>
      </w:tr>
      <w:tr w14:paraId="2A06E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02C6B99A">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1F32DBB9">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494EF389">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30289A3B">
            <w:pPr>
              <w:rPr>
                <w:rFonts w:ascii="宋体" w:hAnsi="宋体"/>
                <w:color w:val="auto"/>
                <w:szCs w:val="21"/>
                <w:highlight w:val="none"/>
              </w:rPr>
            </w:pPr>
            <w:r>
              <w:rPr>
                <w:rFonts w:hint="eastAsia" w:ascii="宋体" w:hAnsi="宋体"/>
                <w:color w:val="auto"/>
                <w:szCs w:val="21"/>
                <w:highlight w:val="none"/>
              </w:rPr>
              <w:t>评标委员会由招标人依法组建。</w:t>
            </w:r>
          </w:p>
        </w:tc>
      </w:tr>
      <w:tr w14:paraId="242FE0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24B86973">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7DE6F9FC">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9AD2BDA">
            <w:pPr>
              <w:rPr>
                <w:rFonts w:ascii="宋体" w:hAnsi="宋体"/>
                <w:color w:val="auto"/>
                <w:szCs w:val="21"/>
                <w:highlight w:val="none"/>
              </w:rPr>
            </w:pPr>
            <w:r>
              <w:rPr>
                <w:rFonts w:hint="eastAsia"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4872C8A7">
            <w:pPr>
              <w:rPr>
                <w:rFonts w:ascii="宋体" w:hAnsi="宋体"/>
                <w:color w:val="auto"/>
                <w:szCs w:val="21"/>
                <w:highlight w:val="none"/>
              </w:rPr>
            </w:pPr>
            <w:r>
              <w:rPr>
                <w:rFonts w:hint="eastAsia" w:ascii="宋体" w:hAnsi="宋体"/>
                <w:color w:val="auto"/>
                <w:szCs w:val="21"/>
                <w:highlight w:val="none"/>
                <w:u w:val="single"/>
              </w:rPr>
              <w:t>本项目不适用。</w:t>
            </w:r>
          </w:p>
        </w:tc>
      </w:tr>
      <w:tr w14:paraId="34614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EE548D6">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14:paraId="5BC0E890">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2ED10B9">
            <w:pPr>
              <w:rPr>
                <w:rFonts w:ascii="宋体" w:hAnsi="宋体" w:cs="宋体"/>
                <w:color w:val="auto"/>
                <w:szCs w:val="21"/>
                <w:highlight w:val="none"/>
              </w:rPr>
            </w:pPr>
            <w:r>
              <w:rPr>
                <w:rFonts w:hint="eastAsia" w:ascii="宋体" w:hAnsi="宋体"/>
                <w:color w:val="auto"/>
                <w:szCs w:val="21"/>
                <w:highlight w:val="none"/>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47C58B57">
            <w:pPr>
              <w:rPr>
                <w:color w:val="auto"/>
                <w:highlight w:val="none"/>
              </w:rPr>
            </w:pPr>
            <w:r>
              <w:rPr>
                <w:rFonts w:hint="eastAsia" w:ascii="宋体" w:hAnsi="宋体"/>
                <w:color w:val="auto"/>
                <w:szCs w:val="21"/>
                <w:highlight w:val="none"/>
                <w:u w:val="single"/>
              </w:rPr>
              <w:t>本项目不适用。</w:t>
            </w:r>
          </w:p>
        </w:tc>
      </w:tr>
      <w:tr w14:paraId="175448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2" w:type="dxa"/>
            <w:tcBorders>
              <w:top w:val="single" w:color="auto" w:sz="4" w:space="0"/>
              <w:left w:val="double" w:color="auto" w:sz="4" w:space="0"/>
              <w:bottom w:val="single" w:color="auto" w:sz="4" w:space="0"/>
              <w:right w:val="single" w:color="auto" w:sz="4" w:space="0"/>
            </w:tcBorders>
            <w:vAlign w:val="center"/>
          </w:tcPr>
          <w:p w14:paraId="476EEE95">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727D29B7">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36CF897B">
            <w:pPr>
              <w:rPr>
                <w:rFonts w:ascii="宋体" w:hAnsi="宋体" w:cs="宋体"/>
                <w:color w:val="auto"/>
                <w:szCs w:val="21"/>
                <w:highlight w:val="none"/>
              </w:rPr>
            </w:pPr>
            <w:r>
              <w:rPr>
                <w:rFonts w:hint="eastAsia"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68882A6B">
            <w:pPr>
              <w:rPr>
                <w:color w:val="auto"/>
                <w:highlight w:val="none"/>
              </w:rPr>
            </w:pPr>
            <w:r>
              <w:rPr>
                <w:rFonts w:hint="eastAsia" w:ascii="宋体" w:hAnsi="宋体"/>
                <w:color w:val="auto"/>
                <w:szCs w:val="21"/>
                <w:highlight w:val="none"/>
                <w:u w:val="single"/>
              </w:rPr>
              <w:t>本项目不适用。</w:t>
            </w:r>
          </w:p>
        </w:tc>
      </w:tr>
      <w:tr w14:paraId="5B2B75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02" w:type="dxa"/>
            <w:tcBorders>
              <w:top w:val="single" w:color="auto" w:sz="4" w:space="0"/>
              <w:left w:val="double" w:color="auto" w:sz="4" w:space="0"/>
              <w:bottom w:val="single" w:color="auto" w:sz="4" w:space="0"/>
              <w:right w:val="single" w:color="auto" w:sz="4" w:space="0"/>
            </w:tcBorders>
            <w:vAlign w:val="center"/>
          </w:tcPr>
          <w:p w14:paraId="173EA49F">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2D19C2D3">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7D6399A7">
            <w:pPr>
              <w:rPr>
                <w:rFonts w:ascii="宋体" w:hAnsi="宋体" w:cs="宋体"/>
                <w:color w:val="auto"/>
                <w:szCs w:val="21"/>
                <w:highlight w:val="none"/>
              </w:rPr>
            </w:pPr>
            <w:r>
              <w:rPr>
                <w:rFonts w:hint="eastAsia"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1452EBE2">
            <w:pPr>
              <w:spacing w:line="340" w:lineRule="exact"/>
              <w:rPr>
                <w:rFonts w:ascii="宋体" w:hAnsi="宋体" w:cs="宋体"/>
                <w:color w:val="auto"/>
                <w:szCs w:val="21"/>
                <w:highlight w:val="none"/>
              </w:rPr>
            </w:pPr>
            <w:r>
              <w:rPr>
                <w:rFonts w:hint="eastAsia" w:ascii="宋体" w:hAnsi="宋体"/>
                <w:color w:val="auto"/>
                <w:szCs w:val="21"/>
                <w:highlight w:val="none"/>
                <w:u w:val="single"/>
              </w:rPr>
              <w:t>本项目不适用。</w:t>
            </w:r>
          </w:p>
        </w:tc>
      </w:tr>
      <w:tr w14:paraId="77FC1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6EF5AE7">
            <w:pPr>
              <w:rPr>
                <w:rFonts w:ascii="宋体" w:hAnsi="宋体"/>
                <w:color w:val="auto"/>
                <w:szCs w:val="21"/>
                <w:highlight w:val="none"/>
              </w:rPr>
            </w:pPr>
            <w:r>
              <w:rPr>
                <w:rFonts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2C10C10F">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390E923C">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2F484E0B">
            <w:pPr>
              <w:rPr>
                <w:rFonts w:ascii="宋体" w:hAnsi="宋体"/>
                <w:color w:val="auto"/>
                <w:szCs w:val="21"/>
                <w:highlight w:val="none"/>
                <w:u w:val="single"/>
              </w:rPr>
            </w:pPr>
            <w:r>
              <w:rPr>
                <w:rFonts w:hint="eastAsia" w:ascii="宋体" w:hAnsi="宋体"/>
                <w:color w:val="auto"/>
                <w:highlight w:val="none"/>
                <w:u w:val="single"/>
              </w:rPr>
              <w:t>按合同条款相关约定调整。</w:t>
            </w:r>
          </w:p>
        </w:tc>
      </w:tr>
      <w:tr w14:paraId="001894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69A6130">
            <w:pPr>
              <w:rPr>
                <w:rFonts w:ascii="宋体" w:hAnsi="宋体"/>
                <w:color w:val="auto"/>
                <w:szCs w:val="21"/>
                <w:highlight w:val="none"/>
              </w:rPr>
            </w:pPr>
            <w:r>
              <w:rPr>
                <w:rFonts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7BE42801">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6475DACC">
            <w:pPr>
              <w:rPr>
                <w:rFonts w:ascii="宋体" w:hAnsi="宋体"/>
                <w:color w:val="auto"/>
                <w:szCs w:val="21"/>
                <w:highlight w:val="none"/>
              </w:rPr>
            </w:pPr>
            <w:r>
              <w:rPr>
                <w:rFonts w:hint="eastAsia" w:ascii="宋体" w:hAnsi="宋体"/>
                <w:color w:val="auto"/>
                <w:szCs w:val="21"/>
                <w:highlight w:val="none"/>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04C1CC2D">
            <w:pPr>
              <w:rPr>
                <w:rFonts w:ascii="宋体" w:hAnsi="宋体"/>
                <w:color w:val="auto"/>
                <w:kern w:val="0"/>
                <w:szCs w:val="21"/>
                <w:highlight w:val="none"/>
                <w:lang w:val="zh-CN"/>
              </w:rPr>
            </w:pPr>
            <w:r>
              <w:rPr>
                <w:rFonts w:hint="eastAsia" w:ascii="宋体" w:hAnsi="宋体" w:cs="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43700C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02" w:type="dxa"/>
            <w:tcBorders>
              <w:top w:val="single" w:color="auto" w:sz="4" w:space="0"/>
              <w:left w:val="double" w:color="auto" w:sz="4" w:space="0"/>
              <w:bottom w:val="single" w:color="auto" w:sz="4" w:space="0"/>
              <w:right w:val="single" w:color="auto" w:sz="4" w:space="0"/>
            </w:tcBorders>
            <w:vAlign w:val="center"/>
          </w:tcPr>
          <w:p w14:paraId="718AD9F1">
            <w:pPr>
              <w:rPr>
                <w:rFonts w:ascii="宋体" w:hAnsi="宋体"/>
                <w:color w:val="auto"/>
                <w:szCs w:val="21"/>
                <w:highlight w:val="none"/>
              </w:rPr>
            </w:pPr>
            <w:r>
              <w:rPr>
                <w:rFonts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1A7C1B21">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52D67F1A">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1FAE9352">
            <w:pPr>
              <w:rPr>
                <w:color w:val="auto"/>
                <w:kern w:val="0"/>
                <w:szCs w:val="21"/>
                <w:highlight w:val="none"/>
                <w:lang w:val="zh-CN"/>
              </w:rPr>
            </w:pPr>
            <w:r>
              <w:rPr>
                <w:rFonts w:hint="eastAsia"/>
                <w:color w:val="auto"/>
                <w:kern w:val="0"/>
                <w:szCs w:val="21"/>
                <w:highlight w:val="none"/>
                <w:lang w:val="zh-CN"/>
              </w:rPr>
              <w:t>□不允许；</w:t>
            </w:r>
          </w:p>
          <w:p w14:paraId="3BAA3AE4">
            <w:pPr>
              <w:rPr>
                <w:color w:val="auto"/>
                <w:kern w:val="0"/>
                <w:szCs w:val="21"/>
                <w:highlight w:val="none"/>
                <w:lang w:val="zh-CN"/>
              </w:rPr>
            </w:pPr>
            <w:r>
              <w:rPr>
                <w:rFonts w:hint="eastAsia" w:ascii="宋体" w:hAnsi="宋体"/>
                <w:color w:val="auto"/>
                <w:kern w:val="0"/>
                <w:szCs w:val="21"/>
                <w:highlight w:val="none"/>
                <w:lang w:val="zh-CN"/>
              </w:rPr>
              <w:t>■</w:t>
            </w:r>
            <w:r>
              <w:rPr>
                <w:rFonts w:hint="eastAsia"/>
                <w:color w:val="auto"/>
                <w:kern w:val="0"/>
                <w:szCs w:val="21"/>
                <w:highlight w:val="none"/>
                <w:lang w:val="zh-CN"/>
              </w:rPr>
              <w:t>允许：</w:t>
            </w:r>
            <w:r>
              <w:rPr>
                <w:rFonts w:hint="eastAsia"/>
                <w:color w:val="auto"/>
                <w:kern w:val="0"/>
                <w:szCs w:val="21"/>
                <w:highlight w:val="none"/>
                <w:u w:val="single"/>
                <w:lang w:val="zh-CN"/>
              </w:rPr>
              <w:t>分包内容要求：中标人按照合同约定或者经招标人同意，可以将中标项目的部分非主体、非关键性工作分包给具有相应资质的单位完成，但其中关键性工作如装饰装修工程不允许分包。</w:t>
            </w:r>
          </w:p>
          <w:p w14:paraId="26F18D87">
            <w:pPr>
              <w:rPr>
                <w:color w:val="auto"/>
                <w:kern w:val="0"/>
                <w:szCs w:val="21"/>
                <w:highlight w:val="none"/>
                <w:lang w:val="zh-CN"/>
              </w:rPr>
            </w:pPr>
            <w:r>
              <w:rPr>
                <w:color w:val="auto"/>
                <w:kern w:val="0"/>
                <w:szCs w:val="21"/>
                <w:highlight w:val="none"/>
                <w:lang w:val="zh-CN"/>
              </w:rPr>
              <w:t xml:space="preserve">       </w:t>
            </w:r>
            <w:r>
              <w:rPr>
                <w:rFonts w:hint="eastAsia"/>
                <w:color w:val="auto"/>
                <w:kern w:val="0"/>
                <w:szCs w:val="21"/>
                <w:highlight w:val="none"/>
                <w:lang w:val="zh-CN"/>
              </w:rPr>
              <w:t>分包金额要求：</w:t>
            </w:r>
            <w:r>
              <w:rPr>
                <w:rFonts w:hint="eastAsia"/>
                <w:color w:val="auto"/>
                <w:kern w:val="0"/>
                <w:szCs w:val="21"/>
                <w:highlight w:val="none"/>
                <w:u w:val="single"/>
                <w:lang w:val="zh-CN"/>
              </w:rPr>
              <w:t>根据实际情况确定。</w:t>
            </w:r>
          </w:p>
          <w:p w14:paraId="41024C8F">
            <w:pPr>
              <w:rPr>
                <w:rFonts w:hint="eastAsia"/>
                <w:color w:val="auto"/>
                <w:kern w:val="0"/>
                <w:szCs w:val="21"/>
                <w:highlight w:val="none"/>
                <w:u w:val="single"/>
                <w:lang w:val="zh-CN"/>
              </w:rPr>
            </w:pPr>
            <w:r>
              <w:rPr>
                <w:color w:val="auto"/>
                <w:kern w:val="0"/>
                <w:szCs w:val="21"/>
                <w:highlight w:val="none"/>
                <w:lang w:val="zh-CN"/>
              </w:rPr>
              <w:t xml:space="preserve">       </w:t>
            </w:r>
            <w:r>
              <w:rPr>
                <w:rFonts w:hint="eastAsia"/>
                <w:color w:val="auto"/>
                <w:kern w:val="0"/>
                <w:szCs w:val="21"/>
                <w:highlight w:val="none"/>
                <w:lang w:val="zh-CN"/>
              </w:rPr>
              <w:t>对分包人的资质要求：</w:t>
            </w:r>
            <w:r>
              <w:rPr>
                <w:rFonts w:hint="eastAsia"/>
                <w:color w:val="auto"/>
                <w:kern w:val="0"/>
                <w:szCs w:val="21"/>
                <w:highlight w:val="none"/>
                <w:u w:val="single"/>
                <w:lang w:val="zh-CN"/>
              </w:rPr>
              <w:t>接受分包的单位应当具备相应的资质条件，并不得再次分包。须经发包人和总监理工程师书面同意。</w:t>
            </w:r>
          </w:p>
        </w:tc>
      </w:tr>
      <w:tr w14:paraId="4B2F6C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C09F73C">
            <w:pPr>
              <w:rPr>
                <w:rFonts w:ascii="宋体" w:hAnsi="宋体"/>
                <w:color w:val="auto"/>
                <w:szCs w:val="21"/>
                <w:highlight w:val="none"/>
              </w:rPr>
            </w:pPr>
            <w:r>
              <w:rPr>
                <w:rFonts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784BE4AF">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14:paraId="12FBAE6C">
            <w:pPr>
              <w:jc w:val="both"/>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619F77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1、按照交易平台关于全流程电子化项目的相关指南进行操作。详见：</w:t>
            </w:r>
            <w:r>
              <w:rPr>
                <w:rFonts w:hint="eastAsia" w:ascii="宋体" w:hAnsi="宋体" w:eastAsia="宋体" w:cs="宋体"/>
                <w:color w:val="auto"/>
                <w:szCs w:val="21"/>
                <w:highlight w:val="none"/>
                <w:u w:val="single"/>
              </w:rPr>
              <w:t>【房建市政】【交易系统】【投标人】全流程电子化交易系统操作手册</w:t>
            </w:r>
            <w:r>
              <w:rPr>
                <w:rFonts w:hint="eastAsia" w:ascii="宋体" w:hAnsi="宋体" w:eastAsia="宋体" w:cs="宋体"/>
                <w:color w:val="auto"/>
                <w:szCs w:val="21"/>
                <w:highlight w:val="none"/>
              </w:rPr>
              <w:t xml:space="preserve">。  </w:t>
            </w:r>
          </w:p>
          <w:p w14:paraId="491FFF7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2、提交投标文件光盘备用</w:t>
            </w:r>
          </w:p>
          <w:p w14:paraId="76C1671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1E3F504">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3、补救方案</w:t>
            </w:r>
          </w:p>
          <w:p w14:paraId="1FFB5B6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733FF0E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67F010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7A1007B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14:paraId="7D1B348B">
            <w:pPr>
              <w:rPr>
                <w:rFonts w:ascii="宋体" w:hAnsi="宋体" w:cs="Courier New"/>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2E950D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06FC72D9">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37</w:t>
            </w:r>
          </w:p>
        </w:tc>
        <w:tc>
          <w:tcPr>
            <w:tcW w:w="981" w:type="dxa"/>
            <w:tcBorders>
              <w:top w:val="single" w:color="auto" w:sz="4" w:space="0"/>
              <w:left w:val="single" w:color="auto" w:sz="4" w:space="0"/>
              <w:bottom w:val="double" w:color="auto" w:sz="4" w:space="0"/>
              <w:right w:val="single" w:color="auto" w:sz="4" w:space="0"/>
            </w:tcBorders>
            <w:vAlign w:val="center"/>
          </w:tcPr>
          <w:p w14:paraId="5C802EBD">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shd w:val="clear" w:color="auto" w:fill="auto"/>
            <w:vAlign w:val="center"/>
          </w:tcPr>
          <w:p w14:paraId="7FB480A7">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招标人对中标人参与“百千万工程”的具体要求</w:t>
            </w:r>
          </w:p>
        </w:tc>
        <w:tc>
          <w:tcPr>
            <w:tcW w:w="5857" w:type="dxa"/>
            <w:tcBorders>
              <w:top w:val="single" w:color="auto" w:sz="4" w:space="0"/>
              <w:left w:val="single" w:color="auto" w:sz="4" w:space="0"/>
              <w:bottom w:val="double" w:color="auto" w:sz="4" w:space="0"/>
              <w:right w:val="double" w:color="auto" w:sz="4" w:space="0"/>
            </w:tcBorders>
            <w:shd w:val="clear" w:color="auto" w:fill="auto"/>
            <w:vAlign w:val="center"/>
          </w:tcPr>
          <w:p w14:paraId="6ABCC09F">
            <w:pPr>
              <w:rPr>
                <w:rFonts w:hint="eastAsia" w:ascii="宋体" w:hAnsi="宋体"/>
                <w:color w:val="auto"/>
                <w:highlight w:val="none"/>
              </w:rPr>
            </w:pPr>
            <w:r>
              <w:rPr>
                <w:rFonts w:hint="eastAsia" w:ascii="宋体" w:hAnsi="宋体"/>
                <w:color w:val="auto"/>
                <w:highlight w:val="none"/>
              </w:rPr>
              <w:t>内容：招标人对中标人参与“百千万工程”的具体要求说明与要求：</w:t>
            </w:r>
          </w:p>
          <w:p w14:paraId="746593EA">
            <w:pPr>
              <w:rPr>
                <w:rFonts w:hint="eastAsia" w:ascii="宋体" w:hAnsi="宋体"/>
                <w:color w:val="auto"/>
                <w:highlight w:val="none"/>
                <w:lang w:val="zh-CN"/>
              </w:rPr>
            </w:pPr>
            <w:r>
              <w:rPr>
                <w:rFonts w:hint="eastAsia" w:ascii="宋体" w:hAnsi="宋体"/>
                <w:color w:val="auto"/>
                <w:highlight w:val="none"/>
                <w:lang w:val="zh-CN"/>
              </w:rPr>
              <w:t>☑具体要求在中标后按照投标承诺和招标人的要求执行。</w:t>
            </w:r>
          </w:p>
          <w:p w14:paraId="6CF6F119">
            <w:pPr>
              <w:rPr>
                <w:rFonts w:hint="eastAsia" w:ascii="宋体" w:hAnsi="宋体" w:eastAsia="宋体" w:cs="Times New Roman"/>
                <w:color w:val="auto"/>
                <w:kern w:val="2"/>
                <w:sz w:val="21"/>
                <w:szCs w:val="22"/>
                <w:highlight w:val="none"/>
                <w:lang w:val="zh-CN" w:eastAsia="zh-CN" w:bidi="ar-SA"/>
              </w:rPr>
            </w:pPr>
            <w:r>
              <w:rPr>
                <w:rFonts w:hint="eastAsia" w:ascii="宋体" w:hAnsi="宋体"/>
                <w:color w:val="auto"/>
                <w:highlight w:val="none"/>
                <w:lang w:val="zh-CN"/>
              </w:rPr>
              <w:t>□具体要求：</w:t>
            </w:r>
            <w:r>
              <w:rPr>
                <w:rFonts w:hint="eastAsia" w:ascii="宋体" w:hAnsi="宋体"/>
                <w:color w:val="auto"/>
                <w:highlight w:val="none"/>
                <w:u w:val="single"/>
                <w:lang w:val="en-US" w:eastAsia="zh-CN"/>
              </w:rPr>
              <w:t xml:space="preserve">     </w:t>
            </w:r>
          </w:p>
        </w:tc>
      </w:tr>
    </w:tbl>
    <w:p w14:paraId="5AB6E6A4">
      <w:pPr>
        <w:keepNext/>
        <w:keepLines/>
        <w:spacing w:before="120" w:after="120" w:line="415" w:lineRule="auto"/>
        <w:jc w:val="center"/>
        <w:outlineLvl w:val="1"/>
        <w:rPr>
          <w:rFonts w:ascii="Arial" w:hAnsi="Arial"/>
          <w:b/>
          <w:color w:val="auto"/>
          <w:sz w:val="28"/>
          <w:szCs w:val="24"/>
          <w:highlight w:val="none"/>
        </w:rPr>
      </w:pPr>
    </w:p>
    <w:p w14:paraId="5664C56E">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page"/>
      </w:r>
      <w:bookmarkStart w:id="6" w:name="_Toc62056016"/>
      <w:bookmarkStart w:id="7" w:name="_Toc2272547"/>
      <w:r>
        <w:rPr>
          <w:rFonts w:hint="eastAsia" w:ascii="Arial" w:hAnsi="Arial"/>
          <w:b/>
          <w:color w:val="auto"/>
          <w:sz w:val="28"/>
          <w:szCs w:val="24"/>
          <w:highlight w:val="none"/>
        </w:rPr>
        <w:t>二、投标须知修改表</w:t>
      </w:r>
      <w:bookmarkEnd w:id="6"/>
      <w:bookmarkEnd w:id="7"/>
    </w:p>
    <w:p w14:paraId="06189D9B">
      <w:pPr>
        <w:spacing w:line="360" w:lineRule="auto"/>
        <w:ind w:firstLine="420"/>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ascii="仿宋" w:hAnsi="仿宋" w:eastAsia="仿宋" w:cs="宋体"/>
          <w:b/>
          <w:color w:val="auto"/>
          <w:kern w:val="0"/>
          <w:sz w:val="22"/>
          <w:highlight w:val="none"/>
          <w:lang w:bidi="ar"/>
        </w:rPr>
        <w:t>http：//zfcj.gz.gov.cn/</w:t>
      </w:r>
      <w:r>
        <w:rPr>
          <w:rFonts w:hint="eastAsia"/>
          <w:b/>
          <w:color w:val="auto"/>
          <w:szCs w:val="21"/>
          <w:highlight w:val="none"/>
        </w:rPr>
        <w:t>）下载查阅。</w:t>
      </w:r>
    </w:p>
    <w:p w14:paraId="7E1E29F4">
      <w:pP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2.5             </w:t>
      </w:r>
      <w:r>
        <w:rPr>
          <w:rFonts w:hint="eastAsia"/>
          <w:b/>
          <w:color w:val="auto"/>
          <w:szCs w:val="21"/>
          <w:highlight w:val="none"/>
        </w:rPr>
        <w:t>修改类型：增加</w:t>
      </w:r>
    </w:p>
    <w:p w14:paraId="76887CD9">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rFonts w:hint="eastAsia"/>
          <w:color w:val="auto"/>
          <w:szCs w:val="21"/>
          <w:highlight w:val="none"/>
        </w:rPr>
        <w:t>2.5</w:t>
      </w:r>
      <w:r>
        <w:rPr>
          <w:rFonts w:ascii="宋体" w:hAnsi="宋体"/>
          <w:color w:val="auto"/>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3555E280">
      <w:pPr>
        <w:spacing w:line="360" w:lineRule="auto"/>
        <w:ind w:firstLine="422" w:firstLineChars="200"/>
        <w:rPr>
          <w:b/>
          <w:color w:val="auto"/>
          <w:szCs w:val="21"/>
          <w:highlight w:val="none"/>
        </w:rPr>
      </w:pPr>
      <w:r>
        <w:rPr>
          <w:rFonts w:hint="eastAsia"/>
          <w:b/>
          <w:color w:val="auto"/>
          <w:szCs w:val="21"/>
          <w:highlight w:val="none"/>
        </w:rPr>
        <w:t>条款号：5.</w:t>
      </w:r>
      <w:r>
        <w:rPr>
          <w:b/>
          <w:color w:val="auto"/>
          <w:szCs w:val="21"/>
          <w:highlight w:val="none"/>
        </w:rPr>
        <w:t xml:space="preserve">1          </w:t>
      </w:r>
      <w:r>
        <w:rPr>
          <w:rFonts w:hint="eastAsia"/>
          <w:b/>
          <w:color w:val="auto"/>
          <w:szCs w:val="21"/>
          <w:highlight w:val="none"/>
        </w:rPr>
        <w:t xml:space="preserve"> 修改类型：修改</w:t>
      </w:r>
    </w:p>
    <w:p w14:paraId="388C32D5">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094A84BF">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现文：</w:t>
      </w:r>
      <w:r>
        <w:rPr>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w:t>
      </w:r>
      <w:r>
        <w:rPr>
          <w:color w:val="auto"/>
          <w:szCs w:val="21"/>
          <w:highlight w:val="none"/>
          <w:u w:val="single"/>
        </w:rPr>
        <w:t>且充分考虑了现场各种因素。招标人不受理因投标人缺乏对现场条件的了解或掌握而提出的任何索赔。</w:t>
      </w:r>
      <w:r>
        <w:rPr>
          <w:color w:val="auto"/>
          <w:szCs w:val="21"/>
          <w:highlight w:val="none"/>
        </w:rPr>
        <w:t>考察现场的费用由投标人自己承担。</w:t>
      </w:r>
    </w:p>
    <w:p w14:paraId="55B89239">
      <w:pPr>
        <w:spacing w:line="360" w:lineRule="auto"/>
        <w:ind w:firstLine="422" w:firstLineChars="200"/>
        <w:rPr>
          <w:b/>
          <w:color w:val="auto"/>
          <w:szCs w:val="21"/>
          <w:highlight w:val="none"/>
        </w:rPr>
      </w:pPr>
      <w:r>
        <w:rPr>
          <w:rFonts w:hint="eastAsia"/>
          <w:b/>
          <w:color w:val="auto"/>
          <w:szCs w:val="21"/>
          <w:highlight w:val="none"/>
        </w:rPr>
        <w:t>条款号：7.</w:t>
      </w:r>
      <w:r>
        <w:rPr>
          <w:b/>
          <w:color w:val="auto"/>
          <w:szCs w:val="21"/>
          <w:highlight w:val="none"/>
        </w:rPr>
        <w:t xml:space="preserve">1          </w:t>
      </w:r>
      <w:r>
        <w:rPr>
          <w:rFonts w:hint="eastAsia"/>
          <w:b/>
          <w:color w:val="auto"/>
          <w:szCs w:val="21"/>
          <w:highlight w:val="none"/>
        </w:rPr>
        <w:t xml:space="preserve"> 修改类型：修改</w:t>
      </w:r>
    </w:p>
    <w:p w14:paraId="498649AF">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14:paraId="515B3300">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14:paraId="25EE8C92">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14:paraId="4950AFB0">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p>
    <w:p w14:paraId="16D58028">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14:paraId="30FCE747">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14:paraId="63380110">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14:paraId="73765D6D">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14:paraId="15CB6978">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14:paraId="2C3530AE">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color w:val="auto"/>
          <w:szCs w:val="21"/>
          <w:highlight w:val="none"/>
        </w:rPr>
        <w:t>7</w:t>
      </w:r>
      <w:r>
        <w:rPr>
          <w:color w:val="auto"/>
          <w:szCs w:val="21"/>
          <w:highlight w:val="none"/>
        </w:rPr>
        <w:t>.1</w:t>
      </w:r>
      <w:r>
        <w:rPr>
          <w:rFonts w:hint="eastAsia"/>
          <w:color w:val="auto"/>
          <w:szCs w:val="21"/>
          <w:highlight w:val="none"/>
        </w:rPr>
        <w:t>本招标文件包括下列文件，以及所有按本须知第8条发出的招标答疑会会议纪要和按本须知第9条发出的澄清或修改：</w:t>
      </w:r>
    </w:p>
    <w:p w14:paraId="362937D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第一章  投标须知</w:t>
      </w:r>
    </w:p>
    <w:p w14:paraId="703C0AC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第二章  开标、评标及定标办法</w:t>
      </w:r>
    </w:p>
    <w:p w14:paraId="298DC7C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第三章  合同条款</w:t>
      </w:r>
    </w:p>
    <w:p w14:paraId="5E54BC9F">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第四章  投标文件格式</w:t>
      </w:r>
    </w:p>
    <w:p w14:paraId="7FE520D6">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第五章  技术条件（工程建设标准）（另册）</w:t>
      </w:r>
    </w:p>
    <w:p w14:paraId="1945D9C9">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第六章  图纸及勘察资料（另册）</w:t>
      </w:r>
    </w:p>
    <w:p w14:paraId="13E71A0A">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第七章  招标工程量清单（另册）</w:t>
      </w:r>
    </w:p>
    <w:p w14:paraId="605B8583">
      <w:pPr>
        <w:pBdr>
          <w:bottom w:val="single" w:color="auto" w:sz="6" w:space="1"/>
        </w:pBdr>
        <w:spacing w:line="360" w:lineRule="auto"/>
        <w:ind w:firstLine="420" w:firstLineChars="200"/>
        <w:rPr>
          <w:color w:val="auto"/>
          <w:szCs w:val="21"/>
          <w:highlight w:val="none"/>
        </w:rPr>
      </w:pPr>
      <w:r>
        <w:rPr>
          <w:rFonts w:hint="eastAsia"/>
          <w:color w:val="auto"/>
          <w:szCs w:val="21"/>
          <w:highlight w:val="none"/>
        </w:rPr>
        <w:t>第八章  最高投标限价</w:t>
      </w:r>
    </w:p>
    <w:p w14:paraId="2D3E336C">
      <w:pPr>
        <w:pBdr>
          <w:bottom w:val="single" w:color="auto" w:sz="6" w:space="1"/>
        </w:pBdr>
        <w:spacing w:line="360" w:lineRule="auto"/>
        <w:ind w:firstLine="525" w:firstLineChars="250"/>
        <w:rPr>
          <w:b w:val="0"/>
          <w:bCs/>
          <w:color w:val="auto"/>
          <w:szCs w:val="21"/>
          <w:highlight w:val="none"/>
        </w:rPr>
      </w:pPr>
      <w:r>
        <w:rPr>
          <w:rFonts w:hint="eastAsia"/>
          <w:b w:val="0"/>
          <w:bCs/>
          <w:color w:val="auto"/>
          <w:szCs w:val="21"/>
          <w:highlight w:val="none"/>
          <w:u w:val="singl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5D82F0B3">
      <w:pPr>
        <w:spacing w:line="480" w:lineRule="auto"/>
        <w:ind w:firstLine="472" w:firstLineChars="224"/>
        <w:rPr>
          <w:b/>
          <w:color w:val="auto"/>
          <w:szCs w:val="21"/>
          <w:highlight w:val="none"/>
        </w:rPr>
      </w:pPr>
      <w:r>
        <w:rPr>
          <w:rFonts w:hint="eastAsia"/>
          <w:b/>
          <w:color w:val="auto"/>
          <w:szCs w:val="21"/>
          <w:highlight w:val="none"/>
        </w:rPr>
        <w:t>条款号：8.1</w:t>
      </w:r>
      <w:r>
        <w:rPr>
          <w:b/>
          <w:color w:val="auto"/>
          <w:szCs w:val="21"/>
          <w:highlight w:val="none"/>
        </w:rPr>
        <w:t xml:space="preserve">             </w:t>
      </w:r>
      <w:r>
        <w:rPr>
          <w:rFonts w:hint="eastAsia"/>
          <w:b/>
          <w:color w:val="auto"/>
          <w:szCs w:val="21"/>
          <w:highlight w:val="none"/>
        </w:rPr>
        <w:t>修改类型：修改</w:t>
      </w:r>
    </w:p>
    <w:p w14:paraId="4F21D978">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8.1 投标人若对招标文件（包括招标图纸）中有疑问，可以书面形式通过</w:t>
      </w:r>
      <w:r>
        <w:rPr>
          <w:color w:val="auto"/>
          <w:szCs w:val="21"/>
          <w:highlight w:val="none"/>
          <w:u w:val="single"/>
        </w:rPr>
        <w:t xml:space="preserve">       </w:t>
      </w:r>
      <w:r>
        <w:rPr>
          <w:rFonts w:hint="eastAsia"/>
          <w:color w:val="auto"/>
          <w:szCs w:val="21"/>
          <w:highlight w:val="none"/>
        </w:rPr>
        <w:t>交易平台提交给招标人或招标代理人，提交形式见本须知前附表第16项。</w:t>
      </w:r>
    </w:p>
    <w:p w14:paraId="5B3E6B49">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 xml:space="preserve">8.1 </w:t>
      </w:r>
      <w:r>
        <w:rPr>
          <w:rFonts w:hint="eastAsia"/>
          <w:color w:val="auto"/>
          <w:szCs w:val="21"/>
          <w:highlight w:val="none"/>
        </w:rPr>
        <w:t>投标人若对招标文件（包括招标图纸）中有疑问，可以书面形式通过</w:t>
      </w:r>
      <w:r>
        <w:rPr>
          <w:rFonts w:hint="eastAsia"/>
          <w:color w:val="auto"/>
          <w:szCs w:val="21"/>
          <w:highlight w:val="none"/>
          <w:u w:val="single"/>
        </w:rPr>
        <w:t>广州公共资源交易中心</w:t>
      </w:r>
      <w:r>
        <w:rPr>
          <w:rFonts w:hint="eastAsia"/>
          <w:color w:val="auto"/>
          <w:szCs w:val="21"/>
          <w:highlight w:val="none"/>
        </w:rPr>
        <w:t>交易平台提交给招标人或招标代理人，提交形式见本须知前附表第</w:t>
      </w:r>
      <w:r>
        <w:rPr>
          <w:color w:val="auto"/>
          <w:szCs w:val="21"/>
          <w:highlight w:val="none"/>
        </w:rPr>
        <w:t>16</w:t>
      </w:r>
      <w:r>
        <w:rPr>
          <w:rFonts w:hint="eastAsia"/>
          <w:color w:val="auto"/>
          <w:szCs w:val="21"/>
          <w:highlight w:val="none"/>
        </w:rPr>
        <w:t>项。</w:t>
      </w:r>
    </w:p>
    <w:p w14:paraId="719E95FE">
      <w:pPr>
        <w:spacing w:line="480" w:lineRule="auto"/>
        <w:ind w:firstLine="472" w:firstLineChars="224"/>
        <w:rPr>
          <w:b/>
          <w:color w:val="auto"/>
          <w:szCs w:val="21"/>
          <w:highlight w:val="none"/>
        </w:rPr>
      </w:pPr>
      <w:r>
        <w:rPr>
          <w:rFonts w:hint="eastAsia"/>
          <w:b/>
          <w:color w:val="auto"/>
          <w:szCs w:val="21"/>
          <w:highlight w:val="none"/>
        </w:rPr>
        <w:t>条款号：8.2</w:t>
      </w:r>
      <w:r>
        <w:rPr>
          <w:b/>
          <w:color w:val="auto"/>
          <w:szCs w:val="21"/>
          <w:highlight w:val="none"/>
        </w:rPr>
        <w:t xml:space="preserve">             </w:t>
      </w:r>
      <w:r>
        <w:rPr>
          <w:rFonts w:hint="eastAsia"/>
          <w:b/>
          <w:color w:val="auto"/>
          <w:szCs w:val="21"/>
          <w:highlight w:val="none"/>
        </w:rPr>
        <w:t>修改类型：修改</w:t>
      </w:r>
    </w:p>
    <w:p w14:paraId="7DD6CE79">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8.2招标答疑会会议纪要将在提交投标文件截止时间15日前在</w:t>
      </w:r>
      <w:r>
        <w:rPr>
          <w:color w:val="auto"/>
          <w:szCs w:val="21"/>
          <w:highlight w:val="none"/>
          <w:u w:val="single"/>
        </w:rPr>
        <w:t xml:space="preserve">     </w:t>
      </w:r>
      <w:r>
        <w:rPr>
          <w:rFonts w:hint="eastAsia"/>
          <w:color w:val="auto"/>
          <w:szCs w:val="21"/>
          <w:highlight w:val="none"/>
        </w:rPr>
        <w:t>交易平台 “项目答疑纪要”专区公开发布。答疑纪要一经在广州公共资源交易中心网交易平台发布，视作已发放给所有投标人。</w:t>
      </w:r>
    </w:p>
    <w:p w14:paraId="366DB9D8">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color w:val="auto"/>
          <w:szCs w:val="21"/>
          <w:highlight w:val="none"/>
        </w:rPr>
        <w:t>8.2</w:t>
      </w:r>
      <w:r>
        <w:rPr>
          <w:rFonts w:hint="eastAsia"/>
          <w:color w:val="auto"/>
          <w:szCs w:val="21"/>
          <w:highlight w:val="none"/>
        </w:rPr>
        <w:t>招标答疑会会议纪要将在提交投标文件截止时间</w:t>
      </w:r>
      <w:r>
        <w:rPr>
          <w:color w:val="auto"/>
          <w:szCs w:val="21"/>
          <w:highlight w:val="none"/>
        </w:rPr>
        <w:t>15</w:t>
      </w:r>
      <w:r>
        <w:rPr>
          <w:rFonts w:hint="eastAsia"/>
          <w:color w:val="auto"/>
          <w:szCs w:val="21"/>
          <w:highlight w:val="none"/>
        </w:rPr>
        <w:t>日前在</w:t>
      </w:r>
      <w:r>
        <w:rPr>
          <w:rFonts w:hint="eastAsia"/>
          <w:color w:val="auto"/>
          <w:szCs w:val="21"/>
          <w:highlight w:val="none"/>
          <w:u w:val="single"/>
        </w:rPr>
        <w:t>广州公共资源交易中心</w:t>
      </w:r>
      <w:r>
        <w:rPr>
          <w:rFonts w:hint="eastAsia"/>
          <w:color w:val="auto"/>
          <w:szCs w:val="21"/>
          <w:highlight w:val="none"/>
        </w:rPr>
        <w:t>交易平台</w:t>
      </w:r>
      <w:r>
        <w:rPr>
          <w:color w:val="auto"/>
          <w:szCs w:val="21"/>
          <w:highlight w:val="none"/>
        </w:rPr>
        <w:t xml:space="preserve"> </w:t>
      </w:r>
      <w:r>
        <w:rPr>
          <w:rFonts w:hint="eastAsia"/>
          <w:color w:val="auto"/>
          <w:szCs w:val="21"/>
          <w:highlight w:val="none"/>
        </w:rPr>
        <w:t>“项目答疑纪要”专区公开发布。答疑纪要一经在</w:t>
      </w:r>
      <w:r>
        <w:rPr>
          <w:rFonts w:hint="eastAsia"/>
          <w:color w:val="auto"/>
          <w:szCs w:val="21"/>
          <w:highlight w:val="none"/>
          <w:u w:val="single"/>
        </w:rPr>
        <w:t>广州公共资源交易中心</w:t>
      </w:r>
      <w:r>
        <w:rPr>
          <w:rFonts w:hint="eastAsia"/>
          <w:color w:val="auto"/>
          <w:szCs w:val="21"/>
          <w:highlight w:val="none"/>
        </w:rPr>
        <w:t>交易平台发布，视作已发放给所有投标人。</w:t>
      </w:r>
    </w:p>
    <w:p w14:paraId="7D44D310">
      <w:pPr>
        <w:spacing w:line="480" w:lineRule="auto"/>
        <w:ind w:firstLine="472" w:firstLineChars="224"/>
        <w:rPr>
          <w:b/>
          <w:color w:val="auto"/>
          <w:szCs w:val="21"/>
          <w:highlight w:val="none"/>
        </w:rPr>
      </w:pPr>
      <w:r>
        <w:rPr>
          <w:rFonts w:hint="eastAsia"/>
          <w:b/>
          <w:color w:val="auto"/>
          <w:szCs w:val="21"/>
          <w:highlight w:val="none"/>
        </w:rPr>
        <w:t>条款号：9.2</w:t>
      </w:r>
      <w:r>
        <w:rPr>
          <w:b/>
          <w:color w:val="auto"/>
          <w:szCs w:val="21"/>
          <w:highlight w:val="none"/>
        </w:rPr>
        <w:t xml:space="preserve">             </w:t>
      </w:r>
      <w:r>
        <w:rPr>
          <w:rFonts w:hint="eastAsia"/>
          <w:b/>
          <w:color w:val="auto"/>
          <w:szCs w:val="21"/>
          <w:highlight w:val="none"/>
        </w:rPr>
        <w:t>修改类型：修改</w:t>
      </w:r>
    </w:p>
    <w:p w14:paraId="569BC72F">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9.2招标文件的澄清或修改将在</w:t>
      </w:r>
      <w:r>
        <w:rPr>
          <w:color w:val="auto"/>
          <w:szCs w:val="21"/>
          <w:highlight w:val="none"/>
          <w:u w:val="single"/>
        </w:rPr>
        <w:t xml:space="preserve">        </w:t>
      </w:r>
      <w:r>
        <w:rPr>
          <w:rFonts w:hint="eastAsia"/>
          <w:color w:val="auto"/>
          <w:szCs w:val="21"/>
          <w:highlight w:val="none"/>
        </w:rPr>
        <w:t>交易平台“项目答疑纪要”专区公开发布。答疑纪要一经在</w:t>
      </w:r>
      <w:r>
        <w:rPr>
          <w:color w:val="auto"/>
          <w:szCs w:val="21"/>
          <w:highlight w:val="none"/>
          <w:u w:val="single"/>
        </w:rPr>
        <w:t xml:space="preserve">        </w:t>
      </w:r>
      <w:r>
        <w:rPr>
          <w:rFonts w:hint="eastAsia"/>
          <w:color w:val="auto"/>
          <w:szCs w:val="21"/>
          <w:highlight w:val="none"/>
        </w:rPr>
        <w:t>交易平台发布，视作已发放给所有投标人，以</w:t>
      </w:r>
      <w:r>
        <w:rPr>
          <w:color w:val="auto"/>
          <w:szCs w:val="21"/>
          <w:highlight w:val="none"/>
          <w:u w:val="single"/>
        </w:rPr>
        <w:t xml:space="preserve">        </w:t>
      </w:r>
      <w:r>
        <w:rPr>
          <w:rFonts w:hint="eastAsia"/>
          <w:color w:val="auto"/>
          <w:szCs w:val="21"/>
          <w:highlight w:val="none"/>
        </w:rPr>
        <w:t>交易平台上网发布时间作为送达时间。</w:t>
      </w:r>
    </w:p>
    <w:p w14:paraId="09895B52">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9.2招标文件的澄清或修改将在</w:t>
      </w:r>
      <w:r>
        <w:rPr>
          <w:rFonts w:hint="eastAsia"/>
          <w:color w:val="auto"/>
          <w:szCs w:val="21"/>
          <w:highlight w:val="none"/>
          <w:u w:val="single"/>
        </w:rPr>
        <w:t>广州公共资源交易中心</w:t>
      </w:r>
      <w:r>
        <w:rPr>
          <w:rFonts w:hint="eastAsia"/>
          <w:color w:val="auto"/>
          <w:szCs w:val="21"/>
          <w:highlight w:val="none"/>
        </w:rPr>
        <w:t>交易平台“项目答疑纪要”专区公开发布。答疑纪要一经在</w:t>
      </w:r>
      <w:r>
        <w:rPr>
          <w:rFonts w:hint="eastAsia"/>
          <w:color w:val="auto"/>
          <w:szCs w:val="21"/>
          <w:highlight w:val="none"/>
          <w:u w:val="single"/>
        </w:rPr>
        <w:t>广州公共资源交易中心</w:t>
      </w:r>
      <w:r>
        <w:rPr>
          <w:rFonts w:hint="eastAsia"/>
          <w:color w:val="auto"/>
          <w:szCs w:val="21"/>
          <w:highlight w:val="none"/>
        </w:rPr>
        <w:t>交易平台发布，视作已发放给所有投标人，以</w:t>
      </w:r>
      <w:r>
        <w:rPr>
          <w:rFonts w:hint="eastAsia"/>
          <w:color w:val="auto"/>
          <w:szCs w:val="21"/>
          <w:highlight w:val="none"/>
          <w:u w:val="single"/>
        </w:rPr>
        <w:t>广州公共资源交易中心</w:t>
      </w:r>
      <w:r>
        <w:rPr>
          <w:rFonts w:hint="eastAsia"/>
          <w:color w:val="auto"/>
          <w:szCs w:val="21"/>
          <w:highlight w:val="none"/>
        </w:rPr>
        <w:t>交易平台上网发布时间作为送达时间。</w:t>
      </w:r>
    </w:p>
    <w:p w14:paraId="6E758F4A">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条款号：9.4            修改类型：修改</w:t>
      </w:r>
    </w:p>
    <w:p w14:paraId="7EA50956">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14:paraId="39DF1FD9">
      <w:pPr>
        <w:pBdr>
          <w:bottom w:val="single" w:color="auto" w:sz="6" w:space="1"/>
        </w:pBdr>
        <w:spacing w:line="480" w:lineRule="auto"/>
        <w:ind w:firstLine="472" w:firstLineChars="224"/>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9.4招标文件的澄清、修改均以</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发布的内容为准。当招标文件的澄清、修改在同一内容的表述不一致时，以</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最后发布的内容为准。</w:t>
      </w:r>
    </w:p>
    <w:p w14:paraId="5E229CAF">
      <w:pPr>
        <w:spacing w:line="480" w:lineRule="auto"/>
        <w:ind w:firstLine="472" w:firstLineChars="224"/>
        <w:rPr>
          <w:b/>
          <w:color w:val="auto"/>
          <w:szCs w:val="21"/>
          <w:highlight w:val="none"/>
        </w:rPr>
      </w:pPr>
      <w:r>
        <w:rPr>
          <w:rFonts w:hint="eastAsia"/>
          <w:b/>
          <w:color w:val="auto"/>
          <w:szCs w:val="21"/>
          <w:highlight w:val="none"/>
        </w:rPr>
        <w:t>条款号：11.2</w:t>
      </w:r>
      <w:r>
        <w:rPr>
          <w:b/>
          <w:color w:val="auto"/>
          <w:szCs w:val="21"/>
          <w:highlight w:val="none"/>
        </w:rPr>
        <w:t xml:space="preserve">             </w:t>
      </w:r>
      <w:r>
        <w:rPr>
          <w:rFonts w:hint="eastAsia"/>
          <w:b/>
          <w:color w:val="auto"/>
          <w:szCs w:val="21"/>
          <w:highlight w:val="none"/>
        </w:rPr>
        <w:t>修改类型：修改</w:t>
      </w:r>
    </w:p>
    <w:p w14:paraId="7CC29552">
      <w:pPr>
        <w:spacing w:line="360" w:lineRule="auto"/>
        <w:ind w:firstLine="422" w:firstLineChars="200"/>
        <w:rPr>
          <w:rFonts w:ascii="宋体"/>
          <w:color w:val="auto"/>
          <w:szCs w:val="21"/>
          <w:highlight w:val="none"/>
        </w:rPr>
      </w:pPr>
      <w:r>
        <w:rPr>
          <w:rFonts w:hint="eastAsia"/>
          <w:b/>
          <w:color w:val="auto"/>
          <w:szCs w:val="21"/>
          <w:highlight w:val="none"/>
        </w:rPr>
        <w:t>原文：</w:t>
      </w:r>
      <w:r>
        <w:rPr>
          <w:rFonts w:ascii="宋体"/>
          <w:color w:val="auto"/>
          <w:szCs w:val="21"/>
          <w:highlight w:val="none"/>
        </w:rPr>
        <w:t>11.2</w:t>
      </w:r>
      <w:r>
        <w:rPr>
          <w:rFonts w:hint="eastAsia" w:ascii="宋体"/>
          <w:color w:val="auto"/>
          <w:szCs w:val="21"/>
          <w:highlight w:val="none"/>
        </w:rPr>
        <w:t>投标文件技术标部分主要包括下列内容：</w:t>
      </w:r>
    </w:p>
    <w:p w14:paraId="7A03A44B">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rPr>
        <w:t>按招标文件的要求填写</w:t>
      </w:r>
      <w:r>
        <w:rPr>
          <w:rFonts w:ascii="宋体"/>
          <w:color w:val="auto"/>
          <w:szCs w:val="21"/>
          <w:highlight w:val="none"/>
        </w:rPr>
        <w:t>)</w:t>
      </w:r>
      <w:r>
        <w:rPr>
          <w:rFonts w:hint="eastAsia" w:ascii="宋体"/>
          <w:color w:val="auto"/>
          <w:szCs w:val="21"/>
          <w:highlight w:val="none"/>
        </w:rPr>
        <w:t>；</w:t>
      </w:r>
    </w:p>
    <w:p w14:paraId="78E2747B">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14:paraId="1716CE8B">
      <w:pPr>
        <w:spacing w:line="360" w:lineRule="auto"/>
        <w:ind w:firstLine="420" w:firstLineChars="200"/>
        <w:rPr>
          <w:rFonts w:ascii="宋体"/>
          <w:color w:val="auto"/>
          <w:szCs w:val="21"/>
          <w:highlight w:val="none"/>
        </w:rPr>
      </w:pPr>
      <w:r>
        <w:rPr>
          <w:rFonts w:hint="eastAsia" w:ascii="宋体"/>
          <w:color w:val="auto"/>
          <w:szCs w:val="21"/>
          <w:highlight w:val="none"/>
        </w:rPr>
        <w:t xml:space="preserve">（1）投标人声明； </w:t>
      </w:r>
    </w:p>
    <w:p w14:paraId="6DC3FCCD">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p>
    <w:p w14:paraId="3F5722F6">
      <w:pPr>
        <w:spacing w:line="360" w:lineRule="auto"/>
        <w:ind w:firstLine="420" w:firstLineChars="200"/>
        <w:rPr>
          <w:rFonts w:ascii="宋体"/>
          <w:color w:val="auto"/>
          <w:szCs w:val="21"/>
          <w:highlight w:val="none"/>
        </w:rPr>
      </w:pPr>
      <w:r>
        <w:rPr>
          <w:rFonts w:hint="eastAsia" w:ascii="宋体"/>
          <w:color w:val="auto"/>
          <w:szCs w:val="21"/>
          <w:highlight w:val="none"/>
        </w:rPr>
        <w:t>（3）企业营业执照（取自平台内上传件）；</w:t>
      </w:r>
    </w:p>
    <w:p w14:paraId="28831618">
      <w:pPr>
        <w:spacing w:line="360" w:lineRule="auto"/>
        <w:ind w:firstLine="420" w:firstLineChars="200"/>
        <w:rPr>
          <w:rFonts w:ascii="宋体"/>
          <w:color w:val="auto"/>
          <w:szCs w:val="21"/>
          <w:highlight w:val="none"/>
        </w:rPr>
      </w:pPr>
      <w:r>
        <w:rPr>
          <w:rFonts w:hint="eastAsia" w:ascii="宋体"/>
          <w:color w:val="auto"/>
          <w:szCs w:val="21"/>
          <w:highlight w:val="none"/>
        </w:rPr>
        <w:t>（4）企业资质证书（取自平台内上传件）；</w:t>
      </w:r>
    </w:p>
    <w:p w14:paraId="1E1633A7">
      <w:pPr>
        <w:spacing w:line="360" w:lineRule="auto"/>
        <w:ind w:firstLine="420" w:firstLineChars="200"/>
        <w:rPr>
          <w:rFonts w:ascii="宋体"/>
          <w:color w:val="auto"/>
          <w:szCs w:val="21"/>
          <w:highlight w:val="none"/>
        </w:rPr>
      </w:pPr>
      <w:r>
        <w:rPr>
          <w:rFonts w:hint="eastAsia" w:ascii="宋体"/>
          <w:color w:val="auto"/>
          <w:szCs w:val="21"/>
          <w:highlight w:val="none"/>
        </w:rPr>
        <w:t>（5）建筑施工企业安全生产许可证（取自平台内上传件）；</w:t>
      </w:r>
    </w:p>
    <w:p w14:paraId="32C21CC2">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r>
        <w:rPr>
          <w:rFonts w:ascii="宋体"/>
          <w:color w:val="auto"/>
          <w:szCs w:val="21"/>
          <w:highlight w:val="none"/>
        </w:rPr>
        <w:t>；</w:t>
      </w:r>
    </w:p>
    <w:p w14:paraId="0687E108">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r>
        <w:rPr>
          <w:rFonts w:ascii="宋体"/>
          <w:color w:val="auto"/>
          <w:szCs w:val="21"/>
          <w:highlight w:val="none"/>
        </w:rPr>
        <w:t>；</w:t>
      </w:r>
    </w:p>
    <w:p w14:paraId="1A2B1D78">
      <w:pPr>
        <w:spacing w:line="360" w:lineRule="auto"/>
        <w:ind w:firstLine="420" w:firstLineChars="200"/>
        <w:rPr>
          <w:rFonts w:ascii="宋体"/>
          <w:color w:val="auto"/>
          <w:szCs w:val="21"/>
          <w:highlight w:val="none"/>
        </w:rPr>
      </w:pPr>
      <w:r>
        <w:rPr>
          <w:rFonts w:hint="eastAsia" w:ascii="宋体"/>
          <w:color w:val="auto"/>
          <w:szCs w:val="21"/>
          <w:highlight w:val="none"/>
        </w:rPr>
        <w:t>（8）拟委托技术负责人的相关证书、资料（具体要求由招标人明确）</w:t>
      </w:r>
      <w:r>
        <w:rPr>
          <w:rFonts w:ascii="宋体"/>
          <w:color w:val="auto"/>
          <w:szCs w:val="21"/>
          <w:highlight w:val="none"/>
        </w:rPr>
        <w:t>；</w:t>
      </w:r>
    </w:p>
    <w:p w14:paraId="065B4055">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9）</w:t>
      </w:r>
      <w:r>
        <w:rPr>
          <w:color w:val="auto"/>
          <w:szCs w:val="21"/>
          <w:highlight w:val="none"/>
          <w:lang w:bidi="ar"/>
        </w:rPr>
        <w:t xml:space="preserve">拟委派项目负责人的建造师注册证书（取自平台内上传件）； </w:t>
      </w:r>
    </w:p>
    <w:p w14:paraId="35951BA2">
      <w:pPr>
        <w:spacing w:line="360" w:lineRule="auto"/>
        <w:ind w:firstLine="420" w:firstLineChars="200"/>
        <w:rPr>
          <w:rFonts w:ascii="宋体" w:hAnsi="宋体" w:cs="宋体"/>
          <w:color w:val="auto"/>
          <w:szCs w:val="21"/>
          <w:highlight w:val="none"/>
        </w:rPr>
      </w:pPr>
      <w:r>
        <w:rPr>
          <w:color w:val="auto"/>
          <w:szCs w:val="21"/>
          <w:highlight w:val="none"/>
          <w:lang w:bidi="ar"/>
        </w:rPr>
        <w:t>（</w:t>
      </w:r>
      <w:r>
        <w:rPr>
          <w:rFonts w:hint="eastAsia" w:ascii="宋体" w:hAnsi="宋体" w:cs="宋体"/>
          <w:color w:val="auto"/>
          <w:szCs w:val="21"/>
          <w:highlight w:val="none"/>
          <w:lang w:bidi="ar"/>
        </w:rPr>
        <w:t>10）</w:t>
      </w:r>
      <w:r>
        <w:rPr>
          <w:color w:val="auto"/>
          <w:szCs w:val="21"/>
          <w:highlight w:val="none"/>
          <w:lang w:bidi="ar"/>
        </w:rPr>
        <w:t>项目负责人安全生产考核合格证明或在有效期内的安全考核合格证书（</w:t>
      </w:r>
      <w:r>
        <w:rPr>
          <w:rFonts w:hint="eastAsia" w:ascii="宋体" w:hAnsi="宋体" w:cs="宋体"/>
          <w:color w:val="auto"/>
          <w:szCs w:val="21"/>
          <w:highlight w:val="none"/>
          <w:lang w:bidi="ar"/>
        </w:rPr>
        <w:t>B类）或建筑施工企业项目负责人安全生产考核合格证书（取自平台内上传件）</w:t>
      </w:r>
      <w:r>
        <w:rPr>
          <w:color w:val="auto"/>
          <w:szCs w:val="21"/>
          <w:highlight w:val="none"/>
          <w:lang w:bidi="ar"/>
        </w:rPr>
        <w:t>；</w:t>
      </w:r>
    </w:p>
    <w:p w14:paraId="214FE7E3">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（11）专职安全员须具有在有效期内的安全考核合格证书（C类）或建筑施工企业专职安全生产管理人员安全生产考核合格证书（取自平台内上传件）；</w:t>
      </w:r>
    </w:p>
    <w:p w14:paraId="3D49A2B4">
      <w:pPr>
        <w:spacing w:line="360" w:lineRule="auto"/>
        <w:ind w:firstLine="420" w:firstLineChars="200"/>
        <w:rPr>
          <w:rFonts w:ascii="宋体"/>
          <w:color w:val="auto"/>
          <w:szCs w:val="21"/>
          <w:highlight w:val="none"/>
        </w:rPr>
      </w:pPr>
      <w:r>
        <w:rPr>
          <w:rFonts w:hint="eastAsia" w:ascii="宋体"/>
          <w:color w:val="auto"/>
          <w:szCs w:val="21"/>
          <w:highlight w:val="none"/>
        </w:rPr>
        <w:t>（12）用于资格审查的业绩（设置业绩要求时选择此项，投标人须提供类似工程业绩的项目名称及项目编号，具体格式由招标人自定）；</w:t>
      </w:r>
    </w:p>
    <w:p w14:paraId="4DB80D3D">
      <w:pPr>
        <w:spacing w:line="360" w:lineRule="auto"/>
        <w:ind w:firstLine="420" w:firstLineChars="200"/>
        <w:rPr>
          <w:rFonts w:ascii="宋体"/>
          <w:color w:val="auto"/>
          <w:szCs w:val="21"/>
          <w:highlight w:val="none"/>
        </w:rPr>
      </w:pPr>
      <w:r>
        <w:rPr>
          <w:rFonts w:hint="eastAsia" w:ascii="宋体"/>
          <w:color w:val="auto"/>
          <w:szCs w:val="21"/>
          <w:highlight w:val="none"/>
        </w:rPr>
        <w:t>（13）资格审查前，投标人须在广州市住房和城乡建设局建立企业信用档案，拟担任本工程项目负责人、专职安全员须是本企业信用档案中的在册人员。</w:t>
      </w:r>
    </w:p>
    <w:p w14:paraId="2EAD2176">
      <w:pPr>
        <w:spacing w:line="360" w:lineRule="auto"/>
        <w:ind w:firstLine="420" w:firstLineChars="200"/>
        <w:rPr>
          <w:rFonts w:ascii="宋体"/>
          <w:color w:val="auto"/>
          <w:szCs w:val="21"/>
          <w:highlight w:val="none"/>
        </w:rPr>
      </w:pPr>
      <w:r>
        <w:rPr>
          <w:rFonts w:hint="eastAsia" w:ascii="宋体"/>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68391CB6">
      <w:pPr>
        <w:spacing w:line="360" w:lineRule="auto"/>
        <w:ind w:firstLine="470" w:firstLineChars="224"/>
        <w:rPr>
          <w:rFonts w:ascii="宋体"/>
          <w:color w:val="auto"/>
          <w:szCs w:val="21"/>
          <w:highlight w:val="none"/>
        </w:rPr>
      </w:pPr>
      <w:r>
        <w:rPr>
          <w:rFonts w:hint="eastAsia" w:ascii="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14B2A241">
      <w:pPr>
        <w:spacing w:line="360" w:lineRule="auto"/>
        <w:ind w:firstLine="420" w:firstLineChars="200"/>
        <w:rPr>
          <w:rFonts w:ascii="宋体"/>
          <w:color w:val="auto"/>
          <w:szCs w:val="21"/>
          <w:highlight w:val="none"/>
        </w:rPr>
      </w:pPr>
      <w:r>
        <w:rPr>
          <w:rFonts w:ascii="宋体"/>
          <w:color w:val="auto"/>
          <w:szCs w:val="21"/>
          <w:highlight w:val="none"/>
        </w:rPr>
        <w:t>11.2.3</w:t>
      </w:r>
      <w:r>
        <w:rPr>
          <w:rFonts w:hint="eastAsia" w:ascii="宋体"/>
          <w:color w:val="auto"/>
          <w:szCs w:val="21"/>
          <w:highlight w:val="none"/>
        </w:rPr>
        <w:t>项目管理机构配备。</w:t>
      </w:r>
    </w:p>
    <w:p w14:paraId="40A19602">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1</w:t>
      </w:r>
      <w:r>
        <w:rPr>
          <w:rFonts w:hint="eastAsia" w:ascii="宋体"/>
          <w:color w:val="auto"/>
          <w:szCs w:val="21"/>
          <w:highlight w:val="none"/>
        </w:rPr>
        <w:t>）投标人应列出该项目工程的施工组织机构构成和画出机构框架图及其负责人；</w:t>
      </w:r>
    </w:p>
    <w:p w14:paraId="5DFF665E">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2</w:t>
      </w:r>
      <w:r>
        <w:rPr>
          <w:rFonts w:hint="eastAsia" w:ascii="宋体"/>
          <w:color w:val="auto"/>
          <w:szCs w:val="21"/>
          <w:highlight w:val="none"/>
        </w:rPr>
        <w:t>）投标人应详细列出该施工组织机构中主要成员的名单、简历资料、职务职称和在本项目中拟担任的职务等资料，并附上有关证明材料扫描件；</w:t>
      </w:r>
    </w:p>
    <w:p w14:paraId="39B066A8">
      <w:pPr>
        <w:spacing w:line="360" w:lineRule="auto"/>
        <w:ind w:firstLine="420" w:firstLineChars="200"/>
        <w:rPr>
          <w:rFonts w:ascii="宋体"/>
          <w:color w:val="auto"/>
          <w:szCs w:val="21"/>
          <w:highlight w:val="none"/>
        </w:rPr>
      </w:pPr>
      <w:r>
        <w:rPr>
          <w:rFonts w:hint="eastAsia" w:ascii="宋体"/>
          <w:color w:val="auto"/>
          <w:szCs w:val="21"/>
          <w:highlight w:val="none"/>
        </w:rPr>
        <w:t>（</w:t>
      </w:r>
      <w:r>
        <w:rPr>
          <w:rFonts w:ascii="宋体"/>
          <w:color w:val="auto"/>
          <w:szCs w:val="21"/>
          <w:highlight w:val="none"/>
        </w:rPr>
        <w:t>3</w:t>
      </w:r>
      <w:r>
        <w:rPr>
          <w:rFonts w:hint="eastAsia" w:ascii="宋体"/>
          <w:color w:val="auto"/>
          <w:szCs w:val="21"/>
          <w:highlight w:val="none"/>
        </w:rPr>
        <w:t>）其他辅助说明资料。</w:t>
      </w:r>
    </w:p>
    <w:p w14:paraId="5681261C">
      <w:pPr>
        <w:spacing w:line="360" w:lineRule="auto"/>
        <w:ind w:firstLine="420" w:firstLineChars="200"/>
        <w:rPr>
          <w:rFonts w:ascii="宋体"/>
          <w:color w:val="auto"/>
          <w:szCs w:val="21"/>
          <w:highlight w:val="none"/>
        </w:rPr>
      </w:pPr>
      <w:r>
        <w:rPr>
          <w:rFonts w:ascii="宋体"/>
          <w:color w:val="auto"/>
          <w:szCs w:val="21"/>
          <w:highlight w:val="none"/>
        </w:rPr>
        <w:t>11.2.4</w:t>
      </w:r>
      <w:r>
        <w:rPr>
          <w:rFonts w:hint="eastAsia" w:ascii="宋体"/>
          <w:color w:val="auto"/>
          <w:szCs w:val="21"/>
          <w:highlight w:val="none"/>
        </w:rPr>
        <w:t>投标人在广州市可使用适合本工程的机械设备（附：机械设备为自有或租赁的说明；及承诺机械设备如属于租赁的，其租赁是不属于重复租赁）。</w:t>
      </w:r>
    </w:p>
    <w:p w14:paraId="676C2691">
      <w:pPr>
        <w:tabs>
          <w:tab w:val="left" w:pos="1125"/>
        </w:tabs>
        <w:spacing w:line="360" w:lineRule="auto"/>
        <w:ind w:firstLine="420" w:firstLineChars="200"/>
        <w:rPr>
          <w:rFonts w:ascii="宋体"/>
          <w:color w:val="auto"/>
          <w:szCs w:val="21"/>
          <w:highlight w:val="none"/>
        </w:rPr>
      </w:pPr>
      <w:r>
        <w:rPr>
          <w:rFonts w:ascii="宋体"/>
          <w:color w:val="auto"/>
          <w:szCs w:val="21"/>
          <w:highlight w:val="none"/>
        </w:rPr>
        <w:t>11.2.5</w:t>
      </w:r>
      <w:r>
        <w:rPr>
          <w:rFonts w:hint="eastAsia" w:ascii="宋体"/>
          <w:color w:val="auto"/>
          <w:szCs w:val="21"/>
          <w:highlight w:val="none"/>
        </w:rPr>
        <w:t>施工组织设计或施工方案。</w:t>
      </w:r>
      <w:r>
        <w:rPr>
          <w:rFonts w:hint="eastAsia" w:ascii="宋体" w:hAnsi="宋体" w:cs="宋体"/>
          <w:color w:val="auto"/>
          <w:szCs w:val="21"/>
          <w:highlight w:val="none"/>
          <w:lang w:bidi="ar"/>
        </w:rPr>
        <w:t>（投标人在编制施工组织设计或施工方案时应按照招标人提出的施工现场建筑垃圾源头减量的具体要求以及建筑垃圾综合利用产品的使用要求提供相应措施。）</w:t>
      </w:r>
    </w:p>
    <w:p w14:paraId="3314C490">
      <w:pPr>
        <w:spacing w:line="360" w:lineRule="auto"/>
        <w:ind w:firstLine="424" w:firstLineChars="202"/>
        <w:rPr>
          <w:rFonts w:ascii="宋体"/>
          <w:color w:val="auto"/>
          <w:szCs w:val="21"/>
          <w:highlight w:val="none"/>
        </w:rPr>
      </w:pPr>
      <w:r>
        <w:rPr>
          <w:rFonts w:ascii="宋体"/>
          <w:color w:val="auto"/>
          <w:szCs w:val="21"/>
          <w:highlight w:val="none"/>
        </w:rPr>
        <w:t>11.2.</w:t>
      </w:r>
      <w:r>
        <w:rPr>
          <w:rFonts w:hint="eastAsia" w:ascii="宋体"/>
          <w:color w:val="auto"/>
          <w:szCs w:val="21"/>
          <w:highlight w:val="none"/>
        </w:rPr>
        <w:t>6按照招标文件要求填写的《参与编制技术标投标文件人员名单》。</w:t>
      </w:r>
    </w:p>
    <w:p w14:paraId="6BB0764E">
      <w:pPr>
        <w:spacing w:line="360" w:lineRule="auto"/>
        <w:ind w:firstLine="422" w:firstLineChars="200"/>
        <w:rPr>
          <w:rFonts w:ascii="宋体"/>
          <w:color w:val="auto"/>
          <w:szCs w:val="21"/>
          <w:highlight w:val="none"/>
        </w:rPr>
      </w:pPr>
      <w:r>
        <w:rPr>
          <w:rFonts w:hint="eastAsia"/>
          <w:b/>
          <w:color w:val="auto"/>
          <w:szCs w:val="21"/>
          <w:highlight w:val="none"/>
        </w:rPr>
        <w:t>现文：</w:t>
      </w:r>
      <w:r>
        <w:rPr>
          <w:rFonts w:ascii="宋体"/>
          <w:color w:val="auto"/>
          <w:szCs w:val="21"/>
          <w:highlight w:val="none"/>
        </w:rPr>
        <w:t>11.2</w:t>
      </w:r>
      <w:r>
        <w:rPr>
          <w:rFonts w:hint="eastAsia" w:ascii="宋体"/>
          <w:color w:val="auto"/>
          <w:szCs w:val="21"/>
          <w:highlight w:val="none"/>
        </w:rPr>
        <w:t>投标文件技术标部分主要包括下列内容：</w:t>
      </w:r>
    </w:p>
    <w:p w14:paraId="31C3727B">
      <w:pPr>
        <w:spacing w:line="360" w:lineRule="auto"/>
        <w:ind w:firstLine="420" w:firstLineChars="200"/>
        <w:rPr>
          <w:rFonts w:ascii="宋体"/>
          <w:color w:val="auto"/>
          <w:szCs w:val="21"/>
          <w:highlight w:val="none"/>
        </w:rPr>
      </w:pPr>
      <w:r>
        <w:rPr>
          <w:rFonts w:hint="eastAsia" w:ascii="宋体"/>
          <w:color w:val="auto"/>
          <w:szCs w:val="21"/>
          <w:highlight w:val="none"/>
        </w:rPr>
        <w:t>11.2.1 技术投标文件</w:t>
      </w:r>
      <w:r>
        <w:rPr>
          <w:rFonts w:ascii="宋体"/>
          <w:color w:val="auto"/>
          <w:szCs w:val="21"/>
          <w:highlight w:val="none"/>
        </w:rPr>
        <w:t>(</w:t>
      </w:r>
      <w:r>
        <w:rPr>
          <w:rFonts w:hint="eastAsia" w:ascii="宋体"/>
          <w:color w:val="auto"/>
          <w:szCs w:val="21"/>
          <w:highlight w:val="none"/>
          <w:u w:val="single"/>
        </w:rPr>
        <w:t>按技术标投标文件格式要求填写</w:t>
      </w:r>
      <w:r>
        <w:rPr>
          <w:rFonts w:ascii="宋体"/>
          <w:color w:val="auto"/>
          <w:szCs w:val="21"/>
          <w:highlight w:val="none"/>
        </w:rPr>
        <w:t>)</w:t>
      </w:r>
      <w:r>
        <w:rPr>
          <w:rFonts w:hint="eastAsia" w:ascii="宋体"/>
          <w:color w:val="auto"/>
          <w:szCs w:val="21"/>
          <w:highlight w:val="none"/>
        </w:rPr>
        <w:t>；</w:t>
      </w:r>
    </w:p>
    <w:p w14:paraId="5DD822B0">
      <w:pPr>
        <w:spacing w:line="360" w:lineRule="auto"/>
        <w:ind w:firstLine="420" w:firstLineChars="200"/>
        <w:rPr>
          <w:rFonts w:ascii="宋体"/>
          <w:color w:val="auto"/>
          <w:szCs w:val="21"/>
          <w:highlight w:val="none"/>
        </w:rPr>
      </w:pPr>
      <w:r>
        <w:rPr>
          <w:rFonts w:hint="eastAsia" w:ascii="宋体"/>
          <w:color w:val="auto"/>
          <w:szCs w:val="21"/>
          <w:highlight w:val="none"/>
        </w:rPr>
        <w:t>11.2.2 资格审查文件：</w:t>
      </w:r>
    </w:p>
    <w:p w14:paraId="2CEA9B8C">
      <w:pPr>
        <w:spacing w:line="360" w:lineRule="auto"/>
        <w:ind w:firstLine="420" w:firstLineChars="200"/>
        <w:rPr>
          <w:rFonts w:ascii="宋体"/>
          <w:color w:val="auto"/>
          <w:szCs w:val="21"/>
          <w:highlight w:val="none"/>
        </w:rPr>
      </w:pPr>
      <w:r>
        <w:rPr>
          <w:rFonts w:hint="eastAsia" w:ascii="宋体"/>
          <w:color w:val="auto"/>
          <w:szCs w:val="21"/>
          <w:highlight w:val="none"/>
        </w:rPr>
        <w:t>（1）投标人声明</w:t>
      </w:r>
      <w:r>
        <w:rPr>
          <w:rFonts w:hint="eastAsia" w:ascii="宋体"/>
          <w:color w:val="auto"/>
          <w:szCs w:val="21"/>
          <w:highlight w:val="none"/>
          <w:u w:val="single"/>
        </w:rPr>
        <w:t>（按招标公告附件一的格式及内容提交）</w:t>
      </w:r>
      <w:r>
        <w:rPr>
          <w:rFonts w:hint="eastAsia" w:ascii="宋体"/>
          <w:color w:val="auto"/>
          <w:szCs w:val="21"/>
          <w:highlight w:val="none"/>
        </w:rPr>
        <w:t xml:space="preserve">； </w:t>
      </w:r>
    </w:p>
    <w:p w14:paraId="6342335B">
      <w:pPr>
        <w:spacing w:line="360" w:lineRule="auto"/>
        <w:ind w:firstLine="420" w:firstLineChars="200"/>
        <w:rPr>
          <w:rFonts w:ascii="宋体"/>
          <w:color w:val="auto"/>
          <w:szCs w:val="21"/>
          <w:highlight w:val="none"/>
        </w:rPr>
      </w:pPr>
      <w:r>
        <w:rPr>
          <w:rFonts w:hint="eastAsia" w:ascii="宋体"/>
          <w:color w:val="auto"/>
          <w:szCs w:val="21"/>
          <w:highlight w:val="none"/>
        </w:rPr>
        <w:t>（2）法定代表人证明书、法定代表人签字或盖章的本投标文件授权委托证明书</w:t>
      </w:r>
      <w:r>
        <w:rPr>
          <w:rFonts w:hint="eastAsia" w:ascii="宋体"/>
          <w:color w:val="auto"/>
          <w:szCs w:val="21"/>
          <w:highlight w:val="none"/>
          <w:u w:val="single"/>
        </w:rPr>
        <w:t>（见本招标文件第四章“技术标投标文件格式”格式五）</w:t>
      </w:r>
      <w:r>
        <w:rPr>
          <w:rFonts w:hint="eastAsia" w:ascii="宋体"/>
          <w:color w:val="auto"/>
          <w:szCs w:val="21"/>
          <w:highlight w:val="none"/>
        </w:rPr>
        <w:t>；</w:t>
      </w:r>
    </w:p>
    <w:p w14:paraId="60889F8D">
      <w:pPr>
        <w:spacing w:line="360" w:lineRule="auto"/>
        <w:ind w:firstLine="420" w:firstLineChars="200"/>
        <w:rPr>
          <w:rFonts w:ascii="宋体"/>
          <w:color w:val="auto"/>
          <w:szCs w:val="21"/>
          <w:highlight w:val="none"/>
        </w:rPr>
      </w:pPr>
      <w:r>
        <w:rPr>
          <w:rFonts w:hint="eastAsia" w:ascii="宋体"/>
          <w:color w:val="auto"/>
          <w:szCs w:val="21"/>
          <w:highlight w:val="none"/>
        </w:rPr>
        <w:t>（3）</w:t>
      </w:r>
      <w:r>
        <w:rPr>
          <w:rFonts w:hint="eastAsia" w:ascii="宋体"/>
          <w:color w:val="auto"/>
          <w:szCs w:val="21"/>
          <w:highlight w:val="none"/>
          <w:u w:val="single"/>
        </w:rPr>
        <w:t>企业营业执照扫描件或电子证照</w:t>
      </w:r>
      <w:r>
        <w:rPr>
          <w:rFonts w:hint="eastAsia" w:ascii="宋体"/>
          <w:color w:val="auto"/>
          <w:szCs w:val="21"/>
          <w:highlight w:val="none"/>
        </w:rPr>
        <w:t>；</w:t>
      </w:r>
    </w:p>
    <w:p w14:paraId="12CD88C3">
      <w:pPr>
        <w:spacing w:line="360" w:lineRule="auto"/>
        <w:ind w:firstLine="420" w:firstLineChars="200"/>
        <w:rPr>
          <w:rFonts w:ascii="宋体"/>
          <w:color w:val="auto"/>
          <w:szCs w:val="21"/>
          <w:highlight w:val="none"/>
        </w:rPr>
      </w:pPr>
      <w:r>
        <w:rPr>
          <w:rFonts w:hint="eastAsia" w:ascii="宋体"/>
          <w:color w:val="auto"/>
          <w:szCs w:val="21"/>
          <w:highlight w:val="none"/>
        </w:rPr>
        <w:t>（4）</w:t>
      </w:r>
      <w:r>
        <w:rPr>
          <w:rFonts w:hint="eastAsia" w:ascii="宋体"/>
          <w:color w:val="auto"/>
          <w:szCs w:val="21"/>
          <w:highlight w:val="none"/>
          <w:u w:val="single"/>
        </w:rPr>
        <w:t>企业资质证书扫描件或电子证照</w:t>
      </w:r>
      <w:r>
        <w:rPr>
          <w:rFonts w:hint="eastAsia" w:ascii="宋体"/>
          <w:color w:val="auto"/>
          <w:szCs w:val="21"/>
          <w:highlight w:val="none"/>
        </w:rPr>
        <w:t>；</w:t>
      </w:r>
    </w:p>
    <w:p w14:paraId="3099B6E0">
      <w:pPr>
        <w:spacing w:line="360" w:lineRule="auto"/>
        <w:ind w:firstLine="420" w:firstLineChars="200"/>
        <w:rPr>
          <w:rFonts w:ascii="宋体"/>
          <w:color w:val="auto"/>
          <w:szCs w:val="21"/>
          <w:highlight w:val="none"/>
        </w:rPr>
      </w:pPr>
      <w:r>
        <w:rPr>
          <w:rFonts w:hint="eastAsia" w:ascii="宋体"/>
          <w:color w:val="auto"/>
          <w:szCs w:val="21"/>
          <w:highlight w:val="none"/>
        </w:rPr>
        <w:t>（5）</w:t>
      </w:r>
      <w:r>
        <w:rPr>
          <w:rFonts w:hint="eastAsia" w:ascii="宋体"/>
          <w:color w:val="auto"/>
          <w:szCs w:val="21"/>
          <w:highlight w:val="none"/>
          <w:u w:val="single"/>
        </w:rPr>
        <w:t>建筑施工企业安全生产许可证扫描件或电子证照</w:t>
      </w:r>
      <w:r>
        <w:rPr>
          <w:rFonts w:hint="eastAsia" w:ascii="宋体"/>
          <w:color w:val="auto"/>
          <w:szCs w:val="21"/>
          <w:highlight w:val="none"/>
        </w:rPr>
        <w:t>；</w:t>
      </w:r>
    </w:p>
    <w:p w14:paraId="7148CB7E">
      <w:pPr>
        <w:spacing w:line="360" w:lineRule="auto"/>
        <w:ind w:firstLine="420" w:firstLineChars="200"/>
        <w:rPr>
          <w:rFonts w:ascii="宋体"/>
          <w:color w:val="auto"/>
          <w:szCs w:val="21"/>
          <w:highlight w:val="none"/>
        </w:rPr>
      </w:pPr>
      <w:r>
        <w:rPr>
          <w:rFonts w:hint="eastAsia" w:ascii="宋体"/>
          <w:color w:val="auto"/>
          <w:szCs w:val="21"/>
          <w:highlight w:val="none"/>
        </w:rPr>
        <w:t>（6）项目负责人（按网上投标登记时选择拟投标的项目负责人）；</w:t>
      </w:r>
    </w:p>
    <w:p w14:paraId="225075E5">
      <w:pPr>
        <w:spacing w:line="360" w:lineRule="auto"/>
        <w:ind w:firstLine="420" w:firstLineChars="200"/>
        <w:rPr>
          <w:rFonts w:ascii="宋体"/>
          <w:color w:val="auto"/>
          <w:szCs w:val="21"/>
          <w:highlight w:val="none"/>
        </w:rPr>
      </w:pPr>
      <w:r>
        <w:rPr>
          <w:rFonts w:hint="eastAsia" w:ascii="宋体"/>
          <w:color w:val="auto"/>
          <w:szCs w:val="21"/>
          <w:highlight w:val="none"/>
        </w:rPr>
        <w:t>（7）专职安全员（按网上投标登记时选择拟投标的专职安全员）；</w:t>
      </w:r>
    </w:p>
    <w:p w14:paraId="60BCF697">
      <w:pPr>
        <w:spacing w:line="360" w:lineRule="auto"/>
        <w:ind w:firstLine="420" w:firstLineChars="200"/>
        <w:rPr>
          <w:rFonts w:ascii="宋体"/>
          <w:color w:val="auto"/>
          <w:szCs w:val="21"/>
          <w:highlight w:val="none"/>
        </w:rPr>
      </w:pPr>
      <w:r>
        <w:rPr>
          <w:rFonts w:hint="eastAsia" w:ascii="宋体"/>
          <w:color w:val="auto"/>
          <w:szCs w:val="21"/>
          <w:highlight w:val="none"/>
        </w:rPr>
        <w:t>（8）</w:t>
      </w:r>
      <w:r>
        <w:rPr>
          <w:rFonts w:hint="eastAsia" w:ascii="宋体"/>
          <w:color w:val="auto"/>
          <w:szCs w:val="21"/>
          <w:highlight w:val="none"/>
          <w:u w:val="single"/>
        </w:rPr>
        <w:t>拟委托技术负责人的职称证书（提交原件扫描件）</w:t>
      </w:r>
      <w:r>
        <w:rPr>
          <w:rFonts w:hint="eastAsia" w:ascii="宋体"/>
          <w:color w:val="auto"/>
          <w:szCs w:val="21"/>
          <w:highlight w:val="none"/>
        </w:rPr>
        <w:t>；</w:t>
      </w:r>
    </w:p>
    <w:p w14:paraId="2289D2DA">
      <w:pPr>
        <w:spacing w:line="360" w:lineRule="auto"/>
        <w:ind w:firstLine="420" w:firstLineChars="200"/>
        <w:rPr>
          <w:rFonts w:hint="eastAsia" w:ascii="宋体"/>
          <w:color w:val="auto"/>
          <w:szCs w:val="21"/>
          <w:highlight w:val="none"/>
        </w:rPr>
      </w:pPr>
      <w:r>
        <w:rPr>
          <w:rFonts w:hint="eastAsia" w:ascii="宋体"/>
          <w:color w:val="auto"/>
          <w:szCs w:val="21"/>
          <w:highlight w:val="none"/>
        </w:rPr>
        <w:t>（9）拟委派项目负责人的建造师证书</w:t>
      </w:r>
      <w:r>
        <w:rPr>
          <w:rFonts w:hint="eastAsia" w:ascii="宋体"/>
          <w:color w:val="auto"/>
          <w:szCs w:val="21"/>
          <w:highlight w:val="none"/>
          <w:u w:val="single"/>
        </w:rPr>
        <w:t>扫描件或电子证书</w:t>
      </w:r>
      <w:r>
        <w:rPr>
          <w:rFonts w:hint="eastAsia" w:ascii="宋体"/>
          <w:color w:val="auto"/>
          <w:szCs w:val="21"/>
          <w:highlight w:val="none"/>
        </w:rPr>
        <w:t>；</w:t>
      </w:r>
    </w:p>
    <w:p w14:paraId="488D34A6">
      <w:pPr>
        <w:spacing w:line="360" w:lineRule="auto"/>
        <w:ind w:firstLine="420" w:firstLineChars="200"/>
        <w:rPr>
          <w:rFonts w:ascii="宋体"/>
          <w:color w:val="auto"/>
          <w:szCs w:val="21"/>
          <w:highlight w:val="none"/>
        </w:rPr>
      </w:pPr>
      <w:r>
        <w:rPr>
          <w:rFonts w:hint="eastAsia" w:ascii="宋体"/>
          <w:color w:val="auto"/>
          <w:szCs w:val="21"/>
          <w:highlight w:val="none"/>
        </w:rPr>
        <w:t>（10）项目负责人安全</w:t>
      </w:r>
      <w:r>
        <w:rPr>
          <w:rFonts w:ascii="宋体"/>
          <w:color w:val="auto"/>
          <w:szCs w:val="21"/>
          <w:highlight w:val="none"/>
        </w:rPr>
        <w:t>生产</w:t>
      </w:r>
      <w:r>
        <w:rPr>
          <w:rFonts w:hint="eastAsia" w:ascii="宋体"/>
          <w:color w:val="auto"/>
          <w:szCs w:val="21"/>
          <w:highlight w:val="none"/>
        </w:rPr>
        <w:t>考核合格证明或在有效期内的安全考核合格证书（B类）或建筑施工企业项目负责人安全生产考核合格证书</w:t>
      </w:r>
      <w:r>
        <w:rPr>
          <w:rFonts w:hint="eastAsia" w:ascii="宋体"/>
          <w:color w:val="auto"/>
          <w:szCs w:val="21"/>
          <w:highlight w:val="none"/>
          <w:u w:val="single"/>
        </w:rPr>
        <w:t>扫描件或电子证书</w:t>
      </w:r>
      <w:r>
        <w:rPr>
          <w:rFonts w:hint="eastAsia" w:ascii="宋体"/>
          <w:color w:val="auto"/>
          <w:szCs w:val="21"/>
          <w:highlight w:val="none"/>
        </w:rPr>
        <w:t>；</w:t>
      </w:r>
    </w:p>
    <w:p w14:paraId="672E4FDA">
      <w:pPr>
        <w:spacing w:line="360" w:lineRule="auto"/>
        <w:ind w:firstLine="420" w:firstLineChars="200"/>
        <w:rPr>
          <w:rFonts w:ascii="宋体"/>
          <w:color w:val="auto"/>
          <w:szCs w:val="21"/>
          <w:highlight w:val="none"/>
        </w:rPr>
      </w:pPr>
      <w:r>
        <w:rPr>
          <w:rFonts w:hint="eastAsia" w:ascii="宋体"/>
          <w:color w:val="auto"/>
          <w:szCs w:val="21"/>
          <w:highlight w:val="none"/>
        </w:rPr>
        <w:t>（11）专职安全员须具有在有效期内的安全考核合格证书（C类）或建筑施工企业专职安全生产管理人员安全生产考核合格证书（C3）</w:t>
      </w:r>
      <w:r>
        <w:rPr>
          <w:rFonts w:hint="eastAsia" w:ascii="宋体"/>
          <w:color w:val="auto"/>
          <w:szCs w:val="21"/>
          <w:highlight w:val="none"/>
          <w:u w:val="single"/>
        </w:rPr>
        <w:t>扫描件或电子证书</w:t>
      </w:r>
      <w:r>
        <w:rPr>
          <w:rFonts w:hint="eastAsia" w:ascii="宋体"/>
          <w:color w:val="auto"/>
          <w:szCs w:val="21"/>
          <w:highlight w:val="none"/>
        </w:rPr>
        <w:t>，</w:t>
      </w:r>
      <w:r>
        <w:rPr>
          <w:rFonts w:hint="eastAsia" w:ascii="宋体" w:hAnsi="宋体"/>
          <w:b/>
          <w:color w:val="auto"/>
          <w:szCs w:val="21"/>
          <w:highlight w:val="none"/>
          <w:u w:val="single"/>
        </w:rPr>
        <w:t>项目负责人和安全员不为同一人</w:t>
      </w:r>
      <w:r>
        <w:rPr>
          <w:rFonts w:hint="eastAsia" w:ascii="宋体"/>
          <w:color w:val="auto"/>
          <w:szCs w:val="21"/>
          <w:highlight w:val="none"/>
        </w:rPr>
        <w:t>；</w:t>
      </w:r>
    </w:p>
    <w:p w14:paraId="26D65867">
      <w:pPr>
        <w:spacing w:line="360" w:lineRule="auto"/>
        <w:ind w:firstLine="420" w:firstLineChars="200"/>
        <w:rPr>
          <w:rFonts w:ascii="宋体"/>
          <w:color w:val="auto"/>
          <w:szCs w:val="21"/>
          <w:highlight w:val="none"/>
        </w:rPr>
      </w:pPr>
      <w:r>
        <w:rPr>
          <w:rFonts w:hint="eastAsia" w:ascii="宋体"/>
          <w:color w:val="auto"/>
          <w:szCs w:val="21"/>
          <w:highlight w:val="none"/>
        </w:rPr>
        <w:t>（12）资格审查前，投标人须在广州市住房和城乡建设局建立企业信用档案，拟担任本工程项目负责人、专职安全员须是本企业信用档案中的在册人员；</w:t>
      </w:r>
    </w:p>
    <w:p w14:paraId="66DF7E7E">
      <w:pPr>
        <w:spacing w:line="360" w:lineRule="auto"/>
        <w:ind w:firstLine="420" w:firstLineChars="200"/>
        <w:rPr>
          <w:rFonts w:ascii="宋体" w:hAnsi="宋体" w:cs="宋体"/>
          <w:b/>
          <w:color w:val="auto"/>
          <w:kern w:val="0"/>
          <w:szCs w:val="21"/>
          <w:highlight w:val="none"/>
          <w:u w:val="single"/>
        </w:rPr>
      </w:pPr>
      <w:r>
        <w:rPr>
          <w:rFonts w:hint="eastAsia" w:ascii="宋体"/>
          <w:color w:val="auto"/>
          <w:szCs w:val="21"/>
          <w:highlight w:val="none"/>
        </w:rPr>
        <w:t>（13）</w:t>
      </w:r>
      <w:r>
        <w:rPr>
          <w:rFonts w:hint="eastAsia" w:ascii="宋体" w:hAnsi="宋体"/>
          <w:color w:val="auto"/>
          <w:szCs w:val="21"/>
          <w:highlight w:val="none"/>
        </w:rPr>
        <w:t>关于联合体投标：</w:t>
      </w:r>
      <w:r>
        <w:rPr>
          <w:rFonts w:hint="eastAsia" w:ascii="宋体" w:hAnsi="宋体" w:cs="宋体"/>
          <w:b/>
          <w:color w:val="auto"/>
          <w:kern w:val="0"/>
          <w:szCs w:val="21"/>
          <w:highlight w:val="none"/>
          <w:u w:val="single"/>
        </w:rPr>
        <w:t>本项目不接受联合体投标；</w:t>
      </w:r>
    </w:p>
    <w:p w14:paraId="52259151">
      <w:pPr>
        <w:pStyle w:val="7"/>
        <w:spacing w:line="360" w:lineRule="auto"/>
        <w:rPr>
          <w:rFonts w:ascii="宋体"/>
          <w:color w:val="auto"/>
          <w:kern w:val="2"/>
          <w:sz w:val="21"/>
          <w:szCs w:val="21"/>
          <w:highlight w:val="none"/>
          <w:u w:val="single"/>
        </w:rPr>
      </w:pPr>
      <w:r>
        <w:rPr>
          <w:rFonts w:hint="eastAsia" w:ascii="宋体"/>
          <w:color w:val="auto"/>
          <w:kern w:val="2"/>
          <w:sz w:val="21"/>
          <w:szCs w:val="21"/>
          <w:highlight w:val="none"/>
          <w:u w:val="single"/>
        </w:rPr>
        <w:t>（14）</w:t>
      </w:r>
      <w:r>
        <w:rPr>
          <w:rFonts w:hint="eastAsia" w:ascii="宋体" w:hAnsi="宋体"/>
          <w:color w:val="auto"/>
          <w:kern w:val="2"/>
          <w:sz w:val="21"/>
          <w:szCs w:val="21"/>
          <w:highlight w:val="none"/>
          <w:u w:val="single"/>
        </w:rPr>
        <w:t>未被列入拖欠</w:t>
      </w:r>
      <w:r>
        <w:rPr>
          <w:rFonts w:hint="eastAsia" w:ascii="宋体" w:hAnsi="宋体" w:cs="宋体"/>
          <w:bCs/>
          <w:color w:val="auto"/>
          <w:kern w:val="2"/>
          <w:sz w:val="21"/>
          <w:szCs w:val="21"/>
          <w:highlight w:val="none"/>
          <w:u w:val="single"/>
          <w:lang w:bidi="ar"/>
        </w:rPr>
        <w:t>农民工工资失信联合惩戒对象名单；</w:t>
      </w:r>
    </w:p>
    <w:p w14:paraId="19804E6E">
      <w:pPr>
        <w:pStyle w:val="7"/>
        <w:spacing w:line="360" w:lineRule="auto"/>
        <w:rPr>
          <w:rFonts w:hint="eastAsia" w:ascii="宋体"/>
          <w:color w:val="auto"/>
          <w:kern w:val="2"/>
          <w:sz w:val="21"/>
          <w:szCs w:val="21"/>
          <w:highlight w:val="none"/>
          <w:u w:val="single"/>
        </w:rPr>
      </w:pPr>
      <w:r>
        <w:rPr>
          <w:rFonts w:hint="eastAsia" w:ascii="宋体"/>
          <w:color w:val="auto"/>
          <w:kern w:val="2"/>
          <w:sz w:val="21"/>
          <w:szCs w:val="21"/>
          <w:highlight w:val="none"/>
          <w:u w:val="single"/>
        </w:rPr>
        <w:t>（15）投标人认为应提交的其他资料（如有）。</w:t>
      </w:r>
    </w:p>
    <w:p w14:paraId="08BA3524">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注：1.相关电子证书按规定需打印后手写本人签名的，应按照规定手写本人签名后再扫描提交。</w:t>
      </w:r>
    </w:p>
    <w:p w14:paraId="6A7864F4">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3457EDFE">
      <w:pPr>
        <w:spacing w:line="360" w:lineRule="auto"/>
        <w:ind w:firstLine="420" w:firstLineChars="200"/>
        <w:rPr>
          <w:rFonts w:asci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14:paraId="2D1F65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）投标人应列出该项目工程的施工组织机构构成和画出机构框架图及其负责人</w:t>
      </w:r>
      <w:r>
        <w:rPr>
          <w:rFonts w:hint="eastAsia" w:ascii="宋体" w:hAnsi="宋体"/>
          <w:color w:val="auto"/>
          <w:szCs w:val="21"/>
          <w:highlight w:val="none"/>
          <w:u w:val="single"/>
        </w:rPr>
        <w:t>（见本招标文件第四章 “技术标投标文件格式”格式六）</w:t>
      </w:r>
      <w:r>
        <w:rPr>
          <w:rFonts w:hint="eastAsia" w:ascii="宋体" w:hAnsi="宋体"/>
          <w:color w:val="auto"/>
          <w:szCs w:val="21"/>
          <w:highlight w:val="none"/>
        </w:rPr>
        <w:t>；</w:t>
      </w:r>
    </w:p>
    <w:p w14:paraId="5DA3CC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）投标人应详细列出该施工组织机构中主要成员的名单、简历资料、职务职称和在本项目中拟担任的职务等资料，并附上有关证明材料扫描件</w:t>
      </w:r>
      <w:r>
        <w:rPr>
          <w:rFonts w:hint="eastAsia" w:ascii="宋体" w:hAnsi="宋体"/>
          <w:color w:val="auto"/>
          <w:szCs w:val="21"/>
          <w:highlight w:val="none"/>
          <w:u w:val="single"/>
        </w:rPr>
        <w:t>（见本招标文件第四章“技术标投标文件格式”《主要人员简历表》格式七）；</w:t>
      </w:r>
    </w:p>
    <w:p w14:paraId="516E898A">
      <w:pPr>
        <w:pBdr>
          <w:bottom w:val="single" w:color="auto" w:sz="6" w:space="1"/>
        </w:pBdr>
        <w:spacing w:line="360" w:lineRule="auto"/>
        <w:ind w:firstLine="525" w:firstLineChars="250"/>
        <w:rPr>
          <w:rFonts w:ascii="宋体" w:hAnsi="宋体" w:cs="宋体"/>
          <w:b/>
          <w:color w:val="auto"/>
          <w:kern w:val="0"/>
          <w:szCs w:val="21"/>
          <w:highlight w:val="none"/>
          <w:u w:val="single"/>
        </w:rPr>
      </w:pPr>
      <w:r>
        <w:rPr>
          <w:rFonts w:hint="eastAsia" w:ascii="宋体" w:hAnsi="宋体"/>
          <w:color w:val="auto"/>
          <w:szCs w:val="21"/>
          <w:highlight w:val="none"/>
        </w:rPr>
        <w:t>（3）其他辅助说明资料</w:t>
      </w:r>
      <w:r>
        <w:rPr>
          <w:rFonts w:hint="eastAsia" w:hAnsi="宋体"/>
          <w:color w:val="auto"/>
          <w:szCs w:val="24"/>
          <w:highlight w:val="none"/>
          <w:u w:val="single"/>
        </w:rPr>
        <w:t>（包含但不限于）：需提供投标人在投标登记时，在交易系统中按《施工项目管理团队人员信息表》（详见招标公告附件二）填写的网页截图</w:t>
      </w:r>
      <w:r>
        <w:rPr>
          <w:rFonts w:hint="eastAsia" w:ascii="宋体" w:hAnsi="宋体"/>
          <w:color w:val="auto"/>
          <w:szCs w:val="21"/>
          <w:highlight w:val="none"/>
        </w:rPr>
        <w:t>。</w:t>
      </w:r>
    </w:p>
    <w:p w14:paraId="781A9622">
      <w:pPr>
        <w:pBdr>
          <w:bottom w:val="single" w:color="auto" w:sz="6" w:space="1"/>
        </w:pBd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11.2.4</w:t>
      </w:r>
      <w:r>
        <w:rPr>
          <w:rFonts w:hint="eastAsia" w:hAnsi="宋体"/>
          <w:color w:val="auto"/>
          <w:szCs w:val="24"/>
          <w:highlight w:val="none"/>
          <w:u w:val="single"/>
        </w:rPr>
        <w:t>已竣工验收的类似工程业绩表（见本招标文件第四章“技术标投标文件格式”格式八）。</w:t>
      </w:r>
    </w:p>
    <w:p w14:paraId="341AD4D6">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rPr>
        <w:t>11.2.5</w:t>
      </w:r>
      <w:r>
        <w:rPr>
          <w:rFonts w:hint="eastAsia" w:ascii="宋体" w:hAnsi="宋体"/>
          <w:color w:val="auto"/>
          <w:szCs w:val="21"/>
          <w:highlight w:val="none"/>
          <w:u w:val="single"/>
        </w:rPr>
        <w:t>按照招标文件要求填写的《参与编制技术标投标文件人员名单》（见本招标文件第四章 “技术标投标文件格式”格式九）。</w:t>
      </w:r>
    </w:p>
    <w:p w14:paraId="68F857DC">
      <w:pPr>
        <w:pBdr>
          <w:bottom w:val="single" w:color="auto" w:sz="6" w:space="1"/>
        </w:pBdr>
        <w:spacing w:line="360" w:lineRule="auto"/>
        <w:ind w:firstLine="525" w:firstLineChars="250"/>
        <w:rPr>
          <w:color w:val="auto"/>
          <w:szCs w:val="21"/>
          <w:highlight w:val="none"/>
        </w:rPr>
      </w:pPr>
      <w:r>
        <w:rPr>
          <w:rFonts w:ascii="宋体" w:hAnsi="宋体"/>
          <w:color w:val="auto"/>
          <w:szCs w:val="21"/>
          <w:highlight w:val="none"/>
        </w:rPr>
        <w:t>11.2.</w:t>
      </w:r>
      <w:r>
        <w:rPr>
          <w:rFonts w:hint="eastAsia" w:ascii="宋体" w:hAnsi="宋体"/>
          <w:color w:val="auto"/>
          <w:szCs w:val="21"/>
          <w:highlight w:val="none"/>
        </w:rPr>
        <w:t>6</w:t>
      </w:r>
      <w:r>
        <w:rPr>
          <w:rFonts w:hint="eastAsia" w:ascii="宋体" w:hAnsi="宋体"/>
          <w:color w:val="auto"/>
          <w:szCs w:val="21"/>
          <w:highlight w:val="none"/>
          <w:u w:val="single"/>
        </w:rPr>
        <w:t>按照招标文件要求填写的《危险性较大的分部分项工程清单及超过一定规模的危险性较大的分部分项工程清单》（见本招标文件第四章“投标文件格式”格式十）。</w:t>
      </w:r>
    </w:p>
    <w:p w14:paraId="3B212EC1">
      <w:pPr>
        <w:pBdr>
          <w:bottom w:val="single" w:color="auto" w:sz="6" w:space="1"/>
        </w:pBdr>
        <w:spacing w:line="360" w:lineRule="auto"/>
        <w:ind w:firstLine="525" w:firstLineChars="250"/>
        <w:rPr>
          <w:rFonts w:hint="eastAsia" w:ascii="宋体" w:hAnsi="宋体"/>
          <w:color w:val="auto"/>
          <w:szCs w:val="21"/>
          <w:highlight w:val="none"/>
          <w:u w:val="single"/>
          <w:lang w:val="en-US" w:eastAsia="zh-CN"/>
        </w:rPr>
      </w:pPr>
      <w:r>
        <w:rPr>
          <w:rFonts w:hint="eastAsia" w:ascii="宋体" w:hAnsi="宋体"/>
          <w:color w:val="auto"/>
          <w:szCs w:val="21"/>
          <w:highlight w:val="none"/>
          <w:u w:val="none"/>
        </w:rPr>
        <w:t>11.2.7</w:t>
      </w:r>
      <w:r>
        <w:rPr>
          <w:rFonts w:hint="eastAsia" w:ascii="宋体" w:hAnsi="宋体"/>
          <w:color w:val="auto"/>
          <w:szCs w:val="21"/>
          <w:highlight w:val="none"/>
          <w:u w:val="single"/>
          <w:lang w:val="en-US" w:eastAsia="zh-CN"/>
        </w:rPr>
        <w:t>施工组织设计（不超过150页，超过部分不予评审）。</w:t>
      </w:r>
    </w:p>
    <w:p w14:paraId="5AC072F1">
      <w:pPr>
        <w:pBdr>
          <w:bottom w:val="single" w:color="auto" w:sz="6" w:space="1"/>
        </w:pBdr>
        <w:spacing w:line="360" w:lineRule="auto"/>
        <w:ind w:firstLine="525" w:firstLineChars="250"/>
        <w:rPr>
          <w:rFonts w:hint="default" w:ascii="宋体" w:hAnsi="宋体"/>
          <w:color w:val="auto"/>
          <w:szCs w:val="21"/>
          <w:highlight w:val="none"/>
          <w:u w:val="single"/>
          <w:lang w:val="en-US" w:eastAsia="zh-CN"/>
        </w:rPr>
      </w:pPr>
      <w:r>
        <w:rPr>
          <w:rFonts w:hint="default" w:ascii="宋体" w:hAnsi="宋体"/>
          <w:color w:val="auto"/>
          <w:szCs w:val="21"/>
          <w:highlight w:val="none"/>
          <w:u w:val="single"/>
          <w:lang w:val="en-US" w:eastAsia="zh-CN"/>
        </w:rPr>
        <w:t>（1）投标人在编制施工组织设计或施工方案时应按照招标人提出的施工现场建筑垃圾源头减量的具体要求以及建筑垃圾综合利用产品的使用要求提供相应措施。</w:t>
      </w:r>
    </w:p>
    <w:p w14:paraId="0ABFC6CE">
      <w:pPr>
        <w:pBdr>
          <w:bottom w:val="single" w:color="auto" w:sz="6" w:space="1"/>
        </w:pBdr>
        <w:spacing w:line="360" w:lineRule="auto"/>
        <w:ind w:firstLine="525" w:firstLineChars="250"/>
        <w:rPr>
          <w:rFonts w:hint="default" w:ascii="宋体" w:hAnsi="宋体"/>
          <w:color w:val="auto"/>
          <w:szCs w:val="21"/>
          <w:highlight w:val="none"/>
          <w:u w:val="single"/>
          <w:lang w:val="en-US" w:eastAsia="zh-CN"/>
        </w:rPr>
      </w:pPr>
      <w:r>
        <w:rPr>
          <w:rFonts w:hint="default" w:ascii="宋体" w:hAnsi="宋体"/>
          <w:color w:val="auto"/>
          <w:szCs w:val="21"/>
          <w:highlight w:val="none"/>
          <w:u w:val="single"/>
          <w:lang w:val="en-US" w:eastAsia="zh-CN"/>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超过部分不予评审。</w:t>
      </w:r>
    </w:p>
    <w:p w14:paraId="1A5C1686">
      <w:pPr>
        <w:pBdr>
          <w:bottom w:val="single" w:color="auto" w:sz="6" w:space="1"/>
        </w:pBdr>
        <w:spacing w:line="360" w:lineRule="auto"/>
        <w:ind w:firstLine="525" w:firstLineChars="250"/>
        <w:rPr>
          <w:color w:val="auto"/>
          <w:szCs w:val="21"/>
          <w:highlight w:val="none"/>
        </w:rPr>
      </w:pPr>
      <w:r>
        <w:rPr>
          <w:rFonts w:hint="eastAsia" w:ascii="宋体" w:hAnsi="宋体"/>
          <w:color w:val="auto"/>
          <w:szCs w:val="21"/>
          <w:highlight w:val="none"/>
          <w:u w:val="none"/>
          <w:lang w:val="en-US" w:eastAsia="zh-CN"/>
        </w:rPr>
        <w:t>11.2.8</w:t>
      </w:r>
      <w:r>
        <w:rPr>
          <w:rFonts w:hint="eastAsia" w:ascii="宋体" w:hAnsi="宋体"/>
          <w:color w:val="auto"/>
          <w:szCs w:val="21"/>
          <w:highlight w:val="none"/>
          <w:u w:val="single"/>
        </w:rPr>
        <w:t>投标人认为应该提供的其他资料（如有）。</w:t>
      </w:r>
    </w:p>
    <w:p w14:paraId="27A4DC3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条款号：11.3.3</w:t>
      </w:r>
      <w:r>
        <w:rPr>
          <w:rFonts w:ascii="宋体" w:hAnsi="宋体"/>
          <w:b/>
          <w:color w:val="auto"/>
          <w:szCs w:val="21"/>
          <w:highlight w:val="none"/>
        </w:rPr>
        <w:t xml:space="preserve">          </w:t>
      </w:r>
      <w:r>
        <w:rPr>
          <w:rFonts w:hint="eastAsia" w:ascii="宋体" w:hAnsi="宋体"/>
          <w:b/>
          <w:color w:val="auto"/>
          <w:szCs w:val="21"/>
          <w:highlight w:val="none"/>
        </w:rPr>
        <w:t xml:space="preserve">  修改类型：修改</w:t>
      </w:r>
    </w:p>
    <w:p w14:paraId="5CFCF701">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14:paraId="46272975">
      <w:pPr>
        <w:pBdr>
          <w:bottom w:val="single" w:color="auto" w:sz="6" w:space="1"/>
        </w:pBdr>
        <w:spacing w:line="360" w:lineRule="auto"/>
        <w:ind w:firstLine="422" w:firstLineChars="200"/>
        <w:rPr>
          <w:rFonts w:ascii="宋体" w:hAnsi="宋体"/>
          <w:bCs/>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11.3.3</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r>
        <w:rPr>
          <w:rFonts w:hint="eastAsia" w:ascii="宋体" w:hAnsi="宋体"/>
          <w:bCs/>
          <w:color w:val="auto"/>
          <w:szCs w:val="21"/>
          <w:highlight w:val="none"/>
          <w:u w:val="single"/>
        </w:rPr>
        <w:t>（须按招标文件第四章 “经济标投标文件格式”格式三）。</w:t>
      </w:r>
    </w:p>
    <w:p w14:paraId="03A04BA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条款号：11.3.5</w:t>
      </w:r>
      <w:r>
        <w:rPr>
          <w:rFonts w:ascii="宋体" w:hAnsi="宋体"/>
          <w:b/>
          <w:color w:val="auto"/>
          <w:szCs w:val="21"/>
          <w:highlight w:val="none"/>
        </w:rPr>
        <w:t xml:space="preserve">          </w:t>
      </w:r>
      <w:r>
        <w:rPr>
          <w:rFonts w:hint="eastAsia" w:ascii="宋体" w:hAnsi="宋体"/>
          <w:b/>
          <w:color w:val="auto"/>
          <w:szCs w:val="21"/>
          <w:highlight w:val="none"/>
        </w:rPr>
        <w:t xml:space="preserve">   修改类型：增加</w:t>
      </w:r>
    </w:p>
    <w:p w14:paraId="79B64C4D">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u w:val="single"/>
        </w:rPr>
        <w:t>《</w:t>
      </w:r>
      <w:r>
        <w:rPr>
          <w:rFonts w:hint="eastAsia" w:ascii="宋体" w:hAnsi="宋体"/>
          <w:bCs/>
          <w:color w:val="auto"/>
          <w:szCs w:val="21"/>
          <w:highlight w:val="none"/>
          <w:u w:val="single"/>
        </w:rPr>
        <w:t>对投标文件编制的承诺</w:t>
      </w:r>
      <w:r>
        <w:rPr>
          <w:rFonts w:hint="eastAsia" w:ascii="宋体" w:hAnsi="宋体"/>
          <w:color w:val="auto"/>
          <w:szCs w:val="21"/>
          <w:highlight w:val="none"/>
          <w:u w:val="single"/>
        </w:rPr>
        <w:t>》</w:t>
      </w:r>
      <w:r>
        <w:rPr>
          <w:rFonts w:hint="eastAsia" w:ascii="宋体" w:hAnsi="宋体"/>
          <w:bCs/>
          <w:color w:val="auto"/>
          <w:szCs w:val="21"/>
          <w:highlight w:val="none"/>
          <w:u w:val="single"/>
        </w:rPr>
        <w:t>（须按招标文件第四章 “经济标投标文件格式”格式四</w:t>
      </w:r>
      <w:r>
        <w:rPr>
          <w:rFonts w:hint="eastAsia" w:ascii="宋体" w:hAnsi="宋体"/>
          <w:bCs/>
          <w:color w:val="auto"/>
          <w:szCs w:val="21"/>
          <w:highlight w:val="none"/>
        </w:rPr>
        <w:t>）</w:t>
      </w:r>
    </w:p>
    <w:p w14:paraId="5F387E62">
      <w:pPr>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条款号：12.1              修改类型：修改</w:t>
      </w:r>
    </w:p>
    <w:p w14:paraId="06D38068">
      <w:pPr>
        <w:pBdr>
          <w:bottom w:val="single" w:color="auto" w:sz="6" w:space="1"/>
        </w:pBdr>
        <w:tabs>
          <w:tab w:val="left" w:pos="1125"/>
        </w:tabs>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投标文件包括本须知第11条中规定的内容，投标人提交的投标文件应当使用招标文件所提供的投标文件全部格式（表格可以按同样格式扩展）。</w:t>
      </w:r>
    </w:p>
    <w:p w14:paraId="6894B0C7">
      <w:pPr>
        <w:pBdr>
          <w:bottom w:val="single" w:color="auto" w:sz="6" w:space="1"/>
        </w:pBdr>
        <w:tabs>
          <w:tab w:val="left" w:pos="1125"/>
        </w:tabs>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12.1</w:t>
      </w:r>
      <w:r>
        <w:rPr>
          <w:rFonts w:hint="eastAsia" w:ascii="宋体" w:hAnsi="宋体"/>
          <w:color w:val="auto"/>
          <w:szCs w:val="21"/>
          <w:highlight w:val="none"/>
        </w:rPr>
        <w:t>投标文件包括本须知第11条中规定的内容</w:t>
      </w:r>
      <w:r>
        <w:rPr>
          <w:rFonts w:hint="eastAsia" w:ascii="宋体" w:hAnsi="宋体"/>
          <w:color w:val="auto"/>
          <w:szCs w:val="21"/>
          <w:highlight w:val="none"/>
          <w:u w:val="single"/>
        </w:rPr>
        <w:t>，投标文件格式按招标文件第四章《投标文件格式》。其中：技术标格式二、格式三、格式九、格式十和经济标格式二、格式三、格式四必须按招标文件规定的格式进行编制外，其余格式仅供参考。</w:t>
      </w:r>
    </w:p>
    <w:p w14:paraId="3C4BBF8B">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12.2             </w:t>
      </w:r>
      <w:r>
        <w:rPr>
          <w:rFonts w:hint="eastAsia"/>
          <w:b/>
          <w:color w:val="auto"/>
          <w:szCs w:val="21"/>
          <w:highlight w:val="none"/>
        </w:rPr>
        <w:t>修改类型：修改</w:t>
      </w:r>
    </w:p>
    <w:p w14:paraId="609E1D61">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12.2 </w:t>
      </w:r>
      <w:r>
        <w:rPr>
          <w:rFonts w:hint="eastAsia" w:ascii="宋体" w:hAnsi="宋体"/>
          <w:color w:val="auto"/>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Cs w:val="21"/>
          <w:highlight w:val="none"/>
        </w:rPr>
        <w:t>全流程电子化项目的相关指南进行操作。详见：</w:t>
      </w:r>
      <w:r>
        <w:rPr>
          <w:color w:val="auto"/>
          <w:szCs w:val="21"/>
          <w:highlight w:val="none"/>
          <w:u w:val="single"/>
        </w:rPr>
        <w:t xml:space="preserve">      </w:t>
      </w:r>
      <w:r>
        <w:rPr>
          <w:rFonts w:hint="eastAsia"/>
          <w:color w:val="auto"/>
          <w:szCs w:val="21"/>
          <w:highlight w:val="none"/>
        </w:rPr>
        <w:t>。</w:t>
      </w:r>
    </w:p>
    <w:p w14:paraId="398994D4">
      <w:pPr>
        <w:spacing w:line="360" w:lineRule="auto"/>
        <w:ind w:firstLine="422" w:firstLineChars="200"/>
        <w:rPr>
          <w:rFonts w:hint="eastAsia"/>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12.2</w:t>
      </w:r>
      <w:r>
        <w:rPr>
          <w:rFonts w:hint="eastAsia"/>
          <w:color w:val="auto"/>
          <w:szCs w:val="21"/>
          <w:highlight w:val="none"/>
        </w:rPr>
        <w:t>投标文件全部采用电子文档，投标文件所附证书证件均为清晰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Cs w:val="21"/>
          <w:highlight w:val="none"/>
          <w:u w:val="single"/>
        </w:rPr>
        <w:t>《建设工程全流程电子化项目操作指南》</w:t>
      </w:r>
      <w:r>
        <w:rPr>
          <w:rFonts w:hint="eastAsia"/>
          <w:color w:val="auto"/>
          <w:szCs w:val="21"/>
          <w:highlight w:val="none"/>
        </w:rPr>
        <w:t>。</w:t>
      </w:r>
    </w:p>
    <w:p w14:paraId="5D2E6DF7">
      <w:pPr>
        <w:spacing w:line="360" w:lineRule="auto"/>
        <w:ind w:firstLine="422" w:firstLineChars="200"/>
        <w:rPr>
          <w:rFonts w:hint="eastAsia"/>
          <w:b/>
          <w:bCs/>
          <w:color w:val="auto"/>
          <w:szCs w:val="21"/>
          <w:highlight w:val="none"/>
          <w:u w:val="single"/>
        </w:rPr>
      </w:pPr>
      <w:r>
        <w:rPr>
          <w:rFonts w:hint="eastAsia"/>
          <w:b/>
          <w:bCs/>
          <w:color w:val="auto"/>
          <w:szCs w:val="21"/>
          <w:highlight w:val="none"/>
          <w:u w:val="single"/>
        </w:rPr>
        <w:t>注释：投标文件电子文档需要投标人单位盖章的材料，投标人加盖电子印章即可，不得将投标人未对电子文档加盖实物印章作为否决投标的情形。</w:t>
      </w:r>
    </w:p>
    <w:p w14:paraId="680810A4">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12.3</w:t>
      </w:r>
      <w:r>
        <w:rPr>
          <w:rFonts w:hint="eastAsia"/>
          <w:b/>
          <w:color w:val="auto"/>
          <w:szCs w:val="21"/>
          <w:highlight w:val="none"/>
        </w:rPr>
        <w:t xml:space="preserve">             修改类型：修改</w:t>
      </w:r>
    </w:p>
    <w:p w14:paraId="09C8698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color w:val="auto"/>
          <w:szCs w:val="21"/>
          <w:highlight w:val="none"/>
          <w:u w:val="single"/>
        </w:rPr>
        <w:t xml:space="preserve">  </w:t>
      </w:r>
      <w:r>
        <w:rPr>
          <w:rFonts w:hint="eastAsia" w:ascii="宋体" w:hAnsi="宋体"/>
          <w:color w:val="auto"/>
          <w:szCs w:val="21"/>
          <w:highlight w:val="none"/>
        </w:rPr>
        <w:t>。</w:t>
      </w:r>
    </w:p>
    <w:p w14:paraId="63979140">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ascii="宋体"/>
          <w:color w:val="auto"/>
          <w:szCs w:val="21"/>
          <w:highlight w:val="none"/>
          <w:u w:val="single"/>
        </w:rPr>
        <w:t xml:space="preserve">《建设工程全流程电子化项目操作指南》 </w:t>
      </w:r>
      <w:r>
        <w:rPr>
          <w:rFonts w:hint="eastAsia" w:ascii="宋体" w:hAnsi="宋体"/>
          <w:color w:val="auto"/>
          <w:szCs w:val="21"/>
          <w:highlight w:val="none"/>
        </w:rPr>
        <w:t>。</w:t>
      </w:r>
      <w:r>
        <w:rPr>
          <w:rFonts w:ascii="宋体" w:hAnsi="宋体"/>
          <w:color w:val="auto"/>
          <w:szCs w:val="21"/>
          <w:highlight w:val="none"/>
        </w:rPr>
        <w:t xml:space="preserve"> </w:t>
      </w:r>
    </w:p>
    <w:p w14:paraId="67195536">
      <w:pPr>
        <w:pBdr>
          <w:top w:val="single" w:color="auto" w:sz="4" w:space="1"/>
        </w:pBdr>
        <w:spacing w:line="480" w:lineRule="auto"/>
        <w:ind w:firstLine="472" w:firstLineChars="224"/>
        <w:rPr>
          <w:rFonts w:ascii="宋体" w:hAnsi="宋体"/>
          <w:b/>
          <w:color w:val="auto"/>
          <w:szCs w:val="21"/>
          <w:highlight w:val="none"/>
        </w:rPr>
      </w:pPr>
      <w:r>
        <w:rPr>
          <w:rFonts w:hint="eastAsia" w:ascii="宋体" w:hAnsi="宋体"/>
          <w:b/>
          <w:color w:val="auto"/>
          <w:szCs w:val="21"/>
          <w:highlight w:val="none"/>
        </w:rPr>
        <w:t>条款号：13.1             修改类型：修改</w:t>
      </w:r>
    </w:p>
    <w:p w14:paraId="537C34A0">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项所规定的方式。投标报价（含单价及总价）精确到“分”。</w:t>
      </w:r>
    </w:p>
    <w:p w14:paraId="0A859B32">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13.1 </w:t>
      </w:r>
      <w:r>
        <w:rPr>
          <w:rFonts w:hint="eastAsia" w:ascii="宋体" w:hAnsi="宋体"/>
          <w:color w:val="auto"/>
          <w:szCs w:val="21"/>
          <w:highlight w:val="none"/>
        </w:rPr>
        <w:t>本工程的投标报价采用投标须知前附表第</w:t>
      </w:r>
      <w:r>
        <w:rPr>
          <w:rFonts w:ascii="宋体" w:hAnsi="宋体"/>
          <w:color w:val="auto"/>
          <w:szCs w:val="21"/>
          <w:highlight w:val="none"/>
        </w:rPr>
        <w:t>12</w:t>
      </w:r>
      <w:r>
        <w:rPr>
          <w:rFonts w:hint="eastAsia" w:ascii="宋体" w:hAnsi="宋体"/>
          <w:color w:val="auto"/>
          <w:szCs w:val="21"/>
          <w:highlight w:val="none"/>
        </w:rPr>
        <w:t>项所规定的方式。</w:t>
      </w:r>
      <w:r>
        <w:rPr>
          <w:rFonts w:hint="eastAsia" w:ascii="宋体" w:hAnsi="宋体"/>
          <w:color w:val="auto"/>
          <w:szCs w:val="21"/>
          <w:highlight w:val="none"/>
          <w:u w:val="single"/>
        </w:rPr>
        <w:t>投标文件中的大写金额和小写金额不一致的，以大写金额为准。</w:t>
      </w:r>
      <w:r>
        <w:rPr>
          <w:rFonts w:hint="eastAsia" w:ascii="宋体" w:hAnsi="宋体"/>
          <w:color w:val="auto"/>
          <w:szCs w:val="21"/>
          <w:highlight w:val="none"/>
        </w:rPr>
        <w:t>投标报价（含单价及总价）精确到“分”。</w:t>
      </w:r>
    </w:p>
    <w:p w14:paraId="7E22DBC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 </w:t>
      </w:r>
      <w:r>
        <w:rPr>
          <w:rFonts w:hint="eastAsia" w:ascii="宋体" w:hAnsi="宋体"/>
          <w:b/>
          <w:color w:val="auto"/>
          <w:szCs w:val="21"/>
          <w:highlight w:val="none"/>
        </w:rPr>
        <w:t>13.4</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3A30AD83">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9D63B40">
      <w:pPr>
        <w:spacing w:line="360" w:lineRule="auto"/>
        <w:ind w:firstLine="422" w:firstLineChars="200"/>
        <w:rPr>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olor w:val="auto"/>
          <w:szCs w:val="21"/>
          <w:highlight w:val="none"/>
          <w:u w:val="single"/>
        </w:rPr>
        <w:t>按合同条款相关约定调整。</w:t>
      </w:r>
    </w:p>
    <w:p w14:paraId="27BE1395">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13.5  13.5.1  13.5.2  13.5.3  13.5.4</w:t>
      </w:r>
      <w:r>
        <w:rPr>
          <w:rFonts w:hint="eastAsia"/>
          <w:b/>
          <w:color w:val="auto"/>
          <w:szCs w:val="21"/>
          <w:highlight w:val="none"/>
        </w:rPr>
        <w:t xml:space="preserve">             修改类型：修改</w:t>
      </w:r>
    </w:p>
    <w:p w14:paraId="7ECF8BDF">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13.5工程项目实施期间……，中标后双方协商约定。</w:t>
      </w:r>
    </w:p>
    <w:p w14:paraId="3129FED0">
      <w:pPr>
        <w:pBdr>
          <w:bottom w:val="single" w:color="auto" w:sz="6" w:space="1"/>
        </w:pBdr>
        <w:spacing w:line="360" w:lineRule="auto"/>
        <w:ind w:firstLine="527" w:firstLineChars="250"/>
        <w:rPr>
          <w:color w:val="auto"/>
          <w:szCs w:val="21"/>
          <w:highlight w:val="none"/>
          <w:u w:val="single"/>
        </w:rPr>
      </w:pPr>
      <w:r>
        <w:rPr>
          <w:rFonts w:hint="eastAsia"/>
          <w:b/>
          <w:color w:val="auto"/>
          <w:szCs w:val="21"/>
          <w:highlight w:val="none"/>
        </w:rPr>
        <w:t>现文：</w:t>
      </w:r>
      <w:r>
        <w:rPr>
          <w:rFonts w:hint="eastAsia"/>
          <w:color w:val="auto"/>
          <w:szCs w:val="21"/>
          <w:highlight w:val="none"/>
        </w:rPr>
        <w:t>13.5</w:t>
      </w:r>
      <w:r>
        <w:rPr>
          <w:rFonts w:hint="eastAsia"/>
          <w:color w:val="auto"/>
          <w:szCs w:val="21"/>
          <w:highlight w:val="none"/>
          <w:u w:val="single"/>
        </w:rPr>
        <w:t>变更结算方式按招标文件及施工合同相关规定执行。</w:t>
      </w:r>
    </w:p>
    <w:p w14:paraId="0BDDEB3C">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13</w:t>
      </w:r>
      <w:r>
        <w:rPr>
          <w:rFonts w:hint="eastAsia"/>
          <w:b/>
          <w:color w:val="auto"/>
          <w:szCs w:val="21"/>
          <w:highlight w:val="none"/>
        </w:rPr>
        <w:t>.8             修改类型：修改</w:t>
      </w:r>
    </w:p>
    <w:p w14:paraId="11B3BE52">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31BD30CD">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w:t>
      </w:r>
    </w:p>
    <w:p w14:paraId="3E58C494">
      <w:pPr>
        <w:spacing w:line="360" w:lineRule="auto"/>
        <w:ind w:firstLine="422" w:firstLineChars="200"/>
        <w:rPr>
          <w:b/>
          <w:color w:val="auto"/>
          <w:szCs w:val="21"/>
          <w:highlight w:val="none"/>
        </w:rPr>
      </w:pPr>
      <w:r>
        <w:rPr>
          <w:rFonts w:hint="eastAsia"/>
          <w:b/>
          <w:color w:val="auto"/>
          <w:szCs w:val="21"/>
          <w:highlight w:val="none"/>
        </w:rPr>
        <w:t>条款号：15.2             修改类型：修改</w:t>
      </w:r>
    </w:p>
    <w:p w14:paraId="33653DA6">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ascii="宋体" w:hAnsi="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0F45799A">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15.2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7265F198">
      <w:pPr>
        <w:spacing w:line="360" w:lineRule="auto"/>
        <w:ind w:firstLine="422" w:firstLineChars="200"/>
        <w:rPr>
          <w:b/>
          <w:color w:val="auto"/>
          <w:szCs w:val="21"/>
          <w:highlight w:val="none"/>
        </w:rPr>
      </w:pPr>
      <w:r>
        <w:rPr>
          <w:rFonts w:hint="eastAsia"/>
          <w:b/>
          <w:color w:val="auto"/>
          <w:szCs w:val="21"/>
          <w:highlight w:val="none"/>
        </w:rPr>
        <w:t>条款号：16             修改类型：修改</w:t>
      </w:r>
    </w:p>
    <w:p w14:paraId="1924A271">
      <w:pPr>
        <w:spacing w:line="360" w:lineRule="auto"/>
        <w:ind w:firstLine="422" w:firstLineChars="200"/>
        <w:rPr>
          <w:rFonts w:ascii="宋体"/>
          <w:b/>
          <w:bCs/>
          <w:color w:val="auto"/>
          <w:szCs w:val="21"/>
          <w:highlight w:val="none"/>
        </w:rPr>
      </w:pPr>
      <w:r>
        <w:rPr>
          <w:rFonts w:hint="eastAsia"/>
          <w:b/>
          <w:color w:val="auto"/>
          <w:szCs w:val="21"/>
          <w:highlight w:val="none"/>
        </w:rPr>
        <w:t>原文：</w:t>
      </w:r>
      <w:r>
        <w:rPr>
          <w:rFonts w:ascii="宋体" w:hAnsi="宋体"/>
          <w:b/>
          <w:bCs/>
          <w:color w:val="auto"/>
          <w:szCs w:val="21"/>
          <w:highlight w:val="none"/>
        </w:rPr>
        <w:t>16</w:t>
      </w:r>
      <w:r>
        <w:rPr>
          <w:rFonts w:hint="eastAsia" w:ascii="宋体" w:hAnsi="宋体"/>
          <w:b/>
          <w:bCs/>
          <w:color w:val="auto"/>
          <w:szCs w:val="21"/>
          <w:highlight w:val="none"/>
        </w:rPr>
        <w:t>．投标保证金</w:t>
      </w:r>
    </w:p>
    <w:p w14:paraId="32349555">
      <w:pPr>
        <w:spacing w:line="360" w:lineRule="auto"/>
        <w:ind w:firstLine="420" w:firstLineChars="200"/>
        <w:rPr>
          <w:color w:val="auto"/>
          <w:szCs w:val="21"/>
          <w:highlight w:val="none"/>
        </w:rPr>
      </w:pPr>
      <w:r>
        <w:rPr>
          <w:rFonts w:hint="eastAsia"/>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14:paraId="3CB3CDBC">
      <w:pPr>
        <w:spacing w:line="360" w:lineRule="auto"/>
        <w:ind w:firstLine="420" w:firstLineChars="200"/>
        <w:rPr>
          <w:color w:val="auto"/>
          <w:szCs w:val="21"/>
          <w:highlight w:val="none"/>
        </w:rPr>
      </w:pPr>
      <w:r>
        <w:rPr>
          <w:rFonts w:hint="eastAsia"/>
          <w:color w:val="auto"/>
          <w:szCs w:val="21"/>
          <w:highlight w:val="none"/>
        </w:rPr>
        <w:t>16.1.1 采用现金或者支票形式提交的，投标保证金须从投标人的银行基本账户转出。</w:t>
      </w:r>
    </w:p>
    <w:p w14:paraId="2987BF3F">
      <w:pPr>
        <w:spacing w:line="360" w:lineRule="auto"/>
        <w:ind w:firstLine="420" w:firstLineChars="200"/>
        <w:rPr>
          <w:color w:val="auto"/>
          <w:szCs w:val="21"/>
          <w:highlight w:val="none"/>
        </w:rPr>
      </w:pPr>
      <w:r>
        <w:rPr>
          <w:rFonts w:hint="eastAsia"/>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0FD261DA">
      <w:pPr>
        <w:spacing w:line="360" w:lineRule="auto"/>
        <w:ind w:firstLine="420" w:firstLineChars="200"/>
        <w:rPr>
          <w:color w:val="auto"/>
          <w:szCs w:val="21"/>
          <w:highlight w:val="none"/>
        </w:rPr>
      </w:pPr>
      <w:r>
        <w:rPr>
          <w:rFonts w:hint="eastAsia"/>
          <w:color w:val="auto"/>
          <w:szCs w:val="21"/>
          <w:highlight w:val="none"/>
        </w:rPr>
        <w:t>16.1.3 采用电子形式的保函、担保或保证保险提交投标保证金的，应在招标文件中明确电子递交途径。</w:t>
      </w:r>
    </w:p>
    <w:p w14:paraId="7013334D">
      <w:pPr>
        <w:spacing w:line="360" w:lineRule="auto"/>
        <w:ind w:firstLine="420" w:firstLineChars="200"/>
        <w:rPr>
          <w:color w:val="auto"/>
          <w:szCs w:val="21"/>
          <w:highlight w:val="none"/>
        </w:rPr>
      </w:pPr>
      <w:r>
        <w:rPr>
          <w:rFonts w:hint="eastAsia"/>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2171E3BA">
      <w:pPr>
        <w:spacing w:line="360" w:lineRule="auto"/>
        <w:ind w:firstLine="420" w:firstLineChars="200"/>
        <w:rPr>
          <w:color w:val="auto"/>
          <w:szCs w:val="21"/>
          <w:highlight w:val="none"/>
        </w:rPr>
      </w:pPr>
      <w:r>
        <w:rPr>
          <w:rFonts w:hint="eastAsia"/>
          <w:color w:val="auto"/>
          <w:szCs w:val="21"/>
          <w:highlight w:val="none"/>
        </w:rPr>
        <w:t>16.3投标保证金应依据法律法规的相关规定退还。</w:t>
      </w:r>
    </w:p>
    <w:p w14:paraId="7BE11726">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如有下列情况之一的，招标人可以不予退还投标保证金（是否退还投标保证金由招标人在招标文件中规定）：</w:t>
      </w:r>
    </w:p>
    <w:p w14:paraId="28B1511E">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.1因投标人原因造成投标文件未解密的；</w:t>
      </w:r>
    </w:p>
    <w:p w14:paraId="5113D7F5">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.2投标人在投标有效期内撤销投标文件；</w:t>
      </w:r>
    </w:p>
    <w:p w14:paraId="38CCCBF7">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.3中标人未能在规定期限内按要求提交履约担保；</w:t>
      </w:r>
    </w:p>
    <w:p w14:paraId="1F09212F">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4</w:t>
      </w:r>
      <w:r>
        <w:rPr>
          <w:rFonts w:hint="eastAsia"/>
          <w:color w:val="auto"/>
          <w:szCs w:val="21"/>
          <w:highlight w:val="none"/>
        </w:rPr>
        <w:t>.4中标人未能在规定期限内签署合同协议。</w:t>
      </w:r>
    </w:p>
    <w:p w14:paraId="05A9B1A3">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投标人如存在下列情况之一的，将被拒绝在一定时期内参与招标人后续工程投标（拒绝时限需在招标文件中明确）：</w:t>
      </w:r>
    </w:p>
    <w:p w14:paraId="4B2810ED">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.1投标人存在 16.4 条款所列情形且投标人提交的保函、担保或保证保险无法兑付的；</w:t>
      </w:r>
    </w:p>
    <w:p w14:paraId="0D6FA0C1">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.2采用非电子形式提交投标保证金的投标人存在 16.4 条款所列情形，且未按招标人要求补交银行保函、专业工程担保公司担保或保证保险原件的；</w:t>
      </w:r>
    </w:p>
    <w:p w14:paraId="16403095">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条款所列情形，且未按招标人要求补交投标保证金的；</w:t>
      </w:r>
    </w:p>
    <w:p w14:paraId="6287FC0E">
      <w:pPr>
        <w:spacing w:line="360" w:lineRule="auto"/>
        <w:ind w:firstLine="420" w:firstLineChars="200"/>
        <w:rPr>
          <w:color w:val="auto"/>
          <w:szCs w:val="21"/>
          <w:highlight w:val="none"/>
        </w:rPr>
      </w:pPr>
      <w:r>
        <w:rPr>
          <w:rFonts w:hint="eastAsia"/>
          <w:color w:val="auto"/>
          <w:szCs w:val="21"/>
          <w:highlight w:val="none"/>
        </w:rPr>
        <w:t>16.</w:t>
      </w:r>
      <w:r>
        <w:rPr>
          <w:color w:val="auto"/>
          <w:szCs w:val="21"/>
          <w:highlight w:val="none"/>
        </w:rPr>
        <w:t>5</w:t>
      </w:r>
      <w:r>
        <w:rPr>
          <w:rFonts w:hint="eastAsia"/>
          <w:color w:val="auto"/>
          <w:szCs w:val="21"/>
          <w:highlight w:val="none"/>
        </w:rPr>
        <w:t>.</w:t>
      </w:r>
      <w:r>
        <w:rPr>
          <w:color w:val="auto"/>
          <w:szCs w:val="21"/>
          <w:highlight w:val="none"/>
        </w:rPr>
        <w:t>3</w:t>
      </w:r>
      <w:r>
        <w:rPr>
          <w:rFonts w:hint="eastAsia"/>
          <w:color w:val="auto"/>
          <w:szCs w:val="21"/>
          <w:highlight w:val="none"/>
        </w:rPr>
        <w:t>按招标文件要求免于提供投标保证金的投标人存在 16.4 条款所列情形的。</w:t>
      </w:r>
    </w:p>
    <w:p w14:paraId="563E96E3">
      <w:pPr>
        <w:pBdr>
          <w:bottom w:val="single" w:color="auto" w:sz="6" w:space="1"/>
        </w:pBdr>
        <w:spacing w:line="360" w:lineRule="auto"/>
        <w:ind w:firstLine="525" w:firstLineChars="250"/>
        <w:rPr>
          <w:b/>
          <w:color w:val="auto"/>
          <w:szCs w:val="21"/>
          <w:highlight w:val="none"/>
        </w:rPr>
      </w:pPr>
      <w:r>
        <w:rPr>
          <w:rFonts w:hint="eastAsia"/>
          <w:color w:val="auto"/>
          <w:szCs w:val="21"/>
          <w:highlight w:val="none"/>
        </w:rPr>
        <w:t>注：16.5.3 款由招标人二选一，需在招标文件中明确。</w:t>
      </w:r>
    </w:p>
    <w:p w14:paraId="1931D823">
      <w:pPr>
        <w:pBdr>
          <w:bottom w:val="single" w:color="auto" w:sz="6" w:space="1"/>
        </w:pBdr>
        <w:spacing w:line="360" w:lineRule="auto"/>
        <w:ind w:firstLine="527" w:firstLineChars="250"/>
        <w:rPr>
          <w:rFonts w:ascii="宋体" w:hAnsi="宋体"/>
          <w:color w:val="auto"/>
          <w:highlight w:val="none"/>
        </w:rPr>
      </w:pPr>
      <w:r>
        <w:rPr>
          <w:rFonts w:hint="eastAsia"/>
          <w:b/>
          <w:color w:val="auto"/>
          <w:szCs w:val="21"/>
          <w:highlight w:val="none"/>
        </w:rPr>
        <w:t>现文：</w:t>
      </w:r>
      <w:r>
        <w:rPr>
          <w:rFonts w:hint="eastAsia" w:ascii="宋体" w:hAnsi="宋体"/>
          <w:color w:val="auto"/>
          <w:highlight w:val="none"/>
        </w:rPr>
        <w:t>16．投标保证金</w:t>
      </w:r>
    </w:p>
    <w:p w14:paraId="47AB78D4">
      <w:pPr>
        <w:pBdr>
          <w:bottom w:val="single" w:color="auto" w:sz="6" w:space="1"/>
        </w:pBdr>
        <w:spacing w:line="360" w:lineRule="auto"/>
        <w:ind w:firstLine="1160" w:firstLineChars="550"/>
        <w:rPr>
          <w:color w:val="auto"/>
          <w:szCs w:val="21"/>
          <w:highlight w:val="none"/>
        </w:rPr>
      </w:pPr>
      <w:r>
        <w:rPr>
          <w:rFonts w:hint="eastAsia" w:ascii="宋体" w:hAnsi="宋体"/>
          <w:b/>
          <w:bCs/>
          <w:color w:val="auto"/>
          <w:highlight w:val="none"/>
          <w:u w:val="single"/>
        </w:rPr>
        <w:t>本项目免收投标保证金。</w:t>
      </w:r>
    </w:p>
    <w:p w14:paraId="40B4697D">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款号：17.1          修改类型：修改</w:t>
      </w:r>
    </w:p>
    <w:p w14:paraId="68B33A7F">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3923F531">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《建设工程全流程电子化项目操作指南》</w:t>
      </w:r>
      <w:r>
        <w:rPr>
          <w:rFonts w:hint="eastAsia" w:ascii="宋体" w:hAnsi="宋体"/>
          <w:color w:val="auto"/>
          <w:szCs w:val="21"/>
          <w:highlight w:val="none"/>
        </w:rPr>
        <w:t xml:space="preserve"> 。</w:t>
      </w:r>
    </w:p>
    <w:p w14:paraId="4F323CD7">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条款号：18.1          修改类型：修改</w:t>
      </w:r>
    </w:p>
    <w:p w14:paraId="66D37F96">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18.1递交的电子投标文件（不含备用光盘）必须进行加密。按照交易平台关于全流程电子化项目的相关指南进行操作。详见：</w:t>
      </w:r>
      <w:r>
        <w:rPr>
          <w:rFonts w:hint="eastAsia"/>
          <w:color w:val="auto"/>
          <w:szCs w:val="21"/>
          <w:highlight w:val="none"/>
          <w:u w:val="single"/>
        </w:rPr>
        <w:t xml:space="preserve">      </w:t>
      </w:r>
      <w:r>
        <w:rPr>
          <w:rFonts w:hint="eastAsia"/>
          <w:color w:val="auto"/>
          <w:szCs w:val="21"/>
          <w:highlight w:val="none"/>
        </w:rPr>
        <w:t>。</w:t>
      </w:r>
    </w:p>
    <w:p w14:paraId="7CB8F46A">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18.1递交的电子投标文件（不含备用光盘）必须进行加密。按照交易平台关于全流程电子化项目的相关指南进行操作。详见：</w:t>
      </w:r>
      <w:r>
        <w:rPr>
          <w:rFonts w:hint="eastAsia" w:ascii="宋体"/>
          <w:color w:val="auto"/>
          <w:szCs w:val="21"/>
          <w:highlight w:val="none"/>
          <w:u w:val="single"/>
        </w:rPr>
        <w:t>《建设工程全流程电子化项目操作指南》</w:t>
      </w:r>
      <w:r>
        <w:rPr>
          <w:rFonts w:hint="eastAsia"/>
          <w:color w:val="auto"/>
          <w:szCs w:val="21"/>
          <w:highlight w:val="none"/>
        </w:rPr>
        <w:t>。</w:t>
      </w:r>
    </w:p>
    <w:p w14:paraId="6697A2B5">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条款号：18.2          修改类型：修改</w:t>
      </w:r>
    </w:p>
    <w:p w14:paraId="2B85E11B">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18.2 未按要求加密的投标文件，</w:t>
      </w:r>
      <w:r>
        <w:rPr>
          <w:rFonts w:hint="eastAsia"/>
          <w:color w:val="auto"/>
          <w:szCs w:val="21"/>
          <w:highlight w:val="none"/>
          <w:u w:val="single"/>
        </w:rPr>
        <w:t xml:space="preserve">    </w:t>
      </w:r>
      <w:r>
        <w:rPr>
          <w:rFonts w:hint="eastAsia"/>
          <w:color w:val="auto"/>
          <w:szCs w:val="21"/>
          <w:highlight w:val="none"/>
        </w:rPr>
        <w:t>交易平台将予以拒收。</w:t>
      </w:r>
    </w:p>
    <w:p w14:paraId="336031C4">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18.2 未按要求加密的投标文件，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14:paraId="7F4A7C9B">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条款号：19.1         修改类型：修改</w:t>
      </w:r>
    </w:p>
    <w:p w14:paraId="42D25BA6">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19.1投标人通过</w:t>
      </w:r>
      <w:r>
        <w:rPr>
          <w:rFonts w:hint="eastAsia"/>
          <w:color w:val="auto"/>
          <w:szCs w:val="21"/>
          <w:highlight w:val="none"/>
          <w:u w:val="single"/>
        </w:rPr>
        <w:t xml:space="preserve">      </w:t>
      </w:r>
      <w:r>
        <w:rPr>
          <w:rFonts w:hint="eastAsia"/>
          <w:color w:val="auto"/>
          <w:szCs w:val="21"/>
          <w:highlight w:val="none"/>
        </w:rPr>
        <w:t>交易平台递交电子投标文件。</w:t>
      </w:r>
    </w:p>
    <w:p w14:paraId="68559ABC">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19.1投标人通过</w:t>
      </w:r>
      <w:r>
        <w:rPr>
          <w:rFonts w:hint="eastAsia"/>
          <w:color w:val="auto"/>
          <w:szCs w:val="21"/>
          <w:highlight w:val="none"/>
          <w:u w:val="single"/>
        </w:rPr>
        <w:t>广州公共资源交易中心</w:t>
      </w:r>
      <w:r>
        <w:rPr>
          <w:rFonts w:hint="eastAsia"/>
          <w:color w:val="auto"/>
          <w:szCs w:val="21"/>
          <w:highlight w:val="none"/>
        </w:rPr>
        <w:t>交易平台递交电子投标文件。</w:t>
      </w:r>
    </w:p>
    <w:p w14:paraId="46DECBEC">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条款号：19.2         修改类型：修改</w:t>
      </w:r>
    </w:p>
    <w:p w14:paraId="02B691F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19.2投标人完成电子投标文件上传后，</w:t>
      </w:r>
      <w:r>
        <w:rPr>
          <w:rFonts w:hint="eastAsia"/>
          <w:color w:val="auto"/>
          <w:szCs w:val="21"/>
          <w:highlight w:val="none"/>
          <w:u w:val="single"/>
        </w:rPr>
        <w:t xml:space="preserve">    </w:t>
      </w:r>
      <w:r>
        <w:rPr>
          <w:rFonts w:hint="eastAsia"/>
          <w:color w:val="auto"/>
          <w:szCs w:val="21"/>
          <w:highlight w:val="none"/>
        </w:rPr>
        <w:t>交易平台即时向投标人发出递交回执通知。递交时间以递交回执通知载明的传输完成时间为准。</w:t>
      </w:r>
    </w:p>
    <w:p w14:paraId="143DD75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19.2投标人完成电子投标文件上传后，</w:t>
      </w:r>
      <w:r>
        <w:rPr>
          <w:rFonts w:hint="eastAsia"/>
          <w:color w:val="auto"/>
          <w:szCs w:val="21"/>
          <w:highlight w:val="none"/>
          <w:u w:val="single"/>
        </w:rPr>
        <w:t>广州公共资源交易中心</w:t>
      </w:r>
      <w:r>
        <w:rPr>
          <w:rFonts w:hint="eastAsia"/>
          <w:color w:val="auto"/>
          <w:szCs w:val="21"/>
          <w:highlight w:val="none"/>
        </w:rPr>
        <w:t>交易平台即时向投标人发出递交回执通知。递交时间以递交回执通知载明的传输完成时间为准。</w:t>
      </w:r>
    </w:p>
    <w:p w14:paraId="66F46A41">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条款号：19.3           修改类型：修改</w:t>
      </w:r>
    </w:p>
    <w:p w14:paraId="545CC8AE">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原文：</w:t>
      </w:r>
      <w:r>
        <w:rPr>
          <w:rFonts w:hint="eastAsia"/>
          <w:color w:val="auto"/>
          <w:szCs w:val="21"/>
          <w:highlight w:val="none"/>
        </w:rPr>
        <w:t>19.3逾期送达的电子投标文件，</w:t>
      </w:r>
      <w:r>
        <w:rPr>
          <w:rFonts w:hint="eastAsia"/>
          <w:color w:val="auto"/>
          <w:szCs w:val="21"/>
          <w:highlight w:val="none"/>
          <w:u w:val="single"/>
        </w:rPr>
        <w:t xml:space="preserve">      </w:t>
      </w:r>
      <w:r>
        <w:rPr>
          <w:rFonts w:hint="eastAsia"/>
          <w:color w:val="auto"/>
          <w:szCs w:val="21"/>
          <w:highlight w:val="none"/>
        </w:rPr>
        <w:t>交易平台将予以拒收。</w:t>
      </w:r>
    </w:p>
    <w:p w14:paraId="219C43B5">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19.3逾期送达的电子投标文件，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14:paraId="323EA873">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19.5             </w:t>
      </w:r>
      <w:r>
        <w:rPr>
          <w:rFonts w:hint="eastAsia"/>
          <w:b/>
          <w:color w:val="auto"/>
          <w:szCs w:val="21"/>
          <w:highlight w:val="none"/>
        </w:rPr>
        <w:t>修改类型：删除</w:t>
      </w:r>
    </w:p>
    <w:p w14:paraId="0CB4E3BD">
      <w:pPr>
        <w:pBdr>
          <w:bottom w:val="single" w:color="auto" w:sz="6" w:space="1"/>
        </w:pBdr>
        <w:spacing w:line="360" w:lineRule="auto"/>
        <w:ind w:firstLine="422" w:firstLineChars="200"/>
        <w:rPr>
          <w:color w:val="auto"/>
          <w:highlight w:val="none"/>
        </w:rPr>
      </w:pPr>
      <w:r>
        <w:rPr>
          <w:rFonts w:hint="eastAsia"/>
          <w:b/>
          <w:color w:val="auto"/>
          <w:szCs w:val="21"/>
          <w:highlight w:val="none"/>
        </w:rPr>
        <w:t>原文：</w:t>
      </w:r>
      <w:r>
        <w:rPr>
          <w:color w:val="auto"/>
          <w:szCs w:val="21"/>
          <w:highlight w:val="none"/>
        </w:rPr>
        <w:t>19.5</w:t>
      </w:r>
      <w:r>
        <w:rPr>
          <w:rFonts w:hint="eastAsia"/>
          <w:color w:val="auto"/>
          <w:szCs w:val="21"/>
          <w:highlight w:val="none"/>
        </w:rPr>
        <w:t>如技术标和经济标先后分别开启，</w:t>
      </w:r>
      <w:r>
        <w:rPr>
          <w:color w:val="auto"/>
          <w:szCs w:val="21"/>
          <w:highlight w:val="none"/>
          <w:u w:val="single"/>
        </w:rPr>
        <w:t xml:space="preserve">        </w:t>
      </w:r>
      <w:r>
        <w:rPr>
          <w:rFonts w:hint="eastAsia"/>
          <w:color w:val="auto"/>
          <w:szCs w:val="21"/>
          <w:highlight w:val="none"/>
        </w:rPr>
        <w:t>交易平台将按招标文件规定的时间分别开启技术标和经济标。</w:t>
      </w:r>
    </w:p>
    <w:p w14:paraId="0040AA0D">
      <w:pPr>
        <w:pBdr>
          <w:top w:val="none" w:color="auto" w:sz="0" w:space="1"/>
        </w:pBdr>
        <w:spacing w:line="480" w:lineRule="auto"/>
        <w:ind w:firstLine="472" w:firstLineChars="224"/>
        <w:rPr>
          <w:b/>
          <w:color w:val="auto"/>
          <w:szCs w:val="21"/>
          <w:highlight w:val="none"/>
        </w:rPr>
      </w:pPr>
      <w:r>
        <w:rPr>
          <w:rFonts w:hint="eastAsia"/>
          <w:b/>
          <w:color w:val="auto"/>
          <w:szCs w:val="21"/>
          <w:highlight w:val="none"/>
        </w:rPr>
        <w:t>条款号：21.1        修改类型：修改</w:t>
      </w:r>
    </w:p>
    <w:p w14:paraId="7E7C45D4">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21.1 本须知前附表第17项规定的投标截止时间后送达的电子投标文件，</w:t>
      </w:r>
      <w:r>
        <w:rPr>
          <w:color w:val="auto"/>
          <w:szCs w:val="21"/>
          <w:highlight w:val="none"/>
          <w:u w:val="single"/>
        </w:rPr>
        <w:t xml:space="preserve">    </w:t>
      </w:r>
      <w:r>
        <w:rPr>
          <w:rFonts w:hint="eastAsia"/>
          <w:color w:val="auto"/>
          <w:szCs w:val="21"/>
          <w:highlight w:val="none"/>
        </w:rPr>
        <w:t>交易平台将予以拒收。</w:t>
      </w:r>
    </w:p>
    <w:p w14:paraId="6A766F3D">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21.1 本须知前附表第17项规定的投标截止时间后送达的电子投标文件，</w:t>
      </w:r>
      <w:r>
        <w:rPr>
          <w:rFonts w:hint="eastAsia"/>
          <w:color w:val="auto"/>
          <w:szCs w:val="21"/>
          <w:highlight w:val="none"/>
          <w:u w:val="single"/>
        </w:rPr>
        <w:t>广州公共资源交易中心</w:t>
      </w:r>
      <w:r>
        <w:rPr>
          <w:rFonts w:hint="eastAsia"/>
          <w:color w:val="auto"/>
          <w:szCs w:val="21"/>
          <w:highlight w:val="none"/>
        </w:rPr>
        <w:t>交易平台将予以拒收。</w:t>
      </w:r>
    </w:p>
    <w:p w14:paraId="59BF73D4">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条款号：27.1        修改类型：修改</w:t>
      </w:r>
    </w:p>
    <w:p w14:paraId="7A07886A">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27.1招标人将在</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E456B0D">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27.1招标人将在</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Cs w:val="21"/>
          <w:highlight w:val="none"/>
          <w:lang w:bidi="ar"/>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48273E3">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条款号：27.4        修改类型：修改</w:t>
      </w:r>
    </w:p>
    <w:p w14:paraId="51022297">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27.4在产生中标候选人后，招标人将中标候选人的投标文件商务部分文件的所有内容（包括人员、业绩、奖项等资料）在</w:t>
      </w:r>
      <w:r>
        <w:rPr>
          <w:color w:val="auto"/>
          <w:szCs w:val="21"/>
          <w:highlight w:val="none"/>
          <w:u w:val="single"/>
        </w:rPr>
        <w:t xml:space="preserve">     </w:t>
      </w:r>
      <w:r>
        <w:rPr>
          <w:rFonts w:hint="eastAsia"/>
          <w:color w:val="auto"/>
          <w:szCs w:val="21"/>
          <w:highlight w:val="none"/>
        </w:rPr>
        <w:t>交易平台和广东省招标投标监管网公开。</w:t>
      </w:r>
      <w:r>
        <w:rPr>
          <w:rFonts w:hint="eastAsia"/>
          <w:color w:val="auto"/>
          <w:szCs w:val="21"/>
          <w:highlight w:val="none"/>
        </w:rPr>
        <w:cr/>
      </w:r>
      <w:r>
        <w:rPr>
          <w:rFonts w:hint="eastAsia"/>
          <w:b/>
          <w:color w:val="auto"/>
          <w:szCs w:val="21"/>
          <w:highlight w:val="none"/>
        </w:rPr>
        <w:t>现文：</w:t>
      </w:r>
      <w:r>
        <w:rPr>
          <w:rFonts w:hint="eastAsia"/>
          <w:color w:val="auto"/>
          <w:szCs w:val="21"/>
          <w:highlight w:val="none"/>
        </w:rPr>
        <w:t>27.4在产生中标候选人后，招标人将中标候选人的投标文件商务部分文件的内容（包括人员、业绩、奖项等资料）在</w:t>
      </w:r>
      <w:r>
        <w:rPr>
          <w:rFonts w:hint="eastAsia"/>
          <w:color w:val="auto"/>
          <w:szCs w:val="21"/>
          <w:highlight w:val="none"/>
          <w:u w:val="single"/>
        </w:rPr>
        <w:t>广州公共资源交易中心</w:t>
      </w:r>
      <w:r>
        <w:rPr>
          <w:rFonts w:hint="eastAsia"/>
          <w:color w:val="auto"/>
          <w:szCs w:val="21"/>
          <w:highlight w:val="none"/>
        </w:rPr>
        <w:t>交易平台和广东省招标投标监管网公开。</w:t>
      </w:r>
    </w:p>
    <w:p w14:paraId="630E744A">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w:t>
      </w:r>
      <w:r>
        <w:rPr>
          <w:rFonts w:hint="eastAsia"/>
          <w:b/>
          <w:color w:val="auto"/>
          <w:szCs w:val="21"/>
          <w:highlight w:val="none"/>
        </w:rPr>
        <w:t>8.2        修改类型：修改</w:t>
      </w:r>
    </w:p>
    <w:p w14:paraId="38A9B632">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ascii="宋体" w:hAnsi="宋体"/>
          <w:color w:val="auto"/>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color w:val="auto"/>
          <w:szCs w:val="21"/>
          <w:highlight w:val="none"/>
        </w:rPr>
        <w:t>。</w:t>
      </w:r>
    </w:p>
    <w:p w14:paraId="46A7AF60">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ascii="宋体" w:hAnsi="宋体"/>
          <w:color w:val="auto"/>
          <w:highlight w:val="none"/>
        </w:rPr>
        <w:t>28.2中标通知书发出之日起30日后，中标人未按上款的规定与招标人订立合同，招标人</w:t>
      </w:r>
      <w:r>
        <w:rPr>
          <w:rFonts w:ascii="宋体" w:hAnsi="宋体"/>
          <w:color w:val="auto"/>
          <w:highlight w:val="none"/>
        </w:rPr>
        <w:t>有权</w:t>
      </w:r>
      <w:r>
        <w:rPr>
          <w:rFonts w:hint="eastAsia" w:ascii="宋体" w:hAnsi="宋体"/>
          <w:color w:val="auto"/>
          <w:highlight w:val="none"/>
        </w:rPr>
        <w:t>解除中标通知书，原中标人应依法承担相应法律责任。</w:t>
      </w:r>
      <w:r>
        <w:rPr>
          <w:rFonts w:hint="eastAsia" w:ascii="宋体" w:hAnsi="宋体"/>
          <w:b/>
          <w:bCs/>
          <w:color w:val="auto"/>
          <w:highlight w:val="none"/>
          <w:u w:val="single"/>
        </w:rPr>
        <w:t>原中标人给招标人造成损失的</w:t>
      </w:r>
      <w:r>
        <w:rPr>
          <w:rFonts w:ascii="宋体" w:hAnsi="宋体"/>
          <w:b/>
          <w:bCs/>
          <w:color w:val="auto"/>
          <w:highlight w:val="none"/>
          <w:u w:val="single"/>
        </w:rPr>
        <w:t>，招标人有权要求原中标人承担赔偿责任</w:t>
      </w:r>
      <w:r>
        <w:rPr>
          <w:rFonts w:hint="eastAsia" w:ascii="宋体" w:hAnsi="宋体"/>
          <w:b/>
          <w:bCs/>
          <w:color w:val="auto"/>
          <w:highlight w:val="none"/>
          <w:u w:val="single"/>
        </w:rPr>
        <w:t>。</w:t>
      </w:r>
      <w:r>
        <w:rPr>
          <w:rFonts w:hint="eastAsia" w:ascii="宋体" w:hAnsi="宋体"/>
          <w:color w:val="auto"/>
          <w:highlight w:val="none"/>
        </w:rPr>
        <w:t>原中标人有异议的，可以向人民法院起诉</w:t>
      </w:r>
      <w:r>
        <w:rPr>
          <w:rFonts w:hint="eastAsia"/>
          <w:color w:val="auto"/>
          <w:szCs w:val="21"/>
          <w:highlight w:val="none"/>
        </w:rPr>
        <w:t>。</w:t>
      </w:r>
    </w:p>
    <w:p w14:paraId="1D7C098B">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29.1</w:t>
      </w:r>
      <w:r>
        <w:rPr>
          <w:rFonts w:hint="eastAsia"/>
          <w:b/>
          <w:color w:val="auto"/>
          <w:szCs w:val="21"/>
          <w:highlight w:val="none"/>
        </w:rPr>
        <w:t xml:space="preserve">        修改类型：修改</w:t>
      </w:r>
    </w:p>
    <w:p w14:paraId="3E4BE216">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29.1在收到中标通知书后的</w:t>
      </w:r>
      <w:r>
        <w:rPr>
          <w:b/>
          <w:color w:val="auto"/>
          <w:szCs w:val="21"/>
          <w:highlight w:val="none"/>
        </w:rPr>
        <w:t>15</w:t>
      </w:r>
      <w:r>
        <w:rPr>
          <w:rFonts w:hint="eastAsia"/>
          <w:b/>
          <w:color w:val="auto"/>
          <w:szCs w:val="21"/>
          <w:highlight w:val="none"/>
        </w:rPr>
        <w:t>日</w:t>
      </w:r>
      <w:r>
        <w:rPr>
          <w:rFonts w:hint="eastAsia"/>
          <w:color w:val="auto"/>
          <w:szCs w:val="21"/>
          <w:highlight w:val="none"/>
        </w:rPr>
        <w:t>内，中标人应按本须知前附表第 20 项的规定向招标人提交履约担保。</w:t>
      </w:r>
    </w:p>
    <w:p w14:paraId="388A05F0">
      <w:pPr>
        <w:pBdr>
          <w:bottom w:val="single" w:color="auto" w:sz="6" w:space="1"/>
        </w:pBdr>
        <w:spacing w:line="360" w:lineRule="auto"/>
        <w:ind w:firstLine="527" w:firstLineChars="250"/>
        <w:jc w:val="left"/>
        <w:rPr>
          <w:color w:val="auto"/>
          <w:szCs w:val="21"/>
          <w:highlight w:val="none"/>
        </w:rPr>
      </w:pPr>
      <w:r>
        <w:rPr>
          <w:rFonts w:hint="eastAsia"/>
          <w:b/>
          <w:color w:val="auto"/>
          <w:szCs w:val="21"/>
          <w:highlight w:val="none"/>
        </w:rPr>
        <w:t>现文：</w:t>
      </w:r>
      <w:r>
        <w:rPr>
          <w:rFonts w:hint="eastAsia"/>
          <w:color w:val="auto"/>
          <w:szCs w:val="21"/>
          <w:highlight w:val="none"/>
        </w:rPr>
        <w:t>29.1在签订合同后的</w:t>
      </w:r>
      <w:r>
        <w:rPr>
          <w:rFonts w:hint="eastAsia"/>
          <w:b/>
          <w:color w:val="auto"/>
          <w:szCs w:val="21"/>
          <w:highlight w:val="none"/>
        </w:rPr>
        <w:t>20日</w:t>
      </w:r>
      <w:r>
        <w:rPr>
          <w:rFonts w:hint="eastAsia"/>
          <w:color w:val="auto"/>
          <w:szCs w:val="21"/>
          <w:highlight w:val="none"/>
        </w:rPr>
        <w:t>内，中标人应按本须知前附表第 20 项的规定向招标人提交履约担保。</w:t>
      </w:r>
    </w:p>
    <w:p w14:paraId="16FBFBDA">
      <w:pPr>
        <w:pBdr>
          <w:top w:val="single" w:color="auto" w:sz="4" w:space="1"/>
        </w:pBd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29.</w:t>
      </w:r>
      <w:r>
        <w:rPr>
          <w:rFonts w:hint="eastAsia"/>
          <w:b/>
          <w:color w:val="auto"/>
          <w:szCs w:val="21"/>
          <w:highlight w:val="none"/>
        </w:rPr>
        <w:t>2        修改类型：修改</w:t>
      </w:r>
    </w:p>
    <w:p w14:paraId="33E675AB">
      <w:pPr>
        <w:pBdr>
          <w:top w:val="single" w:color="auto" w:sz="4"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29.2在签订合同后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F40295B">
      <w:pPr>
        <w:pBdr>
          <w:bottom w:val="single" w:color="auto" w:sz="6" w:space="1"/>
        </w:pBdr>
        <w:spacing w:line="360" w:lineRule="auto"/>
        <w:ind w:firstLine="527" w:firstLineChars="250"/>
        <w:jc w:val="left"/>
        <w:rPr>
          <w:color w:val="auto"/>
          <w:szCs w:val="21"/>
          <w:highlight w:val="none"/>
        </w:rPr>
      </w:pPr>
      <w:r>
        <w:rPr>
          <w:rFonts w:hint="eastAsia"/>
          <w:b/>
          <w:color w:val="auto"/>
          <w:szCs w:val="21"/>
          <w:highlight w:val="none"/>
        </w:rPr>
        <w:t>现文：</w:t>
      </w:r>
      <w:r>
        <w:rPr>
          <w:rFonts w:hint="eastAsia"/>
          <w:color w:val="auto"/>
          <w:szCs w:val="21"/>
          <w:highlight w:val="none"/>
        </w:rPr>
        <w:t>29.2在签订合同后中标通知书发出之日起</w:t>
      </w:r>
      <w:r>
        <w:rPr>
          <w:rFonts w:hint="eastAsia"/>
          <w:b/>
          <w:bCs/>
          <w:color w:val="auto"/>
          <w:szCs w:val="21"/>
          <w:highlight w:val="none"/>
        </w:rPr>
        <w:t>20日</w:t>
      </w:r>
      <w:r>
        <w:rPr>
          <w:rFonts w:hint="eastAsia"/>
          <w:color w:val="auto"/>
          <w:szCs w:val="21"/>
          <w:highlight w:val="none"/>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C316944">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条款号：30.1        修改类型：修改</w:t>
      </w:r>
    </w:p>
    <w:p w14:paraId="14F6516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原文：30.1</w:t>
      </w:r>
      <w:r>
        <w:rPr>
          <w:rFonts w:hint="eastAsia"/>
          <w:color w:val="auto"/>
          <w:szCs w:val="21"/>
          <w:highlight w:val="none"/>
        </w:rPr>
        <w:t>在合同双方全权代表在合同协议书上签字，并分别加盖双方单位的公章后，合同正式生效。</w:t>
      </w:r>
    </w:p>
    <w:p w14:paraId="72428D59">
      <w:pPr>
        <w:pBdr>
          <w:bottom w:val="single" w:color="auto" w:sz="6" w:space="1"/>
        </w:pBdr>
        <w:spacing w:line="440" w:lineRule="exact"/>
        <w:ind w:firstLine="422" w:firstLineChars="200"/>
        <w:rPr>
          <w:color w:val="auto"/>
          <w:szCs w:val="21"/>
          <w:highlight w:val="none"/>
        </w:rPr>
      </w:pPr>
      <w:r>
        <w:rPr>
          <w:rFonts w:hint="eastAsia"/>
          <w:b/>
          <w:color w:val="auto"/>
          <w:szCs w:val="21"/>
          <w:highlight w:val="none"/>
        </w:rPr>
        <w:t>现文：30.1</w:t>
      </w:r>
      <w:r>
        <w:rPr>
          <w:rFonts w:hint="eastAsia"/>
          <w:color w:val="auto"/>
          <w:szCs w:val="21"/>
          <w:highlight w:val="none"/>
          <w:u w:val="single"/>
        </w:rPr>
        <w:t>在合同自发包人、承包人双方法定代表人或委托代理人签字并加盖公章之日起生效。</w:t>
      </w:r>
    </w:p>
    <w:p w14:paraId="31F2907B">
      <w:pPr>
        <w:pBdr>
          <w:top w:val="single" w:color="auto" w:sz="4" w:space="1"/>
        </w:pBdr>
        <w:spacing w:line="480" w:lineRule="auto"/>
        <w:ind w:firstLine="472" w:firstLineChars="224"/>
        <w:rPr>
          <w:b/>
          <w:color w:val="auto"/>
          <w:szCs w:val="21"/>
          <w:highlight w:val="none"/>
        </w:rPr>
      </w:pPr>
      <w:r>
        <w:rPr>
          <w:rFonts w:hint="eastAsia"/>
          <w:b/>
          <w:color w:val="auto"/>
          <w:szCs w:val="21"/>
          <w:highlight w:val="none"/>
        </w:rPr>
        <w:t>条款号：31.1                   修改类型：增加</w:t>
      </w:r>
    </w:p>
    <w:p w14:paraId="08B0FFBC">
      <w:pPr>
        <w:pBdr>
          <w:bottom w:val="single" w:color="000000" w:sz="6" w:space="1"/>
        </w:pBdr>
        <w:spacing w:line="360" w:lineRule="auto"/>
        <w:ind w:firstLine="527" w:firstLineChars="250"/>
        <w:rPr>
          <w:bCs/>
          <w:color w:val="auto"/>
          <w:szCs w:val="21"/>
          <w:highlight w:val="none"/>
        </w:rPr>
      </w:pPr>
      <w:r>
        <w:rPr>
          <w:rFonts w:hint="eastAsia"/>
          <w:b/>
          <w:color w:val="auto"/>
          <w:szCs w:val="21"/>
          <w:highlight w:val="none"/>
        </w:rPr>
        <w:t>现文：31.1</w:t>
      </w:r>
      <w:r>
        <w:rPr>
          <w:rFonts w:hint="eastAsia"/>
          <w:bCs/>
          <w:color w:val="auto"/>
          <w:szCs w:val="21"/>
          <w:highlight w:val="none"/>
        </w:rPr>
        <w:t>招标代理费由中标人缴纳，金额按招标人与招标代理签订的招标代理合同的约定执行。</w:t>
      </w:r>
    </w:p>
    <w:p w14:paraId="47904876">
      <w:pPr>
        <w:pBdr>
          <w:bottom w:val="single" w:color="000000" w:sz="6" w:space="1"/>
        </w:pBdr>
        <w:spacing w:line="360" w:lineRule="auto"/>
        <w:ind w:firstLine="527" w:firstLineChars="250"/>
        <w:rPr>
          <w:bCs/>
          <w:color w:val="auto"/>
          <w:szCs w:val="21"/>
          <w:highlight w:val="none"/>
          <w:u w:val="single"/>
        </w:rPr>
      </w:pPr>
      <w:r>
        <w:rPr>
          <w:rFonts w:hint="eastAsia"/>
          <w:b/>
          <w:color w:val="auto"/>
          <w:szCs w:val="21"/>
          <w:highlight w:val="none"/>
        </w:rPr>
        <w:t>31.2</w:t>
      </w:r>
      <w:r>
        <w:rPr>
          <w:rFonts w:hint="eastAsia"/>
          <w:bCs/>
          <w:color w:val="auto"/>
          <w:szCs w:val="21"/>
          <w:highlight w:val="none"/>
        </w:rPr>
        <w:t>中标人自行支付公共资源交易服务费，交易中心向中标人开具增值税发票。</w:t>
      </w:r>
    </w:p>
    <w:p w14:paraId="6D231298">
      <w:pPr>
        <w:pBdr>
          <w:top w:val="single" w:color="auto" w:sz="4" w:space="1"/>
        </w:pBdr>
        <w:spacing w:line="360" w:lineRule="auto"/>
        <w:ind w:firstLine="424" w:firstLineChars="201"/>
        <w:rPr>
          <w:b/>
          <w:color w:val="auto"/>
          <w:highlight w:val="none"/>
        </w:rPr>
      </w:pPr>
      <w:r>
        <w:rPr>
          <w:rFonts w:hint="eastAsia"/>
          <w:b/>
          <w:color w:val="auto"/>
          <w:highlight w:val="none"/>
        </w:rPr>
        <w:t>条款号：</w:t>
      </w:r>
      <w:r>
        <w:rPr>
          <w:b/>
          <w:color w:val="auto"/>
          <w:highlight w:val="none"/>
        </w:rPr>
        <w:t>4</w:t>
      </w:r>
      <w:r>
        <w:rPr>
          <w:rFonts w:hint="eastAsia"/>
          <w:b/>
          <w:color w:val="auto"/>
          <w:highlight w:val="none"/>
        </w:rPr>
        <w:t xml:space="preserve">            修改类型：增加</w:t>
      </w:r>
    </w:p>
    <w:p w14:paraId="22BD0A8C">
      <w:pPr>
        <w:pBdr>
          <w:bottom w:val="single" w:color="auto" w:sz="6" w:space="1"/>
        </w:pBdr>
        <w:spacing w:line="440" w:lineRule="exact"/>
        <w:ind w:firstLine="422" w:firstLineChars="200"/>
        <w:rPr>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3</w:t>
      </w:r>
      <w:r>
        <w:rPr>
          <w:rFonts w:ascii="宋体" w:hAnsi="宋体" w:cs="宋体"/>
          <w:color w:val="auto"/>
          <w:szCs w:val="21"/>
          <w:highlight w:val="none"/>
          <w:u w:val="single"/>
        </w:rPr>
        <w:t>4</w:t>
      </w:r>
      <w:r>
        <w:rPr>
          <w:rFonts w:hint="eastAsia" w:ascii="宋体" w:hAnsi="宋体" w:cs="宋体"/>
          <w:color w:val="auto"/>
          <w:szCs w:val="21"/>
          <w:highlight w:val="none"/>
          <w:u w:val="single"/>
        </w:rPr>
        <w:t xml:space="preserve"> </w:t>
      </w:r>
      <w:r>
        <w:rPr>
          <w:rFonts w:hint="eastAsia" w:ascii="宋体" w:hAnsi="宋体" w:cs="宋体"/>
          <w:bCs/>
          <w:snapToGrid w:val="0"/>
          <w:color w:val="auto"/>
          <w:kern w:val="0"/>
          <w:szCs w:val="21"/>
          <w:highlight w:val="none"/>
          <w:u w:val="single"/>
        </w:rPr>
        <w:t>在招标人与中标人签订合同或办理施工许可前，招标人将会核查中标人委派的项目负责人在建项目任职情况，如发现委派的项目负责人在其他在建项目中任职的，承包人应以书面形式向监理单位提出更换项目负责人意向（附前任和后任人员的详细履历资料），经总监理工程师签署意见后向发包人提出申请，征得发包人同意后更换项目负责人。承包人必须保证后任人员的资质、资历、业绩、实际工作能力不低于前任人员的素质。即使征得发包人同意更换的，承包人仍需承担严重违约责任1次，且自撤换之日起一年内，该项目负责人不得再作为发包人后续招标项目时拟委派项目管理机构的项目负责人。</w:t>
      </w:r>
    </w:p>
    <w:p w14:paraId="2B0A9FB3">
      <w:pPr>
        <w:pBdr>
          <w:top w:val="single" w:color="auto" w:sz="4" w:space="1"/>
        </w:pBdr>
        <w:spacing w:line="360" w:lineRule="auto"/>
        <w:ind w:firstLine="424" w:firstLineChars="201"/>
        <w:rPr>
          <w:b/>
          <w:color w:val="auto"/>
          <w:highlight w:val="none"/>
        </w:rPr>
      </w:pPr>
      <w:r>
        <w:rPr>
          <w:rFonts w:hint="eastAsia"/>
          <w:b/>
          <w:color w:val="auto"/>
          <w:highlight w:val="none"/>
        </w:rPr>
        <w:t>注：以上修改，仅限于本范本中有可供选择条款的情形。</w:t>
      </w:r>
    </w:p>
    <w:p w14:paraId="1634BA91">
      <w:pPr>
        <w:spacing w:line="360" w:lineRule="auto"/>
        <w:ind w:firstLine="282" w:firstLineChars="134"/>
        <w:rPr>
          <w:color w:val="auto"/>
          <w:highlight w:val="none"/>
        </w:rPr>
      </w:pPr>
      <w:r>
        <w:rPr>
          <w:rFonts w:hint="eastAsia"/>
          <w:b/>
          <w:color w:val="auto"/>
          <w:szCs w:val="21"/>
          <w:highlight w:val="none"/>
        </w:rPr>
        <w:t>（以下无正文）</w:t>
      </w:r>
    </w:p>
    <w:p w14:paraId="644A288F">
      <w:pPr>
        <w:keepNext/>
        <w:keepLines/>
        <w:spacing w:before="120" w:after="120" w:line="415" w:lineRule="auto"/>
        <w:jc w:val="center"/>
        <w:outlineLvl w:val="1"/>
        <w:rPr>
          <w:rFonts w:ascii="Arial" w:hAnsi="Arial"/>
          <w:b/>
          <w:color w:val="auto"/>
          <w:sz w:val="28"/>
          <w:szCs w:val="24"/>
          <w:highlight w:val="none"/>
        </w:rPr>
      </w:pPr>
      <w:r>
        <w:rPr>
          <w:rFonts w:ascii="Arial" w:hAnsi="Arial"/>
          <w:b/>
          <w:color w:val="auto"/>
          <w:sz w:val="28"/>
          <w:szCs w:val="24"/>
          <w:highlight w:val="none"/>
        </w:rPr>
        <w:br w:type="page"/>
      </w:r>
      <w:bookmarkStart w:id="8" w:name="_Toc62056017"/>
      <w:bookmarkStart w:id="9" w:name="_Toc2272548"/>
      <w:r>
        <w:rPr>
          <w:rFonts w:hint="eastAsia" w:ascii="Arial" w:hAnsi="Arial"/>
          <w:b/>
          <w:color w:val="auto"/>
          <w:sz w:val="28"/>
          <w:szCs w:val="24"/>
          <w:highlight w:val="none"/>
        </w:rPr>
        <w:t>三、投标须知通用条款</w:t>
      </w:r>
      <w:bookmarkEnd w:id="8"/>
      <w:bookmarkEnd w:id="9"/>
      <w:r>
        <w:rPr>
          <w:rFonts w:hint="eastAsia" w:ascii="Arial" w:hAnsi="Arial"/>
          <w:b/>
          <w:color w:val="auto"/>
          <w:sz w:val="28"/>
          <w:szCs w:val="24"/>
          <w:highlight w:val="none"/>
        </w:rPr>
        <w:t>（详见范本）</w:t>
      </w:r>
    </w:p>
    <w:p w14:paraId="21262CDA">
      <w:pPr>
        <w:widowControl/>
        <w:spacing w:before="100" w:beforeAutospacing="1" w:after="100" w:afterAutospacing="1"/>
        <w:jc w:val="left"/>
        <w:outlineLvl w:val="2"/>
        <w:rPr>
          <w:rFonts w:ascii="宋体" w:hAnsi="宋体"/>
          <w:color w:val="auto"/>
          <w:kern w:val="0"/>
          <w:sz w:val="27"/>
          <w:szCs w:val="27"/>
          <w:highlight w:val="none"/>
        </w:rPr>
      </w:pPr>
      <w:bookmarkStart w:id="10" w:name="_Toc2272549"/>
      <w:bookmarkStart w:id="11" w:name="_Toc62056018"/>
      <w:r>
        <w:rPr>
          <w:rFonts w:hint="eastAsia" w:ascii="宋体" w:hAnsi="宋体"/>
          <w:color w:val="auto"/>
          <w:kern w:val="0"/>
          <w:sz w:val="27"/>
          <w:szCs w:val="27"/>
          <w:highlight w:val="none"/>
        </w:rPr>
        <w:t>（一）总则</w:t>
      </w:r>
      <w:bookmarkEnd w:id="10"/>
      <w:bookmarkEnd w:id="11"/>
    </w:p>
    <w:p w14:paraId="5E807845">
      <w:pPr>
        <w:spacing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78CCEE08">
      <w:pPr>
        <w:spacing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64E54BCE">
      <w:pPr>
        <w:spacing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356873BC">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0A6B6F00">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0BBE31DD">
      <w:pPr>
        <w:spacing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679D4FDA">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108B768F">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5BF7AFF7">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0955645A">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18009F21">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14:paraId="359635A8">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24C0DBB0">
      <w:pPr>
        <w:spacing w:line="360" w:lineRule="auto"/>
        <w:ind w:firstLine="480" w:firstLineChars="200"/>
        <w:rPr>
          <w:rFonts w:ascii="宋体" w:hAns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191B2460">
      <w:pPr>
        <w:pStyle w:val="13"/>
        <w:rPr>
          <w:rFonts w:hint="default"/>
          <w:color w:val="auto"/>
          <w:highlight w:val="none"/>
        </w:rPr>
      </w:pPr>
    </w:p>
    <w:p w14:paraId="01F5C37B">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2346FA88">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126D376E">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2BD9D41C">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14:paraId="1B7EC775">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26C59733">
      <w:pPr>
        <w:tabs>
          <w:tab w:val="left" w:pos="105"/>
        </w:tabs>
        <w:spacing w:line="360" w:lineRule="auto"/>
        <w:ind w:firstLine="480" w:firstLineChars="200"/>
        <w:rPr>
          <w:rFonts w:ascii="宋体"/>
          <w:bCs/>
          <w:color w:val="auto"/>
          <w:sz w:val="24"/>
          <w:highlight w:val="none"/>
          <w:u w:val="single"/>
        </w:rPr>
      </w:pPr>
      <w:r>
        <w:rPr>
          <w:rFonts w:ascii="宋体" w:hAnsi="宋体"/>
          <w:bCs/>
          <w:color w:val="auto"/>
          <w:sz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且充分考虑了现场各种因素。招标人不受理因投标人缺乏对现场条件的了解或掌握而提出的任何索赔。考察现场的费用由投标人自己承担。</w:t>
      </w:r>
    </w:p>
    <w:p w14:paraId="5602865A">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087D46F8">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46BFB24E">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0F80C0DA">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14:paraId="4BF5BA43">
      <w:pPr>
        <w:widowControl/>
        <w:spacing w:before="100" w:beforeAutospacing="1" w:after="100" w:afterAutospacing="1"/>
        <w:jc w:val="left"/>
        <w:outlineLvl w:val="2"/>
        <w:rPr>
          <w:rFonts w:ascii="宋体" w:hAnsi="宋体"/>
          <w:color w:val="auto"/>
          <w:kern w:val="0"/>
          <w:sz w:val="27"/>
          <w:szCs w:val="27"/>
          <w:highlight w:val="none"/>
        </w:rPr>
      </w:pPr>
      <w:bookmarkStart w:id="12" w:name="_Toc2272550"/>
      <w:bookmarkStart w:id="13" w:name="_Toc62056019"/>
      <w:r>
        <w:rPr>
          <w:rFonts w:hint="eastAsia" w:ascii="宋体" w:hAnsi="宋体"/>
          <w:color w:val="auto"/>
          <w:kern w:val="0"/>
          <w:sz w:val="27"/>
          <w:szCs w:val="27"/>
          <w:highlight w:val="none"/>
        </w:rPr>
        <w:t>（二）招标文件</w:t>
      </w:r>
      <w:bookmarkEnd w:id="12"/>
      <w:bookmarkEnd w:id="13"/>
    </w:p>
    <w:p w14:paraId="7FF504A6">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3E4D8BB5">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14:paraId="14A79D5A">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14:paraId="2869A84C">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14:paraId="61B539F3">
      <w:pPr>
        <w:spacing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14:paraId="1D40FF7A">
      <w:pPr>
        <w:spacing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14:paraId="041EF20D">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14:paraId="56BE9349">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14:paraId="378808FA">
      <w:pPr>
        <w:spacing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14:paraId="66B16CD1">
      <w:pPr>
        <w:spacing w:line="360" w:lineRule="auto"/>
        <w:ind w:left="-2" w:firstLine="480" w:firstLineChars="200"/>
        <w:rPr>
          <w:rFonts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14:paraId="1BDA35E2">
      <w:pPr>
        <w:pStyle w:val="13"/>
        <w:spacing w:line="360" w:lineRule="auto"/>
        <w:ind w:firstLine="480" w:firstLineChars="200"/>
        <w:rPr>
          <w:rFonts w:hint="default" w:hAnsi="宋体"/>
          <w:color w:val="auto"/>
          <w:sz w:val="24"/>
          <w:szCs w:val="22"/>
          <w:highlight w:val="none"/>
        </w:rPr>
      </w:pPr>
      <w:r>
        <w:rPr>
          <w:rFonts w:hAnsi="宋体"/>
          <w:color w:val="auto"/>
          <w:sz w:val="24"/>
          <w:szCs w:val="22"/>
          <w:highlight w:val="none"/>
        </w:rPr>
        <w:t>注：招标人应在技术条件（工程建设标准）中明确施工现场建筑垃圾源头减量的具体要求和建筑垃圾综合利用产品的使用要求。</w:t>
      </w:r>
    </w:p>
    <w:p w14:paraId="03AFE8E2">
      <w:pPr>
        <w:spacing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20969AD">
      <w:pPr>
        <w:spacing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79B88237">
      <w:pPr>
        <w:spacing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7903E651">
      <w:pPr>
        <w:spacing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14:paraId="1C6F7971">
      <w:pPr>
        <w:spacing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14:paraId="213FE1D3">
      <w:pPr>
        <w:spacing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14:paraId="7C5C714E">
      <w:pPr>
        <w:spacing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14:paraId="75E4A083">
      <w:pPr>
        <w:spacing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3DD90D64">
      <w:pPr>
        <w:spacing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招标文件发出后，在提交投标文件截止时间15日前，招标人可对招标文件进行必要的澄清或修改。</w:t>
      </w:r>
    </w:p>
    <w:p w14:paraId="38D5B46D">
      <w:pPr>
        <w:spacing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4796F1EB">
      <w:pPr>
        <w:spacing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14:paraId="7B1F1C9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9.4</w:t>
      </w:r>
      <w:r>
        <w:rPr>
          <w:rFonts w:hint="eastAsia" w:ascii="宋体" w:hAnsi="宋体"/>
          <w:color w:val="auto"/>
          <w:sz w:val="24"/>
          <w:szCs w:val="24"/>
          <w:highlight w:val="none"/>
        </w:rPr>
        <w:t>招标文件的澄清或修改均以书面形式明确的内容为准。当招标文件的澄清、修改、补充等在同一内容的表述不一致时，以最后发出的书面形式的文件为准。</w:t>
      </w:r>
    </w:p>
    <w:p w14:paraId="00F07183">
      <w:pPr>
        <w:spacing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0562B56">
      <w:pPr>
        <w:widowControl/>
        <w:spacing w:before="100" w:beforeAutospacing="1" w:after="100" w:afterAutospacing="1"/>
        <w:jc w:val="left"/>
        <w:outlineLvl w:val="2"/>
        <w:rPr>
          <w:rFonts w:ascii="宋体" w:hAnsi="宋体"/>
          <w:color w:val="auto"/>
          <w:kern w:val="0"/>
          <w:sz w:val="27"/>
          <w:szCs w:val="27"/>
          <w:highlight w:val="none"/>
        </w:rPr>
      </w:pPr>
      <w:bookmarkStart w:id="14" w:name="_Toc2272551"/>
      <w:bookmarkStart w:id="15" w:name="_Toc62056020"/>
      <w:r>
        <w:rPr>
          <w:rFonts w:hint="eastAsia" w:ascii="宋体" w:hAnsi="宋体"/>
          <w:color w:val="auto"/>
          <w:kern w:val="0"/>
          <w:sz w:val="27"/>
          <w:szCs w:val="27"/>
          <w:highlight w:val="none"/>
        </w:rPr>
        <w:t>（三）投标文件的编制</w:t>
      </w:r>
      <w:bookmarkEnd w:id="14"/>
      <w:bookmarkEnd w:id="15"/>
    </w:p>
    <w:p w14:paraId="23029D2F">
      <w:pPr>
        <w:spacing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2180F70D">
      <w:pPr>
        <w:spacing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7804C7C1">
      <w:pPr>
        <w:spacing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24FDDB77">
      <w:pPr>
        <w:spacing w:line="360" w:lineRule="auto"/>
        <w:ind w:firstLine="482" w:firstLineChars="200"/>
        <w:rPr>
          <w:rFonts w:ascii="宋体" w:hAnsi="宋体"/>
          <w:b/>
          <w:color w:val="auto"/>
          <w:sz w:val="24"/>
          <w:highlight w:val="none"/>
        </w:rPr>
      </w:pPr>
      <w:r>
        <w:rPr>
          <w:rFonts w:ascii="宋体" w:hAnsi="宋体"/>
          <w:b/>
          <w:color w:val="auto"/>
          <w:sz w:val="24"/>
          <w:highlight w:val="none"/>
        </w:rPr>
        <w:t>11．投标文件的组成</w:t>
      </w:r>
    </w:p>
    <w:p w14:paraId="184D1AFB">
      <w:pPr>
        <w:spacing w:line="360" w:lineRule="auto"/>
        <w:ind w:firstLine="480" w:firstLineChars="200"/>
        <w:rPr>
          <w:rFonts w:ascii="宋体"/>
          <w:b/>
          <w:color w:val="auto"/>
          <w:kern w:val="0"/>
          <w:sz w:val="24"/>
          <w:szCs w:val="20"/>
          <w:highlight w:val="none"/>
        </w:rPr>
      </w:pPr>
      <w:r>
        <w:rPr>
          <w:rFonts w:ascii="宋体" w:hAnsi="宋体"/>
          <w:color w:val="auto"/>
          <w:kern w:val="0"/>
          <w:sz w:val="24"/>
          <w:szCs w:val="20"/>
          <w:highlight w:val="none"/>
        </w:rPr>
        <w:t xml:space="preserve">11.1 </w:t>
      </w:r>
      <w:r>
        <w:rPr>
          <w:rFonts w:hint="eastAsia" w:ascii="宋体" w:hAnsi="宋体"/>
          <w:color w:val="auto"/>
          <w:kern w:val="0"/>
          <w:sz w:val="24"/>
          <w:szCs w:val="20"/>
          <w:highlight w:val="none"/>
        </w:rPr>
        <w:t>投标文件由技术部分（含资格审查文件）和经济部分二部分投标文件组成</w:t>
      </w:r>
      <w:r>
        <w:rPr>
          <w:rFonts w:hint="eastAsia" w:ascii="宋体" w:hAnsi="宋体"/>
          <w:b/>
          <w:color w:val="auto"/>
          <w:kern w:val="0"/>
          <w:sz w:val="24"/>
          <w:szCs w:val="20"/>
          <w:highlight w:val="none"/>
        </w:rPr>
        <w:t>。</w:t>
      </w:r>
    </w:p>
    <w:p w14:paraId="61ADAD93">
      <w:pPr>
        <w:spacing w:line="360" w:lineRule="auto"/>
        <w:ind w:firstLine="480" w:firstLineChars="200"/>
        <w:rPr>
          <w:rFonts w:ascii="宋体"/>
          <w:color w:val="auto"/>
          <w:sz w:val="24"/>
          <w:szCs w:val="21"/>
          <w:highlight w:val="none"/>
        </w:rPr>
      </w:pPr>
      <w:r>
        <w:rPr>
          <w:rFonts w:ascii="宋体"/>
          <w:color w:val="auto"/>
          <w:sz w:val="24"/>
          <w:szCs w:val="21"/>
          <w:highlight w:val="none"/>
        </w:rPr>
        <w:t>11.2</w:t>
      </w:r>
      <w:r>
        <w:rPr>
          <w:rFonts w:hint="eastAsia" w:ascii="宋体"/>
          <w:color w:val="auto"/>
          <w:sz w:val="24"/>
          <w:szCs w:val="21"/>
          <w:highlight w:val="none"/>
        </w:rPr>
        <w:t>投标文件技术标部分主要包括下列内容：</w:t>
      </w:r>
    </w:p>
    <w:p w14:paraId="0D97E29E">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11.2.1 技术投标文件</w:t>
      </w:r>
      <w:r>
        <w:rPr>
          <w:rFonts w:ascii="宋体"/>
          <w:color w:val="auto"/>
          <w:sz w:val="24"/>
          <w:szCs w:val="21"/>
          <w:highlight w:val="none"/>
        </w:rPr>
        <w:t>(</w:t>
      </w:r>
      <w:r>
        <w:rPr>
          <w:rFonts w:hint="eastAsia" w:ascii="宋体"/>
          <w:color w:val="auto"/>
          <w:sz w:val="24"/>
          <w:szCs w:val="21"/>
          <w:highlight w:val="none"/>
        </w:rPr>
        <w:t>按技术标投标文件格式要求填写</w:t>
      </w:r>
      <w:r>
        <w:rPr>
          <w:rFonts w:ascii="宋体"/>
          <w:color w:val="auto"/>
          <w:sz w:val="24"/>
          <w:szCs w:val="21"/>
          <w:highlight w:val="none"/>
        </w:rPr>
        <w:t>)</w:t>
      </w:r>
      <w:r>
        <w:rPr>
          <w:rFonts w:hint="eastAsia" w:ascii="宋体"/>
          <w:color w:val="auto"/>
          <w:sz w:val="24"/>
          <w:szCs w:val="21"/>
          <w:highlight w:val="none"/>
        </w:rPr>
        <w:t>；</w:t>
      </w:r>
    </w:p>
    <w:p w14:paraId="5C832D85">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11.2.2 资格审查文件：</w:t>
      </w:r>
    </w:p>
    <w:p w14:paraId="4B76AE8E">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 xml:space="preserve">（1）投标人声明； </w:t>
      </w:r>
    </w:p>
    <w:p w14:paraId="6DF2880B">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（2）法定代表人证明书、法定代表人签字或盖章的本投标文件授权委托证明书；</w:t>
      </w:r>
    </w:p>
    <w:p w14:paraId="64EC429F">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（3）企业营业执照（取自库内上传件）；</w:t>
      </w:r>
    </w:p>
    <w:p w14:paraId="6E8249CC">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（4）企业资质证书（取自库内上传件）；</w:t>
      </w:r>
    </w:p>
    <w:p w14:paraId="75D9632C">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（5）建筑施工企业安全生产许可证（取自库内上传件）；</w:t>
      </w:r>
    </w:p>
    <w:p w14:paraId="0F676D73">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（6）项目负责人（按网上投标登记时选择拟投标的项目负责人）；</w:t>
      </w:r>
    </w:p>
    <w:p w14:paraId="1265E6D9">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（7）专职安全员（按网上投标登记时选择拟投标的专职安全员）；</w:t>
      </w:r>
    </w:p>
    <w:p w14:paraId="605CD319">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（8）拟委托技术负责人的相关证书、资料（具体要求由招标人明确）；</w:t>
      </w:r>
    </w:p>
    <w:p w14:paraId="572E95A8">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9）</w:t>
      </w:r>
      <w:r>
        <w:rPr>
          <w:rFonts w:hint="eastAsia" w:ascii="宋体"/>
          <w:color w:val="auto"/>
          <w:sz w:val="24"/>
          <w:szCs w:val="21"/>
          <w:highlight w:val="none"/>
          <w:lang w:bidi="ar"/>
        </w:rPr>
        <w:t xml:space="preserve">拟委派项目负责人的建造师注册证书（取自平台内上传件）； </w:t>
      </w:r>
    </w:p>
    <w:p w14:paraId="102FD8D9">
      <w:pPr>
        <w:widowControl/>
        <w:spacing w:line="360" w:lineRule="auto"/>
        <w:ind w:firstLine="480" w:firstLineChars="200"/>
        <w:jc w:val="left"/>
        <w:rPr>
          <w:rFonts w:ascii="宋体" w:eastAsia="Times New Roman"/>
          <w:color w:val="auto"/>
          <w:sz w:val="24"/>
          <w:szCs w:val="21"/>
          <w:highlight w:val="none"/>
        </w:rPr>
      </w:pPr>
      <w:r>
        <w:rPr>
          <w:rFonts w:hint="eastAsia" w:ascii="宋体"/>
          <w:color w:val="auto"/>
          <w:sz w:val="24"/>
          <w:szCs w:val="21"/>
          <w:highlight w:val="none"/>
          <w:lang w:bidi="ar"/>
        </w:rPr>
        <w:t>（</w:t>
      </w:r>
      <w:r>
        <w:rPr>
          <w:rFonts w:hint="eastAsia" w:ascii="宋体" w:eastAsia="Times New Roman"/>
          <w:color w:val="auto"/>
          <w:sz w:val="24"/>
          <w:szCs w:val="21"/>
          <w:highlight w:val="none"/>
          <w:lang w:bidi="ar"/>
        </w:rPr>
        <w:t>10）</w:t>
      </w:r>
      <w:r>
        <w:rPr>
          <w:rFonts w:hint="eastAsia" w:ascii="宋体"/>
          <w:color w:val="auto"/>
          <w:sz w:val="24"/>
          <w:szCs w:val="21"/>
          <w:highlight w:val="none"/>
          <w:lang w:bidi="ar"/>
        </w:rPr>
        <w:t>项目负责人安全生产考核合格证明或在有效期内的安全考核合格证书（</w:t>
      </w:r>
      <w:r>
        <w:rPr>
          <w:rFonts w:hint="eastAsia" w:ascii="宋体" w:eastAsia="Times New Roman"/>
          <w:color w:val="auto"/>
          <w:sz w:val="24"/>
          <w:szCs w:val="21"/>
          <w:highlight w:val="none"/>
          <w:lang w:bidi="ar"/>
        </w:rPr>
        <w:t>B类）或建筑施工企业项目负责人安全生产考核合格证书（取自平台内上传件）</w:t>
      </w:r>
      <w:r>
        <w:rPr>
          <w:rFonts w:hint="eastAsia" w:ascii="宋体"/>
          <w:color w:val="auto"/>
          <w:sz w:val="24"/>
          <w:szCs w:val="21"/>
          <w:highlight w:val="none"/>
          <w:lang w:bidi="ar"/>
        </w:rPr>
        <w:t>；</w:t>
      </w:r>
    </w:p>
    <w:p w14:paraId="08A81CA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（11）专职安全员须具有在有效期内的安全考核合格证书（C 类）或建筑施工企业专职安全生产管理人员安全生产考核合格证书（取自平台内上传件）；</w:t>
      </w:r>
    </w:p>
    <w:p w14:paraId="0A3607D2">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（12）用于资格审查的业绩（设置业绩要求时选择此项，投标人须提供类似工程业绩的项目名称及项目编号，具体格式由招标人自定）；</w:t>
      </w:r>
    </w:p>
    <w:p w14:paraId="7BFD0336">
      <w:pPr>
        <w:spacing w:line="360" w:lineRule="auto"/>
        <w:ind w:firstLine="480" w:firstLineChars="200"/>
        <w:rPr>
          <w:rFonts w:asci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3</w:t>
      </w:r>
      <w:r>
        <w:rPr>
          <w:rFonts w:hint="eastAsia" w:ascii="宋体"/>
          <w:color w:val="auto"/>
          <w:sz w:val="24"/>
          <w:szCs w:val="21"/>
          <w:highlight w:val="none"/>
        </w:rPr>
        <w:t>）资格审查前，投标人须在广州市住房和城乡建设局建立企业信用档案，拟担任本工程项目负责人、专职安全员须是本企业信用档案中的在册人员。</w:t>
      </w:r>
    </w:p>
    <w:p w14:paraId="04BD05B2">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4</w:t>
      </w:r>
      <w:r>
        <w:rPr>
          <w:rFonts w:hint="eastAsia" w:ascii="宋体"/>
          <w:color w:val="auto"/>
          <w:sz w:val="24"/>
          <w:szCs w:val="21"/>
          <w:highlight w:val="none"/>
        </w:rPr>
        <w:t>）</w:t>
      </w:r>
      <w:r>
        <w:rPr>
          <w:rFonts w:hint="eastAsia" w:ascii="宋体" w:hAnsi="宋体"/>
          <w:color w:val="auto"/>
          <w:sz w:val="24"/>
          <w:szCs w:val="21"/>
          <w:highlight w:val="none"/>
        </w:rPr>
        <w:t>列明主办单位的联合体工作协议（采用联合体投标时需递交，投标人拟任本工程项目负责人应为联合体主办方信用档案中的在册人员，联合体工作协议应明确约定各方拟承担的工作和责任）；</w:t>
      </w:r>
    </w:p>
    <w:p w14:paraId="7F16CEAA">
      <w:pPr>
        <w:spacing w:line="360" w:lineRule="auto"/>
        <w:ind w:firstLine="480" w:firstLineChars="200"/>
        <w:rPr>
          <w:rFonts w:ascii="宋体" w:hAnsi="宋体"/>
          <w:color w:val="auto"/>
          <w:sz w:val="24"/>
          <w:szCs w:val="21"/>
          <w:highlight w:val="none"/>
        </w:rPr>
      </w:pPr>
      <w:r>
        <w:rPr>
          <w:rFonts w:hint="eastAsia" w:ascii="宋体"/>
          <w:color w:val="auto"/>
          <w:sz w:val="24"/>
          <w:szCs w:val="21"/>
          <w:highlight w:val="none"/>
        </w:rPr>
        <w:t>（1</w:t>
      </w:r>
      <w:r>
        <w:rPr>
          <w:rFonts w:ascii="宋体"/>
          <w:color w:val="auto"/>
          <w:sz w:val="24"/>
          <w:szCs w:val="21"/>
          <w:highlight w:val="none"/>
        </w:rPr>
        <w:t>5</w:t>
      </w:r>
      <w:r>
        <w:rPr>
          <w:rFonts w:hint="eastAsia" w:ascii="宋体"/>
          <w:color w:val="auto"/>
          <w:sz w:val="24"/>
          <w:szCs w:val="21"/>
          <w:highlight w:val="none"/>
        </w:rPr>
        <w:t>）</w:t>
      </w:r>
      <w:r>
        <w:rPr>
          <w:rFonts w:hint="eastAsia" w:ascii="宋体" w:hAnsi="宋体"/>
          <w:color w:val="auto"/>
          <w:sz w:val="24"/>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 50%或以上的大、中修市政公用工程需提供该项内容的证明文件）。</w:t>
      </w:r>
    </w:p>
    <w:p w14:paraId="7A402E43">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14:paraId="1249A80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14:paraId="36FCB73F">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14:paraId="3CE67B34">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14:paraId="268746BD">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14:paraId="15A9820A">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施工组织设计或施工方案。（投标人在编制施工组织设计或施工方案时应按照招标人提出的施工现场建筑垃圾源头减量的具体要求以及建筑垃圾综合利用产品的使用要求提供相应措施。）</w:t>
      </w:r>
    </w:p>
    <w:p w14:paraId="6DD07D53">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14:paraId="6D8D63F1">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14:paraId="718E6755">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14:paraId="112A7F78">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14:paraId="1321EC6A">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14:paraId="1D9E915F">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14:paraId="35B096A2">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（3）工程项目投标报价汇总表；</w:t>
      </w:r>
    </w:p>
    <w:p w14:paraId="780B7EBA">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（4）单项工程投标报价汇总表；</w:t>
      </w:r>
    </w:p>
    <w:p w14:paraId="4B710EB1">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（5）单位工程投标报价汇总表；</w:t>
      </w:r>
    </w:p>
    <w:p w14:paraId="6820A4C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（6）分部分项工程清单与计价表；</w:t>
      </w:r>
    </w:p>
    <w:p w14:paraId="2F1D40A3">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（7）单价措施项目清单与计价表；</w:t>
      </w:r>
    </w:p>
    <w:p w14:paraId="79792275">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（8）总价措施项目清单与计价表；</w:t>
      </w:r>
    </w:p>
    <w:p w14:paraId="679C183B">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（9）综合单价分析表；</w:t>
      </w:r>
    </w:p>
    <w:p w14:paraId="67526FF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（10）其他项目清单与计价汇总表；</w:t>
      </w:r>
    </w:p>
    <w:p w14:paraId="2D17D5E8">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（11）暂列金额明细表；</w:t>
      </w:r>
    </w:p>
    <w:p w14:paraId="5B3E0A3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（12）材料（工程设备）暂估价明细表；</w:t>
      </w:r>
    </w:p>
    <w:p w14:paraId="02B009DE">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（13）专业工程暂估价明细表；</w:t>
      </w:r>
    </w:p>
    <w:p w14:paraId="517857A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（14）计日工表；</w:t>
      </w:r>
    </w:p>
    <w:p w14:paraId="19B197D6">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（15）总承包服务计价表；</w:t>
      </w:r>
    </w:p>
    <w:p w14:paraId="00D468FC">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（16）规费和税金项目计价表；</w:t>
      </w:r>
    </w:p>
    <w:p w14:paraId="0EE9473C">
      <w:pPr>
        <w:spacing w:line="360" w:lineRule="auto"/>
        <w:ind w:firstLine="566" w:firstLineChars="236"/>
        <w:rPr>
          <w:rFonts w:ascii="宋体"/>
          <w:color w:val="auto"/>
          <w:sz w:val="24"/>
          <w:highlight w:val="none"/>
        </w:rPr>
      </w:pPr>
      <w:r>
        <w:rPr>
          <w:rFonts w:hint="eastAsia" w:ascii="宋体" w:hAnsi="宋体"/>
          <w:color w:val="auto"/>
          <w:sz w:val="24"/>
          <w:szCs w:val="24"/>
          <w:highlight w:val="none"/>
        </w:rPr>
        <w:t>（17）人工、主要材料和设备一览表。</w:t>
      </w:r>
    </w:p>
    <w:p w14:paraId="1616F053">
      <w:pPr>
        <w:spacing w:line="360" w:lineRule="auto"/>
        <w:ind w:firstLine="566" w:firstLineChars="236"/>
        <w:rPr>
          <w:rFonts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3按照招标文件要求填写的《参与编制经济标投标文件人员名单》。</w:t>
      </w:r>
    </w:p>
    <w:p w14:paraId="2C351366">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088E48BA">
      <w:pPr>
        <w:spacing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14:paraId="6C27690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12.1</w:t>
      </w:r>
      <w:r>
        <w:rPr>
          <w:rFonts w:hint="eastAsia" w:ascii="宋体" w:hAnsi="宋体"/>
          <w:color w:val="auto"/>
          <w:sz w:val="24"/>
          <w:szCs w:val="24"/>
          <w:highlight w:val="none"/>
        </w:rPr>
        <w:t>投标文件包括本须知第 11 条中规定的内容，投标人提交的投标文件应当使用招标文件所提供的投标文件全部格式（表格可以按同样格式扩展）。</w:t>
      </w:r>
    </w:p>
    <w:p w14:paraId="3AD507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w:t>
      </w:r>
      <w:r>
        <w:rPr>
          <w:rFonts w:hint="eastAsia"/>
          <w:color w:val="auto"/>
          <w:sz w:val="24"/>
          <w:szCs w:val="24"/>
          <w:highlight w:val="none"/>
        </w:rPr>
        <w:t>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02E17C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highlight w:val="none"/>
        </w:rPr>
        <w:t>。</w:t>
      </w:r>
    </w:p>
    <w:p w14:paraId="21A15EC7">
      <w:pPr>
        <w:spacing w:line="360" w:lineRule="auto"/>
        <w:ind w:firstLine="42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14:paraId="7916183B">
      <w:pPr>
        <w:spacing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1959362D">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 12 项所规定的方式。投标报价（含单价及总价）精确到“分”。</w:t>
      </w:r>
    </w:p>
    <w:p w14:paraId="0ECD3A2D">
      <w:pPr>
        <w:spacing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B0ABC31">
      <w:pPr>
        <w:spacing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w:t>
      </w:r>
      <w:r>
        <w:rPr>
          <w:rFonts w:hint="eastAsia" w:ascii="宋体" w:hAnsi="宋体"/>
          <w:strike/>
          <w:color w:val="auto"/>
          <w:sz w:val="24"/>
          <w:szCs w:val="24"/>
          <w:highlight w:val="none"/>
        </w:rPr>
        <w:t>规费、</w:t>
      </w:r>
      <w:r>
        <w:rPr>
          <w:rFonts w:hint="eastAsia" w:ascii="宋体" w:hAnsi="宋体"/>
          <w:color w:val="auto"/>
          <w:sz w:val="24"/>
          <w:szCs w:val="24"/>
          <w:highlight w:val="none"/>
        </w:rPr>
        <w:t>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179F93C">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13.4</w:t>
      </w:r>
      <w:r>
        <w:rPr>
          <w:rFonts w:hint="eastAsia" w:ascii="宋体" w:hAnsi="宋体"/>
          <w:color w:val="auto"/>
          <w:sz w:val="24"/>
          <w:szCs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0ECE16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1E68852A">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13.5.1</w:t>
      </w:r>
      <w:r>
        <w:rPr>
          <w:rFonts w:hint="eastAsia" w:ascii="宋体" w:hAnsi="宋体"/>
          <w:color w:val="auto"/>
          <w:sz w:val="24"/>
          <w:szCs w:val="20"/>
          <w:highlight w:val="none"/>
        </w:rPr>
        <w:t>中标的投标文件工程量清单中已有相同项目的适用综合单价，则沿用；</w:t>
      </w:r>
    </w:p>
    <w:p w14:paraId="41DF7D40">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13.5.2</w:t>
      </w:r>
      <w:r>
        <w:rPr>
          <w:rFonts w:hint="eastAsia" w:ascii="宋体" w:hAnsi="宋体"/>
          <w:color w:val="auto"/>
          <w:sz w:val="24"/>
          <w:szCs w:val="20"/>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62E0E25">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13.5.3 </w:t>
      </w:r>
      <w:r>
        <w:rPr>
          <w:rFonts w:hint="eastAsia" w:ascii="宋体" w:hAnsi="宋体"/>
          <w:color w:val="auto"/>
          <w:sz w:val="24"/>
          <w:szCs w:val="20"/>
          <w:highlight w:val="none"/>
        </w:rPr>
        <w:t>中标的投标文件工程量清单中没有相同项目或类似项目的，如可套取相关定额，则以相关定额为基数下浮计算单价，下浮率为中标价</w:t>
      </w:r>
      <w:r>
        <w:rPr>
          <w:rFonts w:hint="eastAsia" w:ascii="宋体" w:hAnsi="宋体"/>
          <w:color w:val="auto"/>
          <w:sz w:val="24"/>
          <w:szCs w:val="24"/>
          <w:highlight w:val="none"/>
        </w:rPr>
        <w:t>相对于最高投标限价的下</w:t>
      </w:r>
      <w:r>
        <w:rPr>
          <w:rFonts w:hint="eastAsia" w:ascii="宋体" w:hAnsi="宋体"/>
          <w:color w:val="auto"/>
          <w:sz w:val="24"/>
          <w:szCs w:val="20"/>
          <w:highlight w:val="none"/>
        </w:rPr>
        <w:t>浮率（下浮率</w:t>
      </w:r>
      <w:r>
        <w:rPr>
          <w:rFonts w:ascii="宋体" w:hAnsi="宋体"/>
          <w:color w:val="auto"/>
          <w:sz w:val="24"/>
          <w:szCs w:val="20"/>
          <w:highlight w:val="none"/>
        </w:rPr>
        <w:t>=(</w:t>
      </w:r>
      <w:r>
        <w:rPr>
          <w:rFonts w:hint="eastAsia" w:ascii="宋体" w:hAnsi="宋体"/>
          <w:color w:val="auto"/>
          <w:sz w:val="24"/>
          <w:szCs w:val="24"/>
          <w:highlight w:val="none"/>
        </w:rPr>
        <w:t>最高投标限价</w:t>
      </w:r>
      <w:r>
        <w:rPr>
          <w:rFonts w:ascii="宋体"/>
          <w:color w:val="auto"/>
          <w:sz w:val="24"/>
          <w:szCs w:val="20"/>
          <w:highlight w:val="none"/>
        </w:rPr>
        <w:t>-</w:t>
      </w:r>
      <w:r>
        <w:rPr>
          <w:rFonts w:hint="eastAsia" w:ascii="宋体" w:hAnsi="宋体"/>
          <w:color w:val="auto"/>
          <w:sz w:val="24"/>
          <w:szCs w:val="20"/>
          <w:highlight w:val="none"/>
        </w:rPr>
        <w:t>中标价</w:t>
      </w:r>
      <w:r>
        <w:rPr>
          <w:rFonts w:ascii="宋体" w:hAnsi="宋体"/>
          <w:color w:val="auto"/>
          <w:sz w:val="24"/>
          <w:szCs w:val="20"/>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szCs w:val="20"/>
          <w:highlight w:val="none"/>
        </w:rPr>
        <w:t>）。</w:t>
      </w:r>
    </w:p>
    <w:p w14:paraId="23AB00D7">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 xml:space="preserve">13.5.4 </w:t>
      </w:r>
      <w:r>
        <w:rPr>
          <w:rFonts w:hint="eastAsia" w:ascii="宋体" w:hAnsi="宋体"/>
          <w:color w:val="auto"/>
          <w:sz w:val="24"/>
          <w:szCs w:val="20"/>
          <w:highlight w:val="none"/>
        </w:rPr>
        <w:t>如相关定额没有相应子目的，其计价方式由招标人在本招标文件第三章中另行规定。未规定的，中标后双方协商约定。</w:t>
      </w:r>
    </w:p>
    <w:p w14:paraId="5E208216">
      <w:pPr>
        <w:spacing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20D6B13D">
      <w:pPr>
        <w:spacing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024BBD54">
      <w:pPr>
        <w:spacing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661F506F">
      <w:pPr>
        <w:spacing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4FEFEC27">
      <w:pPr>
        <w:spacing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6065DA9B">
      <w:pPr>
        <w:spacing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7C813118">
      <w:pPr>
        <w:spacing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4CEF272">
      <w:pPr>
        <w:spacing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765BCE18">
      <w:pPr>
        <w:spacing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742A269B">
      <w:pPr>
        <w:spacing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个同等档次品牌或分包商供投标人报价时选择，凡招标人在招标文件中提出参考品牌的，必须在参考品牌后面加上“或相当于”字样。</w:t>
      </w:r>
    </w:p>
    <w:p w14:paraId="5F032B51">
      <w:pPr>
        <w:spacing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C6C02DD">
      <w:pPr>
        <w:spacing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69A91AEC">
      <w:pPr>
        <w:spacing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367DE8D6">
      <w:pPr>
        <w:spacing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4F34C0BC">
      <w:pPr>
        <w:spacing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14:paraId="5DC09CF5">
      <w:pPr>
        <w:spacing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5BA60AFC">
      <w:pPr>
        <w:spacing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14:paraId="2C1B9A66">
      <w:pPr>
        <w:spacing w:line="360" w:lineRule="auto"/>
        <w:ind w:firstLine="480" w:firstLineChars="200"/>
        <w:rPr>
          <w:color w:val="auto"/>
          <w:sz w:val="24"/>
          <w:szCs w:val="24"/>
          <w:highlight w:val="none"/>
        </w:rPr>
      </w:pPr>
      <w:r>
        <w:rPr>
          <w:rFonts w:hint="eastAsia"/>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20DCDD59">
      <w:pPr>
        <w:spacing w:line="360" w:lineRule="auto"/>
        <w:ind w:firstLine="480" w:firstLineChars="200"/>
        <w:rPr>
          <w:color w:val="auto"/>
          <w:sz w:val="24"/>
          <w:szCs w:val="24"/>
          <w:highlight w:val="none"/>
        </w:rPr>
      </w:pPr>
      <w:r>
        <w:rPr>
          <w:rFonts w:hint="eastAsia"/>
          <w:color w:val="auto"/>
          <w:sz w:val="24"/>
          <w:szCs w:val="24"/>
          <w:highlight w:val="none"/>
        </w:rPr>
        <w:t>16.1.1 采用现金或者支票形式提交的，投标保证金须从投标人的银行基本账户转出。</w:t>
      </w:r>
    </w:p>
    <w:p w14:paraId="1A1064D9">
      <w:pPr>
        <w:spacing w:line="360" w:lineRule="auto"/>
        <w:ind w:firstLine="480" w:firstLineChars="200"/>
        <w:rPr>
          <w:color w:val="auto"/>
          <w:sz w:val="24"/>
          <w:szCs w:val="24"/>
          <w:highlight w:val="none"/>
        </w:rPr>
      </w:pPr>
      <w:r>
        <w:rPr>
          <w:rFonts w:hint="eastAsia"/>
          <w:color w:val="auto"/>
          <w:sz w:val="24"/>
          <w:szCs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E471577">
      <w:pPr>
        <w:spacing w:line="360" w:lineRule="auto"/>
        <w:ind w:firstLine="480" w:firstLineChars="200"/>
        <w:rPr>
          <w:color w:val="auto"/>
          <w:sz w:val="24"/>
          <w:szCs w:val="24"/>
          <w:highlight w:val="none"/>
        </w:rPr>
      </w:pPr>
      <w:r>
        <w:rPr>
          <w:rFonts w:hint="eastAsia"/>
          <w:color w:val="auto"/>
          <w:sz w:val="24"/>
          <w:szCs w:val="24"/>
          <w:highlight w:val="none"/>
        </w:rPr>
        <w:t>16.1.3 采用电子形式的保函、担保或保证保险提交投标保证金的，应在招标文件中明确电子递交途径。</w:t>
      </w:r>
    </w:p>
    <w:p w14:paraId="5D9308FD">
      <w:pPr>
        <w:spacing w:line="360" w:lineRule="auto"/>
        <w:ind w:firstLine="480" w:firstLineChars="200"/>
        <w:rPr>
          <w:color w:val="auto"/>
          <w:sz w:val="24"/>
          <w:szCs w:val="24"/>
          <w:highlight w:val="none"/>
        </w:rPr>
      </w:pPr>
      <w:r>
        <w:rPr>
          <w:rFonts w:hint="eastAsia"/>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5E52B0BC">
      <w:pPr>
        <w:spacing w:line="360" w:lineRule="auto"/>
        <w:ind w:firstLine="480" w:firstLineChars="200"/>
        <w:rPr>
          <w:color w:val="auto"/>
          <w:sz w:val="24"/>
          <w:szCs w:val="24"/>
          <w:highlight w:val="none"/>
        </w:rPr>
      </w:pPr>
      <w:r>
        <w:rPr>
          <w:rFonts w:hint="eastAsia"/>
          <w:color w:val="auto"/>
          <w:sz w:val="24"/>
          <w:szCs w:val="24"/>
          <w:highlight w:val="none"/>
        </w:rPr>
        <w:t>16.3投标保证金应依据法律法规的相关规定退还。</w:t>
      </w:r>
    </w:p>
    <w:p w14:paraId="709471BB">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如有下列情况之一的，招标人可以不予退还投标保证金（是否退还投标保证金由招标人在招标文件中规定）：</w:t>
      </w:r>
    </w:p>
    <w:p w14:paraId="51D5D765">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.1因投标人原因造成投标文件未解密的；</w:t>
      </w:r>
    </w:p>
    <w:p w14:paraId="13A9D53B">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.2投标人在投标有效期内撤销投标文件；</w:t>
      </w:r>
    </w:p>
    <w:p w14:paraId="375C7295">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.3中标人未能在规定期限内按要求提交履约担保；</w:t>
      </w:r>
    </w:p>
    <w:p w14:paraId="036E559B">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4</w:t>
      </w:r>
      <w:r>
        <w:rPr>
          <w:rFonts w:hint="eastAsia"/>
          <w:color w:val="auto"/>
          <w:sz w:val="24"/>
          <w:szCs w:val="24"/>
          <w:highlight w:val="none"/>
        </w:rPr>
        <w:t>.4中标人未能在规定期限内签署合同协议。</w:t>
      </w:r>
    </w:p>
    <w:p w14:paraId="3B1FAD31">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投标人如存在下列情况之一的，将被拒绝在一定时期内参与招标人后续工程投标（拒绝时限需在招标文件中明确）：</w:t>
      </w:r>
    </w:p>
    <w:p w14:paraId="22B4B3F5">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.1投标人存在 16.4 条款所列情形且投标人提交的保函、担保或保证保险无法兑付的；</w:t>
      </w:r>
    </w:p>
    <w:p w14:paraId="0A689953">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.2采用非电子形式提交投标保证金的投标人存在 16.4 条款所列情形，且未按招标人要求补交银行保函、专业工程担保公司担保或保证保险原件的；</w:t>
      </w:r>
    </w:p>
    <w:p w14:paraId="48B9057E">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条款所列情形，且未按招标人要求补交投标保证金的；</w:t>
      </w:r>
    </w:p>
    <w:p w14:paraId="0609530C">
      <w:pPr>
        <w:spacing w:line="360" w:lineRule="auto"/>
        <w:ind w:firstLine="480" w:firstLineChars="200"/>
        <w:rPr>
          <w:color w:val="auto"/>
          <w:sz w:val="24"/>
          <w:szCs w:val="24"/>
          <w:highlight w:val="none"/>
        </w:rPr>
      </w:pPr>
      <w:r>
        <w:rPr>
          <w:rFonts w:hint="eastAsia"/>
          <w:color w:val="auto"/>
          <w:sz w:val="24"/>
          <w:szCs w:val="24"/>
          <w:highlight w:val="none"/>
        </w:rPr>
        <w:t>16.</w:t>
      </w:r>
      <w:r>
        <w:rPr>
          <w:color w:val="auto"/>
          <w:sz w:val="24"/>
          <w:szCs w:val="24"/>
          <w:highlight w:val="none"/>
        </w:rPr>
        <w:t>5</w:t>
      </w: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按招标文件要求免于提供投标保证金的投标人存在 16.4 条款所列情形的。</w:t>
      </w:r>
    </w:p>
    <w:p w14:paraId="045B887F">
      <w:pPr>
        <w:spacing w:line="360" w:lineRule="auto"/>
        <w:ind w:firstLine="480" w:firstLineChars="200"/>
        <w:rPr>
          <w:color w:val="auto"/>
          <w:sz w:val="24"/>
          <w:szCs w:val="24"/>
          <w:highlight w:val="none"/>
        </w:rPr>
      </w:pPr>
      <w:r>
        <w:rPr>
          <w:rFonts w:hint="eastAsia"/>
          <w:color w:val="auto"/>
          <w:sz w:val="24"/>
          <w:szCs w:val="24"/>
          <w:highlight w:val="none"/>
        </w:rPr>
        <w:t>注：16.5.3 款由招标人二选一，需在招标文件中明确。</w:t>
      </w:r>
    </w:p>
    <w:p w14:paraId="4DE0AB48">
      <w:pPr>
        <w:spacing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14:paraId="175FD95D">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highlight w:val="none"/>
        </w:rPr>
        <w:t>。</w:t>
      </w:r>
    </w:p>
    <w:p w14:paraId="20720AB0">
      <w:pPr>
        <w:widowControl/>
        <w:spacing w:before="100" w:beforeAutospacing="1" w:after="100" w:afterAutospacing="1"/>
        <w:jc w:val="left"/>
        <w:outlineLvl w:val="2"/>
        <w:rPr>
          <w:rFonts w:ascii="宋体" w:hAnsi="宋体"/>
          <w:color w:val="auto"/>
          <w:kern w:val="0"/>
          <w:sz w:val="27"/>
          <w:szCs w:val="27"/>
          <w:highlight w:val="none"/>
        </w:rPr>
      </w:pPr>
      <w:bookmarkStart w:id="16" w:name="_Toc62056021"/>
      <w:bookmarkStart w:id="17" w:name="_Toc2272552"/>
      <w:r>
        <w:rPr>
          <w:rFonts w:hint="eastAsia" w:ascii="宋体" w:hAnsi="宋体"/>
          <w:color w:val="auto"/>
          <w:kern w:val="0"/>
          <w:sz w:val="27"/>
          <w:szCs w:val="27"/>
          <w:highlight w:val="none"/>
        </w:rPr>
        <w:t>（四）投标文件的提交</w:t>
      </w:r>
      <w:bookmarkEnd w:id="16"/>
      <w:bookmarkEnd w:id="17"/>
    </w:p>
    <w:p w14:paraId="2E449702">
      <w:pPr>
        <w:spacing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14:paraId="7C8929BE">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w:t>
      </w:r>
    </w:p>
    <w:p w14:paraId="62C7A348">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14:paraId="27862249">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6BB547E1">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33D6B367">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717BD81F">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5153C58E">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640F7C1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19.</w:t>
      </w:r>
      <w:r>
        <w:rPr>
          <w:rFonts w:hint="eastAsia" w:ascii="宋体" w:hAnsi="宋体"/>
          <w:color w:val="auto"/>
          <w:sz w:val="24"/>
          <w:szCs w:val="24"/>
          <w:highlight w:val="none"/>
        </w:rPr>
        <w:t>5如技术标和经济标先后分别开启，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交易平台将按招标文件规定的时间分别开启技术标和经济标。</w:t>
      </w:r>
    </w:p>
    <w:p w14:paraId="7BE0EF10">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0DB84FB9">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517E24E5">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1A9CF75A">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 3 家的，招标人将重新组织招标（当 N 个标段同时招标且不允许兼中时，若有效投标人不足 N+2 家，则重新组织招标）。</w:t>
      </w:r>
    </w:p>
    <w:p w14:paraId="356F7075">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5D3B1167">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84E7E38">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0216FD15">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22DB9A5F">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22914FFB">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14:paraId="6A6720AF">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7D2BEB0D">
      <w:pPr>
        <w:widowControl/>
        <w:spacing w:before="100" w:beforeAutospacing="1" w:after="100" w:afterAutospacing="1"/>
        <w:jc w:val="left"/>
        <w:outlineLvl w:val="2"/>
        <w:rPr>
          <w:rFonts w:ascii="宋体" w:hAnsi="宋体"/>
          <w:color w:val="auto"/>
          <w:kern w:val="0"/>
          <w:sz w:val="27"/>
          <w:szCs w:val="27"/>
          <w:highlight w:val="none"/>
        </w:rPr>
      </w:pPr>
      <w:bookmarkStart w:id="18" w:name="_Toc62056022"/>
      <w:bookmarkStart w:id="19" w:name="_Toc2272553"/>
      <w:r>
        <w:rPr>
          <w:rFonts w:hint="eastAsia" w:ascii="宋体" w:hAnsi="宋体"/>
          <w:color w:val="auto"/>
          <w:kern w:val="0"/>
          <w:sz w:val="27"/>
          <w:szCs w:val="27"/>
          <w:highlight w:val="none"/>
        </w:rPr>
        <w:t>（五）开标、评标、定标及合同签定</w:t>
      </w:r>
      <w:bookmarkEnd w:id="18"/>
      <w:bookmarkEnd w:id="19"/>
    </w:p>
    <w:p w14:paraId="01C4FDFA">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38A4F758">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7C863D21">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7F92118">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45092CB1">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40B65721">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696CCD29">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46712420">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33CCE3A1">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0C234F2E">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14:paraId="0F94EE0A">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w:t>
      </w:r>
    </w:p>
    <w:p w14:paraId="48520EAC">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14:paraId="1835CFAE">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4F8420D1">
      <w:pPr>
        <w:spacing w:line="360" w:lineRule="auto"/>
        <w:ind w:firstLine="480" w:firstLineChars="200"/>
        <w:rPr>
          <w:rFonts w:ascii="宋体" w:hAnsi="宋体"/>
          <w:color w:val="auto"/>
          <w:sz w:val="24"/>
          <w:highlight w:val="none"/>
          <w:u w:val="singl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7EC30E9B">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14:paraId="0E837B7B">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5A0B08CF">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224E1C4">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20CF32DB">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14:paraId="200BA6F6">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14:paraId="2FD839B5">
      <w:pPr>
        <w:snapToGrid w:val="0"/>
        <w:spacing w:line="360" w:lineRule="auto"/>
        <w:ind w:firstLine="480" w:firstLineChars="200"/>
        <w:rPr>
          <w:rFonts w:ascii="宋体"/>
          <w:color w:val="auto"/>
          <w:sz w:val="24"/>
          <w:highlight w:val="none"/>
        </w:rPr>
      </w:pPr>
      <w:r>
        <w:rPr>
          <w:rFonts w:ascii="宋体" w:hAnsi="宋体"/>
          <w:color w:val="auto"/>
          <w:sz w:val="24"/>
          <w:highlight w:val="none"/>
        </w:rPr>
        <w:t>29.1</w:t>
      </w:r>
      <w:r>
        <w:rPr>
          <w:rFonts w:hint="eastAsia" w:ascii="宋体" w:hAnsi="宋体"/>
          <w:color w:val="auto"/>
          <w:sz w:val="24"/>
          <w:highlight w:val="none"/>
        </w:rPr>
        <w:t>在收到中标通知书后的的</w:t>
      </w:r>
      <w:r>
        <w:rPr>
          <w:rFonts w:hint="eastAsia" w:ascii="宋体" w:hAnsi="宋体"/>
          <w:b/>
          <w:color w:val="auto"/>
          <w:sz w:val="24"/>
          <w:highlight w:val="none"/>
        </w:rPr>
        <w:t>15日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4A6D4E81">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在签订合同后中标通知书发出之日起</w:t>
      </w:r>
      <w:r>
        <w:rPr>
          <w:rFonts w:hint="eastAsia" w:ascii="宋体" w:hAnsi="宋体"/>
          <w:b/>
          <w:color w:val="auto"/>
          <w:sz w:val="24"/>
          <w:highlight w:val="none"/>
        </w:rPr>
        <w:t>15日</w:t>
      </w:r>
      <w:r>
        <w:rPr>
          <w:rFonts w:hint="eastAsia" w:ascii="宋体" w:hAnsi="宋体"/>
          <w:color w:val="auto"/>
          <w:sz w:val="24"/>
          <w:highlight w:val="none"/>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FE831B0">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14:paraId="48F39070">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14:paraId="05C013F1">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14:paraId="39B1D4AC">
      <w:pPr>
        <w:spacing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14:paraId="1C3D0AA0">
      <w:pPr>
        <w:spacing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6419F962">
      <w:pPr>
        <w:spacing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674766F9">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099F7416">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0BD2A623">
      <w:pPr>
        <w:spacing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14:paraId="26B24388">
      <w:pPr>
        <w:widowControl/>
        <w:spacing w:line="360" w:lineRule="auto"/>
        <w:ind w:firstLine="480" w:firstLineChars="200"/>
        <w:jc w:val="left"/>
        <w:rPr>
          <w:rFonts w:ascii="宋体" w:hAnsi="宋体"/>
          <w:color w:val="auto"/>
          <w:sz w:val="24"/>
          <w:highlight w:val="none"/>
        </w:rPr>
      </w:pPr>
      <w:r>
        <w:rPr>
          <w:rFonts w:ascii="宋体" w:hAnsi="宋体"/>
          <w:color w:val="auto"/>
          <w:sz w:val="24"/>
          <w:highlight w:val="none"/>
        </w:rPr>
        <w:t>32.3</w:t>
      </w:r>
      <w:r>
        <w:rPr>
          <w:rFonts w:ascii="宋体" w:hAnsi="宋体" w:eastAsia="Times New Roman"/>
          <w:color w:val="auto"/>
          <w:sz w:val="24"/>
          <w:highlight w:val="none"/>
          <w:lang w:bidi="ar"/>
        </w:rPr>
        <w:t>投标人如在本项目中存在串通投标、弄虚作假骗取中标、行贿情形的，中标无效，行政监督部门将对其违法行为进行政处罚。该投标人将被招标人列入黑名单并限制其参与招标人后续项目的投标。</w:t>
      </w:r>
    </w:p>
    <w:p w14:paraId="49742D2A">
      <w:pPr>
        <w:keepNext/>
        <w:keepLines/>
        <w:spacing w:before="120" w:after="120" w:line="360" w:lineRule="auto"/>
        <w:jc w:val="center"/>
        <w:outlineLvl w:val="0"/>
        <w:rPr>
          <w:b/>
          <w:color w:val="auto"/>
          <w:kern w:val="44"/>
          <w:sz w:val="28"/>
          <w:szCs w:val="28"/>
          <w:highlight w:val="none"/>
        </w:rPr>
      </w:pPr>
      <w:r>
        <w:rPr>
          <w:rFonts w:ascii="宋体"/>
          <w:color w:val="auto"/>
          <w:kern w:val="44"/>
          <w:sz w:val="24"/>
          <w:szCs w:val="28"/>
          <w:highlight w:val="none"/>
        </w:rPr>
        <w:br w:type="page"/>
      </w:r>
      <w:bookmarkStart w:id="20" w:name="_Toc2272554"/>
      <w:bookmarkStart w:id="21" w:name="_Toc62056023"/>
      <w:r>
        <w:rPr>
          <w:rFonts w:hint="eastAsia"/>
          <w:b/>
          <w:color w:val="auto"/>
          <w:kern w:val="44"/>
          <w:sz w:val="28"/>
          <w:szCs w:val="28"/>
          <w:highlight w:val="none"/>
        </w:rPr>
        <w:t>第二章</w:t>
      </w:r>
      <w:r>
        <w:rPr>
          <w:b/>
          <w:color w:val="auto"/>
          <w:kern w:val="44"/>
          <w:sz w:val="28"/>
          <w:szCs w:val="28"/>
          <w:highlight w:val="none"/>
        </w:rPr>
        <w:t xml:space="preserve">  </w:t>
      </w:r>
      <w:r>
        <w:rPr>
          <w:rFonts w:hint="eastAsia"/>
          <w:b/>
          <w:color w:val="auto"/>
          <w:kern w:val="44"/>
          <w:sz w:val="28"/>
          <w:szCs w:val="28"/>
          <w:highlight w:val="none"/>
        </w:rPr>
        <w:t>开标、评标及定标办法</w:t>
      </w:r>
      <w:bookmarkEnd w:id="20"/>
      <w:bookmarkEnd w:id="21"/>
    </w:p>
    <w:p w14:paraId="7224BE7F">
      <w:pPr>
        <w:keepNext/>
        <w:keepLines/>
        <w:spacing w:before="120" w:after="120" w:line="415" w:lineRule="auto"/>
        <w:jc w:val="center"/>
        <w:outlineLvl w:val="1"/>
        <w:rPr>
          <w:rFonts w:ascii="Arial" w:hAnsi="Arial"/>
          <w:b/>
          <w:color w:val="auto"/>
          <w:sz w:val="28"/>
          <w:szCs w:val="24"/>
          <w:highlight w:val="none"/>
        </w:rPr>
      </w:pPr>
      <w:bookmarkStart w:id="22" w:name="_Toc2272555"/>
      <w:bookmarkStart w:id="23" w:name="_Toc62056024"/>
      <w:r>
        <w:rPr>
          <w:rFonts w:hint="eastAsia" w:ascii="Arial" w:hAnsi="Arial"/>
          <w:b/>
          <w:color w:val="auto"/>
          <w:sz w:val="28"/>
          <w:szCs w:val="28"/>
          <w:highlight w:val="none"/>
        </w:rPr>
        <w:t>一、</w:t>
      </w:r>
      <w:r>
        <w:rPr>
          <w:rFonts w:hint="eastAsia" w:ascii="Arial" w:hAnsi="Arial"/>
          <w:b/>
          <w:color w:val="auto"/>
          <w:sz w:val="28"/>
          <w:szCs w:val="24"/>
          <w:highlight w:val="none"/>
        </w:rPr>
        <w:t>开标、评标及定标办法修改表</w:t>
      </w:r>
      <w:bookmarkEnd w:id="22"/>
      <w:bookmarkEnd w:id="23"/>
    </w:p>
    <w:p w14:paraId="6289F7A8">
      <w:pPr>
        <w:spacing w:line="360" w:lineRule="auto"/>
        <w:ind w:firstLine="420"/>
        <w:rPr>
          <w:b/>
          <w:color w:val="auto"/>
          <w:szCs w:val="21"/>
          <w:highlight w:val="none"/>
        </w:rPr>
      </w:pPr>
      <w:r>
        <w:rPr>
          <w:rFonts w:hint="eastAsia"/>
          <w:b/>
          <w:color w:val="auto"/>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ascii="Calibri" w:hAnsi="Calibri" w:eastAsia="仿宋"/>
          <w:b/>
          <w:color w:val="auto"/>
          <w:szCs w:val="21"/>
          <w:highlight w:val="none"/>
          <w:lang w:bidi="ar"/>
        </w:rPr>
        <w:t>http</w:t>
      </w:r>
      <w:r>
        <w:rPr>
          <w:rFonts w:hint="eastAsia" w:ascii="Calibri" w:hAnsi="Calibri" w:eastAsia="仿宋"/>
          <w:b/>
          <w:color w:val="auto"/>
          <w:szCs w:val="21"/>
          <w:highlight w:val="none"/>
          <w:lang w:bidi="ar"/>
        </w:rPr>
        <w:t>：</w:t>
      </w:r>
      <w:r>
        <w:rPr>
          <w:rFonts w:ascii="Calibri" w:hAnsi="Calibri" w:eastAsia="仿宋"/>
          <w:b/>
          <w:color w:val="auto"/>
          <w:szCs w:val="21"/>
          <w:highlight w:val="none"/>
          <w:lang w:bidi="ar"/>
        </w:rPr>
        <w:t>//zfcj.gz.gov.cn/</w:t>
      </w:r>
      <w:r>
        <w:rPr>
          <w:rFonts w:hint="eastAsia"/>
          <w:b/>
          <w:color w:val="auto"/>
          <w:szCs w:val="21"/>
          <w:highlight w:val="none"/>
          <w:u w:val="single"/>
        </w:rPr>
        <w:t>）下载GZZB2018-3</w:t>
      </w:r>
      <w:r>
        <w:rPr>
          <w:rFonts w:hint="eastAsia"/>
          <w:b/>
          <w:color w:val="auto"/>
          <w:szCs w:val="21"/>
          <w:highlight w:val="none"/>
          <w:u w:val="single"/>
        </w:rPr>
        <w:fldChar w:fldCharType="end"/>
      </w:r>
      <w:r>
        <w:rPr>
          <w:rFonts w:hint="eastAsia"/>
          <w:b/>
          <w:color w:val="auto"/>
          <w:szCs w:val="21"/>
          <w:highlight w:val="none"/>
        </w:rPr>
        <w:t>范本查阅。</w:t>
      </w:r>
    </w:p>
    <w:p w14:paraId="7C508830">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条款号：35</w:t>
      </w:r>
      <w:r>
        <w:rPr>
          <w:b/>
          <w:color w:val="auto"/>
          <w:szCs w:val="21"/>
          <w:highlight w:val="none"/>
          <w:lang w:bidi="ar"/>
        </w:rPr>
        <w:t xml:space="preserve">   </w:t>
      </w:r>
      <w:r>
        <w:rPr>
          <w:rFonts w:hint="eastAsia" w:ascii="宋体" w:hAnsi="宋体" w:cs="宋体"/>
          <w:b/>
          <w:color w:val="auto"/>
          <w:szCs w:val="21"/>
          <w:highlight w:val="none"/>
          <w:lang w:bidi="ar"/>
        </w:rPr>
        <w:t xml:space="preserve">          修改类型：修改</w:t>
      </w:r>
    </w:p>
    <w:p w14:paraId="69B0F5B3">
      <w:pPr>
        <w:spacing w:line="360" w:lineRule="auto"/>
        <w:ind w:firstLine="472" w:firstLineChars="224"/>
        <w:rPr>
          <w:rFonts w:hint="eastAsia" w:ascii="宋体" w:hAnsi="宋体" w:cs="宋体"/>
          <w:color w:val="auto"/>
          <w:szCs w:val="21"/>
          <w:highlight w:val="none"/>
          <w:lang w:bidi="ar"/>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：35 开标、评标及定标所依据的规则</w:t>
      </w:r>
    </w:p>
    <w:p w14:paraId="0C511243">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35.1《中华人民共和国招标投标法》；</w:t>
      </w:r>
    </w:p>
    <w:p w14:paraId="50FB179B">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35.2《中华人民共和国招标投标法实施条例》；</w:t>
      </w:r>
    </w:p>
    <w:p w14:paraId="507D5C01">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35.3《评标委员会和评标方法暂行规定》（七部委第12号令）；</w:t>
      </w:r>
    </w:p>
    <w:p w14:paraId="568B461E">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35.4《工程建设项目施工招标投标办法》（七部委2003年第30号令）；</w:t>
      </w:r>
    </w:p>
    <w:p w14:paraId="1D5BFDC9">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35.5《广东省实施〈中华人民共和国招标投标法〉办法》；</w:t>
      </w:r>
    </w:p>
    <w:p w14:paraId="45F12F42">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35.6《房屋建筑和市政基础设施工程施工招标投标管理办法》（建设部令第89号）；</w:t>
      </w:r>
    </w:p>
    <w:p w14:paraId="5623F1E7">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35.7《广东省加强建设工程招标投标监督管理的若干规定》（粤发[2004]4号）；</w:t>
      </w:r>
    </w:p>
    <w:p w14:paraId="1936BE33">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35.8《广州市工程建设项目招标投标管理办法》（穗建规字〔2023〕12号）；</w:t>
      </w:r>
    </w:p>
    <w:p w14:paraId="773F426A">
      <w:pPr>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lang w:bidi="ar"/>
        </w:rPr>
        <w:t>35.9本项目招标文件。</w:t>
      </w:r>
    </w:p>
    <w:p w14:paraId="082BD226">
      <w:pPr>
        <w:spacing w:line="480" w:lineRule="auto"/>
        <w:ind w:firstLine="472" w:firstLineChars="224"/>
        <w:rPr>
          <w:rFonts w:hint="eastAsia" w:ascii="宋体" w:hAnsi="宋体" w:cs="宋体"/>
          <w:color w:val="auto"/>
          <w:szCs w:val="21"/>
          <w:highlight w:val="none"/>
          <w:lang w:bidi="ar"/>
        </w:rPr>
      </w:pPr>
      <w:r>
        <w:rPr>
          <w:rFonts w:hint="eastAsia" w:ascii="宋体" w:hAnsi="宋体" w:cs="宋体"/>
          <w:b/>
          <w:color w:val="auto"/>
          <w:szCs w:val="21"/>
          <w:highlight w:val="none"/>
          <w:lang w:bidi="ar"/>
        </w:rPr>
        <w:t>现文：</w:t>
      </w:r>
      <w:r>
        <w:rPr>
          <w:rFonts w:hint="eastAsia" w:ascii="宋体" w:hAnsi="宋体" w:cs="宋体"/>
          <w:color w:val="auto"/>
          <w:szCs w:val="21"/>
          <w:highlight w:val="none"/>
          <w:lang w:bidi="ar"/>
        </w:rPr>
        <w:t>35 开标、评标及定标所依据的规则</w:t>
      </w:r>
    </w:p>
    <w:p w14:paraId="1D584EF3">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35.1《中华人民共和国招标投标法》；</w:t>
      </w:r>
    </w:p>
    <w:p w14:paraId="52ECB9E1">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35.2《中华人民共和国招标投标法实施条例》；</w:t>
      </w:r>
    </w:p>
    <w:p w14:paraId="6D7E56BF">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35.3《评标委员会和评标方法暂行规定》（七部委第12号令）</w:t>
      </w:r>
    </w:p>
    <w:p w14:paraId="5C9D76D0">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35.4《工程建设项目施工招标投标办法》（七部委2003年第30号令）</w:t>
      </w:r>
    </w:p>
    <w:p w14:paraId="19379F3D">
      <w:pPr>
        <w:spacing w:line="360" w:lineRule="auto"/>
        <w:ind w:firstLine="470" w:firstLineChars="224"/>
        <w:rPr>
          <w:rFonts w:hint="eastAsia" w:ascii="宋体" w:hAnsi="宋体" w:cs="宋体"/>
          <w:color w:val="auto"/>
          <w:szCs w:val="21"/>
          <w:highlight w:val="none"/>
          <w:lang w:bidi="ar"/>
        </w:rPr>
      </w:pPr>
      <w:r>
        <w:rPr>
          <w:rFonts w:hint="eastAsia" w:ascii="宋体" w:hAnsi="宋体" w:cs="宋体"/>
          <w:color w:val="auto"/>
          <w:szCs w:val="21"/>
          <w:highlight w:val="none"/>
          <w:lang w:bidi="ar"/>
        </w:rPr>
        <w:t>35.5《广东省实施〈中华人民共和国招标投标法〉办法》；</w:t>
      </w:r>
    </w:p>
    <w:p w14:paraId="5F86A413">
      <w:pPr>
        <w:spacing w:line="360" w:lineRule="auto"/>
        <w:ind w:firstLine="470" w:firstLineChars="224"/>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35.6《房屋建筑和市政基础设施工程施工招标投标管理办法》（建设部令第89号）</w:t>
      </w:r>
    </w:p>
    <w:p w14:paraId="7A1F773C">
      <w:pPr>
        <w:spacing w:line="360" w:lineRule="auto"/>
        <w:ind w:firstLine="470" w:firstLineChars="224"/>
        <w:rPr>
          <w:rFonts w:hint="eastAsia" w:ascii="宋体" w:hAnsi="宋体" w:cs="宋体"/>
          <w:b w:val="0"/>
          <w:bCs w:val="0"/>
          <w:color w:val="auto"/>
          <w:szCs w:val="21"/>
          <w:highlight w:val="none"/>
          <w:u w:val="single"/>
          <w:lang w:bidi="ar"/>
        </w:rPr>
      </w:pPr>
      <w:r>
        <w:rPr>
          <w:rFonts w:hint="eastAsia" w:ascii="宋体" w:hAnsi="宋体" w:cs="宋体"/>
          <w:b w:val="0"/>
          <w:bCs w:val="0"/>
          <w:color w:val="auto"/>
          <w:szCs w:val="21"/>
          <w:highlight w:val="none"/>
          <w:u w:val="single"/>
          <w:lang w:bidi="ar"/>
        </w:rPr>
        <w:t>35.7《财政部 工业和信息化部关于印发〈政府采购促进中小企业发展管理办法〉的通知》（财库〔2020〕46号）</w:t>
      </w:r>
    </w:p>
    <w:p w14:paraId="2135E3C0">
      <w:pPr>
        <w:spacing w:line="360" w:lineRule="auto"/>
        <w:ind w:firstLine="470" w:firstLineChars="224"/>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35.8《广东省加强建设工程招标投标监督管理的若干规定》（粤发[2004]4号）；</w:t>
      </w:r>
    </w:p>
    <w:p w14:paraId="2969E75C">
      <w:pPr>
        <w:spacing w:line="360" w:lineRule="auto"/>
        <w:ind w:firstLine="470" w:firstLineChars="224"/>
        <w:rPr>
          <w:rFonts w:hint="eastAsia" w:ascii="宋体" w:hAnsi="宋体" w:cs="宋体"/>
          <w:b w:val="0"/>
          <w:bCs w:val="0"/>
          <w:color w:val="auto"/>
          <w:szCs w:val="21"/>
          <w:highlight w:val="none"/>
          <w:u w:val="single"/>
          <w:lang w:bidi="ar"/>
        </w:rPr>
      </w:pPr>
      <w:r>
        <w:rPr>
          <w:rFonts w:hint="eastAsia" w:ascii="宋体" w:hAnsi="宋体" w:cs="宋体"/>
          <w:b w:val="0"/>
          <w:bCs w:val="0"/>
          <w:color w:val="auto"/>
          <w:szCs w:val="21"/>
          <w:highlight w:val="none"/>
          <w:u w:val="single"/>
          <w:lang w:bidi="ar"/>
        </w:rPr>
        <w:t>35.9《广东省政府采购促进中小企业发展实施细则（试行）》</w:t>
      </w:r>
    </w:p>
    <w:p w14:paraId="04CF5485">
      <w:pPr>
        <w:spacing w:line="360" w:lineRule="auto"/>
        <w:ind w:firstLine="470" w:firstLineChars="224"/>
        <w:rPr>
          <w:rFonts w:hint="eastAsia" w:ascii="宋体" w:hAnsi="宋体" w:cs="宋体"/>
          <w:b w:val="0"/>
          <w:bCs w:val="0"/>
          <w:color w:val="auto"/>
          <w:szCs w:val="21"/>
          <w:highlight w:val="none"/>
          <w:lang w:bidi="ar"/>
        </w:rPr>
      </w:pPr>
      <w:r>
        <w:rPr>
          <w:rFonts w:hint="eastAsia" w:ascii="宋体" w:hAnsi="宋体" w:cs="宋体"/>
          <w:b w:val="0"/>
          <w:bCs w:val="0"/>
          <w:color w:val="auto"/>
          <w:szCs w:val="21"/>
          <w:highlight w:val="none"/>
          <w:lang w:bidi="ar"/>
        </w:rPr>
        <w:t>35.10《广州市工程建设项目招标投标管理办法》（穗建规字〔2023〕12号）；</w:t>
      </w:r>
    </w:p>
    <w:p w14:paraId="202EAE0D">
      <w:pPr>
        <w:spacing w:line="360" w:lineRule="auto"/>
        <w:ind w:firstLine="470" w:firstLineChars="224"/>
        <w:rPr>
          <w:rFonts w:hint="eastAsia" w:ascii="宋体" w:hAnsi="宋体" w:cs="宋体"/>
          <w:b w:val="0"/>
          <w:bCs w:val="0"/>
          <w:color w:val="auto"/>
          <w:szCs w:val="21"/>
          <w:highlight w:val="none"/>
          <w:u w:val="single"/>
          <w:lang w:bidi="ar"/>
        </w:rPr>
      </w:pPr>
      <w:r>
        <w:rPr>
          <w:rFonts w:hint="eastAsia" w:ascii="宋体" w:hAnsi="宋体" w:cs="宋体"/>
          <w:b w:val="0"/>
          <w:bCs w:val="0"/>
          <w:color w:val="auto"/>
          <w:szCs w:val="21"/>
          <w:highlight w:val="none"/>
          <w:u w:val="single"/>
          <w:lang w:bidi="ar"/>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14:paraId="74E12979">
      <w:pPr>
        <w:pBdr>
          <w:bottom w:val="single" w:color="auto" w:sz="6" w:space="0"/>
        </w:pBdr>
        <w:spacing w:line="360" w:lineRule="auto"/>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35.12本项目招标文件。</w:t>
      </w:r>
    </w:p>
    <w:p w14:paraId="129D8E33">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w:t>
      </w:r>
      <w:r>
        <w:rPr>
          <w:b/>
          <w:color w:val="auto"/>
          <w:szCs w:val="21"/>
          <w:highlight w:val="none"/>
          <w:lang w:bidi="ar"/>
        </w:rPr>
        <w:t xml:space="preserve">36.1   </w:t>
      </w:r>
      <w:r>
        <w:rPr>
          <w:rFonts w:hint="eastAsia" w:ascii="宋体" w:hAnsi="宋体" w:cs="宋体"/>
          <w:b/>
          <w:color w:val="auto"/>
          <w:szCs w:val="21"/>
          <w:highlight w:val="none"/>
          <w:lang w:bidi="ar"/>
        </w:rPr>
        <w:t xml:space="preserve">          修改类型：修改</w:t>
      </w:r>
    </w:p>
    <w:p w14:paraId="0F6BDE1F">
      <w:pP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lang w:bidi="ar"/>
        </w:rPr>
        <w:t>原文</w:t>
      </w:r>
      <w:r>
        <w:rPr>
          <w:rFonts w:hint="eastAsia" w:ascii="宋体" w:hAnsi="宋体" w:cs="宋体"/>
          <w:color w:val="auto"/>
          <w:szCs w:val="21"/>
          <w:highlight w:val="none"/>
          <w:lang w:bidi="ar"/>
        </w:rPr>
        <w:t>：</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p>
    <w:p w14:paraId="73395166">
      <w:pPr>
        <w:pBdr>
          <w:bottom w:val="single" w:color="auto" w:sz="6" w:space="0"/>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lang w:bidi="ar"/>
        </w:rPr>
        <w:t>现文：</w:t>
      </w:r>
      <w:r>
        <w:rPr>
          <w:color w:val="auto"/>
          <w:szCs w:val="21"/>
          <w:highlight w:val="none"/>
          <w:lang w:bidi="ar"/>
        </w:rPr>
        <w:t>36.1</w:t>
      </w:r>
      <w:r>
        <w:rPr>
          <w:rFonts w:hint="eastAsia" w:ascii="宋体" w:hAnsi="宋体" w:cs="宋体"/>
          <w:color w:val="auto"/>
          <w:szCs w:val="21"/>
          <w:highlight w:val="none"/>
          <w:lang w:bidi="ar"/>
        </w:rPr>
        <w:t xml:space="preserve">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lang w:bidi="ar"/>
        </w:rPr>
        <w:t>若投标人不参加开标会的，其投标文件在开标现场的投标人或招标人代表、招标代理机构代表及交易中心代表见证下公开开启、解密、公布，并视同该投标人认可开标结果。</w:t>
      </w:r>
    </w:p>
    <w:p w14:paraId="5E75C683">
      <w:pPr>
        <w:spacing w:line="480" w:lineRule="auto"/>
        <w:ind w:firstLine="472" w:firstLineChars="224"/>
        <w:rPr>
          <w:b/>
          <w:color w:val="auto"/>
          <w:szCs w:val="21"/>
          <w:highlight w:val="none"/>
        </w:rPr>
      </w:pPr>
      <w:r>
        <w:rPr>
          <w:rFonts w:hint="eastAsia" w:ascii="宋体" w:hAnsi="宋体"/>
          <w:b/>
          <w:color w:val="auto"/>
          <w:szCs w:val="21"/>
          <w:highlight w:val="none"/>
        </w:rPr>
        <w:t>条</w:t>
      </w:r>
      <w:r>
        <w:rPr>
          <w:rFonts w:hint="eastAsia"/>
          <w:b/>
          <w:color w:val="auto"/>
          <w:szCs w:val="21"/>
          <w:highlight w:val="none"/>
        </w:rPr>
        <w:t>款号：</w:t>
      </w:r>
      <w:r>
        <w:rPr>
          <w:b/>
          <w:color w:val="auto"/>
          <w:szCs w:val="21"/>
          <w:highlight w:val="none"/>
        </w:rPr>
        <w:t xml:space="preserve">36.3             </w:t>
      </w:r>
      <w:r>
        <w:rPr>
          <w:rFonts w:hint="eastAsia"/>
          <w:b/>
          <w:color w:val="auto"/>
          <w:szCs w:val="21"/>
          <w:highlight w:val="none"/>
        </w:rPr>
        <w:t>修改类型：删除</w:t>
      </w:r>
    </w:p>
    <w:p w14:paraId="53910319">
      <w:pPr>
        <w:pBdr>
          <w:bottom w:val="single" w:color="auto" w:sz="6" w:space="1"/>
        </w:pBdr>
        <w:spacing w:line="360" w:lineRule="auto"/>
        <w:ind w:firstLine="424" w:firstLineChars="201"/>
        <w:rPr>
          <w:color w:val="auto"/>
          <w:szCs w:val="21"/>
          <w:highlight w:val="none"/>
        </w:rPr>
      </w:pPr>
      <w:r>
        <w:rPr>
          <w:rFonts w:hint="eastAsia"/>
          <w:b/>
          <w:color w:val="auto"/>
          <w:szCs w:val="21"/>
          <w:highlight w:val="none"/>
        </w:rPr>
        <w:t>原文：</w:t>
      </w:r>
      <w:r>
        <w:rPr>
          <w:color w:val="auto"/>
          <w:szCs w:val="21"/>
          <w:highlight w:val="none"/>
        </w:rPr>
        <w:t>36.3</w:t>
      </w:r>
      <w:r>
        <w:rPr>
          <w:rFonts w:hint="eastAsia"/>
          <w:color w:val="auto"/>
          <w:szCs w:val="21"/>
          <w:highlight w:val="none"/>
        </w:rPr>
        <w:t>根据投标须知前附表第</w:t>
      </w:r>
      <w:r>
        <w:rPr>
          <w:color w:val="auto"/>
          <w:szCs w:val="21"/>
          <w:highlight w:val="none"/>
        </w:rPr>
        <w:t>19</w:t>
      </w:r>
      <w:r>
        <w:rPr>
          <w:rFonts w:hint="eastAsia"/>
          <w:color w:val="auto"/>
          <w:szCs w:val="21"/>
          <w:highlight w:val="none"/>
        </w:rPr>
        <w:t>项，如需抽取某一种评标办法供评标时使用的，应在开标前抽取。首先对招标文件中约定的若干种评标方法进行编号，再随机抽取某一编号，该编号所对应的评标办法供评标时使用。</w:t>
      </w:r>
    </w:p>
    <w:p w14:paraId="1F86ACD3">
      <w:pPr>
        <w:spacing w:line="480" w:lineRule="auto"/>
        <w:ind w:firstLine="472" w:firstLineChars="224"/>
        <w:rPr>
          <w:b/>
          <w:color w:val="auto"/>
          <w:szCs w:val="21"/>
          <w:highlight w:val="none"/>
        </w:rPr>
      </w:pPr>
      <w:r>
        <w:rPr>
          <w:rFonts w:hint="eastAsia"/>
          <w:b/>
          <w:color w:val="auto"/>
          <w:szCs w:val="21"/>
          <w:highlight w:val="none"/>
        </w:rPr>
        <w:t>条款号：36.5.1</w:t>
      </w:r>
      <w:r>
        <w:rPr>
          <w:b/>
          <w:color w:val="auto"/>
          <w:szCs w:val="21"/>
          <w:highlight w:val="none"/>
        </w:rPr>
        <w:t xml:space="preserve">             </w:t>
      </w:r>
      <w:r>
        <w:rPr>
          <w:rFonts w:hint="eastAsia"/>
          <w:b/>
          <w:color w:val="auto"/>
          <w:szCs w:val="21"/>
          <w:highlight w:val="none"/>
        </w:rPr>
        <w:t>修改类型：修改</w:t>
      </w:r>
    </w:p>
    <w:p w14:paraId="7AA9C881">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36.5.1</w:t>
      </w:r>
      <w:r>
        <w:rPr>
          <w:color w:val="auto"/>
          <w:szCs w:val="21"/>
          <w:highlight w:val="none"/>
          <w:lang w:bidi="ar"/>
        </w:rPr>
        <w:t>在投标截止时间后半小时内，投标人通过</w:t>
      </w:r>
      <w:r>
        <w:rPr>
          <w:color w:val="auto"/>
          <w:szCs w:val="21"/>
          <w:highlight w:val="none"/>
          <w:u w:val="single"/>
          <w:lang w:bidi="ar"/>
        </w:rPr>
        <w:t xml:space="preserve">        </w:t>
      </w:r>
      <w:r>
        <w:rPr>
          <w:color w:val="auto"/>
          <w:szCs w:val="21"/>
          <w:highlight w:val="none"/>
          <w:lang w:bidi="ar"/>
        </w:rPr>
        <w:t>交易平台对已递交的电子投标文件进行解密。投标人完成解密后，再由招标人进行解密。解密完成后，公布招标项目名称、投标人名称、投标保证金的递交情况、投标报价、工期及其他内容；</w:t>
      </w:r>
    </w:p>
    <w:p w14:paraId="1F73FE0E">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现文：</w:t>
      </w:r>
      <w:r>
        <w:rPr>
          <w:rFonts w:hint="eastAsia"/>
          <w:color w:val="auto"/>
          <w:szCs w:val="21"/>
          <w:highlight w:val="none"/>
        </w:rPr>
        <w:t>36.5.1在投标截止时间后</w:t>
      </w:r>
      <w:r>
        <w:rPr>
          <w:rFonts w:hint="eastAsia"/>
          <w:color w:val="auto"/>
          <w:szCs w:val="21"/>
          <w:highlight w:val="none"/>
          <w:u w:val="single"/>
        </w:rPr>
        <w:t>一个小时内</w:t>
      </w:r>
      <w:r>
        <w:rPr>
          <w:rFonts w:hint="eastAsia"/>
          <w:color w:val="auto"/>
          <w:szCs w:val="21"/>
          <w:highlight w:val="none"/>
        </w:rPr>
        <w:t>，投标人通过</w:t>
      </w:r>
      <w:r>
        <w:rPr>
          <w:rFonts w:hint="eastAsia"/>
          <w:color w:val="auto"/>
          <w:szCs w:val="21"/>
          <w:highlight w:val="none"/>
          <w:u w:val="single"/>
        </w:rPr>
        <w:t>广州公共资源交易中心</w:t>
      </w:r>
      <w:r>
        <w:rPr>
          <w:rFonts w:hint="eastAsia"/>
          <w:color w:val="auto"/>
          <w:szCs w:val="21"/>
          <w:highlight w:val="none"/>
        </w:rPr>
        <w:t>交易平台对已递交的电子投标文件进行解密。投标人完成解密后，再由招标人进行解密，解密完成后，公布招标项目名称、投标人名称、投标报价、工期及其他内容；</w:t>
      </w:r>
    </w:p>
    <w:p w14:paraId="4B3DAB5A">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hint="eastAsia"/>
          <w:b/>
          <w:color w:val="auto"/>
          <w:szCs w:val="21"/>
          <w:highlight w:val="none"/>
        </w:rPr>
        <w:t xml:space="preserve">36.5.3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177996A3">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hint="eastAsia"/>
          <w:color w:val="auto"/>
          <w:szCs w:val="21"/>
          <w:highlight w:val="none"/>
        </w:rPr>
        <w:t>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p>
    <w:p w14:paraId="2435BB9A">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36.5.3</w:t>
      </w:r>
      <w:r>
        <w:rPr>
          <w:rFonts w:hint="eastAsia"/>
          <w:b/>
          <w:color w:val="auto"/>
          <w:szCs w:val="21"/>
          <w:highlight w:val="none"/>
        </w:rPr>
        <w:t xml:space="preserve"> </w:t>
      </w:r>
      <w:r>
        <w:rPr>
          <w:rFonts w:hint="eastAsia" w:ascii="宋体" w:hAnsi="宋体"/>
          <w:color w:val="auto"/>
          <w:szCs w:val="21"/>
          <w:highlight w:val="none"/>
        </w:rPr>
        <w:t>投标人代表、招标人代表、监标人、记录人等有关人员在开标记录上签字确认；若有关人员不签字的，不影响开标程序；</w:t>
      </w:r>
      <w:r>
        <w:rPr>
          <w:rFonts w:hint="eastAsia" w:ascii="宋体" w:hAnsi="宋体"/>
          <w:color w:val="auto"/>
          <w:szCs w:val="21"/>
          <w:highlight w:val="none"/>
          <w:u w:val="single"/>
        </w:rPr>
        <w:t>若投标人不参加开标会的，或不签字确认的，视同该投标人认可开标结果。</w:t>
      </w:r>
    </w:p>
    <w:p w14:paraId="27C9D463">
      <w:pPr>
        <w:spacing w:line="480" w:lineRule="auto"/>
        <w:ind w:firstLine="472" w:firstLineChars="224"/>
        <w:rPr>
          <w:rFonts w:hint="eastAsia"/>
          <w:b/>
          <w:color w:val="auto"/>
          <w:szCs w:val="21"/>
          <w:highlight w:val="none"/>
        </w:rPr>
      </w:pPr>
      <w:r>
        <w:rPr>
          <w:rFonts w:hint="eastAsia"/>
          <w:b/>
          <w:color w:val="auto"/>
          <w:szCs w:val="21"/>
          <w:highlight w:val="none"/>
        </w:rPr>
        <w:t>条款号：37.2           修改类型：修改</w:t>
      </w:r>
    </w:p>
    <w:p w14:paraId="5527373F">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hint="eastAsia"/>
          <w:b w:val="0"/>
          <w:bCs/>
          <w:color w:val="auto"/>
          <w:szCs w:val="21"/>
          <w:highlight w:val="none"/>
        </w:rPr>
        <w:t>37.2</w:t>
      </w:r>
      <w:r>
        <w:rPr>
          <w:rFonts w:hint="eastAsia"/>
          <w:color w:val="auto"/>
          <w:szCs w:val="21"/>
          <w:highlight w:val="none"/>
        </w:rPr>
        <w:t>评标委员会的职责及守则：</w:t>
      </w:r>
    </w:p>
    <w:p w14:paraId="305EC1C0">
      <w:pPr>
        <w:spacing w:line="360" w:lineRule="auto"/>
        <w:ind w:firstLine="424" w:firstLineChars="201"/>
        <w:rPr>
          <w:rFonts w:hint="eastAsia"/>
          <w:color w:val="auto"/>
          <w:szCs w:val="21"/>
          <w:highlight w:val="none"/>
        </w:rPr>
      </w:pPr>
      <w:r>
        <w:rPr>
          <w:rFonts w:hint="eastAsia"/>
          <w:b/>
          <w:color w:val="auto"/>
          <w:szCs w:val="21"/>
          <w:highlight w:val="none"/>
        </w:rPr>
        <w:t>现文：</w:t>
      </w:r>
      <w:r>
        <w:rPr>
          <w:rFonts w:hint="eastAsia"/>
          <w:b w:val="0"/>
          <w:bCs/>
          <w:color w:val="auto"/>
          <w:szCs w:val="21"/>
          <w:highlight w:val="none"/>
        </w:rPr>
        <w:t>37.2</w:t>
      </w:r>
      <w:r>
        <w:rPr>
          <w:rFonts w:hint="eastAsia"/>
          <w:color w:val="auto"/>
          <w:szCs w:val="21"/>
          <w:highlight w:val="none"/>
        </w:rPr>
        <w:t>评标委员会在开始评标前，应了解评标专家的职责及守则，认真阅读附件1《评标委员会成员声明》的内容并签名，签字后方可进行评标；</w:t>
      </w:r>
    </w:p>
    <w:p w14:paraId="32ED4ED1">
      <w:pPr>
        <w:pBdr>
          <w:bottom w:val="single" w:color="auto" w:sz="6" w:space="1"/>
        </w:pBdr>
        <w:spacing w:line="360" w:lineRule="auto"/>
        <w:ind w:firstLine="422" w:firstLineChars="201"/>
        <w:rPr>
          <w:rFonts w:ascii="宋体" w:hAnsi="宋体"/>
          <w:b/>
          <w:color w:val="auto"/>
          <w:szCs w:val="21"/>
          <w:highlight w:val="none"/>
        </w:rPr>
      </w:pPr>
      <w:r>
        <w:rPr>
          <w:rFonts w:hint="eastAsia"/>
          <w:color w:val="auto"/>
          <w:szCs w:val="21"/>
          <w:highlight w:val="none"/>
        </w:rPr>
        <w:t>37.3评标委员会的职责及守则：</w:t>
      </w:r>
    </w:p>
    <w:p w14:paraId="6EAB9F70">
      <w:pPr>
        <w:spacing w:line="480" w:lineRule="auto"/>
        <w:ind w:firstLine="472" w:firstLineChars="224"/>
        <w:rPr>
          <w:rFonts w:ascii="宋体" w:hAnsi="宋体"/>
          <w:b/>
          <w:color w:val="auto"/>
          <w:szCs w:val="21"/>
          <w:highlight w:val="none"/>
        </w:rPr>
      </w:pPr>
      <w:r>
        <w:rPr>
          <w:rFonts w:hint="eastAsia"/>
          <w:b/>
          <w:color w:val="auto"/>
          <w:szCs w:val="21"/>
          <w:highlight w:val="none"/>
        </w:rPr>
        <w:t>条</w:t>
      </w:r>
      <w:r>
        <w:rPr>
          <w:rFonts w:hint="eastAsia" w:ascii="宋体" w:hAnsi="宋体"/>
          <w:b/>
          <w:color w:val="auto"/>
          <w:szCs w:val="21"/>
          <w:highlight w:val="none"/>
        </w:rPr>
        <w:t>款号：</w:t>
      </w:r>
      <w:r>
        <w:rPr>
          <w:rFonts w:ascii="宋体" w:hAnsi="宋体"/>
          <w:b/>
          <w:color w:val="auto"/>
          <w:szCs w:val="21"/>
          <w:highlight w:val="none"/>
        </w:rPr>
        <w:t>38.1</w:t>
      </w:r>
      <w:r>
        <w:rPr>
          <w:rFonts w:hint="eastAsia"/>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14:paraId="459493D3">
      <w:pPr>
        <w:spacing w:line="360" w:lineRule="auto"/>
        <w:ind w:firstLine="424" w:firstLineChars="201"/>
        <w:rPr>
          <w:rFonts w:ascii="宋体" w:hAnsi="宋体"/>
          <w:color w:val="auto"/>
          <w:szCs w:val="21"/>
          <w:highlight w:val="none"/>
        </w:rPr>
      </w:pPr>
      <w:r>
        <w:rPr>
          <w:rFonts w:hint="eastAsia"/>
          <w:b/>
          <w:color w:val="auto"/>
          <w:szCs w:val="21"/>
          <w:highlight w:val="none"/>
        </w:rPr>
        <w:t>原文：</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F564566">
      <w:pPr>
        <w:pBdr>
          <w:bottom w:val="single" w:color="auto" w:sz="6" w:space="1"/>
        </w:pBdr>
        <w:spacing w:line="360" w:lineRule="auto"/>
        <w:ind w:firstLine="424" w:firstLineChars="201"/>
        <w:rPr>
          <w:rFonts w:ascii="宋体" w:hAnsi="宋体"/>
          <w:b/>
          <w:color w:val="auto"/>
          <w:szCs w:val="21"/>
          <w:highlight w:val="none"/>
        </w:rPr>
      </w:pPr>
      <w:r>
        <w:rPr>
          <w:rFonts w:ascii="宋体" w:hAnsi="宋体"/>
          <w:b/>
          <w:color w:val="auto"/>
          <w:szCs w:val="21"/>
          <w:highlight w:val="none"/>
        </w:rPr>
        <w:t>现文</w:t>
      </w:r>
      <w:r>
        <w:rPr>
          <w:rFonts w:hint="eastAsia" w:ascii="宋体" w:hAnsi="宋体"/>
          <w:b/>
          <w:color w:val="auto"/>
          <w:szCs w:val="21"/>
          <w:highlight w:val="none"/>
        </w:rPr>
        <w:t>：</w:t>
      </w:r>
      <w:r>
        <w:rPr>
          <w:rFonts w:hint="eastAsia"/>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w:t>
      </w:r>
      <w:r>
        <w:rPr>
          <w:rFonts w:hint="eastAsia"/>
          <w:color w:val="auto"/>
          <w:szCs w:val="21"/>
          <w:highlight w:val="none"/>
          <w:u w:val="single"/>
        </w:rPr>
        <w:t>投标人对投标文件含义不明确、对同类问题表述不一致、有明显文字和计算错误的内容以及细微偏差的</w:t>
      </w:r>
      <w:r>
        <w:rPr>
          <w:rFonts w:hint="eastAsia"/>
          <w:color w:val="auto"/>
          <w:szCs w:val="21"/>
          <w:highlight w:val="none"/>
        </w:rPr>
        <w:t>内容作出澄清。</w:t>
      </w:r>
    </w:p>
    <w:p w14:paraId="727A9761">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39.2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14:paraId="01CA0056">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39.2</w:t>
      </w:r>
      <w:r>
        <w:rPr>
          <w:rFonts w:hint="eastAsia" w:ascii="宋体" w:hAnsi="宋体"/>
          <w:color w:val="auto"/>
          <w:szCs w:val="21"/>
          <w:highlight w:val="none"/>
        </w:rPr>
        <w:t>依法必须进行公开招标的项目，招标人应当确定排名第一的中标候选人为中标人；</w:t>
      </w:r>
    </w:p>
    <w:p w14:paraId="1D3707B8">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39.2</w:t>
      </w:r>
      <w:r>
        <w:rPr>
          <w:rFonts w:hint="eastAsia" w:ascii="宋体" w:hAnsi="宋体"/>
          <w:color w:val="auto"/>
          <w:szCs w:val="21"/>
          <w:highlight w:val="none"/>
        </w:rPr>
        <w:t>依法必须进行公开招标的项目，招标人应当确定排名第一的中标候选人，</w:t>
      </w:r>
      <w:r>
        <w:rPr>
          <w:rFonts w:hint="eastAsia" w:ascii="宋体" w:hAnsi="宋体"/>
          <w:color w:val="auto"/>
          <w:szCs w:val="21"/>
          <w:highlight w:val="none"/>
          <w:u w:val="single"/>
        </w:rPr>
        <w:t>若在填报中标候选人公示信息时被发现委派的项目负责人已在其他在建项目中任职、不符合任职数量规定时，则不能进行中标候选人公示，招标人可以确定排名第二的中标候选人为中标人。</w:t>
      </w:r>
    </w:p>
    <w:p w14:paraId="3C27E2E9">
      <w:pP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w:t>
      </w:r>
      <w:r>
        <w:rPr>
          <w:rFonts w:hint="eastAsia"/>
          <w:b/>
          <w:color w:val="auto"/>
          <w:szCs w:val="21"/>
          <w:highlight w:val="none"/>
        </w:rPr>
        <w:t xml:space="preserve">39.3 </w:t>
      </w:r>
      <w:r>
        <w:rPr>
          <w:rFonts w:ascii="宋体" w:hAnsi="宋体"/>
          <w:b/>
          <w:bCs/>
          <w:color w:val="auto"/>
          <w:szCs w:val="21"/>
          <w:highlight w:val="none"/>
        </w:rPr>
        <w:t xml:space="preserve">         </w:t>
      </w:r>
      <w:r>
        <w:rPr>
          <w:rFonts w:hint="eastAsia" w:ascii="宋体" w:hAnsi="宋体"/>
          <w:b/>
          <w:bCs/>
          <w:color w:val="auto"/>
          <w:szCs w:val="21"/>
          <w:highlight w:val="none"/>
        </w:rPr>
        <w:t>修改类型：修改</w:t>
      </w:r>
    </w:p>
    <w:p w14:paraId="7D6FA2F3">
      <w:pPr>
        <w:spacing w:line="360" w:lineRule="auto"/>
        <w:ind w:firstLine="472" w:firstLineChars="224"/>
        <w:rPr>
          <w:rFonts w:ascii="宋体" w:hAnsi="宋体"/>
          <w:color w:val="auto"/>
          <w:szCs w:val="21"/>
          <w:highlight w:val="none"/>
        </w:rPr>
      </w:pPr>
      <w:r>
        <w:rPr>
          <w:rFonts w:hint="eastAsia" w:ascii="宋体" w:hAnsi="宋体"/>
          <w:b/>
          <w:bCs/>
          <w:color w:val="auto"/>
          <w:szCs w:val="21"/>
          <w:highlight w:val="none"/>
        </w:rPr>
        <w:t>原文：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3BCA768E">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bCs/>
          <w:color w:val="auto"/>
          <w:szCs w:val="21"/>
          <w:highlight w:val="none"/>
        </w:rPr>
        <w:t>现文：</w:t>
      </w:r>
      <w:r>
        <w:rPr>
          <w:rFonts w:hint="eastAsia"/>
          <w:color w:val="auto"/>
          <w:szCs w:val="21"/>
          <w:highlight w:val="none"/>
        </w:rPr>
        <w:t>39.3</w:t>
      </w:r>
      <w:r>
        <w:rPr>
          <w:rFonts w:hint="eastAsia" w:ascii="宋体" w:hAnsi="宋体"/>
          <w:color w:val="auto"/>
          <w:szCs w:val="21"/>
          <w:highlight w:val="none"/>
        </w:rPr>
        <w:t>排名第一的中标候选人放弃中标、或因不可抗力提出不能履行合同，或者招标文件规定应当提交履约担保而在规定的期限内未能提交的，</w:t>
      </w:r>
      <w:r>
        <w:rPr>
          <w:rFonts w:hint="eastAsia" w:ascii="宋体" w:hAnsi="宋体"/>
          <w:color w:val="auto"/>
          <w:szCs w:val="21"/>
          <w:highlight w:val="none"/>
          <w:u w:val="single"/>
        </w:rPr>
        <w:t>或经核查发现委派的项目负责人已在其他在建项目中任职、不符合任职数量规定时，</w:t>
      </w:r>
      <w:r>
        <w:rPr>
          <w:rFonts w:hint="eastAsia" w:ascii="宋体" w:hAnsi="宋体"/>
          <w:color w:val="auto"/>
          <w:szCs w:val="21"/>
          <w:highlight w:val="none"/>
        </w:rPr>
        <w:t>招标人可以确定排名第二的中标候选人为中标人。</w:t>
      </w:r>
    </w:p>
    <w:p w14:paraId="4FC9244B">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bidi="ar"/>
        </w:rPr>
        <w:t>条款号：40           修改类型：修改</w:t>
      </w:r>
    </w:p>
    <w:p w14:paraId="1D666550">
      <w:pPr>
        <w:adjustRightInd w:val="0"/>
        <w:snapToGrid w:val="0"/>
        <w:spacing w:line="360" w:lineRule="auto"/>
        <w:ind w:firstLine="422" w:firstLineChars="200"/>
        <w:jc w:val="left"/>
        <w:textAlignment w:val="baseline"/>
        <w:rPr>
          <w:rFonts w:ascii="宋体" w:hAnsi="宋体" w:cs="宋体"/>
          <w:b/>
          <w:caps/>
          <w:color w:val="auto"/>
          <w:kern w:val="0"/>
          <w:szCs w:val="21"/>
          <w:highlight w:val="none"/>
        </w:rPr>
      </w:pPr>
      <w:r>
        <w:rPr>
          <w:rFonts w:hint="eastAsia" w:ascii="宋体" w:hAnsi="宋体" w:cs="宋体"/>
          <w:b/>
          <w:caps/>
          <w:color w:val="auto"/>
          <w:kern w:val="0"/>
          <w:szCs w:val="21"/>
          <w:highlight w:val="none"/>
          <w:lang w:bidi="ar"/>
        </w:rPr>
        <w:t>原文：</w:t>
      </w:r>
    </w:p>
    <w:p w14:paraId="6D4617BF">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40.开标和评标程序</w:t>
      </w:r>
    </w:p>
    <w:p w14:paraId="4B54E788">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40.1技术标（含资格审查文件）与经济标投标文件同时公开开标；</w:t>
      </w:r>
    </w:p>
    <w:p w14:paraId="151E93DD">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40.2由评标委员会对所有已公开开标的投标人进行资格审查；</w:t>
      </w:r>
    </w:p>
    <w:p w14:paraId="0D43A5FA">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40.3技术标投标文件有效性审查；</w:t>
      </w:r>
    </w:p>
    <w:p w14:paraId="6D0C4DB9">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40.4技术标详细审查评分；</w:t>
      </w:r>
    </w:p>
    <w:p w14:paraId="665DF676">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40.5经济标详细审查评分；</w:t>
      </w:r>
    </w:p>
    <w:p w14:paraId="3A6ACA1E">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40.6评标委员会按照投标人总得分由高至低排序；</w:t>
      </w:r>
    </w:p>
    <w:p w14:paraId="61ABF0EB">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40.7经济标投标文件有效性审查；</w:t>
      </w:r>
    </w:p>
    <w:p w14:paraId="7994A0BC">
      <w:pPr>
        <w:adjustRightInd w:val="0"/>
        <w:snapToGrid w:val="0"/>
        <w:spacing w:line="360" w:lineRule="auto"/>
        <w:ind w:firstLine="420" w:firstLineChars="200"/>
        <w:jc w:val="left"/>
        <w:textAlignment w:val="baseline"/>
        <w:rPr>
          <w:rFonts w:ascii="宋体" w:hAnsi="宋体"/>
          <w:caps/>
          <w:color w:val="auto"/>
          <w:kern w:val="0"/>
          <w:szCs w:val="21"/>
          <w:highlight w:val="none"/>
        </w:rPr>
      </w:pPr>
      <w:r>
        <w:rPr>
          <w:rFonts w:hint="eastAsia" w:ascii="宋体" w:hAnsi="宋体" w:cs="宋体"/>
          <w:caps/>
          <w:color w:val="auto"/>
          <w:kern w:val="0"/>
          <w:szCs w:val="21"/>
          <w:highlight w:val="none"/>
          <w:lang w:bidi="ar"/>
        </w:rPr>
        <w:t>40.8评标委员会按排序向招标人推荐中标候选人名单，并递交资格审查报告及评标报告。</w:t>
      </w:r>
    </w:p>
    <w:p w14:paraId="4489B756">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lang w:bidi="ar"/>
        </w:rPr>
        <w:t>现文：</w:t>
      </w:r>
    </w:p>
    <w:p w14:paraId="69CF055C">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40.开标和评标程序</w:t>
      </w:r>
    </w:p>
    <w:p w14:paraId="10D93872">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40.1技术标（含资格审查文件）与经济标投标文件同时公开开标；</w:t>
      </w:r>
    </w:p>
    <w:p w14:paraId="00F747BC">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40.2由评标委员会对所有已公开开标的投标人进行资格审查；</w:t>
      </w:r>
    </w:p>
    <w:p w14:paraId="55870725">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40.3技术标投标文件有效性审查；</w:t>
      </w:r>
    </w:p>
    <w:p w14:paraId="6E02E3E4">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40.4技术标详细审查评分；</w:t>
      </w:r>
    </w:p>
    <w:p w14:paraId="152A61EE">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 xml:space="preserve">40.5经济标详细审查评分； </w:t>
      </w:r>
    </w:p>
    <w:p w14:paraId="03D92DC8">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40.6评标委员会</w:t>
      </w:r>
      <w:r>
        <w:rPr>
          <w:rFonts w:hint="eastAsia" w:ascii="宋体" w:hAnsi="宋体" w:cs="宋体"/>
          <w:color w:val="auto"/>
          <w:szCs w:val="21"/>
          <w:highlight w:val="none"/>
          <w:u w:val="single"/>
          <w:lang w:bidi="ar"/>
        </w:rPr>
        <w:t>汇总投标人得分，</w:t>
      </w:r>
      <w:r>
        <w:rPr>
          <w:rFonts w:hint="eastAsia" w:ascii="宋体" w:hAnsi="宋体" w:cs="宋体"/>
          <w:color w:val="auto"/>
          <w:szCs w:val="21"/>
          <w:highlight w:val="none"/>
          <w:lang w:bidi="ar"/>
        </w:rPr>
        <w:t>并按照投标人总得分由高至低排序；</w:t>
      </w:r>
    </w:p>
    <w:p w14:paraId="25C6242A">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lang w:bidi="ar"/>
        </w:rPr>
        <w:t>40.7</w:t>
      </w:r>
      <w:r>
        <w:rPr>
          <w:rFonts w:hint="eastAsia" w:ascii="宋体" w:hAnsi="宋体" w:cs="宋体"/>
          <w:color w:val="auto"/>
          <w:szCs w:val="21"/>
          <w:highlight w:val="none"/>
          <w:u w:val="single"/>
          <w:lang w:bidi="ar"/>
        </w:rPr>
        <w:t>按照投标人总得分由高至低排序，依次进行</w:t>
      </w:r>
      <w:r>
        <w:rPr>
          <w:rFonts w:hint="eastAsia" w:ascii="宋体" w:hAnsi="宋体" w:cs="宋体"/>
          <w:color w:val="auto"/>
          <w:szCs w:val="21"/>
          <w:highlight w:val="none"/>
          <w:lang w:bidi="ar"/>
        </w:rPr>
        <w:t>经济标投标文件有效性审查；</w:t>
      </w:r>
    </w:p>
    <w:p w14:paraId="32CD074D">
      <w:pPr>
        <w:pBdr>
          <w:bottom w:val="single" w:color="auto" w:sz="6" w:space="1"/>
        </w:pBdr>
        <w:spacing w:line="360" w:lineRule="auto"/>
        <w:ind w:firstLine="525" w:firstLineChars="250"/>
        <w:rPr>
          <w:rFonts w:ascii="宋体" w:hAnsi="宋体" w:cs="宋体"/>
          <w:color w:val="auto"/>
          <w:szCs w:val="21"/>
          <w:highlight w:val="none"/>
          <w:lang w:bidi="ar"/>
        </w:rPr>
      </w:pPr>
      <w:r>
        <w:rPr>
          <w:rFonts w:hint="eastAsia" w:ascii="宋体" w:hAnsi="宋体" w:cs="宋体"/>
          <w:color w:val="auto"/>
          <w:szCs w:val="21"/>
          <w:highlight w:val="none"/>
          <w:lang w:bidi="ar"/>
        </w:rPr>
        <w:t>40.8评标委员会按</w:t>
      </w:r>
      <w:r>
        <w:rPr>
          <w:rFonts w:hint="eastAsia" w:ascii="宋体" w:hAnsi="宋体" w:cs="宋体"/>
          <w:color w:val="auto"/>
          <w:szCs w:val="21"/>
          <w:highlight w:val="none"/>
          <w:u w:val="single"/>
          <w:lang w:bidi="ar"/>
        </w:rPr>
        <w:t>总得分</w:t>
      </w:r>
      <w:r>
        <w:rPr>
          <w:rFonts w:hint="eastAsia" w:ascii="宋体" w:hAnsi="宋体" w:cs="宋体"/>
          <w:color w:val="auto"/>
          <w:szCs w:val="21"/>
          <w:highlight w:val="none"/>
          <w:lang w:bidi="ar"/>
        </w:rPr>
        <w:t>排序，向招标人推荐</w:t>
      </w:r>
      <w:r>
        <w:rPr>
          <w:rFonts w:hint="eastAsia" w:ascii="宋体" w:hAnsi="宋体" w:cs="宋体"/>
          <w:color w:val="auto"/>
          <w:szCs w:val="21"/>
          <w:highlight w:val="none"/>
          <w:u w:val="single"/>
          <w:lang w:bidi="ar"/>
        </w:rPr>
        <w:t>通过经济标投标文件有效性审查的</w:t>
      </w:r>
      <w:r>
        <w:rPr>
          <w:rFonts w:hint="eastAsia" w:ascii="宋体" w:hAnsi="宋体" w:cs="宋体"/>
          <w:color w:val="auto"/>
          <w:szCs w:val="21"/>
          <w:highlight w:val="none"/>
          <w:lang w:bidi="ar"/>
        </w:rPr>
        <w:t>中标候选人名单，并递交资格审查报告及评标报告。</w:t>
      </w:r>
    </w:p>
    <w:p w14:paraId="1BCDCD85">
      <w:pPr>
        <w:spacing w:line="360" w:lineRule="auto"/>
        <w:ind w:firstLine="422" w:firstLineChars="200"/>
        <w:rPr>
          <w:b/>
          <w:color w:val="auto"/>
          <w:szCs w:val="21"/>
          <w:highlight w:val="none"/>
        </w:rPr>
      </w:pPr>
      <w:r>
        <w:rPr>
          <w:rFonts w:hint="eastAsia"/>
          <w:b/>
          <w:color w:val="auto"/>
          <w:szCs w:val="21"/>
          <w:highlight w:val="none"/>
        </w:rPr>
        <w:t>条款号：41.1</w:t>
      </w:r>
      <w:r>
        <w:rPr>
          <w:b/>
          <w:color w:val="auto"/>
          <w:szCs w:val="21"/>
          <w:highlight w:val="none"/>
        </w:rPr>
        <w:t xml:space="preserve">             </w:t>
      </w:r>
      <w:r>
        <w:rPr>
          <w:rFonts w:hint="eastAsia"/>
          <w:b/>
          <w:color w:val="auto"/>
          <w:szCs w:val="21"/>
          <w:highlight w:val="none"/>
        </w:rPr>
        <w:t xml:space="preserve"> 修改类型：修改</w:t>
      </w:r>
    </w:p>
    <w:p w14:paraId="1809C94A">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41.1</w:t>
      </w:r>
      <w:r>
        <w:rPr>
          <w:rFonts w:hint="eastAsia"/>
          <w:color w:val="auto"/>
          <w:szCs w:val="21"/>
          <w:highlight w:val="none"/>
        </w:rPr>
        <w:t>开标由招标人主持；</w:t>
      </w:r>
    </w:p>
    <w:p w14:paraId="628658E7">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color w:val="auto"/>
          <w:szCs w:val="21"/>
          <w:highlight w:val="none"/>
        </w:rPr>
        <w:t>41.1</w:t>
      </w:r>
      <w:r>
        <w:rPr>
          <w:rFonts w:hint="eastAsia"/>
          <w:color w:val="auto"/>
          <w:szCs w:val="21"/>
          <w:highlight w:val="none"/>
        </w:rPr>
        <w:t>开标由招标人</w:t>
      </w:r>
      <w:r>
        <w:rPr>
          <w:rFonts w:hint="eastAsia"/>
          <w:color w:val="auto"/>
          <w:szCs w:val="21"/>
          <w:highlight w:val="none"/>
          <w:u w:val="single"/>
        </w:rPr>
        <w:t>或招标代理</w:t>
      </w:r>
      <w:r>
        <w:rPr>
          <w:rFonts w:hint="eastAsia"/>
          <w:color w:val="auto"/>
          <w:szCs w:val="21"/>
          <w:highlight w:val="none"/>
        </w:rPr>
        <w:t>主持；</w:t>
      </w:r>
    </w:p>
    <w:p w14:paraId="42EE2C71">
      <w:pPr>
        <w:spacing w:line="360" w:lineRule="auto"/>
        <w:ind w:firstLine="422" w:firstLineChars="200"/>
        <w:rPr>
          <w:b/>
          <w:color w:val="auto"/>
          <w:szCs w:val="21"/>
          <w:highlight w:val="none"/>
        </w:rPr>
      </w:pPr>
      <w:r>
        <w:rPr>
          <w:rFonts w:hint="eastAsia"/>
          <w:b/>
          <w:color w:val="auto"/>
          <w:szCs w:val="21"/>
          <w:highlight w:val="none"/>
        </w:rPr>
        <w:t>条款号：41.2.1</w:t>
      </w:r>
      <w:r>
        <w:rPr>
          <w:b/>
          <w:color w:val="auto"/>
          <w:szCs w:val="21"/>
          <w:highlight w:val="none"/>
        </w:rPr>
        <w:t xml:space="preserve">             </w:t>
      </w:r>
      <w:r>
        <w:rPr>
          <w:rFonts w:hint="eastAsia"/>
          <w:b/>
          <w:color w:val="auto"/>
          <w:szCs w:val="21"/>
          <w:highlight w:val="none"/>
        </w:rPr>
        <w:t>修改类型：修改</w:t>
      </w:r>
    </w:p>
    <w:p w14:paraId="7AF7FFAD">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rPr>
        <w:t>交易平台。有关投标文件提交的事项详见第一章投标须知。</w:t>
      </w:r>
    </w:p>
    <w:p w14:paraId="5B8C2EFF">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color w:val="auto"/>
          <w:szCs w:val="21"/>
          <w:highlight w:val="none"/>
          <w:u w:val="single"/>
        </w:rPr>
        <w:t>广州公共资源交易中心</w:t>
      </w:r>
      <w:r>
        <w:rPr>
          <w:rFonts w:hint="eastAsia"/>
          <w:color w:val="auto"/>
          <w:szCs w:val="21"/>
          <w:highlight w:val="none"/>
        </w:rPr>
        <w:t>交易平台。有关投标文件提交的事项详见第一章投标须知。</w:t>
      </w:r>
    </w:p>
    <w:p w14:paraId="724BEC40">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3 </w:t>
      </w:r>
      <w:r>
        <w:rPr>
          <w:rFonts w:hint="eastAsia" w:ascii="宋体" w:hAnsi="宋体" w:cs="宋体"/>
          <w:b/>
          <w:color w:val="auto"/>
          <w:szCs w:val="21"/>
          <w:highlight w:val="none"/>
        </w:rPr>
        <w:t xml:space="preserve">                      修改类型：修改</w:t>
      </w:r>
    </w:p>
    <w:p w14:paraId="1CA81D95">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招标人对开标过程进行记录，并存档备查，投标人在技术标开标记录上签字。</w:t>
      </w:r>
    </w:p>
    <w:p w14:paraId="6BFBDD31">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hint="eastAsia" w:ascii="宋体" w:hAnsi="宋体" w:cs="宋体"/>
          <w:color w:val="auto"/>
          <w:szCs w:val="21"/>
          <w:highlight w:val="none"/>
        </w:rPr>
        <w:t>对开标过程进行记录，并存档备查，</w:t>
      </w:r>
      <w:r>
        <w:rPr>
          <w:rFonts w:hint="eastAsia" w:ascii="宋体" w:hAnsi="宋体" w:cs="宋体"/>
          <w:color w:val="auto"/>
          <w:szCs w:val="21"/>
          <w:highlight w:val="none"/>
          <w:u w:val="single"/>
        </w:rPr>
        <w:t>参加开标会的</w:t>
      </w:r>
      <w:r>
        <w:rPr>
          <w:rFonts w:hint="eastAsia" w:ascii="宋体" w:hAnsi="宋体" w:cs="宋体"/>
          <w:color w:val="auto"/>
          <w:szCs w:val="21"/>
          <w:highlight w:val="none"/>
        </w:rPr>
        <w:t>投标人在开标记录上签字。</w:t>
      </w:r>
    </w:p>
    <w:p w14:paraId="4BA42DF8">
      <w:pP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条款号：41.</w:t>
      </w:r>
      <w:r>
        <w:rPr>
          <w:rFonts w:ascii="宋体" w:hAnsi="宋体" w:cs="宋体"/>
          <w:b/>
          <w:color w:val="auto"/>
          <w:szCs w:val="21"/>
          <w:highlight w:val="none"/>
        </w:rPr>
        <w:t xml:space="preserve">4 </w:t>
      </w:r>
      <w:r>
        <w:rPr>
          <w:rFonts w:hint="eastAsia" w:ascii="宋体" w:hAnsi="宋体" w:cs="宋体"/>
          <w:b/>
          <w:color w:val="auto"/>
          <w:szCs w:val="21"/>
          <w:highlight w:val="none"/>
        </w:rPr>
        <w:t xml:space="preserve">                      修改类型：修改</w:t>
      </w:r>
    </w:p>
    <w:p w14:paraId="3439268F">
      <w:pPr>
        <w:pBdr>
          <w:bottom w:val="single" w:color="auto" w:sz="6" w:space="1"/>
        </w:pBdr>
        <w:spacing w:line="360" w:lineRule="auto"/>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招标人将上述符合要求的投标文件，送至评标委员会进行评审</w:t>
      </w:r>
      <w:r>
        <w:rPr>
          <w:rFonts w:hint="eastAsia" w:ascii="宋体" w:hAnsi="宋体" w:cs="宋体"/>
          <w:color w:val="auto"/>
          <w:szCs w:val="21"/>
          <w:highlight w:val="none"/>
        </w:rPr>
        <w:t>。</w:t>
      </w:r>
    </w:p>
    <w:p w14:paraId="4B6C8071">
      <w:pPr>
        <w:pBdr>
          <w:bottom w:val="single" w:color="auto" w:sz="6" w:space="1"/>
        </w:pBdr>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招标人</w:t>
      </w:r>
      <w:r>
        <w:rPr>
          <w:rFonts w:hint="eastAsia" w:ascii="宋体" w:hAnsi="宋体" w:cs="宋体"/>
          <w:color w:val="auto"/>
          <w:szCs w:val="21"/>
          <w:highlight w:val="none"/>
          <w:u w:val="single"/>
        </w:rPr>
        <w:t>或招标代理机构</w:t>
      </w:r>
      <w:r>
        <w:rPr>
          <w:rFonts w:ascii="宋体" w:hAnsi="宋体" w:cs="宋体"/>
          <w:color w:val="auto"/>
          <w:szCs w:val="21"/>
          <w:highlight w:val="none"/>
        </w:rPr>
        <w:t>将上述符合要求的投标文件，送至评标委员会进行评审</w:t>
      </w:r>
      <w:r>
        <w:rPr>
          <w:rFonts w:hint="eastAsia" w:ascii="宋体" w:hAnsi="宋体" w:cs="宋体"/>
          <w:color w:val="auto"/>
          <w:szCs w:val="21"/>
          <w:highlight w:val="none"/>
        </w:rPr>
        <w:t>。</w:t>
      </w:r>
    </w:p>
    <w:p w14:paraId="50D2C9F7">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42.2             </w:t>
      </w:r>
      <w:r>
        <w:rPr>
          <w:rFonts w:hint="eastAsia"/>
          <w:b/>
          <w:color w:val="auto"/>
          <w:szCs w:val="21"/>
          <w:highlight w:val="none"/>
        </w:rPr>
        <w:t>修改类型：修改</w:t>
      </w:r>
    </w:p>
    <w:p w14:paraId="29E6F9E2">
      <w:pPr>
        <w:pStyle w:val="23"/>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w:t>
      </w:r>
      <w:r>
        <w:rPr>
          <w:rFonts w:hint="eastAsia" w:ascii="宋体"/>
          <w:color w:val="auto"/>
          <w:szCs w:val="21"/>
          <w:highlight w:val="none"/>
        </w:rPr>
        <w:t>。</w:t>
      </w:r>
    </w:p>
    <w:p w14:paraId="43FFC48A">
      <w:pPr>
        <w:snapToGrid w:val="0"/>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14:paraId="4901F08D">
      <w:pPr>
        <w:pStyle w:val="23"/>
        <w:tabs>
          <w:tab w:val="left" w:pos="7380"/>
        </w:tabs>
        <w:snapToGrid w:val="0"/>
        <w:spacing w:after="0" w:line="360" w:lineRule="auto"/>
        <w:rPr>
          <w:rFonts w:ascii="宋体"/>
          <w:color w:val="auto"/>
          <w:szCs w:val="21"/>
          <w:highlight w:val="none"/>
        </w:rPr>
      </w:pPr>
      <w:r>
        <w:rPr>
          <w:rFonts w:hint="eastAsia" w:ascii="宋体"/>
          <w:color w:val="auto"/>
          <w:szCs w:val="21"/>
          <w:highlight w:val="none"/>
        </w:rPr>
        <w:t>方式二：评标委员会由技术评审组和经济评审组组成。其中：资格审查及技术评审由技术评标组负责，经济评审由经济评审组负责。</w:t>
      </w:r>
    </w:p>
    <w:p w14:paraId="27C6CC21">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color w:val="auto"/>
          <w:szCs w:val="21"/>
          <w:highlight w:val="none"/>
        </w:rPr>
        <w:t>42.2</w:t>
      </w:r>
      <w:r>
        <w:rPr>
          <w:rFonts w:hint="eastAsia" w:ascii="宋体"/>
          <w:color w:val="auto"/>
          <w:szCs w:val="21"/>
          <w:highlight w:val="none"/>
        </w:rPr>
        <w:t>评标委员会的组成：方式</w:t>
      </w:r>
      <w:r>
        <w:rPr>
          <w:rFonts w:hint="eastAsia" w:ascii="宋体"/>
          <w:color w:val="auto"/>
          <w:szCs w:val="21"/>
          <w:highlight w:val="none"/>
          <w:u w:val="single"/>
        </w:rPr>
        <w:t xml:space="preserve"> 一 </w:t>
      </w:r>
      <w:r>
        <w:rPr>
          <w:rFonts w:hint="eastAsia" w:ascii="宋体"/>
          <w:color w:val="auto"/>
          <w:szCs w:val="21"/>
          <w:highlight w:val="none"/>
        </w:rPr>
        <w:t xml:space="preserve">。 </w:t>
      </w:r>
    </w:p>
    <w:p w14:paraId="62EBA23F">
      <w:pPr>
        <w:pBdr>
          <w:bottom w:val="single" w:color="auto" w:sz="6" w:space="1"/>
        </w:pBdr>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14:paraId="3242F7C0">
      <w:pPr>
        <w:spacing w:line="36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44.2             </w:t>
      </w:r>
      <w:r>
        <w:rPr>
          <w:rFonts w:hint="eastAsia"/>
          <w:b/>
          <w:color w:val="auto"/>
          <w:szCs w:val="21"/>
          <w:highlight w:val="none"/>
        </w:rPr>
        <w:t>修改类型：修改</w:t>
      </w:r>
    </w:p>
    <w:p w14:paraId="350640EF">
      <w:pPr>
        <w:spacing w:line="360" w:lineRule="auto"/>
        <w:ind w:firstLine="422" w:firstLineChars="200"/>
        <w:rPr>
          <w:b/>
          <w:color w:val="auto"/>
          <w:szCs w:val="21"/>
          <w:highlight w:val="none"/>
        </w:rPr>
      </w:pPr>
      <w:r>
        <w:rPr>
          <w:rFonts w:hint="eastAsia"/>
          <w:b/>
          <w:color w:val="auto"/>
          <w:szCs w:val="21"/>
          <w:highlight w:val="none"/>
        </w:rPr>
        <w:t>原文：</w:t>
      </w:r>
      <w:r>
        <w:rPr>
          <w:color w:val="auto"/>
          <w:szCs w:val="21"/>
          <w:highlight w:val="none"/>
        </w:rPr>
        <w:t>44.2</w:t>
      </w:r>
      <w:r>
        <w:rPr>
          <w:rFonts w:hint="eastAsia" w:ascii="宋体"/>
          <w:color w:val="auto"/>
          <w:szCs w:val="21"/>
          <w:highlight w:val="none"/>
        </w:rPr>
        <w:t>技术标详细审查评分：评标委员会按照附表四《技术标详细审查评分表》的标准，对通过技术标有效性审查的投标文件技术标进行详细审查，评出技术分，得分四舍五入精确到小数点后两位。</w:t>
      </w:r>
    </w:p>
    <w:p w14:paraId="57E8EFB5">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color w:val="auto"/>
          <w:szCs w:val="21"/>
          <w:highlight w:val="none"/>
        </w:rPr>
        <w:t>44.2</w:t>
      </w:r>
      <w:r>
        <w:rPr>
          <w:rFonts w:hint="eastAsia" w:ascii="宋体"/>
          <w:color w:val="auto"/>
          <w:szCs w:val="21"/>
          <w:highlight w:val="none"/>
        </w:rPr>
        <w:t>技术标详细审查评分：评标委员会按照附表四《技术标详细审查评分表》的标准，对通过技术标有效性审查的投标文件技术标进行详细审查，评出技术分，</w:t>
      </w:r>
      <w:r>
        <w:rPr>
          <w:rFonts w:hint="eastAsia" w:ascii="宋体"/>
          <w:color w:val="auto"/>
          <w:szCs w:val="21"/>
          <w:highlight w:val="none"/>
          <w:u w:val="single"/>
        </w:rPr>
        <w:t>投标人的技术分为各评委评分的算术平均值，</w:t>
      </w:r>
      <w:r>
        <w:rPr>
          <w:rFonts w:hint="eastAsia" w:ascii="宋体"/>
          <w:color w:val="auto"/>
          <w:szCs w:val="21"/>
          <w:highlight w:val="none"/>
        </w:rPr>
        <w:t>得分四舍五入精确到小数点后两位。</w:t>
      </w:r>
    </w:p>
    <w:p w14:paraId="7D9E3508">
      <w:pPr>
        <w:spacing w:line="480" w:lineRule="auto"/>
        <w:ind w:firstLine="422" w:firstLineChars="200"/>
        <w:rPr>
          <w:b/>
          <w:color w:val="auto"/>
          <w:szCs w:val="21"/>
          <w:highlight w:val="none"/>
        </w:rPr>
      </w:pPr>
      <w:r>
        <w:rPr>
          <w:rFonts w:hint="eastAsia"/>
          <w:b/>
          <w:color w:val="auto"/>
          <w:szCs w:val="21"/>
          <w:highlight w:val="none"/>
        </w:rPr>
        <w:t>条款号：</w:t>
      </w:r>
      <w:r>
        <w:rPr>
          <w:b/>
          <w:color w:val="auto"/>
          <w:szCs w:val="21"/>
          <w:highlight w:val="none"/>
        </w:rPr>
        <w:t xml:space="preserve">45.2             </w:t>
      </w:r>
      <w:r>
        <w:rPr>
          <w:rFonts w:hint="eastAsia"/>
          <w:b/>
          <w:color w:val="auto"/>
          <w:szCs w:val="21"/>
          <w:highlight w:val="none"/>
        </w:rPr>
        <w:t>修改类型：修改</w:t>
      </w:r>
    </w:p>
    <w:p w14:paraId="33847CC5">
      <w:pPr>
        <w:pStyle w:val="23"/>
        <w:tabs>
          <w:tab w:val="left" w:pos="7380"/>
        </w:tabs>
        <w:snapToGrid w:val="0"/>
        <w:spacing w:after="0" w:line="360" w:lineRule="auto"/>
        <w:ind w:firstLineChars="199"/>
        <w:rPr>
          <w:rFonts w:ascii="宋体"/>
          <w:color w:val="auto"/>
          <w:szCs w:val="21"/>
          <w:highlight w:val="none"/>
        </w:rPr>
      </w:pPr>
      <w:r>
        <w:rPr>
          <w:rFonts w:hint="eastAsia"/>
          <w:b/>
          <w:color w:val="auto"/>
          <w:szCs w:val="21"/>
          <w:highlight w:val="none"/>
        </w:rPr>
        <w:t>原文：</w:t>
      </w:r>
      <w:r>
        <w:rPr>
          <w:rFonts w:hint="eastAsia" w:ascii="宋体" w:hAnsi="宋体"/>
          <w:color w:val="auto"/>
          <w:szCs w:val="21"/>
          <w:highlight w:val="none"/>
        </w:rPr>
        <w:t>45.2按方法</w:t>
      </w:r>
      <w:r>
        <w:rPr>
          <w:rFonts w:hint="eastAsia" w:ascii="宋体" w:hAnsi="宋体"/>
          <w:color w:val="auto"/>
          <w:szCs w:val="21"/>
          <w:highlight w:val="none"/>
          <w:u w:val="single"/>
        </w:rPr>
        <w:t xml:space="preserve">    </w:t>
      </w:r>
      <w:r>
        <w:rPr>
          <w:rFonts w:hint="eastAsia" w:ascii="宋体" w:hAnsi="宋体"/>
          <w:color w:val="auto"/>
          <w:szCs w:val="21"/>
          <w:highlight w:val="none"/>
        </w:rPr>
        <w:t>计算评标参考价：</w:t>
      </w:r>
    </w:p>
    <w:p w14:paraId="3C78118A">
      <w:pPr>
        <w:pStyle w:val="23"/>
        <w:tabs>
          <w:tab w:val="left" w:pos="7380"/>
        </w:tabs>
        <w:snapToGrid w:val="0"/>
        <w:spacing w:after="0" w:line="360" w:lineRule="auto"/>
        <w:ind w:firstLineChars="199"/>
        <w:rPr>
          <w:rFonts w:ascii="宋体" w:hAnsi="宋体"/>
          <w:b/>
          <w:bCs/>
          <w:color w:val="auto"/>
          <w:szCs w:val="21"/>
          <w:highlight w:val="none"/>
        </w:rPr>
      </w:pPr>
      <w:r>
        <w:rPr>
          <w:rFonts w:hint="eastAsia" w:ascii="宋体" w:hAnsi="宋体" w:cs="仿宋"/>
          <w:b/>
          <w:bCs/>
          <w:color w:val="auto"/>
          <w:szCs w:val="21"/>
          <w:highlight w:val="none"/>
        </w:rPr>
        <w:t>方法一：加权平均法</w:t>
      </w:r>
    </w:p>
    <w:p w14:paraId="6ECF72F1">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技术标或技术标加诚信得分（具体由招标人自定）前N名（N≥5，具体由招标人自定）的经济报价加权平均，计算评标参考价。公式如下：</w:t>
      </w:r>
    </w:p>
    <w:p w14:paraId="60A0EDB0">
      <w:pPr>
        <w:pStyle w:val="23"/>
        <w:tabs>
          <w:tab w:val="left" w:pos="7380"/>
        </w:tabs>
        <w:snapToGrid w:val="0"/>
        <w:spacing w:after="0" w:line="360" w:lineRule="auto"/>
        <w:ind w:firstLineChars="200"/>
        <w:rPr>
          <w:rFonts w:ascii="宋体" w:hAnsi="宋体" w:cs="仿宋"/>
          <w:color w:val="auto"/>
          <w:szCs w:val="21"/>
          <w:highlight w:val="none"/>
        </w:rPr>
      </w:pPr>
      <w:r>
        <w:rPr>
          <w:rFonts w:hint="eastAsia" w:ascii="宋体" w:hAnsi="宋体" w:cs="仿宋"/>
          <w:color w:val="auto"/>
          <w:szCs w:val="21"/>
          <w:highlight w:val="none"/>
        </w:rPr>
        <w:t>评标参考价=Σ（投标人的投标报价*报价权重）。</w:t>
      </w:r>
    </w:p>
    <w:p w14:paraId="62EAE4FE">
      <w:pPr>
        <w:pStyle w:val="23"/>
        <w:tabs>
          <w:tab w:val="left" w:pos="7380"/>
        </w:tabs>
        <w:snapToGrid w:val="0"/>
        <w:spacing w:after="0" w:line="360" w:lineRule="auto"/>
        <w:ind w:firstLine="0"/>
        <w:rPr>
          <w:rFonts w:ascii="宋体" w:hAnsi="宋体" w:cs="仿宋"/>
          <w:color w:val="auto"/>
          <w:szCs w:val="21"/>
          <w:highlight w:val="none"/>
        </w:rPr>
      </w:pPr>
      <w:r>
        <w:rPr>
          <w:rFonts w:ascii="宋体" w:hAnsi="宋体"/>
          <w:color w:val="auto"/>
          <w:szCs w:val="21"/>
          <w:highlight w:val="none"/>
        </w:rPr>
        <w:drawing>
          <wp:anchor distT="0" distB="0" distL="114300" distR="114300" simplePos="0" relativeHeight="251661312" behindDoc="0" locked="0" layoutInCell="1" allowOverlap="1">
            <wp:simplePos x="0" y="0"/>
            <wp:positionH relativeFrom="column">
              <wp:posOffset>165100</wp:posOffset>
            </wp:positionH>
            <wp:positionV relativeFrom="paragraph">
              <wp:posOffset>276860</wp:posOffset>
            </wp:positionV>
            <wp:extent cx="306070" cy="359410"/>
            <wp:effectExtent l="0" t="0" r="17780" b="254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306070" cy="359410"/>
                    </a:xfrm>
                    <a:prstGeom prst="rect">
                      <a:avLst/>
                    </a:prstGeom>
                    <a:noFill/>
                    <a:ln>
                      <a:noFill/>
                    </a:ln>
                  </pic:spPr>
                </pic:pic>
              </a:graphicData>
            </a:graphic>
          </wp:anchor>
        </w:drawing>
      </w:r>
      <w:r>
        <w:rPr>
          <w:rFonts w:hint="eastAsia" w:ascii="宋体" w:hAnsi="宋体" w:cs="仿宋"/>
          <w:color w:val="auto"/>
          <w:szCs w:val="21"/>
          <w:highlight w:val="none"/>
        </w:rPr>
        <w:t xml:space="preserve">其中：报价权重的计算方法为：将N名投标人按技术分由高至低进行排序，第一名投标人的权重为（     </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szCs w:val="21"/>
          <w:highlight w:val="none"/>
        </w:rPr>
        <w:instrText xml:space="preserve"> \* MERGEFORMAT </w:instrText>
      </w:r>
      <w:r>
        <w:rPr>
          <w:rFonts w:hint="eastAsia" w:ascii="宋体" w:hAnsi="宋体" w:cs="仿宋"/>
          <w:color w:val="auto"/>
          <w:szCs w:val="21"/>
          <w:highlight w:val="none"/>
        </w:rPr>
        <w:fldChar w:fldCharType="end"/>
      </w:r>
      <w:r>
        <w:rPr>
          <w:rFonts w:hint="eastAsia" w:ascii="宋体" w:hAnsi="宋体" w:cs="仿宋"/>
          <w:color w:val="auto"/>
          <w:szCs w:val="21"/>
          <w:highlight w:val="none"/>
        </w:rPr>
        <w:t>），第二名投标人的权重为（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0040" cy="394970"/>
            <wp:effectExtent l="0" t="0" r="3810" b="508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6"/>
                    <a:stretch>
                      <a:fillRect/>
                    </a:stretch>
                  </pic:blipFill>
                  <pic:spPr>
                    <a:xfrm>
                      <a:off x="0" y="0"/>
                      <a:ext cx="320040" cy="394970"/>
                    </a:xfrm>
                    <a:prstGeom prst="rect">
                      <a:avLst/>
                    </a:prstGeom>
                    <a:noFill/>
                    <a:ln>
                      <a:noFill/>
                    </a:ln>
                  </pic:spPr>
                </pic:pic>
              </a:graphicData>
            </a:graphic>
          </wp:inline>
        </w:drawing>
      </w:r>
      <w:r>
        <w:rPr>
          <w:rFonts w:ascii="宋体" w:hAnsi="宋体"/>
          <w:color w:val="auto"/>
          <w:position w:val="-23"/>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0040" cy="394970"/>
            <wp:effectExtent l="0" t="0" r="3810" b="508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6"/>
                    <a:stretch>
                      <a:fillRect/>
                    </a:stretch>
                  </pic:blipFill>
                  <pic:spPr>
                    <a:xfrm>
                      <a:off x="0" y="0"/>
                      <a:ext cx="320040" cy="39497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），以此类推，最后一名投标人的权重为（</w:t>
      </w:r>
      <w:r>
        <w:rPr>
          <w:rFonts w:hint="eastAsia" w:ascii="宋体" w:hAnsi="宋体" w:cs="仿宋"/>
          <w:color w:val="auto"/>
          <w:szCs w:val="21"/>
          <w:highlight w:val="none"/>
        </w:rPr>
        <w:fldChar w:fldCharType="begin"/>
      </w:r>
      <w:r>
        <w:rPr>
          <w:rFonts w:hint="eastAsia" w:ascii="宋体" w:hAnsi="宋体" w:cs="仿宋"/>
          <w:color w:val="auto"/>
          <w:szCs w:val="21"/>
          <w:highlight w:val="none"/>
        </w:rPr>
        <w:instrText xml:space="preserve"> QUOTE </w:instrText>
      </w:r>
      <w:r>
        <w:rPr>
          <w:rFonts w:ascii="宋体" w:hAnsi="宋体"/>
          <w:color w:val="auto"/>
          <w:position w:val="-23"/>
          <w:szCs w:val="21"/>
          <w:highlight w:val="none"/>
        </w:rPr>
        <w:drawing>
          <wp:inline distT="0" distB="0" distL="114300" distR="114300">
            <wp:extent cx="320040" cy="394970"/>
            <wp:effectExtent l="0" t="0" r="3810" b="508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7"/>
                    <a:stretch>
                      <a:fillRect/>
                    </a:stretch>
                  </pic:blipFill>
                  <pic:spPr>
                    <a:xfrm>
                      <a:off x="0" y="0"/>
                      <a:ext cx="320040" cy="394970"/>
                    </a:xfrm>
                    <a:prstGeom prst="rect">
                      <a:avLst/>
                    </a:prstGeom>
                    <a:noFill/>
                    <a:ln>
                      <a:noFill/>
                    </a:ln>
                  </pic:spPr>
                </pic:pic>
              </a:graphicData>
            </a:graphic>
          </wp:inline>
        </w:drawing>
      </w:r>
      <w:r>
        <w:rPr>
          <w:rFonts w:ascii="宋体" w:hAnsi="宋体"/>
          <w:color w:val="auto"/>
          <w:position w:val="-23"/>
          <w:szCs w:val="21"/>
          <w:highlight w:val="none"/>
        </w:rPr>
        <w:instrText xml:space="preserve"> \* MERGEFORMAT </w:instrText>
      </w:r>
      <w:r>
        <w:rPr>
          <w:rFonts w:hint="eastAsia" w:ascii="宋体" w:hAnsi="宋体" w:cs="仿宋"/>
          <w:color w:val="auto"/>
          <w:szCs w:val="21"/>
          <w:highlight w:val="none"/>
        </w:rPr>
        <w:fldChar w:fldCharType="separate"/>
      </w:r>
      <w:r>
        <w:rPr>
          <w:rFonts w:ascii="宋体" w:hAnsi="宋体"/>
          <w:color w:val="auto"/>
          <w:position w:val="-23"/>
          <w:szCs w:val="21"/>
          <w:highlight w:val="none"/>
        </w:rPr>
        <w:drawing>
          <wp:inline distT="0" distB="0" distL="114300" distR="114300">
            <wp:extent cx="320040" cy="394970"/>
            <wp:effectExtent l="0" t="0" r="3810" b="508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7"/>
                    <a:stretch>
                      <a:fillRect/>
                    </a:stretch>
                  </pic:blipFill>
                  <pic:spPr>
                    <a:xfrm>
                      <a:off x="0" y="0"/>
                      <a:ext cx="320040" cy="394970"/>
                    </a:xfrm>
                    <a:prstGeom prst="rect">
                      <a:avLst/>
                    </a:prstGeom>
                    <a:noFill/>
                    <a:ln>
                      <a:noFill/>
                    </a:ln>
                  </pic:spPr>
                </pic:pic>
              </a:graphicData>
            </a:graphic>
          </wp:inline>
        </w:drawing>
      </w:r>
      <w:r>
        <w:rPr>
          <w:rFonts w:hint="eastAsia" w:ascii="宋体" w:hAnsi="宋体" w:cs="仿宋"/>
          <w:color w:val="auto"/>
          <w:szCs w:val="21"/>
          <w:highlight w:val="none"/>
        </w:rPr>
        <w:fldChar w:fldCharType="end"/>
      </w:r>
      <w:r>
        <w:rPr>
          <w:rFonts w:hint="eastAsia" w:ascii="宋体" w:hAnsi="宋体" w:cs="仿宋"/>
          <w:color w:val="auto"/>
          <w:szCs w:val="21"/>
          <w:highlight w:val="none"/>
        </w:rPr>
        <w:t>）。</w:t>
      </w:r>
    </w:p>
    <w:p w14:paraId="1AADCBE0">
      <w:pPr>
        <w:pStyle w:val="23"/>
        <w:tabs>
          <w:tab w:val="left" w:pos="7380"/>
        </w:tabs>
        <w:snapToGrid w:val="0"/>
        <w:spacing w:after="0" w:line="360" w:lineRule="auto"/>
        <w:ind w:firstLine="422" w:firstLineChars="200"/>
        <w:rPr>
          <w:rFonts w:ascii="宋体" w:hAnsi="宋体"/>
          <w:b/>
          <w:bCs/>
          <w:color w:val="auto"/>
          <w:szCs w:val="21"/>
          <w:highlight w:val="none"/>
        </w:rPr>
      </w:pPr>
      <w:r>
        <w:rPr>
          <w:rFonts w:hint="eastAsia" w:ascii="宋体" w:hAnsi="宋体" w:cs="仿宋"/>
          <w:b/>
          <w:bCs/>
          <w:color w:val="auto"/>
          <w:szCs w:val="21"/>
          <w:highlight w:val="none"/>
        </w:rPr>
        <w:t>方法二：区间抽取法</w:t>
      </w:r>
    </w:p>
    <w:p w14:paraId="3CA64A83">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ECFB141">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评标参考价=（Q高-Q低）/100*Ｘ+Q低</w:t>
      </w:r>
    </w:p>
    <w:p w14:paraId="42A0797B">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Q低：为达到或超过技术标及格分数线的投标人最低报价与工程成本警示价两者中的较高值；</w:t>
      </w:r>
    </w:p>
    <w:p w14:paraId="4C9241F1">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Q高：为最高投标限价</w:t>
      </w:r>
    </w:p>
    <w:p w14:paraId="7C224FDA">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X：为等分点值，在开标前从[0,100]整数中随机抽取</w:t>
      </w:r>
    </w:p>
    <w:p w14:paraId="0669BDFA">
      <w:pPr>
        <w:pStyle w:val="23"/>
        <w:tabs>
          <w:tab w:val="left" w:pos="7380"/>
        </w:tabs>
        <w:snapToGrid w:val="0"/>
        <w:spacing w:after="0" w:line="360" w:lineRule="auto"/>
        <w:ind w:left="420" w:firstLine="422" w:firstLineChars="200"/>
        <w:rPr>
          <w:rFonts w:ascii="宋体"/>
          <w:color w:val="auto"/>
          <w:szCs w:val="21"/>
          <w:highlight w:val="none"/>
        </w:rPr>
      </w:pPr>
      <w:r>
        <w:rPr>
          <w:rFonts w:hint="eastAsia"/>
          <w:b/>
          <w:color w:val="auto"/>
          <w:szCs w:val="21"/>
          <w:highlight w:val="none"/>
        </w:rPr>
        <w:t>现文：</w:t>
      </w:r>
      <w:r>
        <w:rPr>
          <w:rFonts w:ascii="宋体" w:hAnsi="宋体"/>
          <w:color w:val="auto"/>
          <w:szCs w:val="21"/>
          <w:highlight w:val="none"/>
        </w:rPr>
        <w:t>45.2按方法</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二</w:t>
      </w:r>
      <w:r>
        <w:rPr>
          <w:rFonts w:ascii="宋体" w:hAnsi="宋体"/>
          <w:color w:val="auto"/>
          <w:szCs w:val="21"/>
          <w:highlight w:val="none"/>
          <w:u w:val="single"/>
        </w:rPr>
        <w:t xml:space="preserve">  </w:t>
      </w:r>
      <w:r>
        <w:rPr>
          <w:rFonts w:hint="eastAsia" w:ascii="宋体" w:hAnsi="宋体"/>
          <w:color w:val="auto"/>
          <w:szCs w:val="21"/>
          <w:highlight w:val="none"/>
        </w:rPr>
        <w:t>计算评标参考价：</w:t>
      </w:r>
    </w:p>
    <w:p w14:paraId="5FA8CD30">
      <w:pPr>
        <w:pStyle w:val="23"/>
        <w:tabs>
          <w:tab w:val="left" w:pos="7380"/>
        </w:tabs>
        <w:snapToGrid w:val="0"/>
        <w:spacing w:after="0" w:line="360" w:lineRule="auto"/>
        <w:rPr>
          <w:rFonts w:hint="eastAsia" w:ascii="宋体" w:hAnsi="宋体" w:cs="仿宋"/>
          <w:b/>
          <w:bCs/>
          <w:color w:val="auto"/>
          <w:szCs w:val="21"/>
          <w:highlight w:val="none"/>
        </w:rPr>
      </w:pPr>
      <w:r>
        <w:rPr>
          <w:rFonts w:hint="eastAsia" w:ascii="宋体" w:hAnsi="宋体" w:cs="仿宋"/>
          <w:b/>
          <w:bCs/>
          <w:color w:val="auto"/>
          <w:szCs w:val="21"/>
          <w:highlight w:val="none"/>
        </w:rPr>
        <w:t>方法二：区间抽取法</w:t>
      </w:r>
    </w:p>
    <w:p w14:paraId="3A688E9F">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设立入围合格分数线</w:t>
      </w:r>
      <w:r>
        <w:rPr>
          <w:rFonts w:hint="eastAsia" w:ascii="宋体" w:hAnsi="宋体" w:cs="仿宋"/>
          <w:b/>
          <w:bCs/>
          <w:color w:val="auto"/>
          <w:szCs w:val="21"/>
          <w:highlight w:val="none"/>
          <w:u w:val="single"/>
        </w:rPr>
        <w:t>（技术标</w:t>
      </w:r>
      <w:r>
        <w:rPr>
          <w:rFonts w:hint="eastAsia" w:ascii="宋体" w:hAnsi="宋体" w:cs="仿宋"/>
          <w:b/>
          <w:bCs/>
          <w:color w:val="auto"/>
          <w:szCs w:val="21"/>
          <w:highlight w:val="none"/>
          <w:u w:val="single"/>
          <w:lang w:val="en-US" w:eastAsia="zh-CN"/>
        </w:rPr>
        <w:t>详细审查≥80分</w:t>
      </w:r>
      <w:r>
        <w:rPr>
          <w:rFonts w:hint="eastAsia" w:ascii="宋体" w:hAnsi="宋体" w:cs="仿宋"/>
          <w:b/>
          <w:bCs/>
          <w:color w:val="auto"/>
          <w:szCs w:val="21"/>
          <w:highlight w:val="none"/>
          <w:u w:val="single"/>
        </w:rPr>
        <w:t>）</w:t>
      </w:r>
      <w:r>
        <w:rPr>
          <w:rFonts w:hint="eastAsia" w:ascii="宋体" w:hAnsi="宋体" w:cs="仿宋"/>
          <w:color w:val="auto"/>
          <w:szCs w:val="21"/>
          <w:highlight w:val="none"/>
        </w:rPr>
        <w:t>，达到或超过及格线的投标人的报价方能参与评标参考价的计算。将达到或超过技术标及格分数线的投标报价由低至高进行排列，按以下公式计算评标参考价，计算公式如下：</w:t>
      </w:r>
    </w:p>
    <w:p w14:paraId="4A0AF32E">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评标参考价=（Q高-Q低）/100*Ｘ+Q低</w:t>
      </w:r>
    </w:p>
    <w:p w14:paraId="1189EE6F">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Q低：为达到或超过技术标及格分数线的投标人最低报价与工程成本警示价两者中的较高值；</w:t>
      </w:r>
    </w:p>
    <w:p w14:paraId="53F5FC5D">
      <w:pPr>
        <w:pStyle w:val="23"/>
        <w:tabs>
          <w:tab w:val="left" w:pos="7380"/>
        </w:tabs>
        <w:snapToGrid w:val="0"/>
        <w:spacing w:after="0" w:line="360" w:lineRule="auto"/>
        <w:rPr>
          <w:rFonts w:ascii="宋体" w:hAnsi="宋体" w:cs="仿宋"/>
          <w:color w:val="auto"/>
          <w:szCs w:val="21"/>
          <w:highlight w:val="none"/>
        </w:rPr>
      </w:pPr>
      <w:r>
        <w:rPr>
          <w:rFonts w:hint="eastAsia" w:ascii="宋体" w:hAnsi="宋体" w:cs="仿宋"/>
          <w:color w:val="auto"/>
          <w:szCs w:val="21"/>
          <w:highlight w:val="none"/>
        </w:rPr>
        <w:t>Q高：为最高投标限价</w:t>
      </w:r>
    </w:p>
    <w:p w14:paraId="104F0C64">
      <w:pPr>
        <w:pBdr>
          <w:bottom w:val="single" w:color="auto" w:sz="6" w:space="1"/>
        </w:pBdr>
        <w:spacing w:line="360" w:lineRule="auto"/>
        <w:ind w:firstLine="420" w:firstLineChars="200"/>
        <w:rPr>
          <w:rFonts w:ascii="宋体"/>
          <w:color w:val="auto"/>
          <w:szCs w:val="21"/>
          <w:highlight w:val="none"/>
        </w:rPr>
      </w:pPr>
      <w:r>
        <w:rPr>
          <w:rFonts w:hint="eastAsia" w:ascii="宋体" w:hAnsi="宋体" w:cs="仿宋"/>
          <w:color w:val="auto"/>
          <w:szCs w:val="21"/>
          <w:highlight w:val="none"/>
        </w:rPr>
        <w:t>X：为等分点值，在开标前从[0,100]整数中随机抽取</w:t>
      </w:r>
      <w:r>
        <w:rPr>
          <w:rFonts w:hint="eastAsia" w:ascii="宋体" w:hAnsi="宋体" w:cs="仿宋"/>
          <w:color w:val="auto"/>
          <w:szCs w:val="21"/>
          <w:highlight w:val="none"/>
          <w:lang w:eastAsia="zh-CN"/>
        </w:rPr>
        <w:t>。</w:t>
      </w:r>
    </w:p>
    <w:p w14:paraId="49B6E452">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条款号：45.4             修改类型：修改</w:t>
      </w:r>
    </w:p>
    <w:p w14:paraId="7374C54C">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s="宋体"/>
          <w:color w:val="auto"/>
          <w:kern w:val="0"/>
          <w:szCs w:val="21"/>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736CDE62">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szCs w:val="21"/>
          <w:highlight w:val="none"/>
        </w:rPr>
        <w:t>45.4计算通过技术标有效性审查的投标人总得分。</w:t>
      </w:r>
      <w:r>
        <w:rPr>
          <w:rFonts w:hint="eastAsia" w:ascii="宋体" w:hAnsi="宋体"/>
          <w:color w:val="auto"/>
          <w:szCs w:val="21"/>
          <w:highlight w:val="none"/>
          <w:u w:val="single"/>
        </w:rPr>
        <w:t>投标人总得分=技术得分×</w:t>
      </w:r>
      <w:r>
        <w:rPr>
          <w:rFonts w:hint="eastAsia" w:ascii="宋体" w:hAnsi="宋体"/>
          <w:color w:val="auto"/>
          <w:szCs w:val="21"/>
          <w:highlight w:val="none"/>
          <w:u w:val="single"/>
          <w:lang w:val="en-US" w:eastAsia="zh-CN"/>
        </w:rPr>
        <w:t>技术</w:t>
      </w:r>
      <w:r>
        <w:rPr>
          <w:rFonts w:hint="eastAsia" w:ascii="宋体" w:hAnsi="宋体"/>
          <w:color w:val="auto"/>
          <w:szCs w:val="21"/>
          <w:highlight w:val="none"/>
          <w:u w:val="single"/>
        </w:rPr>
        <w:t>得分权重(</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0%)＋经济得分×经济得分权重(80%)。</w:t>
      </w:r>
      <w:r>
        <w:rPr>
          <w:rFonts w:hint="eastAsia" w:ascii="宋体" w:hAnsi="宋体"/>
          <w:color w:val="auto"/>
          <w:szCs w:val="21"/>
          <w:highlight w:val="none"/>
        </w:rPr>
        <w:t>技术、经济得分权重按投标须知前附表的规定执行。总得分四舍五入保留两位小数。</w:t>
      </w:r>
      <w:r>
        <w:rPr>
          <w:rFonts w:hint="eastAsia" w:ascii="宋体" w:hAnsi="宋体"/>
          <w:color w:val="auto"/>
          <w:szCs w:val="21"/>
          <w:highlight w:val="none"/>
          <w:u w:val="single"/>
        </w:rPr>
        <w:t>总得分相同的，</w:t>
      </w:r>
      <w:r>
        <w:rPr>
          <w:rFonts w:hint="eastAsia" w:ascii="宋体" w:hAnsi="宋体" w:cs="仿宋"/>
          <w:color w:val="auto"/>
          <w:szCs w:val="21"/>
          <w:highlight w:val="none"/>
          <w:u w:val="single"/>
        </w:rPr>
        <w:t>以投标报价较低的排前</w:t>
      </w:r>
      <w:r>
        <w:rPr>
          <w:rFonts w:hint="eastAsia" w:ascii="宋体" w:hAnsi="宋体"/>
          <w:color w:val="auto"/>
          <w:szCs w:val="21"/>
          <w:highlight w:val="none"/>
          <w:u w:val="single"/>
        </w:rPr>
        <w:t>；总得分及</w:t>
      </w:r>
      <w:r>
        <w:rPr>
          <w:rFonts w:hint="eastAsia" w:ascii="宋体" w:hAnsi="宋体" w:cs="仿宋"/>
          <w:color w:val="auto"/>
          <w:szCs w:val="21"/>
          <w:highlight w:val="none"/>
          <w:u w:val="single"/>
        </w:rPr>
        <w:t>投标报价</w:t>
      </w:r>
      <w:r>
        <w:rPr>
          <w:rFonts w:hint="eastAsia" w:ascii="宋体" w:hAnsi="宋体"/>
          <w:color w:val="auto"/>
          <w:szCs w:val="21"/>
          <w:highlight w:val="none"/>
          <w:u w:val="single"/>
        </w:rPr>
        <w:t>均相同的，以技术分较高的排前；如仍存在相同情况，则由评标委员会采用记名投票方式，以得票多的优先。</w:t>
      </w:r>
    </w:p>
    <w:p w14:paraId="5A7753CD">
      <w:pPr>
        <w:spacing w:line="48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条款号：46.2.8             修改类型：修改</w:t>
      </w:r>
    </w:p>
    <w:p w14:paraId="1379ACB4">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bCs/>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r>
        <w:rPr>
          <w:rFonts w:hint="eastAsia" w:ascii="宋体" w:hAnsi="宋体" w:cs="宋体"/>
          <w:bCs/>
          <w:color w:val="auto"/>
          <w:kern w:val="0"/>
          <w:szCs w:val="21"/>
          <w:highlight w:val="none"/>
        </w:rPr>
        <w:t>。</w:t>
      </w:r>
    </w:p>
    <w:p w14:paraId="2E740BDF">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hAnsi="宋体"/>
          <w:color w:val="auto"/>
          <w:highlight w:val="none"/>
        </w:rPr>
        <w:t>46.2.8按上述修正错误的原则及方法调整或修正投标文件的投标报价，调整后的投标报价对投标人起约束作用。如果投标人不接受修正后的报价，则取消其投标资格</w:t>
      </w:r>
      <w:r>
        <w:rPr>
          <w:rFonts w:hint="eastAsia" w:ascii="宋体" w:hAnsi="宋体"/>
          <w:color w:val="auto"/>
          <w:szCs w:val="21"/>
          <w:highlight w:val="none"/>
        </w:rPr>
        <w:t>。</w:t>
      </w:r>
    </w:p>
    <w:p w14:paraId="0BF3628A">
      <w:pPr>
        <w:spacing w:line="360" w:lineRule="auto"/>
        <w:ind w:firstLine="422" w:firstLineChars="200"/>
        <w:rPr>
          <w:b/>
          <w:color w:val="auto"/>
          <w:szCs w:val="21"/>
          <w:highlight w:val="none"/>
        </w:rPr>
      </w:pPr>
      <w:r>
        <w:rPr>
          <w:rFonts w:hint="eastAsia"/>
          <w:b/>
          <w:color w:val="auto"/>
          <w:szCs w:val="21"/>
          <w:highlight w:val="none"/>
        </w:rPr>
        <w:t>条款号：附表一</w:t>
      </w:r>
      <w:r>
        <w:rPr>
          <w:b/>
          <w:color w:val="auto"/>
          <w:szCs w:val="21"/>
          <w:highlight w:val="none"/>
        </w:rPr>
        <w:t xml:space="preserve"> </w:t>
      </w:r>
      <w:r>
        <w:rPr>
          <w:rFonts w:hint="eastAsia"/>
          <w:b/>
          <w:color w:val="auto"/>
          <w:szCs w:val="21"/>
          <w:highlight w:val="none"/>
        </w:rPr>
        <w:t>《资格审查表》</w:t>
      </w:r>
      <w:r>
        <w:rPr>
          <w:b/>
          <w:color w:val="auto"/>
          <w:szCs w:val="21"/>
          <w:highlight w:val="none"/>
        </w:rPr>
        <w:t xml:space="preserve">            </w:t>
      </w:r>
      <w:r>
        <w:rPr>
          <w:rFonts w:hint="eastAsia"/>
          <w:b/>
          <w:color w:val="auto"/>
          <w:szCs w:val="21"/>
          <w:highlight w:val="none"/>
        </w:rPr>
        <w:t>修改类型：修改</w:t>
      </w:r>
    </w:p>
    <w:p w14:paraId="3CAA8B21">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17DDE2BD">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见后附（现文：附表一《资格审查表》）</w:t>
      </w:r>
    </w:p>
    <w:p w14:paraId="452FDC83">
      <w:pPr>
        <w:spacing w:line="360" w:lineRule="auto"/>
        <w:ind w:firstLine="422" w:firstLineChars="200"/>
        <w:rPr>
          <w:b/>
          <w:color w:val="auto"/>
          <w:szCs w:val="21"/>
          <w:highlight w:val="none"/>
        </w:rPr>
      </w:pPr>
      <w:r>
        <w:rPr>
          <w:rFonts w:hint="eastAsia"/>
          <w:b/>
          <w:color w:val="auto"/>
          <w:szCs w:val="21"/>
          <w:highlight w:val="none"/>
        </w:rPr>
        <w:t xml:space="preserve">条款号：附表二 《技术标有效性审查表》 </w:t>
      </w:r>
      <w:r>
        <w:rPr>
          <w:b/>
          <w:color w:val="auto"/>
          <w:szCs w:val="21"/>
          <w:highlight w:val="none"/>
        </w:rPr>
        <w:t xml:space="preserve">    </w:t>
      </w:r>
      <w:r>
        <w:rPr>
          <w:rFonts w:hint="eastAsia"/>
          <w:b/>
          <w:color w:val="auto"/>
          <w:szCs w:val="21"/>
          <w:highlight w:val="none"/>
        </w:rPr>
        <w:t>修改类型：修改</w:t>
      </w:r>
    </w:p>
    <w:p w14:paraId="18240EA1">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原文：</w:t>
      </w:r>
      <w:r>
        <w:rPr>
          <w:rFonts w:hint="eastAsia"/>
          <w:color w:val="auto"/>
          <w:szCs w:val="21"/>
          <w:highlight w:val="none"/>
        </w:rPr>
        <w:t>见范本</w:t>
      </w:r>
    </w:p>
    <w:p w14:paraId="0EE8EB0C">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见后附（现文：附表二《技术标有效性审查表》）</w:t>
      </w:r>
    </w:p>
    <w:p w14:paraId="698AD30E">
      <w:pPr>
        <w:spacing w:line="360" w:lineRule="auto"/>
        <w:ind w:firstLine="422" w:firstLineChars="200"/>
        <w:rPr>
          <w:b/>
          <w:color w:val="auto"/>
          <w:szCs w:val="21"/>
          <w:highlight w:val="none"/>
        </w:rPr>
      </w:pPr>
      <w:r>
        <w:rPr>
          <w:rFonts w:hint="eastAsia"/>
          <w:b/>
          <w:color w:val="auto"/>
          <w:szCs w:val="21"/>
          <w:highlight w:val="none"/>
        </w:rPr>
        <w:t xml:space="preserve">条款号：附表三 《经济标有效性审查表》 </w:t>
      </w:r>
      <w:r>
        <w:rPr>
          <w:b/>
          <w:color w:val="auto"/>
          <w:szCs w:val="21"/>
          <w:highlight w:val="none"/>
        </w:rPr>
        <w:t xml:space="preserve">    </w:t>
      </w:r>
      <w:r>
        <w:rPr>
          <w:rFonts w:hint="eastAsia"/>
          <w:b/>
          <w:color w:val="auto"/>
          <w:szCs w:val="21"/>
          <w:highlight w:val="none"/>
        </w:rPr>
        <w:t>修改类型：修改</w:t>
      </w:r>
    </w:p>
    <w:p w14:paraId="37DBBA2C">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57322317">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见后附（现文：附表三《经济标有效性审查表》）</w:t>
      </w:r>
    </w:p>
    <w:p w14:paraId="35D50D06">
      <w:pPr>
        <w:spacing w:line="360" w:lineRule="auto"/>
        <w:ind w:firstLine="422" w:firstLineChars="200"/>
        <w:rPr>
          <w:b/>
          <w:color w:val="auto"/>
          <w:szCs w:val="21"/>
          <w:highlight w:val="none"/>
        </w:rPr>
      </w:pPr>
      <w:r>
        <w:rPr>
          <w:rFonts w:hint="eastAsia"/>
          <w:b/>
          <w:color w:val="auto"/>
          <w:szCs w:val="21"/>
          <w:highlight w:val="none"/>
        </w:rPr>
        <w:t xml:space="preserve">条款号：附表四《技术标详细审查评分表》 </w:t>
      </w:r>
      <w:r>
        <w:rPr>
          <w:b/>
          <w:color w:val="auto"/>
          <w:szCs w:val="21"/>
          <w:highlight w:val="none"/>
        </w:rPr>
        <w:t xml:space="preserve">    </w:t>
      </w:r>
      <w:r>
        <w:rPr>
          <w:rFonts w:hint="eastAsia"/>
          <w:b/>
          <w:color w:val="auto"/>
          <w:szCs w:val="21"/>
          <w:highlight w:val="none"/>
        </w:rPr>
        <w:t>修改类型：修改</w:t>
      </w:r>
    </w:p>
    <w:p w14:paraId="598AAC87">
      <w:pPr>
        <w:spacing w:line="360" w:lineRule="auto"/>
        <w:ind w:firstLine="422" w:firstLineChars="200"/>
        <w:rPr>
          <w:b/>
          <w:color w:val="auto"/>
          <w:szCs w:val="21"/>
          <w:highlight w:val="none"/>
        </w:rPr>
      </w:pPr>
      <w:r>
        <w:rPr>
          <w:rFonts w:hint="eastAsia"/>
          <w:b/>
          <w:color w:val="auto"/>
          <w:szCs w:val="21"/>
          <w:highlight w:val="none"/>
        </w:rPr>
        <w:t>原文：</w:t>
      </w:r>
      <w:r>
        <w:rPr>
          <w:rFonts w:hint="eastAsia"/>
          <w:color w:val="auto"/>
          <w:szCs w:val="21"/>
          <w:highlight w:val="none"/>
        </w:rPr>
        <w:t>见范本</w:t>
      </w:r>
    </w:p>
    <w:p w14:paraId="2D2B58A6">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color w:val="auto"/>
          <w:szCs w:val="21"/>
          <w:highlight w:val="none"/>
        </w:rPr>
        <w:t>见后附（现文：附表四《技术标详细审查评分表》）</w:t>
      </w:r>
    </w:p>
    <w:p w14:paraId="095DB785">
      <w:pPr>
        <w:spacing w:line="360" w:lineRule="auto"/>
        <w:ind w:firstLine="472" w:firstLineChars="224"/>
        <w:rPr>
          <w:b/>
          <w:color w:val="auto"/>
          <w:szCs w:val="21"/>
          <w:highlight w:val="none"/>
        </w:rPr>
      </w:pPr>
      <w:r>
        <w:rPr>
          <w:rFonts w:hint="eastAsia"/>
          <w:b/>
          <w:color w:val="auto"/>
          <w:szCs w:val="21"/>
          <w:highlight w:val="none"/>
        </w:rPr>
        <w:t>注：以上修改，仅限于本范本中有可供选择条款的情形。</w:t>
      </w:r>
    </w:p>
    <w:p w14:paraId="768D6D92">
      <w:pPr>
        <w:spacing w:line="360" w:lineRule="auto"/>
        <w:rPr>
          <w:color w:val="auto"/>
          <w:highlight w:val="none"/>
        </w:rPr>
      </w:pPr>
      <w:r>
        <w:rPr>
          <w:rFonts w:hint="eastAsia"/>
          <w:b/>
          <w:color w:val="auto"/>
          <w:szCs w:val="21"/>
          <w:highlight w:val="none"/>
        </w:rPr>
        <w:t>（以下无正文）</w:t>
      </w:r>
    </w:p>
    <w:p w14:paraId="32C82645">
      <w:pPr>
        <w:spacing w:line="360" w:lineRule="auto"/>
        <w:ind w:firstLine="420"/>
        <w:rPr>
          <w:color w:val="auto"/>
          <w:kern w:val="0"/>
          <w:sz w:val="20"/>
          <w:szCs w:val="20"/>
          <w:highlight w:val="none"/>
        </w:rPr>
      </w:pPr>
      <w:r>
        <w:rPr>
          <w:color w:val="auto"/>
          <w:kern w:val="0"/>
          <w:sz w:val="20"/>
          <w:szCs w:val="20"/>
          <w:highlight w:val="none"/>
        </w:rPr>
        <w:br w:type="page"/>
      </w:r>
    </w:p>
    <w:p w14:paraId="38C3D1B4">
      <w:pPr>
        <w:keepNext/>
        <w:keepLines/>
        <w:spacing w:before="120" w:after="120" w:line="412" w:lineRule="auto"/>
        <w:ind w:left="454" w:firstLine="525"/>
        <w:jc w:val="center"/>
        <w:outlineLvl w:val="1"/>
        <w:rPr>
          <w:b/>
          <w:color w:val="auto"/>
          <w:kern w:val="0"/>
          <w:sz w:val="24"/>
          <w:szCs w:val="30"/>
          <w:highlight w:val="none"/>
        </w:rPr>
      </w:pPr>
      <w:bookmarkStart w:id="24" w:name="_Toc40024382"/>
      <w:bookmarkStart w:id="25" w:name="_Toc62056025"/>
      <w:bookmarkStart w:id="26" w:name="_Toc2272556"/>
      <w:r>
        <w:rPr>
          <w:rFonts w:hint="eastAsia"/>
          <w:b/>
          <w:color w:val="auto"/>
          <w:kern w:val="0"/>
          <w:sz w:val="24"/>
          <w:szCs w:val="24"/>
          <w:highlight w:val="none"/>
        </w:rPr>
        <w:t>二、开标、评标及定标办法</w:t>
      </w:r>
      <w:r>
        <w:rPr>
          <w:rFonts w:hint="eastAsia"/>
          <w:b/>
          <w:color w:val="auto"/>
          <w:kern w:val="0"/>
          <w:sz w:val="24"/>
          <w:szCs w:val="30"/>
          <w:highlight w:val="none"/>
        </w:rPr>
        <w:t>通用条款（详见范本）</w:t>
      </w:r>
      <w:bookmarkEnd w:id="24"/>
    </w:p>
    <w:p w14:paraId="1F55DFBE">
      <w:pPr>
        <w:widowControl/>
        <w:spacing w:before="100" w:beforeAutospacing="1" w:after="100" w:afterAutospacing="1"/>
        <w:jc w:val="left"/>
        <w:outlineLvl w:val="2"/>
        <w:rPr>
          <w:rFonts w:ascii="宋体" w:hAnsi="宋体"/>
          <w:color w:val="auto"/>
          <w:kern w:val="0"/>
          <w:sz w:val="27"/>
          <w:szCs w:val="27"/>
          <w:highlight w:val="none"/>
        </w:rPr>
      </w:pPr>
      <w:bookmarkStart w:id="27" w:name="_Toc21525501"/>
      <w:r>
        <w:rPr>
          <w:rFonts w:hint="eastAsia" w:ascii="宋体" w:hAnsi="宋体"/>
          <w:color w:val="auto"/>
          <w:kern w:val="0"/>
          <w:sz w:val="27"/>
          <w:szCs w:val="27"/>
          <w:highlight w:val="none"/>
        </w:rPr>
        <w:t>（一）总则</w:t>
      </w:r>
      <w:bookmarkEnd w:id="27"/>
    </w:p>
    <w:p w14:paraId="7DE28372">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14:paraId="5997EBF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14:paraId="52C6AE7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14:paraId="50915AB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599D60CB">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57F6AC4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14:paraId="29C0C6E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04DB0EB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14:paraId="0DB7C59D">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35.8《广州市工程建设项目招标投标管理办法》（穗建规字〔2023〕12号）;</w:t>
      </w:r>
    </w:p>
    <w:p w14:paraId="73295E2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14:paraId="53D5C9F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14:paraId="228744B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14:paraId="42489AD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1E70C3F7">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07EFE8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14:paraId="08FDC51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14:paraId="6D01CE7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36.5.1在投标截止时间后半小时内，投标人通过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对已递交的电子投标文件进行解密。投标人完成解密后，再由招标人进行解密。解密完成后，公布招标项目名称、投标人名称、投标保证金的递交情况、投标报价、工期及其他内容；</w:t>
      </w:r>
    </w:p>
    <w:p w14:paraId="778A47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14:paraId="041EE63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14:paraId="0EC8E57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14:paraId="1DD6BD5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6BBF96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14:paraId="65CA711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1CB2493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14:paraId="41D47FB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14:paraId="48704B9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2EFC0FC2">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14:paraId="7DCAAF0F">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7A7F71DE">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14:paraId="43EF9F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14:paraId="374C5D1D">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14:paraId="7E4137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14:paraId="46DAAA6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14:paraId="47934C4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14:paraId="44F55D9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14:paraId="32B2286C">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E66C5A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37.4评标结束后，评标委员会递交评标报告并依法推荐中标候选人。</w:t>
      </w:r>
    </w:p>
    <w:p w14:paraId="53A3E45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14:paraId="540FE124">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9EC84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1389F7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5DBB625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05F705FF">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AAC8D00">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263AABA3">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0154864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14:paraId="0C8CB22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14:paraId="03880E5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614EF2C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62AC641C">
      <w:pPr>
        <w:widowControl/>
        <w:spacing w:before="100" w:beforeAutospacing="1" w:after="100" w:afterAutospacing="1"/>
        <w:jc w:val="left"/>
        <w:outlineLvl w:val="2"/>
        <w:rPr>
          <w:rFonts w:ascii="宋体" w:hAnsi="宋体"/>
          <w:color w:val="auto"/>
          <w:kern w:val="0"/>
          <w:sz w:val="27"/>
          <w:szCs w:val="27"/>
          <w:highlight w:val="none"/>
        </w:rPr>
      </w:pPr>
      <w:bookmarkStart w:id="28" w:name="_Toc21525502"/>
      <w:r>
        <w:rPr>
          <w:rFonts w:hint="eastAsia" w:ascii="宋体" w:hAnsi="宋体"/>
          <w:color w:val="auto"/>
          <w:kern w:val="0"/>
          <w:sz w:val="27"/>
          <w:szCs w:val="27"/>
          <w:highlight w:val="none"/>
        </w:rPr>
        <w:t>（二）开标评标办法程序和细则</w:t>
      </w:r>
      <w:bookmarkEnd w:id="28"/>
    </w:p>
    <w:p w14:paraId="26D06B01">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14:paraId="6386773D">
      <w:pPr>
        <w:pStyle w:val="5"/>
        <w:spacing w:before="156" w:after="156"/>
        <w:ind w:firstLine="540" w:firstLineChars="200"/>
        <w:rPr>
          <w:color w:val="auto"/>
          <w:highlight w:val="none"/>
        </w:rPr>
      </w:pPr>
      <w:bookmarkStart w:id="29" w:name="_Toc21525509"/>
      <w:r>
        <w:rPr>
          <w:rFonts w:hint="eastAsia"/>
          <w:color w:val="auto"/>
          <w:highlight w:val="none"/>
        </w:rPr>
        <w:t>可选办法七（适合综合评分法四，技术标与经济标同时开启）</w:t>
      </w:r>
      <w:bookmarkEnd w:id="29"/>
    </w:p>
    <w:p w14:paraId="3B50C01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14:paraId="4688F64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14:paraId="01493A6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14:paraId="33EBEE3E">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14:paraId="3568405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14:paraId="5F178940">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14:paraId="1556DB7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14:paraId="678AB46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14:paraId="304314A7">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14:paraId="5A293AB4">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14:paraId="3C24964A">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14:paraId="45DD65EF">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14:paraId="0DBECE82">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14:paraId="05672A8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14:paraId="03402A3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C166A9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14:paraId="5A9CF068">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987B883">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14:paraId="23569AE5">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14:paraId="1EAB8291">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14:paraId="49CC5B94">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14:paraId="579B2769">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14:paraId="1C2F6D01">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14:paraId="1685D368">
      <w:pPr>
        <w:pStyle w:val="23"/>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14:paraId="4C9AB6B3">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14:paraId="1CE2D047">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5F477643">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14:paraId="234B066D">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14:paraId="0A4C51F6">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BDC4EF9">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14:paraId="571E23E1">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14:paraId="55CC3E01">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14:paraId="6BCCFDCF">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03DC25A">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7138F61C">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14:paraId="7ADECD65">
      <w:pPr>
        <w:pStyle w:val="23"/>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45.1若通过技术标有效性审查的投标人中所有投标报价均大于等于最高投标限价，则本项目招标失败，由招标人依法重新招标。</w:t>
      </w:r>
    </w:p>
    <w:p w14:paraId="435D7843">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45.2按方法</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计算评标参考价：</w:t>
      </w:r>
    </w:p>
    <w:p w14:paraId="59110456">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方法一：加权平均法</w:t>
      </w:r>
    </w:p>
    <w:p w14:paraId="33E39FF5">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技术标或技术标加诚信得分（具体由招标人自定）前</w:t>
      </w:r>
      <w:r>
        <w:rPr>
          <w:rFonts w:ascii="宋体" w:hAnsi="宋体" w:cs="仿宋"/>
          <w:color w:val="auto"/>
          <w:sz w:val="24"/>
          <w:szCs w:val="24"/>
          <w:highlight w:val="none"/>
        </w:rPr>
        <w:t>N</w:t>
      </w:r>
      <w:r>
        <w:rPr>
          <w:rFonts w:hint="eastAsia" w:ascii="宋体" w:hAnsi="宋体" w:cs="仿宋"/>
          <w:color w:val="auto"/>
          <w:sz w:val="24"/>
          <w:szCs w:val="24"/>
          <w:highlight w:val="none"/>
        </w:rPr>
        <w:t>名（N≥5，具体由招标人自定）的经济报价加权平均，计算评标参考价。公式如下：</w:t>
      </w:r>
    </w:p>
    <w:p w14:paraId="5281580C">
      <w:pPr>
        <w:spacing w:line="360" w:lineRule="auto"/>
        <w:ind w:firstLine="480" w:firstLineChars="200"/>
        <w:rPr>
          <w:rFonts w:ascii="宋体" w:hAnsi="宋体" w:cs="仿宋"/>
          <w:color w:val="auto"/>
          <w:sz w:val="24"/>
          <w:szCs w:val="24"/>
          <w:highlight w:val="none"/>
        </w:rPr>
      </w:pPr>
      <w:r>
        <w:rPr>
          <w:rFonts w:hint="eastAsia" w:ascii="宋体" w:hAnsi="宋体" w:cs="仿宋"/>
          <w:color w:val="auto"/>
          <w:sz w:val="24"/>
          <w:szCs w:val="24"/>
          <w:highlight w:val="none"/>
        </w:rPr>
        <w:t>评标参考价</w:t>
      </w:r>
      <w:r>
        <w:rPr>
          <w:rFonts w:ascii="宋体" w:hAnsi="宋体" w:cs="仿宋"/>
          <w:color w:val="auto"/>
          <w:sz w:val="24"/>
          <w:szCs w:val="24"/>
          <w:highlight w:val="none"/>
        </w:rPr>
        <w:t>=</w:t>
      </w:r>
      <w:r>
        <w:rPr>
          <w:rFonts w:hint="eastAsia" w:ascii="宋体" w:hAnsi="宋体" w:cs="仿宋"/>
          <w:color w:val="auto"/>
          <w:sz w:val="24"/>
          <w:szCs w:val="24"/>
          <w:highlight w:val="none"/>
        </w:rPr>
        <w:t>Σ（投标人的投标报价</w:t>
      </w:r>
      <w:r>
        <w:rPr>
          <w:rFonts w:ascii="宋体" w:hAnsi="宋体" w:cs="仿宋"/>
          <w:color w:val="auto"/>
          <w:sz w:val="24"/>
          <w:szCs w:val="24"/>
          <w:highlight w:val="none"/>
        </w:rPr>
        <w:t>*</w:t>
      </w:r>
      <w:r>
        <w:rPr>
          <w:rFonts w:hint="eastAsia" w:ascii="宋体" w:hAnsi="宋体" w:cs="仿宋"/>
          <w:color w:val="auto"/>
          <w:sz w:val="24"/>
          <w:szCs w:val="24"/>
          <w:highlight w:val="none"/>
        </w:rPr>
        <w:t>报价权重）。</w:t>
      </w:r>
    </w:p>
    <w:p w14:paraId="293A81A6">
      <w:pPr>
        <w:ind w:firstLine="480" w:firstLineChars="200"/>
        <w:rPr>
          <w:rFonts w:ascii="宋体" w:hAnsi="宋体" w:cs="仿宋"/>
          <w:color w:val="auto"/>
          <w:sz w:val="24"/>
          <w:szCs w:val="24"/>
          <w:highlight w:val="none"/>
        </w:rPr>
      </w:pPr>
      <w:r>
        <w:rPr>
          <w:rFonts w:ascii="宋体" w:hAnsi="宋体"/>
          <w:color w:val="auto"/>
          <w:sz w:val="24"/>
          <w:szCs w:val="24"/>
          <w:highlight w:val="none"/>
        </w:rPr>
        <w:drawing>
          <wp:anchor distT="0" distB="0" distL="114300" distR="114300" simplePos="0" relativeHeight="251662336" behindDoc="0" locked="0" layoutInCell="1" allowOverlap="1">
            <wp:simplePos x="0" y="0"/>
            <wp:positionH relativeFrom="column">
              <wp:posOffset>1190625</wp:posOffset>
            </wp:positionH>
            <wp:positionV relativeFrom="paragraph">
              <wp:posOffset>308610</wp:posOffset>
            </wp:positionV>
            <wp:extent cx="335915" cy="393700"/>
            <wp:effectExtent l="0" t="0" r="6985" b="635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335915" cy="393700"/>
                    </a:xfrm>
                    <a:prstGeom prst="rect">
                      <a:avLst/>
                    </a:prstGeom>
                    <a:noFill/>
                    <a:ln>
                      <a:noFill/>
                    </a:ln>
                  </pic:spPr>
                </pic:pic>
              </a:graphicData>
            </a:graphic>
          </wp:anchor>
        </w:drawing>
      </w:r>
      <w:r>
        <w:rPr>
          <w:rFonts w:hint="eastAsia" w:ascii="宋体" w:hAnsi="宋体" w:cs="仿宋"/>
          <w:color w:val="auto"/>
          <w:sz w:val="24"/>
          <w:szCs w:val="24"/>
          <w:highlight w:val="none"/>
        </w:rPr>
        <w:t>其中：报价权重的计算方法为：将</w:t>
      </w:r>
      <w:r>
        <w:rPr>
          <w:rFonts w:ascii="宋体" w:hAnsi="宋体" w:cs="仿宋"/>
          <w:color w:val="auto"/>
          <w:sz w:val="24"/>
          <w:szCs w:val="24"/>
          <w:highlight w:val="none"/>
        </w:rPr>
        <w:t>N</w:t>
      </w:r>
      <w:r>
        <w:rPr>
          <w:rFonts w:hint="eastAsia" w:ascii="宋体" w:hAnsi="宋体" w:cs="仿宋"/>
          <w:color w:val="auto"/>
          <w:sz w:val="24"/>
          <w:szCs w:val="24"/>
          <w:highlight w:val="none"/>
        </w:rPr>
        <w:t xml:space="preserve">名投标人按技术分由高至低进行排序，第一名投标人的权重为（    </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sz w:val="24"/>
          <w:szCs w:val="24"/>
          <w:highlight w:val="none"/>
        </w:rPr>
        <w:instrText xml:space="preserve"> \* MERGEFORMAT </w:instrText>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），第二名投标人的权重为（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1955"/>
            <wp:effectExtent l="0" t="0" r="0" b="1714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6"/>
                    <a:stretch>
                      <a:fillRect/>
                    </a:stretch>
                  </pic:blipFill>
                  <pic:spPr>
                    <a:xfrm>
                      <a:off x="0" y="0"/>
                      <a:ext cx="323850" cy="401955"/>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1955"/>
            <wp:effectExtent l="0" t="0" r="0" b="171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323850" cy="4019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），以此类推，最后一名投标人的权重为（</w:t>
      </w:r>
      <w:r>
        <w:rPr>
          <w:rFonts w:ascii="宋体" w:hAnsi="宋体" w:cs="仿宋"/>
          <w:color w:val="auto"/>
          <w:sz w:val="24"/>
          <w:szCs w:val="24"/>
          <w:highlight w:val="none"/>
        </w:rPr>
        <w:fldChar w:fldCharType="begin"/>
      </w:r>
      <w:r>
        <w:rPr>
          <w:rFonts w:ascii="宋体" w:hAnsi="宋体" w:cs="仿宋"/>
          <w:color w:val="auto"/>
          <w:sz w:val="24"/>
          <w:szCs w:val="24"/>
          <w:highlight w:val="none"/>
        </w:rPr>
        <w:instrText xml:space="preserve"> QUOTE </w:instrText>
      </w:r>
      <w:r>
        <w:rPr>
          <w:rFonts w:ascii="宋体" w:hAnsi="宋体"/>
          <w:color w:val="auto"/>
          <w:position w:val="-23"/>
          <w:sz w:val="24"/>
          <w:szCs w:val="24"/>
          <w:highlight w:val="none"/>
        </w:rPr>
        <w:drawing>
          <wp:inline distT="0" distB="0" distL="114300" distR="114300">
            <wp:extent cx="323850" cy="401955"/>
            <wp:effectExtent l="0" t="0" r="0" b="17145"/>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7"/>
                    <a:stretch>
                      <a:fillRect/>
                    </a:stretch>
                  </pic:blipFill>
                  <pic:spPr>
                    <a:xfrm>
                      <a:off x="0" y="0"/>
                      <a:ext cx="323850" cy="401955"/>
                    </a:xfrm>
                    <a:prstGeom prst="rect">
                      <a:avLst/>
                    </a:prstGeom>
                    <a:noFill/>
                    <a:ln>
                      <a:noFill/>
                    </a:ln>
                  </pic:spPr>
                </pic:pic>
              </a:graphicData>
            </a:graphic>
          </wp:inline>
        </w:drawing>
      </w:r>
      <w:r>
        <w:rPr>
          <w:rFonts w:ascii="宋体" w:hAnsi="宋体"/>
          <w:color w:val="auto"/>
          <w:position w:val="-23"/>
          <w:sz w:val="24"/>
          <w:szCs w:val="24"/>
          <w:highlight w:val="none"/>
        </w:rPr>
        <w:instrText xml:space="preserve"> \* MERGEFORMAT </w:instrText>
      </w:r>
      <w:r>
        <w:rPr>
          <w:rFonts w:ascii="宋体" w:hAnsi="宋体" w:cs="仿宋"/>
          <w:color w:val="auto"/>
          <w:sz w:val="24"/>
          <w:szCs w:val="24"/>
          <w:highlight w:val="none"/>
        </w:rPr>
        <w:fldChar w:fldCharType="separate"/>
      </w:r>
      <w:r>
        <w:rPr>
          <w:rFonts w:ascii="宋体" w:hAnsi="宋体"/>
          <w:color w:val="auto"/>
          <w:position w:val="-23"/>
          <w:sz w:val="24"/>
          <w:szCs w:val="24"/>
          <w:highlight w:val="none"/>
        </w:rPr>
        <w:drawing>
          <wp:inline distT="0" distB="0" distL="114300" distR="114300">
            <wp:extent cx="323850" cy="401955"/>
            <wp:effectExtent l="0" t="0" r="0" b="1714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7"/>
                    <a:stretch>
                      <a:fillRect/>
                    </a:stretch>
                  </pic:blipFill>
                  <pic:spPr>
                    <a:xfrm>
                      <a:off x="0" y="0"/>
                      <a:ext cx="323850" cy="401955"/>
                    </a:xfrm>
                    <a:prstGeom prst="rect">
                      <a:avLst/>
                    </a:prstGeom>
                    <a:noFill/>
                    <a:ln>
                      <a:noFill/>
                    </a:ln>
                  </pic:spPr>
                </pic:pic>
              </a:graphicData>
            </a:graphic>
          </wp:inline>
        </w:drawing>
      </w:r>
      <w:r>
        <w:rPr>
          <w:rFonts w:ascii="宋体" w:hAnsi="宋体" w:cs="仿宋"/>
          <w:color w:val="auto"/>
          <w:sz w:val="24"/>
          <w:szCs w:val="24"/>
          <w:highlight w:val="none"/>
        </w:rPr>
        <w:fldChar w:fldCharType="end"/>
      </w:r>
      <w:r>
        <w:rPr>
          <w:rFonts w:hint="eastAsia" w:ascii="宋体" w:hAnsi="宋体" w:cs="仿宋"/>
          <w:color w:val="auto"/>
          <w:sz w:val="24"/>
          <w:szCs w:val="24"/>
          <w:highlight w:val="none"/>
        </w:rPr>
        <w:t>）。</w:t>
      </w:r>
    </w:p>
    <w:p w14:paraId="6433C99F">
      <w:pPr>
        <w:widowControl/>
        <w:spacing w:line="360" w:lineRule="auto"/>
        <w:ind w:firstLine="482" w:firstLineChars="200"/>
        <w:rPr>
          <w:rFonts w:ascii="宋体" w:hAnsi="宋体"/>
          <w:b/>
          <w:bCs/>
          <w:color w:val="auto"/>
          <w:kern w:val="0"/>
          <w:sz w:val="24"/>
          <w:szCs w:val="24"/>
          <w:highlight w:val="none"/>
        </w:rPr>
      </w:pPr>
      <w:r>
        <w:rPr>
          <w:rFonts w:hint="eastAsia" w:ascii="宋体" w:hAnsi="宋体" w:cs="仿宋"/>
          <w:b/>
          <w:bCs/>
          <w:color w:val="auto"/>
          <w:kern w:val="0"/>
          <w:sz w:val="24"/>
          <w:szCs w:val="24"/>
          <w:highlight w:val="none"/>
        </w:rPr>
        <w:t>方法二：区间抽取法</w:t>
      </w:r>
    </w:p>
    <w:p w14:paraId="0FF046BF">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46CEB3E">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评标参考价=（Q高-Q低）/100*Ｘ+Q低</w:t>
      </w:r>
    </w:p>
    <w:p w14:paraId="6DD6CA4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Q低：为达到或超过技术标及格分数线的投标人最低报价与工程成本警示价两者中的较高值；</w:t>
      </w:r>
    </w:p>
    <w:p w14:paraId="6077FA88">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Q高：为最高投标限价</w:t>
      </w:r>
    </w:p>
    <w:p w14:paraId="4B058CDB">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X：为等分点值，在开标前从[0,100]整数中随机抽取</w:t>
      </w:r>
    </w:p>
    <w:p w14:paraId="6408FCB2">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13FA59F4">
      <w:pPr>
        <w:pStyle w:val="23"/>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14:paraId="7739A319">
      <w:pPr>
        <w:pStyle w:val="23"/>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14:paraId="5862C5C3">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D205381">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14:paraId="48654E0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14:paraId="74249D07">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14:paraId="43ECFBC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38380B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2337DFA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7E87740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3D5B1978">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3EEFE966">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172233F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11879CD5">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名依次为第一中标候选人至第三中标候选人，并编制评标报告。</w:t>
      </w:r>
    </w:p>
    <w:p w14:paraId="0C946479">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bookmarkEnd w:id="25"/>
    <w:bookmarkEnd w:id="26"/>
    <w:p w14:paraId="77B31489">
      <w:pPr>
        <w:spacing w:after="120" w:line="360" w:lineRule="auto"/>
        <w:ind w:firstLine="480" w:firstLineChars="200"/>
        <w:rPr>
          <w:rFonts w:ascii="宋体" w:hAnsi="宋体"/>
          <w:color w:val="auto"/>
          <w:kern w:val="0"/>
          <w:sz w:val="24"/>
          <w:szCs w:val="24"/>
          <w:highlight w:val="none"/>
        </w:rPr>
      </w:pPr>
    </w:p>
    <w:p w14:paraId="14785B88">
      <w:pPr>
        <w:rPr>
          <w:rFonts w:ascii="宋体" w:hAnsi="宋体"/>
          <w:color w:val="auto"/>
          <w:sz w:val="24"/>
          <w:szCs w:val="24"/>
          <w:highlight w:val="none"/>
        </w:rPr>
      </w:pPr>
      <w:r>
        <w:rPr>
          <w:rFonts w:ascii="宋体" w:hAnsi="宋体"/>
          <w:color w:val="auto"/>
          <w:sz w:val="24"/>
          <w:szCs w:val="24"/>
          <w:highlight w:val="none"/>
        </w:rPr>
        <w:br w:type="page"/>
      </w:r>
    </w:p>
    <w:p w14:paraId="6A725A21">
      <w:pPr>
        <w:spacing w:line="360" w:lineRule="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附件1</w:t>
      </w:r>
      <w:r>
        <w:rPr>
          <w:rFonts w:hint="eastAsia" w:ascii="宋体" w:hAnsi="宋体"/>
          <w:color w:val="auto"/>
          <w:sz w:val="24"/>
          <w:szCs w:val="24"/>
          <w:highlight w:val="none"/>
        </w:rPr>
        <w:t>：</w:t>
      </w:r>
    </w:p>
    <w:p w14:paraId="6D65EBE2">
      <w:pPr>
        <w:jc w:val="center"/>
        <w:outlineLvl w:val="1"/>
        <w:rPr>
          <w:rFonts w:hint="eastAsia"/>
          <w:b/>
          <w:color w:val="auto"/>
          <w:sz w:val="40"/>
          <w:szCs w:val="40"/>
          <w:highlight w:val="none"/>
        </w:rPr>
      </w:pPr>
      <w:r>
        <w:rPr>
          <w:rFonts w:hint="eastAsia"/>
          <w:b/>
          <w:color w:val="auto"/>
          <w:sz w:val="40"/>
          <w:szCs w:val="40"/>
          <w:highlight w:val="none"/>
        </w:rPr>
        <w:t>评标委员会成员声明</w:t>
      </w:r>
    </w:p>
    <w:p w14:paraId="700F312A">
      <w:pPr>
        <w:spacing w:line="360" w:lineRule="auto"/>
        <w:jc w:val="left"/>
        <w:outlineLvl w:val="1"/>
        <w:rPr>
          <w:rFonts w:hint="eastAsia"/>
          <w:b/>
          <w:bCs w:val="0"/>
          <w:color w:val="auto"/>
          <w:sz w:val="24"/>
          <w:szCs w:val="24"/>
          <w:highlight w:val="none"/>
        </w:rPr>
      </w:pPr>
      <w:r>
        <w:rPr>
          <w:rFonts w:hint="eastAsia"/>
          <w:b w:val="0"/>
          <w:bCs/>
          <w:color w:val="auto"/>
          <w:sz w:val="24"/>
          <w:szCs w:val="24"/>
          <w:highlight w:val="none"/>
          <w:u w:val="none"/>
        </w:rPr>
        <w:t>广东省野生动物监测救护中心</w:t>
      </w:r>
      <w:r>
        <w:rPr>
          <w:rFonts w:hint="eastAsia"/>
          <w:b/>
          <w:bCs w:val="0"/>
          <w:color w:val="auto"/>
          <w:sz w:val="24"/>
          <w:szCs w:val="24"/>
          <w:highlight w:val="none"/>
        </w:rPr>
        <w:t>：</w:t>
      </w:r>
    </w:p>
    <w:p w14:paraId="49A06BC4">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本人就参与</w:t>
      </w:r>
      <w:r>
        <w:rPr>
          <w:rFonts w:hint="eastAsia"/>
          <w:b w:val="0"/>
          <w:bCs/>
          <w:color w:val="auto"/>
          <w:sz w:val="24"/>
          <w:szCs w:val="24"/>
          <w:highlight w:val="none"/>
          <w:u w:val="single"/>
        </w:rPr>
        <w:t xml:space="preserve"> 国家林业和草原局穿山甲保护研究中心项目施工总承包 </w:t>
      </w:r>
      <w:r>
        <w:rPr>
          <w:rFonts w:hint="eastAsia"/>
          <w:b w:val="0"/>
          <w:bCs/>
          <w:color w:val="auto"/>
          <w:sz w:val="24"/>
          <w:szCs w:val="24"/>
          <w:highlight w:val="none"/>
        </w:rPr>
        <w:t>项目的评标工作，作出郑重声明：</w:t>
      </w:r>
    </w:p>
    <w:p w14:paraId="5410C6CC">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168C6F61">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1EA8689">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7BACE13A">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52A9105A">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399A7DC8">
      <w:pPr>
        <w:spacing w:line="360" w:lineRule="auto"/>
        <w:ind w:firstLine="480" w:firstLineChars="200"/>
        <w:jc w:val="left"/>
        <w:outlineLvl w:val="1"/>
        <w:rPr>
          <w:rFonts w:hint="eastAsia"/>
          <w:b w:val="0"/>
          <w:bCs/>
          <w:color w:val="auto"/>
          <w:sz w:val="24"/>
          <w:szCs w:val="24"/>
          <w:highlight w:val="none"/>
        </w:rPr>
      </w:pPr>
      <w:r>
        <w:rPr>
          <w:rFonts w:hint="eastAsia"/>
          <w:b w:val="0"/>
          <w:bCs/>
          <w:color w:val="auto"/>
          <w:sz w:val="24"/>
          <w:szCs w:val="24"/>
          <w:highlight w:val="none"/>
        </w:rPr>
        <w:t>如果本人违反上述声明内容，造成的后果由本人自行承担。</w:t>
      </w:r>
    </w:p>
    <w:p w14:paraId="4C77847D">
      <w:pPr>
        <w:spacing w:line="360" w:lineRule="auto"/>
        <w:jc w:val="left"/>
        <w:outlineLvl w:val="1"/>
        <w:rPr>
          <w:rFonts w:hint="eastAsia"/>
          <w:b w:val="0"/>
          <w:bCs/>
          <w:color w:val="auto"/>
          <w:sz w:val="24"/>
          <w:szCs w:val="24"/>
          <w:highlight w:val="none"/>
        </w:rPr>
      </w:pPr>
    </w:p>
    <w:p w14:paraId="27D9181E">
      <w:pPr>
        <w:spacing w:line="360" w:lineRule="auto"/>
        <w:jc w:val="left"/>
        <w:outlineLvl w:val="1"/>
        <w:rPr>
          <w:rFonts w:hint="eastAsia"/>
          <w:b w:val="0"/>
          <w:bCs/>
          <w:color w:val="auto"/>
          <w:sz w:val="24"/>
          <w:szCs w:val="24"/>
          <w:highlight w:val="none"/>
        </w:rPr>
      </w:pPr>
      <w:r>
        <w:rPr>
          <w:rFonts w:hint="eastAsia"/>
          <w:b w:val="0"/>
          <w:bCs/>
          <w:color w:val="auto"/>
          <w:sz w:val="24"/>
          <w:szCs w:val="24"/>
          <w:highlight w:val="none"/>
        </w:rPr>
        <w:t xml:space="preserve">                             声明人：（签名）  </w:t>
      </w:r>
    </w:p>
    <w:p w14:paraId="20B9EE6A">
      <w:pPr>
        <w:spacing w:line="360" w:lineRule="auto"/>
        <w:rPr>
          <w:rFonts w:ascii="宋体" w:hAnsi="宋体"/>
          <w:color w:val="auto"/>
          <w:sz w:val="24"/>
          <w:szCs w:val="24"/>
          <w:highlight w:val="none"/>
        </w:rPr>
      </w:pPr>
      <w:r>
        <w:rPr>
          <w:rFonts w:ascii="宋体" w:hAnsi="宋体"/>
          <w:color w:val="auto"/>
          <w:sz w:val="24"/>
          <w:szCs w:val="24"/>
          <w:highlight w:val="none"/>
        </w:rPr>
        <w:br w:type="page"/>
      </w:r>
      <w:r>
        <w:rPr>
          <w:rFonts w:hint="eastAsia" w:ascii="宋体" w:hAnsi="宋体"/>
          <w:color w:val="auto"/>
          <w:szCs w:val="21"/>
          <w:highlight w:val="none"/>
        </w:rPr>
        <w:t>附表一：</w:t>
      </w:r>
    </w:p>
    <w:p w14:paraId="33184339">
      <w:pPr>
        <w:jc w:val="center"/>
        <w:outlineLvl w:val="1"/>
        <w:rPr>
          <w:b/>
          <w:color w:val="auto"/>
          <w:sz w:val="32"/>
          <w:szCs w:val="32"/>
          <w:highlight w:val="none"/>
        </w:rPr>
      </w:pPr>
      <w:r>
        <w:rPr>
          <w:rFonts w:hint="eastAsia"/>
          <w:b/>
          <w:color w:val="auto"/>
          <w:sz w:val="32"/>
          <w:szCs w:val="32"/>
          <w:highlight w:val="none"/>
        </w:rPr>
        <w:t>资格审查表</w:t>
      </w:r>
    </w:p>
    <w:p w14:paraId="6C12F4DA">
      <w:pPr>
        <w:spacing w:line="480" w:lineRule="auto"/>
        <w:rPr>
          <w:color w:val="auto"/>
          <w:sz w:val="24"/>
          <w:szCs w:val="24"/>
          <w:highlight w:val="none"/>
        </w:rPr>
      </w:pPr>
      <w:r>
        <w:rPr>
          <w:rFonts w:hint="eastAsia"/>
          <w:color w:val="auto"/>
          <w:sz w:val="24"/>
          <w:szCs w:val="24"/>
          <w:highlight w:val="none"/>
        </w:rPr>
        <w:t>工程名称：</w:t>
      </w:r>
    </w:p>
    <w:p w14:paraId="3EE835E3">
      <w:pPr>
        <w:spacing w:line="480" w:lineRule="auto"/>
        <w:rPr>
          <w:color w:val="auto"/>
          <w:sz w:val="24"/>
          <w:szCs w:val="24"/>
          <w:highlight w:val="none"/>
        </w:rPr>
      </w:pPr>
      <w:r>
        <w:rPr>
          <w:rFonts w:hint="eastAsia"/>
          <w:color w:val="auto"/>
          <w:sz w:val="24"/>
          <w:szCs w:val="24"/>
          <w:highlight w:val="none"/>
        </w:rPr>
        <w:t>投标人名称：</w:t>
      </w:r>
    </w:p>
    <w:tbl>
      <w:tblPr>
        <w:tblStyle w:val="2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210"/>
        <w:gridCol w:w="3853"/>
        <w:gridCol w:w="720"/>
      </w:tblGrid>
      <w:tr w14:paraId="6443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03C27083">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4210" w:type="dxa"/>
            <w:tcBorders>
              <w:top w:val="single" w:color="auto" w:sz="4" w:space="0"/>
              <w:left w:val="single" w:color="auto" w:sz="4" w:space="0"/>
              <w:bottom w:val="single" w:color="auto" w:sz="4" w:space="0"/>
              <w:right w:val="single" w:color="auto" w:sz="4" w:space="0"/>
            </w:tcBorders>
            <w:vAlign w:val="center"/>
          </w:tcPr>
          <w:p w14:paraId="355E8336">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853" w:type="dxa"/>
            <w:tcBorders>
              <w:top w:val="single" w:color="auto" w:sz="4" w:space="0"/>
              <w:left w:val="single" w:color="auto" w:sz="4" w:space="0"/>
              <w:bottom w:val="single" w:color="auto" w:sz="4" w:space="0"/>
              <w:right w:val="single" w:color="auto" w:sz="4" w:space="0"/>
            </w:tcBorders>
            <w:vAlign w:val="center"/>
          </w:tcPr>
          <w:p w14:paraId="0AF149F0">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4B689235">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14:paraId="3750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62EED304">
            <w:pPr>
              <w:spacing w:before="120" w:after="60"/>
              <w:jc w:val="center"/>
              <w:rPr>
                <w:rFonts w:ascii="宋体" w:hAnsi="宋体"/>
                <w:b/>
                <w:color w:val="auto"/>
                <w:szCs w:val="21"/>
                <w:highlight w:val="none"/>
              </w:rPr>
            </w:pPr>
            <w:r>
              <w:rPr>
                <w:rFonts w:ascii="宋体" w:hAnsi="宋体"/>
                <w:color w:val="auto"/>
                <w:szCs w:val="21"/>
                <w:highlight w:val="none"/>
              </w:rPr>
              <w:t>1</w:t>
            </w:r>
          </w:p>
        </w:tc>
        <w:tc>
          <w:tcPr>
            <w:tcW w:w="4210" w:type="dxa"/>
            <w:tcBorders>
              <w:top w:val="single" w:color="auto" w:sz="4" w:space="0"/>
              <w:left w:val="single" w:color="auto" w:sz="4" w:space="0"/>
              <w:bottom w:val="single" w:color="auto" w:sz="4" w:space="0"/>
              <w:right w:val="single" w:color="auto" w:sz="4" w:space="0"/>
            </w:tcBorders>
            <w:vAlign w:val="center"/>
          </w:tcPr>
          <w:p w14:paraId="3F7F70E5">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853" w:type="dxa"/>
            <w:tcBorders>
              <w:top w:val="single" w:color="auto" w:sz="4" w:space="0"/>
              <w:left w:val="single" w:color="auto" w:sz="4" w:space="0"/>
              <w:bottom w:val="single" w:color="auto" w:sz="4" w:space="0"/>
              <w:right w:val="single" w:color="auto" w:sz="4" w:space="0"/>
            </w:tcBorders>
            <w:vAlign w:val="center"/>
          </w:tcPr>
          <w:p w14:paraId="44EB4585">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70BF8E4B">
            <w:pPr>
              <w:spacing w:before="120" w:after="60"/>
              <w:jc w:val="center"/>
              <w:rPr>
                <w:rFonts w:ascii="宋体" w:hAnsi="宋体"/>
                <w:b/>
                <w:color w:val="auto"/>
                <w:szCs w:val="21"/>
                <w:highlight w:val="none"/>
              </w:rPr>
            </w:pPr>
          </w:p>
        </w:tc>
      </w:tr>
      <w:tr w14:paraId="1619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14:paraId="769F3BB3">
            <w:pPr>
              <w:spacing w:before="120" w:after="60"/>
              <w:jc w:val="center"/>
              <w:rPr>
                <w:rFonts w:ascii="宋体" w:hAnsi="宋体"/>
                <w:color w:val="auto"/>
                <w:szCs w:val="21"/>
                <w:highlight w:val="none"/>
              </w:rPr>
            </w:pPr>
            <w:r>
              <w:rPr>
                <w:rFonts w:hint="eastAsia" w:ascii="宋体" w:hAnsi="宋体"/>
                <w:color w:val="auto"/>
                <w:szCs w:val="21"/>
                <w:highlight w:val="none"/>
              </w:rPr>
              <w:t>2</w:t>
            </w:r>
          </w:p>
        </w:tc>
        <w:tc>
          <w:tcPr>
            <w:tcW w:w="4210" w:type="dxa"/>
            <w:tcBorders>
              <w:top w:val="single" w:color="auto" w:sz="4" w:space="0"/>
              <w:left w:val="single" w:color="auto" w:sz="4" w:space="0"/>
              <w:bottom w:val="single" w:color="auto" w:sz="4" w:space="0"/>
              <w:right w:val="single" w:color="auto" w:sz="4" w:space="0"/>
            </w:tcBorders>
            <w:vAlign w:val="center"/>
          </w:tcPr>
          <w:p w14:paraId="3F22C284">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853" w:type="dxa"/>
            <w:tcBorders>
              <w:top w:val="single" w:color="auto" w:sz="4" w:space="0"/>
              <w:left w:val="single" w:color="auto" w:sz="4" w:space="0"/>
              <w:bottom w:val="single" w:color="auto" w:sz="4" w:space="0"/>
              <w:right w:val="single" w:color="auto" w:sz="4" w:space="0"/>
            </w:tcBorders>
            <w:vAlign w:val="center"/>
          </w:tcPr>
          <w:p w14:paraId="6C7EE1FE">
            <w:pPr>
              <w:spacing w:before="120" w:after="60"/>
              <w:jc w:val="center"/>
              <w:rPr>
                <w:rFonts w:ascii="宋体" w:hAnsi="宋体" w:cs="宋体"/>
                <w:color w:val="auto"/>
                <w:szCs w:val="21"/>
                <w:highlight w:val="none"/>
              </w:rPr>
            </w:pPr>
            <w:r>
              <w:rPr>
                <w:rFonts w:hint="eastAsia" w:ascii="宋体" w:hAnsi="宋体" w:cs="宋体"/>
                <w:color w:val="auto"/>
                <w:szCs w:val="21"/>
                <w:highlight w:val="none"/>
                <w:u w:val="singl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6B545E7C">
            <w:pPr>
              <w:spacing w:before="120" w:after="60"/>
              <w:jc w:val="center"/>
              <w:rPr>
                <w:rFonts w:ascii="宋体" w:hAnsi="宋体"/>
                <w:color w:val="auto"/>
                <w:szCs w:val="21"/>
                <w:highlight w:val="none"/>
              </w:rPr>
            </w:pPr>
          </w:p>
        </w:tc>
      </w:tr>
      <w:tr w14:paraId="4A9B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51DA1D89">
            <w:pPr>
              <w:spacing w:before="120" w:after="60"/>
              <w:jc w:val="center"/>
              <w:rPr>
                <w:rFonts w:ascii="宋体" w:hAnsi="宋体"/>
                <w:color w:val="auto"/>
                <w:szCs w:val="21"/>
                <w:highlight w:val="none"/>
              </w:rPr>
            </w:pPr>
            <w:r>
              <w:rPr>
                <w:rFonts w:hint="eastAsia" w:ascii="宋体" w:hAnsi="宋体"/>
                <w:color w:val="auto"/>
                <w:szCs w:val="21"/>
                <w:highlight w:val="none"/>
              </w:rPr>
              <w:t>3</w:t>
            </w:r>
          </w:p>
        </w:tc>
        <w:tc>
          <w:tcPr>
            <w:tcW w:w="4210" w:type="dxa"/>
            <w:tcBorders>
              <w:top w:val="single" w:color="auto" w:sz="4" w:space="0"/>
              <w:left w:val="single" w:color="auto" w:sz="4" w:space="0"/>
              <w:bottom w:val="single" w:color="auto" w:sz="4" w:space="0"/>
              <w:right w:val="single" w:color="auto" w:sz="4" w:space="0"/>
            </w:tcBorders>
            <w:vAlign w:val="center"/>
          </w:tcPr>
          <w:p w14:paraId="05B85103">
            <w:pPr>
              <w:spacing w:before="120" w:after="60"/>
              <w:jc w:val="center"/>
              <w:rPr>
                <w:rFonts w:ascii="宋体" w:hAnsi="宋体"/>
                <w:color w:val="auto"/>
                <w:szCs w:val="21"/>
                <w:highlight w:val="none"/>
              </w:rPr>
            </w:pPr>
            <w:r>
              <w:rPr>
                <w:rFonts w:hint="eastAsia" w:ascii="宋体" w:hAnsi="宋体"/>
                <w:color w:val="auto"/>
                <w:szCs w:val="21"/>
                <w:highlight w:val="none"/>
              </w:rPr>
              <w:t>投标人均持有建设行政主管部门颁发的企业资质证书及安全生产许可证；投标人资质符合公告要求</w:t>
            </w:r>
          </w:p>
        </w:tc>
        <w:tc>
          <w:tcPr>
            <w:tcW w:w="3853" w:type="dxa"/>
            <w:tcBorders>
              <w:top w:val="single" w:color="auto" w:sz="4" w:space="0"/>
              <w:left w:val="single" w:color="auto" w:sz="4" w:space="0"/>
              <w:bottom w:val="single" w:color="auto" w:sz="4" w:space="0"/>
              <w:right w:val="single" w:color="auto" w:sz="4" w:space="0"/>
            </w:tcBorders>
            <w:shd w:val="clear" w:color="auto" w:fill="auto"/>
            <w:vAlign w:val="center"/>
          </w:tcPr>
          <w:p w14:paraId="4CDDE65E">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资质证书扫描件或电子证照、安全生产许可证扫描件或电子证照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14:paraId="344610B0">
            <w:pPr>
              <w:spacing w:before="120" w:after="60"/>
              <w:jc w:val="center"/>
              <w:rPr>
                <w:rFonts w:ascii="宋体" w:hAnsi="宋体"/>
                <w:color w:val="auto"/>
                <w:szCs w:val="21"/>
                <w:highlight w:val="none"/>
              </w:rPr>
            </w:pPr>
          </w:p>
        </w:tc>
      </w:tr>
      <w:tr w14:paraId="002B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200CBE0C">
            <w:pPr>
              <w:spacing w:before="120" w:after="60"/>
              <w:jc w:val="center"/>
              <w:rPr>
                <w:rFonts w:ascii="宋体" w:hAnsi="宋体"/>
                <w:color w:val="auto"/>
                <w:szCs w:val="21"/>
                <w:highlight w:val="none"/>
              </w:rPr>
            </w:pPr>
            <w:r>
              <w:rPr>
                <w:rFonts w:hint="eastAsia" w:ascii="宋体" w:hAnsi="宋体"/>
                <w:color w:val="auto"/>
                <w:szCs w:val="21"/>
                <w:highlight w:val="none"/>
              </w:rPr>
              <w:t>4</w:t>
            </w:r>
          </w:p>
        </w:tc>
        <w:tc>
          <w:tcPr>
            <w:tcW w:w="4210" w:type="dxa"/>
            <w:tcBorders>
              <w:top w:val="single" w:color="auto" w:sz="4" w:space="0"/>
              <w:left w:val="single" w:color="auto" w:sz="4" w:space="0"/>
              <w:bottom w:val="single" w:color="auto" w:sz="4" w:space="0"/>
              <w:right w:val="single" w:color="auto" w:sz="4" w:space="0"/>
            </w:tcBorders>
            <w:vAlign w:val="center"/>
          </w:tcPr>
          <w:p w14:paraId="6A72765C">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3A2A4241">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使用有效期内的建造师证书在广州市住建行业信用管理平台内上传件</w:t>
            </w:r>
          </w:p>
          <w:p w14:paraId="3A81D660">
            <w:pPr>
              <w:spacing w:before="120" w:after="60"/>
              <w:jc w:val="center"/>
              <w:rPr>
                <w:rFonts w:ascii="宋体" w:hAnsi="宋体" w:cs="宋体"/>
                <w:color w:val="auto"/>
                <w:szCs w:val="21"/>
                <w:highlight w:val="none"/>
              </w:rPr>
            </w:pPr>
            <w:r>
              <w:rPr>
                <w:rFonts w:ascii="宋体" w:hAnsi="宋体" w:cs="宋体"/>
                <w:color w:val="auto"/>
                <w:szCs w:val="21"/>
                <w:highlight w:val="none"/>
              </w:rPr>
              <w:t>（注：打印建造师电子证书后，应在个人签名处手写本人签名再上传广州市住建行业信用平台</w:t>
            </w:r>
            <w:r>
              <w:rPr>
                <w:rFonts w:hint="eastAsia" w:ascii="宋体" w:hAnsi="宋体" w:cs="宋体"/>
                <w:color w:val="auto"/>
                <w:szCs w:val="21"/>
                <w:highlight w:val="none"/>
              </w:rPr>
              <w:t>。</w:t>
            </w:r>
            <w:r>
              <w:rPr>
                <w:rFonts w:ascii="宋体" w:hAnsi="宋体" w:cs="宋体"/>
                <w:color w:val="auto"/>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center"/>
          </w:tcPr>
          <w:p w14:paraId="16CD4F08">
            <w:pPr>
              <w:spacing w:before="120" w:after="60"/>
              <w:jc w:val="center"/>
              <w:rPr>
                <w:rFonts w:ascii="宋体" w:hAnsi="宋体"/>
                <w:color w:val="auto"/>
                <w:szCs w:val="21"/>
                <w:highlight w:val="none"/>
              </w:rPr>
            </w:pPr>
          </w:p>
        </w:tc>
      </w:tr>
      <w:tr w14:paraId="6D1A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4EC65411">
            <w:pPr>
              <w:spacing w:before="120" w:after="60"/>
              <w:jc w:val="center"/>
              <w:rPr>
                <w:rFonts w:ascii="宋体" w:hAnsi="宋体"/>
                <w:color w:val="auto"/>
                <w:szCs w:val="21"/>
                <w:highlight w:val="none"/>
              </w:rPr>
            </w:pPr>
            <w:r>
              <w:rPr>
                <w:rFonts w:hint="eastAsia" w:ascii="宋体" w:hAnsi="宋体"/>
                <w:color w:val="auto"/>
                <w:szCs w:val="21"/>
                <w:highlight w:val="none"/>
              </w:rPr>
              <w:t>5</w:t>
            </w:r>
          </w:p>
        </w:tc>
        <w:tc>
          <w:tcPr>
            <w:tcW w:w="4210" w:type="dxa"/>
            <w:tcBorders>
              <w:top w:val="single" w:color="auto" w:sz="4" w:space="0"/>
              <w:left w:val="single" w:color="auto" w:sz="4" w:space="0"/>
              <w:bottom w:val="single" w:color="auto" w:sz="4" w:space="0"/>
              <w:right w:val="single" w:color="auto" w:sz="4" w:space="0"/>
            </w:tcBorders>
            <w:vAlign w:val="center"/>
          </w:tcPr>
          <w:p w14:paraId="688F4E49">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w:t>
            </w:r>
            <w:r>
              <w:rPr>
                <w:rFonts w:ascii="宋体" w:hAnsi="宋体"/>
                <w:color w:val="auto"/>
                <w:szCs w:val="21"/>
                <w:highlight w:val="none"/>
              </w:rPr>
              <w:t>生产</w:t>
            </w:r>
            <w:r>
              <w:rPr>
                <w:rFonts w:hint="eastAsia" w:ascii="宋体" w:hAnsi="宋体"/>
                <w:color w:val="auto"/>
                <w:szCs w:val="21"/>
                <w:highlight w:val="none"/>
              </w:rPr>
              <w:t>考核合格证（B类）或建筑施工企业项目负责人安全生产考核合格证</w:t>
            </w:r>
          </w:p>
        </w:tc>
        <w:tc>
          <w:tcPr>
            <w:tcW w:w="3853" w:type="dxa"/>
            <w:tcBorders>
              <w:top w:val="single" w:color="auto" w:sz="4" w:space="0"/>
              <w:left w:val="single" w:color="auto" w:sz="4" w:space="0"/>
              <w:bottom w:val="single" w:color="auto" w:sz="4" w:space="0"/>
              <w:right w:val="single" w:color="auto" w:sz="4" w:space="0"/>
            </w:tcBorders>
            <w:vAlign w:val="center"/>
          </w:tcPr>
          <w:p w14:paraId="12E42F14">
            <w:pPr>
              <w:spacing w:before="120" w:after="60"/>
              <w:jc w:val="center"/>
              <w:rPr>
                <w:rFonts w:ascii="宋体" w:hAnsi="宋体" w:cs="宋体"/>
                <w:color w:val="auto"/>
                <w:szCs w:val="21"/>
                <w:highlight w:val="none"/>
              </w:rPr>
            </w:pPr>
            <w:r>
              <w:rPr>
                <w:rFonts w:hint="eastAsia" w:ascii="宋体" w:hAnsi="宋体" w:cs="宋体"/>
                <w:color w:val="auto"/>
                <w:szCs w:val="21"/>
                <w:highlight w:val="none"/>
                <w:u w:val="singl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14:paraId="287F3790">
            <w:pPr>
              <w:spacing w:before="120" w:after="60"/>
              <w:jc w:val="center"/>
              <w:rPr>
                <w:rFonts w:ascii="宋体" w:hAnsi="宋体"/>
                <w:color w:val="auto"/>
                <w:szCs w:val="21"/>
                <w:highlight w:val="none"/>
              </w:rPr>
            </w:pPr>
          </w:p>
        </w:tc>
      </w:tr>
      <w:tr w14:paraId="2C9E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0FC51AFF">
            <w:pPr>
              <w:spacing w:before="120" w:after="60"/>
              <w:jc w:val="center"/>
              <w:rPr>
                <w:rFonts w:ascii="宋体" w:hAnsi="宋体"/>
                <w:color w:val="auto"/>
                <w:szCs w:val="21"/>
                <w:highlight w:val="none"/>
              </w:rPr>
            </w:pPr>
            <w:r>
              <w:rPr>
                <w:rFonts w:hint="eastAsia" w:ascii="宋体" w:hAnsi="宋体"/>
                <w:color w:val="auto"/>
                <w:szCs w:val="21"/>
                <w:highlight w:val="none"/>
              </w:rPr>
              <w:t>6</w:t>
            </w:r>
          </w:p>
        </w:tc>
        <w:tc>
          <w:tcPr>
            <w:tcW w:w="4210" w:type="dxa"/>
            <w:tcBorders>
              <w:top w:val="single" w:color="auto" w:sz="4" w:space="0"/>
              <w:left w:val="single" w:color="auto" w:sz="4" w:space="0"/>
              <w:bottom w:val="single" w:color="auto" w:sz="4" w:space="0"/>
              <w:right w:val="single" w:color="auto" w:sz="4" w:space="0"/>
            </w:tcBorders>
            <w:vAlign w:val="center"/>
          </w:tcPr>
          <w:p w14:paraId="4CB864DF">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432B3FEC">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技术负责人的需具有建筑工程相关专业中级工程师或以上技术职称，附相关证明</w:t>
            </w:r>
          </w:p>
        </w:tc>
        <w:tc>
          <w:tcPr>
            <w:tcW w:w="720" w:type="dxa"/>
            <w:tcBorders>
              <w:top w:val="single" w:color="auto" w:sz="4" w:space="0"/>
              <w:left w:val="single" w:color="auto" w:sz="4" w:space="0"/>
              <w:bottom w:val="single" w:color="auto" w:sz="4" w:space="0"/>
              <w:right w:val="single" w:color="auto" w:sz="4" w:space="0"/>
            </w:tcBorders>
            <w:vAlign w:val="center"/>
          </w:tcPr>
          <w:p w14:paraId="615568B9">
            <w:pPr>
              <w:spacing w:before="120" w:after="60"/>
              <w:jc w:val="center"/>
              <w:rPr>
                <w:rFonts w:ascii="宋体" w:hAnsi="宋体"/>
                <w:color w:val="auto"/>
                <w:szCs w:val="21"/>
                <w:highlight w:val="none"/>
              </w:rPr>
            </w:pPr>
          </w:p>
        </w:tc>
      </w:tr>
      <w:tr w14:paraId="0C2F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15A9F273">
            <w:pPr>
              <w:spacing w:before="120" w:after="60"/>
              <w:jc w:val="center"/>
              <w:rPr>
                <w:rFonts w:ascii="宋体" w:hAnsi="宋体"/>
                <w:color w:val="auto"/>
                <w:szCs w:val="21"/>
                <w:highlight w:val="none"/>
              </w:rPr>
            </w:pPr>
            <w:r>
              <w:rPr>
                <w:rFonts w:hint="eastAsia" w:ascii="宋体" w:hAnsi="宋体"/>
                <w:color w:val="auto"/>
                <w:szCs w:val="21"/>
                <w:highlight w:val="none"/>
              </w:rPr>
              <w:t>7</w:t>
            </w:r>
          </w:p>
        </w:tc>
        <w:tc>
          <w:tcPr>
            <w:tcW w:w="4210" w:type="dxa"/>
            <w:tcBorders>
              <w:top w:val="single" w:color="auto" w:sz="4" w:space="0"/>
              <w:left w:val="single" w:color="auto" w:sz="4" w:space="0"/>
              <w:bottom w:val="single" w:color="auto" w:sz="4" w:space="0"/>
              <w:right w:val="single" w:color="auto" w:sz="4" w:space="0"/>
            </w:tcBorders>
            <w:vAlign w:val="center"/>
          </w:tcPr>
          <w:p w14:paraId="7CA51026">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专职安全员须具有安全生产考核合格证（C证）或建筑施工企业专职安全生产管理人员安全生产考核合格证(</w:t>
            </w:r>
            <w:r>
              <w:rPr>
                <w:rFonts w:ascii="宋体" w:hAnsi="宋体"/>
                <w:color w:val="auto"/>
                <w:szCs w:val="21"/>
                <w:highlight w:val="none"/>
              </w:rPr>
              <w:t>C3)</w:t>
            </w:r>
          </w:p>
        </w:tc>
        <w:tc>
          <w:tcPr>
            <w:tcW w:w="3853" w:type="dxa"/>
            <w:tcBorders>
              <w:top w:val="single" w:color="auto" w:sz="4" w:space="0"/>
              <w:left w:val="single" w:color="auto" w:sz="4" w:space="0"/>
              <w:bottom w:val="single" w:color="auto" w:sz="4" w:space="0"/>
              <w:right w:val="single" w:color="auto" w:sz="4" w:space="0"/>
            </w:tcBorders>
            <w:vAlign w:val="center"/>
          </w:tcPr>
          <w:p w14:paraId="554C76B1">
            <w:pPr>
              <w:spacing w:before="120" w:after="60"/>
              <w:jc w:val="center"/>
              <w:rPr>
                <w:rFonts w:ascii="宋体" w:hAnsi="宋体" w:cs="宋体"/>
                <w:color w:val="auto"/>
                <w:szCs w:val="21"/>
                <w:highlight w:val="none"/>
              </w:rPr>
            </w:pPr>
            <w:r>
              <w:rPr>
                <w:rFonts w:hint="eastAsia" w:ascii="宋体" w:hAnsi="宋体" w:cs="宋体"/>
                <w:color w:val="auto"/>
                <w:szCs w:val="21"/>
                <w:highlight w:val="none"/>
                <w:u w:val="single"/>
              </w:rPr>
              <w:t>专职安全员须具有安全生产考核合格证（C证）或建筑施工企业专职安全生产管理人员安全生产考核合格证(</w:t>
            </w:r>
            <w:r>
              <w:rPr>
                <w:rFonts w:ascii="宋体" w:hAnsi="宋体" w:cs="宋体"/>
                <w:color w:val="auto"/>
                <w:szCs w:val="21"/>
                <w:highlight w:val="none"/>
                <w:u w:val="single"/>
              </w:rPr>
              <w:t>C3)</w:t>
            </w:r>
            <w:r>
              <w:rPr>
                <w:rFonts w:hint="eastAsia" w:ascii="宋体" w:hAnsi="宋体" w:cs="宋体"/>
                <w:color w:val="auto"/>
                <w:szCs w:val="21"/>
                <w:highlight w:val="none"/>
                <w:u w:val="single"/>
              </w:rPr>
              <w:t>扫描件或电子证书。项目负责人和</w:t>
            </w:r>
            <w:r>
              <w:rPr>
                <w:rFonts w:ascii="宋体" w:hAnsi="宋体" w:cs="宋体"/>
                <w:color w:val="auto"/>
                <w:szCs w:val="21"/>
                <w:highlight w:val="none"/>
                <w:u w:val="single"/>
              </w:rPr>
              <w:t>专职</w:t>
            </w:r>
            <w:r>
              <w:rPr>
                <w:rFonts w:hint="eastAsia" w:ascii="宋体" w:hAnsi="宋体" w:cs="宋体"/>
                <w:color w:val="auto"/>
                <w:szCs w:val="21"/>
                <w:highlight w:val="none"/>
                <w:u w:val="single"/>
              </w:rPr>
              <w:t>安全员不为同一人。</w:t>
            </w:r>
          </w:p>
        </w:tc>
        <w:tc>
          <w:tcPr>
            <w:tcW w:w="720" w:type="dxa"/>
            <w:tcBorders>
              <w:top w:val="single" w:color="auto" w:sz="4" w:space="0"/>
              <w:left w:val="single" w:color="auto" w:sz="4" w:space="0"/>
              <w:bottom w:val="single" w:color="auto" w:sz="4" w:space="0"/>
              <w:right w:val="single" w:color="auto" w:sz="4" w:space="0"/>
            </w:tcBorders>
            <w:vAlign w:val="center"/>
          </w:tcPr>
          <w:p w14:paraId="3BA5B8B9">
            <w:pPr>
              <w:spacing w:before="120" w:after="60"/>
              <w:jc w:val="center"/>
              <w:rPr>
                <w:rFonts w:ascii="宋体" w:hAnsi="宋体"/>
                <w:color w:val="auto"/>
                <w:szCs w:val="21"/>
                <w:highlight w:val="none"/>
              </w:rPr>
            </w:pPr>
          </w:p>
        </w:tc>
      </w:tr>
      <w:tr w14:paraId="3EC59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101F782E">
            <w:pPr>
              <w:spacing w:before="120" w:after="60"/>
              <w:jc w:val="center"/>
              <w:rPr>
                <w:rFonts w:ascii="宋体" w:hAnsi="宋体"/>
                <w:color w:val="auto"/>
                <w:szCs w:val="21"/>
                <w:highlight w:val="none"/>
              </w:rPr>
            </w:pPr>
            <w:r>
              <w:rPr>
                <w:rFonts w:hint="eastAsia" w:ascii="宋体" w:hAnsi="宋体"/>
                <w:color w:val="auto"/>
                <w:szCs w:val="21"/>
                <w:highlight w:val="none"/>
              </w:rPr>
              <w:t>8</w:t>
            </w:r>
          </w:p>
        </w:tc>
        <w:tc>
          <w:tcPr>
            <w:tcW w:w="4210" w:type="dxa"/>
            <w:tcBorders>
              <w:top w:val="single" w:color="auto" w:sz="4" w:space="0"/>
              <w:left w:val="single" w:color="auto" w:sz="4" w:space="0"/>
              <w:bottom w:val="single" w:color="auto" w:sz="4" w:space="0"/>
              <w:right w:val="single" w:color="auto" w:sz="4" w:space="0"/>
            </w:tcBorders>
            <w:vAlign w:val="center"/>
          </w:tcPr>
          <w:p w14:paraId="0B4C7564">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853" w:type="dxa"/>
            <w:tcBorders>
              <w:top w:val="single" w:color="auto" w:sz="4" w:space="0"/>
              <w:left w:val="single" w:color="auto" w:sz="4" w:space="0"/>
              <w:bottom w:val="single" w:color="auto" w:sz="4" w:space="0"/>
              <w:right w:val="single" w:color="auto" w:sz="4" w:space="0"/>
            </w:tcBorders>
            <w:vAlign w:val="center"/>
          </w:tcPr>
          <w:p w14:paraId="6B45C8CC">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5D52BA7">
            <w:pPr>
              <w:spacing w:before="120" w:after="60"/>
              <w:jc w:val="center"/>
              <w:rPr>
                <w:rFonts w:ascii="宋体" w:hAnsi="宋体"/>
                <w:color w:val="auto"/>
                <w:szCs w:val="21"/>
                <w:highlight w:val="none"/>
              </w:rPr>
            </w:pPr>
          </w:p>
        </w:tc>
      </w:tr>
      <w:tr w14:paraId="42D9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2AAD966E">
            <w:pPr>
              <w:spacing w:before="120" w:after="60"/>
              <w:jc w:val="center"/>
              <w:rPr>
                <w:rFonts w:ascii="宋体" w:hAnsi="宋体"/>
                <w:color w:val="auto"/>
                <w:szCs w:val="21"/>
                <w:highlight w:val="none"/>
              </w:rPr>
            </w:pPr>
            <w:r>
              <w:rPr>
                <w:rFonts w:hint="eastAsia" w:ascii="宋体" w:hAnsi="宋体" w:cs="宋体"/>
                <w:color w:val="auto"/>
                <w:szCs w:val="21"/>
                <w:highlight w:val="none"/>
              </w:rPr>
              <w:t>9</w:t>
            </w:r>
          </w:p>
        </w:tc>
        <w:tc>
          <w:tcPr>
            <w:tcW w:w="4210" w:type="dxa"/>
            <w:tcBorders>
              <w:top w:val="single" w:color="auto" w:sz="4" w:space="0"/>
              <w:left w:val="single" w:color="auto" w:sz="4" w:space="0"/>
              <w:bottom w:val="single" w:color="auto" w:sz="4" w:space="0"/>
              <w:right w:val="single" w:color="auto" w:sz="4" w:space="0"/>
            </w:tcBorders>
            <w:vAlign w:val="center"/>
          </w:tcPr>
          <w:p w14:paraId="1719AD4D">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853" w:type="dxa"/>
            <w:tcBorders>
              <w:top w:val="single" w:color="auto" w:sz="4" w:space="0"/>
              <w:left w:val="single" w:color="auto" w:sz="4" w:space="0"/>
              <w:bottom w:val="single" w:color="auto" w:sz="4" w:space="0"/>
              <w:right w:val="single" w:color="auto" w:sz="4" w:space="0"/>
            </w:tcBorders>
            <w:vAlign w:val="center"/>
          </w:tcPr>
          <w:p w14:paraId="14326904">
            <w:pPr>
              <w:spacing w:before="120" w:after="60"/>
              <w:jc w:val="center"/>
              <w:rPr>
                <w:rFonts w:ascii="宋体" w:hAnsi="宋体"/>
                <w:color w:val="auto"/>
                <w:szCs w:val="21"/>
                <w:highlight w:val="none"/>
              </w:rPr>
            </w:pPr>
            <w:r>
              <w:rPr>
                <w:rFonts w:hint="eastAsia" w:ascii="宋体" w:hAnsi="宋体"/>
                <w:color w:val="auto"/>
                <w:szCs w:val="21"/>
                <w:highlight w:val="none"/>
              </w:rPr>
              <w:t>网上登记时选择拟投标的项目负责人、资格审查文件中拟委派的技术负责人及投标人声明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74029A2A">
            <w:pPr>
              <w:spacing w:before="120" w:after="60"/>
              <w:jc w:val="center"/>
              <w:rPr>
                <w:rFonts w:ascii="宋体" w:hAnsi="宋体"/>
                <w:color w:val="auto"/>
                <w:szCs w:val="21"/>
                <w:highlight w:val="none"/>
              </w:rPr>
            </w:pPr>
          </w:p>
        </w:tc>
      </w:tr>
      <w:tr w14:paraId="0492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79024FDC">
            <w:pPr>
              <w:spacing w:before="120" w:after="60"/>
              <w:jc w:val="center"/>
              <w:rPr>
                <w:rFonts w:ascii="宋体" w:hAnsi="宋体"/>
                <w:color w:val="auto"/>
                <w:szCs w:val="21"/>
                <w:highlight w:val="none"/>
              </w:rPr>
            </w:pPr>
            <w:r>
              <w:rPr>
                <w:rFonts w:hint="eastAsia" w:ascii="宋体" w:hAnsi="宋体"/>
                <w:color w:val="auto"/>
                <w:szCs w:val="21"/>
                <w:highlight w:val="none"/>
              </w:rPr>
              <w:t>10</w:t>
            </w:r>
          </w:p>
        </w:tc>
        <w:tc>
          <w:tcPr>
            <w:tcW w:w="4210" w:type="dxa"/>
            <w:tcBorders>
              <w:top w:val="single" w:color="auto" w:sz="4" w:space="0"/>
              <w:left w:val="single" w:color="auto" w:sz="4" w:space="0"/>
              <w:bottom w:val="single" w:color="auto" w:sz="4" w:space="0"/>
              <w:right w:val="single" w:color="auto" w:sz="4" w:space="0"/>
            </w:tcBorders>
            <w:vAlign w:val="center"/>
          </w:tcPr>
          <w:p w14:paraId="3034D460">
            <w:pPr>
              <w:spacing w:before="120" w:after="60"/>
              <w:jc w:val="center"/>
              <w:rPr>
                <w:rFonts w:ascii="宋体" w:hAnsi="宋体"/>
                <w:color w:val="auto"/>
                <w:szCs w:val="21"/>
                <w:highlight w:val="none"/>
              </w:rPr>
            </w:pPr>
            <w:r>
              <w:rPr>
                <w:rFonts w:hint="eastAsia" w:ascii="宋体" w:hAnsi="宋体"/>
                <w:color w:val="auto"/>
                <w:highlight w:val="none"/>
              </w:rPr>
              <w:t>本次招标不接受联合体投标</w:t>
            </w:r>
          </w:p>
        </w:tc>
        <w:tc>
          <w:tcPr>
            <w:tcW w:w="3853" w:type="dxa"/>
            <w:tcBorders>
              <w:top w:val="single" w:color="auto" w:sz="4" w:space="0"/>
              <w:left w:val="single" w:color="auto" w:sz="4" w:space="0"/>
              <w:bottom w:val="single" w:color="auto" w:sz="4" w:space="0"/>
              <w:right w:val="single" w:color="auto" w:sz="4" w:space="0"/>
            </w:tcBorders>
            <w:vAlign w:val="center"/>
          </w:tcPr>
          <w:p w14:paraId="759318F1">
            <w:pPr>
              <w:spacing w:before="120" w:after="60"/>
              <w:jc w:val="center"/>
              <w:rPr>
                <w:rFonts w:ascii="宋体" w:hAnsi="宋体"/>
                <w:color w:val="auto"/>
                <w:szCs w:val="21"/>
                <w:highlight w:val="none"/>
              </w:rPr>
            </w:pPr>
            <w:r>
              <w:rPr>
                <w:rFonts w:hint="eastAsia" w:ascii="宋体" w:hAnsi="宋体" w:cs="宋体"/>
                <w:color w:val="auto"/>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14:paraId="253DC8ED">
            <w:pPr>
              <w:spacing w:before="120" w:after="60"/>
              <w:jc w:val="center"/>
              <w:rPr>
                <w:rFonts w:ascii="宋体" w:hAnsi="宋体"/>
                <w:color w:val="auto"/>
                <w:szCs w:val="21"/>
                <w:highlight w:val="none"/>
              </w:rPr>
            </w:pPr>
          </w:p>
        </w:tc>
      </w:tr>
      <w:tr w14:paraId="2F1A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7C9F522D">
            <w:pPr>
              <w:spacing w:before="120" w:after="60"/>
              <w:jc w:val="center"/>
              <w:rPr>
                <w:rFonts w:ascii="宋体" w:hAnsi="宋体"/>
                <w:color w:val="auto"/>
                <w:szCs w:val="21"/>
                <w:highlight w:val="none"/>
              </w:rPr>
            </w:pPr>
            <w:r>
              <w:rPr>
                <w:rFonts w:hint="eastAsia" w:ascii="宋体" w:hAnsi="宋体"/>
                <w:color w:val="auto"/>
                <w:szCs w:val="21"/>
                <w:highlight w:val="none"/>
              </w:rPr>
              <w:t>11</w:t>
            </w:r>
          </w:p>
        </w:tc>
        <w:tc>
          <w:tcPr>
            <w:tcW w:w="4210" w:type="dxa"/>
            <w:tcBorders>
              <w:top w:val="single" w:color="auto" w:sz="4" w:space="0"/>
              <w:left w:val="single" w:color="auto" w:sz="4" w:space="0"/>
              <w:bottom w:val="single" w:color="auto" w:sz="4" w:space="0"/>
              <w:right w:val="single" w:color="auto" w:sz="4" w:space="0"/>
            </w:tcBorders>
            <w:vAlign w:val="center"/>
          </w:tcPr>
          <w:p w14:paraId="75F28053">
            <w:pPr>
              <w:spacing w:before="120" w:after="60"/>
              <w:jc w:val="center"/>
              <w:rPr>
                <w:rFonts w:ascii="宋体" w:hAnsi="宋体"/>
                <w:color w:val="auto"/>
                <w:highlight w:val="none"/>
              </w:rPr>
            </w:pPr>
            <w:r>
              <w:rPr>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853" w:type="dxa"/>
            <w:tcBorders>
              <w:top w:val="single" w:color="auto" w:sz="4" w:space="0"/>
              <w:left w:val="single" w:color="auto" w:sz="4" w:space="0"/>
              <w:bottom w:val="single" w:color="auto" w:sz="4" w:space="0"/>
              <w:right w:val="single" w:color="auto" w:sz="4" w:space="0"/>
            </w:tcBorders>
            <w:vAlign w:val="center"/>
          </w:tcPr>
          <w:p w14:paraId="43DF132F">
            <w:pPr>
              <w:spacing w:before="120" w:after="60"/>
              <w:jc w:val="center"/>
              <w:rPr>
                <w:rFonts w:ascii="宋体" w:hAnsi="宋体"/>
                <w:color w:val="auto"/>
                <w:highlight w:val="none"/>
              </w:rPr>
            </w:pPr>
            <w:r>
              <w:rPr>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7953301C">
            <w:pPr>
              <w:spacing w:before="120" w:after="60"/>
              <w:jc w:val="center"/>
              <w:rPr>
                <w:rFonts w:ascii="宋体" w:hAnsi="宋体"/>
                <w:color w:val="auto"/>
                <w:szCs w:val="21"/>
                <w:highlight w:val="none"/>
              </w:rPr>
            </w:pPr>
          </w:p>
        </w:tc>
      </w:tr>
      <w:tr w14:paraId="7E42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634F5939">
            <w:pPr>
              <w:spacing w:before="120" w:after="60"/>
              <w:jc w:val="center"/>
              <w:rPr>
                <w:rFonts w:ascii="宋体" w:hAnsi="宋体"/>
                <w:color w:val="auto"/>
                <w:szCs w:val="21"/>
                <w:highlight w:val="none"/>
              </w:rPr>
            </w:pPr>
            <w:r>
              <w:rPr>
                <w:rFonts w:hint="eastAsia" w:ascii="宋体" w:hAnsi="宋体"/>
                <w:color w:val="auto"/>
                <w:szCs w:val="21"/>
                <w:highlight w:val="none"/>
              </w:rPr>
              <w:t>12</w:t>
            </w:r>
          </w:p>
        </w:tc>
        <w:tc>
          <w:tcPr>
            <w:tcW w:w="4210" w:type="dxa"/>
            <w:tcBorders>
              <w:top w:val="single" w:color="auto" w:sz="4" w:space="0"/>
              <w:left w:val="single" w:color="auto" w:sz="4" w:space="0"/>
              <w:bottom w:val="single" w:color="auto" w:sz="4" w:space="0"/>
              <w:right w:val="single" w:color="auto" w:sz="4" w:space="0"/>
            </w:tcBorders>
            <w:vAlign w:val="center"/>
          </w:tcPr>
          <w:p w14:paraId="0B8B1E89">
            <w:pPr>
              <w:spacing w:before="120" w:after="60"/>
              <w:jc w:val="left"/>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853" w:type="dxa"/>
            <w:tcBorders>
              <w:top w:val="single" w:color="auto" w:sz="4" w:space="0"/>
              <w:left w:val="single" w:color="auto" w:sz="4" w:space="0"/>
              <w:bottom w:val="single" w:color="auto" w:sz="4" w:space="0"/>
              <w:right w:val="single" w:color="auto" w:sz="4" w:space="0"/>
            </w:tcBorders>
            <w:vAlign w:val="center"/>
          </w:tcPr>
          <w:p w14:paraId="1353473D">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036D898A">
            <w:pPr>
              <w:spacing w:before="120" w:after="60"/>
              <w:jc w:val="center"/>
              <w:rPr>
                <w:rFonts w:ascii="宋体" w:hAnsi="宋体"/>
                <w:color w:val="auto"/>
                <w:szCs w:val="21"/>
                <w:highlight w:val="none"/>
              </w:rPr>
            </w:pPr>
          </w:p>
        </w:tc>
      </w:tr>
      <w:tr w14:paraId="0D45E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top w:val="single" w:color="auto" w:sz="4" w:space="0"/>
              <w:left w:val="single" w:color="auto" w:sz="4" w:space="0"/>
              <w:bottom w:val="single" w:color="auto" w:sz="4" w:space="0"/>
              <w:right w:val="single" w:color="auto" w:sz="4" w:space="0"/>
            </w:tcBorders>
            <w:vAlign w:val="center"/>
          </w:tcPr>
          <w:p w14:paraId="5498AACE">
            <w:pPr>
              <w:spacing w:before="120" w:after="60"/>
              <w:jc w:val="center"/>
              <w:rPr>
                <w:rFonts w:ascii="宋体" w:hAnsi="宋体"/>
                <w:color w:val="auto"/>
                <w:szCs w:val="21"/>
                <w:highlight w:val="none"/>
              </w:rPr>
            </w:pPr>
            <w:r>
              <w:rPr>
                <w:rFonts w:hint="eastAsia" w:ascii="宋体" w:hAnsi="宋体"/>
                <w:color w:val="auto"/>
                <w:szCs w:val="21"/>
                <w:highlight w:val="none"/>
              </w:rPr>
              <w:t>13</w:t>
            </w:r>
          </w:p>
        </w:tc>
        <w:tc>
          <w:tcPr>
            <w:tcW w:w="4210" w:type="dxa"/>
            <w:tcBorders>
              <w:top w:val="single" w:color="auto" w:sz="4" w:space="0"/>
              <w:left w:val="single" w:color="auto" w:sz="4" w:space="0"/>
              <w:bottom w:val="single" w:color="auto" w:sz="4" w:space="0"/>
              <w:right w:val="single" w:color="auto" w:sz="4" w:space="0"/>
            </w:tcBorders>
            <w:vAlign w:val="center"/>
          </w:tcPr>
          <w:p w14:paraId="5CAED3F4">
            <w:pPr>
              <w:spacing w:before="120" w:after="60"/>
              <w:jc w:val="center"/>
              <w:rPr>
                <w:rFonts w:ascii="宋体" w:hAnsi="宋体"/>
                <w:color w:val="auto"/>
                <w:szCs w:val="21"/>
                <w:highlight w:val="none"/>
              </w:rPr>
            </w:pPr>
            <w:r>
              <w:rPr>
                <w:rFonts w:hint="eastAsia" w:ascii="宋体" w:hAnsi="宋体"/>
                <w:color w:val="auto"/>
                <w:szCs w:val="21"/>
                <w:highlight w:val="none"/>
                <w:u w:val="single"/>
              </w:rPr>
              <w:t>未被列入拖欠农民工工资失信联合惩戒对象名单</w:t>
            </w:r>
          </w:p>
        </w:tc>
        <w:tc>
          <w:tcPr>
            <w:tcW w:w="3853" w:type="dxa"/>
            <w:tcBorders>
              <w:top w:val="single" w:color="auto" w:sz="4" w:space="0"/>
              <w:left w:val="single" w:color="auto" w:sz="4" w:space="0"/>
              <w:bottom w:val="single" w:color="auto" w:sz="4" w:space="0"/>
              <w:right w:val="single" w:color="auto" w:sz="4" w:space="0"/>
            </w:tcBorders>
            <w:vAlign w:val="center"/>
          </w:tcPr>
          <w:p w14:paraId="273A99E4">
            <w:pPr>
              <w:spacing w:before="120" w:after="60"/>
              <w:jc w:val="center"/>
              <w:rPr>
                <w:rFonts w:ascii="宋体" w:hAnsi="宋体"/>
                <w:color w:val="auto"/>
                <w:szCs w:val="21"/>
                <w:highlight w:val="none"/>
              </w:rPr>
            </w:pPr>
            <w:r>
              <w:rPr>
                <w:rFonts w:hint="eastAsia"/>
                <w:color w:val="auto"/>
                <w:szCs w:val="21"/>
                <w:highlight w:val="none"/>
                <w:u w:val="single"/>
              </w:rPr>
              <w:t>投标人无需提供资料，按投标截止时间交易系统比对的结果进行评审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1FF60B85">
            <w:pPr>
              <w:spacing w:before="120" w:after="60"/>
              <w:jc w:val="center"/>
              <w:rPr>
                <w:rFonts w:ascii="宋体" w:hAnsi="宋体"/>
                <w:color w:val="auto"/>
                <w:szCs w:val="21"/>
                <w:highlight w:val="none"/>
              </w:rPr>
            </w:pPr>
          </w:p>
        </w:tc>
      </w:tr>
    </w:tbl>
    <w:p w14:paraId="6AF32B44">
      <w:pPr>
        <w:spacing w:line="480" w:lineRule="auto"/>
        <w:ind w:firstLine="470" w:firstLineChars="224"/>
        <w:rPr>
          <w:rFonts w:ascii="宋体"/>
          <w:color w:val="auto"/>
          <w:szCs w:val="21"/>
          <w:highlight w:val="none"/>
        </w:rPr>
      </w:pPr>
      <w:r>
        <w:rPr>
          <w:rFonts w:hint="eastAsia" w:ascii="宋体" w:hAnsi="宋体"/>
          <w:color w:val="auto"/>
          <w:szCs w:val="21"/>
          <w:highlight w:val="none"/>
        </w:rPr>
        <w:t>备注：</w:t>
      </w:r>
    </w:p>
    <w:p w14:paraId="7FBC3FC5">
      <w:pPr>
        <w:spacing w:line="480" w:lineRule="auto"/>
        <w:ind w:firstLine="470" w:firstLineChars="224"/>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、每一项目符合的打“○”，不符合的打“×”；</w:t>
      </w:r>
      <w:r>
        <w:rPr>
          <w:rFonts w:ascii="宋体" w:hAnsi="宋体"/>
          <w:color w:val="auto"/>
          <w:szCs w:val="21"/>
          <w:highlight w:val="none"/>
        </w:rPr>
        <w:t xml:space="preserve"> </w:t>
      </w:r>
    </w:p>
    <w:p w14:paraId="2ADAE699">
      <w:pPr>
        <w:widowControl/>
        <w:spacing w:line="480" w:lineRule="auto"/>
        <w:ind w:firstLine="470" w:firstLineChars="224"/>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、若评委意见不一致时，则按少数服从多数的原则，作出评审结论。汇总后，出现一个“×”的结论为“不通过”。</w:t>
      </w:r>
    </w:p>
    <w:p w14:paraId="12A6B572">
      <w:pPr>
        <w:widowControl/>
        <w:spacing w:line="480" w:lineRule="auto"/>
        <w:ind w:firstLine="470" w:firstLineChars="224"/>
        <w:jc w:val="left"/>
        <w:rPr>
          <w:color w:val="auto"/>
          <w:highlight w:val="none"/>
        </w:rPr>
        <w:sectPr>
          <w:pgSz w:w="11906" w:h="16838"/>
          <w:pgMar w:top="1134" w:right="1418" w:bottom="1247" w:left="1418"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color w:val="auto"/>
          <w:szCs w:val="21"/>
          <w:highlight w:val="none"/>
          <w:lang w:bidi="ar"/>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33C81ED">
      <w:pPr>
        <w:rPr>
          <w:color w:val="auto"/>
          <w:szCs w:val="21"/>
          <w:highlight w:val="none"/>
        </w:rPr>
      </w:pPr>
      <w:bookmarkStart w:id="30" w:name="_Toc2272566"/>
      <w:r>
        <w:rPr>
          <w:rFonts w:hint="eastAsia"/>
          <w:color w:val="auto"/>
          <w:szCs w:val="21"/>
          <w:highlight w:val="none"/>
        </w:rPr>
        <w:t>附表二</w:t>
      </w:r>
    </w:p>
    <w:p w14:paraId="236D1ADE">
      <w:pPr>
        <w:jc w:val="center"/>
        <w:outlineLvl w:val="1"/>
        <w:rPr>
          <w:b/>
          <w:color w:val="auto"/>
          <w:sz w:val="36"/>
          <w:szCs w:val="36"/>
          <w:highlight w:val="none"/>
        </w:rPr>
      </w:pPr>
      <w:r>
        <w:rPr>
          <w:rFonts w:hint="eastAsia"/>
          <w:b/>
          <w:color w:val="auto"/>
          <w:sz w:val="36"/>
          <w:szCs w:val="36"/>
          <w:highlight w:val="none"/>
        </w:rPr>
        <w:t>技术标有效性审查表</w:t>
      </w:r>
    </w:p>
    <w:p w14:paraId="784A7097">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827"/>
        <w:gridCol w:w="1276"/>
        <w:gridCol w:w="1276"/>
        <w:gridCol w:w="1134"/>
      </w:tblGrid>
      <w:tr w14:paraId="724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7D9DBEFC">
            <w:pPr>
              <w:adjustRightInd w:val="0"/>
              <w:rPr>
                <w:rFonts w:ascii="宋体" w:hAnsi="宋体"/>
                <w:color w:val="auto"/>
                <w:szCs w:val="21"/>
                <w:highlight w:val="none"/>
              </w:rPr>
            </w:pPr>
            <w:r>
              <w:rPr>
                <w:rFonts w:hint="eastAsia" w:ascii="宋体" w:hAnsi="宋体"/>
                <w:color w:val="auto"/>
                <w:szCs w:val="21"/>
                <w:highlight w:val="none"/>
              </w:rPr>
              <w:t>序号</w:t>
            </w:r>
          </w:p>
        </w:tc>
        <w:tc>
          <w:tcPr>
            <w:tcW w:w="9827" w:type="dxa"/>
            <w:tcBorders>
              <w:top w:val="single" w:color="auto" w:sz="4" w:space="0"/>
              <w:left w:val="single" w:color="auto" w:sz="4" w:space="0"/>
              <w:bottom w:val="single" w:color="auto" w:sz="4" w:space="0"/>
              <w:right w:val="single" w:color="auto" w:sz="4" w:space="0"/>
              <w:tl2br w:val="single" w:color="auto" w:sz="4" w:space="0"/>
            </w:tcBorders>
          </w:tcPr>
          <w:p w14:paraId="35391C48">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12D6DD05">
            <w:pPr>
              <w:adjustRightInd w:val="0"/>
              <w:rPr>
                <w:rFonts w:ascii="宋体" w:hAnsi="宋体"/>
                <w:color w:val="auto"/>
                <w:szCs w:val="21"/>
                <w:highlight w:val="none"/>
              </w:rPr>
            </w:pPr>
          </w:p>
          <w:p w14:paraId="0F1C1100">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276" w:type="dxa"/>
            <w:tcBorders>
              <w:top w:val="single" w:color="auto" w:sz="4" w:space="0"/>
              <w:left w:val="single" w:color="auto" w:sz="4" w:space="0"/>
              <w:bottom w:val="single" w:color="auto" w:sz="4" w:space="0"/>
              <w:right w:val="single" w:color="auto" w:sz="4" w:space="0"/>
            </w:tcBorders>
          </w:tcPr>
          <w:p w14:paraId="6A7323AE">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413A8A3">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1CD63F15">
            <w:pPr>
              <w:adjustRightInd w:val="0"/>
              <w:rPr>
                <w:rFonts w:ascii="宋体" w:hAnsi="宋体"/>
                <w:color w:val="auto"/>
                <w:szCs w:val="21"/>
                <w:highlight w:val="none"/>
              </w:rPr>
            </w:pPr>
          </w:p>
        </w:tc>
      </w:tr>
      <w:tr w14:paraId="64BF7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14:paraId="26F0B71A">
            <w:pPr>
              <w:adjustRightInd w:val="0"/>
              <w:rPr>
                <w:rFonts w:ascii="宋体" w:hAnsi="宋体"/>
                <w:color w:val="auto"/>
                <w:szCs w:val="21"/>
                <w:highlight w:val="none"/>
              </w:rPr>
            </w:pPr>
            <w:r>
              <w:rPr>
                <w:rFonts w:hint="eastAsia" w:ascii="宋体" w:hAnsi="宋体"/>
                <w:color w:val="auto"/>
                <w:szCs w:val="21"/>
                <w:highlight w:val="none"/>
              </w:rPr>
              <w:t>1</w:t>
            </w:r>
          </w:p>
        </w:tc>
        <w:tc>
          <w:tcPr>
            <w:tcW w:w="9827" w:type="dxa"/>
            <w:tcBorders>
              <w:top w:val="single" w:color="auto" w:sz="4" w:space="0"/>
              <w:left w:val="single" w:color="auto" w:sz="4" w:space="0"/>
              <w:bottom w:val="single" w:color="auto" w:sz="4" w:space="0"/>
              <w:right w:val="single" w:color="auto" w:sz="4" w:space="0"/>
            </w:tcBorders>
            <w:vAlign w:val="center"/>
          </w:tcPr>
          <w:p w14:paraId="62620C8F">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《广州建设工程施工招标投标书》中工期不能满足完成投标项目工期的</w:t>
            </w:r>
          </w:p>
        </w:tc>
        <w:tc>
          <w:tcPr>
            <w:tcW w:w="1276" w:type="dxa"/>
            <w:tcBorders>
              <w:top w:val="single" w:color="auto" w:sz="4" w:space="0"/>
              <w:left w:val="single" w:color="auto" w:sz="4" w:space="0"/>
              <w:bottom w:val="single" w:color="auto" w:sz="4" w:space="0"/>
              <w:right w:val="single" w:color="auto" w:sz="4" w:space="0"/>
            </w:tcBorders>
          </w:tcPr>
          <w:p w14:paraId="090E2F2C">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256C5B64">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4E8C2E61">
            <w:pPr>
              <w:adjustRightInd w:val="0"/>
              <w:rPr>
                <w:rFonts w:ascii="宋体" w:hAnsi="宋体"/>
                <w:color w:val="auto"/>
                <w:szCs w:val="21"/>
                <w:highlight w:val="none"/>
              </w:rPr>
            </w:pPr>
          </w:p>
        </w:tc>
      </w:tr>
      <w:tr w14:paraId="3CCF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36885819">
            <w:pPr>
              <w:adjustRightInd w:val="0"/>
              <w:rPr>
                <w:rFonts w:ascii="宋体" w:hAnsi="宋体"/>
                <w:color w:val="auto"/>
                <w:szCs w:val="21"/>
                <w:highlight w:val="none"/>
              </w:rPr>
            </w:pPr>
            <w:r>
              <w:rPr>
                <w:rFonts w:hint="eastAsia" w:ascii="宋体" w:hAnsi="宋体"/>
                <w:color w:val="auto"/>
                <w:szCs w:val="21"/>
                <w:highlight w:val="none"/>
              </w:rPr>
              <w:t>2</w:t>
            </w:r>
          </w:p>
        </w:tc>
        <w:tc>
          <w:tcPr>
            <w:tcW w:w="9827" w:type="dxa"/>
            <w:tcBorders>
              <w:top w:val="single" w:color="auto" w:sz="4" w:space="0"/>
              <w:left w:val="single" w:color="auto" w:sz="4" w:space="0"/>
              <w:bottom w:val="single" w:color="auto" w:sz="4" w:space="0"/>
              <w:right w:val="single" w:color="auto" w:sz="4" w:space="0"/>
            </w:tcBorders>
            <w:vAlign w:val="center"/>
          </w:tcPr>
          <w:p w14:paraId="0B2A8CF7">
            <w:pPr>
              <w:adjustRightInd w:val="0"/>
              <w:rPr>
                <w:rFonts w:ascii="宋体" w:hAnsi="宋体"/>
                <w:color w:val="auto"/>
                <w:szCs w:val="21"/>
                <w:highlight w:val="none"/>
              </w:rPr>
            </w:pPr>
            <w:r>
              <w:rPr>
                <w:rFonts w:hint="eastAsia" w:ascii="宋体" w:hAnsi="宋体"/>
                <w:color w:val="auto"/>
                <w:szCs w:val="21"/>
                <w:highlight w:val="none"/>
                <w:u w:val="single"/>
              </w:rPr>
              <w:t>《广州建设工程施工招标投标书》中质量标准不符合招标文件的</w:t>
            </w:r>
          </w:p>
        </w:tc>
        <w:tc>
          <w:tcPr>
            <w:tcW w:w="1276" w:type="dxa"/>
            <w:tcBorders>
              <w:top w:val="single" w:color="auto" w:sz="4" w:space="0"/>
              <w:left w:val="single" w:color="auto" w:sz="4" w:space="0"/>
              <w:bottom w:val="single" w:color="auto" w:sz="4" w:space="0"/>
              <w:right w:val="single" w:color="auto" w:sz="4" w:space="0"/>
            </w:tcBorders>
          </w:tcPr>
          <w:p w14:paraId="319BD737">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285166A">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3B5A6D8">
            <w:pPr>
              <w:adjustRightInd w:val="0"/>
              <w:rPr>
                <w:rFonts w:ascii="宋体" w:hAnsi="宋体"/>
                <w:color w:val="auto"/>
                <w:szCs w:val="21"/>
                <w:highlight w:val="none"/>
              </w:rPr>
            </w:pPr>
          </w:p>
        </w:tc>
      </w:tr>
      <w:tr w14:paraId="4C71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7A25519C">
            <w:pPr>
              <w:adjustRightInd w:val="0"/>
              <w:rPr>
                <w:rFonts w:ascii="宋体" w:hAnsi="宋体"/>
                <w:color w:val="auto"/>
                <w:szCs w:val="21"/>
                <w:highlight w:val="none"/>
              </w:rPr>
            </w:pPr>
            <w:r>
              <w:rPr>
                <w:rFonts w:hint="eastAsia" w:ascii="宋体" w:hAnsi="宋体"/>
                <w:color w:val="auto"/>
                <w:szCs w:val="21"/>
                <w:highlight w:val="none"/>
              </w:rPr>
              <w:t>3</w:t>
            </w:r>
          </w:p>
        </w:tc>
        <w:tc>
          <w:tcPr>
            <w:tcW w:w="9827" w:type="dxa"/>
            <w:tcBorders>
              <w:top w:val="single" w:color="auto" w:sz="4" w:space="0"/>
              <w:left w:val="single" w:color="auto" w:sz="4" w:space="0"/>
              <w:bottom w:val="single" w:color="auto" w:sz="4" w:space="0"/>
              <w:right w:val="single" w:color="auto" w:sz="4" w:space="0"/>
            </w:tcBorders>
            <w:vAlign w:val="center"/>
          </w:tcPr>
          <w:p w14:paraId="53B90459">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w:t>
            </w:r>
            <w:r>
              <w:rPr>
                <w:rFonts w:hint="eastAsia"/>
                <w:color w:val="auto"/>
                <w:szCs w:val="21"/>
                <w:highlight w:val="none"/>
              </w:rPr>
              <w:t>或盖章</w:t>
            </w:r>
            <w:r>
              <w:rPr>
                <w:rFonts w:hint="eastAsia" w:ascii="宋体" w:hAnsi="宋体"/>
                <w:color w:val="auto"/>
                <w:szCs w:val="21"/>
                <w:highlight w:val="none"/>
              </w:rPr>
              <w:t>的投标文件中没有法定代表人授权书</w:t>
            </w:r>
          </w:p>
        </w:tc>
        <w:tc>
          <w:tcPr>
            <w:tcW w:w="1276" w:type="dxa"/>
            <w:tcBorders>
              <w:top w:val="single" w:color="auto" w:sz="4" w:space="0"/>
              <w:left w:val="single" w:color="auto" w:sz="4" w:space="0"/>
              <w:bottom w:val="single" w:color="auto" w:sz="4" w:space="0"/>
              <w:right w:val="single" w:color="auto" w:sz="4" w:space="0"/>
            </w:tcBorders>
          </w:tcPr>
          <w:p w14:paraId="66B7AF3B">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6172A81">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51BC6CEE">
            <w:pPr>
              <w:adjustRightInd w:val="0"/>
              <w:rPr>
                <w:rFonts w:ascii="宋体" w:hAnsi="宋体"/>
                <w:color w:val="auto"/>
                <w:szCs w:val="21"/>
                <w:highlight w:val="none"/>
              </w:rPr>
            </w:pPr>
          </w:p>
        </w:tc>
      </w:tr>
      <w:tr w14:paraId="7E84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66B80899">
            <w:pPr>
              <w:adjustRightInd w:val="0"/>
              <w:rPr>
                <w:rFonts w:ascii="宋体" w:hAnsi="宋体"/>
                <w:color w:val="auto"/>
                <w:szCs w:val="21"/>
                <w:highlight w:val="none"/>
              </w:rPr>
            </w:pPr>
            <w:r>
              <w:rPr>
                <w:rFonts w:hint="eastAsia" w:ascii="宋体" w:hAnsi="宋体"/>
                <w:color w:val="auto"/>
                <w:szCs w:val="21"/>
                <w:highlight w:val="none"/>
              </w:rPr>
              <w:t>4</w:t>
            </w:r>
          </w:p>
        </w:tc>
        <w:tc>
          <w:tcPr>
            <w:tcW w:w="9827" w:type="dxa"/>
            <w:tcBorders>
              <w:top w:val="single" w:color="auto" w:sz="4" w:space="0"/>
              <w:left w:val="single" w:color="auto" w:sz="4" w:space="0"/>
              <w:bottom w:val="single" w:color="auto" w:sz="4" w:space="0"/>
              <w:right w:val="single" w:color="auto" w:sz="4" w:space="0"/>
            </w:tcBorders>
            <w:vAlign w:val="center"/>
          </w:tcPr>
          <w:p w14:paraId="27467E82">
            <w:pPr>
              <w:adjustRightInd w:val="0"/>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（技术标格式二、格式三、格式九、格式</w:t>
            </w:r>
            <w:r>
              <w:rPr>
                <w:rFonts w:hint="eastAsia" w:ascii="宋体" w:hAnsi="宋体"/>
                <w:color w:val="auto"/>
                <w:szCs w:val="21"/>
                <w:highlight w:val="none"/>
                <w:u w:val="single"/>
                <w:lang w:val="en-US" w:eastAsia="zh-CN"/>
              </w:rPr>
              <w:t>十</w:t>
            </w:r>
            <w:r>
              <w:rPr>
                <w:rFonts w:hint="eastAsia" w:ascii="宋体" w:hAnsi="宋体"/>
                <w:color w:val="auto"/>
                <w:szCs w:val="21"/>
                <w:highlight w:val="none"/>
                <w:u w:val="single"/>
              </w:rPr>
              <w:t>）</w:t>
            </w:r>
            <w:r>
              <w:rPr>
                <w:rFonts w:hint="eastAsia" w:ascii="宋体" w:hAnsi="宋体"/>
                <w:color w:val="auto"/>
                <w:szCs w:val="21"/>
                <w:highlight w:val="none"/>
              </w:rPr>
              <w:t>填写，或主要内容不全，或关键字迹模糊、无法辨认的</w:t>
            </w:r>
          </w:p>
        </w:tc>
        <w:tc>
          <w:tcPr>
            <w:tcW w:w="1276" w:type="dxa"/>
            <w:tcBorders>
              <w:top w:val="single" w:color="auto" w:sz="4" w:space="0"/>
              <w:left w:val="single" w:color="auto" w:sz="4" w:space="0"/>
              <w:bottom w:val="single" w:color="auto" w:sz="4" w:space="0"/>
              <w:right w:val="single" w:color="auto" w:sz="4" w:space="0"/>
            </w:tcBorders>
          </w:tcPr>
          <w:p w14:paraId="61F7907C">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2573392">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AFE81DA">
            <w:pPr>
              <w:adjustRightInd w:val="0"/>
              <w:rPr>
                <w:rFonts w:ascii="宋体" w:hAnsi="宋体"/>
                <w:color w:val="auto"/>
                <w:szCs w:val="21"/>
                <w:highlight w:val="none"/>
              </w:rPr>
            </w:pPr>
          </w:p>
        </w:tc>
      </w:tr>
      <w:tr w14:paraId="5E52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5A9BAE99">
            <w:pPr>
              <w:adjustRightInd w:val="0"/>
              <w:rPr>
                <w:rFonts w:ascii="宋体" w:hAnsi="宋体"/>
                <w:color w:val="auto"/>
                <w:szCs w:val="21"/>
                <w:highlight w:val="none"/>
              </w:rPr>
            </w:pPr>
            <w:r>
              <w:rPr>
                <w:rFonts w:hint="eastAsia" w:ascii="宋体" w:hAnsi="宋体"/>
                <w:color w:val="auto"/>
                <w:szCs w:val="21"/>
                <w:highlight w:val="none"/>
              </w:rPr>
              <w:t>5</w:t>
            </w:r>
          </w:p>
        </w:tc>
        <w:tc>
          <w:tcPr>
            <w:tcW w:w="9827" w:type="dxa"/>
            <w:tcBorders>
              <w:top w:val="single" w:color="auto" w:sz="4" w:space="0"/>
              <w:left w:val="single" w:color="auto" w:sz="4" w:space="0"/>
              <w:bottom w:val="single" w:color="auto" w:sz="4" w:space="0"/>
              <w:right w:val="single" w:color="auto" w:sz="4" w:space="0"/>
            </w:tcBorders>
            <w:vAlign w:val="center"/>
          </w:tcPr>
          <w:p w14:paraId="731D9206">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76" w:type="dxa"/>
            <w:tcBorders>
              <w:top w:val="single" w:color="auto" w:sz="4" w:space="0"/>
              <w:left w:val="single" w:color="auto" w:sz="4" w:space="0"/>
              <w:bottom w:val="single" w:color="auto" w:sz="4" w:space="0"/>
              <w:right w:val="single" w:color="auto" w:sz="4" w:space="0"/>
            </w:tcBorders>
          </w:tcPr>
          <w:p w14:paraId="1D8908C2">
            <w:pPr>
              <w:adjustRightInd w:val="0"/>
              <w:rPr>
                <w:rFonts w:ascii="宋体" w:hAnsi="宋体"/>
                <w:color w:val="auto"/>
                <w:szCs w:val="21"/>
                <w:highlight w:val="none"/>
                <w:shd w:val="pct10" w:color="auto" w:fill="FFFFFF"/>
              </w:rPr>
            </w:pPr>
          </w:p>
        </w:tc>
        <w:tc>
          <w:tcPr>
            <w:tcW w:w="1276" w:type="dxa"/>
            <w:tcBorders>
              <w:top w:val="single" w:color="auto" w:sz="4" w:space="0"/>
              <w:left w:val="single" w:color="auto" w:sz="4" w:space="0"/>
              <w:bottom w:val="single" w:color="auto" w:sz="4" w:space="0"/>
              <w:right w:val="single" w:color="auto" w:sz="4" w:space="0"/>
            </w:tcBorders>
          </w:tcPr>
          <w:p w14:paraId="384B55FC">
            <w:pPr>
              <w:adjustRightInd w:val="0"/>
              <w:rPr>
                <w:rFonts w:ascii="宋体" w:hAnsi="宋体"/>
                <w:color w:val="auto"/>
                <w:szCs w:val="21"/>
                <w:highlight w:val="none"/>
                <w:shd w:val="pct10" w:color="auto" w:fill="FFFFFF"/>
              </w:rPr>
            </w:pPr>
          </w:p>
        </w:tc>
        <w:tc>
          <w:tcPr>
            <w:tcW w:w="1134" w:type="dxa"/>
            <w:tcBorders>
              <w:top w:val="single" w:color="auto" w:sz="4" w:space="0"/>
              <w:left w:val="single" w:color="auto" w:sz="4" w:space="0"/>
              <w:bottom w:val="single" w:color="auto" w:sz="4" w:space="0"/>
              <w:right w:val="single" w:color="auto" w:sz="4" w:space="0"/>
            </w:tcBorders>
          </w:tcPr>
          <w:p w14:paraId="41B16C4F">
            <w:pPr>
              <w:adjustRightInd w:val="0"/>
              <w:rPr>
                <w:rFonts w:ascii="宋体" w:hAnsi="宋体"/>
                <w:color w:val="auto"/>
                <w:szCs w:val="21"/>
                <w:highlight w:val="none"/>
                <w:shd w:val="pct10" w:color="auto" w:fill="FFFFFF"/>
              </w:rPr>
            </w:pPr>
          </w:p>
        </w:tc>
      </w:tr>
      <w:tr w14:paraId="17BD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3FAAF623">
            <w:pPr>
              <w:adjustRightInd w:val="0"/>
              <w:rPr>
                <w:rFonts w:ascii="宋体" w:hAnsi="宋体"/>
                <w:color w:val="auto"/>
                <w:szCs w:val="21"/>
                <w:highlight w:val="none"/>
              </w:rPr>
            </w:pPr>
            <w:r>
              <w:rPr>
                <w:rFonts w:hint="eastAsia" w:ascii="宋体" w:hAnsi="宋体"/>
                <w:color w:val="auto"/>
                <w:szCs w:val="21"/>
                <w:highlight w:val="none"/>
              </w:rPr>
              <w:t>6</w:t>
            </w:r>
          </w:p>
        </w:tc>
        <w:tc>
          <w:tcPr>
            <w:tcW w:w="9827" w:type="dxa"/>
            <w:tcBorders>
              <w:top w:val="single" w:color="auto" w:sz="4" w:space="0"/>
              <w:left w:val="single" w:color="auto" w:sz="4" w:space="0"/>
              <w:bottom w:val="single" w:color="auto" w:sz="4" w:space="0"/>
              <w:right w:val="single" w:color="auto" w:sz="4" w:space="0"/>
            </w:tcBorders>
            <w:vAlign w:val="center"/>
          </w:tcPr>
          <w:p w14:paraId="0F7A81C1">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276" w:type="dxa"/>
            <w:tcBorders>
              <w:top w:val="single" w:color="auto" w:sz="4" w:space="0"/>
              <w:left w:val="single" w:color="auto" w:sz="4" w:space="0"/>
              <w:bottom w:val="single" w:color="auto" w:sz="4" w:space="0"/>
              <w:right w:val="single" w:color="auto" w:sz="4" w:space="0"/>
            </w:tcBorders>
          </w:tcPr>
          <w:p w14:paraId="5BA7A6A8">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21F9FCD">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079A4A53">
            <w:pPr>
              <w:adjustRightInd w:val="0"/>
              <w:rPr>
                <w:rFonts w:ascii="宋体" w:hAnsi="宋体"/>
                <w:color w:val="auto"/>
                <w:szCs w:val="21"/>
                <w:highlight w:val="none"/>
              </w:rPr>
            </w:pPr>
          </w:p>
        </w:tc>
      </w:tr>
      <w:tr w14:paraId="1FE5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14:paraId="7E9A27E7">
            <w:pPr>
              <w:adjustRightInd w:val="0"/>
              <w:rPr>
                <w:rFonts w:ascii="宋体" w:hAnsi="宋体"/>
                <w:color w:val="auto"/>
                <w:szCs w:val="21"/>
                <w:highlight w:val="none"/>
              </w:rPr>
            </w:pPr>
            <w:r>
              <w:rPr>
                <w:rFonts w:hint="eastAsia" w:ascii="宋体" w:hAnsi="宋体"/>
                <w:color w:val="auto"/>
                <w:szCs w:val="21"/>
                <w:highlight w:val="none"/>
              </w:rPr>
              <w:t>7</w:t>
            </w:r>
          </w:p>
        </w:tc>
        <w:tc>
          <w:tcPr>
            <w:tcW w:w="9827" w:type="dxa"/>
            <w:tcBorders>
              <w:top w:val="single" w:color="auto" w:sz="4" w:space="0"/>
              <w:left w:val="single" w:color="auto" w:sz="4" w:space="0"/>
              <w:bottom w:val="single" w:color="auto" w:sz="4" w:space="0"/>
              <w:right w:val="single" w:color="auto" w:sz="4" w:space="0"/>
            </w:tcBorders>
            <w:vAlign w:val="center"/>
          </w:tcPr>
          <w:p w14:paraId="50278B4C">
            <w:pPr>
              <w:adjustRightInd w:val="0"/>
              <w:rPr>
                <w:rFonts w:ascii="宋体" w:hAnsi="宋体"/>
                <w:color w:val="auto"/>
                <w:szCs w:val="21"/>
                <w:highlight w:val="none"/>
              </w:rPr>
            </w:pPr>
            <w:r>
              <w:rPr>
                <w:rFonts w:hint="eastAsia" w:ascii="宋体" w:hAnsi="宋体"/>
                <w:color w:val="auto"/>
                <w:szCs w:val="21"/>
                <w:highlight w:val="none"/>
              </w:rPr>
              <w:t>投标人与</w:t>
            </w:r>
            <w:r>
              <w:rPr>
                <w:rFonts w:hint="eastAsia"/>
                <w:color w:val="auto"/>
                <w:szCs w:val="21"/>
                <w:highlight w:val="none"/>
              </w:rPr>
              <w:t>本项目</w:t>
            </w:r>
            <w:r>
              <w:rPr>
                <w:rFonts w:hint="eastAsia" w:ascii="宋体" w:hAnsi="宋体"/>
                <w:color w:val="auto"/>
                <w:szCs w:val="21"/>
                <w:highlight w:val="none"/>
              </w:rPr>
              <w:t>其他投标人加密打包投标文件电脑机器特征码一致的(以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276" w:type="dxa"/>
            <w:tcBorders>
              <w:top w:val="single" w:color="auto" w:sz="4" w:space="0"/>
              <w:left w:val="single" w:color="auto" w:sz="4" w:space="0"/>
              <w:bottom w:val="single" w:color="auto" w:sz="4" w:space="0"/>
              <w:right w:val="single" w:color="auto" w:sz="4" w:space="0"/>
            </w:tcBorders>
          </w:tcPr>
          <w:p w14:paraId="32490EAF">
            <w:pPr>
              <w:adjustRightInd w:val="0"/>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951EE6B">
            <w:pPr>
              <w:adjustRightInd w:val="0"/>
              <w:rPr>
                <w:rFonts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tcPr>
          <w:p w14:paraId="767EE1BF">
            <w:pPr>
              <w:adjustRightInd w:val="0"/>
              <w:rPr>
                <w:rFonts w:ascii="宋体" w:hAnsi="宋体"/>
                <w:color w:val="auto"/>
                <w:szCs w:val="21"/>
                <w:highlight w:val="none"/>
              </w:rPr>
            </w:pPr>
          </w:p>
        </w:tc>
      </w:tr>
    </w:tbl>
    <w:p w14:paraId="4CCE6808">
      <w:pPr>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1.本表使用GZZB2018-3招标文件范本，与范本内容不同之处均以下划线标明。技术标评审中，响应性、承诺性内容不应作为评分因素，可在该表中对上述内容进行符合性审查。审查标准须具备可操作性。</w:t>
      </w:r>
    </w:p>
    <w:p w14:paraId="6C1E6451">
      <w:pPr>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2DA690E">
      <w:pPr>
        <w:ind w:firstLine="420" w:firstLineChars="200"/>
        <w:rPr>
          <w:rFonts w:ascii="宋体" w:hAnsi="宋体" w:cs="宋体"/>
          <w:color w:val="auto"/>
          <w:szCs w:val="21"/>
          <w:highlight w:val="none"/>
          <w:lang w:bidi="ar"/>
        </w:rPr>
      </w:pPr>
      <w:r>
        <w:rPr>
          <w:rFonts w:hint="eastAsia" w:ascii="宋体" w:hAnsi="宋体" w:cs="宋体"/>
          <w:color w:val="auto"/>
          <w:szCs w:val="21"/>
          <w:highlight w:val="none"/>
          <w:lang w:bidi="ar"/>
        </w:rPr>
        <w:t>3.凡出现以上任何一项情形，结论均为无效，否则就为有效。</w:t>
      </w:r>
    </w:p>
    <w:p w14:paraId="2B1DD64A">
      <w:pPr>
        <w:ind w:firstLine="420" w:firstLineChars="200"/>
        <w:rPr>
          <w:color w:val="auto"/>
          <w:highlight w:val="none"/>
        </w:rPr>
      </w:pPr>
      <w:r>
        <w:rPr>
          <w:rFonts w:hint="eastAsia" w:ascii="宋体" w:hAnsi="宋体" w:cs="宋体"/>
          <w:color w:val="auto"/>
          <w:szCs w:val="21"/>
          <w:highlight w:val="none"/>
          <w:lang w:bidi="ar"/>
        </w:rPr>
        <w:t>4.如对本表中某种情形的评审意见不一致时，以评标委员会过半数成员的意见作为评标委员会对该情形的认定结论。</w:t>
      </w:r>
    </w:p>
    <w:p w14:paraId="4426163A">
      <w:pPr>
        <w:ind w:firstLine="420" w:firstLineChars="200"/>
        <w:rPr>
          <w:rFonts w:ascii="宋体" w:hAnsi="宋体"/>
          <w:color w:val="auto"/>
          <w:szCs w:val="21"/>
          <w:highlight w:val="none"/>
        </w:rPr>
      </w:pPr>
    </w:p>
    <w:p w14:paraId="77894A51">
      <w:pPr>
        <w:rPr>
          <w:rFonts w:ascii="宋体" w:hAnsi="宋体"/>
          <w:color w:val="auto"/>
          <w:szCs w:val="21"/>
          <w:highlight w:val="none"/>
        </w:rPr>
      </w:pPr>
      <w:r>
        <w:rPr>
          <w:rFonts w:hint="eastAsia" w:ascii="宋体" w:hAnsi="宋体"/>
          <w:color w:val="auto"/>
          <w:szCs w:val="21"/>
          <w:highlight w:val="none"/>
        </w:rPr>
        <w:t>评委签名：</w:t>
      </w:r>
    </w:p>
    <w:p w14:paraId="2FD06F9E">
      <w:pPr>
        <w:rPr>
          <w:color w:val="auto"/>
          <w:szCs w:val="21"/>
          <w:highlight w:val="none"/>
        </w:rPr>
      </w:pPr>
      <w:r>
        <w:rPr>
          <w:color w:val="auto"/>
          <w:highlight w:val="none"/>
        </w:rPr>
        <w:br w:type="page"/>
      </w:r>
      <w:r>
        <w:rPr>
          <w:rFonts w:hint="eastAsia"/>
          <w:color w:val="auto"/>
          <w:szCs w:val="21"/>
          <w:highlight w:val="none"/>
        </w:rPr>
        <w:t>附表三</w:t>
      </w:r>
    </w:p>
    <w:p w14:paraId="6C8A4B88">
      <w:pPr>
        <w:jc w:val="center"/>
        <w:outlineLvl w:val="1"/>
        <w:rPr>
          <w:b/>
          <w:color w:val="auto"/>
          <w:sz w:val="36"/>
          <w:szCs w:val="36"/>
          <w:highlight w:val="none"/>
        </w:rPr>
      </w:pPr>
      <w:r>
        <w:rPr>
          <w:rFonts w:hint="eastAsia"/>
          <w:b/>
          <w:color w:val="auto"/>
          <w:sz w:val="36"/>
          <w:szCs w:val="36"/>
          <w:highlight w:val="none"/>
        </w:rPr>
        <w:t>经济标有效性审查表</w:t>
      </w:r>
    </w:p>
    <w:p w14:paraId="6E099BA7">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846"/>
        <w:gridCol w:w="1397"/>
        <w:gridCol w:w="1397"/>
        <w:gridCol w:w="1397"/>
      </w:tblGrid>
      <w:tr w14:paraId="194D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48DB820D">
            <w:pPr>
              <w:rPr>
                <w:rFonts w:ascii="宋体" w:hAnsi="宋体"/>
                <w:color w:val="auto"/>
                <w:szCs w:val="21"/>
                <w:highlight w:val="none"/>
              </w:rPr>
            </w:pPr>
            <w:r>
              <w:rPr>
                <w:rFonts w:hint="eastAsia" w:ascii="宋体" w:hAnsi="宋体"/>
                <w:color w:val="auto"/>
                <w:szCs w:val="21"/>
                <w:highlight w:val="none"/>
              </w:rPr>
              <w:t>序号</w:t>
            </w:r>
          </w:p>
        </w:tc>
        <w:tc>
          <w:tcPr>
            <w:tcW w:w="9846" w:type="dxa"/>
            <w:tcBorders>
              <w:top w:val="single" w:color="auto" w:sz="4" w:space="0"/>
              <w:left w:val="single" w:color="auto" w:sz="4" w:space="0"/>
              <w:bottom w:val="single" w:color="auto" w:sz="4" w:space="0"/>
              <w:right w:val="single" w:color="auto" w:sz="4" w:space="0"/>
              <w:tl2br w:val="single" w:color="auto" w:sz="4" w:space="0"/>
            </w:tcBorders>
          </w:tcPr>
          <w:p w14:paraId="5DEFE635">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1B586796">
            <w:pPr>
              <w:rPr>
                <w:rFonts w:ascii="宋体" w:hAnsi="宋体"/>
                <w:color w:val="auto"/>
                <w:szCs w:val="21"/>
                <w:highlight w:val="none"/>
              </w:rPr>
            </w:pPr>
          </w:p>
          <w:p w14:paraId="7C52F027">
            <w:pPr>
              <w:rPr>
                <w:rFonts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0A7D24A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77142DC">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E888002">
            <w:pPr>
              <w:rPr>
                <w:rFonts w:ascii="宋体" w:hAnsi="宋体"/>
                <w:color w:val="auto"/>
                <w:szCs w:val="21"/>
                <w:highlight w:val="none"/>
              </w:rPr>
            </w:pPr>
          </w:p>
        </w:tc>
      </w:tr>
      <w:tr w14:paraId="3A8D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C3953A8">
            <w:pPr>
              <w:rPr>
                <w:rFonts w:ascii="宋体" w:hAnsi="宋体"/>
                <w:color w:val="auto"/>
                <w:szCs w:val="21"/>
                <w:highlight w:val="none"/>
              </w:rPr>
            </w:pPr>
            <w:r>
              <w:rPr>
                <w:rFonts w:hint="eastAsia" w:ascii="宋体" w:hAnsi="宋体"/>
                <w:color w:val="auto"/>
                <w:szCs w:val="21"/>
                <w:highlight w:val="none"/>
              </w:rPr>
              <w:t>1</w:t>
            </w:r>
          </w:p>
        </w:tc>
        <w:tc>
          <w:tcPr>
            <w:tcW w:w="9846" w:type="dxa"/>
            <w:tcBorders>
              <w:top w:val="single" w:color="auto" w:sz="4" w:space="0"/>
              <w:left w:val="single" w:color="auto" w:sz="4" w:space="0"/>
              <w:bottom w:val="single" w:color="auto" w:sz="4" w:space="0"/>
              <w:right w:val="single" w:color="auto" w:sz="4" w:space="0"/>
            </w:tcBorders>
            <w:vAlign w:val="center"/>
          </w:tcPr>
          <w:p w14:paraId="332D9C7C">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1DFE383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B3ADF5">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D90E37">
            <w:pPr>
              <w:rPr>
                <w:rFonts w:ascii="宋体" w:hAnsi="宋体"/>
                <w:color w:val="auto"/>
                <w:szCs w:val="21"/>
                <w:highlight w:val="none"/>
              </w:rPr>
            </w:pPr>
          </w:p>
        </w:tc>
      </w:tr>
      <w:tr w14:paraId="4446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14:paraId="3DCD0944">
            <w:pPr>
              <w:rPr>
                <w:rFonts w:ascii="宋体" w:hAnsi="宋体"/>
                <w:color w:val="auto"/>
                <w:szCs w:val="21"/>
                <w:highlight w:val="none"/>
              </w:rPr>
            </w:pPr>
            <w:r>
              <w:rPr>
                <w:rFonts w:hint="eastAsia" w:ascii="宋体" w:hAnsi="宋体"/>
                <w:color w:val="auto"/>
                <w:szCs w:val="21"/>
                <w:highlight w:val="none"/>
              </w:rPr>
              <w:t>2</w:t>
            </w:r>
          </w:p>
        </w:tc>
        <w:tc>
          <w:tcPr>
            <w:tcW w:w="9846" w:type="dxa"/>
            <w:tcBorders>
              <w:top w:val="single" w:color="auto" w:sz="4" w:space="0"/>
              <w:left w:val="single" w:color="auto" w:sz="4" w:space="0"/>
              <w:bottom w:val="single" w:color="auto" w:sz="4" w:space="0"/>
              <w:right w:val="single" w:color="auto" w:sz="4" w:space="0"/>
            </w:tcBorders>
            <w:vAlign w:val="center"/>
          </w:tcPr>
          <w:p w14:paraId="60AC0FB1">
            <w:pPr>
              <w:rPr>
                <w:rFonts w:ascii="宋体" w:hAnsi="宋体"/>
                <w:color w:val="auto"/>
                <w:szCs w:val="21"/>
                <w:highlight w:val="none"/>
              </w:rPr>
            </w:pPr>
            <w:r>
              <w:rPr>
                <w:rFonts w:hint="eastAsia" w:ascii="宋体" w:hAnsi="宋体"/>
                <w:color w:val="auto"/>
                <w:szCs w:val="21"/>
                <w:highlight w:val="none"/>
              </w:rPr>
              <w:t>投标报价高于最高投标限价的</w:t>
            </w:r>
            <w:r>
              <w:rPr>
                <w:rFonts w:hint="eastAsia" w:ascii="宋体" w:hAnsi="宋体"/>
                <w:color w:val="auto"/>
                <w:szCs w:val="21"/>
                <w:highlight w:val="none"/>
                <w:u w:val="single"/>
              </w:rPr>
              <w:t>（以最高投标限价公布函公布的各项控制数据为准）</w:t>
            </w:r>
          </w:p>
        </w:tc>
        <w:tc>
          <w:tcPr>
            <w:tcW w:w="1397" w:type="dxa"/>
            <w:tcBorders>
              <w:top w:val="single" w:color="auto" w:sz="4" w:space="0"/>
              <w:left w:val="single" w:color="auto" w:sz="4" w:space="0"/>
              <w:bottom w:val="single" w:color="auto" w:sz="4" w:space="0"/>
              <w:right w:val="single" w:color="auto" w:sz="4" w:space="0"/>
            </w:tcBorders>
          </w:tcPr>
          <w:p w14:paraId="2523481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1C15DD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C730937">
            <w:pPr>
              <w:rPr>
                <w:rFonts w:ascii="宋体" w:hAnsi="宋体"/>
                <w:color w:val="auto"/>
                <w:szCs w:val="21"/>
                <w:highlight w:val="none"/>
              </w:rPr>
            </w:pPr>
          </w:p>
        </w:tc>
      </w:tr>
      <w:tr w14:paraId="178A3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DE0B0CC">
            <w:pPr>
              <w:rPr>
                <w:rFonts w:ascii="宋体" w:hAnsi="宋体"/>
                <w:color w:val="auto"/>
                <w:szCs w:val="21"/>
                <w:highlight w:val="none"/>
              </w:rPr>
            </w:pPr>
            <w:r>
              <w:rPr>
                <w:rFonts w:hint="eastAsia" w:ascii="宋体" w:hAnsi="宋体"/>
                <w:color w:val="auto"/>
                <w:szCs w:val="21"/>
                <w:highlight w:val="none"/>
              </w:rPr>
              <w:t>3</w:t>
            </w:r>
          </w:p>
        </w:tc>
        <w:tc>
          <w:tcPr>
            <w:tcW w:w="9846" w:type="dxa"/>
            <w:tcBorders>
              <w:top w:val="single" w:color="auto" w:sz="4" w:space="0"/>
              <w:left w:val="single" w:color="auto" w:sz="4" w:space="0"/>
              <w:bottom w:val="single" w:color="auto" w:sz="4" w:space="0"/>
              <w:right w:val="single" w:color="auto" w:sz="4" w:space="0"/>
            </w:tcBorders>
            <w:vAlign w:val="center"/>
          </w:tcPr>
          <w:p w14:paraId="4EB74BCB">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2F328A3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5B62503">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E1468AB">
            <w:pPr>
              <w:rPr>
                <w:rFonts w:ascii="宋体" w:hAnsi="宋体"/>
                <w:color w:val="auto"/>
                <w:szCs w:val="21"/>
                <w:highlight w:val="none"/>
              </w:rPr>
            </w:pPr>
          </w:p>
        </w:tc>
      </w:tr>
      <w:tr w14:paraId="4642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37441DB">
            <w:pPr>
              <w:rPr>
                <w:rFonts w:ascii="宋体" w:hAnsi="宋体"/>
                <w:color w:val="auto"/>
                <w:szCs w:val="21"/>
                <w:highlight w:val="none"/>
              </w:rPr>
            </w:pPr>
            <w:r>
              <w:rPr>
                <w:rFonts w:hint="eastAsia" w:ascii="宋体" w:hAnsi="宋体"/>
                <w:color w:val="auto"/>
                <w:szCs w:val="21"/>
                <w:highlight w:val="none"/>
              </w:rPr>
              <w:t>4</w:t>
            </w:r>
          </w:p>
        </w:tc>
        <w:tc>
          <w:tcPr>
            <w:tcW w:w="9846" w:type="dxa"/>
            <w:tcBorders>
              <w:top w:val="single" w:color="auto" w:sz="4" w:space="0"/>
              <w:left w:val="single" w:color="auto" w:sz="4" w:space="0"/>
              <w:bottom w:val="single" w:color="auto" w:sz="4" w:space="0"/>
              <w:right w:val="single" w:color="auto" w:sz="4" w:space="0"/>
            </w:tcBorders>
            <w:vAlign w:val="center"/>
          </w:tcPr>
          <w:p w14:paraId="314BCE73">
            <w:pPr>
              <w:rPr>
                <w:rFonts w:ascii="宋体" w:hAnsi="宋体"/>
                <w:color w:val="auto"/>
                <w:szCs w:val="21"/>
                <w:highlight w:val="none"/>
              </w:rPr>
            </w:pPr>
            <w:r>
              <w:rPr>
                <w:rFonts w:hint="eastAsia" w:ascii="宋体" w:hAnsi="宋体"/>
                <w:color w:val="auto"/>
                <w:szCs w:val="21"/>
                <w:highlight w:val="none"/>
              </w:rPr>
              <w:t>投标文件未按规定的格式</w:t>
            </w:r>
            <w:r>
              <w:rPr>
                <w:rFonts w:hint="eastAsia" w:ascii="宋体" w:hAnsi="宋体"/>
                <w:color w:val="auto"/>
                <w:szCs w:val="21"/>
                <w:highlight w:val="none"/>
                <w:u w:val="single"/>
              </w:rPr>
              <w:t>（经济标格式二、格式三、格式四）</w:t>
            </w:r>
            <w:r>
              <w:rPr>
                <w:rFonts w:hint="eastAsia" w:ascii="宋体" w:hAnsi="宋体"/>
                <w:color w:val="auto"/>
                <w:szCs w:val="21"/>
                <w:highlight w:val="none"/>
              </w:rPr>
              <w:t>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3EAA275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A8E80B">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70502B5">
            <w:pPr>
              <w:rPr>
                <w:rFonts w:ascii="宋体" w:hAnsi="宋体"/>
                <w:color w:val="auto"/>
                <w:szCs w:val="21"/>
                <w:highlight w:val="none"/>
              </w:rPr>
            </w:pPr>
          </w:p>
        </w:tc>
      </w:tr>
      <w:tr w14:paraId="0052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279F8A5">
            <w:pPr>
              <w:rPr>
                <w:rFonts w:ascii="宋体" w:hAnsi="宋体"/>
                <w:color w:val="auto"/>
                <w:szCs w:val="21"/>
                <w:highlight w:val="none"/>
              </w:rPr>
            </w:pPr>
            <w:r>
              <w:rPr>
                <w:rFonts w:hint="eastAsia" w:ascii="宋体" w:hAnsi="宋体"/>
                <w:color w:val="auto"/>
                <w:szCs w:val="21"/>
                <w:highlight w:val="none"/>
              </w:rPr>
              <w:t>5</w:t>
            </w:r>
          </w:p>
        </w:tc>
        <w:tc>
          <w:tcPr>
            <w:tcW w:w="9846" w:type="dxa"/>
            <w:tcBorders>
              <w:top w:val="single" w:color="auto" w:sz="4" w:space="0"/>
              <w:left w:val="single" w:color="auto" w:sz="4" w:space="0"/>
              <w:bottom w:val="single" w:color="auto" w:sz="4" w:space="0"/>
              <w:right w:val="single" w:color="auto" w:sz="4" w:space="0"/>
            </w:tcBorders>
            <w:shd w:val="clear" w:color="auto" w:fill="auto"/>
            <w:vAlign w:val="center"/>
          </w:tcPr>
          <w:p w14:paraId="2C956058">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76EB843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F1BFF17">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565C46C">
            <w:pPr>
              <w:rPr>
                <w:rFonts w:ascii="宋体" w:hAnsi="宋体"/>
                <w:color w:val="auto"/>
                <w:szCs w:val="21"/>
                <w:highlight w:val="none"/>
              </w:rPr>
            </w:pPr>
          </w:p>
        </w:tc>
      </w:tr>
      <w:tr w14:paraId="611C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2C3B981">
            <w:pPr>
              <w:rPr>
                <w:rFonts w:ascii="宋体" w:hAnsi="宋体"/>
                <w:color w:val="auto"/>
                <w:szCs w:val="21"/>
                <w:highlight w:val="none"/>
              </w:rPr>
            </w:pPr>
            <w:r>
              <w:rPr>
                <w:rFonts w:hint="eastAsia" w:ascii="宋体" w:hAnsi="宋体"/>
                <w:color w:val="auto"/>
                <w:szCs w:val="21"/>
                <w:highlight w:val="none"/>
              </w:rPr>
              <w:t>6</w:t>
            </w:r>
          </w:p>
        </w:tc>
        <w:tc>
          <w:tcPr>
            <w:tcW w:w="9846" w:type="dxa"/>
            <w:tcBorders>
              <w:top w:val="single" w:color="auto" w:sz="4" w:space="0"/>
              <w:left w:val="single" w:color="auto" w:sz="4" w:space="0"/>
              <w:bottom w:val="single" w:color="auto" w:sz="4" w:space="0"/>
              <w:right w:val="single" w:color="auto" w:sz="4" w:space="0"/>
            </w:tcBorders>
            <w:shd w:val="clear" w:color="auto" w:fill="auto"/>
            <w:vAlign w:val="center"/>
          </w:tcPr>
          <w:p w14:paraId="568D2BAB">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206F79EE">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41C973A">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8BDA76D">
            <w:pPr>
              <w:rPr>
                <w:rFonts w:ascii="宋体" w:hAnsi="宋体"/>
                <w:color w:val="auto"/>
                <w:szCs w:val="21"/>
                <w:highlight w:val="none"/>
              </w:rPr>
            </w:pPr>
          </w:p>
        </w:tc>
      </w:tr>
      <w:tr w14:paraId="540FA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F4889E6">
            <w:pPr>
              <w:rPr>
                <w:rFonts w:ascii="宋体" w:hAnsi="宋体"/>
                <w:color w:val="auto"/>
                <w:szCs w:val="21"/>
                <w:highlight w:val="none"/>
              </w:rPr>
            </w:pPr>
            <w:r>
              <w:rPr>
                <w:rFonts w:hint="eastAsia" w:ascii="宋体" w:hAnsi="宋体"/>
                <w:color w:val="auto"/>
                <w:szCs w:val="21"/>
                <w:highlight w:val="none"/>
              </w:rPr>
              <w:t>7</w:t>
            </w:r>
          </w:p>
        </w:tc>
        <w:tc>
          <w:tcPr>
            <w:tcW w:w="9846" w:type="dxa"/>
            <w:tcBorders>
              <w:top w:val="single" w:color="auto" w:sz="4" w:space="0"/>
              <w:left w:val="single" w:color="auto" w:sz="4" w:space="0"/>
              <w:bottom w:val="single" w:color="auto" w:sz="4" w:space="0"/>
              <w:right w:val="single" w:color="auto" w:sz="4" w:space="0"/>
            </w:tcBorders>
            <w:shd w:val="clear" w:color="auto" w:fill="auto"/>
            <w:vAlign w:val="center"/>
          </w:tcPr>
          <w:p w14:paraId="31AC5407">
            <w:pP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2D1A0AA4">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61A748D">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9D18E4D">
            <w:pPr>
              <w:rPr>
                <w:rFonts w:ascii="宋体" w:hAnsi="宋体"/>
                <w:color w:val="auto"/>
                <w:szCs w:val="21"/>
                <w:highlight w:val="none"/>
              </w:rPr>
            </w:pPr>
          </w:p>
        </w:tc>
      </w:tr>
      <w:tr w14:paraId="1DD6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1B04DDC">
            <w:pPr>
              <w:rPr>
                <w:rFonts w:ascii="宋体" w:hAnsi="宋体"/>
                <w:color w:val="auto"/>
                <w:szCs w:val="21"/>
                <w:highlight w:val="none"/>
              </w:rPr>
            </w:pPr>
            <w:r>
              <w:rPr>
                <w:rFonts w:hint="eastAsia" w:ascii="宋体" w:hAnsi="宋体"/>
                <w:color w:val="auto"/>
                <w:szCs w:val="21"/>
                <w:highlight w:val="none"/>
              </w:rPr>
              <w:t>8</w:t>
            </w:r>
          </w:p>
        </w:tc>
        <w:tc>
          <w:tcPr>
            <w:tcW w:w="9846" w:type="dxa"/>
            <w:tcBorders>
              <w:top w:val="single" w:color="auto" w:sz="4" w:space="0"/>
              <w:left w:val="single" w:color="auto" w:sz="4" w:space="0"/>
              <w:bottom w:val="single" w:color="auto" w:sz="4" w:space="0"/>
              <w:right w:val="single" w:color="auto" w:sz="4" w:space="0"/>
            </w:tcBorders>
            <w:shd w:val="clear" w:color="auto" w:fill="auto"/>
            <w:vAlign w:val="center"/>
          </w:tcPr>
          <w:p w14:paraId="16C5EF87">
            <w:pPr>
              <w:rPr>
                <w:rFonts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广州公共资源交易中心</w:t>
            </w:r>
            <w:r>
              <w:rPr>
                <w:rFonts w:hint="eastAsia" w:ascii="宋体" w:hAnsi="宋体" w:cs="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46DE6C09">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3865096">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5F09C56">
            <w:pPr>
              <w:rPr>
                <w:rFonts w:ascii="宋体" w:hAnsi="宋体"/>
                <w:color w:val="auto"/>
                <w:szCs w:val="21"/>
                <w:highlight w:val="none"/>
              </w:rPr>
            </w:pPr>
          </w:p>
        </w:tc>
      </w:tr>
    </w:tbl>
    <w:p w14:paraId="3BF495AD">
      <w:pPr>
        <w:ind w:firstLine="458"/>
        <w:rPr>
          <w:color w:val="auto"/>
          <w:szCs w:val="21"/>
          <w:highlight w:val="none"/>
        </w:rPr>
      </w:pPr>
      <w:r>
        <w:rPr>
          <w:rFonts w:hint="eastAsia" w:ascii="宋体" w:hAnsi="宋体"/>
          <w:color w:val="auto"/>
          <w:szCs w:val="21"/>
          <w:highlight w:val="none"/>
        </w:rPr>
        <w:t>注：</w:t>
      </w:r>
      <w:r>
        <w:rPr>
          <w:rFonts w:hint="eastAsia" w:ascii="宋体" w:hAnsi="宋体" w:cs="宋体"/>
          <w:color w:val="auto"/>
          <w:szCs w:val="21"/>
          <w:highlight w:val="none"/>
          <w:lang w:bidi="ar"/>
        </w:rPr>
        <w:t>1.本表使用GZZB2018-3招标文件范本，与范本内容不同之处均以下划线标明。</w:t>
      </w:r>
    </w:p>
    <w:p w14:paraId="7B222659">
      <w:pPr>
        <w:ind w:firstLine="458"/>
        <w:rPr>
          <w:color w:val="auto"/>
          <w:szCs w:val="21"/>
          <w:highlight w:val="none"/>
        </w:rPr>
      </w:pPr>
      <w:r>
        <w:rPr>
          <w:rFonts w:hint="eastAsia" w:ascii="宋体" w:hAnsi="宋体" w:cs="宋体"/>
          <w:color w:val="auto"/>
          <w:szCs w:val="21"/>
          <w:highlight w:val="none"/>
          <w:lang w:bidi="ar"/>
        </w:rPr>
        <w:t>2.凡出现以上任何一项情形，结论均为无效，否则就为有效。</w:t>
      </w:r>
    </w:p>
    <w:p w14:paraId="4A2660BE">
      <w:pPr>
        <w:ind w:firstLine="458"/>
        <w:rPr>
          <w:color w:val="auto"/>
          <w:szCs w:val="21"/>
          <w:highlight w:val="none"/>
        </w:rPr>
      </w:pPr>
      <w:r>
        <w:rPr>
          <w:rFonts w:hint="eastAsia" w:ascii="宋体" w:hAnsi="宋体" w:cs="宋体"/>
          <w:color w:val="auto"/>
          <w:szCs w:val="21"/>
          <w:highlight w:val="none"/>
          <w:lang w:bidi="ar"/>
        </w:rPr>
        <w:t>3.如对本表中某种情形的评审意见不一致时，以评标委员会过半数成员的意见作为评标委员会对该情形的认定结论。</w:t>
      </w:r>
    </w:p>
    <w:p w14:paraId="41FFFED1">
      <w:pPr>
        <w:rPr>
          <w:color w:val="auto"/>
          <w:highlight w:val="none"/>
        </w:rPr>
      </w:pPr>
      <w:r>
        <w:rPr>
          <w:rFonts w:hint="eastAsia" w:ascii="宋体" w:hAnsi="宋体" w:cs="宋体"/>
          <w:color w:val="auto"/>
          <w:szCs w:val="21"/>
          <w:highlight w:val="none"/>
          <w:lang w:bidi="ar"/>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05233C4">
      <w:pPr>
        <w:ind w:firstLine="458"/>
        <w:rPr>
          <w:rFonts w:ascii="宋体" w:hAnsi="宋体"/>
          <w:color w:val="auto"/>
          <w:szCs w:val="21"/>
          <w:highlight w:val="none"/>
        </w:rPr>
      </w:pPr>
    </w:p>
    <w:p w14:paraId="27A18627">
      <w:pPr>
        <w:spacing w:after="120"/>
        <w:ind w:firstLine="458"/>
        <w:rPr>
          <w:rFonts w:ascii="宋体" w:hAnsi="宋体"/>
          <w:color w:val="auto"/>
          <w:kern w:val="0"/>
          <w:sz w:val="20"/>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olor w:val="auto"/>
          <w:kern w:val="0"/>
          <w:sz w:val="20"/>
          <w:szCs w:val="21"/>
          <w:highlight w:val="none"/>
        </w:rPr>
        <w:t>评委签名：</w:t>
      </w:r>
    </w:p>
    <w:p w14:paraId="3326E0B9">
      <w:pPr>
        <w:rPr>
          <w:color w:val="auto"/>
          <w:szCs w:val="21"/>
          <w:highlight w:val="none"/>
        </w:rPr>
      </w:pPr>
      <w:r>
        <w:rPr>
          <w:rFonts w:hint="eastAsia"/>
          <w:color w:val="auto"/>
          <w:szCs w:val="21"/>
          <w:highlight w:val="none"/>
        </w:rPr>
        <w:t>附表四</w:t>
      </w:r>
    </w:p>
    <w:p w14:paraId="77DA1CCF">
      <w:pPr>
        <w:pStyle w:val="20"/>
        <w:widowControl/>
        <w:jc w:val="center"/>
        <w:rPr>
          <w:rFonts w:ascii="微软雅黑" w:hAnsi="微软雅黑" w:eastAsia="微软雅黑" w:cs="微软雅黑"/>
          <w:color w:val="auto"/>
          <w:highlight w:val="none"/>
        </w:rPr>
      </w:pPr>
      <w:r>
        <w:rPr>
          <w:rStyle w:val="28"/>
          <w:rFonts w:hint="eastAsia" w:ascii="宋体" w:hAnsi="宋体" w:cs="宋体"/>
          <w:bCs/>
          <w:color w:val="auto"/>
          <w:sz w:val="36"/>
          <w:szCs w:val="36"/>
          <w:highlight w:val="none"/>
          <w:shd w:val="clear" w:color="auto" w:fill="FFFFFF"/>
        </w:rPr>
        <w:t>技术标详细审查评分表</w:t>
      </w:r>
    </w:p>
    <w:p w14:paraId="6C98F8EE">
      <w:pPr>
        <w:pStyle w:val="20"/>
        <w:widowControl/>
        <w:jc w:val="left"/>
        <w:rPr>
          <w:rFonts w:ascii="微软雅黑" w:hAnsi="微软雅黑" w:eastAsia="微软雅黑" w:cs="微软雅黑"/>
          <w:color w:val="auto"/>
          <w:highlight w:val="none"/>
        </w:rPr>
      </w:pPr>
      <w:r>
        <w:rPr>
          <w:rFonts w:hint="eastAsia" w:ascii="宋体" w:hAnsi="宋体" w:cs="宋体"/>
          <w:color w:val="auto"/>
          <w:sz w:val="22"/>
          <w:highlight w:val="none"/>
          <w:shd w:val="clear" w:color="auto" w:fill="FFFFFF"/>
        </w:rPr>
        <w:t>工程名称：</w:t>
      </w:r>
    </w:p>
    <w:tbl>
      <w:tblPr>
        <w:tblStyle w:val="25"/>
        <w:tblW w:w="14211" w:type="dxa"/>
        <w:tblInd w:w="0" w:type="dxa"/>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Layout w:type="autofit"/>
        <w:tblCellMar>
          <w:top w:w="0" w:type="dxa"/>
          <w:left w:w="0" w:type="dxa"/>
          <w:bottom w:w="0" w:type="dxa"/>
          <w:right w:w="0" w:type="dxa"/>
        </w:tblCellMar>
      </w:tblPr>
      <w:tblGrid>
        <w:gridCol w:w="740"/>
        <w:gridCol w:w="1178"/>
        <w:gridCol w:w="1171"/>
        <w:gridCol w:w="720"/>
        <w:gridCol w:w="10402"/>
      </w:tblGrid>
      <w:tr w14:paraId="042ED62A">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PrEx>
        <w:tc>
          <w:tcPr>
            <w:tcW w:w="740" w:type="dxa"/>
            <w:tcBorders>
              <w:tl2br w:val="nil"/>
              <w:tr2bl w:val="nil"/>
            </w:tcBorders>
            <w:shd w:val="clear" w:color="auto" w:fill="auto"/>
            <w:tcMar>
              <w:top w:w="15" w:type="dxa"/>
              <w:left w:w="108" w:type="dxa"/>
              <w:bottom w:w="0" w:type="dxa"/>
              <w:right w:w="108" w:type="dxa"/>
            </w:tcMar>
            <w:vAlign w:val="center"/>
          </w:tcPr>
          <w:p w14:paraId="0462C35C">
            <w:pPr>
              <w:pStyle w:val="13"/>
              <w:jc w:val="center"/>
              <w:rPr>
                <w:rFonts w:hint="eastAsia"/>
                <w:b/>
                <w:bCs/>
                <w:color w:val="auto"/>
                <w:highlight w:val="none"/>
              </w:rPr>
            </w:pPr>
            <w:r>
              <w:rPr>
                <w:rFonts w:hint="eastAsia"/>
                <w:b/>
                <w:bCs/>
                <w:color w:val="auto"/>
                <w:highlight w:val="none"/>
              </w:rPr>
              <w:t>序号</w:t>
            </w:r>
          </w:p>
        </w:tc>
        <w:tc>
          <w:tcPr>
            <w:tcW w:w="1178" w:type="dxa"/>
            <w:tcBorders>
              <w:tl2br w:val="nil"/>
              <w:tr2bl w:val="nil"/>
            </w:tcBorders>
            <w:shd w:val="clear" w:color="auto" w:fill="auto"/>
            <w:tcMar>
              <w:top w:w="15" w:type="dxa"/>
              <w:left w:w="108" w:type="dxa"/>
              <w:bottom w:w="0" w:type="dxa"/>
              <w:right w:w="108" w:type="dxa"/>
            </w:tcMar>
            <w:vAlign w:val="center"/>
          </w:tcPr>
          <w:p w14:paraId="6A6E61F6">
            <w:pPr>
              <w:pStyle w:val="13"/>
              <w:jc w:val="center"/>
              <w:rPr>
                <w:rFonts w:hint="eastAsia"/>
                <w:b/>
                <w:bCs/>
                <w:color w:val="auto"/>
                <w:highlight w:val="none"/>
              </w:rPr>
            </w:pPr>
            <w:r>
              <w:rPr>
                <w:rFonts w:hint="eastAsia"/>
                <w:b/>
                <w:bCs/>
                <w:color w:val="auto"/>
                <w:highlight w:val="none"/>
              </w:rPr>
              <w:t>评分项目</w:t>
            </w:r>
          </w:p>
        </w:tc>
        <w:tc>
          <w:tcPr>
            <w:tcW w:w="1171" w:type="dxa"/>
            <w:tcBorders>
              <w:tl2br w:val="nil"/>
              <w:tr2bl w:val="nil"/>
            </w:tcBorders>
            <w:shd w:val="clear" w:color="auto" w:fill="auto"/>
            <w:tcMar>
              <w:top w:w="15" w:type="dxa"/>
              <w:left w:w="108" w:type="dxa"/>
              <w:bottom w:w="0" w:type="dxa"/>
              <w:right w:w="108" w:type="dxa"/>
            </w:tcMar>
            <w:vAlign w:val="center"/>
          </w:tcPr>
          <w:p w14:paraId="5579B0F9">
            <w:pPr>
              <w:pStyle w:val="13"/>
              <w:jc w:val="center"/>
              <w:rPr>
                <w:rFonts w:hint="eastAsia"/>
                <w:b/>
                <w:bCs/>
                <w:color w:val="auto"/>
                <w:highlight w:val="none"/>
              </w:rPr>
            </w:pPr>
            <w:r>
              <w:rPr>
                <w:rFonts w:hint="eastAsia"/>
                <w:b/>
                <w:bCs/>
                <w:color w:val="auto"/>
                <w:highlight w:val="none"/>
              </w:rPr>
              <w:t>评分内容</w:t>
            </w:r>
          </w:p>
        </w:tc>
        <w:tc>
          <w:tcPr>
            <w:tcW w:w="720" w:type="dxa"/>
            <w:tcBorders>
              <w:tl2br w:val="nil"/>
              <w:tr2bl w:val="nil"/>
            </w:tcBorders>
            <w:shd w:val="clear" w:color="auto" w:fill="auto"/>
            <w:tcMar>
              <w:top w:w="15" w:type="dxa"/>
              <w:left w:w="108" w:type="dxa"/>
              <w:bottom w:w="0" w:type="dxa"/>
              <w:right w:w="108" w:type="dxa"/>
            </w:tcMar>
            <w:vAlign w:val="center"/>
          </w:tcPr>
          <w:p w14:paraId="11B0004C">
            <w:pPr>
              <w:pStyle w:val="13"/>
              <w:jc w:val="center"/>
              <w:rPr>
                <w:rFonts w:hint="eastAsia"/>
                <w:b/>
                <w:bCs/>
                <w:color w:val="auto"/>
                <w:highlight w:val="none"/>
              </w:rPr>
            </w:pPr>
            <w:r>
              <w:rPr>
                <w:rFonts w:hint="eastAsia"/>
                <w:b/>
                <w:bCs/>
                <w:color w:val="auto"/>
                <w:highlight w:val="none"/>
              </w:rPr>
              <w:t>分值</w:t>
            </w:r>
          </w:p>
        </w:tc>
        <w:tc>
          <w:tcPr>
            <w:tcW w:w="10402" w:type="dxa"/>
            <w:tcBorders>
              <w:tl2br w:val="nil"/>
              <w:tr2bl w:val="nil"/>
            </w:tcBorders>
            <w:shd w:val="clear" w:color="auto" w:fill="auto"/>
            <w:tcMar>
              <w:top w:w="15" w:type="dxa"/>
              <w:left w:w="108" w:type="dxa"/>
              <w:bottom w:w="0" w:type="dxa"/>
              <w:right w:w="108" w:type="dxa"/>
            </w:tcMar>
            <w:vAlign w:val="center"/>
          </w:tcPr>
          <w:p w14:paraId="1F30C622">
            <w:pPr>
              <w:pStyle w:val="13"/>
              <w:jc w:val="center"/>
              <w:rPr>
                <w:rFonts w:hint="eastAsia"/>
                <w:b/>
                <w:bCs/>
                <w:color w:val="auto"/>
                <w:highlight w:val="none"/>
              </w:rPr>
            </w:pPr>
            <w:r>
              <w:rPr>
                <w:rFonts w:hint="eastAsia"/>
                <w:b/>
                <w:bCs/>
                <w:color w:val="auto"/>
                <w:highlight w:val="none"/>
              </w:rPr>
              <w:t>评审标准</w:t>
            </w:r>
          </w:p>
        </w:tc>
      </w:tr>
      <w:tr w14:paraId="6D79974E">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12" w:hRule="atLeast"/>
        </w:trPr>
        <w:tc>
          <w:tcPr>
            <w:tcW w:w="740" w:type="dxa"/>
            <w:vMerge w:val="restart"/>
            <w:tcBorders>
              <w:tl2br w:val="nil"/>
              <w:tr2bl w:val="nil"/>
            </w:tcBorders>
            <w:shd w:val="clear" w:color="auto" w:fill="auto"/>
            <w:tcMar>
              <w:top w:w="15" w:type="dxa"/>
              <w:left w:w="108" w:type="dxa"/>
              <w:bottom w:w="0" w:type="dxa"/>
              <w:right w:w="108" w:type="dxa"/>
            </w:tcMar>
            <w:vAlign w:val="center"/>
          </w:tcPr>
          <w:p w14:paraId="1A1B98C8">
            <w:pPr>
              <w:pStyle w:val="13"/>
              <w:rPr>
                <w:rFonts w:hint="eastAsia"/>
                <w:color w:val="auto"/>
                <w:highlight w:val="none"/>
              </w:rPr>
            </w:pPr>
            <w:r>
              <w:rPr>
                <w:rFonts w:hint="eastAsia"/>
                <w:color w:val="auto"/>
                <w:highlight w:val="none"/>
              </w:rPr>
              <w:t>一</w:t>
            </w:r>
          </w:p>
        </w:tc>
        <w:tc>
          <w:tcPr>
            <w:tcW w:w="1178" w:type="dxa"/>
            <w:vMerge w:val="restart"/>
            <w:tcBorders>
              <w:tl2br w:val="nil"/>
              <w:tr2bl w:val="nil"/>
            </w:tcBorders>
            <w:shd w:val="clear" w:color="auto" w:fill="auto"/>
            <w:tcMar>
              <w:top w:w="15" w:type="dxa"/>
              <w:left w:w="108" w:type="dxa"/>
              <w:bottom w:w="0" w:type="dxa"/>
              <w:right w:w="108" w:type="dxa"/>
            </w:tcMar>
            <w:vAlign w:val="center"/>
          </w:tcPr>
          <w:p w14:paraId="784E1231">
            <w:pPr>
              <w:pStyle w:val="13"/>
              <w:jc w:val="center"/>
              <w:rPr>
                <w:rFonts w:hint="eastAsia"/>
                <w:color w:val="auto"/>
                <w:highlight w:val="none"/>
              </w:rPr>
            </w:pPr>
            <w:r>
              <w:rPr>
                <w:rFonts w:hint="eastAsia"/>
                <w:color w:val="auto"/>
                <w:highlight w:val="none"/>
              </w:rPr>
              <w:t>企业资信（</w:t>
            </w:r>
            <w:r>
              <w:rPr>
                <w:rFonts w:hint="eastAsia"/>
                <w:color w:val="auto"/>
                <w:highlight w:val="none"/>
                <w:lang w:val="en-US" w:eastAsia="zh-CN"/>
              </w:rPr>
              <w:t>30</w:t>
            </w:r>
            <w:r>
              <w:rPr>
                <w:rFonts w:hint="eastAsia"/>
                <w:color w:val="auto"/>
                <w:highlight w:val="none"/>
              </w:rPr>
              <w:t>分）</w:t>
            </w:r>
          </w:p>
        </w:tc>
        <w:tc>
          <w:tcPr>
            <w:tcW w:w="1171" w:type="dxa"/>
            <w:tcBorders>
              <w:tl2br w:val="nil"/>
              <w:tr2bl w:val="nil"/>
            </w:tcBorders>
            <w:shd w:val="clear" w:color="auto" w:fill="auto"/>
            <w:tcMar>
              <w:top w:w="15" w:type="dxa"/>
              <w:left w:w="108" w:type="dxa"/>
              <w:bottom w:w="0" w:type="dxa"/>
              <w:right w:w="108" w:type="dxa"/>
            </w:tcMar>
            <w:vAlign w:val="center"/>
          </w:tcPr>
          <w:p w14:paraId="4A13D101">
            <w:pPr>
              <w:pStyle w:val="13"/>
              <w:jc w:val="center"/>
              <w:rPr>
                <w:rFonts w:hint="eastAsia"/>
                <w:color w:val="auto"/>
                <w:highlight w:val="none"/>
                <w:lang w:val="en-US" w:eastAsia="zh-CN"/>
              </w:rPr>
            </w:pPr>
            <w:r>
              <w:rPr>
                <w:rFonts w:hint="eastAsia"/>
                <w:color w:val="auto"/>
                <w:highlight w:val="none"/>
                <w:lang w:val="en-US" w:eastAsia="zh-CN"/>
              </w:rPr>
              <w:t>企业业绩</w:t>
            </w:r>
          </w:p>
        </w:tc>
        <w:tc>
          <w:tcPr>
            <w:tcW w:w="720" w:type="dxa"/>
            <w:tcBorders>
              <w:tl2br w:val="nil"/>
              <w:tr2bl w:val="nil"/>
            </w:tcBorders>
            <w:shd w:val="clear" w:color="auto" w:fill="auto"/>
            <w:tcMar>
              <w:top w:w="15" w:type="dxa"/>
              <w:left w:w="108" w:type="dxa"/>
              <w:bottom w:w="0" w:type="dxa"/>
              <w:right w:w="108" w:type="dxa"/>
            </w:tcMar>
            <w:vAlign w:val="center"/>
          </w:tcPr>
          <w:p w14:paraId="6460E03D">
            <w:pPr>
              <w:pStyle w:val="13"/>
              <w:jc w:val="center"/>
              <w:rPr>
                <w:rFonts w:hint="default"/>
                <w:color w:val="auto"/>
                <w:highlight w:val="none"/>
                <w:lang w:val="en-US" w:eastAsia="zh-CN"/>
              </w:rPr>
            </w:pPr>
            <w:r>
              <w:rPr>
                <w:rFonts w:hint="eastAsia"/>
                <w:color w:val="auto"/>
                <w:highlight w:val="none"/>
                <w:lang w:val="en-US" w:eastAsia="zh-CN"/>
              </w:rPr>
              <w:t>6</w:t>
            </w:r>
          </w:p>
        </w:tc>
        <w:tc>
          <w:tcPr>
            <w:tcW w:w="10402" w:type="dxa"/>
            <w:tcBorders>
              <w:tl2br w:val="nil"/>
              <w:tr2bl w:val="nil"/>
            </w:tcBorders>
            <w:shd w:val="clear" w:color="auto" w:fill="auto"/>
            <w:tcMar>
              <w:top w:w="15" w:type="dxa"/>
              <w:left w:w="108" w:type="dxa"/>
              <w:bottom w:w="0" w:type="dxa"/>
              <w:right w:w="108" w:type="dxa"/>
            </w:tcMar>
            <w:vAlign w:val="center"/>
          </w:tcPr>
          <w:p w14:paraId="254FAC08">
            <w:pPr>
              <w:pStyle w:val="13"/>
              <w:rPr>
                <w:rFonts w:hint="eastAsia"/>
                <w:color w:val="auto"/>
                <w:highlight w:val="none"/>
              </w:rPr>
            </w:pPr>
            <w:r>
              <w:rPr>
                <w:rFonts w:hint="eastAsia"/>
                <w:color w:val="auto"/>
                <w:highlight w:val="none"/>
              </w:rPr>
              <w:t>20</w:t>
            </w:r>
            <w:r>
              <w:rPr>
                <w:rFonts w:hint="eastAsia"/>
                <w:color w:val="auto"/>
                <w:highlight w:val="none"/>
                <w:lang w:val="en-US" w:eastAsia="zh-CN"/>
              </w:rPr>
              <w:t>21</w:t>
            </w:r>
            <w:r>
              <w:rPr>
                <w:rFonts w:hint="eastAsia"/>
                <w:color w:val="auto"/>
                <w:highlight w:val="none"/>
              </w:rPr>
              <w:t>年1月1日至今，完成过质量合格的类似工程业绩，每项得</w:t>
            </w:r>
            <w:r>
              <w:rPr>
                <w:rFonts w:hint="eastAsia"/>
                <w:color w:val="auto"/>
                <w:highlight w:val="none"/>
                <w:lang w:val="en-US" w:eastAsia="zh-CN"/>
              </w:rPr>
              <w:t>1</w:t>
            </w:r>
            <w:r>
              <w:rPr>
                <w:rFonts w:hint="eastAsia"/>
                <w:color w:val="auto"/>
                <w:highlight w:val="none"/>
              </w:rPr>
              <w:t>分，最高得</w:t>
            </w:r>
            <w:r>
              <w:rPr>
                <w:rFonts w:hint="eastAsia"/>
                <w:color w:val="auto"/>
                <w:highlight w:val="none"/>
                <w:lang w:val="en-US" w:eastAsia="zh-CN"/>
              </w:rPr>
              <w:t>6</w:t>
            </w:r>
            <w:r>
              <w:rPr>
                <w:rFonts w:hint="eastAsia"/>
                <w:color w:val="auto"/>
                <w:highlight w:val="none"/>
              </w:rPr>
              <w:t>分。</w:t>
            </w:r>
          </w:p>
        </w:tc>
      </w:tr>
      <w:tr w14:paraId="607647DB">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377" w:hRule="atLeast"/>
        </w:trPr>
        <w:tc>
          <w:tcPr>
            <w:tcW w:w="740" w:type="dxa"/>
            <w:vMerge w:val="continue"/>
            <w:tcBorders>
              <w:tl2br w:val="nil"/>
              <w:tr2bl w:val="nil"/>
            </w:tcBorders>
            <w:shd w:val="clear" w:color="auto" w:fill="auto"/>
            <w:tcMar>
              <w:top w:w="15" w:type="dxa"/>
              <w:left w:w="108" w:type="dxa"/>
              <w:bottom w:w="0" w:type="dxa"/>
              <w:right w:w="108" w:type="dxa"/>
            </w:tcMar>
            <w:vAlign w:val="center"/>
          </w:tcPr>
          <w:p w14:paraId="4F9AA6B5">
            <w:pPr>
              <w:pStyle w:val="13"/>
              <w:rPr>
                <w:rFonts w:hint="eastAsia"/>
                <w:color w:val="auto"/>
                <w:highlight w:val="none"/>
              </w:rPr>
            </w:pPr>
          </w:p>
        </w:tc>
        <w:tc>
          <w:tcPr>
            <w:tcW w:w="1178" w:type="dxa"/>
            <w:vMerge w:val="continue"/>
            <w:tcBorders>
              <w:tl2br w:val="nil"/>
              <w:tr2bl w:val="nil"/>
            </w:tcBorders>
            <w:shd w:val="clear" w:color="auto" w:fill="auto"/>
            <w:tcMar>
              <w:top w:w="15" w:type="dxa"/>
              <w:left w:w="108" w:type="dxa"/>
              <w:bottom w:w="0" w:type="dxa"/>
              <w:right w:w="108" w:type="dxa"/>
            </w:tcMar>
            <w:vAlign w:val="center"/>
          </w:tcPr>
          <w:p w14:paraId="1CEF92DC">
            <w:pPr>
              <w:pStyle w:val="13"/>
              <w:jc w:val="center"/>
              <w:rPr>
                <w:rFonts w:hint="eastAsia"/>
                <w:color w:val="auto"/>
                <w:highlight w:val="none"/>
              </w:rPr>
            </w:pPr>
          </w:p>
        </w:tc>
        <w:tc>
          <w:tcPr>
            <w:tcW w:w="1171" w:type="dxa"/>
            <w:tcBorders>
              <w:tl2br w:val="nil"/>
              <w:tr2bl w:val="nil"/>
            </w:tcBorders>
            <w:shd w:val="clear" w:color="auto" w:fill="auto"/>
            <w:tcMar>
              <w:top w:w="15" w:type="dxa"/>
              <w:left w:w="108" w:type="dxa"/>
              <w:bottom w:w="0" w:type="dxa"/>
              <w:right w:w="108" w:type="dxa"/>
            </w:tcMar>
            <w:vAlign w:val="center"/>
          </w:tcPr>
          <w:p w14:paraId="2C33F4AC">
            <w:pPr>
              <w:pStyle w:val="13"/>
              <w:jc w:val="center"/>
              <w:rPr>
                <w:rFonts w:hint="default"/>
                <w:color w:val="auto"/>
                <w:highlight w:val="none"/>
                <w:lang w:val="en-US" w:eastAsia="zh-CN"/>
              </w:rPr>
            </w:pPr>
            <w:r>
              <w:rPr>
                <w:rFonts w:hint="eastAsia"/>
                <w:color w:val="auto"/>
                <w:highlight w:val="none"/>
                <w:lang w:val="en-US" w:eastAsia="zh-CN"/>
              </w:rPr>
              <w:t>企业获奖</w:t>
            </w:r>
          </w:p>
        </w:tc>
        <w:tc>
          <w:tcPr>
            <w:tcW w:w="720" w:type="dxa"/>
            <w:tcBorders>
              <w:tl2br w:val="nil"/>
              <w:tr2bl w:val="nil"/>
            </w:tcBorders>
            <w:shd w:val="clear" w:color="auto" w:fill="auto"/>
            <w:tcMar>
              <w:top w:w="15" w:type="dxa"/>
              <w:left w:w="108" w:type="dxa"/>
              <w:bottom w:w="0" w:type="dxa"/>
              <w:right w:w="108" w:type="dxa"/>
            </w:tcMar>
            <w:vAlign w:val="center"/>
          </w:tcPr>
          <w:p w14:paraId="1E954DF5">
            <w:pPr>
              <w:pStyle w:val="13"/>
              <w:jc w:val="center"/>
              <w:rPr>
                <w:rFonts w:hint="default"/>
                <w:color w:val="auto"/>
                <w:highlight w:val="none"/>
                <w:lang w:val="en-US" w:eastAsia="zh-CN"/>
              </w:rPr>
            </w:pPr>
            <w:r>
              <w:rPr>
                <w:rFonts w:hint="eastAsia"/>
                <w:color w:val="auto"/>
                <w:highlight w:val="none"/>
                <w:lang w:val="en-US" w:eastAsia="zh-CN"/>
              </w:rPr>
              <w:t>10</w:t>
            </w:r>
          </w:p>
        </w:tc>
        <w:tc>
          <w:tcPr>
            <w:tcW w:w="10402" w:type="dxa"/>
            <w:tcBorders>
              <w:tl2br w:val="nil"/>
              <w:tr2bl w:val="nil"/>
            </w:tcBorders>
            <w:shd w:val="clear" w:color="auto" w:fill="auto"/>
            <w:tcMar>
              <w:top w:w="15" w:type="dxa"/>
              <w:left w:w="108" w:type="dxa"/>
              <w:bottom w:w="0" w:type="dxa"/>
              <w:right w:w="108" w:type="dxa"/>
            </w:tcMar>
            <w:vAlign w:val="center"/>
          </w:tcPr>
          <w:p w14:paraId="6430D3FF">
            <w:pPr>
              <w:pStyle w:val="13"/>
              <w:rPr>
                <w:rFonts w:hint="default"/>
                <w:color w:val="auto"/>
                <w:highlight w:val="none"/>
                <w:lang w:val="en-US" w:eastAsia="zh-CN"/>
              </w:rPr>
            </w:pPr>
            <w:r>
              <w:rPr>
                <w:rFonts w:hint="eastAsia"/>
                <w:color w:val="auto"/>
                <w:highlight w:val="none"/>
                <w:lang w:val="zh-CN" w:eastAsia="zh-CN"/>
              </w:rPr>
              <w:t>自20</w:t>
            </w:r>
            <w:r>
              <w:rPr>
                <w:rFonts w:hint="eastAsia"/>
                <w:color w:val="auto"/>
                <w:highlight w:val="none"/>
                <w:lang w:val="en-US" w:eastAsia="zh-CN"/>
              </w:rPr>
              <w:t>21</w:t>
            </w:r>
            <w:r>
              <w:rPr>
                <w:rFonts w:hint="eastAsia"/>
                <w:color w:val="auto"/>
                <w:highlight w:val="none"/>
                <w:lang w:val="zh-CN" w:eastAsia="zh-CN"/>
              </w:rPr>
              <w:t>年1月1日至投标截止时间止，投标人完成过的</w:t>
            </w:r>
            <w:r>
              <w:rPr>
                <w:rFonts w:hint="eastAsia"/>
                <w:color w:val="auto"/>
                <w:highlight w:val="none"/>
                <w:lang w:val="en-US" w:eastAsia="zh-CN"/>
              </w:rPr>
              <w:t>建筑工程项目</w:t>
            </w:r>
            <w:r>
              <w:rPr>
                <w:rFonts w:hint="eastAsia"/>
                <w:color w:val="auto"/>
                <w:highlight w:val="none"/>
                <w:lang w:val="zh-CN" w:eastAsia="zh-CN"/>
              </w:rPr>
              <w:t>，获得过国家级工程质量奖的，每项得</w:t>
            </w:r>
            <w:r>
              <w:rPr>
                <w:rFonts w:hint="eastAsia"/>
                <w:color w:val="auto"/>
                <w:highlight w:val="none"/>
                <w:lang w:val="en-US" w:eastAsia="zh-CN"/>
              </w:rPr>
              <w:t>5</w:t>
            </w:r>
            <w:r>
              <w:rPr>
                <w:rFonts w:hint="eastAsia"/>
                <w:color w:val="auto"/>
                <w:highlight w:val="none"/>
                <w:lang w:val="zh-CN" w:eastAsia="zh-CN"/>
              </w:rPr>
              <w:t>分，获得过省级工程质量奖的，每项得</w:t>
            </w:r>
            <w:r>
              <w:rPr>
                <w:rFonts w:hint="eastAsia"/>
                <w:color w:val="auto"/>
                <w:highlight w:val="none"/>
                <w:lang w:val="en-US" w:eastAsia="zh-CN"/>
              </w:rPr>
              <w:t>3</w:t>
            </w:r>
            <w:r>
              <w:rPr>
                <w:rFonts w:hint="eastAsia"/>
                <w:color w:val="auto"/>
                <w:highlight w:val="none"/>
                <w:lang w:val="zh-CN" w:eastAsia="zh-CN"/>
              </w:rPr>
              <w:t>分，获得过市级工程质量奖的，每项得</w:t>
            </w:r>
            <w:r>
              <w:rPr>
                <w:rFonts w:hint="eastAsia"/>
                <w:color w:val="auto"/>
                <w:highlight w:val="none"/>
                <w:lang w:val="en-US" w:eastAsia="zh-CN"/>
              </w:rPr>
              <w:t>1</w:t>
            </w:r>
            <w:r>
              <w:rPr>
                <w:rFonts w:hint="eastAsia"/>
                <w:color w:val="auto"/>
                <w:highlight w:val="none"/>
                <w:lang w:val="zh-CN" w:eastAsia="zh-CN"/>
              </w:rPr>
              <w:t>分，</w:t>
            </w:r>
            <w:r>
              <w:rPr>
                <w:rFonts w:hint="eastAsia"/>
                <w:color w:val="auto"/>
                <w:highlight w:val="none"/>
                <w:lang w:val="en-US" w:eastAsia="zh-CN"/>
              </w:rPr>
              <w:t>本项最高得10分。同一项目多次获得奖项的，只计算最高级别奖项。</w:t>
            </w:r>
          </w:p>
        </w:tc>
      </w:tr>
      <w:tr w14:paraId="1952CFF6">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80" w:hRule="atLeast"/>
        </w:trPr>
        <w:tc>
          <w:tcPr>
            <w:tcW w:w="740" w:type="dxa"/>
            <w:vMerge w:val="continue"/>
            <w:tcBorders>
              <w:tl2br w:val="nil"/>
              <w:tr2bl w:val="nil"/>
            </w:tcBorders>
            <w:shd w:val="clear" w:color="auto" w:fill="auto"/>
            <w:tcMar>
              <w:top w:w="15" w:type="dxa"/>
              <w:left w:w="108" w:type="dxa"/>
              <w:bottom w:w="0" w:type="dxa"/>
              <w:right w:w="108" w:type="dxa"/>
            </w:tcMar>
            <w:vAlign w:val="center"/>
          </w:tcPr>
          <w:p w14:paraId="583D4E01">
            <w:pPr>
              <w:pStyle w:val="13"/>
              <w:rPr>
                <w:rFonts w:hint="eastAsia"/>
                <w:color w:val="auto"/>
                <w:highlight w:val="none"/>
              </w:rPr>
            </w:pPr>
          </w:p>
        </w:tc>
        <w:tc>
          <w:tcPr>
            <w:tcW w:w="1178" w:type="dxa"/>
            <w:vMerge w:val="continue"/>
            <w:tcBorders>
              <w:tl2br w:val="nil"/>
              <w:tr2bl w:val="nil"/>
            </w:tcBorders>
            <w:shd w:val="clear" w:color="auto" w:fill="auto"/>
            <w:tcMar>
              <w:top w:w="15" w:type="dxa"/>
              <w:left w:w="108" w:type="dxa"/>
              <w:bottom w:w="0" w:type="dxa"/>
              <w:right w:w="108" w:type="dxa"/>
            </w:tcMar>
            <w:vAlign w:val="center"/>
          </w:tcPr>
          <w:p w14:paraId="6492DADD">
            <w:pPr>
              <w:pStyle w:val="13"/>
              <w:jc w:val="center"/>
              <w:rPr>
                <w:rFonts w:hint="eastAsia"/>
                <w:color w:val="auto"/>
                <w:highlight w:val="none"/>
              </w:rPr>
            </w:pPr>
          </w:p>
        </w:tc>
        <w:tc>
          <w:tcPr>
            <w:tcW w:w="1171" w:type="dxa"/>
            <w:tcBorders>
              <w:tl2br w:val="nil"/>
              <w:tr2bl w:val="nil"/>
            </w:tcBorders>
            <w:shd w:val="clear" w:color="auto" w:fill="auto"/>
            <w:tcMar>
              <w:top w:w="15" w:type="dxa"/>
              <w:left w:w="108" w:type="dxa"/>
              <w:bottom w:w="0" w:type="dxa"/>
              <w:right w:w="108" w:type="dxa"/>
            </w:tcMar>
            <w:vAlign w:val="center"/>
          </w:tcPr>
          <w:p w14:paraId="4EA2DCB9">
            <w:pPr>
              <w:pStyle w:val="13"/>
              <w:jc w:val="center"/>
              <w:rPr>
                <w:rFonts w:hint="default"/>
                <w:color w:val="auto"/>
                <w:highlight w:val="none"/>
                <w:lang w:val="en-US" w:eastAsia="zh-CN"/>
              </w:rPr>
            </w:pPr>
            <w:r>
              <w:rPr>
                <w:rFonts w:hint="eastAsia"/>
                <w:color w:val="auto"/>
                <w:highlight w:val="none"/>
                <w:lang w:val="en-US" w:eastAsia="zh-CN"/>
              </w:rPr>
              <w:t>工程研发能力</w:t>
            </w:r>
          </w:p>
        </w:tc>
        <w:tc>
          <w:tcPr>
            <w:tcW w:w="720" w:type="dxa"/>
            <w:tcBorders>
              <w:tl2br w:val="nil"/>
              <w:tr2bl w:val="nil"/>
            </w:tcBorders>
            <w:shd w:val="clear" w:color="auto" w:fill="auto"/>
            <w:tcMar>
              <w:top w:w="15" w:type="dxa"/>
              <w:left w:w="108" w:type="dxa"/>
              <w:bottom w:w="0" w:type="dxa"/>
              <w:right w:w="108" w:type="dxa"/>
            </w:tcMar>
            <w:vAlign w:val="center"/>
          </w:tcPr>
          <w:p w14:paraId="4496844F">
            <w:pPr>
              <w:pStyle w:val="13"/>
              <w:jc w:val="center"/>
              <w:rPr>
                <w:rFonts w:hint="default"/>
                <w:color w:val="auto"/>
                <w:highlight w:val="none"/>
                <w:lang w:val="en-US" w:eastAsia="zh-CN"/>
              </w:rPr>
            </w:pPr>
            <w:r>
              <w:rPr>
                <w:rFonts w:hint="eastAsia"/>
                <w:color w:val="auto"/>
                <w:highlight w:val="none"/>
                <w:lang w:val="en-US" w:eastAsia="zh-CN"/>
              </w:rPr>
              <w:t>8</w:t>
            </w:r>
          </w:p>
        </w:tc>
        <w:tc>
          <w:tcPr>
            <w:tcW w:w="10402" w:type="dxa"/>
            <w:tcBorders>
              <w:tl2br w:val="nil"/>
              <w:tr2bl w:val="nil"/>
            </w:tcBorders>
            <w:shd w:val="clear" w:color="auto" w:fill="auto"/>
            <w:tcMar>
              <w:top w:w="15" w:type="dxa"/>
              <w:left w:w="108" w:type="dxa"/>
              <w:bottom w:w="0" w:type="dxa"/>
              <w:right w:w="108" w:type="dxa"/>
            </w:tcMar>
            <w:vAlign w:val="center"/>
          </w:tcPr>
          <w:p w14:paraId="17F985FD">
            <w:pPr>
              <w:pStyle w:val="13"/>
              <w:rPr>
                <w:rFonts w:hint="eastAsia"/>
                <w:color w:val="auto"/>
                <w:highlight w:val="none"/>
                <w:lang w:val="zh-CN" w:eastAsia="zh-CN"/>
              </w:rPr>
            </w:pPr>
            <w:r>
              <w:rPr>
                <w:rFonts w:hint="eastAsia"/>
                <w:color w:val="auto"/>
                <w:highlight w:val="none"/>
                <w:lang w:val="zh-CN" w:eastAsia="zh-CN"/>
              </w:rPr>
              <w:t>投标人近</w:t>
            </w:r>
            <w:r>
              <w:rPr>
                <w:rFonts w:hint="eastAsia"/>
                <w:color w:val="auto"/>
                <w:highlight w:val="none"/>
                <w:lang w:val="en-US" w:eastAsia="zh-CN"/>
              </w:rPr>
              <w:t>3</w:t>
            </w:r>
            <w:r>
              <w:rPr>
                <w:rFonts w:hint="eastAsia"/>
                <w:color w:val="auto"/>
                <w:highlight w:val="none"/>
                <w:lang w:val="zh-CN" w:eastAsia="zh-CN"/>
              </w:rPr>
              <w:t>届获得过国务院颁发的“国家科学技术进步奖”</w:t>
            </w:r>
            <w:r>
              <w:rPr>
                <w:rFonts w:hint="eastAsia"/>
                <w:color w:val="auto"/>
                <w:highlight w:val="none"/>
                <w:lang w:val="en-US" w:eastAsia="zh-CN"/>
              </w:rPr>
              <w:t>或</w:t>
            </w:r>
            <w:r>
              <w:rPr>
                <w:rFonts w:hint="eastAsia"/>
                <w:color w:val="auto"/>
                <w:highlight w:val="none"/>
                <w:lang w:val="zh-CN" w:eastAsia="zh-CN"/>
              </w:rPr>
              <w:t>省级人民政府颁发的“科学技术进步奖”的得</w:t>
            </w:r>
            <w:r>
              <w:rPr>
                <w:rFonts w:hint="eastAsia"/>
                <w:color w:val="auto"/>
                <w:highlight w:val="none"/>
                <w:lang w:val="en-US" w:eastAsia="zh-CN"/>
              </w:rPr>
              <w:t>8</w:t>
            </w:r>
            <w:r>
              <w:rPr>
                <w:rFonts w:hint="eastAsia"/>
                <w:color w:val="auto"/>
                <w:highlight w:val="none"/>
                <w:lang w:val="zh-CN" w:eastAsia="zh-CN"/>
              </w:rPr>
              <w:t>分；其他情况不得分。</w:t>
            </w:r>
          </w:p>
        </w:tc>
      </w:tr>
      <w:tr w14:paraId="7C028507">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46" w:hRule="atLeast"/>
        </w:trPr>
        <w:tc>
          <w:tcPr>
            <w:tcW w:w="740" w:type="dxa"/>
            <w:vMerge w:val="continue"/>
            <w:tcBorders>
              <w:tl2br w:val="nil"/>
              <w:tr2bl w:val="nil"/>
            </w:tcBorders>
            <w:shd w:val="clear" w:color="auto" w:fill="auto"/>
            <w:tcMar>
              <w:top w:w="15" w:type="dxa"/>
              <w:left w:w="108" w:type="dxa"/>
              <w:bottom w:w="0" w:type="dxa"/>
              <w:right w:w="108" w:type="dxa"/>
            </w:tcMar>
            <w:vAlign w:val="center"/>
          </w:tcPr>
          <w:p w14:paraId="32908728">
            <w:pPr>
              <w:pStyle w:val="13"/>
              <w:rPr>
                <w:rFonts w:hint="eastAsia"/>
                <w:color w:val="auto"/>
                <w:highlight w:val="none"/>
              </w:rPr>
            </w:pPr>
          </w:p>
        </w:tc>
        <w:tc>
          <w:tcPr>
            <w:tcW w:w="1178" w:type="dxa"/>
            <w:vMerge w:val="continue"/>
            <w:tcBorders>
              <w:tl2br w:val="nil"/>
              <w:tr2bl w:val="nil"/>
            </w:tcBorders>
            <w:shd w:val="clear" w:color="auto" w:fill="auto"/>
            <w:tcMar>
              <w:top w:w="15" w:type="dxa"/>
              <w:left w:w="108" w:type="dxa"/>
              <w:bottom w:w="0" w:type="dxa"/>
              <w:right w:w="108" w:type="dxa"/>
            </w:tcMar>
            <w:vAlign w:val="center"/>
          </w:tcPr>
          <w:p w14:paraId="25571446">
            <w:pPr>
              <w:pStyle w:val="13"/>
              <w:jc w:val="center"/>
              <w:rPr>
                <w:rFonts w:hint="eastAsia"/>
                <w:color w:val="auto"/>
                <w:highlight w:val="none"/>
              </w:rPr>
            </w:pPr>
          </w:p>
        </w:tc>
        <w:tc>
          <w:tcPr>
            <w:tcW w:w="1171" w:type="dxa"/>
            <w:tcBorders>
              <w:tl2br w:val="nil"/>
              <w:tr2bl w:val="nil"/>
            </w:tcBorders>
            <w:shd w:val="clear" w:color="auto" w:fill="auto"/>
            <w:tcMar>
              <w:top w:w="15" w:type="dxa"/>
              <w:left w:w="108" w:type="dxa"/>
              <w:bottom w:w="0" w:type="dxa"/>
              <w:right w:w="108" w:type="dxa"/>
            </w:tcMar>
            <w:vAlign w:val="center"/>
          </w:tcPr>
          <w:p w14:paraId="5EFA07C8">
            <w:pPr>
              <w:pStyle w:val="13"/>
              <w:jc w:val="center"/>
              <w:rPr>
                <w:rFonts w:hint="eastAsia"/>
                <w:color w:val="auto"/>
                <w:highlight w:val="none"/>
                <w:lang w:val="en-US" w:eastAsia="zh-CN"/>
              </w:rPr>
            </w:pPr>
            <w:r>
              <w:rPr>
                <w:rFonts w:hint="eastAsia"/>
                <w:color w:val="auto"/>
                <w:highlight w:val="none"/>
                <w:lang w:val="en-US" w:eastAsia="zh-CN"/>
              </w:rPr>
              <w:t>第三方评价</w:t>
            </w:r>
          </w:p>
        </w:tc>
        <w:tc>
          <w:tcPr>
            <w:tcW w:w="720" w:type="dxa"/>
            <w:tcBorders>
              <w:tl2br w:val="nil"/>
              <w:tr2bl w:val="nil"/>
            </w:tcBorders>
            <w:shd w:val="clear" w:color="auto" w:fill="auto"/>
            <w:tcMar>
              <w:top w:w="15" w:type="dxa"/>
              <w:left w:w="108" w:type="dxa"/>
              <w:bottom w:w="0" w:type="dxa"/>
              <w:right w:w="108" w:type="dxa"/>
            </w:tcMar>
            <w:vAlign w:val="center"/>
          </w:tcPr>
          <w:p w14:paraId="121D5618">
            <w:pPr>
              <w:pStyle w:val="13"/>
              <w:jc w:val="center"/>
              <w:rPr>
                <w:rFonts w:hint="eastAsia"/>
                <w:color w:val="auto"/>
                <w:highlight w:val="none"/>
                <w:lang w:val="en-US" w:eastAsia="zh-CN"/>
              </w:rPr>
            </w:pPr>
            <w:r>
              <w:rPr>
                <w:rFonts w:hint="eastAsia"/>
                <w:color w:val="auto"/>
                <w:highlight w:val="none"/>
                <w:lang w:val="en-US" w:eastAsia="zh-CN"/>
              </w:rPr>
              <w:t>6</w:t>
            </w:r>
          </w:p>
        </w:tc>
        <w:tc>
          <w:tcPr>
            <w:tcW w:w="10402" w:type="dxa"/>
            <w:tcBorders>
              <w:tl2br w:val="nil"/>
              <w:tr2bl w:val="nil"/>
            </w:tcBorders>
            <w:shd w:val="clear" w:color="auto" w:fill="auto"/>
            <w:tcMar>
              <w:top w:w="15" w:type="dxa"/>
              <w:left w:w="108" w:type="dxa"/>
              <w:bottom w:w="0" w:type="dxa"/>
              <w:right w:w="108" w:type="dxa"/>
            </w:tcMar>
            <w:vAlign w:val="center"/>
          </w:tcPr>
          <w:p w14:paraId="23B75544">
            <w:pPr>
              <w:pStyle w:val="13"/>
              <w:rPr>
                <w:rFonts w:hint="eastAsia"/>
                <w:color w:val="auto"/>
                <w:highlight w:val="none"/>
                <w:lang w:val="zh-CN" w:eastAsia="zh-CN"/>
              </w:rPr>
            </w:pPr>
            <w:r>
              <w:rPr>
                <w:rFonts w:hint="eastAsia"/>
                <w:color w:val="auto"/>
                <w:highlight w:val="none"/>
                <w:lang w:val="en-US" w:eastAsia="zh-CN"/>
              </w:rPr>
              <w:t>投标人同时具有在有效期内的质量管理体系认证证书、职业健康安全管理体系认证证书、环境管理体系认证证书的，得6分。每少一项，扣3分，最低扣至0分。本项最高得6分。</w:t>
            </w:r>
          </w:p>
        </w:tc>
      </w:tr>
      <w:tr w14:paraId="464A85DA">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740" w:type="dxa"/>
            <w:vMerge w:val="restart"/>
            <w:tcBorders>
              <w:tl2br w:val="nil"/>
              <w:tr2bl w:val="nil"/>
            </w:tcBorders>
            <w:vAlign w:val="center"/>
          </w:tcPr>
          <w:p w14:paraId="0DB390BB">
            <w:pPr>
              <w:pStyle w:val="13"/>
              <w:rPr>
                <w:rFonts w:hint="eastAsia"/>
                <w:color w:val="auto"/>
                <w:highlight w:val="none"/>
              </w:rPr>
            </w:pPr>
            <w:r>
              <w:rPr>
                <w:rFonts w:hint="eastAsia"/>
                <w:color w:val="auto"/>
                <w:highlight w:val="none"/>
              </w:rPr>
              <w:t>二</w:t>
            </w:r>
          </w:p>
        </w:tc>
        <w:tc>
          <w:tcPr>
            <w:tcW w:w="1178" w:type="dxa"/>
            <w:vMerge w:val="restart"/>
            <w:tcBorders>
              <w:tl2br w:val="nil"/>
              <w:tr2bl w:val="nil"/>
            </w:tcBorders>
            <w:vAlign w:val="center"/>
          </w:tcPr>
          <w:p w14:paraId="72F593D9">
            <w:pPr>
              <w:pStyle w:val="13"/>
              <w:jc w:val="center"/>
              <w:rPr>
                <w:rFonts w:hint="eastAsia"/>
                <w:color w:val="auto"/>
                <w:highlight w:val="none"/>
              </w:rPr>
            </w:pPr>
            <w:r>
              <w:rPr>
                <w:rFonts w:hint="eastAsia"/>
                <w:color w:val="auto"/>
                <w:highlight w:val="none"/>
              </w:rPr>
              <w:t>项目管理机构能力</w:t>
            </w:r>
          </w:p>
          <w:p w14:paraId="19F4F8E0">
            <w:pPr>
              <w:pStyle w:val="13"/>
              <w:jc w:val="center"/>
              <w:rPr>
                <w:rFonts w:hint="eastAsia"/>
                <w:color w:val="auto"/>
                <w:highlight w:val="none"/>
              </w:rPr>
            </w:pPr>
            <w:r>
              <w:rPr>
                <w:rFonts w:hint="eastAsia"/>
                <w:color w:val="auto"/>
                <w:highlight w:val="none"/>
              </w:rPr>
              <w:t>（</w:t>
            </w:r>
            <w:r>
              <w:rPr>
                <w:rFonts w:hint="eastAsia"/>
                <w:color w:val="auto"/>
                <w:highlight w:val="none"/>
                <w:lang w:val="en-US" w:eastAsia="zh-CN"/>
              </w:rPr>
              <w:t>15</w:t>
            </w:r>
            <w:r>
              <w:rPr>
                <w:rFonts w:hint="eastAsia"/>
                <w:color w:val="auto"/>
                <w:highlight w:val="none"/>
              </w:rPr>
              <w:t>分）</w:t>
            </w:r>
          </w:p>
        </w:tc>
        <w:tc>
          <w:tcPr>
            <w:tcW w:w="1171" w:type="dxa"/>
            <w:tcBorders>
              <w:tl2br w:val="nil"/>
              <w:tr2bl w:val="nil"/>
            </w:tcBorders>
            <w:vAlign w:val="center"/>
          </w:tcPr>
          <w:p w14:paraId="228120CD">
            <w:pPr>
              <w:pStyle w:val="13"/>
              <w:jc w:val="center"/>
              <w:rPr>
                <w:rFonts w:hint="eastAsia"/>
                <w:color w:val="auto"/>
                <w:highlight w:val="none"/>
                <w:lang w:val="en-US" w:eastAsia="zh-CN"/>
              </w:rPr>
            </w:pPr>
            <w:r>
              <w:rPr>
                <w:rFonts w:hint="eastAsia"/>
                <w:color w:val="auto"/>
                <w:highlight w:val="none"/>
                <w:lang w:val="en-US" w:eastAsia="zh-CN"/>
              </w:rPr>
              <w:t>项目负责人</w:t>
            </w:r>
          </w:p>
        </w:tc>
        <w:tc>
          <w:tcPr>
            <w:tcW w:w="720" w:type="dxa"/>
            <w:tcBorders>
              <w:tl2br w:val="nil"/>
              <w:tr2bl w:val="nil"/>
            </w:tcBorders>
            <w:vAlign w:val="center"/>
          </w:tcPr>
          <w:p w14:paraId="5D737EE2">
            <w:pPr>
              <w:pStyle w:val="13"/>
              <w:jc w:val="center"/>
              <w:rPr>
                <w:rFonts w:hint="eastAsia"/>
                <w:color w:val="auto"/>
                <w:highlight w:val="none"/>
                <w:lang w:val="en-US" w:eastAsia="zh-CN"/>
              </w:rPr>
            </w:pPr>
            <w:r>
              <w:rPr>
                <w:rFonts w:hint="eastAsia"/>
                <w:color w:val="auto"/>
                <w:highlight w:val="none"/>
                <w:lang w:val="en-US" w:eastAsia="zh-CN"/>
              </w:rPr>
              <w:t>4</w:t>
            </w:r>
          </w:p>
        </w:tc>
        <w:tc>
          <w:tcPr>
            <w:tcW w:w="10402" w:type="dxa"/>
            <w:tcBorders>
              <w:tl2br w:val="nil"/>
              <w:tr2bl w:val="nil"/>
            </w:tcBorders>
            <w:shd w:val="clear" w:color="auto" w:fill="auto"/>
            <w:tcMar>
              <w:top w:w="15" w:type="dxa"/>
              <w:left w:w="108" w:type="dxa"/>
              <w:bottom w:w="0" w:type="dxa"/>
              <w:right w:w="108" w:type="dxa"/>
            </w:tcMar>
            <w:vAlign w:val="center"/>
          </w:tcPr>
          <w:p w14:paraId="54EC717E">
            <w:pPr>
              <w:pStyle w:val="13"/>
              <w:rPr>
                <w:rFonts w:hint="default"/>
                <w:color w:val="auto"/>
                <w:highlight w:val="none"/>
                <w:lang w:val="en-US" w:eastAsia="zh-CN"/>
              </w:rPr>
            </w:pPr>
            <w:r>
              <w:rPr>
                <w:rFonts w:hint="eastAsia"/>
                <w:color w:val="auto"/>
                <w:highlight w:val="none"/>
                <w:lang w:val="en-US" w:eastAsia="zh-CN"/>
              </w:rPr>
              <w:t>①</w:t>
            </w:r>
            <w:r>
              <w:rPr>
                <w:rFonts w:hint="eastAsia"/>
                <w:color w:val="auto"/>
                <w:highlight w:val="none"/>
              </w:rPr>
              <w:t>取得</w:t>
            </w:r>
            <w:r>
              <w:rPr>
                <w:rFonts w:hint="eastAsia"/>
                <w:color w:val="auto"/>
                <w:highlight w:val="none"/>
                <w:lang w:val="en-US" w:eastAsia="zh-CN"/>
              </w:rPr>
              <w:t>建筑工程类专业高级（或以上）技术职称的，得2分；</w:t>
            </w:r>
            <w:r>
              <w:rPr>
                <w:rFonts w:hint="eastAsia"/>
                <w:color w:val="auto"/>
                <w:highlight w:val="none"/>
              </w:rPr>
              <w:t>取得</w:t>
            </w:r>
            <w:r>
              <w:rPr>
                <w:rFonts w:hint="eastAsia"/>
                <w:color w:val="auto"/>
                <w:highlight w:val="none"/>
                <w:lang w:val="en-US" w:eastAsia="zh-CN"/>
              </w:rPr>
              <w:t>建筑工程类专业中级技术职称的，得1分；未提供不得分。</w:t>
            </w:r>
          </w:p>
          <w:p w14:paraId="2AF3C56C">
            <w:pPr>
              <w:pStyle w:val="13"/>
              <w:rPr>
                <w:rFonts w:hint="default"/>
                <w:color w:val="auto"/>
                <w:highlight w:val="none"/>
                <w:lang w:val="en-US" w:eastAsia="zh-CN"/>
              </w:rPr>
            </w:pPr>
            <w:r>
              <w:rPr>
                <w:rFonts w:hint="eastAsia"/>
                <w:color w:val="auto"/>
                <w:highlight w:val="none"/>
                <w:lang w:val="en-US" w:eastAsia="zh-CN"/>
              </w:rPr>
              <w:t>②工作经验大于10年（含10年）的，得2分；工作经验10年以下的，得1分。</w:t>
            </w:r>
          </w:p>
        </w:tc>
      </w:tr>
      <w:tr w14:paraId="30B2E5B8">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339" w:hRule="atLeast"/>
        </w:trPr>
        <w:tc>
          <w:tcPr>
            <w:tcW w:w="740" w:type="dxa"/>
            <w:vMerge w:val="continue"/>
            <w:tcBorders>
              <w:tl2br w:val="nil"/>
              <w:tr2bl w:val="nil"/>
            </w:tcBorders>
            <w:vAlign w:val="center"/>
          </w:tcPr>
          <w:p w14:paraId="504432CF">
            <w:pPr>
              <w:pStyle w:val="13"/>
              <w:rPr>
                <w:rFonts w:hint="eastAsia"/>
                <w:color w:val="auto"/>
                <w:highlight w:val="none"/>
              </w:rPr>
            </w:pPr>
          </w:p>
        </w:tc>
        <w:tc>
          <w:tcPr>
            <w:tcW w:w="1178" w:type="dxa"/>
            <w:vMerge w:val="continue"/>
            <w:tcBorders>
              <w:tl2br w:val="nil"/>
              <w:tr2bl w:val="nil"/>
            </w:tcBorders>
            <w:vAlign w:val="center"/>
          </w:tcPr>
          <w:p w14:paraId="1DEC1C6A">
            <w:pPr>
              <w:pStyle w:val="13"/>
              <w:jc w:val="center"/>
              <w:rPr>
                <w:rFonts w:hint="eastAsia"/>
                <w:color w:val="auto"/>
                <w:highlight w:val="none"/>
              </w:rPr>
            </w:pPr>
          </w:p>
        </w:tc>
        <w:tc>
          <w:tcPr>
            <w:tcW w:w="1171" w:type="dxa"/>
            <w:tcBorders>
              <w:tl2br w:val="nil"/>
              <w:tr2bl w:val="nil"/>
            </w:tcBorders>
            <w:vAlign w:val="center"/>
          </w:tcPr>
          <w:p w14:paraId="261FE934">
            <w:pPr>
              <w:pStyle w:val="13"/>
              <w:jc w:val="center"/>
              <w:rPr>
                <w:rFonts w:hint="default"/>
                <w:color w:val="auto"/>
                <w:highlight w:val="none"/>
                <w:lang w:val="en-US" w:eastAsia="zh-CN"/>
              </w:rPr>
            </w:pPr>
            <w:r>
              <w:rPr>
                <w:rFonts w:hint="eastAsia"/>
                <w:color w:val="auto"/>
                <w:highlight w:val="none"/>
                <w:lang w:val="en-US" w:eastAsia="zh-CN"/>
              </w:rPr>
              <w:t>技术负责人</w:t>
            </w:r>
          </w:p>
        </w:tc>
        <w:tc>
          <w:tcPr>
            <w:tcW w:w="720" w:type="dxa"/>
            <w:tcBorders>
              <w:tl2br w:val="nil"/>
              <w:tr2bl w:val="nil"/>
            </w:tcBorders>
            <w:vAlign w:val="center"/>
          </w:tcPr>
          <w:p w14:paraId="74BC0CD8">
            <w:pPr>
              <w:pStyle w:val="13"/>
              <w:jc w:val="center"/>
              <w:rPr>
                <w:rFonts w:hint="eastAsia"/>
                <w:color w:val="auto"/>
                <w:highlight w:val="none"/>
                <w:lang w:val="en-US" w:eastAsia="zh-CN"/>
              </w:rPr>
            </w:pPr>
            <w:r>
              <w:rPr>
                <w:rFonts w:hint="eastAsia"/>
                <w:color w:val="auto"/>
                <w:highlight w:val="none"/>
                <w:lang w:val="en-US" w:eastAsia="zh-CN"/>
              </w:rPr>
              <w:t>2</w:t>
            </w:r>
          </w:p>
        </w:tc>
        <w:tc>
          <w:tcPr>
            <w:tcW w:w="10402" w:type="dxa"/>
            <w:tcBorders>
              <w:tl2br w:val="nil"/>
              <w:tr2bl w:val="nil"/>
            </w:tcBorders>
            <w:shd w:val="clear" w:color="auto" w:fill="auto"/>
            <w:tcMar>
              <w:top w:w="15" w:type="dxa"/>
              <w:left w:w="108" w:type="dxa"/>
              <w:bottom w:w="0" w:type="dxa"/>
              <w:right w:w="108" w:type="dxa"/>
            </w:tcMar>
            <w:vAlign w:val="center"/>
          </w:tcPr>
          <w:p w14:paraId="39E7697F">
            <w:pPr>
              <w:pStyle w:val="13"/>
              <w:rPr>
                <w:rFonts w:hint="default"/>
                <w:color w:val="auto"/>
                <w:highlight w:val="none"/>
                <w:lang w:val="en-US" w:eastAsia="zh-CN"/>
              </w:rPr>
            </w:pPr>
            <w:r>
              <w:rPr>
                <w:rFonts w:hint="eastAsia"/>
                <w:color w:val="auto"/>
                <w:highlight w:val="none"/>
                <w:lang w:val="en-US" w:eastAsia="zh-CN"/>
              </w:rPr>
              <w:t>①</w:t>
            </w:r>
            <w:r>
              <w:rPr>
                <w:rFonts w:hint="eastAsia"/>
                <w:color w:val="auto"/>
                <w:highlight w:val="none"/>
              </w:rPr>
              <w:t>取得</w:t>
            </w:r>
            <w:r>
              <w:rPr>
                <w:rFonts w:hint="eastAsia"/>
                <w:color w:val="auto"/>
                <w:highlight w:val="none"/>
                <w:lang w:val="en-US" w:eastAsia="zh-CN"/>
              </w:rPr>
              <w:t>建筑工程类专业高级（或以上）技术职称的，得1分；未提供不得分。</w:t>
            </w:r>
          </w:p>
          <w:p w14:paraId="5703A473">
            <w:pPr>
              <w:pStyle w:val="13"/>
              <w:rPr>
                <w:rFonts w:hint="eastAsia"/>
                <w:color w:val="auto"/>
                <w:highlight w:val="none"/>
              </w:rPr>
            </w:pPr>
            <w:r>
              <w:rPr>
                <w:rFonts w:hint="eastAsia"/>
                <w:color w:val="auto"/>
                <w:highlight w:val="none"/>
                <w:lang w:val="en-US" w:eastAsia="zh-CN"/>
              </w:rPr>
              <w:t>②工作经验大于10年（含10年）的，得1分；工作经验10年以下的，得0.5分。</w:t>
            </w:r>
          </w:p>
        </w:tc>
      </w:tr>
      <w:tr w14:paraId="32924CCE">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155" w:hRule="atLeast"/>
        </w:trPr>
        <w:tc>
          <w:tcPr>
            <w:tcW w:w="740" w:type="dxa"/>
            <w:vMerge w:val="continue"/>
            <w:tcBorders>
              <w:tl2br w:val="nil"/>
              <w:tr2bl w:val="nil"/>
            </w:tcBorders>
            <w:vAlign w:val="center"/>
          </w:tcPr>
          <w:p w14:paraId="27FD189E">
            <w:pPr>
              <w:pStyle w:val="13"/>
              <w:rPr>
                <w:rFonts w:hint="eastAsia"/>
                <w:color w:val="auto"/>
                <w:highlight w:val="none"/>
              </w:rPr>
            </w:pPr>
          </w:p>
        </w:tc>
        <w:tc>
          <w:tcPr>
            <w:tcW w:w="1178" w:type="dxa"/>
            <w:vMerge w:val="continue"/>
            <w:tcBorders>
              <w:tl2br w:val="nil"/>
              <w:tr2bl w:val="nil"/>
            </w:tcBorders>
            <w:vAlign w:val="center"/>
          </w:tcPr>
          <w:p w14:paraId="7BAFE9BC">
            <w:pPr>
              <w:pStyle w:val="13"/>
              <w:jc w:val="center"/>
              <w:rPr>
                <w:rFonts w:hint="eastAsia"/>
                <w:color w:val="auto"/>
                <w:highlight w:val="none"/>
              </w:rPr>
            </w:pPr>
          </w:p>
        </w:tc>
        <w:tc>
          <w:tcPr>
            <w:tcW w:w="1171" w:type="dxa"/>
            <w:tcBorders>
              <w:tl2br w:val="nil"/>
              <w:tr2bl w:val="nil"/>
            </w:tcBorders>
            <w:vAlign w:val="center"/>
          </w:tcPr>
          <w:p w14:paraId="2EC685CE">
            <w:pPr>
              <w:pStyle w:val="13"/>
              <w:jc w:val="center"/>
              <w:rPr>
                <w:rFonts w:hint="default"/>
                <w:color w:val="auto"/>
                <w:highlight w:val="none"/>
                <w:lang w:val="en-US" w:eastAsia="zh-CN"/>
              </w:rPr>
            </w:pPr>
            <w:r>
              <w:rPr>
                <w:rFonts w:hint="eastAsia"/>
                <w:color w:val="auto"/>
                <w:highlight w:val="none"/>
                <w:lang w:val="en-US" w:eastAsia="zh-CN"/>
              </w:rPr>
              <w:t>质量负责人</w:t>
            </w:r>
          </w:p>
        </w:tc>
        <w:tc>
          <w:tcPr>
            <w:tcW w:w="720" w:type="dxa"/>
            <w:tcBorders>
              <w:tl2br w:val="nil"/>
              <w:tr2bl w:val="nil"/>
            </w:tcBorders>
            <w:vAlign w:val="center"/>
          </w:tcPr>
          <w:p w14:paraId="731055A7">
            <w:pPr>
              <w:pStyle w:val="13"/>
              <w:jc w:val="center"/>
              <w:rPr>
                <w:rFonts w:hint="eastAsia"/>
                <w:color w:val="auto"/>
                <w:highlight w:val="none"/>
                <w:lang w:val="en-US" w:eastAsia="zh-CN"/>
              </w:rPr>
            </w:pPr>
            <w:r>
              <w:rPr>
                <w:rFonts w:hint="eastAsia"/>
                <w:color w:val="auto"/>
                <w:highlight w:val="none"/>
                <w:lang w:val="en-US" w:eastAsia="zh-CN"/>
              </w:rPr>
              <w:t>2</w:t>
            </w:r>
          </w:p>
        </w:tc>
        <w:tc>
          <w:tcPr>
            <w:tcW w:w="10402" w:type="dxa"/>
            <w:tcBorders>
              <w:tl2br w:val="nil"/>
              <w:tr2bl w:val="nil"/>
            </w:tcBorders>
            <w:shd w:val="clear" w:color="auto" w:fill="auto"/>
            <w:tcMar>
              <w:top w:w="15" w:type="dxa"/>
              <w:left w:w="108" w:type="dxa"/>
              <w:bottom w:w="0" w:type="dxa"/>
              <w:right w:w="108" w:type="dxa"/>
            </w:tcMar>
            <w:vAlign w:val="center"/>
          </w:tcPr>
          <w:p w14:paraId="3E6A9924">
            <w:pPr>
              <w:pStyle w:val="13"/>
              <w:rPr>
                <w:rFonts w:hint="default"/>
                <w:color w:val="auto"/>
                <w:highlight w:val="none"/>
                <w:lang w:val="en-US" w:eastAsia="zh-CN"/>
              </w:rPr>
            </w:pPr>
            <w:r>
              <w:rPr>
                <w:rFonts w:hint="eastAsia"/>
                <w:color w:val="auto"/>
                <w:highlight w:val="none"/>
                <w:lang w:val="en-US" w:eastAsia="zh-CN"/>
              </w:rPr>
              <w:t>①</w:t>
            </w:r>
            <w:r>
              <w:rPr>
                <w:rFonts w:hint="eastAsia"/>
                <w:color w:val="auto"/>
                <w:highlight w:val="none"/>
              </w:rPr>
              <w:t>取得</w:t>
            </w:r>
            <w:r>
              <w:rPr>
                <w:rFonts w:hint="eastAsia"/>
                <w:color w:val="auto"/>
                <w:highlight w:val="none"/>
                <w:lang w:val="en-US" w:eastAsia="zh-CN"/>
              </w:rPr>
              <w:t>建筑工程类专业高级（或以上）技术职称的，得1分；</w:t>
            </w:r>
            <w:r>
              <w:rPr>
                <w:rFonts w:hint="eastAsia"/>
                <w:color w:val="auto"/>
                <w:highlight w:val="none"/>
              </w:rPr>
              <w:t>取得</w:t>
            </w:r>
            <w:r>
              <w:rPr>
                <w:rFonts w:hint="eastAsia"/>
                <w:color w:val="auto"/>
                <w:highlight w:val="none"/>
                <w:lang w:val="en-US" w:eastAsia="zh-CN"/>
              </w:rPr>
              <w:t>建筑工程类专业中级技术职称的，得0.5分；未提供不得分。</w:t>
            </w:r>
          </w:p>
          <w:p w14:paraId="26878BDE">
            <w:pPr>
              <w:pStyle w:val="13"/>
              <w:rPr>
                <w:rFonts w:hint="eastAsia"/>
                <w:color w:val="auto"/>
                <w:highlight w:val="none"/>
              </w:rPr>
            </w:pPr>
            <w:r>
              <w:rPr>
                <w:rFonts w:hint="eastAsia"/>
                <w:color w:val="auto"/>
                <w:highlight w:val="none"/>
                <w:lang w:val="en-US" w:eastAsia="zh-CN"/>
              </w:rPr>
              <w:t>②工作经验大于10年（含10年）的，得1分；工作经验10年以下的，得0.5分。</w:t>
            </w:r>
          </w:p>
        </w:tc>
      </w:tr>
      <w:tr w14:paraId="40FCDAF7">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576" w:hRule="atLeast"/>
        </w:trPr>
        <w:tc>
          <w:tcPr>
            <w:tcW w:w="740" w:type="dxa"/>
            <w:vMerge w:val="continue"/>
            <w:tcBorders>
              <w:tl2br w:val="nil"/>
              <w:tr2bl w:val="nil"/>
            </w:tcBorders>
            <w:vAlign w:val="center"/>
          </w:tcPr>
          <w:p w14:paraId="3B6AAAE4">
            <w:pPr>
              <w:pStyle w:val="13"/>
              <w:rPr>
                <w:rFonts w:hint="eastAsia"/>
                <w:color w:val="auto"/>
                <w:highlight w:val="none"/>
              </w:rPr>
            </w:pPr>
          </w:p>
        </w:tc>
        <w:tc>
          <w:tcPr>
            <w:tcW w:w="1178" w:type="dxa"/>
            <w:vMerge w:val="continue"/>
            <w:tcBorders>
              <w:tl2br w:val="nil"/>
              <w:tr2bl w:val="nil"/>
            </w:tcBorders>
            <w:vAlign w:val="center"/>
          </w:tcPr>
          <w:p w14:paraId="355B4FD5">
            <w:pPr>
              <w:pStyle w:val="13"/>
              <w:jc w:val="center"/>
              <w:rPr>
                <w:rFonts w:hint="eastAsia"/>
                <w:color w:val="auto"/>
                <w:highlight w:val="none"/>
              </w:rPr>
            </w:pPr>
          </w:p>
        </w:tc>
        <w:tc>
          <w:tcPr>
            <w:tcW w:w="1171" w:type="dxa"/>
            <w:tcBorders>
              <w:tl2br w:val="nil"/>
              <w:tr2bl w:val="nil"/>
            </w:tcBorders>
            <w:vAlign w:val="center"/>
          </w:tcPr>
          <w:p w14:paraId="2895226C">
            <w:pPr>
              <w:pStyle w:val="13"/>
              <w:jc w:val="center"/>
              <w:rPr>
                <w:rFonts w:hint="eastAsia"/>
                <w:color w:val="auto"/>
                <w:highlight w:val="none"/>
                <w:lang w:val="en-US" w:eastAsia="zh-CN"/>
              </w:rPr>
            </w:pPr>
            <w:r>
              <w:rPr>
                <w:rFonts w:hint="eastAsia"/>
                <w:color w:val="auto"/>
                <w:highlight w:val="none"/>
                <w:lang w:val="en-US" w:eastAsia="zh-CN"/>
              </w:rPr>
              <w:t>安全负责人</w:t>
            </w:r>
          </w:p>
        </w:tc>
        <w:tc>
          <w:tcPr>
            <w:tcW w:w="720" w:type="dxa"/>
            <w:tcBorders>
              <w:tl2br w:val="nil"/>
              <w:tr2bl w:val="nil"/>
            </w:tcBorders>
            <w:vAlign w:val="center"/>
          </w:tcPr>
          <w:p w14:paraId="61268137">
            <w:pPr>
              <w:pStyle w:val="13"/>
              <w:jc w:val="center"/>
              <w:rPr>
                <w:rFonts w:hint="default"/>
                <w:color w:val="auto"/>
                <w:highlight w:val="none"/>
                <w:lang w:val="en-US" w:eastAsia="zh-CN"/>
              </w:rPr>
            </w:pPr>
            <w:r>
              <w:rPr>
                <w:rFonts w:hint="eastAsia"/>
                <w:color w:val="auto"/>
                <w:highlight w:val="none"/>
                <w:lang w:val="en-US" w:eastAsia="zh-CN"/>
              </w:rPr>
              <w:t>2</w:t>
            </w:r>
          </w:p>
        </w:tc>
        <w:tc>
          <w:tcPr>
            <w:tcW w:w="10402" w:type="dxa"/>
            <w:tcBorders>
              <w:tl2br w:val="nil"/>
              <w:tr2bl w:val="nil"/>
            </w:tcBorders>
            <w:shd w:val="clear" w:color="auto" w:fill="auto"/>
            <w:tcMar>
              <w:top w:w="15" w:type="dxa"/>
              <w:left w:w="108" w:type="dxa"/>
              <w:bottom w:w="0" w:type="dxa"/>
              <w:right w:w="108" w:type="dxa"/>
            </w:tcMar>
            <w:vAlign w:val="center"/>
          </w:tcPr>
          <w:p w14:paraId="03A2407E">
            <w:pPr>
              <w:pStyle w:val="13"/>
              <w:rPr>
                <w:rFonts w:hint="default"/>
                <w:color w:val="auto"/>
                <w:highlight w:val="none"/>
                <w:lang w:val="en-US" w:eastAsia="zh-CN"/>
              </w:rPr>
            </w:pPr>
            <w:r>
              <w:rPr>
                <w:rFonts w:hint="eastAsia"/>
                <w:color w:val="auto"/>
                <w:highlight w:val="none"/>
                <w:lang w:val="en-US" w:eastAsia="zh-CN"/>
              </w:rPr>
              <w:t>①</w:t>
            </w:r>
            <w:r>
              <w:rPr>
                <w:rFonts w:hint="eastAsia"/>
                <w:color w:val="auto"/>
                <w:highlight w:val="none"/>
              </w:rPr>
              <w:t>取得</w:t>
            </w:r>
            <w:r>
              <w:rPr>
                <w:rFonts w:hint="eastAsia"/>
                <w:color w:val="auto"/>
                <w:highlight w:val="none"/>
                <w:lang w:val="en-US" w:eastAsia="zh-CN"/>
              </w:rPr>
              <w:t>建筑工程类专业高级（或以上）技术职称的，得1分；</w:t>
            </w:r>
            <w:r>
              <w:rPr>
                <w:rFonts w:hint="eastAsia"/>
                <w:color w:val="auto"/>
                <w:highlight w:val="none"/>
              </w:rPr>
              <w:t>取得</w:t>
            </w:r>
            <w:r>
              <w:rPr>
                <w:rFonts w:hint="eastAsia"/>
                <w:color w:val="auto"/>
                <w:highlight w:val="none"/>
                <w:lang w:val="en-US" w:eastAsia="zh-CN"/>
              </w:rPr>
              <w:t>建筑工程类专业中级技术职称的，得0.5分；未提供不得分。</w:t>
            </w:r>
          </w:p>
          <w:p w14:paraId="29D0835C">
            <w:pPr>
              <w:pStyle w:val="13"/>
              <w:rPr>
                <w:rFonts w:hint="eastAsia"/>
                <w:color w:val="auto"/>
                <w:highlight w:val="none"/>
                <w:lang w:val="en-US" w:eastAsia="zh-CN"/>
              </w:rPr>
            </w:pPr>
            <w:r>
              <w:rPr>
                <w:rFonts w:hint="eastAsia"/>
                <w:color w:val="auto"/>
                <w:highlight w:val="none"/>
                <w:lang w:val="en-US" w:eastAsia="zh-CN"/>
              </w:rPr>
              <w:t>②</w:t>
            </w:r>
            <w:r>
              <w:rPr>
                <w:rFonts w:hint="eastAsia"/>
                <w:color w:val="auto"/>
                <w:highlight w:val="none"/>
              </w:rPr>
              <w:t>具有注册安全工程师的，得</w:t>
            </w:r>
            <w:r>
              <w:rPr>
                <w:rFonts w:hint="eastAsia"/>
                <w:color w:val="auto"/>
                <w:highlight w:val="none"/>
                <w:lang w:val="en-US" w:eastAsia="zh-CN"/>
              </w:rPr>
              <w:t>1</w:t>
            </w:r>
            <w:r>
              <w:rPr>
                <w:rFonts w:hint="eastAsia"/>
                <w:color w:val="auto"/>
                <w:highlight w:val="none"/>
              </w:rPr>
              <w:t>分；</w:t>
            </w:r>
          </w:p>
        </w:tc>
      </w:tr>
      <w:tr w14:paraId="602A76F4">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740" w:type="dxa"/>
            <w:vMerge w:val="continue"/>
            <w:tcBorders>
              <w:tl2br w:val="nil"/>
              <w:tr2bl w:val="nil"/>
            </w:tcBorders>
            <w:vAlign w:val="center"/>
          </w:tcPr>
          <w:p w14:paraId="76E46767">
            <w:pPr>
              <w:pStyle w:val="13"/>
              <w:rPr>
                <w:rFonts w:hint="eastAsia"/>
                <w:color w:val="auto"/>
                <w:highlight w:val="none"/>
              </w:rPr>
            </w:pPr>
          </w:p>
        </w:tc>
        <w:tc>
          <w:tcPr>
            <w:tcW w:w="1178" w:type="dxa"/>
            <w:vMerge w:val="continue"/>
            <w:tcBorders>
              <w:tl2br w:val="nil"/>
              <w:tr2bl w:val="nil"/>
            </w:tcBorders>
            <w:vAlign w:val="center"/>
          </w:tcPr>
          <w:p w14:paraId="22763AB8">
            <w:pPr>
              <w:pStyle w:val="13"/>
              <w:jc w:val="center"/>
              <w:rPr>
                <w:rFonts w:hint="eastAsia"/>
                <w:color w:val="auto"/>
                <w:highlight w:val="none"/>
              </w:rPr>
            </w:pPr>
          </w:p>
        </w:tc>
        <w:tc>
          <w:tcPr>
            <w:tcW w:w="1171" w:type="dxa"/>
            <w:tcBorders>
              <w:tl2br w:val="nil"/>
              <w:tr2bl w:val="nil"/>
            </w:tcBorders>
            <w:vAlign w:val="center"/>
          </w:tcPr>
          <w:p w14:paraId="18D0338D">
            <w:pPr>
              <w:pStyle w:val="13"/>
              <w:jc w:val="center"/>
              <w:rPr>
                <w:rFonts w:hint="default"/>
                <w:color w:val="auto"/>
                <w:highlight w:val="none"/>
                <w:lang w:val="en-US" w:eastAsia="zh-CN"/>
              </w:rPr>
            </w:pPr>
            <w:r>
              <w:rPr>
                <w:rFonts w:hint="eastAsia"/>
                <w:color w:val="auto"/>
                <w:highlight w:val="none"/>
                <w:lang w:val="en-US" w:eastAsia="zh-CN"/>
              </w:rPr>
              <w:t>造价负责人</w:t>
            </w:r>
          </w:p>
        </w:tc>
        <w:tc>
          <w:tcPr>
            <w:tcW w:w="720" w:type="dxa"/>
            <w:tcBorders>
              <w:tl2br w:val="nil"/>
              <w:tr2bl w:val="nil"/>
            </w:tcBorders>
            <w:vAlign w:val="center"/>
          </w:tcPr>
          <w:p w14:paraId="0E3D153E">
            <w:pPr>
              <w:pStyle w:val="13"/>
              <w:jc w:val="center"/>
              <w:rPr>
                <w:rFonts w:hint="default"/>
                <w:color w:val="auto"/>
                <w:highlight w:val="none"/>
                <w:lang w:val="en-US" w:eastAsia="zh-CN"/>
              </w:rPr>
            </w:pPr>
            <w:r>
              <w:rPr>
                <w:rFonts w:hint="eastAsia"/>
                <w:color w:val="auto"/>
                <w:highlight w:val="none"/>
                <w:lang w:val="en-US" w:eastAsia="zh-CN"/>
              </w:rPr>
              <w:t>2</w:t>
            </w:r>
          </w:p>
        </w:tc>
        <w:tc>
          <w:tcPr>
            <w:tcW w:w="10402" w:type="dxa"/>
            <w:tcBorders>
              <w:tl2br w:val="nil"/>
              <w:tr2bl w:val="nil"/>
            </w:tcBorders>
            <w:shd w:val="clear" w:color="auto" w:fill="auto"/>
            <w:tcMar>
              <w:top w:w="15" w:type="dxa"/>
              <w:left w:w="108" w:type="dxa"/>
              <w:bottom w:w="0" w:type="dxa"/>
              <w:right w:w="108" w:type="dxa"/>
            </w:tcMar>
            <w:vAlign w:val="center"/>
          </w:tcPr>
          <w:p w14:paraId="17FDFC87">
            <w:pPr>
              <w:pStyle w:val="13"/>
              <w:rPr>
                <w:rFonts w:hint="eastAsia"/>
                <w:color w:val="auto"/>
                <w:highlight w:val="none"/>
                <w:lang w:val="en-US" w:eastAsia="zh-CN"/>
              </w:rPr>
            </w:pPr>
            <w:r>
              <w:rPr>
                <w:rFonts w:hint="eastAsia"/>
                <w:color w:val="auto"/>
                <w:highlight w:val="none"/>
                <w:lang w:val="en-US" w:eastAsia="zh-CN"/>
              </w:rPr>
              <w:t>①取得造价类相关专业高级（或以上）技术职称的，得1分；取得造价类中级技术职称的，得0.5分；未提供不得分。</w:t>
            </w:r>
          </w:p>
          <w:p w14:paraId="12C3E5CD">
            <w:pPr>
              <w:pStyle w:val="13"/>
              <w:rPr>
                <w:rFonts w:hint="eastAsia"/>
                <w:color w:val="auto"/>
                <w:highlight w:val="none"/>
                <w:lang w:val="en-US" w:eastAsia="zh-CN"/>
              </w:rPr>
            </w:pPr>
            <w:r>
              <w:rPr>
                <w:rFonts w:hint="eastAsia"/>
                <w:color w:val="auto"/>
                <w:highlight w:val="none"/>
                <w:lang w:val="en-US" w:eastAsia="zh-CN"/>
              </w:rPr>
              <w:t>②具有一级注册造价工程师（土建专业）资格证书，并在本单位注册，得1分；其余不得分。</w:t>
            </w:r>
          </w:p>
        </w:tc>
      </w:tr>
      <w:tr w14:paraId="110513D2">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740" w:type="dxa"/>
            <w:vMerge w:val="continue"/>
            <w:tcBorders>
              <w:tl2br w:val="nil"/>
              <w:tr2bl w:val="nil"/>
            </w:tcBorders>
            <w:vAlign w:val="center"/>
          </w:tcPr>
          <w:p w14:paraId="66AFE3D0">
            <w:pPr>
              <w:pStyle w:val="13"/>
              <w:rPr>
                <w:rFonts w:hint="eastAsia"/>
                <w:color w:val="auto"/>
                <w:highlight w:val="none"/>
              </w:rPr>
            </w:pPr>
          </w:p>
        </w:tc>
        <w:tc>
          <w:tcPr>
            <w:tcW w:w="1178" w:type="dxa"/>
            <w:vMerge w:val="continue"/>
            <w:tcBorders>
              <w:tl2br w:val="nil"/>
              <w:tr2bl w:val="nil"/>
            </w:tcBorders>
            <w:vAlign w:val="center"/>
          </w:tcPr>
          <w:p w14:paraId="6EC97DA5">
            <w:pPr>
              <w:pStyle w:val="13"/>
              <w:jc w:val="center"/>
              <w:rPr>
                <w:rFonts w:hint="eastAsia"/>
                <w:color w:val="auto"/>
                <w:highlight w:val="none"/>
              </w:rPr>
            </w:pPr>
          </w:p>
        </w:tc>
        <w:tc>
          <w:tcPr>
            <w:tcW w:w="1171" w:type="dxa"/>
            <w:tcBorders>
              <w:tl2br w:val="nil"/>
              <w:tr2bl w:val="nil"/>
            </w:tcBorders>
            <w:vAlign w:val="center"/>
          </w:tcPr>
          <w:p w14:paraId="2938785D">
            <w:pPr>
              <w:pStyle w:val="13"/>
              <w:jc w:val="center"/>
              <w:rPr>
                <w:rFonts w:hint="default"/>
                <w:color w:val="auto"/>
                <w:highlight w:val="none"/>
                <w:lang w:val="en-US" w:eastAsia="zh-CN"/>
              </w:rPr>
            </w:pPr>
            <w:r>
              <w:rPr>
                <w:rFonts w:hint="eastAsia"/>
                <w:color w:val="auto"/>
                <w:highlight w:val="none"/>
                <w:lang w:val="en-US" w:eastAsia="zh-CN"/>
              </w:rPr>
              <w:t>其他拟投入人员</w:t>
            </w:r>
          </w:p>
        </w:tc>
        <w:tc>
          <w:tcPr>
            <w:tcW w:w="720" w:type="dxa"/>
            <w:tcBorders>
              <w:tl2br w:val="nil"/>
              <w:tr2bl w:val="nil"/>
            </w:tcBorders>
            <w:vAlign w:val="center"/>
          </w:tcPr>
          <w:p w14:paraId="26E8947B">
            <w:pPr>
              <w:pStyle w:val="13"/>
              <w:jc w:val="center"/>
              <w:rPr>
                <w:rFonts w:hint="default"/>
                <w:color w:val="auto"/>
                <w:highlight w:val="none"/>
                <w:lang w:val="en-US" w:eastAsia="zh-CN"/>
              </w:rPr>
            </w:pPr>
            <w:r>
              <w:rPr>
                <w:rFonts w:hint="eastAsia"/>
                <w:color w:val="auto"/>
                <w:highlight w:val="none"/>
                <w:lang w:val="en-US" w:eastAsia="zh-CN"/>
              </w:rPr>
              <w:t>3</w:t>
            </w:r>
          </w:p>
        </w:tc>
        <w:tc>
          <w:tcPr>
            <w:tcW w:w="10402" w:type="dxa"/>
            <w:tcBorders>
              <w:tl2br w:val="nil"/>
              <w:tr2bl w:val="nil"/>
            </w:tcBorders>
            <w:shd w:val="clear" w:color="auto" w:fill="auto"/>
            <w:tcMar>
              <w:top w:w="15" w:type="dxa"/>
              <w:left w:w="108" w:type="dxa"/>
              <w:bottom w:w="0" w:type="dxa"/>
              <w:right w:w="108" w:type="dxa"/>
            </w:tcMar>
            <w:vAlign w:val="center"/>
          </w:tcPr>
          <w:p w14:paraId="3ECB82AB">
            <w:pPr>
              <w:pStyle w:val="13"/>
              <w:rPr>
                <w:rFonts w:hint="eastAsia"/>
                <w:color w:val="auto"/>
                <w:highlight w:val="none"/>
                <w:lang w:val="en-US" w:eastAsia="zh-CN"/>
              </w:rPr>
            </w:pPr>
            <w:r>
              <w:rPr>
                <w:rFonts w:hint="eastAsia"/>
                <w:color w:val="auto"/>
                <w:highlight w:val="none"/>
                <w:lang w:val="en-US" w:eastAsia="zh-CN"/>
              </w:rPr>
              <w:t>除项目负责人、技术负责人、质量负责人、安全负责人、造价负责人外，拟投入其他人员：</w:t>
            </w:r>
          </w:p>
          <w:p w14:paraId="1C7C10BA">
            <w:pPr>
              <w:pStyle w:val="13"/>
              <w:rPr>
                <w:rFonts w:hint="default"/>
                <w:color w:val="auto"/>
                <w:highlight w:val="none"/>
                <w:lang w:val="en-US" w:eastAsia="zh-CN"/>
              </w:rPr>
            </w:pPr>
            <w:r>
              <w:rPr>
                <w:rFonts w:hint="eastAsia"/>
                <w:color w:val="auto"/>
                <w:highlight w:val="none"/>
                <w:lang w:val="en-US" w:eastAsia="zh-CN"/>
              </w:rPr>
              <w:t>具有工程类专业高级（或以上）技术职称的，每人得1分，最多得3分；未提供不得分。</w:t>
            </w:r>
          </w:p>
        </w:tc>
      </w:tr>
      <w:tr w14:paraId="7C41C1E8">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740" w:type="dxa"/>
            <w:tcBorders>
              <w:tl2br w:val="nil"/>
              <w:tr2bl w:val="nil"/>
            </w:tcBorders>
            <w:vAlign w:val="center"/>
          </w:tcPr>
          <w:p w14:paraId="624E8DEE">
            <w:pPr>
              <w:pStyle w:val="13"/>
              <w:rPr>
                <w:rFonts w:hint="eastAsia"/>
                <w:color w:val="auto"/>
                <w:highlight w:val="none"/>
                <w:lang w:val="en-US" w:eastAsia="zh-CN"/>
              </w:rPr>
            </w:pPr>
            <w:r>
              <w:rPr>
                <w:rFonts w:hint="eastAsia"/>
                <w:color w:val="auto"/>
                <w:highlight w:val="none"/>
                <w:lang w:val="en-US" w:eastAsia="zh-CN"/>
              </w:rPr>
              <w:t>三</w:t>
            </w:r>
          </w:p>
        </w:tc>
        <w:tc>
          <w:tcPr>
            <w:tcW w:w="2349" w:type="dxa"/>
            <w:gridSpan w:val="2"/>
            <w:tcBorders>
              <w:tl2br w:val="nil"/>
              <w:tr2bl w:val="nil"/>
            </w:tcBorders>
            <w:vAlign w:val="center"/>
          </w:tcPr>
          <w:p w14:paraId="0179E99B">
            <w:pPr>
              <w:pStyle w:val="13"/>
              <w:jc w:val="center"/>
              <w:rPr>
                <w:rFonts w:hint="eastAsia"/>
                <w:color w:val="auto"/>
                <w:highlight w:val="none"/>
                <w:lang w:val="en-US" w:eastAsia="zh-CN"/>
              </w:rPr>
            </w:pPr>
            <w:r>
              <w:rPr>
                <w:rFonts w:hint="eastAsia"/>
                <w:color w:val="auto"/>
                <w:highlight w:val="none"/>
                <w:lang w:val="en-US" w:eastAsia="zh-CN"/>
              </w:rPr>
              <w:t>项目管理班组答辩</w:t>
            </w:r>
          </w:p>
          <w:p w14:paraId="46220F28">
            <w:pPr>
              <w:pStyle w:val="13"/>
              <w:jc w:val="center"/>
              <w:rPr>
                <w:rFonts w:hint="eastAsia"/>
                <w:color w:val="auto"/>
                <w:highlight w:val="none"/>
                <w:lang w:val="en-US" w:eastAsia="zh-CN"/>
              </w:rPr>
            </w:pPr>
            <w:r>
              <w:rPr>
                <w:rFonts w:hint="eastAsia"/>
                <w:color w:val="auto"/>
                <w:highlight w:val="none"/>
                <w:lang w:val="en-US" w:eastAsia="zh-CN"/>
              </w:rPr>
              <w:t>（30分）</w:t>
            </w:r>
          </w:p>
        </w:tc>
        <w:tc>
          <w:tcPr>
            <w:tcW w:w="720" w:type="dxa"/>
            <w:tcBorders>
              <w:tl2br w:val="nil"/>
              <w:tr2bl w:val="nil"/>
            </w:tcBorders>
            <w:vAlign w:val="center"/>
          </w:tcPr>
          <w:p w14:paraId="3582668B">
            <w:pPr>
              <w:pStyle w:val="13"/>
              <w:jc w:val="center"/>
              <w:rPr>
                <w:rFonts w:hint="default"/>
                <w:color w:val="auto"/>
                <w:highlight w:val="none"/>
                <w:lang w:val="en-US" w:eastAsia="zh-CN"/>
              </w:rPr>
            </w:pPr>
            <w:r>
              <w:rPr>
                <w:rFonts w:hint="eastAsia"/>
                <w:color w:val="auto"/>
                <w:highlight w:val="none"/>
                <w:lang w:val="en-US" w:eastAsia="zh-CN"/>
              </w:rPr>
              <w:t>30</w:t>
            </w:r>
          </w:p>
        </w:tc>
        <w:tc>
          <w:tcPr>
            <w:tcW w:w="10402" w:type="dxa"/>
            <w:tcBorders>
              <w:tl2br w:val="nil"/>
              <w:tr2bl w:val="nil"/>
            </w:tcBorders>
            <w:shd w:val="clear" w:color="auto" w:fill="auto"/>
            <w:tcMar>
              <w:top w:w="15" w:type="dxa"/>
              <w:left w:w="108" w:type="dxa"/>
              <w:bottom w:w="0" w:type="dxa"/>
              <w:right w:w="108" w:type="dxa"/>
            </w:tcMar>
            <w:vAlign w:val="center"/>
          </w:tcPr>
          <w:p w14:paraId="473A92B4">
            <w:pPr>
              <w:pStyle w:val="13"/>
              <w:rPr>
                <w:rFonts w:hint="eastAsia"/>
                <w:color w:val="auto"/>
                <w:highlight w:val="none"/>
                <w:lang w:val="en-US" w:eastAsia="zh-CN"/>
              </w:rPr>
            </w:pPr>
            <w:r>
              <w:rPr>
                <w:rFonts w:hint="eastAsia"/>
                <w:color w:val="auto"/>
                <w:highlight w:val="none"/>
                <w:lang w:val="en-US" w:eastAsia="zh-CN"/>
              </w:rPr>
              <w:t>项目负责人就本工程内容从以下方面进行陈述:</w:t>
            </w:r>
          </w:p>
          <w:p w14:paraId="22D6424E">
            <w:pPr>
              <w:pStyle w:val="13"/>
              <w:rPr>
                <w:rFonts w:hint="eastAsia"/>
                <w:color w:val="auto"/>
                <w:highlight w:val="none"/>
                <w:lang w:val="en-US" w:eastAsia="zh-CN"/>
              </w:rPr>
            </w:pPr>
            <w:r>
              <w:rPr>
                <w:rFonts w:hint="eastAsia"/>
                <w:color w:val="auto"/>
                <w:highlight w:val="none"/>
                <w:lang w:val="en-US" w:eastAsia="zh-CN"/>
              </w:rPr>
              <w:t>①对参与投标项目的了解情况；</w:t>
            </w:r>
          </w:p>
          <w:p w14:paraId="40485B65">
            <w:pPr>
              <w:pStyle w:val="13"/>
              <w:rPr>
                <w:rFonts w:hint="eastAsia"/>
                <w:color w:val="auto"/>
                <w:highlight w:val="none"/>
                <w:lang w:val="en-US" w:eastAsia="zh-CN"/>
              </w:rPr>
            </w:pPr>
            <w:r>
              <w:rPr>
                <w:rFonts w:hint="eastAsia"/>
                <w:color w:val="auto"/>
                <w:highlight w:val="none"/>
                <w:lang w:val="en-US" w:eastAsia="zh-CN"/>
              </w:rPr>
              <w:t>②项目施工的重点、难点分析及应对措施（包括1.各种资源的组织和配置；2.施工总平面布置，包括各种临时设施的布置；3.质量、进度、安全绿色施工控制）；</w:t>
            </w:r>
          </w:p>
          <w:p w14:paraId="56D8D5BD">
            <w:pPr>
              <w:pStyle w:val="13"/>
              <w:rPr>
                <w:rFonts w:hint="eastAsia"/>
                <w:color w:val="auto"/>
                <w:highlight w:val="none"/>
                <w:lang w:val="en-US" w:eastAsia="zh-CN"/>
              </w:rPr>
            </w:pPr>
            <w:r>
              <w:rPr>
                <w:rFonts w:hint="eastAsia"/>
                <w:color w:val="auto"/>
                <w:highlight w:val="none"/>
                <w:lang w:val="en-US" w:eastAsia="zh-CN"/>
              </w:rPr>
              <w:t>③对工程质量、工程总工期的全面掌控，保证工程保质量保工期完工。</w:t>
            </w:r>
          </w:p>
          <w:p w14:paraId="0FBE8AFC">
            <w:pPr>
              <w:pStyle w:val="13"/>
              <w:rPr>
                <w:rFonts w:hint="eastAsia"/>
                <w:color w:val="auto"/>
                <w:highlight w:val="none"/>
                <w:lang w:val="en-US" w:eastAsia="zh-CN"/>
              </w:rPr>
            </w:pPr>
            <w:r>
              <w:rPr>
                <w:rFonts w:hint="eastAsia"/>
                <w:color w:val="auto"/>
                <w:highlight w:val="none"/>
                <w:lang w:val="en-US" w:eastAsia="zh-CN"/>
              </w:rPr>
              <w:t>解答:评委针对其陈述内容及投标文件所提的相关问题。横向比较各投标人的答辩情况:</w:t>
            </w:r>
          </w:p>
          <w:p w14:paraId="685EB8AE">
            <w:pPr>
              <w:pStyle w:val="13"/>
              <w:rPr>
                <w:rFonts w:hint="eastAsia"/>
                <w:color w:val="auto"/>
                <w:highlight w:val="none"/>
                <w:lang w:val="en-US" w:eastAsia="zh-CN"/>
              </w:rPr>
            </w:pPr>
            <w:r>
              <w:rPr>
                <w:rFonts w:hint="eastAsia"/>
                <w:color w:val="auto"/>
                <w:highlight w:val="none"/>
                <w:lang w:eastAsia="zh-CN"/>
              </w:rPr>
              <w:t>【优】</w:t>
            </w:r>
            <w:r>
              <w:rPr>
                <w:rFonts w:hint="eastAsia"/>
                <w:color w:val="auto"/>
                <w:highlight w:val="none"/>
                <w:lang w:val="en-US" w:eastAsia="zh-CN"/>
              </w:rPr>
              <w:t>掌握项目情况认识清晰、对施工的重点、难点认识深刻、有应对措施，对工程质量和工期的保证合理可行；回答评委提问思路清晰内容准确。(24，30]分</w:t>
            </w:r>
          </w:p>
          <w:p w14:paraId="6D6CF4FF">
            <w:pPr>
              <w:pStyle w:val="13"/>
              <w:rPr>
                <w:rFonts w:hint="eastAsia"/>
                <w:color w:val="auto"/>
                <w:highlight w:val="none"/>
                <w:lang w:val="en-US" w:eastAsia="zh-CN"/>
              </w:rPr>
            </w:pPr>
            <w:r>
              <w:rPr>
                <w:rFonts w:hint="eastAsia"/>
                <w:color w:val="auto"/>
                <w:highlight w:val="none"/>
                <w:lang w:eastAsia="zh-CN"/>
              </w:rPr>
              <w:t>【良】</w:t>
            </w:r>
            <w:r>
              <w:rPr>
                <w:rFonts w:hint="eastAsia"/>
                <w:color w:val="auto"/>
                <w:highlight w:val="none"/>
                <w:lang w:val="en-US" w:eastAsia="zh-CN"/>
              </w:rPr>
              <w:t>掌握项目情况认识比较清晰、对施工的重点、难点认识比较深刻、有应对措施，对工程质量和工期的保证比较合理可行；回答评委提问思路比较清晰、内容比较准确。(18，24]分</w:t>
            </w:r>
          </w:p>
          <w:p w14:paraId="29FCFCC4">
            <w:pPr>
              <w:pStyle w:val="13"/>
              <w:rPr>
                <w:rFonts w:hint="eastAsia"/>
                <w:color w:val="auto"/>
                <w:highlight w:val="none"/>
                <w:lang w:val="en-US" w:eastAsia="zh-CN"/>
              </w:rPr>
            </w:pPr>
            <w:r>
              <w:rPr>
                <w:rFonts w:hint="eastAsia"/>
                <w:color w:val="auto"/>
                <w:highlight w:val="none"/>
                <w:lang w:eastAsia="zh-CN"/>
              </w:rPr>
              <w:t>【中】</w:t>
            </w:r>
            <w:r>
              <w:rPr>
                <w:rFonts w:hint="eastAsia"/>
                <w:color w:val="auto"/>
                <w:highlight w:val="none"/>
                <w:lang w:val="en-US" w:eastAsia="zh-CN"/>
              </w:rPr>
              <w:t>掌握项目情况认识基本清晰、对施工的重点、难点认识基本深刻、有应对措施，对工程质量和工期的保证基本合理可行；回答评委提问思路基本清晰、内容基本准确。(12，18]分</w:t>
            </w:r>
          </w:p>
          <w:p w14:paraId="20510950">
            <w:pPr>
              <w:pStyle w:val="13"/>
              <w:rPr>
                <w:rFonts w:hint="eastAsia"/>
                <w:color w:val="auto"/>
                <w:highlight w:val="none"/>
                <w:lang w:val="en-US" w:eastAsia="zh-CN"/>
              </w:rPr>
            </w:pPr>
            <w:r>
              <w:rPr>
                <w:rFonts w:hint="eastAsia"/>
                <w:color w:val="auto"/>
                <w:highlight w:val="none"/>
                <w:lang w:eastAsia="zh-CN"/>
              </w:rPr>
              <w:t>【差】</w:t>
            </w:r>
            <w:r>
              <w:rPr>
                <w:rFonts w:hint="eastAsia"/>
                <w:color w:val="auto"/>
                <w:highlight w:val="none"/>
                <w:lang w:val="en-US" w:eastAsia="zh-CN"/>
              </w:rPr>
              <w:t>掌握项目情况认识一般、对施工的重点、难点认识一般、有应对措施,对工程质量和工期的保证一般；回答评委提问思路一般清晰、内容准确一般。（0，12]</w:t>
            </w:r>
          </w:p>
          <w:p w14:paraId="7B8F1FAB">
            <w:pPr>
              <w:pStyle w:val="13"/>
              <w:rPr>
                <w:rFonts w:hint="default"/>
                <w:color w:val="auto"/>
                <w:highlight w:val="none"/>
                <w:lang w:val="en-US" w:eastAsia="zh-CN"/>
              </w:rPr>
            </w:pPr>
            <w:r>
              <w:rPr>
                <w:rFonts w:hint="eastAsia"/>
                <w:color w:val="auto"/>
                <w:highlight w:val="none"/>
                <w:lang w:val="en-US" w:eastAsia="zh-CN"/>
              </w:rPr>
              <w:t>项目负责人不参与答辩不得分。</w:t>
            </w:r>
          </w:p>
        </w:tc>
      </w:tr>
      <w:tr w14:paraId="5D7E0220">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604" w:hRule="atLeast"/>
        </w:trPr>
        <w:tc>
          <w:tcPr>
            <w:tcW w:w="740" w:type="dxa"/>
            <w:vMerge w:val="restart"/>
            <w:tcBorders>
              <w:tl2br w:val="nil"/>
              <w:tr2bl w:val="nil"/>
            </w:tcBorders>
            <w:vAlign w:val="center"/>
          </w:tcPr>
          <w:p w14:paraId="549BBE93">
            <w:pPr>
              <w:pStyle w:val="13"/>
              <w:rPr>
                <w:rFonts w:hint="eastAsia"/>
                <w:color w:val="auto"/>
                <w:highlight w:val="none"/>
              </w:rPr>
            </w:pPr>
            <w:r>
              <w:rPr>
                <w:rFonts w:hint="eastAsia"/>
                <w:color w:val="auto"/>
                <w:highlight w:val="none"/>
              </w:rPr>
              <w:t>三</w:t>
            </w:r>
          </w:p>
        </w:tc>
        <w:tc>
          <w:tcPr>
            <w:tcW w:w="1178" w:type="dxa"/>
            <w:vMerge w:val="restart"/>
            <w:tcBorders>
              <w:tl2br w:val="nil"/>
              <w:tr2bl w:val="nil"/>
            </w:tcBorders>
            <w:vAlign w:val="center"/>
          </w:tcPr>
          <w:p w14:paraId="4C097E5C">
            <w:pPr>
              <w:pStyle w:val="13"/>
              <w:jc w:val="center"/>
              <w:rPr>
                <w:rFonts w:hint="eastAsia"/>
                <w:color w:val="auto"/>
                <w:highlight w:val="none"/>
              </w:rPr>
            </w:pPr>
            <w:r>
              <w:rPr>
                <w:rFonts w:hint="eastAsia"/>
                <w:color w:val="auto"/>
                <w:highlight w:val="none"/>
              </w:rPr>
              <w:t>组织施工设计</w:t>
            </w:r>
          </w:p>
          <w:p w14:paraId="7DB8FC02">
            <w:pPr>
              <w:pStyle w:val="13"/>
              <w:jc w:val="center"/>
              <w:rPr>
                <w:rFonts w:hint="eastAsia"/>
                <w:color w:val="auto"/>
                <w:highlight w:val="none"/>
              </w:rPr>
            </w:pPr>
            <w:r>
              <w:rPr>
                <w:rFonts w:hint="eastAsia"/>
                <w:color w:val="auto"/>
                <w:highlight w:val="none"/>
                <w:lang w:val="en-US" w:eastAsia="zh-CN"/>
              </w:rPr>
              <w:t>（25分）</w:t>
            </w:r>
          </w:p>
        </w:tc>
        <w:tc>
          <w:tcPr>
            <w:tcW w:w="1171" w:type="dxa"/>
            <w:tcBorders>
              <w:tl2br w:val="nil"/>
              <w:tr2bl w:val="nil"/>
            </w:tcBorders>
            <w:vAlign w:val="center"/>
          </w:tcPr>
          <w:p w14:paraId="582CA907">
            <w:pPr>
              <w:pStyle w:val="13"/>
              <w:jc w:val="center"/>
              <w:rPr>
                <w:rFonts w:hint="default"/>
                <w:color w:val="auto"/>
                <w:highlight w:val="none"/>
                <w:lang w:val="en-US" w:eastAsia="zh-CN"/>
              </w:rPr>
            </w:pPr>
            <w:r>
              <w:rPr>
                <w:rFonts w:hint="eastAsia"/>
                <w:color w:val="auto"/>
                <w:highlight w:val="none"/>
                <w:lang w:val="en-US" w:eastAsia="zh-CN"/>
              </w:rPr>
              <w:t>施工组织设计与技术措施</w:t>
            </w:r>
          </w:p>
        </w:tc>
        <w:tc>
          <w:tcPr>
            <w:tcW w:w="720" w:type="dxa"/>
            <w:tcBorders>
              <w:tl2br w:val="nil"/>
              <w:tr2bl w:val="nil"/>
            </w:tcBorders>
            <w:vAlign w:val="center"/>
          </w:tcPr>
          <w:p w14:paraId="4F06A20F">
            <w:pPr>
              <w:pStyle w:val="13"/>
              <w:jc w:val="center"/>
              <w:rPr>
                <w:rFonts w:hint="default"/>
                <w:color w:val="auto"/>
                <w:highlight w:val="none"/>
                <w:lang w:val="en-US" w:eastAsia="zh-CN"/>
              </w:rPr>
            </w:pPr>
            <w:r>
              <w:rPr>
                <w:rFonts w:hint="eastAsia"/>
                <w:color w:val="auto"/>
                <w:highlight w:val="none"/>
                <w:lang w:val="en-US" w:eastAsia="zh-CN"/>
              </w:rPr>
              <w:t>10</w:t>
            </w:r>
          </w:p>
        </w:tc>
        <w:tc>
          <w:tcPr>
            <w:tcW w:w="10402" w:type="dxa"/>
            <w:tcBorders>
              <w:tl2br w:val="nil"/>
              <w:tr2bl w:val="nil"/>
            </w:tcBorders>
            <w:shd w:val="clear" w:color="auto" w:fill="auto"/>
            <w:tcMar>
              <w:top w:w="15" w:type="dxa"/>
              <w:left w:w="108" w:type="dxa"/>
              <w:bottom w:w="0" w:type="dxa"/>
              <w:right w:w="108" w:type="dxa"/>
            </w:tcMar>
            <w:vAlign w:val="center"/>
          </w:tcPr>
          <w:p w14:paraId="47104FE6">
            <w:pPr>
              <w:pStyle w:val="13"/>
              <w:rPr>
                <w:rFonts w:hint="eastAsia" w:ascii="宋体" w:eastAsia="宋体" w:cs="Times New Roman"/>
                <w:color w:val="auto"/>
                <w:highlight w:val="none"/>
                <w:lang w:val="en-US" w:eastAsia="zh-CN"/>
              </w:rPr>
            </w:pPr>
            <w:r>
              <w:rPr>
                <w:rFonts w:hint="eastAsia"/>
                <w:color w:val="auto"/>
                <w:highlight w:val="none"/>
                <w:lang w:val="en-US" w:eastAsia="zh-CN"/>
              </w:rPr>
              <w:t>根</w:t>
            </w:r>
            <w:r>
              <w:rPr>
                <w:rFonts w:hint="eastAsia" w:ascii="宋体" w:eastAsia="宋体" w:cs="Times New Roman"/>
                <w:color w:val="auto"/>
                <w:highlight w:val="none"/>
                <w:lang w:val="en-US" w:eastAsia="zh-CN"/>
              </w:rPr>
              <w:t>据投标人编制的施工组织方案及施工方法进行评审：</w:t>
            </w:r>
          </w:p>
          <w:p w14:paraId="4815A073">
            <w:pPr>
              <w:pStyle w:val="13"/>
              <w:rPr>
                <w:rFonts w:hint="eastAsia"/>
                <w:color w:val="auto"/>
                <w:highlight w:val="none"/>
                <w:lang w:eastAsia="zh-CN"/>
              </w:rPr>
            </w:pPr>
            <w:r>
              <w:rPr>
                <w:rFonts w:hint="eastAsia"/>
                <w:color w:val="auto"/>
                <w:highlight w:val="none"/>
                <w:lang w:eastAsia="zh-CN"/>
              </w:rPr>
              <w:t>【优】方案专业性强，内容完整、详细，具有很好的可行性、可靠性、实用性和可操作性，完全满足且优于项月要求的。得</w:t>
            </w:r>
            <w:r>
              <w:rPr>
                <w:rFonts w:hint="eastAsia"/>
                <w:color w:val="auto"/>
                <w:highlight w:val="none"/>
                <w:lang w:val="en-US" w:eastAsia="zh-CN"/>
              </w:rPr>
              <w:t>10</w:t>
            </w:r>
            <w:r>
              <w:rPr>
                <w:rFonts w:hint="eastAsia"/>
                <w:color w:val="auto"/>
                <w:highlight w:val="none"/>
                <w:lang w:eastAsia="zh-CN"/>
              </w:rPr>
              <w:t>分；</w:t>
            </w:r>
          </w:p>
          <w:p w14:paraId="0D0F5FC3">
            <w:pPr>
              <w:pStyle w:val="13"/>
              <w:rPr>
                <w:rFonts w:hint="eastAsia"/>
                <w:color w:val="auto"/>
                <w:highlight w:val="none"/>
                <w:lang w:eastAsia="zh-CN"/>
              </w:rPr>
            </w:pPr>
            <w:r>
              <w:rPr>
                <w:rFonts w:hint="eastAsia"/>
                <w:color w:val="auto"/>
                <w:highlight w:val="none"/>
                <w:lang w:eastAsia="zh-CN"/>
              </w:rPr>
              <w:t>【良】方案专业性较强，内容较完整，具有可行性、可靠性、实用性和可操作性，完全满足项目要求的，得</w:t>
            </w:r>
            <w:r>
              <w:rPr>
                <w:rFonts w:hint="eastAsia"/>
                <w:color w:val="auto"/>
                <w:highlight w:val="none"/>
                <w:lang w:val="en-US" w:eastAsia="zh-CN"/>
              </w:rPr>
              <w:t>6</w:t>
            </w:r>
            <w:r>
              <w:rPr>
                <w:rFonts w:hint="eastAsia"/>
                <w:color w:val="auto"/>
                <w:highlight w:val="none"/>
                <w:lang w:eastAsia="zh-CN"/>
              </w:rPr>
              <w:t>分；</w:t>
            </w:r>
          </w:p>
          <w:p w14:paraId="32593901">
            <w:pPr>
              <w:pStyle w:val="13"/>
              <w:rPr>
                <w:rFonts w:hint="eastAsia"/>
                <w:color w:val="auto"/>
                <w:highlight w:val="none"/>
                <w:lang w:eastAsia="zh-CN"/>
              </w:rPr>
            </w:pPr>
            <w:r>
              <w:rPr>
                <w:rFonts w:hint="eastAsia"/>
                <w:color w:val="auto"/>
                <w:highlight w:val="none"/>
                <w:lang w:eastAsia="zh-CN"/>
              </w:rPr>
              <w:t>【中】方案专业性一般，内容不够完整，可行性、可靠性、实用性和可操作性一般，不完全满足项目要求的，得</w:t>
            </w:r>
            <w:r>
              <w:rPr>
                <w:rFonts w:hint="eastAsia"/>
                <w:color w:val="auto"/>
                <w:highlight w:val="none"/>
                <w:lang w:val="en-US" w:eastAsia="zh-CN"/>
              </w:rPr>
              <w:t>4</w:t>
            </w:r>
            <w:r>
              <w:rPr>
                <w:rFonts w:hint="eastAsia"/>
                <w:color w:val="auto"/>
                <w:highlight w:val="none"/>
                <w:lang w:eastAsia="zh-CN"/>
              </w:rPr>
              <w:t>分；</w:t>
            </w:r>
          </w:p>
          <w:p w14:paraId="1B6B528F">
            <w:pPr>
              <w:pStyle w:val="13"/>
              <w:rPr>
                <w:rFonts w:hint="eastAsia"/>
                <w:color w:val="auto"/>
                <w:highlight w:val="none"/>
                <w:lang w:eastAsia="zh-CN"/>
              </w:rPr>
            </w:pPr>
            <w:r>
              <w:rPr>
                <w:rFonts w:hint="eastAsia"/>
                <w:color w:val="auto"/>
                <w:highlight w:val="none"/>
                <w:lang w:eastAsia="zh-CN"/>
              </w:rPr>
              <w:t>【差】未提供或其他不得分，</w:t>
            </w:r>
          </w:p>
        </w:tc>
      </w:tr>
      <w:tr w14:paraId="2AF44C7F">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90" w:hRule="atLeast"/>
        </w:trPr>
        <w:tc>
          <w:tcPr>
            <w:tcW w:w="740" w:type="dxa"/>
            <w:vMerge w:val="continue"/>
            <w:tcBorders>
              <w:tl2br w:val="nil"/>
              <w:tr2bl w:val="nil"/>
            </w:tcBorders>
            <w:vAlign w:val="center"/>
          </w:tcPr>
          <w:p w14:paraId="78DB12F6">
            <w:pPr>
              <w:pStyle w:val="13"/>
              <w:rPr>
                <w:rFonts w:hint="eastAsia"/>
                <w:color w:val="auto"/>
                <w:highlight w:val="none"/>
              </w:rPr>
            </w:pPr>
          </w:p>
        </w:tc>
        <w:tc>
          <w:tcPr>
            <w:tcW w:w="1178" w:type="dxa"/>
            <w:vMerge w:val="continue"/>
            <w:tcBorders>
              <w:tl2br w:val="nil"/>
              <w:tr2bl w:val="nil"/>
            </w:tcBorders>
            <w:vAlign w:val="center"/>
          </w:tcPr>
          <w:p w14:paraId="02D9FE7F">
            <w:pPr>
              <w:pStyle w:val="13"/>
              <w:rPr>
                <w:rFonts w:hint="eastAsia"/>
                <w:color w:val="auto"/>
                <w:highlight w:val="none"/>
              </w:rPr>
            </w:pPr>
          </w:p>
        </w:tc>
        <w:tc>
          <w:tcPr>
            <w:tcW w:w="1171" w:type="dxa"/>
            <w:tcBorders>
              <w:tl2br w:val="nil"/>
              <w:tr2bl w:val="nil"/>
            </w:tcBorders>
            <w:vAlign w:val="center"/>
          </w:tcPr>
          <w:p w14:paraId="31698FF8">
            <w:pPr>
              <w:pStyle w:val="13"/>
              <w:jc w:val="center"/>
              <w:rPr>
                <w:rFonts w:hint="default"/>
                <w:color w:val="auto"/>
                <w:highlight w:val="none"/>
                <w:lang w:val="en-US" w:eastAsia="zh-CN"/>
              </w:rPr>
            </w:pPr>
            <w:r>
              <w:rPr>
                <w:rFonts w:hint="eastAsia"/>
                <w:color w:val="auto"/>
                <w:highlight w:val="none"/>
                <w:lang w:val="en-US" w:eastAsia="zh-CN"/>
              </w:rPr>
              <w:t>工程进度计划与保证措施</w:t>
            </w:r>
          </w:p>
        </w:tc>
        <w:tc>
          <w:tcPr>
            <w:tcW w:w="720" w:type="dxa"/>
            <w:tcBorders>
              <w:tl2br w:val="nil"/>
              <w:tr2bl w:val="nil"/>
            </w:tcBorders>
            <w:vAlign w:val="center"/>
          </w:tcPr>
          <w:p w14:paraId="513B3EB8">
            <w:pPr>
              <w:pStyle w:val="13"/>
              <w:jc w:val="center"/>
              <w:rPr>
                <w:rFonts w:hint="eastAsia"/>
                <w:color w:val="auto"/>
                <w:highlight w:val="none"/>
                <w:lang w:val="en-US" w:eastAsia="zh-CN"/>
              </w:rPr>
            </w:pPr>
            <w:r>
              <w:rPr>
                <w:rFonts w:hint="eastAsia"/>
                <w:color w:val="auto"/>
                <w:highlight w:val="none"/>
                <w:lang w:val="en-US" w:eastAsia="zh-CN"/>
              </w:rPr>
              <w:t>5</w:t>
            </w:r>
          </w:p>
        </w:tc>
        <w:tc>
          <w:tcPr>
            <w:tcW w:w="10402" w:type="dxa"/>
            <w:tcBorders>
              <w:tl2br w:val="nil"/>
              <w:tr2bl w:val="nil"/>
            </w:tcBorders>
            <w:shd w:val="clear" w:color="auto" w:fill="auto"/>
            <w:tcMar>
              <w:top w:w="15" w:type="dxa"/>
              <w:left w:w="108" w:type="dxa"/>
              <w:bottom w:w="0" w:type="dxa"/>
              <w:right w:w="108" w:type="dxa"/>
            </w:tcMar>
            <w:vAlign w:val="center"/>
          </w:tcPr>
          <w:p w14:paraId="4E202503">
            <w:pPr>
              <w:pStyle w:val="13"/>
              <w:rPr>
                <w:rFonts w:hint="eastAsia"/>
                <w:color w:val="auto"/>
                <w:highlight w:val="none"/>
                <w:lang w:eastAsia="zh-CN"/>
              </w:rPr>
            </w:pPr>
            <w:r>
              <w:rPr>
                <w:rFonts w:hint="eastAsia"/>
                <w:color w:val="auto"/>
                <w:highlight w:val="none"/>
                <w:lang w:val="en-US" w:eastAsia="zh-CN"/>
              </w:rPr>
              <w:t>根据</w:t>
            </w:r>
            <w:r>
              <w:rPr>
                <w:rFonts w:hint="eastAsia" w:ascii="宋体" w:eastAsia="宋体" w:cs="Times New Roman"/>
                <w:color w:val="auto"/>
                <w:highlight w:val="none"/>
                <w:lang w:val="en-US" w:eastAsia="zh-CN"/>
              </w:rPr>
              <w:t>投标人编制的</w:t>
            </w:r>
            <w:r>
              <w:rPr>
                <w:rFonts w:hint="eastAsia"/>
                <w:color w:val="auto"/>
                <w:highlight w:val="none"/>
                <w:lang w:val="en-US" w:eastAsia="zh-CN"/>
              </w:rPr>
              <w:t>工程进度计划与保证措施</w:t>
            </w:r>
            <w:r>
              <w:rPr>
                <w:rFonts w:hint="eastAsia" w:ascii="宋体" w:eastAsia="宋体" w:cs="Times New Roman"/>
                <w:color w:val="auto"/>
                <w:highlight w:val="none"/>
                <w:lang w:val="en-US" w:eastAsia="zh-CN"/>
              </w:rPr>
              <w:t>进行评审</w:t>
            </w:r>
            <w:r>
              <w:rPr>
                <w:rFonts w:hint="eastAsia"/>
                <w:color w:val="auto"/>
                <w:highlight w:val="none"/>
                <w:lang w:eastAsia="zh-CN"/>
              </w:rPr>
              <w:t>：</w:t>
            </w:r>
          </w:p>
          <w:p w14:paraId="6DAF0FC7">
            <w:pPr>
              <w:pStyle w:val="13"/>
              <w:rPr>
                <w:rFonts w:hint="eastAsia"/>
                <w:color w:val="auto"/>
                <w:highlight w:val="none"/>
              </w:rPr>
            </w:pPr>
            <w:r>
              <w:rPr>
                <w:rFonts w:hint="eastAsia"/>
                <w:color w:val="auto"/>
                <w:highlight w:val="none"/>
              </w:rPr>
              <w:t>【</w:t>
            </w:r>
            <w:r>
              <w:rPr>
                <w:rFonts w:hint="eastAsia"/>
                <w:color w:val="auto"/>
                <w:highlight w:val="none"/>
                <w:lang w:val="en-US" w:eastAsia="zh-CN"/>
              </w:rPr>
              <w:t>优</w:t>
            </w:r>
            <w:r>
              <w:rPr>
                <w:rFonts w:hint="eastAsia"/>
                <w:color w:val="auto"/>
                <w:highlight w:val="none"/>
              </w:rPr>
              <w:t>】制定</w:t>
            </w:r>
            <w:r>
              <w:rPr>
                <w:rFonts w:hint="eastAsia"/>
                <w:color w:val="auto"/>
                <w:highlight w:val="none"/>
                <w:lang w:val="en-US" w:eastAsia="zh-CN"/>
              </w:rPr>
              <w:t>了</w:t>
            </w:r>
            <w:r>
              <w:rPr>
                <w:rFonts w:hint="eastAsia"/>
                <w:color w:val="auto"/>
                <w:highlight w:val="none"/>
              </w:rPr>
              <w:t>施工进度计划并有进度计划保证措施，总工期比招标文件要求提前10天或以上的，</w:t>
            </w:r>
            <w:r>
              <w:rPr>
                <w:rFonts w:hint="eastAsia"/>
                <w:color w:val="auto"/>
                <w:highlight w:val="none"/>
                <w:lang w:eastAsia="zh-CN"/>
              </w:rPr>
              <w:t>得</w:t>
            </w:r>
            <w:r>
              <w:rPr>
                <w:rFonts w:hint="eastAsia"/>
                <w:color w:val="auto"/>
                <w:highlight w:val="none"/>
                <w:lang w:val="en-US" w:eastAsia="zh-CN"/>
              </w:rPr>
              <w:t>5</w:t>
            </w:r>
            <w:r>
              <w:rPr>
                <w:rFonts w:hint="eastAsia"/>
                <w:color w:val="auto"/>
                <w:highlight w:val="none"/>
                <w:lang w:eastAsia="zh-CN"/>
              </w:rPr>
              <w:t>分；</w:t>
            </w:r>
          </w:p>
          <w:p w14:paraId="0A79045F">
            <w:pPr>
              <w:pStyle w:val="13"/>
              <w:rPr>
                <w:rFonts w:hint="eastAsia"/>
                <w:color w:val="auto"/>
                <w:highlight w:val="none"/>
                <w:lang w:eastAsia="zh-CN"/>
              </w:rPr>
            </w:pPr>
            <w:r>
              <w:rPr>
                <w:rFonts w:hint="eastAsia"/>
                <w:color w:val="auto"/>
                <w:highlight w:val="none"/>
              </w:rPr>
              <w:t>【良】制定了施工进度计划并有进度计划保证措施，总工期比招标文件要求提前[5-9]天的，得</w:t>
            </w:r>
            <w:r>
              <w:rPr>
                <w:rFonts w:hint="eastAsia"/>
                <w:color w:val="auto"/>
                <w:highlight w:val="none"/>
                <w:lang w:val="en-US" w:eastAsia="zh-CN"/>
              </w:rPr>
              <w:t>3</w:t>
            </w:r>
            <w:r>
              <w:rPr>
                <w:rFonts w:hint="eastAsia"/>
                <w:color w:val="auto"/>
                <w:highlight w:val="none"/>
              </w:rPr>
              <w:t>分</w:t>
            </w:r>
            <w:r>
              <w:rPr>
                <w:rFonts w:hint="eastAsia"/>
                <w:color w:val="auto"/>
                <w:highlight w:val="none"/>
                <w:lang w:eastAsia="zh-CN"/>
              </w:rPr>
              <w:t>；</w:t>
            </w:r>
          </w:p>
          <w:p w14:paraId="70474082">
            <w:pPr>
              <w:pStyle w:val="13"/>
              <w:rPr>
                <w:rFonts w:hint="eastAsia"/>
                <w:color w:val="auto"/>
                <w:highlight w:val="none"/>
                <w:lang w:eastAsia="zh-CN"/>
              </w:rPr>
            </w:pPr>
            <w:r>
              <w:rPr>
                <w:rFonts w:hint="eastAsia"/>
                <w:color w:val="auto"/>
                <w:highlight w:val="none"/>
              </w:rPr>
              <w:t>【中】制定了施工进度计划并有进度计划保证措施，总工期比招标文件要求提前[1-4]天的，得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p>
          <w:p w14:paraId="5D1A946C">
            <w:pPr>
              <w:pStyle w:val="13"/>
              <w:rPr>
                <w:rFonts w:hint="eastAsia"/>
                <w:color w:val="auto"/>
                <w:highlight w:val="none"/>
              </w:rPr>
            </w:pPr>
            <w:r>
              <w:rPr>
                <w:rFonts w:hint="eastAsia"/>
                <w:color w:val="auto"/>
                <w:highlight w:val="none"/>
              </w:rPr>
              <w:t>【差】</w:t>
            </w:r>
            <w:r>
              <w:rPr>
                <w:rFonts w:hint="eastAsia"/>
                <w:color w:val="auto"/>
                <w:highlight w:val="none"/>
                <w:lang w:eastAsia="zh-CN"/>
              </w:rPr>
              <w:t>未提供</w:t>
            </w:r>
            <w:r>
              <w:rPr>
                <w:rFonts w:hint="eastAsia"/>
                <w:color w:val="auto"/>
                <w:highlight w:val="none"/>
                <w:lang w:val="en-US" w:eastAsia="zh-CN"/>
              </w:rPr>
              <w:t>或</w:t>
            </w:r>
            <w:r>
              <w:rPr>
                <w:rFonts w:hint="eastAsia"/>
                <w:color w:val="auto"/>
                <w:highlight w:val="none"/>
              </w:rPr>
              <w:t>总工期不比招标文件要求提前的，得0分。</w:t>
            </w:r>
          </w:p>
        </w:tc>
      </w:tr>
      <w:tr w14:paraId="1DE41287">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803" w:hRule="atLeast"/>
        </w:trPr>
        <w:tc>
          <w:tcPr>
            <w:tcW w:w="740" w:type="dxa"/>
            <w:vMerge w:val="continue"/>
            <w:tcBorders>
              <w:tl2br w:val="nil"/>
              <w:tr2bl w:val="nil"/>
            </w:tcBorders>
            <w:vAlign w:val="center"/>
          </w:tcPr>
          <w:p w14:paraId="09A9F590">
            <w:pPr>
              <w:pStyle w:val="13"/>
              <w:rPr>
                <w:rFonts w:hint="eastAsia"/>
                <w:color w:val="auto"/>
                <w:highlight w:val="none"/>
              </w:rPr>
            </w:pPr>
          </w:p>
        </w:tc>
        <w:tc>
          <w:tcPr>
            <w:tcW w:w="1178" w:type="dxa"/>
            <w:vMerge w:val="continue"/>
            <w:tcBorders>
              <w:tl2br w:val="nil"/>
              <w:tr2bl w:val="nil"/>
            </w:tcBorders>
            <w:vAlign w:val="center"/>
          </w:tcPr>
          <w:p w14:paraId="74711708">
            <w:pPr>
              <w:pStyle w:val="13"/>
              <w:rPr>
                <w:rFonts w:hint="eastAsia"/>
                <w:color w:val="auto"/>
                <w:highlight w:val="none"/>
              </w:rPr>
            </w:pPr>
          </w:p>
        </w:tc>
        <w:tc>
          <w:tcPr>
            <w:tcW w:w="1171" w:type="dxa"/>
            <w:tcBorders>
              <w:tl2br w:val="nil"/>
              <w:tr2bl w:val="nil"/>
            </w:tcBorders>
            <w:vAlign w:val="center"/>
          </w:tcPr>
          <w:p w14:paraId="11236B96">
            <w:pPr>
              <w:pStyle w:val="13"/>
              <w:jc w:val="center"/>
              <w:rPr>
                <w:rFonts w:hint="default"/>
                <w:color w:val="auto"/>
                <w:highlight w:val="none"/>
                <w:lang w:val="en-US" w:eastAsia="zh-CN"/>
              </w:rPr>
            </w:pPr>
            <w:r>
              <w:rPr>
                <w:rFonts w:hint="eastAsia"/>
                <w:color w:val="auto"/>
                <w:highlight w:val="none"/>
                <w:lang w:val="en-US" w:eastAsia="zh-CN"/>
              </w:rPr>
              <w:t>质量控制措施</w:t>
            </w:r>
          </w:p>
        </w:tc>
        <w:tc>
          <w:tcPr>
            <w:tcW w:w="720" w:type="dxa"/>
            <w:tcBorders>
              <w:tl2br w:val="nil"/>
              <w:tr2bl w:val="nil"/>
            </w:tcBorders>
            <w:vAlign w:val="center"/>
          </w:tcPr>
          <w:p w14:paraId="02B60722">
            <w:pPr>
              <w:pStyle w:val="13"/>
              <w:jc w:val="center"/>
              <w:rPr>
                <w:rFonts w:hint="default"/>
                <w:color w:val="auto"/>
                <w:highlight w:val="none"/>
                <w:lang w:val="en-US" w:eastAsia="zh-CN"/>
              </w:rPr>
            </w:pPr>
            <w:r>
              <w:rPr>
                <w:rFonts w:hint="eastAsia"/>
                <w:color w:val="auto"/>
                <w:highlight w:val="none"/>
                <w:lang w:val="en-US" w:eastAsia="zh-CN"/>
              </w:rPr>
              <w:t>5</w:t>
            </w:r>
          </w:p>
        </w:tc>
        <w:tc>
          <w:tcPr>
            <w:tcW w:w="10402" w:type="dxa"/>
            <w:tcBorders>
              <w:tl2br w:val="nil"/>
              <w:tr2bl w:val="nil"/>
            </w:tcBorders>
            <w:shd w:val="clear" w:color="auto" w:fill="auto"/>
            <w:tcMar>
              <w:top w:w="15" w:type="dxa"/>
              <w:left w:w="108" w:type="dxa"/>
              <w:bottom w:w="0" w:type="dxa"/>
              <w:right w:w="108" w:type="dxa"/>
            </w:tcMar>
            <w:vAlign w:val="center"/>
          </w:tcPr>
          <w:p w14:paraId="5E4F70CC">
            <w:pPr>
              <w:pStyle w:val="13"/>
              <w:rPr>
                <w:rFonts w:hint="eastAsia"/>
                <w:color w:val="auto"/>
                <w:highlight w:val="none"/>
              </w:rPr>
            </w:pPr>
            <w:r>
              <w:rPr>
                <w:rFonts w:hint="eastAsia"/>
                <w:color w:val="auto"/>
                <w:highlight w:val="none"/>
              </w:rPr>
              <w:t>根据投标人编制的质量控制措施</w:t>
            </w:r>
            <w:r>
              <w:rPr>
                <w:rFonts w:hint="eastAsia"/>
                <w:color w:val="auto"/>
                <w:highlight w:val="none"/>
                <w:lang w:eastAsia="zh-CN"/>
              </w:rPr>
              <w:t>、</w:t>
            </w:r>
            <w:r>
              <w:rPr>
                <w:rFonts w:hint="eastAsia"/>
                <w:color w:val="auto"/>
                <w:highlight w:val="none"/>
              </w:rPr>
              <w:t>质量事故应急预案</w:t>
            </w:r>
            <w:r>
              <w:rPr>
                <w:rFonts w:hint="eastAsia" w:ascii="宋体" w:eastAsia="宋体" w:cs="Times New Roman"/>
                <w:color w:val="auto"/>
                <w:highlight w:val="none"/>
                <w:lang w:val="en-US" w:eastAsia="zh-CN"/>
              </w:rPr>
              <w:t>进行评审</w:t>
            </w:r>
            <w:r>
              <w:rPr>
                <w:rFonts w:hint="eastAsia"/>
                <w:color w:val="auto"/>
                <w:highlight w:val="none"/>
                <w:lang w:eastAsia="zh-CN"/>
              </w:rPr>
              <w:t>：</w:t>
            </w:r>
          </w:p>
          <w:p w14:paraId="49FBA292">
            <w:pPr>
              <w:pStyle w:val="13"/>
              <w:rPr>
                <w:rFonts w:hint="eastAsia"/>
                <w:color w:val="auto"/>
                <w:highlight w:val="none"/>
              </w:rPr>
            </w:pPr>
            <w:r>
              <w:rPr>
                <w:rFonts w:hint="eastAsia"/>
                <w:color w:val="auto"/>
                <w:highlight w:val="none"/>
              </w:rPr>
              <w:t>【优】方案专业性强，内容完整、详细，具有很好的可行性、可靠性、实用性和可操作性</w:t>
            </w:r>
            <w:r>
              <w:rPr>
                <w:rFonts w:hint="eastAsia"/>
                <w:color w:val="auto"/>
                <w:highlight w:val="none"/>
                <w:lang w:eastAsia="zh-CN"/>
              </w:rPr>
              <w:t>，得</w:t>
            </w:r>
            <w:r>
              <w:rPr>
                <w:rFonts w:hint="eastAsia"/>
                <w:color w:val="auto"/>
                <w:highlight w:val="none"/>
                <w:lang w:val="en-US" w:eastAsia="zh-CN"/>
              </w:rPr>
              <w:t>5</w:t>
            </w:r>
            <w:r>
              <w:rPr>
                <w:rFonts w:hint="eastAsia"/>
                <w:color w:val="auto"/>
                <w:highlight w:val="none"/>
                <w:lang w:eastAsia="zh-CN"/>
              </w:rPr>
              <w:t>分；</w:t>
            </w:r>
          </w:p>
          <w:p w14:paraId="3807B0CA">
            <w:pPr>
              <w:pStyle w:val="13"/>
              <w:rPr>
                <w:rFonts w:hint="eastAsia"/>
                <w:color w:val="auto"/>
                <w:highlight w:val="none"/>
              </w:rPr>
            </w:pPr>
            <w:r>
              <w:rPr>
                <w:rFonts w:hint="eastAsia"/>
                <w:color w:val="auto"/>
                <w:highlight w:val="none"/>
              </w:rPr>
              <w:t>【良】方案专业性较强，内容较完整，具有可行性、可靠性、实用性和可操作性</w:t>
            </w:r>
            <w:r>
              <w:rPr>
                <w:rFonts w:hint="eastAsia"/>
                <w:color w:val="auto"/>
                <w:highlight w:val="none"/>
                <w:lang w:eastAsia="zh-CN"/>
              </w:rPr>
              <w:t>，得</w:t>
            </w:r>
            <w:r>
              <w:rPr>
                <w:rFonts w:hint="eastAsia"/>
                <w:color w:val="auto"/>
                <w:highlight w:val="none"/>
                <w:lang w:val="en-US" w:eastAsia="zh-CN"/>
              </w:rPr>
              <w:t>3</w:t>
            </w:r>
            <w:r>
              <w:rPr>
                <w:rFonts w:hint="eastAsia"/>
                <w:color w:val="auto"/>
                <w:highlight w:val="none"/>
                <w:lang w:eastAsia="zh-CN"/>
              </w:rPr>
              <w:t>分；</w:t>
            </w:r>
          </w:p>
          <w:p w14:paraId="41B54B94">
            <w:pPr>
              <w:pStyle w:val="13"/>
              <w:rPr>
                <w:rFonts w:hint="eastAsia"/>
                <w:color w:val="auto"/>
                <w:highlight w:val="none"/>
              </w:rPr>
            </w:pPr>
            <w:r>
              <w:rPr>
                <w:rFonts w:hint="eastAsia"/>
                <w:color w:val="auto"/>
                <w:highlight w:val="none"/>
              </w:rPr>
              <w:t>【中】方案专业性一般，内容不够完整，可行性、可靠性、实用性和可操作性一般，得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p>
          <w:p w14:paraId="5F8933D6">
            <w:pPr>
              <w:pStyle w:val="13"/>
              <w:rPr>
                <w:rFonts w:hint="eastAsia"/>
                <w:color w:val="auto"/>
                <w:highlight w:val="none"/>
              </w:rPr>
            </w:pPr>
            <w:r>
              <w:rPr>
                <w:rFonts w:hint="eastAsia"/>
                <w:color w:val="auto"/>
                <w:highlight w:val="none"/>
              </w:rPr>
              <w:t>【差】未提供或其他不得分。</w:t>
            </w:r>
          </w:p>
        </w:tc>
      </w:tr>
      <w:tr w14:paraId="0839401E">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803" w:hRule="atLeast"/>
        </w:trPr>
        <w:tc>
          <w:tcPr>
            <w:tcW w:w="740" w:type="dxa"/>
            <w:vMerge w:val="continue"/>
            <w:tcBorders>
              <w:tl2br w:val="nil"/>
              <w:tr2bl w:val="nil"/>
            </w:tcBorders>
            <w:vAlign w:val="center"/>
          </w:tcPr>
          <w:p w14:paraId="095CE8D7">
            <w:pPr>
              <w:pStyle w:val="13"/>
              <w:rPr>
                <w:rFonts w:hint="eastAsia"/>
                <w:color w:val="auto"/>
                <w:highlight w:val="none"/>
              </w:rPr>
            </w:pPr>
          </w:p>
        </w:tc>
        <w:tc>
          <w:tcPr>
            <w:tcW w:w="1178" w:type="dxa"/>
            <w:vMerge w:val="continue"/>
            <w:tcBorders>
              <w:tl2br w:val="nil"/>
              <w:tr2bl w:val="nil"/>
            </w:tcBorders>
            <w:vAlign w:val="center"/>
          </w:tcPr>
          <w:p w14:paraId="50A597B8">
            <w:pPr>
              <w:pStyle w:val="13"/>
              <w:rPr>
                <w:rFonts w:hint="eastAsia"/>
                <w:color w:val="auto"/>
                <w:highlight w:val="none"/>
              </w:rPr>
            </w:pPr>
          </w:p>
        </w:tc>
        <w:tc>
          <w:tcPr>
            <w:tcW w:w="1171" w:type="dxa"/>
            <w:tcBorders>
              <w:tl2br w:val="nil"/>
              <w:tr2bl w:val="nil"/>
            </w:tcBorders>
            <w:vAlign w:val="center"/>
          </w:tcPr>
          <w:p w14:paraId="49A85D51">
            <w:pPr>
              <w:pStyle w:val="13"/>
              <w:jc w:val="center"/>
              <w:rPr>
                <w:rFonts w:hint="default"/>
                <w:color w:val="auto"/>
                <w:highlight w:val="none"/>
                <w:lang w:val="en-US" w:eastAsia="zh-CN"/>
              </w:rPr>
            </w:pPr>
            <w:r>
              <w:rPr>
                <w:rFonts w:hint="eastAsia"/>
                <w:color w:val="auto"/>
                <w:highlight w:val="none"/>
                <w:lang w:val="en-US" w:eastAsia="zh-CN"/>
              </w:rPr>
              <w:t>安全文明、绿色施工措施</w:t>
            </w:r>
          </w:p>
        </w:tc>
        <w:tc>
          <w:tcPr>
            <w:tcW w:w="720" w:type="dxa"/>
            <w:tcBorders>
              <w:tl2br w:val="nil"/>
              <w:tr2bl w:val="nil"/>
            </w:tcBorders>
            <w:vAlign w:val="center"/>
          </w:tcPr>
          <w:p w14:paraId="1FB474EC">
            <w:pPr>
              <w:pStyle w:val="13"/>
              <w:jc w:val="center"/>
              <w:rPr>
                <w:rFonts w:hint="eastAsia"/>
                <w:color w:val="auto"/>
                <w:highlight w:val="none"/>
                <w:lang w:val="en-US" w:eastAsia="zh-CN"/>
              </w:rPr>
            </w:pPr>
            <w:r>
              <w:rPr>
                <w:rFonts w:hint="eastAsia"/>
                <w:color w:val="auto"/>
                <w:highlight w:val="none"/>
                <w:lang w:val="en-US" w:eastAsia="zh-CN"/>
              </w:rPr>
              <w:t>5</w:t>
            </w:r>
          </w:p>
        </w:tc>
        <w:tc>
          <w:tcPr>
            <w:tcW w:w="10402" w:type="dxa"/>
            <w:tcBorders>
              <w:tl2br w:val="nil"/>
              <w:tr2bl w:val="nil"/>
            </w:tcBorders>
            <w:shd w:val="clear" w:color="auto" w:fill="auto"/>
            <w:tcMar>
              <w:top w:w="15" w:type="dxa"/>
              <w:left w:w="108" w:type="dxa"/>
              <w:bottom w:w="0" w:type="dxa"/>
              <w:right w:w="108" w:type="dxa"/>
            </w:tcMar>
            <w:vAlign w:val="center"/>
          </w:tcPr>
          <w:p w14:paraId="41183E19">
            <w:pPr>
              <w:pStyle w:val="13"/>
              <w:rPr>
                <w:rFonts w:hint="eastAsia" w:ascii="宋体" w:eastAsia="宋体" w:cs="Times New Roman"/>
                <w:color w:val="auto"/>
                <w:highlight w:val="none"/>
              </w:rPr>
            </w:pPr>
            <w:r>
              <w:rPr>
                <w:rFonts w:hint="eastAsia"/>
                <w:color w:val="auto"/>
                <w:highlight w:val="none"/>
              </w:rPr>
              <w:t>根</w:t>
            </w:r>
            <w:r>
              <w:rPr>
                <w:rFonts w:hint="eastAsia" w:ascii="宋体" w:eastAsia="宋体" w:cs="Times New Roman"/>
                <w:color w:val="auto"/>
                <w:highlight w:val="none"/>
              </w:rPr>
              <w:t>据</w:t>
            </w:r>
            <w:r>
              <w:rPr>
                <w:rFonts w:hint="eastAsia" w:ascii="宋体" w:eastAsia="宋体" w:cs="Times New Roman"/>
                <w:color w:val="auto"/>
                <w:highlight w:val="none"/>
                <w:lang w:val="en-US" w:eastAsia="zh-CN"/>
              </w:rPr>
              <w:t>投标人编制的</w:t>
            </w:r>
            <w:r>
              <w:rPr>
                <w:rFonts w:hint="eastAsia" w:ascii="宋体" w:eastAsia="宋体" w:cs="Times New Roman"/>
                <w:color w:val="auto"/>
                <w:highlight w:val="none"/>
              </w:rPr>
              <w:t>安全文明施工措施，提供安全生产措施、现场消防保证措施、雷电及台风应对措施、文明施工措施环境保护及绿色施工措施、应急预案</w:t>
            </w:r>
            <w:r>
              <w:rPr>
                <w:rFonts w:hint="eastAsia" w:ascii="宋体" w:eastAsia="宋体" w:cs="Times New Roman"/>
                <w:color w:val="auto"/>
                <w:highlight w:val="none"/>
                <w:lang w:val="en-US" w:eastAsia="zh-CN"/>
              </w:rPr>
              <w:t>进行评审</w:t>
            </w:r>
            <w:r>
              <w:rPr>
                <w:rFonts w:hint="eastAsia" w:ascii="宋体" w:eastAsia="宋体" w:cs="Times New Roman"/>
                <w:color w:val="auto"/>
                <w:highlight w:val="none"/>
                <w:lang w:eastAsia="zh-CN"/>
              </w:rPr>
              <w:t>：</w:t>
            </w:r>
          </w:p>
          <w:p w14:paraId="1880F7C4">
            <w:pPr>
              <w:pStyle w:val="13"/>
              <w:rPr>
                <w:rFonts w:hint="eastAsia"/>
                <w:color w:val="auto"/>
                <w:highlight w:val="none"/>
              </w:rPr>
            </w:pPr>
            <w:r>
              <w:rPr>
                <w:rFonts w:hint="eastAsia"/>
                <w:color w:val="auto"/>
                <w:highlight w:val="none"/>
              </w:rPr>
              <w:t>【优】方案专业性强，内容完整、详细，具有很好的可行性、可靠性、实用性和可操作性</w:t>
            </w:r>
            <w:r>
              <w:rPr>
                <w:rFonts w:hint="eastAsia"/>
                <w:color w:val="auto"/>
                <w:highlight w:val="none"/>
                <w:lang w:eastAsia="zh-CN"/>
              </w:rPr>
              <w:t>，得</w:t>
            </w:r>
            <w:r>
              <w:rPr>
                <w:rFonts w:hint="eastAsia"/>
                <w:color w:val="auto"/>
                <w:highlight w:val="none"/>
                <w:lang w:val="en-US" w:eastAsia="zh-CN"/>
              </w:rPr>
              <w:t>5</w:t>
            </w:r>
            <w:r>
              <w:rPr>
                <w:rFonts w:hint="eastAsia"/>
                <w:color w:val="auto"/>
                <w:highlight w:val="none"/>
                <w:lang w:eastAsia="zh-CN"/>
              </w:rPr>
              <w:t>分；</w:t>
            </w:r>
          </w:p>
          <w:p w14:paraId="5826CDA1">
            <w:pPr>
              <w:pStyle w:val="13"/>
              <w:rPr>
                <w:rFonts w:hint="eastAsia"/>
                <w:color w:val="auto"/>
                <w:highlight w:val="none"/>
              </w:rPr>
            </w:pPr>
            <w:r>
              <w:rPr>
                <w:rFonts w:hint="eastAsia"/>
                <w:color w:val="auto"/>
                <w:highlight w:val="none"/>
              </w:rPr>
              <w:t>【良】方案专业性较强，内容较完整，具有可行性、可靠性、实用性和可操作性</w:t>
            </w:r>
            <w:r>
              <w:rPr>
                <w:rFonts w:hint="eastAsia"/>
                <w:color w:val="auto"/>
                <w:highlight w:val="none"/>
                <w:lang w:eastAsia="zh-CN"/>
              </w:rPr>
              <w:t>，得</w:t>
            </w:r>
            <w:r>
              <w:rPr>
                <w:rFonts w:hint="eastAsia"/>
                <w:color w:val="auto"/>
                <w:highlight w:val="none"/>
                <w:lang w:val="en-US" w:eastAsia="zh-CN"/>
              </w:rPr>
              <w:t>3</w:t>
            </w:r>
            <w:r>
              <w:rPr>
                <w:rFonts w:hint="eastAsia"/>
                <w:color w:val="auto"/>
                <w:highlight w:val="none"/>
                <w:lang w:eastAsia="zh-CN"/>
              </w:rPr>
              <w:t>分；</w:t>
            </w:r>
          </w:p>
          <w:p w14:paraId="7B3B419C">
            <w:pPr>
              <w:pStyle w:val="13"/>
              <w:rPr>
                <w:rFonts w:hint="eastAsia"/>
                <w:color w:val="auto"/>
                <w:highlight w:val="none"/>
              </w:rPr>
            </w:pPr>
            <w:r>
              <w:rPr>
                <w:rFonts w:hint="eastAsia"/>
                <w:color w:val="auto"/>
                <w:highlight w:val="none"/>
              </w:rPr>
              <w:t>【中】方案专业性一般，内容不够完整，可行性、可靠性、实用性和可操作性一般，得</w:t>
            </w:r>
            <w:r>
              <w:rPr>
                <w:rFonts w:hint="eastAsia"/>
                <w:color w:val="auto"/>
                <w:highlight w:val="none"/>
                <w:lang w:val="en-US" w:eastAsia="zh-CN"/>
              </w:rPr>
              <w:t>1</w:t>
            </w:r>
            <w:r>
              <w:rPr>
                <w:rFonts w:hint="eastAsia"/>
                <w:color w:val="auto"/>
                <w:highlight w:val="none"/>
              </w:rPr>
              <w:t>分</w:t>
            </w:r>
            <w:r>
              <w:rPr>
                <w:rFonts w:hint="eastAsia"/>
                <w:color w:val="auto"/>
                <w:highlight w:val="none"/>
                <w:lang w:eastAsia="zh-CN"/>
              </w:rPr>
              <w:t>；</w:t>
            </w:r>
          </w:p>
          <w:p w14:paraId="23804B5B">
            <w:pPr>
              <w:pStyle w:val="13"/>
              <w:rPr>
                <w:rFonts w:hint="eastAsia"/>
                <w:color w:val="auto"/>
                <w:highlight w:val="none"/>
              </w:rPr>
            </w:pPr>
            <w:r>
              <w:rPr>
                <w:rFonts w:hint="eastAsia"/>
                <w:color w:val="auto"/>
                <w:highlight w:val="none"/>
              </w:rPr>
              <w:t>【差】未提供或其他不得分。</w:t>
            </w:r>
          </w:p>
        </w:tc>
      </w:tr>
      <w:tr w14:paraId="28DAF0D2">
        <w:tblPrEx>
          <w:tblBorders>
            <w:top w:val="single" w:color="080000" w:sz="8" w:space="0"/>
            <w:left w:val="single" w:color="080000" w:sz="8" w:space="0"/>
            <w:bottom w:val="single" w:color="080000" w:sz="8" w:space="0"/>
            <w:right w:val="single" w:color="080000" w:sz="8" w:space="0"/>
            <w:insideH w:val="single" w:color="080000" w:sz="8" w:space="0"/>
            <w:insideV w:val="single" w:color="080000" w:sz="8" w:space="0"/>
          </w:tblBorders>
          <w:tblCellMar>
            <w:top w:w="0" w:type="dxa"/>
            <w:left w:w="0" w:type="dxa"/>
            <w:bottom w:w="0" w:type="dxa"/>
            <w:right w:w="0" w:type="dxa"/>
          </w:tblCellMar>
        </w:tblPrEx>
        <w:trPr>
          <w:trHeight w:val="486" w:hRule="atLeast"/>
        </w:trPr>
        <w:tc>
          <w:tcPr>
            <w:tcW w:w="3089" w:type="dxa"/>
            <w:gridSpan w:val="3"/>
            <w:tcBorders>
              <w:tl2br w:val="nil"/>
              <w:tr2bl w:val="nil"/>
            </w:tcBorders>
            <w:vAlign w:val="center"/>
          </w:tcPr>
          <w:p w14:paraId="0852DD4E">
            <w:pPr>
              <w:pStyle w:val="13"/>
              <w:jc w:val="center"/>
              <w:rPr>
                <w:rFonts w:hint="eastAsia"/>
                <w:color w:val="auto"/>
                <w:highlight w:val="none"/>
              </w:rPr>
            </w:pPr>
            <w:r>
              <w:rPr>
                <w:rFonts w:hint="eastAsia"/>
                <w:color w:val="auto"/>
                <w:highlight w:val="none"/>
              </w:rPr>
              <w:t>总分</w:t>
            </w:r>
          </w:p>
        </w:tc>
        <w:tc>
          <w:tcPr>
            <w:tcW w:w="720" w:type="dxa"/>
            <w:tcBorders>
              <w:tl2br w:val="nil"/>
              <w:tr2bl w:val="nil"/>
            </w:tcBorders>
            <w:vAlign w:val="center"/>
          </w:tcPr>
          <w:p w14:paraId="59548295">
            <w:pPr>
              <w:pStyle w:val="13"/>
              <w:jc w:val="center"/>
              <w:rPr>
                <w:rFonts w:hint="eastAsia"/>
                <w:color w:val="auto"/>
                <w:highlight w:val="none"/>
              </w:rPr>
            </w:pPr>
            <w:r>
              <w:rPr>
                <w:rFonts w:hint="eastAsia"/>
                <w:color w:val="auto"/>
                <w:highlight w:val="none"/>
                <w:lang w:val="en-US" w:eastAsia="zh-CN"/>
              </w:rPr>
              <w:t>10</w:t>
            </w:r>
            <w:r>
              <w:rPr>
                <w:rFonts w:hint="eastAsia"/>
                <w:color w:val="auto"/>
                <w:highlight w:val="none"/>
              </w:rPr>
              <w:t>0</w:t>
            </w:r>
          </w:p>
        </w:tc>
        <w:tc>
          <w:tcPr>
            <w:tcW w:w="10402" w:type="dxa"/>
            <w:tcBorders>
              <w:tl2br w:val="nil"/>
              <w:tr2bl w:val="nil"/>
            </w:tcBorders>
            <w:shd w:val="clear" w:color="auto" w:fill="auto"/>
            <w:tcMar>
              <w:top w:w="15" w:type="dxa"/>
              <w:left w:w="108" w:type="dxa"/>
              <w:bottom w:w="0" w:type="dxa"/>
              <w:right w:w="108" w:type="dxa"/>
            </w:tcMar>
            <w:vAlign w:val="center"/>
          </w:tcPr>
          <w:p w14:paraId="30AD4F59">
            <w:pPr>
              <w:pStyle w:val="13"/>
              <w:rPr>
                <w:rFonts w:hint="eastAsia"/>
                <w:color w:val="auto"/>
                <w:highlight w:val="none"/>
              </w:rPr>
            </w:pPr>
          </w:p>
        </w:tc>
      </w:tr>
    </w:tbl>
    <w:p w14:paraId="08CDF044">
      <w:pPr>
        <w:rPr>
          <w:rFonts w:ascii="宋体" w:hAnsi="宋体" w:cs="宋体"/>
          <w:b/>
          <w:color w:val="auto"/>
          <w:szCs w:val="21"/>
          <w:highlight w:val="none"/>
        </w:rPr>
      </w:pPr>
      <w:r>
        <w:rPr>
          <w:rFonts w:hint="eastAsia" w:ascii="宋体" w:hAnsi="宋体" w:cs="宋体"/>
          <w:b/>
          <w:color w:val="auto"/>
          <w:szCs w:val="21"/>
          <w:highlight w:val="none"/>
        </w:rPr>
        <w:t>1.企业业绩：</w:t>
      </w:r>
    </w:p>
    <w:p w14:paraId="473CE076">
      <w:pPr>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类似工程是指中标金额大于或等于</w:t>
      </w:r>
      <w:r>
        <w:rPr>
          <w:rFonts w:hint="eastAsia" w:ascii="宋体" w:hAnsi="宋体" w:cs="宋体"/>
          <w:color w:val="auto"/>
          <w:szCs w:val="21"/>
          <w:highlight w:val="none"/>
          <w:lang w:val="en-US" w:eastAsia="zh-CN"/>
        </w:rPr>
        <w:t>120</w:t>
      </w:r>
      <w:r>
        <w:rPr>
          <w:rFonts w:hint="eastAsia" w:ascii="宋体" w:hAnsi="宋体" w:cs="宋体"/>
          <w:color w:val="auto"/>
          <w:szCs w:val="21"/>
          <w:highlight w:val="none"/>
        </w:rPr>
        <w:t>00万元的建筑工程施工总承包</w:t>
      </w:r>
      <w:r>
        <w:rPr>
          <w:rFonts w:hint="eastAsia" w:ascii="宋体" w:hAnsi="宋体" w:cs="宋体"/>
          <w:color w:val="auto"/>
          <w:szCs w:val="21"/>
          <w:highlight w:val="none"/>
          <w:lang w:val="en-US" w:eastAsia="zh-CN"/>
        </w:rPr>
        <w:t>或工程总承包</w:t>
      </w:r>
      <w:r>
        <w:rPr>
          <w:rFonts w:hint="eastAsia" w:ascii="宋体" w:hAnsi="宋体" w:cs="宋体"/>
          <w:color w:val="auto"/>
          <w:szCs w:val="21"/>
          <w:highlight w:val="none"/>
        </w:rPr>
        <w:t>业绩。投标人需同时提供中标通知书（或免招标证明）、施工合同、竣工验收文件扫描件。（1）金额以中标通知书为准，中标通知书上没有金额或免招标的，以施工合同（不含补充合同）为准。（2）完成时间以竣工验收文件为准。验收文件至少具有建设单位、设计、施工和监理单位盖章。</w:t>
      </w:r>
      <w:r>
        <w:rPr>
          <w:rFonts w:hint="eastAsia" w:ascii="宋体" w:hAnsi="宋体" w:cs="宋体"/>
          <w:color w:val="auto"/>
          <w:szCs w:val="21"/>
          <w:highlight w:val="none"/>
          <w:shd w:val="clear" w:color="auto" w:fill="FFFFFF"/>
        </w:rPr>
        <w:t>（3）所有证明文件均需</w:t>
      </w:r>
      <w:r>
        <w:rPr>
          <w:rFonts w:hint="eastAsia" w:ascii="宋体" w:hAnsi="宋体" w:cs="宋体"/>
          <w:color w:val="auto"/>
          <w:szCs w:val="21"/>
          <w:highlight w:val="none"/>
        </w:rPr>
        <w:t>加盖投标单位电子印章。（4）</w:t>
      </w:r>
      <w:r>
        <w:rPr>
          <w:rFonts w:hint="eastAsia" w:ascii="宋体" w:hAnsi="宋体" w:cs="宋体"/>
          <w:color w:val="auto"/>
          <w:szCs w:val="21"/>
          <w:highlight w:val="none"/>
          <w:shd w:val="clear" w:color="auto" w:fill="FFFFFF"/>
        </w:rPr>
        <w:t>不符合上述条件的业绩不予评审。</w:t>
      </w:r>
    </w:p>
    <w:p w14:paraId="5C5D5DC6">
      <w:pPr>
        <w:rPr>
          <w:rFonts w:ascii="宋体" w:hAnsi="宋体" w:cs="宋体"/>
          <w:b/>
          <w:bCs/>
          <w:color w:val="auto"/>
          <w:kern w:val="0"/>
          <w:szCs w:val="21"/>
          <w:highlight w:val="none"/>
        </w:rPr>
      </w:pPr>
      <w:r>
        <w:rPr>
          <w:rFonts w:hint="eastAsia" w:ascii="宋体" w:hAnsi="宋体" w:cs="宋体"/>
          <w:b/>
          <w:color w:val="auto"/>
          <w:szCs w:val="21"/>
          <w:highlight w:val="none"/>
        </w:rPr>
        <w:t>2.</w:t>
      </w:r>
      <w:r>
        <w:rPr>
          <w:rFonts w:hint="eastAsia" w:ascii="宋体" w:hAnsi="宋体" w:cs="宋体"/>
          <w:b/>
          <w:bCs/>
          <w:color w:val="auto"/>
          <w:kern w:val="0"/>
          <w:szCs w:val="21"/>
          <w:highlight w:val="none"/>
        </w:rPr>
        <w:t>企业奖项：</w:t>
      </w:r>
    </w:p>
    <w:p w14:paraId="701D5F2C">
      <w:pPr>
        <w:ind w:firstLine="420" w:firstLineChars="200"/>
        <w:rPr>
          <w:rFonts w:ascii="宋体" w:hAnsi="宋体" w:cs="宋体"/>
          <w:color w:val="auto"/>
          <w:szCs w:val="21"/>
          <w:highlight w:val="none"/>
        </w:rPr>
      </w:pPr>
      <w:r>
        <w:rPr>
          <w:rFonts w:hint="eastAsia" w:ascii="宋体" w:hAnsi="宋体" w:cs="宋体"/>
          <w:color w:val="auto"/>
          <w:szCs w:val="21"/>
          <w:highlight w:val="none"/>
        </w:rPr>
        <w:t>国家级质量奖包括：中国建设工程鲁班奖、国家优质工程奖、国家优质工程金质奖和中国土木工程詹天佑奖。省、市级质量奖指省或市级建设行政主管部门或行业协会颁发的质量奖项（其它如技术创新、QC成果、</w:t>
      </w:r>
      <w:r>
        <w:rPr>
          <w:rFonts w:hint="eastAsia" w:ascii="宋体" w:hAnsi="宋体" w:cs="宋体"/>
          <w:color w:val="auto"/>
          <w:szCs w:val="21"/>
          <w:highlight w:val="none"/>
        </w:rPr>
        <w:t>装修、</w:t>
      </w:r>
      <w:r>
        <w:rPr>
          <w:rFonts w:hint="eastAsia" w:ascii="宋体" w:hAnsi="宋体" w:cs="宋体"/>
          <w:color w:val="auto"/>
          <w:szCs w:val="21"/>
          <w:highlight w:val="none"/>
        </w:rPr>
        <w:t>钢结构、机电安装、科技进步及技术应用类等奖项不参与计分）。只计算房建类工程奖项，其他非房建项目，如：路桥、铁路、水利、电力、化工、冶金、市政等获奖不参与计分。</w:t>
      </w:r>
    </w:p>
    <w:p w14:paraId="68505028">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（1）需提供由建设行政主管部门或行业协会颁发的获奖证书扫描件。如颁发单位为行业协会的，还须提供该协会在“全国社会组织信用信息公示平台（试运行）”己登记备案的查询信息网页截图（网址：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"https://xxgs.chinanpo.mca.gov.cn/gsxt/newList）。奖项时间以获奖证书发证日期为准，奖项只计取承建奖项，按要求提供，否则不予计分。"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https://xxgs.chinanpo.mca.gov.cn/gsxt/newList）。奖项时间以获奖证书发证日期为准，同一项目获得多个奖项的，按最高级别奖项只计一次得分，不重复计算得分。（</w:t>
      </w:r>
      <w:r>
        <w:rPr>
          <w:rFonts w:hint="eastAsia" w:ascii="宋体" w:hAnsi="宋体" w:cs="宋体"/>
          <w:color w:val="auto"/>
          <w:szCs w:val="21"/>
          <w:highlight w:val="none"/>
        </w:rPr>
        <w:fldChar w:fldCharType="end"/>
      </w:r>
      <w:r>
        <w:rPr>
          <w:rFonts w:hint="eastAsia" w:ascii="宋体" w:hAnsi="宋体" w:cs="宋体"/>
          <w:color w:val="auto"/>
          <w:szCs w:val="21"/>
          <w:highlight w:val="none"/>
        </w:rPr>
        <w:t>2）所有证明文件均需加盖投标单位电子印章。（3）投标人须为该获奖项目的施工总承包单位，须提供相关证明材料体现其为施工总承包单位身份（如施工合同或业主证明或评审申请材料或批复文件或竣工验收文件等），否则不予计分。（</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）不符合上述条件的奖项不予评审。</w:t>
      </w:r>
    </w:p>
    <w:p w14:paraId="6ED0E89D">
      <w:pPr>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3.工程研发能力</w:t>
      </w:r>
    </w:p>
    <w:p w14:paraId="5226C5E0">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（1）国务院颁发的“国家科学技术进步奖”近3届是指2019年度、2020年度及2023年度；省级人民政府颁发的“科学技术进步奖”近3届是指2021年度、2022年度及2023年度。</w:t>
      </w:r>
    </w:p>
    <w:p w14:paraId="24C4F021">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人须提交由国务院颁发的“国家科学技术进步奖”或由省级人民政府颁发的“科学技术进步奖”的获奖证书扫描件。获奖单位必须与投标单位名称一致，子、分公司获奖均不予计算。时间以证书颁发时间为准，不符合上述条件或无法提供证书扫描件的不予计分。同一投标人获得多个多次奖项的，只按获奖最高级别计算一次分数，不得重复计算。</w:t>
      </w:r>
    </w:p>
    <w:p w14:paraId="2DB99BDB">
      <w:pPr>
        <w:rPr>
          <w:rFonts w:ascii="宋体" w:hAnsi="宋体" w:cs="宋体"/>
          <w:b/>
          <w:color w:val="auto"/>
          <w:szCs w:val="21"/>
          <w:highlight w:val="none"/>
        </w:rPr>
      </w:pP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第三方评价：</w:t>
      </w:r>
    </w:p>
    <w:p w14:paraId="322255AA">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需同时提供在有效期内的相关的管理体系认证证书彩色扫描件及管理体系证书在（全国认证认可信息公共服务平台（网址：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"http://cx.cnca.cn/CertECloud/index/index/page）上的查询信息网页截图，体系认证证书不在有效期内的不得分。"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http://cx.cnca.cn/CertECloud/index/index/page）上的查询信息网页截图。（2）所有证明文件均需加盖投标单位电子印章，不符合上述条件的不予评审。</w:t>
      </w:r>
      <w:r>
        <w:rPr>
          <w:rFonts w:hint="eastAsia" w:ascii="宋体" w:hAnsi="宋体" w:cs="宋体"/>
          <w:color w:val="auto"/>
          <w:szCs w:val="21"/>
          <w:highlight w:val="none"/>
        </w:rPr>
        <w:fldChar w:fldCharType="end"/>
      </w:r>
    </w:p>
    <w:p w14:paraId="2AE163EE">
      <w:pPr>
        <w:rPr>
          <w:rFonts w:ascii="宋体" w:hAnsi="宋体" w:cs="宋体"/>
          <w:b/>
          <w:color w:val="auto"/>
          <w:szCs w:val="21"/>
          <w:highlight w:val="none"/>
        </w:rPr>
      </w:pP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.项目管理机构能力：</w:t>
      </w:r>
    </w:p>
    <w:p w14:paraId="2F8CA183">
      <w:pPr>
        <w:ind w:firstLine="420" w:firstLineChars="200"/>
        <w:rPr>
          <w:rFonts w:hAnsi="宋体" w:cs="宋体"/>
          <w:color w:val="auto"/>
          <w:highlight w:val="none"/>
        </w:rPr>
      </w:pPr>
      <w:r>
        <w:rPr>
          <w:rFonts w:hint="eastAsia"/>
          <w:color w:val="auto"/>
          <w:highlight w:val="none"/>
        </w:rPr>
        <w:t>（1）拟投入本项目人员须提供相关职称证书或岗位(注册)证扫描件。</w:t>
      </w:r>
      <w:r>
        <w:rPr>
          <w:rFonts w:hint="eastAsia"/>
          <w:color w:val="auto"/>
          <w:highlight w:val="none"/>
          <w:lang w:eastAsia="zh-CN"/>
        </w:rPr>
        <w:t>工作经验</w:t>
      </w:r>
      <w:r>
        <w:rPr>
          <w:rFonts w:hint="eastAsia"/>
          <w:color w:val="auto"/>
          <w:highlight w:val="none"/>
        </w:rPr>
        <w:t>年限以大学专科（或以上）毕业证的颁发日期开始计算至投标截止时间止。（2）须提供2024年</w:t>
      </w:r>
      <w:r>
        <w:rPr>
          <w:rFonts w:hint="eastAsia"/>
          <w:color w:val="auto"/>
          <w:highlight w:val="none"/>
          <w:lang w:val="en-US" w:eastAsia="zh-CN"/>
        </w:rPr>
        <w:t>12</w:t>
      </w:r>
      <w:r>
        <w:rPr>
          <w:rFonts w:hint="eastAsia"/>
          <w:color w:val="auto"/>
          <w:highlight w:val="none"/>
        </w:rPr>
        <w:t>月在本投标单位(不含投标人的子公司)参保的社保缴纳记录证明</w:t>
      </w:r>
      <w:r>
        <w:rPr>
          <w:rFonts w:hint="eastAsia" w:ascii="宋体" w:hAnsi="宋体" w:cs="宋体"/>
          <w:color w:val="auto"/>
          <w:szCs w:val="21"/>
          <w:highlight w:val="none"/>
        </w:rPr>
        <w:t>扫描</w:t>
      </w:r>
      <w:r>
        <w:rPr>
          <w:rFonts w:hint="eastAsia"/>
          <w:color w:val="auto"/>
          <w:highlight w:val="none"/>
        </w:rPr>
        <w:t>件。（3）各岗位人员不得相互兼职，上述材料不提供或提供不齐全的不得分。同一人员具有不同级别职称证的，按最高档计取得分。（4）项目管理团队人员是指为本公司正式人员，不含子公司人员，如投标人为集团公司，则不含其集团下属的子公司人员，下属子公司也不含其集团公司的人员。（5）一级注册造价工程师是指根据住房城乡</w:t>
      </w:r>
      <w:r>
        <w:rPr>
          <w:rFonts w:hint="eastAsia" w:ascii="宋体" w:hAnsi="宋体" w:cs="宋体"/>
          <w:color w:val="auto"/>
          <w:szCs w:val="21"/>
          <w:highlight w:val="none"/>
        </w:rPr>
        <w:t>建设部</w:t>
      </w:r>
      <w:r>
        <w:rPr>
          <w:rFonts w:hint="eastAsia"/>
          <w:color w:val="auto"/>
          <w:highlight w:val="none"/>
        </w:rPr>
        <w:t>、交通运输部、水利部、人力资源社会保障部发布的《造价工程师职业资格制度规定》、《造价工程师职业资格考试实施办法》（建人</w:t>
      </w:r>
      <w:r>
        <w:rPr>
          <w:rFonts w:hint="eastAsia"/>
          <w:color w:val="auto"/>
          <w:highlight w:val="none"/>
          <w:lang w:eastAsia="zh-CN"/>
        </w:rPr>
        <w:t>〔2018〕</w:t>
      </w:r>
      <w:r>
        <w:rPr>
          <w:rFonts w:hint="eastAsia"/>
          <w:color w:val="auto"/>
          <w:highlight w:val="none"/>
        </w:rPr>
        <w:t>67号）</w:t>
      </w:r>
      <w:bookmarkStart w:id="198" w:name="_GoBack"/>
      <w:bookmarkEnd w:id="198"/>
      <w:r>
        <w:rPr>
          <w:rFonts w:hint="eastAsia"/>
          <w:color w:val="auto"/>
          <w:highlight w:val="none"/>
        </w:rPr>
        <w:t>取得的一级造价工程师职业资格，并经注册且在有效期内。根据原人事部、原建设部发布的《造价工程师执业资格制度暂行规定》（人发</w:t>
      </w:r>
      <w:r>
        <w:rPr>
          <w:rFonts w:hint="eastAsia"/>
          <w:color w:val="auto"/>
          <w:highlight w:val="none"/>
          <w:lang w:eastAsia="zh-CN"/>
        </w:rPr>
        <w:t>〔1996〕77号</w:t>
      </w:r>
      <w:r>
        <w:rPr>
          <w:rFonts w:hint="eastAsia"/>
          <w:color w:val="auto"/>
          <w:highlight w:val="none"/>
        </w:rPr>
        <w:t>)取得的造价工程师执业资格，并经注册且在有效期内的，等同于一级注册造价工程师。（6）</w:t>
      </w:r>
      <w:r>
        <w:rPr>
          <w:rFonts w:hAnsi="宋体" w:cs="宋体"/>
          <w:color w:val="auto"/>
          <w:szCs w:val="21"/>
          <w:highlight w:val="none"/>
        </w:rPr>
        <w:t>以上证明文件均需加盖投标单位电子印章</w:t>
      </w:r>
      <w:r>
        <w:rPr>
          <w:rFonts w:hint="eastAsia" w:hAnsi="宋体" w:cs="宋体"/>
          <w:color w:val="auto"/>
          <w:szCs w:val="21"/>
          <w:highlight w:val="none"/>
          <w:lang w:eastAsia="zh-CN"/>
        </w:rPr>
        <w:t>。（</w:t>
      </w:r>
      <w:r>
        <w:rPr>
          <w:rFonts w:hint="eastAsia" w:hAnsi="宋体" w:cs="宋体"/>
          <w:color w:val="auto"/>
          <w:szCs w:val="21"/>
          <w:highlight w:val="none"/>
          <w:lang w:val="en-US" w:eastAsia="zh-CN"/>
        </w:rPr>
        <w:t>7</w:t>
      </w:r>
      <w:r>
        <w:rPr>
          <w:rFonts w:hint="eastAsia" w:hAnsi="宋体" w:cs="宋体"/>
          <w:color w:val="auto"/>
          <w:szCs w:val="21"/>
          <w:highlight w:val="none"/>
          <w:lang w:eastAsia="zh-CN"/>
        </w:rPr>
        <w:t>）</w:t>
      </w:r>
      <w:r>
        <w:rPr>
          <w:rFonts w:hAnsi="宋体" w:cs="宋体"/>
          <w:color w:val="auto"/>
          <w:szCs w:val="21"/>
          <w:highlight w:val="none"/>
        </w:rPr>
        <w:t>不符合上述条件的不予评审。</w:t>
      </w:r>
    </w:p>
    <w:p w14:paraId="4A101CD0">
      <w:pPr>
        <w:pStyle w:val="13"/>
        <w:rPr>
          <w:rFonts w:hint="eastAsia" w:hAnsi="宋体" w:cs="宋体"/>
          <w:b/>
          <w:bCs/>
          <w:color w:val="auto"/>
          <w:szCs w:val="21"/>
          <w:highlight w:val="none"/>
          <w:lang w:val="en-US" w:eastAsia="zh-CN"/>
        </w:rPr>
      </w:pPr>
      <w:r>
        <w:rPr>
          <w:rFonts w:hint="eastAsia" w:hAnsi="宋体" w:cs="宋体"/>
          <w:b/>
          <w:bCs/>
          <w:color w:val="auto"/>
          <w:szCs w:val="21"/>
          <w:highlight w:val="none"/>
          <w:lang w:val="en-US" w:eastAsia="zh-CN"/>
        </w:rPr>
        <w:t>6.项目管理班组答辩</w:t>
      </w:r>
    </w:p>
    <w:p w14:paraId="6B7C6473">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（1）参加现场答辩的人员：项目负责人。</w:t>
      </w:r>
    </w:p>
    <w:p w14:paraId="42AB3367">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答辩顺序的确定：在投标文件开标前，由投标人代表依次在1~N(“N”值为递交投标文件及解密成功的单位数量)号球中随机抽取一个球号，按球号从小到大的优先顺序代表相应投标人的现场答辩顺序。【若投标人未派代表出席开标会，则由招标代理单位代为抽取号球】</w:t>
      </w:r>
    </w:p>
    <w:p w14:paraId="7DDA401A">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答辩人员的到场要求：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未能提供法定代表人证明书及授权委托书的单位不予参加答辩环节。</w:t>
      </w:r>
    </w:p>
    <w:p w14:paraId="7DCA69E4">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答辩开始时间：评标委员会在完成资格审查及技术标有效性审查后可开始答辩，具体答辩开始时间以评标委员会通知为准（具体通知时间以答辩开始前1小时通知为准）。未通过资格审查及技术标有效性审查的投标单位无需再参与答辩。</w:t>
      </w:r>
    </w:p>
    <w:p w14:paraId="3454B37C">
      <w:pPr>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（5）答辩形式与要求：答辩人员按要求进入答辩区域；答辩人员先陈述，评委针对陈述内容提问，由答辩人员进行解答。</w:t>
      </w:r>
    </w:p>
    <w:p w14:paraId="6A4A8893">
      <w:pPr>
        <w:ind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（6）答辩时长控制：控制在10分钟内。</w:t>
      </w:r>
    </w:p>
    <w:p w14:paraId="69F22DDD">
      <w:pPr>
        <w:rPr>
          <w:rFonts w:hAnsi="宋体" w:cs="宋体"/>
          <w:color w:val="auto"/>
          <w:szCs w:val="21"/>
          <w:highlight w:val="none"/>
          <w:lang w:val="zh-CN"/>
        </w:rPr>
      </w:pPr>
      <w:r>
        <w:rPr>
          <w:rFonts w:hint="eastAsia" w:hAnsi="宋体" w:cs="宋体"/>
          <w:b/>
          <w:bCs/>
          <w:color w:val="auto"/>
          <w:szCs w:val="21"/>
          <w:highlight w:val="none"/>
          <w:lang w:val="en-US" w:eastAsia="zh-CN"/>
        </w:rPr>
        <w:t>7</w:t>
      </w:r>
      <w:r>
        <w:rPr>
          <w:rFonts w:hAnsi="宋体" w:cs="宋体"/>
          <w:b/>
          <w:bCs/>
          <w:color w:val="auto"/>
          <w:szCs w:val="21"/>
          <w:highlight w:val="none"/>
        </w:rPr>
        <w:t>.</w:t>
      </w:r>
      <w:r>
        <w:rPr>
          <w:rFonts w:hAnsi="宋体" w:cs="宋体"/>
          <w:b/>
          <w:bCs/>
          <w:color w:val="auto"/>
          <w:szCs w:val="21"/>
          <w:highlight w:val="none"/>
          <w:lang w:val="zh-CN"/>
        </w:rPr>
        <w:t>所有评委分数汇总后的算术平均值为投标</w:t>
      </w:r>
      <w:r>
        <w:rPr>
          <w:rFonts w:hAnsi="宋体" w:cs="宋体"/>
          <w:b/>
          <w:bCs/>
          <w:color w:val="auto"/>
          <w:szCs w:val="21"/>
          <w:highlight w:val="none"/>
        </w:rPr>
        <w:t>单位</w:t>
      </w:r>
      <w:r>
        <w:rPr>
          <w:rFonts w:hAnsi="宋体" w:cs="宋体"/>
          <w:b/>
          <w:bCs/>
          <w:color w:val="auto"/>
          <w:szCs w:val="21"/>
          <w:highlight w:val="none"/>
          <w:lang w:val="zh-CN"/>
        </w:rPr>
        <w:t>的最终得分。</w:t>
      </w:r>
      <w:r>
        <w:rPr>
          <w:rFonts w:hAnsi="宋体" w:cs="宋体"/>
          <w:color w:val="auto"/>
          <w:szCs w:val="21"/>
          <w:highlight w:val="none"/>
          <w:lang w:val="zh-CN"/>
        </w:rPr>
        <w:t>分数出现小数点，保留小数点后</w:t>
      </w:r>
      <w:r>
        <w:rPr>
          <w:rFonts w:hint="eastAsia" w:hAnsi="宋体" w:cs="宋体"/>
          <w:color w:val="auto"/>
          <w:szCs w:val="21"/>
          <w:highlight w:val="none"/>
          <w:lang w:val="zh-CN"/>
        </w:rPr>
        <w:t>两位</w:t>
      </w:r>
      <w:r>
        <w:rPr>
          <w:rFonts w:hAnsi="宋体" w:cs="宋体"/>
          <w:color w:val="auto"/>
          <w:szCs w:val="21"/>
          <w:highlight w:val="none"/>
          <w:lang w:val="zh-CN"/>
        </w:rPr>
        <w:t>小数，第三位小数四舍五入。</w:t>
      </w:r>
    </w:p>
    <w:p w14:paraId="17A441B0">
      <w:pPr>
        <w:rPr>
          <w:rFonts w:hint="eastAsia"/>
          <w:color w:val="auto"/>
          <w:szCs w:val="21"/>
          <w:highlight w:val="none"/>
        </w:rPr>
      </w:pPr>
      <w:r>
        <w:rPr>
          <w:rFonts w:hint="eastAsia"/>
          <w:color w:val="auto"/>
          <w:szCs w:val="21"/>
          <w:highlight w:val="none"/>
        </w:rPr>
        <w:br w:type="page"/>
      </w:r>
    </w:p>
    <w:p w14:paraId="0EC547AE">
      <w:pPr>
        <w:rPr>
          <w:color w:val="auto"/>
          <w:sz w:val="24"/>
          <w:szCs w:val="24"/>
          <w:highlight w:val="none"/>
        </w:rPr>
      </w:pPr>
      <w:r>
        <w:rPr>
          <w:rFonts w:hint="eastAsia"/>
          <w:color w:val="auto"/>
          <w:szCs w:val="21"/>
          <w:highlight w:val="none"/>
        </w:rPr>
        <w:t>附表五（适用于区间抽取法）</w:t>
      </w:r>
    </w:p>
    <w:p w14:paraId="7D275E9B">
      <w:pPr>
        <w:jc w:val="center"/>
        <w:rPr>
          <w:b/>
          <w:color w:val="auto"/>
          <w:sz w:val="36"/>
          <w:szCs w:val="36"/>
          <w:highlight w:val="none"/>
        </w:rPr>
      </w:pPr>
      <w:r>
        <w:rPr>
          <w:rFonts w:hint="eastAsia"/>
          <w:b/>
          <w:color w:val="auto"/>
          <w:sz w:val="36"/>
          <w:szCs w:val="36"/>
          <w:highlight w:val="none"/>
        </w:rPr>
        <w:t>经济标评分表</w:t>
      </w:r>
    </w:p>
    <w:p w14:paraId="19A32BCD">
      <w:pPr>
        <w:rPr>
          <w:color w:val="auto"/>
          <w:szCs w:val="21"/>
          <w:highlight w:val="none"/>
        </w:rPr>
      </w:pPr>
      <w:r>
        <w:rPr>
          <w:rFonts w:hint="eastAsia"/>
          <w:color w:val="auto"/>
          <w:szCs w:val="21"/>
          <w:highlight w:val="none"/>
        </w:rPr>
        <w:t>工程名称：</w:t>
      </w:r>
    </w:p>
    <w:tbl>
      <w:tblPr>
        <w:tblStyle w:val="25"/>
        <w:tblW w:w="14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6"/>
        <w:gridCol w:w="1048"/>
        <w:gridCol w:w="1048"/>
        <w:gridCol w:w="1048"/>
        <w:gridCol w:w="1048"/>
        <w:gridCol w:w="1048"/>
        <w:gridCol w:w="1048"/>
        <w:gridCol w:w="1048"/>
        <w:gridCol w:w="1048"/>
        <w:gridCol w:w="1048"/>
        <w:gridCol w:w="1048"/>
        <w:gridCol w:w="1048"/>
        <w:gridCol w:w="1049"/>
      </w:tblGrid>
      <w:tr w14:paraId="657E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96" w:type="dxa"/>
            <w:tcBorders>
              <w:top w:val="single" w:color="auto" w:sz="4" w:space="0"/>
              <w:left w:val="single" w:color="auto" w:sz="4" w:space="0"/>
              <w:bottom w:val="single" w:color="auto" w:sz="4" w:space="0"/>
              <w:right w:val="single" w:color="auto" w:sz="4" w:space="0"/>
            </w:tcBorders>
            <w:vAlign w:val="center"/>
          </w:tcPr>
          <w:p w14:paraId="0C1EF368">
            <w:pPr>
              <w:rPr>
                <w:rFonts w:ascii="宋体" w:hAnsi="宋体"/>
                <w:color w:val="auto"/>
                <w:szCs w:val="21"/>
                <w:highlight w:val="none"/>
              </w:rPr>
            </w:pPr>
            <w:r>
              <w:rPr>
                <w:rFonts w:hint="eastAsia" w:ascii="宋体" w:hAnsi="宋体"/>
                <w:color w:val="auto"/>
                <w:szCs w:val="21"/>
                <w:highlight w:val="none"/>
              </w:rPr>
              <w:t>投标人名称</w:t>
            </w:r>
          </w:p>
        </w:tc>
        <w:tc>
          <w:tcPr>
            <w:tcW w:w="1048" w:type="dxa"/>
            <w:tcBorders>
              <w:top w:val="single" w:color="auto" w:sz="4" w:space="0"/>
              <w:left w:val="single" w:color="auto" w:sz="4" w:space="0"/>
              <w:bottom w:val="single" w:color="auto" w:sz="4" w:space="0"/>
              <w:right w:val="single" w:color="auto" w:sz="4" w:space="0"/>
            </w:tcBorders>
            <w:vAlign w:val="center"/>
          </w:tcPr>
          <w:p w14:paraId="28CD70C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C45836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936FEE8">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AF9FF1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591CDA2">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10D9D6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F62F122">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9B22A53">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C2033B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8302868">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AC45E61">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648563E8">
            <w:pPr>
              <w:rPr>
                <w:rFonts w:ascii="宋体" w:hAnsi="宋体"/>
                <w:color w:val="auto"/>
                <w:szCs w:val="21"/>
                <w:highlight w:val="none"/>
              </w:rPr>
            </w:pPr>
          </w:p>
        </w:tc>
      </w:tr>
      <w:tr w14:paraId="2CC2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10440E3A">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48" w:type="dxa"/>
            <w:tcBorders>
              <w:top w:val="single" w:color="auto" w:sz="4" w:space="0"/>
              <w:left w:val="single" w:color="auto" w:sz="4" w:space="0"/>
              <w:bottom w:val="single" w:color="auto" w:sz="4" w:space="0"/>
              <w:right w:val="single" w:color="auto" w:sz="4" w:space="0"/>
            </w:tcBorders>
            <w:vAlign w:val="center"/>
          </w:tcPr>
          <w:p w14:paraId="757D19B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0D9B8A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B5DBF67">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DDFBD43">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D2B4E1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381A75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BF1637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739D95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6EB0D0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77A0B2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CEC7AD2">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7C4813E">
            <w:pPr>
              <w:rPr>
                <w:rFonts w:ascii="宋体" w:hAnsi="宋体"/>
                <w:color w:val="auto"/>
                <w:szCs w:val="21"/>
                <w:highlight w:val="none"/>
              </w:rPr>
            </w:pPr>
          </w:p>
        </w:tc>
      </w:tr>
      <w:tr w14:paraId="30D2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0DCFB448">
            <w:pPr>
              <w:rPr>
                <w:color w:val="auto"/>
                <w:highlight w:val="none"/>
              </w:rPr>
            </w:pPr>
            <w:r>
              <w:rPr>
                <w:color w:val="auto"/>
                <w:highlight w:val="none"/>
              </w:rPr>
              <w:t>报价权重</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60F4DF7B">
            <w:pPr>
              <w:rPr>
                <w:color w:val="auto"/>
                <w:highlight w:val="none"/>
              </w:rPr>
            </w:pPr>
          </w:p>
        </w:tc>
      </w:tr>
      <w:tr w14:paraId="3B0F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48D59B0C">
            <w:pPr>
              <w:rPr>
                <w:rFonts w:ascii="宋体" w:hAnsi="宋体"/>
                <w:color w:val="auto"/>
                <w:szCs w:val="21"/>
                <w:highlight w:val="none"/>
              </w:rPr>
            </w:pPr>
            <w:r>
              <w:rPr>
                <w:rFonts w:hint="eastAsia" w:ascii="宋体" w:hAnsi="宋体"/>
                <w:color w:val="auto"/>
                <w:szCs w:val="21"/>
                <w:highlight w:val="none"/>
              </w:rPr>
              <w:t>评标参考价PC（元）</w:t>
            </w:r>
          </w:p>
        </w:tc>
        <w:tc>
          <w:tcPr>
            <w:tcW w:w="12577" w:type="dxa"/>
            <w:gridSpan w:val="12"/>
            <w:tcBorders>
              <w:top w:val="single" w:color="auto" w:sz="4" w:space="0"/>
              <w:left w:val="single" w:color="auto" w:sz="4" w:space="0"/>
              <w:bottom w:val="single" w:color="auto" w:sz="4" w:space="0"/>
              <w:right w:val="single" w:color="auto" w:sz="4" w:space="0"/>
            </w:tcBorders>
            <w:vAlign w:val="center"/>
          </w:tcPr>
          <w:p w14:paraId="3D93B89F">
            <w:pPr>
              <w:rPr>
                <w:rFonts w:ascii="宋体" w:hAnsi="宋体"/>
                <w:color w:val="auto"/>
                <w:szCs w:val="21"/>
                <w:highlight w:val="none"/>
              </w:rPr>
            </w:pPr>
          </w:p>
        </w:tc>
      </w:tr>
      <w:tr w14:paraId="1847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5DD00C70">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14:paraId="6A048502">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A2356F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ECF0D57">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80EC09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A5AB10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FB8748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1A2BBC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9739D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D31445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CC3E88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7E513C4">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35BF6D14">
            <w:pPr>
              <w:rPr>
                <w:rFonts w:ascii="宋体" w:hAnsi="宋体"/>
                <w:color w:val="auto"/>
                <w:szCs w:val="21"/>
                <w:highlight w:val="none"/>
              </w:rPr>
            </w:pPr>
          </w:p>
        </w:tc>
      </w:tr>
      <w:tr w14:paraId="3058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96" w:type="dxa"/>
            <w:tcBorders>
              <w:top w:val="single" w:color="auto" w:sz="4" w:space="0"/>
              <w:left w:val="single" w:color="auto" w:sz="4" w:space="0"/>
              <w:bottom w:val="single" w:color="auto" w:sz="4" w:space="0"/>
              <w:right w:val="single" w:color="auto" w:sz="4" w:space="0"/>
            </w:tcBorders>
            <w:vAlign w:val="center"/>
          </w:tcPr>
          <w:p w14:paraId="671CBD96">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48" w:type="dxa"/>
            <w:tcBorders>
              <w:top w:val="single" w:color="auto" w:sz="4" w:space="0"/>
              <w:left w:val="single" w:color="auto" w:sz="4" w:space="0"/>
              <w:bottom w:val="single" w:color="auto" w:sz="4" w:space="0"/>
              <w:right w:val="single" w:color="auto" w:sz="4" w:space="0"/>
            </w:tcBorders>
            <w:vAlign w:val="center"/>
          </w:tcPr>
          <w:p w14:paraId="37174A36">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9DE014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7FB938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9810E5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84FEE03">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6D44DE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EBC8E9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572C42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5001DC5">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873986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C82072A">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19BDB41B">
            <w:pPr>
              <w:rPr>
                <w:rFonts w:ascii="宋体" w:hAnsi="宋体"/>
                <w:color w:val="auto"/>
                <w:szCs w:val="21"/>
                <w:highlight w:val="none"/>
              </w:rPr>
            </w:pPr>
          </w:p>
        </w:tc>
      </w:tr>
      <w:tr w14:paraId="3DDF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626A9E17">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48" w:type="dxa"/>
            <w:tcBorders>
              <w:top w:val="single" w:color="auto" w:sz="4" w:space="0"/>
              <w:left w:val="single" w:color="auto" w:sz="4" w:space="0"/>
              <w:bottom w:val="single" w:color="auto" w:sz="4" w:space="0"/>
              <w:right w:val="single" w:color="auto" w:sz="4" w:space="0"/>
            </w:tcBorders>
            <w:vAlign w:val="center"/>
          </w:tcPr>
          <w:p w14:paraId="3783CC1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7CAB85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489AAD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379B6C9">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20F813A">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DCFA404">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2A2924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5D71CC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67A41E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E478405">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4F822415">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7849C44F">
            <w:pPr>
              <w:rPr>
                <w:rFonts w:ascii="宋体" w:hAnsi="宋体"/>
                <w:color w:val="auto"/>
                <w:szCs w:val="21"/>
                <w:highlight w:val="none"/>
              </w:rPr>
            </w:pPr>
          </w:p>
        </w:tc>
      </w:tr>
      <w:tr w14:paraId="60EC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96" w:type="dxa"/>
            <w:tcBorders>
              <w:top w:val="single" w:color="auto" w:sz="4" w:space="0"/>
              <w:left w:val="single" w:color="auto" w:sz="4" w:space="0"/>
              <w:bottom w:val="single" w:color="auto" w:sz="4" w:space="0"/>
              <w:right w:val="single" w:color="auto" w:sz="4" w:space="0"/>
            </w:tcBorders>
            <w:vAlign w:val="center"/>
          </w:tcPr>
          <w:p w14:paraId="3D1FA975">
            <w:pPr>
              <w:rPr>
                <w:rFonts w:ascii="宋体" w:hAnsi="宋体"/>
                <w:color w:val="auto"/>
                <w:szCs w:val="21"/>
                <w:highlight w:val="none"/>
              </w:rPr>
            </w:pPr>
            <w:r>
              <w:rPr>
                <w:rFonts w:hint="eastAsia" w:ascii="宋体" w:hAnsi="宋体"/>
                <w:color w:val="auto"/>
                <w:szCs w:val="21"/>
                <w:highlight w:val="none"/>
              </w:rPr>
              <w:t>得分排名次序</w:t>
            </w:r>
          </w:p>
        </w:tc>
        <w:tc>
          <w:tcPr>
            <w:tcW w:w="1048" w:type="dxa"/>
            <w:tcBorders>
              <w:top w:val="single" w:color="auto" w:sz="4" w:space="0"/>
              <w:left w:val="single" w:color="auto" w:sz="4" w:space="0"/>
              <w:bottom w:val="single" w:color="auto" w:sz="4" w:space="0"/>
              <w:right w:val="single" w:color="auto" w:sz="4" w:space="0"/>
            </w:tcBorders>
            <w:vAlign w:val="center"/>
          </w:tcPr>
          <w:p w14:paraId="118FCAEE">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2BF3CA7D">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DCFF3C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F95614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C6DCFB1">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1986B7AC">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0B279910">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3E14E98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7CD5509F">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6908351B">
            <w:pPr>
              <w:rPr>
                <w:rFonts w:ascii="宋体" w:hAnsi="宋体"/>
                <w:color w:val="auto"/>
                <w:szCs w:val="21"/>
                <w:highlight w:val="none"/>
              </w:rPr>
            </w:pPr>
          </w:p>
        </w:tc>
        <w:tc>
          <w:tcPr>
            <w:tcW w:w="1048" w:type="dxa"/>
            <w:tcBorders>
              <w:top w:val="single" w:color="auto" w:sz="4" w:space="0"/>
              <w:left w:val="single" w:color="auto" w:sz="4" w:space="0"/>
              <w:bottom w:val="single" w:color="auto" w:sz="4" w:space="0"/>
              <w:right w:val="single" w:color="auto" w:sz="4" w:space="0"/>
            </w:tcBorders>
            <w:vAlign w:val="center"/>
          </w:tcPr>
          <w:p w14:paraId="57719949">
            <w:pPr>
              <w:rPr>
                <w:rFonts w:ascii="宋体" w:hAnsi="宋体"/>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14:paraId="2081ADF9">
            <w:pPr>
              <w:rPr>
                <w:rFonts w:ascii="宋体" w:hAnsi="宋体"/>
                <w:color w:val="auto"/>
                <w:szCs w:val="21"/>
                <w:highlight w:val="none"/>
              </w:rPr>
            </w:pPr>
          </w:p>
        </w:tc>
      </w:tr>
    </w:tbl>
    <w:p w14:paraId="57CC160D">
      <w:pPr>
        <w:rPr>
          <w:color w:val="auto"/>
          <w:szCs w:val="21"/>
          <w:highlight w:val="none"/>
        </w:rPr>
      </w:pPr>
      <w:r>
        <w:rPr>
          <w:rFonts w:hint="eastAsia"/>
          <w:color w:val="auto"/>
          <w:szCs w:val="21"/>
          <w:highlight w:val="none"/>
        </w:rPr>
        <w:t>评委签名：</w:t>
      </w:r>
    </w:p>
    <w:p w14:paraId="7D639DB9">
      <w:pPr>
        <w:rPr>
          <w:color w:val="auto"/>
          <w:szCs w:val="21"/>
          <w:highlight w:val="none"/>
        </w:rPr>
      </w:pPr>
    </w:p>
    <w:p w14:paraId="50D47B1A">
      <w:pPr>
        <w:rPr>
          <w:color w:val="auto"/>
          <w:szCs w:val="21"/>
          <w:highlight w:val="none"/>
        </w:rPr>
      </w:pPr>
    </w:p>
    <w:p w14:paraId="1B2FE05C">
      <w:pPr>
        <w:rPr>
          <w:b/>
          <w:color w:val="auto"/>
          <w:szCs w:val="21"/>
          <w:highlight w:val="none"/>
        </w:rPr>
      </w:pPr>
      <w:r>
        <w:rPr>
          <w:color w:val="auto"/>
          <w:szCs w:val="21"/>
          <w:highlight w:val="none"/>
        </w:rPr>
        <w:br w:type="page"/>
      </w:r>
      <w:r>
        <w:rPr>
          <w:rFonts w:hint="eastAsia"/>
          <w:color w:val="auto"/>
          <w:szCs w:val="21"/>
          <w:highlight w:val="none"/>
        </w:rPr>
        <w:t>附表六</w:t>
      </w:r>
    </w:p>
    <w:p w14:paraId="375126DC">
      <w:pPr>
        <w:jc w:val="center"/>
        <w:rPr>
          <w:b/>
          <w:color w:val="auto"/>
          <w:sz w:val="36"/>
          <w:szCs w:val="36"/>
          <w:highlight w:val="none"/>
        </w:rPr>
      </w:pPr>
      <w:r>
        <w:rPr>
          <w:rFonts w:hint="eastAsia"/>
          <w:b/>
          <w:color w:val="auto"/>
          <w:sz w:val="36"/>
          <w:szCs w:val="36"/>
          <w:highlight w:val="none"/>
        </w:rPr>
        <w:t>算术复核表</w:t>
      </w:r>
    </w:p>
    <w:p w14:paraId="55FFFFFC">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25"/>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965FAF9">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4CC58F83">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1E8261CF">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05C2FAFF">
            <w:pPr>
              <w:rPr>
                <w:rFonts w:ascii="宋体" w:hAnsi="宋体"/>
                <w:color w:val="auto"/>
                <w:kern w:val="0"/>
                <w:szCs w:val="21"/>
                <w:highlight w:val="none"/>
              </w:rPr>
            </w:pPr>
            <w:r>
              <w:rPr>
                <w:rFonts w:hint="eastAsia" w:ascii="宋体" w:hAnsi="宋体"/>
                <w:color w:val="auto"/>
                <w:kern w:val="0"/>
                <w:szCs w:val="21"/>
                <w:highlight w:val="none"/>
              </w:rPr>
              <w:t>修正前投标</w:t>
            </w:r>
          </w:p>
          <w:p w14:paraId="563518A7">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535FAD6A">
            <w:pPr>
              <w:rPr>
                <w:rFonts w:ascii="宋体" w:hAnsi="宋体"/>
                <w:color w:val="auto"/>
                <w:kern w:val="0"/>
                <w:szCs w:val="21"/>
                <w:highlight w:val="none"/>
              </w:rPr>
            </w:pPr>
            <w:r>
              <w:rPr>
                <w:rFonts w:hint="eastAsia" w:ascii="宋体" w:hAnsi="宋体"/>
                <w:color w:val="auto"/>
                <w:kern w:val="0"/>
                <w:szCs w:val="21"/>
                <w:highlight w:val="none"/>
              </w:rPr>
              <w:t>修正后投标</w:t>
            </w:r>
          </w:p>
          <w:p w14:paraId="0DA3B048">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2FB53965">
            <w:pPr>
              <w:rPr>
                <w:rFonts w:ascii="宋体" w:hAnsi="宋体"/>
                <w:color w:val="auto"/>
                <w:kern w:val="0"/>
                <w:szCs w:val="21"/>
                <w:highlight w:val="none"/>
              </w:rPr>
            </w:pPr>
            <w:r>
              <w:rPr>
                <w:rFonts w:hint="eastAsia" w:ascii="宋体" w:hAnsi="宋体"/>
                <w:color w:val="auto"/>
                <w:kern w:val="0"/>
                <w:szCs w:val="21"/>
                <w:highlight w:val="none"/>
              </w:rPr>
              <w:t>修正率</w:t>
            </w:r>
          </w:p>
          <w:p w14:paraId="48CB74C3">
            <w:pPr>
              <w:rPr>
                <w:rFonts w:ascii="宋体" w:hAnsi="宋体"/>
                <w:color w:val="auto"/>
                <w:kern w:val="0"/>
                <w:szCs w:val="21"/>
                <w:highlight w:val="none"/>
              </w:rPr>
            </w:pP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10B229EE">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3C673C91">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04E434B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3D13126">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7D7F7760">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28B7120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4836F36">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652A53F">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2ECA3A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2718C9B">
            <w:pPr>
              <w:rPr>
                <w:rFonts w:ascii="宋体" w:hAnsi="宋体"/>
                <w:color w:val="auto"/>
                <w:kern w:val="0"/>
                <w:szCs w:val="21"/>
                <w:highlight w:val="none"/>
              </w:rPr>
            </w:pPr>
          </w:p>
        </w:tc>
      </w:tr>
      <w:tr w14:paraId="14182A2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E430924">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2C6BDFF5">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0AABA63F">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17654F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2129AB8">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1B76E0B">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E605FC7">
            <w:pPr>
              <w:rPr>
                <w:rFonts w:ascii="宋体" w:hAnsi="宋体"/>
                <w:color w:val="auto"/>
                <w:kern w:val="0"/>
                <w:szCs w:val="21"/>
                <w:highlight w:val="none"/>
              </w:rPr>
            </w:pPr>
          </w:p>
        </w:tc>
      </w:tr>
      <w:tr w14:paraId="58299E1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1AF1984">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77FA401">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47788B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0270862">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C564C22">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464B5F36">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FB57312">
            <w:pPr>
              <w:rPr>
                <w:rFonts w:ascii="宋体" w:hAnsi="宋体"/>
                <w:color w:val="auto"/>
                <w:kern w:val="0"/>
                <w:szCs w:val="21"/>
                <w:highlight w:val="none"/>
              </w:rPr>
            </w:pPr>
          </w:p>
        </w:tc>
      </w:tr>
      <w:tr w14:paraId="7189010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EE266CD">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110D8F4C">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7B83607B">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B1D0FB9">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9E547A5">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3E62D010">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BFC80DF">
            <w:pPr>
              <w:rPr>
                <w:rFonts w:ascii="宋体" w:hAnsi="宋体"/>
                <w:color w:val="auto"/>
                <w:kern w:val="0"/>
                <w:szCs w:val="21"/>
                <w:highlight w:val="none"/>
              </w:rPr>
            </w:pPr>
          </w:p>
        </w:tc>
      </w:tr>
      <w:tr w14:paraId="7F8142B8">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5EFE928">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61BF7A8">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822808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FDD8191">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43074ED">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EE0C699">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D662C81">
            <w:pPr>
              <w:rPr>
                <w:rFonts w:ascii="宋体" w:hAnsi="宋体"/>
                <w:color w:val="auto"/>
                <w:kern w:val="0"/>
                <w:szCs w:val="21"/>
                <w:highlight w:val="none"/>
              </w:rPr>
            </w:pPr>
          </w:p>
        </w:tc>
      </w:tr>
      <w:tr w14:paraId="5DBB98C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FEEB479">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71757382">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5588A955">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7431000">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739D1E4">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28D009E3">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099D142">
            <w:pPr>
              <w:rPr>
                <w:rFonts w:ascii="宋体" w:hAnsi="宋体"/>
                <w:color w:val="auto"/>
                <w:kern w:val="0"/>
                <w:szCs w:val="21"/>
                <w:highlight w:val="none"/>
              </w:rPr>
            </w:pPr>
          </w:p>
        </w:tc>
      </w:tr>
      <w:tr w14:paraId="31997BC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C802DE1">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2BE2F153">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55278467">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1FBE96DD">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03D403FC">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053AC72">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7638C0C4">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1BC19AE8">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3F3F1017">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2881EBB3">
      <w:pPr>
        <w:rPr>
          <w:color w:val="auto"/>
          <w:highlight w:val="none"/>
        </w:rPr>
      </w:pPr>
    </w:p>
    <w:p w14:paraId="6FD5E3CD">
      <w:pPr>
        <w:rPr>
          <w:color w:val="auto"/>
          <w:highlight w:val="none"/>
        </w:rPr>
      </w:pPr>
      <w:r>
        <w:rPr>
          <w:color w:val="auto"/>
          <w:highlight w:val="none"/>
        </w:rPr>
        <w:br w:type="page"/>
      </w:r>
    </w:p>
    <w:p w14:paraId="79E99D8F">
      <w:pPr>
        <w:jc w:val="center"/>
        <w:rPr>
          <w:b/>
          <w:color w:val="auto"/>
          <w:sz w:val="36"/>
          <w:szCs w:val="36"/>
          <w:highlight w:val="none"/>
        </w:rPr>
      </w:pPr>
      <w:r>
        <w:rPr>
          <w:rFonts w:hint="eastAsia"/>
          <w:b/>
          <w:color w:val="auto"/>
          <w:sz w:val="36"/>
          <w:szCs w:val="36"/>
          <w:highlight w:val="none"/>
        </w:rPr>
        <w:t>算术复核表</w:t>
      </w:r>
    </w:p>
    <w:p w14:paraId="00ED95A3">
      <w:pPr>
        <w:rPr>
          <w:color w:val="auto"/>
          <w:szCs w:val="21"/>
          <w:highlight w:val="none"/>
        </w:rPr>
      </w:pPr>
      <w:r>
        <w:rPr>
          <w:rFonts w:hint="eastAsia"/>
          <w:color w:val="auto"/>
          <w:szCs w:val="21"/>
          <w:highlight w:val="none"/>
        </w:rPr>
        <w:t>工程名称：</w:t>
      </w:r>
      <w:r>
        <w:rPr>
          <w:color w:val="auto"/>
          <w:szCs w:val="21"/>
          <w:highlight w:val="none"/>
        </w:rPr>
        <w:t xml:space="preserve"> </w:t>
      </w:r>
    </w:p>
    <w:tbl>
      <w:tblPr>
        <w:tblStyle w:val="2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5FBA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6B8F503">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14:paraId="73DD6C18">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14:paraId="08537673">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14:paraId="1EADD185">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14:paraId="15ADB994">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14:paraId="16DE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4BDEB4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2F3DED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D417321">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1BD5943B">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038A44E8">
            <w:pPr>
              <w:rPr>
                <w:color w:val="auto"/>
                <w:sz w:val="36"/>
                <w:szCs w:val="36"/>
                <w:highlight w:val="none"/>
              </w:rPr>
            </w:pPr>
          </w:p>
        </w:tc>
      </w:tr>
      <w:tr w14:paraId="148D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C7235CE">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6A78A48">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27962C5">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64BBC7CF">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4279AAB9">
            <w:pPr>
              <w:rPr>
                <w:color w:val="auto"/>
                <w:sz w:val="36"/>
                <w:szCs w:val="36"/>
                <w:highlight w:val="none"/>
              </w:rPr>
            </w:pPr>
          </w:p>
        </w:tc>
      </w:tr>
      <w:tr w14:paraId="4EFD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ADF878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0A2941EC">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2D3810FB">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5E8B323E">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204B29E">
            <w:pPr>
              <w:rPr>
                <w:color w:val="auto"/>
                <w:sz w:val="36"/>
                <w:szCs w:val="36"/>
                <w:highlight w:val="none"/>
              </w:rPr>
            </w:pPr>
          </w:p>
        </w:tc>
      </w:tr>
      <w:tr w14:paraId="74A4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593074F">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7212274D">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5081FF1E">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4D89B061">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6D44A623">
            <w:pPr>
              <w:rPr>
                <w:color w:val="auto"/>
                <w:sz w:val="36"/>
                <w:szCs w:val="36"/>
                <w:highlight w:val="none"/>
              </w:rPr>
            </w:pPr>
          </w:p>
        </w:tc>
      </w:tr>
      <w:tr w14:paraId="4684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E45F01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7801DFE">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67B71098">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2FA36CE7">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5A83A480">
            <w:pPr>
              <w:rPr>
                <w:color w:val="auto"/>
                <w:sz w:val="36"/>
                <w:szCs w:val="36"/>
                <w:highlight w:val="none"/>
              </w:rPr>
            </w:pPr>
          </w:p>
        </w:tc>
      </w:tr>
      <w:tr w14:paraId="3D34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5BA25F5">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495338A9">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1FDC4516">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E08E52C">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799348F6">
            <w:pPr>
              <w:rPr>
                <w:color w:val="auto"/>
                <w:sz w:val="36"/>
                <w:szCs w:val="36"/>
                <w:highlight w:val="none"/>
              </w:rPr>
            </w:pPr>
          </w:p>
        </w:tc>
      </w:tr>
      <w:tr w14:paraId="0C89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2051B56A">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205D0D56">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78CF4C0D">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CD58DFA">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14186252">
            <w:pPr>
              <w:rPr>
                <w:color w:val="auto"/>
                <w:sz w:val="36"/>
                <w:szCs w:val="36"/>
                <w:highlight w:val="none"/>
              </w:rPr>
            </w:pPr>
          </w:p>
        </w:tc>
      </w:tr>
      <w:tr w14:paraId="3DCE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498B62AC">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14:paraId="394A26C9">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14:paraId="4B9C8D9E">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14:paraId="01D46603">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14:paraId="33555B76">
            <w:pPr>
              <w:rPr>
                <w:color w:val="auto"/>
                <w:sz w:val="36"/>
                <w:szCs w:val="36"/>
                <w:highlight w:val="none"/>
              </w:rPr>
            </w:pPr>
          </w:p>
        </w:tc>
      </w:tr>
    </w:tbl>
    <w:p w14:paraId="639913FF">
      <w:pPr>
        <w:rPr>
          <w:color w:val="auto"/>
          <w:szCs w:val="21"/>
          <w:highlight w:val="none"/>
        </w:rPr>
      </w:pPr>
      <w:r>
        <w:rPr>
          <w:rFonts w:hint="eastAsia"/>
          <w:color w:val="auto"/>
          <w:szCs w:val="21"/>
          <w:highlight w:val="none"/>
        </w:rPr>
        <w:t>评委签名：</w:t>
      </w:r>
    </w:p>
    <w:p w14:paraId="48999083">
      <w:pPr>
        <w:widowControl/>
        <w:jc w:val="left"/>
        <w:rPr>
          <w:rFonts w:ascii="仿宋_GB2312" w:hAnsi="宋体" w:eastAsia="仿宋_GB2312"/>
          <w:color w:val="auto"/>
          <w:szCs w:val="21"/>
          <w:highlight w:val="none"/>
        </w:rPr>
        <w:sectPr>
          <w:headerReference r:id="rId8" w:type="first"/>
          <w:footerReference r:id="rId11" w:type="first"/>
          <w:headerReference r:id="rId6" w:type="default"/>
          <w:footerReference r:id="rId9" w:type="default"/>
          <w:headerReference r:id="rId7" w:type="even"/>
          <w:footerReference r:id="rId10" w:type="even"/>
          <w:endnotePr>
            <w:numFmt w:val="decimal"/>
          </w:endnotePr>
          <w:pgSz w:w="16838" w:h="11906" w:orient="landscape"/>
          <w:pgMar w:top="993" w:right="1247" w:bottom="1276" w:left="1134" w:header="851" w:footer="907" w:gutter="0"/>
          <w:pgBorders>
            <w:top w:val="none" w:sz="0" w:space="0"/>
            <w:left w:val="none" w:sz="0" w:space="0"/>
            <w:bottom w:val="none" w:sz="0" w:space="0"/>
            <w:right w:val="none" w:sz="0" w:space="0"/>
          </w:pgBorders>
          <w:cols w:space="720" w:num="1"/>
          <w:titlePg/>
          <w:docGrid w:type="lines" w:linePitch="312" w:charSpace="0"/>
        </w:sectPr>
      </w:pPr>
    </w:p>
    <w:p w14:paraId="663D1D8D">
      <w:pPr>
        <w:keepNext/>
        <w:keepLines/>
        <w:spacing w:before="120" w:after="120" w:line="360" w:lineRule="auto"/>
        <w:jc w:val="center"/>
        <w:outlineLvl w:val="0"/>
        <w:rPr>
          <w:b/>
          <w:color w:val="auto"/>
          <w:kern w:val="44"/>
          <w:sz w:val="28"/>
          <w:szCs w:val="28"/>
          <w:highlight w:val="none"/>
        </w:rPr>
      </w:pPr>
      <w:bookmarkStart w:id="31" w:name="_Toc62056029"/>
      <w:r>
        <w:rPr>
          <w:rFonts w:hint="eastAsia"/>
          <w:b/>
          <w:color w:val="auto"/>
          <w:kern w:val="44"/>
          <w:sz w:val="28"/>
          <w:szCs w:val="28"/>
          <w:highlight w:val="none"/>
        </w:rPr>
        <w:t>第三章</w:t>
      </w:r>
      <w:r>
        <w:rPr>
          <w:b/>
          <w:color w:val="auto"/>
          <w:kern w:val="44"/>
          <w:sz w:val="28"/>
          <w:szCs w:val="28"/>
          <w:highlight w:val="none"/>
        </w:rPr>
        <w:t xml:space="preserve">  </w:t>
      </w:r>
      <w:r>
        <w:rPr>
          <w:rFonts w:hint="eastAsia"/>
          <w:b/>
          <w:color w:val="auto"/>
          <w:kern w:val="44"/>
          <w:sz w:val="28"/>
          <w:szCs w:val="28"/>
          <w:highlight w:val="none"/>
        </w:rPr>
        <w:t>合同条款</w:t>
      </w:r>
      <w:bookmarkEnd w:id="30"/>
      <w:bookmarkEnd w:id="31"/>
    </w:p>
    <w:p w14:paraId="6DC8CF4C">
      <w:pPr>
        <w:jc w:val="center"/>
        <w:rPr>
          <w:rFonts w:ascii="宋体"/>
          <w:b/>
          <w:color w:val="auto"/>
          <w:sz w:val="28"/>
          <w:szCs w:val="24"/>
          <w:highlight w:val="none"/>
        </w:rPr>
      </w:pPr>
      <w:r>
        <w:rPr>
          <w:rFonts w:hint="eastAsia"/>
          <w:color w:val="auto"/>
          <w:sz w:val="28"/>
          <w:szCs w:val="24"/>
          <w:highlight w:val="none"/>
        </w:rPr>
        <w:t>（</w:t>
      </w:r>
      <w:r>
        <w:rPr>
          <w:rFonts w:hint="eastAsia" w:ascii="宋体" w:hAnsi="宋体"/>
          <w:color w:val="auto"/>
          <w:sz w:val="28"/>
          <w:szCs w:val="24"/>
          <w:highlight w:val="none"/>
        </w:rPr>
        <w:t>另册</w:t>
      </w:r>
      <w:r>
        <w:rPr>
          <w:rFonts w:hint="eastAsia"/>
          <w:color w:val="auto"/>
          <w:sz w:val="28"/>
          <w:szCs w:val="24"/>
          <w:highlight w:val="none"/>
        </w:rPr>
        <w:t>）</w:t>
      </w:r>
    </w:p>
    <w:p w14:paraId="7DEC4C75">
      <w:pPr>
        <w:rPr>
          <w:b/>
          <w:color w:val="auto"/>
          <w:kern w:val="44"/>
          <w:sz w:val="28"/>
          <w:szCs w:val="28"/>
          <w:highlight w:val="none"/>
        </w:rPr>
      </w:pPr>
      <w:bookmarkStart w:id="32" w:name="_Toc2272567"/>
      <w:bookmarkStart w:id="33" w:name="_Toc62056030"/>
      <w:r>
        <w:rPr>
          <w:rFonts w:hint="eastAsia"/>
          <w:b/>
          <w:color w:val="auto"/>
          <w:kern w:val="44"/>
          <w:sz w:val="28"/>
          <w:szCs w:val="28"/>
          <w:highlight w:val="none"/>
        </w:rPr>
        <w:br w:type="page"/>
      </w:r>
    </w:p>
    <w:p w14:paraId="3CDCECB4">
      <w:pPr>
        <w:jc w:val="center"/>
        <w:rPr>
          <w:b/>
          <w:color w:val="auto"/>
          <w:kern w:val="44"/>
          <w:sz w:val="28"/>
          <w:szCs w:val="28"/>
          <w:highlight w:val="none"/>
        </w:rPr>
      </w:pPr>
      <w:r>
        <w:rPr>
          <w:rFonts w:hint="eastAsia"/>
          <w:b/>
          <w:color w:val="auto"/>
          <w:kern w:val="44"/>
          <w:sz w:val="28"/>
          <w:szCs w:val="28"/>
          <w:highlight w:val="none"/>
        </w:rPr>
        <w:t>第四章</w:t>
      </w:r>
      <w:r>
        <w:rPr>
          <w:b/>
          <w:color w:val="auto"/>
          <w:kern w:val="44"/>
          <w:sz w:val="28"/>
          <w:szCs w:val="28"/>
          <w:highlight w:val="none"/>
        </w:rPr>
        <w:t xml:space="preserve">  </w:t>
      </w:r>
      <w:r>
        <w:rPr>
          <w:rFonts w:hint="eastAsia"/>
          <w:b/>
          <w:color w:val="auto"/>
          <w:kern w:val="44"/>
          <w:sz w:val="28"/>
          <w:szCs w:val="28"/>
          <w:highlight w:val="none"/>
        </w:rPr>
        <w:t>投标文件格式</w:t>
      </w:r>
      <w:bookmarkEnd w:id="32"/>
      <w:bookmarkEnd w:id="33"/>
    </w:p>
    <w:p w14:paraId="697270EF">
      <w:pPr>
        <w:spacing w:after="120"/>
        <w:ind w:firstLine="420"/>
        <w:jc w:val="center"/>
        <w:outlineLvl w:val="1"/>
        <w:rPr>
          <w:rFonts w:ascii="宋体" w:hAnsi="宋体"/>
          <w:b/>
          <w:color w:val="auto"/>
          <w:sz w:val="28"/>
          <w:szCs w:val="24"/>
          <w:highlight w:val="none"/>
        </w:rPr>
      </w:pPr>
      <w:bookmarkStart w:id="34" w:name="_Toc9279"/>
      <w:bookmarkStart w:id="35" w:name="_Toc62056031"/>
      <w:bookmarkStart w:id="36" w:name="_Toc504722502"/>
      <w:r>
        <w:rPr>
          <w:rFonts w:hint="eastAsia" w:ascii="宋体" w:hAnsi="宋体"/>
          <w:b/>
          <w:color w:val="auto"/>
          <w:sz w:val="28"/>
          <w:szCs w:val="24"/>
          <w:highlight w:val="none"/>
        </w:rPr>
        <w:t>一、技术标投标文件格式</w:t>
      </w:r>
      <w:bookmarkEnd w:id="34"/>
      <w:bookmarkEnd w:id="35"/>
      <w:bookmarkEnd w:id="36"/>
    </w:p>
    <w:p w14:paraId="63712748">
      <w:pPr>
        <w:widowControl/>
        <w:topLinePunct/>
        <w:adjustRightInd w:val="0"/>
        <w:snapToGrid w:val="0"/>
        <w:spacing w:after="200"/>
        <w:jc w:val="left"/>
        <w:outlineLvl w:val="2"/>
        <w:rPr>
          <w:rFonts w:ascii="宋体" w:hAnsi="宋体"/>
          <w:color w:val="auto"/>
          <w:spacing w:val="4"/>
          <w:kern w:val="0"/>
          <w:sz w:val="24"/>
          <w:szCs w:val="24"/>
          <w:highlight w:val="none"/>
        </w:rPr>
      </w:pPr>
      <w:r>
        <w:rPr>
          <w:rFonts w:ascii="宋体" w:hAnsi="宋体"/>
          <w:b/>
          <w:color w:val="auto"/>
          <w:sz w:val="28"/>
          <w:szCs w:val="24"/>
          <w:highlight w:val="none"/>
        </w:rPr>
        <w:br w:type="page"/>
      </w:r>
      <w:bookmarkStart w:id="37" w:name="_Toc29476911"/>
      <w:bookmarkStart w:id="38" w:name="_Toc504722503"/>
      <w:bookmarkStart w:id="39" w:name="_Toc4489935"/>
      <w:bookmarkStart w:id="40" w:name="_Toc62056032"/>
      <w:bookmarkStart w:id="41" w:name="_Toc24194"/>
      <w:r>
        <w:rPr>
          <w:rFonts w:hint="eastAsia" w:ascii="宋体" w:hAnsi="宋体"/>
          <w:color w:val="auto"/>
          <w:spacing w:val="4"/>
          <w:kern w:val="0"/>
          <w:sz w:val="24"/>
          <w:szCs w:val="24"/>
          <w:highlight w:val="none"/>
        </w:rPr>
        <w:t>格式一：技术标封面</w:t>
      </w:r>
      <w:bookmarkEnd w:id="37"/>
      <w:bookmarkEnd w:id="38"/>
      <w:bookmarkEnd w:id="39"/>
      <w:bookmarkEnd w:id="40"/>
      <w:bookmarkEnd w:id="41"/>
    </w:p>
    <w:p w14:paraId="0C2F34C2">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1BBD40E5">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62BAA27A">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C2D6AB5">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FE6D72A">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23A7645">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CC956AF">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463B4414">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第一册  【技术投标书（含资格审查文件）】</w:t>
      </w:r>
    </w:p>
    <w:p w14:paraId="17C9DE00">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53ABDCE">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BA59959">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53E1A897">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r>
        <w:rPr>
          <w:rFonts w:hint="eastAsia" w:ascii="宋体" w:hAnsi="宋体"/>
          <w:color w:val="auto"/>
          <w:spacing w:val="4"/>
          <w:kern w:val="0"/>
          <w:sz w:val="30"/>
          <w:szCs w:val="30"/>
          <w:highlight w:val="none"/>
          <w:u w:val="single"/>
        </w:rPr>
        <w:t xml:space="preserve">    </w:t>
      </w:r>
      <w:bookmarkStart w:id="42" w:name="_Toc226209002"/>
      <w:bookmarkStart w:id="43" w:name="_Toc239311745"/>
      <w:bookmarkStart w:id="44" w:name="_Toc163337619"/>
      <w:bookmarkStart w:id="45" w:name="_Toc318924494"/>
      <w:bookmarkStart w:id="46" w:name="_Toc239216030"/>
      <w:bookmarkStart w:id="47" w:name="_Toc337720090"/>
      <w:bookmarkStart w:id="48" w:name="_Toc369536769"/>
      <w:bookmarkStart w:id="49" w:name="_Toc352240522"/>
      <w:bookmarkStart w:id="50" w:name="_Toc395261098"/>
      <w:bookmarkStart w:id="51" w:name="_Toc352623420"/>
      <w:bookmarkStart w:id="52" w:name="_Toc449308419"/>
      <w:bookmarkStart w:id="53" w:name="_Toc358370577"/>
      <w:bookmarkStart w:id="54" w:name="_Toc484958691"/>
      <w:bookmarkStart w:id="55" w:name="_Toc464131223"/>
      <w:r>
        <w:rPr>
          <w:rFonts w:hint="eastAsia" w:ascii="宋体" w:hAnsi="宋体"/>
          <w:color w:val="auto"/>
          <w:spacing w:val="4"/>
          <w:kern w:val="0"/>
          <w:sz w:val="30"/>
          <w:szCs w:val="30"/>
          <w:highlight w:val="none"/>
          <w:u w:val="single"/>
        </w:rPr>
        <w:t xml:space="preserve">    （填写投标人单位名称）</w:t>
      </w:r>
      <w:bookmarkEnd w:id="42"/>
      <w:bookmarkEnd w:id="43"/>
      <w:bookmarkEnd w:id="44"/>
      <w:bookmarkEnd w:id="45"/>
      <w:bookmarkEnd w:id="46"/>
      <w:bookmarkEnd w:id="47"/>
      <w:r>
        <w:rPr>
          <w:rFonts w:hint="eastAsia" w:ascii="宋体" w:hAnsi="宋体"/>
          <w:color w:val="auto"/>
          <w:spacing w:val="4"/>
          <w:kern w:val="0"/>
          <w:sz w:val="30"/>
          <w:szCs w:val="30"/>
          <w:highlight w:val="none"/>
          <w:u w:val="single"/>
        </w:rPr>
        <w:t xml:space="preserve">  （</w:t>
      </w:r>
      <w:bookmarkEnd w:id="48"/>
      <w:bookmarkEnd w:id="49"/>
      <w:bookmarkEnd w:id="50"/>
      <w:bookmarkEnd w:id="51"/>
      <w:bookmarkEnd w:id="52"/>
      <w:bookmarkEnd w:id="53"/>
      <w:bookmarkEnd w:id="54"/>
      <w:bookmarkEnd w:id="55"/>
      <w:r>
        <w:rPr>
          <w:rFonts w:hint="eastAsia" w:ascii="宋体" w:hAnsi="宋体"/>
          <w:color w:val="auto"/>
          <w:spacing w:val="4"/>
          <w:kern w:val="0"/>
          <w:sz w:val="30"/>
          <w:szCs w:val="30"/>
          <w:highlight w:val="none"/>
          <w:u w:val="single"/>
        </w:rPr>
        <w:t>盖章）</w:t>
      </w:r>
    </w:p>
    <w:p w14:paraId="75E66262">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14:paraId="5212BEF8">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7C76F83F">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（签名或盖章）</w:t>
      </w:r>
    </w:p>
    <w:p w14:paraId="232DA147">
      <w:pPr>
        <w:widowControl/>
        <w:topLinePunct/>
        <w:adjustRightInd w:val="0"/>
        <w:snapToGrid w:val="0"/>
        <w:spacing w:after="200" w:line="360" w:lineRule="auto"/>
        <w:ind w:firstLine="616" w:firstLineChars="200"/>
        <w:jc w:val="left"/>
        <w:rPr>
          <w:rFonts w:ascii="宋体" w:hAnsi="宋体"/>
          <w:color w:val="auto"/>
          <w:sz w:val="24"/>
          <w:szCs w:val="24"/>
          <w:highlight w:val="none"/>
        </w:rPr>
      </w:pPr>
      <w:r>
        <w:rPr>
          <w:rFonts w:hint="eastAsia" w:ascii="宋体" w:hAnsi="宋体"/>
          <w:snapToGrid w:val="0"/>
          <w:color w:val="auto"/>
          <w:spacing w:val="4"/>
          <w:kern w:val="0"/>
          <w:sz w:val="30"/>
          <w:szCs w:val="30"/>
          <w:highlight w:val="none"/>
        </w:rPr>
        <w:t>日  期：</w:t>
      </w:r>
      <w:r>
        <w:rPr>
          <w:rFonts w:hint="eastAsia" w:ascii="宋体" w:hAnsi="宋体"/>
          <w:color w:val="auto"/>
          <w:highlight w:val="none"/>
          <w:u w:val="single"/>
        </w:rPr>
        <w:t xml:space="preserve">                                            </w:t>
      </w:r>
    </w:p>
    <w:p w14:paraId="46E91933">
      <w:pPr>
        <w:widowControl/>
        <w:topLinePunct/>
        <w:adjustRightInd w:val="0"/>
        <w:snapToGrid w:val="0"/>
        <w:spacing w:after="200"/>
        <w:jc w:val="left"/>
        <w:outlineLvl w:val="2"/>
        <w:rPr>
          <w:rFonts w:ascii="宋体" w:hAnsi="宋体"/>
          <w:color w:val="auto"/>
          <w:spacing w:val="4"/>
          <w:kern w:val="0"/>
          <w:sz w:val="24"/>
          <w:szCs w:val="24"/>
          <w:highlight w:val="none"/>
        </w:rPr>
      </w:pPr>
      <w:r>
        <w:rPr>
          <w:b/>
          <w:color w:val="auto"/>
          <w:highlight w:val="none"/>
        </w:rPr>
        <w:br w:type="page"/>
      </w:r>
      <w:bookmarkStart w:id="56" w:name="_Toc29476912"/>
      <w:bookmarkStart w:id="57" w:name="_Toc62056033"/>
      <w:bookmarkStart w:id="58" w:name="_Toc4489936"/>
      <w:r>
        <w:rPr>
          <w:rFonts w:hint="eastAsia" w:ascii="宋体" w:hAnsi="宋体"/>
          <w:color w:val="auto"/>
          <w:spacing w:val="4"/>
          <w:kern w:val="0"/>
          <w:sz w:val="24"/>
          <w:szCs w:val="24"/>
          <w:highlight w:val="none"/>
        </w:rPr>
        <w:t>格式二：广州建设工程施工招标投标书</w:t>
      </w:r>
      <w:bookmarkEnd w:id="56"/>
      <w:bookmarkEnd w:id="57"/>
      <w:bookmarkEnd w:id="58"/>
    </w:p>
    <w:p w14:paraId="0B3D1220">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14:paraId="24879B56">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25"/>
        <w:tblpPr w:leftFromText="180" w:rightFromText="180" w:vertAnchor="text" w:horzAnchor="margin" w:tblpXSpec="center" w:tblpY="275"/>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16E2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853B524">
            <w:pPr>
              <w:autoSpaceDE w:val="0"/>
              <w:autoSpaceDN w:val="0"/>
              <w:adjustRightInd w:val="0"/>
              <w:jc w:val="center"/>
              <w:rPr>
                <w:rFonts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vAlign w:val="center"/>
          </w:tcPr>
          <w:p w14:paraId="343AE3A6">
            <w:pPr>
              <w:autoSpaceDE w:val="0"/>
              <w:autoSpaceDN w:val="0"/>
              <w:adjustRightInd w:val="0"/>
              <w:jc w:val="center"/>
              <w:rPr>
                <w:rFonts w:ascii="宋体" w:cs="宋体"/>
                <w:b/>
                <w:bCs/>
                <w:color w:val="auto"/>
                <w:sz w:val="24"/>
                <w:szCs w:val="24"/>
                <w:highlight w:val="none"/>
                <w:lang w:val="zh-CN"/>
              </w:rPr>
            </w:pPr>
          </w:p>
        </w:tc>
      </w:tr>
      <w:tr w14:paraId="06E8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DA13833">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8986485">
            <w:pPr>
              <w:autoSpaceDE w:val="0"/>
              <w:autoSpaceDN w:val="0"/>
              <w:adjustRightInd w:val="0"/>
              <w:jc w:val="center"/>
              <w:rPr>
                <w:rFonts w:ascii="宋体" w:cs="宋体"/>
                <w:b/>
                <w:bCs/>
                <w:color w:val="auto"/>
                <w:sz w:val="24"/>
                <w:szCs w:val="24"/>
                <w:highlight w:val="none"/>
                <w:lang w:val="zh-CN"/>
              </w:rPr>
            </w:pPr>
          </w:p>
        </w:tc>
      </w:tr>
      <w:tr w14:paraId="149B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2B84C07">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其中：人工费（元）</w:t>
            </w:r>
          </w:p>
        </w:tc>
        <w:tc>
          <w:tcPr>
            <w:tcW w:w="3574" w:type="dxa"/>
            <w:tcBorders>
              <w:top w:val="single" w:color="auto" w:sz="4" w:space="0"/>
              <w:left w:val="single" w:color="auto" w:sz="4" w:space="0"/>
              <w:bottom w:val="single" w:color="auto" w:sz="4" w:space="0"/>
              <w:right w:val="single" w:color="auto" w:sz="4" w:space="0"/>
            </w:tcBorders>
            <w:vAlign w:val="center"/>
          </w:tcPr>
          <w:p w14:paraId="4D2BB264">
            <w:pPr>
              <w:autoSpaceDE w:val="0"/>
              <w:autoSpaceDN w:val="0"/>
              <w:adjustRightInd w:val="0"/>
              <w:jc w:val="center"/>
              <w:rPr>
                <w:rFonts w:ascii="宋体" w:cs="宋体"/>
                <w:b/>
                <w:bCs/>
                <w:color w:val="auto"/>
                <w:sz w:val="24"/>
                <w:szCs w:val="24"/>
                <w:highlight w:val="none"/>
                <w:lang w:val="zh-CN"/>
              </w:rPr>
            </w:pPr>
          </w:p>
        </w:tc>
      </w:tr>
      <w:tr w14:paraId="7784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22845218">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其中：绿色施工安全防护措施费（元）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51D367D2">
            <w:pPr>
              <w:autoSpaceDE w:val="0"/>
              <w:autoSpaceDN w:val="0"/>
              <w:adjustRightInd w:val="0"/>
              <w:jc w:val="center"/>
              <w:rPr>
                <w:rFonts w:ascii="宋体" w:cs="宋体"/>
                <w:b/>
                <w:bCs/>
                <w:color w:val="auto"/>
                <w:sz w:val="24"/>
                <w:szCs w:val="24"/>
                <w:highlight w:val="none"/>
                <w:lang w:val="zh-CN"/>
              </w:rPr>
            </w:pPr>
          </w:p>
        </w:tc>
      </w:tr>
      <w:tr w14:paraId="665E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1719A96">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总工 期</w:t>
            </w:r>
          </w:p>
        </w:tc>
        <w:tc>
          <w:tcPr>
            <w:tcW w:w="3574" w:type="dxa"/>
            <w:tcBorders>
              <w:top w:val="single" w:color="auto" w:sz="4" w:space="0"/>
              <w:left w:val="single" w:color="auto" w:sz="4" w:space="0"/>
              <w:bottom w:val="single" w:color="auto" w:sz="4" w:space="0"/>
              <w:right w:val="single" w:color="auto" w:sz="4" w:space="0"/>
            </w:tcBorders>
            <w:vAlign w:val="center"/>
          </w:tcPr>
          <w:p w14:paraId="6145DC11">
            <w:pPr>
              <w:autoSpaceDE w:val="0"/>
              <w:autoSpaceDN w:val="0"/>
              <w:adjustRightInd w:val="0"/>
              <w:jc w:val="center"/>
              <w:rPr>
                <w:rFonts w:ascii="宋体" w:cs="宋体"/>
                <w:b/>
                <w:bCs/>
                <w:color w:val="auto"/>
                <w:sz w:val="24"/>
                <w:szCs w:val="24"/>
                <w:highlight w:val="none"/>
                <w:lang w:val="zh-CN"/>
              </w:rPr>
            </w:pPr>
          </w:p>
        </w:tc>
      </w:tr>
      <w:tr w14:paraId="109B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8ECE88C">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vAlign w:val="center"/>
          </w:tcPr>
          <w:p w14:paraId="76ADD14E">
            <w:pPr>
              <w:autoSpaceDE w:val="0"/>
              <w:autoSpaceDN w:val="0"/>
              <w:adjustRightInd w:val="0"/>
              <w:jc w:val="center"/>
              <w:rPr>
                <w:color w:val="auto"/>
                <w:highlight w:val="none"/>
              </w:rPr>
            </w:pPr>
          </w:p>
        </w:tc>
      </w:tr>
      <w:tr w14:paraId="5936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500ABCC">
            <w:pPr>
              <w:autoSpaceDE w:val="0"/>
              <w:autoSpaceDN w:val="0"/>
              <w:adjustRightInd w:val="0"/>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3574" w:type="dxa"/>
            <w:tcBorders>
              <w:top w:val="single" w:color="auto" w:sz="4" w:space="0"/>
              <w:left w:val="single" w:color="auto" w:sz="4" w:space="0"/>
              <w:bottom w:val="single" w:color="auto" w:sz="4" w:space="0"/>
              <w:right w:val="single" w:color="auto" w:sz="4" w:space="0"/>
            </w:tcBorders>
            <w:vAlign w:val="center"/>
          </w:tcPr>
          <w:p w14:paraId="198EC5E1">
            <w:pPr>
              <w:autoSpaceDE w:val="0"/>
              <w:autoSpaceDN w:val="0"/>
              <w:adjustRightInd w:val="0"/>
              <w:jc w:val="center"/>
              <w:rPr>
                <w:rFonts w:ascii="宋体" w:cs="宋体"/>
                <w:b/>
                <w:bCs/>
                <w:color w:val="auto"/>
                <w:sz w:val="24"/>
                <w:szCs w:val="24"/>
                <w:highlight w:val="none"/>
                <w:lang w:val="zh-CN"/>
              </w:rPr>
            </w:pPr>
          </w:p>
        </w:tc>
      </w:tr>
    </w:tbl>
    <w:p w14:paraId="7B638C36">
      <w:pPr>
        <w:tabs>
          <w:tab w:val="left" w:pos="720"/>
        </w:tabs>
        <w:snapToGrid w:val="0"/>
        <w:spacing w:line="360" w:lineRule="auto"/>
        <w:rPr>
          <w:color w:val="auto"/>
          <w:sz w:val="24"/>
          <w:szCs w:val="24"/>
          <w:highlight w:val="none"/>
        </w:rPr>
      </w:pPr>
    </w:p>
    <w:p w14:paraId="5B87827E">
      <w:pPr>
        <w:rPr>
          <w:rFonts w:ascii="宋体" w:hAnsi="宋体"/>
          <w:b/>
          <w:snapToGrid w:val="0"/>
          <w:color w:val="auto"/>
          <w:spacing w:val="4"/>
          <w:sz w:val="24"/>
          <w:szCs w:val="24"/>
          <w:highlight w:val="none"/>
        </w:rPr>
      </w:pPr>
      <w:r>
        <w:rPr>
          <w:color w:val="auto"/>
          <w:sz w:val="24"/>
          <w:szCs w:val="24"/>
          <w:highlight w:val="none"/>
        </w:rPr>
        <w:br w:type="page"/>
      </w:r>
    </w:p>
    <w:p w14:paraId="07C482A8">
      <w:pPr>
        <w:widowControl/>
        <w:topLinePunct/>
        <w:adjustRightInd w:val="0"/>
        <w:snapToGrid w:val="0"/>
        <w:spacing w:after="200"/>
        <w:jc w:val="left"/>
        <w:outlineLvl w:val="2"/>
        <w:rPr>
          <w:rFonts w:ascii="宋体" w:hAnsi="宋体"/>
          <w:color w:val="auto"/>
          <w:spacing w:val="4"/>
          <w:kern w:val="0"/>
          <w:sz w:val="24"/>
          <w:szCs w:val="24"/>
          <w:highlight w:val="none"/>
        </w:rPr>
      </w:pPr>
      <w:bookmarkStart w:id="59" w:name="_Toc504722505"/>
      <w:bookmarkStart w:id="60" w:name="_Toc29476913"/>
      <w:bookmarkStart w:id="61" w:name="_Toc22278"/>
      <w:bookmarkStart w:id="62" w:name="_Toc4489937"/>
      <w:bookmarkStart w:id="63" w:name="_Toc62056034"/>
      <w:r>
        <w:rPr>
          <w:rFonts w:hint="eastAsia" w:ascii="宋体" w:hAnsi="宋体"/>
          <w:color w:val="auto"/>
          <w:spacing w:val="4"/>
          <w:kern w:val="0"/>
          <w:sz w:val="24"/>
          <w:szCs w:val="24"/>
          <w:highlight w:val="none"/>
        </w:rPr>
        <w:t>格式三：投标函</w:t>
      </w:r>
      <w:bookmarkEnd w:id="59"/>
      <w:bookmarkEnd w:id="60"/>
      <w:bookmarkEnd w:id="61"/>
      <w:bookmarkEnd w:id="62"/>
      <w:bookmarkEnd w:id="63"/>
    </w:p>
    <w:p w14:paraId="746FB831">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投 标 函</w:t>
      </w:r>
    </w:p>
    <w:p w14:paraId="6CBCF3AD">
      <w:pPr>
        <w:keepNext w:val="0"/>
        <w:keepLines w:val="0"/>
        <w:pageBreakBefore w:val="0"/>
        <w:widowControl/>
        <w:kinsoku/>
        <w:wordWrap/>
        <w:overflowPunct/>
        <w:topLinePunct/>
        <w:autoSpaceDE/>
        <w:autoSpaceDN/>
        <w:bidi w:val="0"/>
        <w:adjustRightInd w:val="0"/>
        <w:snapToGrid w:val="0"/>
        <w:spacing w:after="2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致：</w:t>
      </w:r>
      <w:r>
        <w:rPr>
          <w:rFonts w:hint="eastAsia" w:ascii="宋体" w:hAnsi="宋体"/>
          <w:color w:val="auto"/>
          <w:spacing w:val="4"/>
          <w:kern w:val="0"/>
          <w:sz w:val="24"/>
          <w:szCs w:val="24"/>
          <w:highlight w:val="none"/>
          <w:u w:val="single"/>
        </w:rPr>
        <w:t xml:space="preserve"> （招标人名称） </w:t>
      </w:r>
    </w:p>
    <w:p w14:paraId="3A21038C">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1.根据招标人</w:t>
      </w:r>
      <w:r>
        <w:rPr>
          <w:rFonts w:hint="eastAsia" w:ascii="宋体" w:hAnsi="宋体"/>
          <w:color w:val="auto"/>
          <w:spacing w:val="4"/>
          <w:kern w:val="0"/>
          <w:sz w:val="24"/>
          <w:szCs w:val="24"/>
          <w:highlight w:val="none"/>
          <w:u w:val="single"/>
        </w:rPr>
        <w:t xml:space="preserve"> （工程项目名称） </w:t>
      </w:r>
      <w:r>
        <w:rPr>
          <w:rFonts w:hint="eastAsia" w:ascii="宋体" w:hAnsi="宋体"/>
          <w:color w:val="auto"/>
          <w:spacing w:val="4"/>
          <w:kern w:val="0"/>
          <w:sz w:val="24"/>
          <w:szCs w:val="24"/>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070279BF">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2.我方已详细审核全部招标文件，包括修改文件（如有时）及有关附件。</w:t>
      </w:r>
    </w:p>
    <w:p w14:paraId="406D08E5">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hint="eastAsia" w:ascii="宋体" w:hAnsi="宋体" w:eastAsia="宋体"/>
          <w:color w:val="auto"/>
          <w:spacing w:val="4"/>
          <w:kern w:val="0"/>
          <w:sz w:val="24"/>
          <w:szCs w:val="24"/>
          <w:highlight w:val="none"/>
          <w:lang w:eastAsia="zh-CN"/>
        </w:rPr>
      </w:pPr>
      <w:r>
        <w:rPr>
          <w:rFonts w:hint="eastAsia" w:ascii="宋体" w:hAnsi="宋体"/>
          <w:color w:val="auto"/>
          <w:spacing w:val="4"/>
          <w:kern w:val="0"/>
          <w:sz w:val="24"/>
          <w:szCs w:val="24"/>
          <w:highlight w:val="none"/>
        </w:rPr>
        <w:t>3.如果我方中标，我方保证按照合同文件中规定的开工日期开始施工，并按规定的预计竣工日期完成和交付全部工程</w:t>
      </w:r>
      <w:r>
        <w:rPr>
          <w:rFonts w:hint="eastAsia" w:ascii="宋体" w:hAnsi="宋体"/>
          <w:color w:val="auto"/>
          <w:spacing w:val="4"/>
          <w:kern w:val="0"/>
          <w:sz w:val="24"/>
          <w:szCs w:val="24"/>
          <w:highlight w:val="none"/>
          <w:lang w:eastAsia="zh-CN"/>
        </w:rPr>
        <w:t>，</w:t>
      </w:r>
      <w:r>
        <w:rPr>
          <w:rFonts w:hint="eastAsia" w:ascii="宋体" w:hAnsi="宋体"/>
          <w:color w:val="auto"/>
          <w:spacing w:val="4"/>
          <w:kern w:val="0"/>
          <w:sz w:val="24"/>
          <w:szCs w:val="24"/>
          <w:highlight w:val="none"/>
          <w:lang w:val="en-US" w:eastAsia="zh-CN"/>
        </w:rPr>
        <w:t>不</w:t>
      </w:r>
      <w:r>
        <w:rPr>
          <w:rFonts w:hint="eastAsia" w:ascii="宋体" w:hAnsi="宋体"/>
          <w:color w:val="auto"/>
          <w:spacing w:val="4"/>
          <w:kern w:val="0"/>
          <w:sz w:val="24"/>
          <w:szCs w:val="24"/>
          <w:highlight w:val="none"/>
        </w:rPr>
        <w:t>转包和违法分包</w:t>
      </w:r>
      <w:r>
        <w:rPr>
          <w:rFonts w:hint="eastAsia" w:ascii="宋体" w:hAnsi="宋体"/>
          <w:color w:val="auto"/>
          <w:spacing w:val="4"/>
          <w:kern w:val="0"/>
          <w:sz w:val="24"/>
          <w:szCs w:val="24"/>
          <w:highlight w:val="none"/>
          <w:lang w:eastAsia="zh-CN"/>
        </w:rPr>
        <w:t>。</w:t>
      </w:r>
    </w:p>
    <w:p w14:paraId="19ECC9F6">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4.如果我方中标，我方承诺在充分考虑场地环境变化及政策性调整等风险因素的前提下，继续补充完善施工组织设计，直至招标人满意为止并加以实施，由此产生的费用已包含在投标报价中。</w:t>
      </w:r>
    </w:p>
    <w:p w14:paraId="48B9A0AF">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u w:val="single"/>
        </w:rPr>
      </w:pPr>
      <w:r>
        <w:rPr>
          <w:rFonts w:hint="eastAsia" w:ascii="宋体" w:hAnsi="宋体"/>
          <w:color w:val="auto"/>
          <w:spacing w:val="4"/>
          <w:kern w:val="0"/>
          <w:sz w:val="24"/>
          <w:szCs w:val="24"/>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730486B4">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6.如果我方中标，我方将按照招标文件的规定，按时提交履约担保，以保障本项目优质、优价、按期、顺利完成。</w:t>
      </w:r>
    </w:p>
    <w:p w14:paraId="107DD038">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7.我方同意所提交的投标文件在招标文件投标须知中第13条规定的投标有效期内有效，在此期限届满之前，本投标书始终将对我方具有约束力，并随时接受中标。</w:t>
      </w:r>
    </w:p>
    <w:p w14:paraId="74C5B376">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8.在合同协议书正式签署生效之前，本投标书连同你单位的中标通知书将构成我们双方之间共同遵守的文件，对双方具有约束力。</w:t>
      </w:r>
    </w:p>
    <w:p w14:paraId="23102613">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9.随同本投标文件，如果我方在投标文件有效期内撤回投标文件；或在接到中标通知书后28天内未能或拒绝签订合同协议书；或未能按招标文件要求提交履约担保，你单位有权</w:t>
      </w:r>
      <w:r>
        <w:rPr>
          <w:rFonts w:hint="eastAsia" w:ascii="宋体" w:hAnsi="宋体"/>
          <w:b/>
          <w:bCs/>
          <w:color w:val="auto"/>
          <w:spacing w:val="4"/>
          <w:kern w:val="0"/>
          <w:sz w:val="24"/>
          <w:szCs w:val="24"/>
          <w:highlight w:val="none"/>
          <w:u w:val="single"/>
        </w:rPr>
        <w:t>要求我方对由此造成的损失作出赔偿</w:t>
      </w:r>
      <w:r>
        <w:rPr>
          <w:rFonts w:hint="eastAsia" w:ascii="宋体" w:hAnsi="宋体"/>
          <w:color w:val="auto"/>
          <w:spacing w:val="4"/>
          <w:kern w:val="0"/>
          <w:sz w:val="24"/>
          <w:szCs w:val="24"/>
          <w:highlight w:val="none"/>
        </w:rPr>
        <w:t>，另选中</w:t>
      </w:r>
      <w:bookmarkStart w:id="64" w:name="_Toc484958693"/>
      <w:bookmarkStart w:id="65" w:name="_Toc337720092"/>
      <w:bookmarkStart w:id="66" w:name="_Toc395261100"/>
      <w:bookmarkStart w:id="67" w:name="_Toc254961556"/>
      <w:bookmarkStart w:id="68" w:name="_Toc291101119"/>
      <w:bookmarkStart w:id="69" w:name="_Toc449308421"/>
      <w:bookmarkStart w:id="70" w:name="_Toc464131225"/>
      <w:bookmarkStart w:id="71" w:name="_Toc369536771"/>
      <w:bookmarkStart w:id="72" w:name="_Toc226209004"/>
      <w:bookmarkStart w:id="73" w:name="_Toc248650371"/>
      <w:bookmarkStart w:id="74" w:name="_Toc358370579"/>
      <w:bookmarkStart w:id="75" w:name="_Toc352240524"/>
      <w:bookmarkStart w:id="76" w:name="_Toc352623422"/>
      <w:r>
        <w:rPr>
          <w:rFonts w:hint="eastAsia" w:ascii="宋体" w:hAnsi="宋体"/>
          <w:color w:val="auto"/>
          <w:spacing w:val="4"/>
          <w:kern w:val="0"/>
          <w:sz w:val="24"/>
          <w:szCs w:val="24"/>
          <w:highlight w:val="none"/>
        </w:rPr>
        <w:t>标单位。</w:t>
      </w:r>
    </w:p>
    <w:p w14:paraId="3F4C0C80">
      <w:pPr>
        <w:keepNext w:val="0"/>
        <w:keepLines w:val="0"/>
        <w:pageBreakBefore w:val="0"/>
        <w:widowControl/>
        <w:kinsoku/>
        <w:wordWrap/>
        <w:overflowPunct/>
        <w:topLinePunct/>
        <w:autoSpaceDE/>
        <w:autoSpaceDN/>
        <w:bidi w:val="0"/>
        <w:adjustRightInd w:val="0"/>
        <w:snapToGrid w:val="0"/>
        <w:spacing w:after="100" w:line="288" w:lineRule="auto"/>
        <w:ind w:firstLine="496" w:firstLineChars="200"/>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10.我方</w:t>
      </w:r>
      <w:bookmarkEnd w:id="64"/>
      <w:r>
        <w:rPr>
          <w:rFonts w:hint="eastAsia" w:ascii="宋体" w:hAnsi="宋体"/>
          <w:color w:val="auto"/>
          <w:spacing w:val="4"/>
          <w:kern w:val="0"/>
          <w:sz w:val="24"/>
          <w:szCs w:val="24"/>
          <w:highlight w:val="none"/>
        </w:rPr>
        <w:t>理解</w:t>
      </w:r>
      <w:bookmarkStart w:id="77" w:name="_Toc484958694"/>
      <w:r>
        <w:rPr>
          <w:rFonts w:hint="eastAsia" w:ascii="宋体" w:hAnsi="宋体"/>
          <w:color w:val="auto"/>
          <w:spacing w:val="4"/>
          <w:kern w:val="0"/>
          <w:sz w:val="24"/>
          <w:szCs w:val="24"/>
          <w:highlight w:val="none"/>
        </w:rPr>
        <w:t>，你单位不一</w:t>
      </w:r>
      <w:bookmarkEnd w:id="77"/>
      <w:r>
        <w:rPr>
          <w:rFonts w:hint="eastAsia" w:ascii="宋体" w:hAnsi="宋体"/>
          <w:color w:val="auto"/>
          <w:spacing w:val="4"/>
          <w:kern w:val="0"/>
          <w:sz w:val="24"/>
          <w:szCs w:val="24"/>
          <w:highlight w:val="none"/>
        </w:rPr>
        <w:t>定</w:t>
      </w:r>
      <w:bookmarkStart w:id="78" w:name="_Toc484958695"/>
      <w:r>
        <w:rPr>
          <w:rFonts w:hint="eastAsia" w:ascii="宋体" w:hAnsi="宋体"/>
          <w:color w:val="auto"/>
          <w:spacing w:val="4"/>
          <w:kern w:val="0"/>
          <w:sz w:val="24"/>
          <w:szCs w:val="24"/>
          <w:highlight w:val="none"/>
        </w:rPr>
        <w:t>接受最低</w:t>
      </w:r>
      <w:bookmarkEnd w:id="78"/>
      <w:r>
        <w:rPr>
          <w:rFonts w:hint="eastAsia" w:ascii="宋体" w:hAnsi="宋体"/>
          <w:color w:val="auto"/>
          <w:spacing w:val="4"/>
          <w:kern w:val="0"/>
          <w:sz w:val="24"/>
          <w:szCs w:val="24"/>
          <w:highlight w:val="none"/>
        </w:rPr>
        <w:t>标</w:t>
      </w:r>
      <w:bookmarkStart w:id="79" w:name="_Toc484958696"/>
      <w:r>
        <w:rPr>
          <w:rFonts w:hint="eastAsia" w:ascii="宋体" w:hAnsi="宋体"/>
          <w:color w:val="auto"/>
          <w:spacing w:val="4"/>
          <w:kern w:val="0"/>
          <w:sz w:val="24"/>
          <w:szCs w:val="24"/>
          <w:highlight w:val="none"/>
        </w:rPr>
        <w:t>价的</w:t>
      </w:r>
      <w:bookmarkEnd w:id="79"/>
      <w:r>
        <w:rPr>
          <w:rFonts w:hint="eastAsia" w:ascii="宋体" w:hAnsi="宋体"/>
          <w:color w:val="auto"/>
          <w:spacing w:val="4"/>
          <w:kern w:val="0"/>
          <w:sz w:val="24"/>
          <w:szCs w:val="24"/>
          <w:highlight w:val="none"/>
        </w:rPr>
        <w:t>投</w:t>
      </w:r>
      <w:bookmarkStart w:id="80" w:name="_Toc484958697"/>
      <w:r>
        <w:rPr>
          <w:rFonts w:hint="eastAsia" w:ascii="宋体" w:hAnsi="宋体"/>
          <w:color w:val="auto"/>
          <w:spacing w:val="4"/>
          <w:kern w:val="0"/>
          <w:sz w:val="24"/>
          <w:szCs w:val="24"/>
          <w:highlight w:val="none"/>
        </w:rPr>
        <w:t>标或你单位接到的其它任何投标。同</w:t>
      </w:r>
      <w:bookmarkEnd w:id="80"/>
      <w:r>
        <w:rPr>
          <w:rFonts w:hint="eastAsia" w:ascii="宋体" w:hAnsi="宋体"/>
          <w:color w:val="auto"/>
          <w:spacing w:val="4"/>
          <w:kern w:val="0"/>
          <w:sz w:val="24"/>
          <w:szCs w:val="24"/>
          <w:highlight w:val="none"/>
        </w:rPr>
        <w:t>时</w:t>
      </w:r>
      <w:bookmarkStart w:id="81" w:name="_Toc484958698"/>
      <w:r>
        <w:rPr>
          <w:rFonts w:hint="eastAsia" w:ascii="宋体" w:hAnsi="宋体"/>
          <w:color w:val="auto"/>
          <w:spacing w:val="4"/>
          <w:kern w:val="0"/>
          <w:sz w:val="24"/>
          <w:szCs w:val="24"/>
          <w:highlight w:val="none"/>
        </w:rPr>
        <w:t>也理解，你单位不负担我方的任何投</w:t>
      </w:r>
      <w:bookmarkEnd w:id="81"/>
      <w:r>
        <w:rPr>
          <w:rFonts w:hint="eastAsia" w:ascii="宋体" w:hAnsi="宋体"/>
          <w:color w:val="auto"/>
          <w:spacing w:val="4"/>
          <w:kern w:val="0"/>
          <w:sz w:val="24"/>
          <w:szCs w:val="24"/>
          <w:highlight w:val="none"/>
        </w:rPr>
        <w:t>标</w:t>
      </w:r>
      <w:bookmarkStart w:id="82" w:name="_Toc484958699"/>
      <w:r>
        <w:rPr>
          <w:rFonts w:hint="eastAsia" w:ascii="宋体" w:hAnsi="宋体"/>
          <w:color w:val="auto"/>
          <w:spacing w:val="4"/>
          <w:kern w:val="0"/>
          <w:sz w:val="24"/>
          <w:szCs w:val="24"/>
          <w:highlight w:val="none"/>
        </w:rPr>
        <w:t>费用</w:t>
      </w:r>
      <w:bookmarkEnd w:id="82"/>
      <w:bookmarkStart w:id="83" w:name="_Toc484958700"/>
      <w:r>
        <w:rPr>
          <w:rFonts w:hint="eastAsia" w:ascii="宋体" w:hAnsi="宋体"/>
          <w:color w:val="auto"/>
          <w:spacing w:val="4"/>
          <w:kern w:val="0"/>
          <w:sz w:val="24"/>
          <w:szCs w:val="24"/>
          <w:highlight w:val="none"/>
        </w:rPr>
        <w:t>。</w:t>
      </w:r>
    </w:p>
    <w:p w14:paraId="329298BA">
      <w:pPr>
        <w:keepNext w:val="0"/>
        <w:keepLines w:val="0"/>
        <w:pageBreakBefore w:val="0"/>
        <w:widowControl/>
        <w:kinsoku/>
        <w:wordWrap/>
        <w:overflowPunct/>
        <w:topLinePunct/>
        <w:autoSpaceDE/>
        <w:autoSpaceDN/>
        <w:bidi w:val="0"/>
        <w:adjustRightInd w:val="0"/>
        <w:snapToGrid w:val="0"/>
        <w:spacing w:after="200" w:line="288" w:lineRule="auto"/>
        <w:ind w:firstLine="496" w:firstLineChars="200"/>
        <w:jc w:val="left"/>
        <w:textAlignment w:val="auto"/>
        <w:rPr>
          <w:rFonts w:ascii="宋体" w:hAnsi="宋体"/>
          <w:color w:val="auto"/>
          <w:spacing w:val="4"/>
          <w:kern w:val="0"/>
          <w:sz w:val="24"/>
          <w:szCs w:val="24"/>
          <w:highlight w:val="none"/>
        </w:rPr>
      </w:pPr>
    </w:p>
    <w:p w14:paraId="5CCEBCF4">
      <w:pPr>
        <w:keepNext w:val="0"/>
        <w:keepLines w:val="0"/>
        <w:pageBreakBefore w:val="0"/>
        <w:widowControl/>
        <w:kinsoku/>
        <w:wordWrap/>
        <w:overflowPunct/>
        <w:topLinePunct/>
        <w:autoSpaceDE/>
        <w:autoSpaceDN/>
        <w:bidi w:val="0"/>
        <w:adjustRightInd w:val="0"/>
        <w:snapToGrid w:val="0"/>
        <w:spacing w:after="200" w:line="288" w:lineRule="auto"/>
        <w:ind w:firstLine="691" w:firstLineChars="279"/>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 标 人：</w:t>
      </w:r>
      <w:bookmarkEnd w:id="83"/>
    </w:p>
    <w:p w14:paraId="568732F2">
      <w:pPr>
        <w:keepNext w:val="0"/>
        <w:keepLines w:val="0"/>
        <w:pageBreakBefore w:val="0"/>
        <w:widowControl/>
        <w:kinsoku/>
        <w:wordWrap/>
        <w:overflowPunct/>
        <w:topLinePunct/>
        <w:autoSpaceDE/>
        <w:autoSpaceDN/>
        <w:bidi w:val="0"/>
        <w:adjustRightInd w:val="0"/>
        <w:snapToGrid w:val="0"/>
        <w:spacing w:after="200" w:line="288" w:lineRule="auto"/>
        <w:ind w:firstLine="691" w:firstLineChars="279"/>
        <w:jc w:val="left"/>
        <w:textAlignment w:val="auto"/>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5E81ABE0">
      <w:pPr>
        <w:spacing w:line="360" w:lineRule="auto"/>
        <w:rPr>
          <w:color w:val="auto"/>
          <w:sz w:val="24"/>
          <w:highlight w:val="none"/>
        </w:rPr>
      </w:pPr>
      <w:r>
        <w:rPr>
          <w:rFonts w:ascii="宋体" w:hAnsi="宋体" w:eastAsia="黑体"/>
          <w:b/>
          <w:color w:val="auto"/>
          <w:spacing w:val="4"/>
          <w:kern w:val="0"/>
          <w:sz w:val="24"/>
          <w:szCs w:val="24"/>
          <w:highlight w:val="none"/>
        </w:rPr>
        <w:br w:type="page"/>
      </w:r>
      <w:bookmarkStart w:id="84" w:name="_Toc4340135"/>
      <w:bookmarkStart w:id="85" w:name="_Toc8019"/>
      <w:bookmarkStart w:id="86" w:name="_Toc4489946"/>
      <w:bookmarkStart w:id="87" w:name="_Toc4339797"/>
    </w:p>
    <w:p w14:paraId="49A23023">
      <w:pPr>
        <w:outlineLvl w:val="2"/>
        <w:rPr>
          <w:color w:val="auto"/>
          <w:highlight w:val="none"/>
        </w:rPr>
      </w:pPr>
      <w:bookmarkStart w:id="88" w:name="_Toc62056036"/>
      <w:bookmarkStart w:id="89" w:name="_Toc504722513"/>
      <w:bookmarkStart w:id="90" w:name="_Toc29476915"/>
      <w:r>
        <w:rPr>
          <w:rFonts w:hint="eastAsia" w:ascii="宋体" w:hAnsi="宋体"/>
          <w:color w:val="auto"/>
          <w:spacing w:val="4"/>
          <w:kern w:val="0"/>
          <w:sz w:val="24"/>
          <w:szCs w:val="24"/>
          <w:highlight w:val="none"/>
        </w:rPr>
        <w:t>格式</w:t>
      </w:r>
      <w:r>
        <w:rPr>
          <w:rFonts w:hint="eastAsia" w:ascii="宋体" w:hAnsi="宋体"/>
          <w:color w:val="auto"/>
          <w:spacing w:val="4"/>
          <w:kern w:val="0"/>
          <w:sz w:val="24"/>
          <w:szCs w:val="24"/>
          <w:highlight w:val="none"/>
          <w:lang w:val="en-US" w:eastAsia="zh-CN"/>
        </w:rPr>
        <w:t>四</w:t>
      </w:r>
      <w:r>
        <w:rPr>
          <w:rFonts w:hint="eastAsia" w:ascii="宋体" w:hAnsi="宋体"/>
          <w:color w:val="auto"/>
          <w:spacing w:val="4"/>
          <w:kern w:val="0"/>
          <w:sz w:val="24"/>
          <w:szCs w:val="24"/>
          <w:highlight w:val="none"/>
        </w:rPr>
        <w:t>：法定代表人证明书、授权委托书</w:t>
      </w:r>
      <w:bookmarkEnd w:id="84"/>
      <w:bookmarkEnd w:id="85"/>
      <w:bookmarkEnd w:id="86"/>
      <w:bookmarkEnd w:id="87"/>
      <w:bookmarkEnd w:id="88"/>
      <w:bookmarkEnd w:id="89"/>
      <w:bookmarkEnd w:id="90"/>
    </w:p>
    <w:p w14:paraId="22B8062C">
      <w:pPr>
        <w:widowControl/>
        <w:topLinePunct/>
        <w:adjustRightInd w:val="0"/>
        <w:snapToGrid w:val="0"/>
        <w:spacing w:after="200"/>
        <w:jc w:val="center"/>
        <w:rPr>
          <w:rFonts w:ascii="宋体" w:hAnsi="宋体"/>
          <w:b/>
          <w:color w:val="auto"/>
          <w:spacing w:val="4"/>
          <w:kern w:val="0"/>
          <w:sz w:val="32"/>
          <w:szCs w:val="32"/>
          <w:highlight w:val="none"/>
        </w:rPr>
      </w:pPr>
    </w:p>
    <w:p w14:paraId="0D00E763">
      <w:pPr>
        <w:widowControl/>
        <w:topLinePunct/>
        <w:adjustRightInd w:val="0"/>
        <w:snapToGrid w:val="0"/>
        <w:spacing w:after="200"/>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法定代表人证明书、授权委托书</w:t>
      </w:r>
    </w:p>
    <w:bookmarkEnd w:id="65"/>
    <w:bookmarkEnd w:id="66"/>
    <w:bookmarkEnd w:id="67"/>
    <w:bookmarkEnd w:id="68"/>
    <w:bookmarkEnd w:id="69"/>
    <w:bookmarkEnd w:id="70"/>
    <w:bookmarkEnd w:id="71"/>
    <w:bookmarkEnd w:id="72"/>
    <w:bookmarkEnd w:id="73"/>
    <w:bookmarkEnd w:id="74"/>
    <w:bookmarkEnd w:id="75"/>
    <w:bookmarkEnd w:id="76"/>
    <w:p w14:paraId="58627278">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（1）法定代表人证明书</w:t>
      </w:r>
    </w:p>
    <w:p w14:paraId="453DFB88">
      <w:pPr>
        <w:topLinePunct/>
        <w:adjustRightInd w:val="0"/>
        <w:snapToGrid w:val="0"/>
        <w:ind w:right="668"/>
        <w:jc w:val="right"/>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0">
                <wp:simplePos x="0" y="0"/>
                <wp:positionH relativeFrom="column">
                  <wp:align>center</wp:align>
                </wp:positionH>
                <wp:positionV relativeFrom="paragraph">
                  <wp:posOffset>270510</wp:posOffset>
                </wp:positionV>
                <wp:extent cx="5550535" cy="2762885"/>
                <wp:effectExtent l="4445" t="4445" r="7620" b="13970"/>
                <wp:wrapSquare wrapText="bothSides"/>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791200" cy="2809875"/>
                        </a:xfrm>
                        <a:prstGeom prst="rect">
                          <a:avLst/>
                        </a:prstGeom>
                        <a:solidFill>
                          <a:srgbClr val="FFFFFF"/>
                        </a:solidFill>
                        <a:ln w="9525">
                          <a:solidFill>
                            <a:srgbClr val="000000"/>
                          </a:solidFill>
                          <a:miter lim="800000"/>
                        </a:ln>
                        <a:effectLst/>
                      </wps:spPr>
                      <wps:txbx>
                        <w:txbxContent>
                          <w:p w14:paraId="0236D794">
                            <w:pPr>
                              <w:pStyle w:val="38"/>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6E67A6C9">
                            <w:pPr>
                              <w:pStyle w:val="38"/>
                              <w:ind w:firstLine="0" w:firstLineChars="0"/>
                              <w:rPr>
                                <w:rFonts w:ascii="宋体" w:hAnsi="宋体"/>
                                <w:szCs w:val="28"/>
                              </w:rPr>
                            </w:pPr>
                            <w:r>
                              <w:rPr>
                                <w:rFonts w:hint="eastAsia" w:ascii="宋体" w:hAnsi="宋体"/>
                                <w:szCs w:val="28"/>
                              </w:rPr>
                              <w:t>特此证明。</w:t>
                            </w:r>
                          </w:p>
                          <w:p w14:paraId="072E0821">
                            <w:pPr>
                              <w:pStyle w:val="38"/>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77B753FD">
                            <w:pPr>
                              <w:pStyle w:val="38"/>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1BE15F35">
                            <w:pPr>
                              <w:pStyle w:val="38"/>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1B4934B5">
                            <w:pPr>
                              <w:pStyle w:val="38"/>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42F46596">
                            <w:pPr>
                              <w:pStyle w:val="38"/>
                              <w:ind w:firstLine="0" w:firstLineChars="0"/>
                              <w:rPr>
                                <w:rFonts w:ascii="宋体" w:hAnsi="宋体"/>
                                <w:szCs w:val="28"/>
                              </w:rPr>
                            </w:pPr>
                            <w:r>
                              <w:rPr>
                                <w:rFonts w:hint="eastAsia" w:ascii="宋体" w:hAnsi="宋体"/>
                                <w:szCs w:val="28"/>
                              </w:rPr>
                              <w:t>　　　　　　　　　　单位：　　　　　　　　　　　（盖章）</w:t>
                            </w:r>
                          </w:p>
                          <w:p w14:paraId="31D9ECD2">
                            <w:pPr>
                              <w:pStyle w:val="38"/>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21.3pt;height:217.55pt;width:437.05pt;mso-position-horizontal:center;mso-wrap-distance-bottom:0pt;mso-wrap-distance-left:9pt;mso-wrap-distance-right:9pt;mso-wrap-distance-top:0pt;z-index:251660288;mso-width-relative:page;mso-height-relative:page;" fillcolor="#FFFFFF" filled="t" stroked="t" coordsize="21600,21600" o:allowoverlap="f" o:gfxdata="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2ungE1wAAAAcBAAAPAAAAAAAAAAEA&#10;IAAAACIAAABkcnMvZG93bnJldi54bWxQSwECFAAUAAAACACHTuJAD887SkkCAACYBAAADgAAAAAA&#10;AAABACAAAAAmAQAAZHJzL2Uyb0RvYy54bWxQSwUGAAAAAAYABgBZAQAA4QUAAAAA&#10;">
                <v:fill on="t" focussize="0,0"/>
                <v:stroke color="#000000" miterlimit="8" joinstyle="miter"/>
                <v:imagedata o:title=""/>
                <o:lock v:ext="edit" aspectratio="f"/>
                <v:textbox>
                  <w:txbxContent>
                    <w:p w14:paraId="0236D794">
                      <w:pPr>
                        <w:pStyle w:val="38"/>
                        <w:spacing w:before="240"/>
                        <w:ind w:firstLine="0" w:firstLineChars="0"/>
                        <w:rPr>
                          <w:rFonts w:ascii="宋体" w:hAnsi="宋体"/>
                          <w:szCs w:val="28"/>
                        </w:rPr>
                      </w:pPr>
                      <w:r>
                        <w:rPr>
                          <w:rFonts w:hint="eastAsia"/>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14:paraId="6E67A6C9">
                      <w:pPr>
                        <w:pStyle w:val="38"/>
                        <w:ind w:firstLine="0" w:firstLineChars="0"/>
                        <w:rPr>
                          <w:rFonts w:ascii="宋体" w:hAnsi="宋体"/>
                          <w:szCs w:val="28"/>
                        </w:rPr>
                      </w:pPr>
                      <w:r>
                        <w:rPr>
                          <w:rFonts w:hint="eastAsia" w:ascii="宋体" w:hAnsi="宋体"/>
                          <w:szCs w:val="28"/>
                        </w:rPr>
                        <w:t>特此证明。</w:t>
                      </w:r>
                    </w:p>
                    <w:p w14:paraId="072E0821">
                      <w:pPr>
                        <w:pStyle w:val="38"/>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14:paraId="77B753FD">
                      <w:pPr>
                        <w:pStyle w:val="38"/>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14:paraId="1BE15F35">
                      <w:pPr>
                        <w:pStyle w:val="38"/>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14:paraId="1B4934B5">
                      <w:pPr>
                        <w:pStyle w:val="38"/>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14:paraId="42F46596">
                      <w:pPr>
                        <w:pStyle w:val="38"/>
                        <w:ind w:firstLine="0" w:firstLineChars="0"/>
                        <w:rPr>
                          <w:rFonts w:ascii="宋体" w:hAnsi="宋体"/>
                          <w:szCs w:val="28"/>
                        </w:rPr>
                      </w:pPr>
                      <w:r>
                        <w:rPr>
                          <w:rFonts w:hint="eastAsia" w:ascii="宋体" w:hAnsi="宋体"/>
                          <w:szCs w:val="28"/>
                        </w:rPr>
                        <w:t>　　　　　　　　　　单位：　　　　　　　　　　　（盖章）</w:t>
                      </w:r>
                    </w:p>
                    <w:p w14:paraId="31D9ECD2">
                      <w:pPr>
                        <w:pStyle w:val="38"/>
                        <w:ind w:firstLine="0" w:firstLineChars="0"/>
                        <w:rPr>
                          <w:rFonts w:ascii="宋体" w:hAnsi="宋体"/>
                          <w:szCs w:val="28"/>
                        </w:rPr>
                      </w:pPr>
                      <w:r>
                        <w:rPr>
                          <w:rFonts w:hint="eastAsia" w:ascii="宋体" w:hAnsi="宋体"/>
                          <w:szCs w:val="28"/>
                        </w:rPr>
                        <w:t>　　　　　　　　　　　　　　　　　　　　</w:t>
                      </w:r>
                      <w:r>
                        <w:rPr>
                          <w:rFonts w:hint="eastAsia" w:ascii="宋体" w:hAnsi="宋体" w:eastAsia="宋体"/>
                          <w:szCs w:val="28"/>
                        </w:rPr>
                        <w:t xml:space="preserve">      </w:t>
                      </w:r>
                      <w:r>
                        <w:rPr>
                          <w:rFonts w:hint="eastAsia" w:ascii="宋体" w:hAnsi="宋体"/>
                          <w:szCs w:val="28"/>
                        </w:rPr>
                        <w:t>　    年　</w:t>
                      </w:r>
                      <w:r>
                        <w:rPr>
                          <w:rFonts w:hint="eastAsia" w:ascii="宋体" w:hAnsi="宋体" w:eastAsia="宋体"/>
                          <w:szCs w:val="28"/>
                        </w:rPr>
                        <w:t xml:space="preserve">  </w:t>
                      </w:r>
                      <w:r>
                        <w:rPr>
                          <w:rFonts w:hint="eastAsia" w:ascii="宋体" w:hAnsi="宋体"/>
                          <w:szCs w:val="28"/>
                        </w:rPr>
                        <w:t>月　　日</w:t>
                      </w:r>
                    </w:p>
                  </w:txbxContent>
                </v:textbox>
                <w10:wrap type="square"/>
              </v:shape>
            </w:pict>
          </mc:Fallback>
        </mc:AlternateContent>
      </w:r>
      <w:r>
        <w:rPr>
          <w:rFonts w:hint="eastAsia"/>
          <w:snapToGrid w:val="0"/>
          <w:color w:val="auto"/>
          <w:spacing w:val="4"/>
          <w:sz w:val="24"/>
          <w:szCs w:val="24"/>
          <w:highlight w:val="none"/>
        </w:rPr>
        <w:t>（　 ）第　号</w:t>
      </w:r>
    </w:p>
    <w:p w14:paraId="588820BC">
      <w:pPr>
        <w:rPr>
          <w:snapToGrid w:val="0"/>
          <w:color w:val="auto"/>
          <w:spacing w:val="4"/>
          <w:sz w:val="24"/>
          <w:szCs w:val="24"/>
          <w:highlight w:val="none"/>
        </w:rPr>
      </w:pPr>
    </w:p>
    <w:p w14:paraId="0012951D">
      <w:pPr>
        <w:topLinePunct/>
        <w:adjustRightInd w:val="0"/>
        <w:snapToGrid w:val="0"/>
        <w:rPr>
          <w:snapToGrid w:val="0"/>
          <w:color w:val="auto"/>
          <w:spacing w:val="4"/>
          <w:sz w:val="24"/>
          <w:szCs w:val="24"/>
          <w:highlight w:val="none"/>
        </w:rPr>
      </w:pPr>
      <w:r>
        <w:rPr>
          <w:rFonts w:hint="eastAsia"/>
          <w:snapToGrid w:val="0"/>
          <w:color w:val="auto"/>
          <w:spacing w:val="4"/>
          <w:sz w:val="24"/>
          <w:szCs w:val="24"/>
          <w:highlight w:val="none"/>
        </w:rPr>
        <w:t>（2）法定代表人授权委托书</w:t>
      </w:r>
    </w:p>
    <w:p w14:paraId="05D13C2B">
      <w:pPr>
        <w:topLinePunct/>
        <w:adjustRightInd w:val="0"/>
        <w:snapToGrid w:val="0"/>
        <w:ind w:firstLine="496" w:firstLineChars="200"/>
        <w:rPr>
          <w:snapToGrid w:val="0"/>
          <w:color w:val="auto"/>
          <w:spacing w:val="4"/>
          <w:sz w:val="24"/>
          <w:szCs w:val="24"/>
          <w:highlight w:val="none"/>
        </w:rPr>
      </w:pPr>
      <w:r>
        <w:rPr>
          <w:rFonts w:hint="eastAsia"/>
          <w:snapToGrid w:val="0"/>
          <w:color w:val="auto"/>
          <w:spacing w:val="4"/>
          <w:sz w:val="24"/>
          <w:szCs w:val="24"/>
          <w:highlight w:val="none"/>
        </w:rPr>
        <w:t xml:space="preserve">                                                 （   ）第  号</w:t>
      </w:r>
    </w:p>
    <w:p w14:paraId="6E96D4B2">
      <w:pPr>
        <w:topLinePunct/>
        <w:adjustRightInd w:val="0"/>
        <w:snapToGrid w:val="0"/>
        <w:spacing w:line="360" w:lineRule="auto"/>
        <w:ind w:firstLine="420" w:firstLineChars="200"/>
        <w:rPr>
          <w:snapToGrid w:val="0"/>
          <w:color w:val="auto"/>
          <w:spacing w:val="4"/>
          <w:sz w:val="24"/>
          <w:szCs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80645</wp:posOffset>
                </wp:positionV>
                <wp:extent cx="5550535" cy="2748915"/>
                <wp:effectExtent l="4445" t="4445" r="7620" b="8890"/>
                <wp:wrapSquare wrapText="bothSides"/>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791200" cy="2748915"/>
                        </a:xfrm>
                        <a:prstGeom prst="rect">
                          <a:avLst/>
                        </a:prstGeom>
                        <a:solidFill>
                          <a:srgbClr val="FFFFFF"/>
                        </a:solidFill>
                        <a:ln w="9525">
                          <a:solidFill>
                            <a:srgbClr val="000000"/>
                          </a:solidFill>
                          <a:miter lim="800000"/>
                        </a:ln>
                        <a:effectLst/>
                      </wps:spPr>
                      <wps:txbx>
                        <w:txbxContent>
                          <w:p w14:paraId="080004FA">
                            <w:pPr>
                              <w:pStyle w:val="38"/>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2BCCA4A">
                            <w:pPr>
                              <w:pStyle w:val="38"/>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60213B4E">
                            <w:pPr>
                              <w:pStyle w:val="38"/>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7AFB27B3">
                            <w:pPr>
                              <w:pStyle w:val="38"/>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6D1C716">
                            <w:pPr>
                              <w:pStyle w:val="38"/>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29B0FD3">
                            <w:pPr>
                              <w:pStyle w:val="38"/>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14:paraId="6D2A82BB">
                            <w:pPr>
                              <w:pStyle w:val="38"/>
                              <w:ind w:firstLine="0" w:firstLineChars="0"/>
                              <w:rPr>
                                <w:rFonts w:ascii="宋体" w:hAnsi="宋体"/>
                              </w:rPr>
                            </w:pPr>
                            <w:r>
                              <w:rPr>
                                <w:rFonts w:hint="eastAsia" w:ascii="宋体" w:hAnsi="宋体"/>
                              </w:rPr>
                              <w:t>授权单位：（盖章）</w:t>
                            </w:r>
                            <w:r>
                              <w:rPr>
                                <w:rFonts w:ascii="宋体" w:hAnsi="宋体"/>
                                <w:u w:val="single"/>
                              </w:rPr>
                              <w:t xml:space="preserve">                      </w:t>
                            </w:r>
                          </w:p>
                          <w:p w14:paraId="3E9FA504">
                            <w:pPr>
                              <w:pStyle w:val="38"/>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top:6.35pt;height:216.45pt;width:437.05pt;mso-position-horizontal:center;mso-wrap-distance-bottom:0pt;mso-wrap-distance-left:9pt;mso-wrap-distance-right:9pt;mso-wrap-distance-top:0pt;z-index:251659264;mso-width-relative:page;mso-height-relative:page;" fillcolor="#FFFFFF" filled="t" stroked="t" coordsize="21600,21600" o:gfxdata="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S+mZN1wAAAAcBAAAPAAAAAAAAAAEA&#10;IAAAACIAAABkcnMvZG93bnJldi54bWxQSwECFAAUAAAACACHTuJArj9i0UkCAACYBAAADgAAAAAA&#10;AAABACAAAAAmAQAAZHJzL2Uyb0RvYy54bWxQSwUGAAAAAAYABgBZAQAA4QUAAAAA&#10;">
                <v:fill on="t" focussize="0,0"/>
                <v:stroke color="#000000" miterlimit="8" joinstyle="miter"/>
                <v:imagedata o:title=""/>
                <o:lock v:ext="edit" aspectratio="f"/>
                <v:textbox>
                  <w:txbxContent>
                    <w:p w14:paraId="080004FA">
                      <w:pPr>
                        <w:pStyle w:val="38"/>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12BCCA4A">
                      <w:pPr>
                        <w:pStyle w:val="38"/>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14:paraId="60213B4E">
                      <w:pPr>
                        <w:pStyle w:val="38"/>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7AFB27B3">
                      <w:pPr>
                        <w:pStyle w:val="38"/>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66D1C716">
                      <w:pPr>
                        <w:pStyle w:val="38"/>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14:paraId="529B0FD3">
                      <w:pPr>
                        <w:pStyle w:val="38"/>
                        <w:ind w:firstLine="0" w:firstLineChars="0"/>
                        <w:rPr>
                          <w:rFonts w:ascii="宋体" w:hAnsi="宋体"/>
                        </w:rPr>
                      </w:pPr>
                      <w:r>
                        <w:rPr>
                          <w:rFonts w:hint="eastAsia" w:ascii="宋体" w:hAnsi="宋体"/>
                        </w:rPr>
                        <w:t>法定代表人（负责人）：</w:t>
                      </w:r>
                      <w:r>
                        <w:rPr>
                          <w:rFonts w:ascii="宋体" w:hAnsi="宋体"/>
                          <w:u w:val="single"/>
                        </w:rPr>
                        <w:t xml:space="preserve">                 </w:t>
                      </w:r>
                      <w:r>
                        <w:rPr>
                          <w:rFonts w:hint="eastAsia" w:ascii="宋体" w:hAnsi="宋体"/>
                        </w:rPr>
                        <w:t>（签字或盖章）</w:t>
                      </w:r>
                    </w:p>
                    <w:p w14:paraId="6D2A82BB">
                      <w:pPr>
                        <w:pStyle w:val="38"/>
                        <w:ind w:firstLine="0" w:firstLineChars="0"/>
                        <w:rPr>
                          <w:rFonts w:ascii="宋体" w:hAnsi="宋体"/>
                        </w:rPr>
                      </w:pPr>
                      <w:r>
                        <w:rPr>
                          <w:rFonts w:hint="eastAsia" w:ascii="宋体" w:hAnsi="宋体"/>
                        </w:rPr>
                        <w:t>授权单位：（盖章）</w:t>
                      </w:r>
                      <w:r>
                        <w:rPr>
                          <w:rFonts w:ascii="宋体" w:hAnsi="宋体"/>
                          <w:u w:val="single"/>
                        </w:rPr>
                        <w:t xml:space="preserve">                      </w:t>
                      </w:r>
                    </w:p>
                    <w:p w14:paraId="3E9FA504">
                      <w:pPr>
                        <w:pStyle w:val="38"/>
                        <w:ind w:firstLine="496"/>
                        <w:rPr>
                          <w:rFonts w:ascii="宋体" w:hAnsi="宋体"/>
                        </w:rPr>
                      </w:pPr>
                      <w:r>
                        <w:rPr>
                          <w:rFonts w:hint="eastAsia" w:ascii="宋体" w:hAnsi="宋体"/>
                        </w:rPr>
                        <w:t>年</w:t>
                      </w:r>
                      <w:r>
                        <w:rPr>
                          <w:rFonts w:ascii="宋体" w:hAnsi="宋体"/>
                        </w:rPr>
                        <w:t xml:space="preserve"> </w:t>
                      </w:r>
                      <w:r>
                        <w:rPr>
                          <w:rFonts w:hint="eastAsia" w:ascii="宋体" w:hAnsi="宋体" w:eastAsia="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w10:wrap type="square"/>
              </v:shape>
            </w:pict>
          </mc:Fallback>
        </mc:AlternateContent>
      </w:r>
    </w:p>
    <w:p w14:paraId="32E5EB0A">
      <w:pPr>
        <w:rPr>
          <w:color w:val="auto"/>
          <w:highlight w:val="none"/>
        </w:rPr>
      </w:pPr>
      <w:bookmarkStart w:id="91" w:name="_Toc4486079"/>
      <w:bookmarkStart w:id="92" w:name="_Toc4340136"/>
      <w:bookmarkStart w:id="93" w:name="_Toc4339798"/>
      <w:bookmarkStart w:id="94" w:name="_Toc4489947"/>
      <w:bookmarkStart w:id="95" w:name="_Toc3736"/>
      <w:r>
        <w:rPr>
          <w:rFonts w:hint="eastAsia"/>
          <w:color w:val="auto"/>
          <w:highlight w:val="none"/>
        </w:rPr>
        <w:t>注：按提供的格式或使用从工商管理部门购买的格式填写。</w:t>
      </w:r>
      <w:bookmarkEnd w:id="91"/>
      <w:bookmarkEnd w:id="92"/>
      <w:bookmarkEnd w:id="93"/>
      <w:bookmarkEnd w:id="94"/>
      <w:bookmarkEnd w:id="95"/>
    </w:p>
    <w:p w14:paraId="38FCAF07">
      <w:pPr>
        <w:widowControl/>
        <w:topLinePunct/>
        <w:adjustRightInd w:val="0"/>
        <w:snapToGrid w:val="0"/>
        <w:spacing w:after="200"/>
        <w:jc w:val="left"/>
        <w:outlineLvl w:val="2"/>
        <w:rPr>
          <w:rFonts w:ascii="宋体" w:hAnsi="宋体"/>
          <w:color w:val="auto"/>
          <w:spacing w:val="4"/>
          <w:kern w:val="0"/>
          <w:sz w:val="24"/>
          <w:szCs w:val="24"/>
          <w:highlight w:val="none"/>
        </w:rPr>
      </w:pPr>
      <w:bookmarkStart w:id="96" w:name="_Toc29321"/>
      <w:bookmarkStart w:id="97" w:name="_Toc504722514"/>
      <w:r>
        <w:rPr>
          <w:rFonts w:ascii="宋体" w:hAnsi="宋体"/>
          <w:color w:val="auto"/>
          <w:spacing w:val="4"/>
          <w:kern w:val="0"/>
          <w:sz w:val="24"/>
          <w:szCs w:val="24"/>
          <w:highlight w:val="none"/>
        </w:rPr>
        <w:br w:type="page"/>
      </w:r>
      <w:bookmarkStart w:id="98" w:name="_Toc20655"/>
      <w:bookmarkStart w:id="99" w:name="_Toc504722506"/>
      <w:bookmarkStart w:id="100" w:name="_Toc4489938"/>
      <w:bookmarkStart w:id="101" w:name="_Toc29476914"/>
      <w:bookmarkStart w:id="102" w:name="_Toc62056035"/>
      <w:bookmarkStart w:id="103" w:name="_Toc29476916"/>
      <w:bookmarkStart w:id="104" w:name="_Toc62056037"/>
      <w:bookmarkStart w:id="105" w:name="_Toc4489948"/>
      <w:r>
        <w:rPr>
          <w:rFonts w:hint="eastAsia" w:ascii="宋体" w:hAnsi="宋体"/>
          <w:color w:val="auto"/>
          <w:spacing w:val="4"/>
          <w:kern w:val="0"/>
          <w:sz w:val="24"/>
          <w:szCs w:val="24"/>
          <w:highlight w:val="none"/>
        </w:rPr>
        <w:t>格式四：企业相关资料</w:t>
      </w:r>
      <w:bookmarkEnd w:id="98"/>
      <w:bookmarkEnd w:id="99"/>
      <w:bookmarkEnd w:id="100"/>
      <w:bookmarkEnd w:id="101"/>
      <w:bookmarkEnd w:id="102"/>
    </w:p>
    <w:p w14:paraId="14DBC0AF">
      <w:pPr>
        <w:jc w:val="center"/>
        <w:rPr>
          <w:rFonts w:ascii="宋体" w:hAnsi="宋体"/>
          <w:b/>
          <w:color w:val="auto"/>
          <w:spacing w:val="4"/>
          <w:kern w:val="0"/>
          <w:sz w:val="36"/>
          <w:szCs w:val="32"/>
          <w:highlight w:val="none"/>
        </w:rPr>
      </w:pPr>
      <w:bookmarkStart w:id="106" w:name="_Toc4339790"/>
      <w:bookmarkStart w:id="107" w:name="_Toc504722507"/>
      <w:bookmarkStart w:id="108" w:name="_Toc5083"/>
      <w:bookmarkStart w:id="109" w:name="_Toc4486071"/>
      <w:bookmarkStart w:id="110" w:name="_Toc4489939"/>
      <w:bookmarkStart w:id="111" w:name="_Toc4340128"/>
      <w:r>
        <w:rPr>
          <w:rFonts w:hint="eastAsia" w:ascii="宋体" w:hAnsi="宋体"/>
          <w:b/>
          <w:color w:val="auto"/>
          <w:spacing w:val="4"/>
          <w:kern w:val="0"/>
          <w:sz w:val="36"/>
          <w:szCs w:val="32"/>
          <w:highlight w:val="none"/>
        </w:rPr>
        <w:t>企业相关资料</w:t>
      </w:r>
      <w:bookmarkEnd w:id="106"/>
      <w:bookmarkEnd w:id="107"/>
      <w:bookmarkEnd w:id="108"/>
      <w:bookmarkEnd w:id="109"/>
      <w:bookmarkEnd w:id="110"/>
      <w:bookmarkEnd w:id="111"/>
    </w:p>
    <w:p w14:paraId="4F5F98AE">
      <w:pPr>
        <w:spacing w:line="360" w:lineRule="auto"/>
        <w:jc w:val="center"/>
        <w:rPr>
          <w:color w:val="auto"/>
          <w:sz w:val="24"/>
          <w:highlight w:val="none"/>
        </w:rPr>
      </w:pPr>
      <w:bookmarkStart w:id="112" w:name="_Toc504722508"/>
      <w:bookmarkStart w:id="113" w:name="_Toc4486072"/>
      <w:bookmarkStart w:id="114" w:name="_Toc913"/>
      <w:bookmarkStart w:id="115" w:name="_Toc4489940"/>
      <w:bookmarkStart w:id="116" w:name="_Toc4340129"/>
      <w:bookmarkStart w:id="117" w:name="_Toc4339791"/>
      <w:r>
        <w:rPr>
          <w:rFonts w:hint="eastAsia"/>
          <w:color w:val="auto"/>
          <w:sz w:val="24"/>
          <w:highlight w:val="none"/>
        </w:rPr>
        <w:t>(如有)</w:t>
      </w:r>
      <w:bookmarkEnd w:id="112"/>
      <w:bookmarkEnd w:id="113"/>
      <w:bookmarkEnd w:id="114"/>
      <w:bookmarkEnd w:id="115"/>
      <w:bookmarkEnd w:id="116"/>
      <w:bookmarkEnd w:id="117"/>
    </w:p>
    <w:p w14:paraId="2D2460AE">
      <w:pPr>
        <w:rPr>
          <w:color w:val="auto"/>
          <w:sz w:val="24"/>
          <w:highlight w:val="none"/>
        </w:rPr>
      </w:pPr>
      <w:bookmarkStart w:id="118" w:name="_Toc4489941"/>
      <w:bookmarkStart w:id="119" w:name="_Toc27564"/>
      <w:bookmarkStart w:id="120" w:name="_Toc4486073"/>
      <w:bookmarkStart w:id="121" w:name="_Toc4340130"/>
      <w:bookmarkStart w:id="122" w:name="_Toc504722509"/>
      <w:bookmarkStart w:id="123" w:name="_Toc4339792"/>
      <w:r>
        <w:rPr>
          <w:rFonts w:hint="eastAsia"/>
          <w:color w:val="auto"/>
          <w:sz w:val="24"/>
          <w:highlight w:val="none"/>
        </w:rPr>
        <w:t>注：</w:t>
      </w:r>
      <w:bookmarkEnd w:id="118"/>
      <w:bookmarkEnd w:id="119"/>
      <w:bookmarkEnd w:id="120"/>
      <w:bookmarkEnd w:id="121"/>
      <w:bookmarkEnd w:id="122"/>
      <w:bookmarkEnd w:id="123"/>
    </w:p>
    <w:p w14:paraId="4259AAA5">
      <w:pPr>
        <w:spacing w:line="360" w:lineRule="auto"/>
        <w:rPr>
          <w:color w:val="auto"/>
          <w:sz w:val="24"/>
          <w:highlight w:val="none"/>
        </w:rPr>
      </w:pPr>
      <w:bookmarkStart w:id="124" w:name="_Toc504722510"/>
      <w:bookmarkStart w:id="125" w:name="_Toc4340131"/>
      <w:bookmarkStart w:id="126" w:name="_Toc4486074"/>
      <w:bookmarkStart w:id="127" w:name="_Toc9431"/>
      <w:bookmarkStart w:id="128" w:name="_Toc4339793"/>
      <w:bookmarkStart w:id="129" w:name="_Toc4489942"/>
      <w:r>
        <w:rPr>
          <w:rFonts w:hint="eastAsia"/>
          <w:color w:val="auto"/>
          <w:sz w:val="24"/>
          <w:highlight w:val="none"/>
        </w:rPr>
        <w:t>1.</w:t>
      </w:r>
      <w:bookmarkEnd w:id="124"/>
      <w:bookmarkEnd w:id="125"/>
      <w:bookmarkEnd w:id="126"/>
      <w:bookmarkEnd w:id="127"/>
      <w:bookmarkEnd w:id="128"/>
      <w:bookmarkEnd w:id="129"/>
      <w:r>
        <w:rPr>
          <w:rFonts w:hint="eastAsia"/>
          <w:color w:val="auto"/>
          <w:sz w:val="24"/>
          <w:highlight w:val="none"/>
        </w:rPr>
        <w:t xml:space="preserve"> 按《技术标详细审查评分表》中的评分要求进行提供；</w:t>
      </w:r>
    </w:p>
    <w:p w14:paraId="59218A0B">
      <w:pPr>
        <w:spacing w:line="360" w:lineRule="auto"/>
        <w:rPr>
          <w:color w:val="auto"/>
          <w:sz w:val="24"/>
          <w:highlight w:val="none"/>
        </w:rPr>
      </w:pPr>
      <w:r>
        <w:rPr>
          <w:rFonts w:hint="eastAsia"/>
          <w:color w:val="auto"/>
          <w:sz w:val="24"/>
          <w:highlight w:val="none"/>
        </w:rPr>
        <w:t>2. 其他投标人认为须提交的资料。</w:t>
      </w:r>
    </w:p>
    <w:p w14:paraId="46B2E75B">
      <w:pPr>
        <w:rPr>
          <w:rFonts w:hint="eastAsia" w:ascii="宋体" w:hAnsi="宋体"/>
          <w:color w:val="auto"/>
          <w:spacing w:val="4"/>
          <w:kern w:val="0"/>
          <w:sz w:val="24"/>
          <w:szCs w:val="24"/>
          <w:highlight w:val="none"/>
        </w:rPr>
      </w:pPr>
      <w:r>
        <w:rPr>
          <w:rFonts w:hint="eastAsia" w:ascii="宋体" w:hAnsi="宋体"/>
          <w:color w:val="auto"/>
          <w:spacing w:val="4"/>
          <w:kern w:val="0"/>
          <w:sz w:val="24"/>
          <w:szCs w:val="24"/>
          <w:highlight w:val="none"/>
        </w:rPr>
        <w:br w:type="page"/>
      </w:r>
    </w:p>
    <w:p w14:paraId="0D261255">
      <w:pPr>
        <w:widowControl/>
        <w:topLinePunct/>
        <w:adjustRightInd w:val="0"/>
        <w:snapToGrid w:val="0"/>
        <w:spacing w:before="156" w:beforeLines="50" w:after="156" w:afterLines="50"/>
        <w:jc w:val="left"/>
        <w:outlineLvl w:val="2"/>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格式六：施工组织架构图</w:t>
      </w:r>
      <w:bookmarkEnd w:id="96"/>
      <w:bookmarkEnd w:id="97"/>
      <w:bookmarkEnd w:id="103"/>
      <w:bookmarkEnd w:id="104"/>
      <w:bookmarkEnd w:id="105"/>
    </w:p>
    <w:p w14:paraId="50181904">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施工组织架构图</w:t>
      </w:r>
    </w:p>
    <w:p w14:paraId="03BE9274">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w:t>
      </w:r>
    </w:p>
    <w:p w14:paraId="56118D8B">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1、投标人应结合本工程的类型和特点，科学、合理地设置本项目的施工组织架构；</w:t>
      </w:r>
    </w:p>
    <w:p w14:paraId="7E5360B0">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bookmarkStart w:id="130" w:name="_Toc464131229"/>
      <w:bookmarkStart w:id="131" w:name="_Toc449308425"/>
      <w:bookmarkStart w:id="132" w:name="_Toc484958704"/>
      <w:r>
        <w:rPr>
          <w:rFonts w:hint="eastAsia" w:ascii="宋体" w:hAnsi="宋体"/>
          <w:color w:val="auto"/>
          <w:spacing w:val="4"/>
          <w:kern w:val="0"/>
          <w:sz w:val="24"/>
          <w:szCs w:val="24"/>
          <w:highlight w:val="none"/>
        </w:rPr>
        <w:t>2、施工组织架构图由投标人</w:t>
      </w:r>
      <w:bookmarkEnd w:id="130"/>
      <w:bookmarkEnd w:id="131"/>
      <w:bookmarkEnd w:id="132"/>
      <w:r>
        <w:rPr>
          <w:rFonts w:hint="eastAsia" w:ascii="宋体" w:hAnsi="宋体"/>
          <w:color w:val="auto"/>
          <w:spacing w:val="4"/>
          <w:kern w:val="0"/>
          <w:sz w:val="24"/>
          <w:szCs w:val="24"/>
          <w:highlight w:val="none"/>
        </w:rPr>
        <w:t>结合招标人对本工程的具体要求自行设定；</w:t>
      </w:r>
    </w:p>
    <w:p w14:paraId="25A5B958">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3、可结合自身情况附相关</w:t>
      </w:r>
      <w:r>
        <w:rPr>
          <w:rFonts w:ascii="宋体" w:hAnsi="宋体"/>
          <w:color w:val="auto"/>
          <w:spacing w:val="4"/>
          <w:kern w:val="0"/>
          <w:sz w:val="24"/>
          <w:szCs w:val="24"/>
          <w:highlight w:val="none"/>
        </w:rPr>
        <w:t>辅助说明资料。</w:t>
      </w:r>
    </w:p>
    <w:p w14:paraId="67ECC6BB">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7F72875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DCB9B60">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1E2A07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35F2C0D">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9299365">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66EE818">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F0BE79B">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26C42846">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58F491B0">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日   期：    年    月    日 </w:t>
      </w:r>
    </w:p>
    <w:p w14:paraId="251E269C">
      <w:pPr>
        <w:widowControl/>
        <w:topLinePunct/>
        <w:adjustRightInd w:val="0"/>
        <w:snapToGrid w:val="0"/>
        <w:spacing w:after="200"/>
        <w:jc w:val="left"/>
        <w:outlineLvl w:val="2"/>
        <w:rPr>
          <w:rFonts w:ascii="宋体" w:hAnsi="宋体"/>
          <w:color w:val="auto"/>
          <w:spacing w:val="4"/>
          <w:kern w:val="0"/>
          <w:sz w:val="24"/>
          <w:szCs w:val="24"/>
          <w:highlight w:val="none"/>
        </w:rPr>
        <w:sectPr>
          <w:pgSz w:w="11907" w:h="16840"/>
          <w:pgMar w:top="1418" w:right="1418" w:bottom="1418" w:left="1418" w:header="851" w:footer="851" w:gutter="0"/>
          <w:pgBorders>
            <w:top w:val="none" w:sz="0" w:space="0"/>
            <w:left w:val="none" w:sz="0" w:space="0"/>
            <w:bottom w:val="none" w:sz="0" w:space="0"/>
            <w:right w:val="none" w:sz="0" w:space="0"/>
          </w:pgBorders>
          <w:cols w:space="720" w:num="1"/>
          <w:docGrid w:type="lines" w:linePitch="312" w:charSpace="0"/>
        </w:sectPr>
      </w:pPr>
    </w:p>
    <w:p w14:paraId="2727A2F2">
      <w:pPr>
        <w:widowControl/>
        <w:topLinePunct/>
        <w:adjustRightInd w:val="0"/>
        <w:snapToGrid w:val="0"/>
        <w:spacing w:after="200"/>
        <w:jc w:val="left"/>
        <w:outlineLvl w:val="2"/>
        <w:rPr>
          <w:rFonts w:ascii="宋体" w:hAnsi="宋体"/>
          <w:color w:val="auto"/>
          <w:spacing w:val="4"/>
          <w:kern w:val="0"/>
          <w:sz w:val="24"/>
          <w:szCs w:val="24"/>
          <w:highlight w:val="none"/>
        </w:rPr>
      </w:pPr>
      <w:bookmarkStart w:id="133" w:name="_Toc4489950"/>
      <w:bookmarkStart w:id="134" w:name="_Toc29476918"/>
      <w:bookmarkStart w:id="135" w:name="_Toc62056040"/>
      <w:r>
        <w:rPr>
          <w:rFonts w:hint="eastAsia" w:ascii="宋体" w:hAnsi="宋体"/>
          <w:color w:val="auto"/>
          <w:spacing w:val="4"/>
          <w:kern w:val="0"/>
          <w:sz w:val="24"/>
          <w:szCs w:val="24"/>
          <w:highlight w:val="none"/>
        </w:rPr>
        <w:t>格式七：</w:t>
      </w:r>
      <w:bookmarkEnd w:id="133"/>
      <w:r>
        <w:rPr>
          <w:rFonts w:hint="eastAsia" w:ascii="宋体" w:hAnsi="宋体"/>
          <w:color w:val="auto"/>
          <w:spacing w:val="4"/>
          <w:kern w:val="0"/>
          <w:sz w:val="24"/>
          <w:szCs w:val="24"/>
          <w:highlight w:val="none"/>
        </w:rPr>
        <w:t>主要人员简历表</w:t>
      </w:r>
      <w:bookmarkEnd w:id="134"/>
      <w:bookmarkEnd w:id="135"/>
    </w:p>
    <w:p w14:paraId="1FE4BCE3">
      <w:pPr>
        <w:widowControl/>
        <w:topLinePunct/>
        <w:adjustRightInd w:val="0"/>
        <w:snapToGrid w:val="0"/>
        <w:spacing w:after="200" w:line="360" w:lineRule="auto"/>
        <w:jc w:val="center"/>
        <w:rPr>
          <w:rFonts w:ascii="宋体" w:hAnsi="宋体"/>
          <w:b/>
          <w:color w:val="auto"/>
          <w:spacing w:val="4"/>
          <w:kern w:val="0"/>
          <w:sz w:val="36"/>
          <w:szCs w:val="36"/>
          <w:highlight w:val="none"/>
        </w:rPr>
      </w:pPr>
      <w:r>
        <w:rPr>
          <w:rFonts w:hint="eastAsia" w:ascii="宋体" w:hAnsi="宋体"/>
          <w:b/>
          <w:color w:val="auto"/>
          <w:spacing w:val="4"/>
          <w:kern w:val="0"/>
          <w:sz w:val="36"/>
          <w:szCs w:val="36"/>
          <w:highlight w:val="none"/>
        </w:rPr>
        <w:t>主要人员简历表</w:t>
      </w:r>
    </w:p>
    <w:tbl>
      <w:tblPr>
        <w:tblStyle w:val="25"/>
        <w:tblpPr w:leftFromText="180" w:rightFromText="180" w:vertAnchor="text" w:tblpX="-206" w:tblpY="76"/>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311E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6" w:type="dxa"/>
            <w:vAlign w:val="center"/>
          </w:tcPr>
          <w:p w14:paraId="6A6FC9CA">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姓名</w:t>
            </w:r>
          </w:p>
        </w:tc>
        <w:tc>
          <w:tcPr>
            <w:tcW w:w="2126" w:type="dxa"/>
            <w:gridSpan w:val="3"/>
            <w:vAlign w:val="center"/>
          </w:tcPr>
          <w:p w14:paraId="5029ED09">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14:paraId="1479EAED">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性别</w:t>
            </w:r>
          </w:p>
        </w:tc>
        <w:tc>
          <w:tcPr>
            <w:tcW w:w="1701" w:type="dxa"/>
            <w:gridSpan w:val="2"/>
            <w:vAlign w:val="center"/>
          </w:tcPr>
          <w:p w14:paraId="72F23FCF">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182" w:type="dxa"/>
            <w:vAlign w:val="center"/>
          </w:tcPr>
          <w:p w14:paraId="2749E3D0">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年龄</w:t>
            </w:r>
          </w:p>
        </w:tc>
        <w:tc>
          <w:tcPr>
            <w:tcW w:w="1620" w:type="dxa"/>
            <w:gridSpan w:val="2"/>
            <w:vAlign w:val="center"/>
          </w:tcPr>
          <w:p w14:paraId="428E11AD">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345F6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26" w:type="dxa"/>
            <w:vAlign w:val="center"/>
          </w:tcPr>
          <w:p w14:paraId="2E0E892F">
            <w:pPr>
              <w:widowControl/>
              <w:spacing w:after="200" w:line="276" w:lineRule="auto"/>
              <w:jc w:val="center"/>
              <w:rPr>
                <w:rFonts w:ascii="宋体" w:hAnsi="宋体"/>
                <w:b/>
                <w:color w:val="auto"/>
                <w:kern w:val="0"/>
                <w:sz w:val="24"/>
                <w:szCs w:val="24"/>
                <w:highlight w:val="none"/>
                <w:lang w:eastAsia="en-US" w:bidi="en-US"/>
              </w:rPr>
            </w:pPr>
            <w:r>
              <w:rPr>
                <w:rFonts w:ascii="宋体" w:hAnsi="宋体"/>
                <w:b/>
                <w:bCs/>
                <w:color w:val="auto"/>
                <w:kern w:val="0"/>
                <w:sz w:val="22"/>
                <w:szCs w:val="21"/>
                <w:highlight w:val="none"/>
                <w:lang w:eastAsia="en-US" w:bidi="en-US"/>
              </w:rPr>
              <w:t>身份证号码</w:t>
            </w:r>
          </w:p>
        </w:tc>
        <w:tc>
          <w:tcPr>
            <w:tcW w:w="7999" w:type="dxa"/>
            <w:gridSpan w:val="10"/>
            <w:vAlign w:val="center"/>
          </w:tcPr>
          <w:p w14:paraId="493D7CC7">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r>
      <w:tr w14:paraId="56E3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26" w:type="dxa"/>
            <w:vAlign w:val="center"/>
          </w:tcPr>
          <w:p w14:paraId="1D9AD268">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职务</w:t>
            </w:r>
          </w:p>
        </w:tc>
        <w:tc>
          <w:tcPr>
            <w:tcW w:w="2126" w:type="dxa"/>
            <w:gridSpan w:val="3"/>
            <w:vAlign w:val="center"/>
          </w:tcPr>
          <w:p w14:paraId="6644CAA8">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14:paraId="50474B88">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职称</w:t>
            </w:r>
          </w:p>
        </w:tc>
        <w:tc>
          <w:tcPr>
            <w:tcW w:w="1701" w:type="dxa"/>
            <w:gridSpan w:val="2"/>
            <w:vAlign w:val="center"/>
          </w:tcPr>
          <w:p w14:paraId="0E21C46B">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182" w:type="dxa"/>
            <w:vAlign w:val="center"/>
          </w:tcPr>
          <w:p w14:paraId="3D79F3E7">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学历</w:t>
            </w:r>
          </w:p>
        </w:tc>
        <w:tc>
          <w:tcPr>
            <w:tcW w:w="1620" w:type="dxa"/>
            <w:gridSpan w:val="2"/>
            <w:vAlign w:val="center"/>
          </w:tcPr>
          <w:p w14:paraId="19001296">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5902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526" w:type="dxa"/>
            <w:vAlign w:val="center"/>
          </w:tcPr>
          <w:p w14:paraId="62822CEA">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参加工作</w:t>
            </w:r>
          </w:p>
          <w:p w14:paraId="54AAD565">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时间</w:t>
            </w:r>
          </w:p>
        </w:tc>
        <w:tc>
          <w:tcPr>
            <w:tcW w:w="2126" w:type="dxa"/>
            <w:gridSpan w:val="3"/>
            <w:vAlign w:val="center"/>
          </w:tcPr>
          <w:p w14:paraId="29B58573">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c>
          <w:tcPr>
            <w:tcW w:w="1370" w:type="dxa"/>
            <w:gridSpan w:val="2"/>
            <w:vAlign w:val="center"/>
          </w:tcPr>
          <w:p w14:paraId="13866CA2">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担任相应职务年限</w:t>
            </w:r>
          </w:p>
        </w:tc>
        <w:tc>
          <w:tcPr>
            <w:tcW w:w="4503" w:type="dxa"/>
            <w:gridSpan w:val="5"/>
            <w:vAlign w:val="center"/>
          </w:tcPr>
          <w:p w14:paraId="74B37C6B">
            <w:pPr>
              <w:keepNext/>
              <w:keepLines/>
              <w:widowControl/>
              <w:spacing w:before="120" w:after="120" w:line="276" w:lineRule="auto"/>
              <w:jc w:val="center"/>
              <w:outlineLvl w:val="0"/>
              <w:rPr>
                <w:rFonts w:ascii="宋体" w:hAnsi="宋体"/>
                <w:b/>
                <w:color w:val="auto"/>
                <w:kern w:val="0"/>
                <w:sz w:val="24"/>
                <w:szCs w:val="24"/>
                <w:highlight w:val="none"/>
                <w:lang w:eastAsia="en-US" w:bidi="en-US"/>
              </w:rPr>
            </w:pPr>
          </w:p>
        </w:tc>
      </w:tr>
      <w:tr w14:paraId="35D7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526" w:type="dxa"/>
            <w:vAlign w:val="center"/>
          </w:tcPr>
          <w:p w14:paraId="2800538B">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资</w:t>
            </w:r>
            <w:bookmarkStart w:id="136" w:name="_Toc226209010"/>
            <w:bookmarkStart w:id="137" w:name="_Toc163337627"/>
            <w:bookmarkStart w:id="138" w:name="_Toc337720098"/>
            <w:bookmarkStart w:id="139" w:name="_Toc395261106"/>
            <w:bookmarkStart w:id="140" w:name="_Toc352623428"/>
            <w:bookmarkStart w:id="141" w:name="_Toc318924502"/>
            <w:bookmarkStart w:id="142" w:name="_Toc239216038"/>
            <w:bookmarkStart w:id="143" w:name="_Toc352240530"/>
            <w:bookmarkStart w:id="144" w:name="_Toc369536777"/>
            <w:bookmarkStart w:id="145" w:name="_Toc449308427"/>
            <w:bookmarkStart w:id="146" w:name="_Toc239311753"/>
            <w:bookmarkStart w:id="147" w:name="_Toc358370585"/>
            <w:r>
              <w:rPr>
                <w:rFonts w:hint="eastAsia" w:ascii="宋体" w:hAnsi="宋体"/>
                <w:b/>
                <w:color w:val="auto"/>
                <w:kern w:val="0"/>
                <w:sz w:val="24"/>
                <w:szCs w:val="24"/>
                <w:highlight w:val="none"/>
                <w:lang w:eastAsia="en-US" w:bidi="en-US"/>
              </w:rPr>
              <w:t>格证书号</w:t>
            </w:r>
          </w:p>
        </w:tc>
        <w:tc>
          <w:tcPr>
            <w:tcW w:w="7999" w:type="dxa"/>
            <w:gridSpan w:val="10"/>
            <w:vAlign w:val="center"/>
          </w:tcPr>
          <w:p w14:paraId="1DA229D3">
            <w:pPr>
              <w:keepNext/>
              <w:keepLines/>
              <w:widowControl/>
              <w:topLinePunct/>
              <w:adjustRightInd w:val="0"/>
              <w:snapToGrid w:val="0"/>
              <w:spacing w:before="120" w:after="120" w:line="360" w:lineRule="auto"/>
              <w:jc w:val="center"/>
              <w:outlineLvl w:val="0"/>
              <w:rPr>
                <w:rFonts w:ascii="宋体" w:hAnsi="宋体" w:eastAsia="等线"/>
                <w:b/>
                <w:snapToGrid w:val="0"/>
                <w:color w:val="auto"/>
                <w:spacing w:val="4"/>
                <w:sz w:val="24"/>
                <w:szCs w:val="24"/>
                <w:highlight w:val="none"/>
                <w:lang w:bidi="en-US"/>
              </w:rPr>
            </w:pPr>
          </w:p>
        </w:tc>
      </w:tr>
      <w:tr w14:paraId="09A4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25" w:type="dxa"/>
            <w:gridSpan w:val="11"/>
            <w:vAlign w:val="center"/>
          </w:tcPr>
          <w:p w14:paraId="73D05ACD">
            <w:pPr>
              <w:widowControl/>
              <w:topLinePunct/>
              <w:adjustRightInd w:val="0"/>
              <w:snapToGrid w:val="0"/>
              <w:spacing w:before="240" w:after="200"/>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业绩简介</w:t>
            </w:r>
          </w:p>
        </w:tc>
      </w:tr>
      <w:tr w14:paraId="3206E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vAlign w:val="center"/>
          </w:tcPr>
          <w:p w14:paraId="710C0DA3">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建设单位</w:t>
            </w:r>
            <w:bookmarkEnd w:id="136"/>
            <w:bookmarkEnd w:id="137"/>
            <w:bookmarkEnd w:id="138"/>
            <w:bookmarkEnd w:id="139"/>
            <w:bookmarkEnd w:id="140"/>
            <w:bookmarkEnd w:id="141"/>
            <w:bookmarkEnd w:id="142"/>
            <w:bookmarkEnd w:id="143"/>
            <w:bookmarkEnd w:id="144"/>
            <w:bookmarkEnd w:id="145"/>
            <w:bookmarkEnd w:id="146"/>
            <w:bookmarkEnd w:id="147"/>
          </w:p>
        </w:tc>
        <w:tc>
          <w:tcPr>
            <w:tcW w:w="1547" w:type="dxa"/>
            <w:vAlign w:val="center"/>
          </w:tcPr>
          <w:p w14:paraId="57CFF4FE">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项目名称</w:t>
            </w:r>
          </w:p>
        </w:tc>
        <w:tc>
          <w:tcPr>
            <w:tcW w:w="1549" w:type="dxa"/>
            <w:gridSpan w:val="2"/>
            <w:vAlign w:val="center"/>
          </w:tcPr>
          <w:p w14:paraId="77D092CF">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建设规模</w:t>
            </w:r>
          </w:p>
        </w:tc>
        <w:tc>
          <w:tcPr>
            <w:tcW w:w="1783" w:type="dxa"/>
            <w:gridSpan w:val="2"/>
            <w:vAlign w:val="center"/>
          </w:tcPr>
          <w:p w14:paraId="4BF90D86">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开、竣工日期</w:t>
            </w:r>
          </w:p>
        </w:tc>
        <w:tc>
          <w:tcPr>
            <w:tcW w:w="1547" w:type="dxa"/>
            <w:gridSpan w:val="3"/>
            <w:vAlign w:val="center"/>
          </w:tcPr>
          <w:p w14:paraId="551E680E">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在建或已完</w:t>
            </w:r>
          </w:p>
        </w:tc>
        <w:tc>
          <w:tcPr>
            <w:tcW w:w="1551" w:type="dxa"/>
            <w:vAlign w:val="center"/>
          </w:tcPr>
          <w:p w14:paraId="52B5186C">
            <w:pPr>
              <w:widowControl/>
              <w:spacing w:after="200" w:line="276" w:lineRule="auto"/>
              <w:jc w:val="center"/>
              <w:rPr>
                <w:rFonts w:ascii="宋体" w:hAnsi="宋体"/>
                <w:b/>
                <w:color w:val="auto"/>
                <w:kern w:val="0"/>
                <w:sz w:val="24"/>
                <w:szCs w:val="24"/>
                <w:highlight w:val="none"/>
                <w:lang w:eastAsia="en-US" w:bidi="en-US"/>
              </w:rPr>
            </w:pPr>
            <w:r>
              <w:rPr>
                <w:rFonts w:hint="eastAsia" w:ascii="宋体" w:hAnsi="宋体"/>
                <w:b/>
                <w:color w:val="auto"/>
                <w:kern w:val="0"/>
                <w:sz w:val="24"/>
                <w:szCs w:val="24"/>
                <w:highlight w:val="none"/>
                <w:lang w:eastAsia="en-US" w:bidi="en-US"/>
              </w:rPr>
              <w:t>工程质量</w:t>
            </w:r>
          </w:p>
        </w:tc>
      </w:tr>
      <w:tr w14:paraId="14A4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8" w:type="dxa"/>
            <w:gridSpan w:val="2"/>
            <w:vAlign w:val="center"/>
          </w:tcPr>
          <w:p w14:paraId="055B0A0E">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7" w:type="dxa"/>
            <w:vAlign w:val="center"/>
          </w:tcPr>
          <w:p w14:paraId="1F84CBAF">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9" w:type="dxa"/>
            <w:gridSpan w:val="2"/>
            <w:vAlign w:val="center"/>
          </w:tcPr>
          <w:p w14:paraId="6232D473">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783" w:type="dxa"/>
            <w:gridSpan w:val="2"/>
            <w:vAlign w:val="center"/>
          </w:tcPr>
          <w:p w14:paraId="762B4CF9">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47" w:type="dxa"/>
            <w:gridSpan w:val="3"/>
            <w:vAlign w:val="center"/>
          </w:tcPr>
          <w:p w14:paraId="5B2F7FE0">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c>
          <w:tcPr>
            <w:tcW w:w="1551" w:type="dxa"/>
            <w:vAlign w:val="center"/>
          </w:tcPr>
          <w:p w14:paraId="7948DE9B">
            <w:pPr>
              <w:widowControl/>
              <w:topLinePunct/>
              <w:adjustRightInd w:val="0"/>
              <w:snapToGrid w:val="0"/>
              <w:spacing w:after="200" w:line="360" w:lineRule="auto"/>
              <w:jc w:val="center"/>
              <w:rPr>
                <w:rFonts w:ascii="宋体" w:hAnsi="宋体" w:eastAsia="等线"/>
                <w:b/>
                <w:snapToGrid w:val="0"/>
                <w:color w:val="auto"/>
                <w:spacing w:val="4"/>
                <w:sz w:val="24"/>
                <w:szCs w:val="24"/>
                <w:highlight w:val="none"/>
                <w:lang w:bidi="en-US"/>
              </w:rPr>
            </w:pPr>
          </w:p>
        </w:tc>
      </w:tr>
      <w:tr w14:paraId="6EF7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48" w:type="dxa"/>
            <w:gridSpan w:val="2"/>
            <w:vAlign w:val="center"/>
          </w:tcPr>
          <w:p w14:paraId="2AF32040">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7" w:type="dxa"/>
            <w:vAlign w:val="center"/>
          </w:tcPr>
          <w:p w14:paraId="14366019">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9" w:type="dxa"/>
            <w:gridSpan w:val="2"/>
            <w:vAlign w:val="center"/>
          </w:tcPr>
          <w:p w14:paraId="61493F8A">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783" w:type="dxa"/>
            <w:gridSpan w:val="2"/>
            <w:vAlign w:val="center"/>
          </w:tcPr>
          <w:p w14:paraId="2DB4E0F9">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47" w:type="dxa"/>
            <w:gridSpan w:val="3"/>
            <w:vAlign w:val="center"/>
          </w:tcPr>
          <w:p w14:paraId="05860ACB">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c>
          <w:tcPr>
            <w:tcW w:w="1551" w:type="dxa"/>
            <w:vAlign w:val="center"/>
          </w:tcPr>
          <w:p w14:paraId="77F0C142">
            <w:pPr>
              <w:widowControl/>
              <w:topLinePunct/>
              <w:adjustRightInd w:val="0"/>
              <w:snapToGrid w:val="0"/>
              <w:spacing w:after="200" w:line="360" w:lineRule="auto"/>
              <w:jc w:val="center"/>
              <w:rPr>
                <w:rFonts w:ascii="宋体" w:hAnsi="宋体" w:eastAsia="等线"/>
                <w:snapToGrid w:val="0"/>
                <w:color w:val="auto"/>
                <w:spacing w:val="4"/>
                <w:sz w:val="24"/>
                <w:szCs w:val="24"/>
                <w:highlight w:val="none"/>
                <w:lang w:bidi="en-US"/>
              </w:rPr>
            </w:pPr>
          </w:p>
        </w:tc>
      </w:tr>
    </w:tbl>
    <w:p w14:paraId="66C41EEC">
      <w:pPr>
        <w:ind w:firstLine="551" w:firstLineChars="196"/>
        <w:rPr>
          <w:rFonts w:ascii="仿宋" w:hAnsi="仿宋" w:eastAsia="仿宋"/>
          <w:b/>
          <w:bCs/>
          <w:color w:val="auto"/>
          <w:sz w:val="28"/>
          <w:szCs w:val="28"/>
          <w:highlight w:val="none"/>
        </w:rPr>
      </w:pPr>
    </w:p>
    <w:p w14:paraId="24FBA1D0">
      <w:pPr>
        <w:widowControl/>
        <w:topLinePunct/>
        <w:adjustRightInd w:val="0"/>
        <w:snapToGrid w:val="0"/>
        <w:spacing w:after="200" w:line="360" w:lineRule="auto"/>
        <w:ind w:firstLine="198" w:firstLineChars="80"/>
        <w:jc w:val="left"/>
        <w:rPr>
          <w:rFonts w:ascii="宋体" w:hAnsi="宋体"/>
          <w:color w:val="auto"/>
          <w:spacing w:val="4"/>
          <w:kern w:val="0"/>
          <w:sz w:val="24"/>
          <w:szCs w:val="24"/>
          <w:highlight w:val="none"/>
        </w:rPr>
      </w:pPr>
    </w:p>
    <w:p w14:paraId="4344B397">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投标人：　　（盖章）</w:t>
      </w:r>
    </w:p>
    <w:p w14:paraId="7202B003">
      <w:pPr>
        <w:widowControl/>
        <w:topLinePunct/>
        <w:adjustRightInd w:val="0"/>
        <w:snapToGrid w:val="0"/>
        <w:spacing w:after="200" w:line="360" w:lineRule="auto"/>
        <w:ind w:firstLine="3596" w:firstLineChars="145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法定代表人或授权代理人(签字或盖章)：</w:t>
      </w:r>
    </w:p>
    <w:p w14:paraId="11F6AC2E">
      <w:pPr>
        <w:ind w:right="420" w:firstLine="3596" w:firstLineChars="1450"/>
        <w:rPr>
          <w:color w:val="auto"/>
          <w:highlight w:val="none"/>
        </w:rPr>
      </w:pPr>
      <w:r>
        <w:rPr>
          <w:rFonts w:hint="eastAsia" w:ascii="宋体" w:hAnsi="宋体"/>
          <w:color w:val="auto"/>
          <w:spacing w:val="4"/>
          <w:kern w:val="0"/>
          <w:sz w:val="24"/>
          <w:szCs w:val="24"/>
          <w:highlight w:val="none"/>
        </w:rPr>
        <w:t xml:space="preserve">日   期：    年    月    日 </w:t>
      </w:r>
      <w:bookmarkStart w:id="148" w:name="_Toc4486083"/>
      <w:bookmarkStart w:id="149" w:name="_Toc177015373"/>
      <w:bookmarkStart w:id="150" w:name="_Toc182301153"/>
      <w:bookmarkStart w:id="151" w:name="_Toc177015447"/>
      <w:bookmarkStart w:id="152" w:name="_Toc181984153"/>
      <w:bookmarkStart w:id="153" w:name="_Toc4489951"/>
      <w:bookmarkStart w:id="154" w:name="_Toc177015504"/>
      <w:bookmarkStart w:id="155" w:name="_Toc174439519"/>
    </w:p>
    <w:p w14:paraId="7F8760C5">
      <w:pPr>
        <w:topLinePunct/>
        <w:adjustRightInd w:val="0"/>
        <w:snapToGrid w:val="0"/>
        <w:spacing w:line="360" w:lineRule="auto"/>
        <w:jc w:val="left"/>
        <w:outlineLvl w:val="2"/>
        <w:rPr>
          <w:rFonts w:ascii="宋体" w:hAnsi="宋体"/>
          <w:snapToGrid w:val="0"/>
          <w:color w:val="auto"/>
          <w:spacing w:val="4"/>
          <w:kern w:val="0"/>
          <w:sz w:val="24"/>
          <w:szCs w:val="24"/>
          <w:highlight w:val="none"/>
        </w:rPr>
      </w:pPr>
      <w:r>
        <w:rPr>
          <w:rFonts w:ascii="宋体"/>
          <w:color w:val="auto"/>
          <w:kern w:val="0"/>
          <w:highlight w:val="none"/>
        </w:rPr>
        <w:br w:type="page"/>
      </w:r>
      <w:bookmarkStart w:id="156" w:name="_Toc12738"/>
      <w:bookmarkStart w:id="157" w:name="_Toc29476919"/>
      <w:bookmarkStart w:id="158" w:name="_Toc62056041"/>
      <w:r>
        <w:rPr>
          <w:rFonts w:hint="eastAsia" w:ascii="宋体" w:hAnsi="宋体"/>
          <w:color w:val="auto"/>
          <w:spacing w:val="4"/>
          <w:kern w:val="0"/>
          <w:sz w:val="24"/>
          <w:szCs w:val="24"/>
          <w:highlight w:val="none"/>
        </w:rPr>
        <w:t>格式八：</w:t>
      </w:r>
      <w:bookmarkEnd w:id="156"/>
      <w:r>
        <w:rPr>
          <w:rFonts w:hint="eastAsia" w:ascii="宋体" w:hAnsi="宋体"/>
          <w:color w:val="auto"/>
          <w:spacing w:val="4"/>
          <w:kern w:val="0"/>
          <w:sz w:val="24"/>
          <w:szCs w:val="24"/>
          <w:highlight w:val="none"/>
        </w:rPr>
        <w:t>已竣工验收的类似工</w:t>
      </w:r>
      <w:r>
        <w:rPr>
          <w:rFonts w:hint="eastAsia" w:ascii="宋体" w:hAnsi="宋体"/>
          <w:snapToGrid w:val="0"/>
          <w:color w:val="auto"/>
          <w:spacing w:val="4"/>
          <w:kern w:val="0"/>
          <w:sz w:val="24"/>
          <w:szCs w:val="24"/>
          <w:highlight w:val="none"/>
        </w:rPr>
        <w:t>程业绩表</w:t>
      </w:r>
    </w:p>
    <w:p w14:paraId="679C1357">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已竣工验收的类似工程业绩表</w:t>
      </w:r>
    </w:p>
    <w:tbl>
      <w:tblPr>
        <w:tblStyle w:val="25"/>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976"/>
        <w:gridCol w:w="2430"/>
        <w:gridCol w:w="2430"/>
      </w:tblGrid>
      <w:tr w14:paraId="0E52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jc w:val="center"/>
        </w:trPr>
        <w:tc>
          <w:tcPr>
            <w:tcW w:w="1337" w:type="dxa"/>
            <w:vAlign w:val="center"/>
          </w:tcPr>
          <w:p w14:paraId="0947F2BA">
            <w:pPr>
              <w:jc w:val="center"/>
              <w:rPr>
                <w:rFonts w:ascii="宋体" w:hAnsi="宋体"/>
                <w:color w:val="auto"/>
                <w:sz w:val="24"/>
                <w:szCs w:val="24"/>
                <w:highlight w:val="none"/>
              </w:rPr>
            </w:pPr>
            <w:r>
              <w:rPr>
                <w:rFonts w:ascii="宋体" w:hAnsi="宋体"/>
                <w:color w:val="auto"/>
                <w:sz w:val="24"/>
                <w:szCs w:val="24"/>
                <w:highlight w:val="none"/>
              </w:rPr>
              <w:t>序号</w:t>
            </w:r>
          </w:p>
        </w:tc>
        <w:tc>
          <w:tcPr>
            <w:tcW w:w="2976" w:type="dxa"/>
            <w:vAlign w:val="center"/>
          </w:tcPr>
          <w:p w14:paraId="2DE559B8">
            <w:pPr>
              <w:jc w:val="center"/>
              <w:rPr>
                <w:rFonts w:ascii="宋体" w:hAnsi="宋体"/>
                <w:color w:val="auto"/>
                <w:sz w:val="24"/>
                <w:szCs w:val="24"/>
                <w:highlight w:val="none"/>
              </w:rPr>
            </w:pPr>
            <w:r>
              <w:rPr>
                <w:rFonts w:ascii="宋体" w:hAnsi="宋体"/>
                <w:color w:val="auto"/>
                <w:sz w:val="24"/>
                <w:szCs w:val="24"/>
                <w:highlight w:val="none"/>
              </w:rPr>
              <w:t>项目名称</w:t>
            </w:r>
          </w:p>
        </w:tc>
        <w:tc>
          <w:tcPr>
            <w:tcW w:w="2430" w:type="dxa"/>
            <w:vAlign w:val="center"/>
          </w:tcPr>
          <w:p w14:paraId="78A8FA8C">
            <w:pPr>
              <w:jc w:val="center"/>
              <w:rPr>
                <w:rFonts w:ascii="宋体" w:hAnsi="宋体"/>
                <w:color w:val="auto"/>
                <w:sz w:val="24"/>
                <w:szCs w:val="24"/>
                <w:highlight w:val="none"/>
              </w:rPr>
            </w:pPr>
            <w:r>
              <w:rPr>
                <w:rFonts w:ascii="宋体" w:hAnsi="宋体"/>
                <w:color w:val="auto"/>
                <w:sz w:val="24"/>
                <w:szCs w:val="24"/>
                <w:highlight w:val="none"/>
              </w:rPr>
              <w:t>中标金额（万元）</w:t>
            </w:r>
          </w:p>
        </w:tc>
        <w:tc>
          <w:tcPr>
            <w:tcW w:w="2430" w:type="dxa"/>
            <w:vAlign w:val="center"/>
          </w:tcPr>
          <w:p w14:paraId="18114098">
            <w:pPr>
              <w:jc w:val="center"/>
              <w:rPr>
                <w:rFonts w:ascii="宋体" w:hAnsi="宋体"/>
                <w:color w:val="auto"/>
                <w:sz w:val="24"/>
                <w:szCs w:val="24"/>
                <w:highlight w:val="none"/>
              </w:rPr>
            </w:pPr>
            <w:r>
              <w:rPr>
                <w:rFonts w:ascii="宋体" w:hAnsi="宋体"/>
                <w:color w:val="auto"/>
                <w:sz w:val="24"/>
                <w:szCs w:val="24"/>
                <w:highlight w:val="none"/>
              </w:rPr>
              <w:t>完成时间</w:t>
            </w:r>
          </w:p>
        </w:tc>
      </w:tr>
      <w:tr w14:paraId="1EF6A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14:paraId="1C2671FD">
            <w:pPr>
              <w:jc w:val="center"/>
              <w:rPr>
                <w:rFonts w:ascii="宋体" w:hAnsi="宋体"/>
                <w:b/>
                <w:color w:val="auto"/>
                <w:sz w:val="24"/>
                <w:szCs w:val="24"/>
                <w:highlight w:val="none"/>
              </w:rPr>
            </w:pPr>
          </w:p>
        </w:tc>
        <w:tc>
          <w:tcPr>
            <w:tcW w:w="2976" w:type="dxa"/>
          </w:tcPr>
          <w:p w14:paraId="7563D164">
            <w:pPr>
              <w:jc w:val="center"/>
              <w:rPr>
                <w:rFonts w:ascii="宋体" w:hAnsi="宋体"/>
                <w:b/>
                <w:color w:val="auto"/>
                <w:sz w:val="24"/>
                <w:szCs w:val="24"/>
                <w:highlight w:val="none"/>
              </w:rPr>
            </w:pPr>
          </w:p>
        </w:tc>
        <w:tc>
          <w:tcPr>
            <w:tcW w:w="2430" w:type="dxa"/>
          </w:tcPr>
          <w:p w14:paraId="0DB3C6DA">
            <w:pPr>
              <w:jc w:val="center"/>
              <w:rPr>
                <w:rFonts w:ascii="宋体" w:hAnsi="宋体"/>
                <w:b/>
                <w:color w:val="auto"/>
                <w:sz w:val="24"/>
                <w:szCs w:val="24"/>
                <w:highlight w:val="none"/>
              </w:rPr>
            </w:pPr>
          </w:p>
        </w:tc>
        <w:tc>
          <w:tcPr>
            <w:tcW w:w="2430" w:type="dxa"/>
          </w:tcPr>
          <w:p w14:paraId="3F40C9A5">
            <w:pPr>
              <w:jc w:val="center"/>
              <w:rPr>
                <w:rFonts w:ascii="宋体" w:hAnsi="宋体"/>
                <w:b/>
                <w:color w:val="auto"/>
                <w:sz w:val="24"/>
                <w:szCs w:val="24"/>
                <w:highlight w:val="none"/>
              </w:rPr>
            </w:pPr>
          </w:p>
        </w:tc>
      </w:tr>
      <w:tr w14:paraId="345F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37" w:type="dxa"/>
          </w:tcPr>
          <w:p w14:paraId="52162A1C">
            <w:pPr>
              <w:jc w:val="center"/>
              <w:rPr>
                <w:rFonts w:ascii="宋体" w:hAnsi="宋体"/>
                <w:b/>
                <w:color w:val="auto"/>
                <w:sz w:val="24"/>
                <w:szCs w:val="24"/>
                <w:highlight w:val="none"/>
              </w:rPr>
            </w:pPr>
          </w:p>
        </w:tc>
        <w:tc>
          <w:tcPr>
            <w:tcW w:w="2976" w:type="dxa"/>
          </w:tcPr>
          <w:p w14:paraId="345096B5">
            <w:pPr>
              <w:jc w:val="center"/>
              <w:rPr>
                <w:rFonts w:ascii="宋体" w:hAnsi="宋体"/>
                <w:b/>
                <w:color w:val="auto"/>
                <w:sz w:val="24"/>
                <w:szCs w:val="24"/>
                <w:highlight w:val="none"/>
              </w:rPr>
            </w:pPr>
          </w:p>
        </w:tc>
        <w:tc>
          <w:tcPr>
            <w:tcW w:w="2430" w:type="dxa"/>
          </w:tcPr>
          <w:p w14:paraId="76C27FA4">
            <w:pPr>
              <w:jc w:val="center"/>
              <w:rPr>
                <w:rFonts w:ascii="宋体" w:hAnsi="宋体"/>
                <w:b/>
                <w:color w:val="auto"/>
                <w:sz w:val="24"/>
                <w:szCs w:val="24"/>
                <w:highlight w:val="none"/>
              </w:rPr>
            </w:pPr>
          </w:p>
        </w:tc>
        <w:tc>
          <w:tcPr>
            <w:tcW w:w="2430" w:type="dxa"/>
          </w:tcPr>
          <w:p w14:paraId="68779AE8">
            <w:pPr>
              <w:jc w:val="center"/>
              <w:rPr>
                <w:rFonts w:ascii="宋体" w:hAnsi="宋体"/>
                <w:b/>
                <w:color w:val="auto"/>
                <w:sz w:val="24"/>
                <w:szCs w:val="24"/>
                <w:highlight w:val="none"/>
              </w:rPr>
            </w:pPr>
          </w:p>
        </w:tc>
      </w:tr>
    </w:tbl>
    <w:p w14:paraId="39F4E9BE">
      <w:pPr>
        <w:spacing w:line="273"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lang w:bidi="ar"/>
        </w:rPr>
        <w:t>注：</w:t>
      </w:r>
      <w:r>
        <w:rPr>
          <w:rFonts w:ascii="宋体" w:hAnsi="宋体" w:cs="宋体"/>
          <w:color w:val="auto"/>
          <w:szCs w:val="21"/>
          <w:highlight w:val="none"/>
        </w:rPr>
        <w:t>按技术标详细审查的评审要求提供，业绩表</w:t>
      </w:r>
      <w:r>
        <w:rPr>
          <w:rFonts w:hint="eastAsia" w:ascii="宋体" w:hAnsi="宋体" w:cs="宋体"/>
          <w:color w:val="auto"/>
          <w:szCs w:val="21"/>
          <w:highlight w:val="none"/>
        </w:rPr>
        <w:t>中填写的信息与证明文件材料不一致的，以证明文件材料载明的信息为准。</w:t>
      </w:r>
      <w:r>
        <w:rPr>
          <w:rFonts w:ascii="宋体" w:hAnsi="宋体" w:cs="宋体"/>
          <w:color w:val="auto"/>
          <w:szCs w:val="21"/>
          <w:highlight w:val="none"/>
        </w:rPr>
        <w:t>如无已竣工验收的类似工程业绩的，在项目栏中填写“无”。</w:t>
      </w:r>
    </w:p>
    <w:p w14:paraId="671CDAF7">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投标人：　　（盖章）</w:t>
      </w:r>
    </w:p>
    <w:p w14:paraId="43F27CDA">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法定代表人或授权代理人(签字或盖章)：</w:t>
      </w:r>
    </w:p>
    <w:p w14:paraId="6034062E">
      <w:pPr>
        <w:topLinePunct/>
        <w:adjustRightInd w:val="0"/>
        <w:snapToGrid w:val="0"/>
        <w:spacing w:line="360" w:lineRule="auto"/>
        <w:ind w:firstLine="3596" w:firstLineChars="1450"/>
        <w:rPr>
          <w:rFonts w:ascii="宋体" w:hAnsi="宋体"/>
          <w:snapToGrid w:val="0"/>
          <w:color w:val="auto"/>
          <w:spacing w:val="4"/>
          <w:kern w:val="0"/>
          <w:sz w:val="24"/>
          <w:szCs w:val="24"/>
          <w:highlight w:val="none"/>
        </w:rPr>
      </w:pPr>
      <w:r>
        <w:rPr>
          <w:rFonts w:hint="eastAsia" w:ascii="宋体" w:hAnsi="宋体"/>
          <w:snapToGrid w:val="0"/>
          <w:color w:val="auto"/>
          <w:spacing w:val="4"/>
          <w:kern w:val="0"/>
          <w:sz w:val="24"/>
          <w:szCs w:val="24"/>
          <w:highlight w:val="none"/>
        </w:rPr>
        <w:t xml:space="preserve">日   期：    年    月    日 </w:t>
      </w:r>
    </w:p>
    <w:p w14:paraId="2585CCA9">
      <w:pPr>
        <w:jc w:val="left"/>
        <w:rPr>
          <w:rFonts w:ascii="宋体" w:hAnsi="宋体" w:cs="宋体"/>
          <w:color w:val="auto"/>
          <w:szCs w:val="21"/>
          <w:highlight w:val="none"/>
          <w:lang w:bidi="ar"/>
        </w:rPr>
      </w:pPr>
      <w:r>
        <w:rPr>
          <w:rFonts w:hint="eastAsia" w:ascii="宋体" w:hAnsi="宋体" w:cs="宋体"/>
          <w:color w:val="auto"/>
          <w:szCs w:val="21"/>
          <w:highlight w:val="none"/>
          <w:lang w:bidi="ar"/>
        </w:rPr>
        <w:br w:type="page"/>
      </w:r>
    </w:p>
    <w:bookmarkEnd w:id="148"/>
    <w:bookmarkEnd w:id="149"/>
    <w:bookmarkEnd w:id="150"/>
    <w:bookmarkEnd w:id="151"/>
    <w:bookmarkEnd w:id="152"/>
    <w:bookmarkEnd w:id="153"/>
    <w:bookmarkEnd w:id="154"/>
    <w:bookmarkEnd w:id="155"/>
    <w:bookmarkEnd w:id="157"/>
    <w:bookmarkEnd w:id="158"/>
    <w:p w14:paraId="64D54CA0">
      <w:pPr>
        <w:widowControl/>
        <w:topLinePunct/>
        <w:adjustRightInd w:val="0"/>
        <w:snapToGrid w:val="0"/>
        <w:spacing w:after="200"/>
        <w:jc w:val="left"/>
        <w:outlineLvl w:val="2"/>
        <w:rPr>
          <w:rFonts w:ascii="宋体"/>
          <w:color w:val="auto"/>
          <w:sz w:val="24"/>
          <w:szCs w:val="24"/>
          <w:highlight w:val="none"/>
        </w:rPr>
      </w:pPr>
      <w:bookmarkStart w:id="159" w:name="_Toc62056045"/>
      <w:r>
        <w:rPr>
          <w:rFonts w:hint="eastAsia" w:ascii="宋体" w:hAnsi="宋体"/>
          <w:color w:val="auto"/>
          <w:spacing w:val="4"/>
          <w:kern w:val="0"/>
          <w:sz w:val="24"/>
          <w:szCs w:val="24"/>
          <w:highlight w:val="none"/>
        </w:rPr>
        <w:t>格式九：参与编制技术标投标文件人员名单</w:t>
      </w:r>
      <w:bookmarkEnd w:id="159"/>
    </w:p>
    <w:p w14:paraId="1C76A0C6">
      <w:pPr>
        <w:autoSpaceDE w:val="0"/>
        <w:autoSpaceDN w:val="0"/>
        <w:adjustRightInd w:val="0"/>
        <w:rPr>
          <w:color w:val="auto"/>
          <w:szCs w:val="21"/>
          <w:highlight w:val="none"/>
        </w:rPr>
      </w:pPr>
    </w:p>
    <w:p w14:paraId="7A127046">
      <w:pPr>
        <w:tabs>
          <w:tab w:val="left" w:pos="720"/>
        </w:tabs>
        <w:snapToGrid w:val="0"/>
        <w:spacing w:line="360" w:lineRule="auto"/>
        <w:jc w:val="center"/>
        <w:rPr>
          <w:b/>
          <w:color w:val="auto"/>
          <w:sz w:val="30"/>
          <w:szCs w:val="30"/>
          <w:highlight w:val="none"/>
        </w:rPr>
      </w:pPr>
      <w:r>
        <w:rPr>
          <w:rFonts w:hint="eastAsia"/>
          <w:b/>
          <w:color w:val="auto"/>
          <w:sz w:val="30"/>
          <w:szCs w:val="30"/>
          <w:highlight w:val="none"/>
        </w:rPr>
        <w:t>参与编制技术标投标文件人员名单</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6A19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14:paraId="72CC8704">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6C827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14:paraId="1918B96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2A7BB46E">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1FFE7CE3">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28FD1CEF">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561F6D8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4CC9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14:paraId="1D0BAFD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0E028F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48C852B5">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B537E7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54FC813">
            <w:pPr>
              <w:tabs>
                <w:tab w:val="left" w:pos="720"/>
              </w:tabs>
              <w:snapToGrid w:val="0"/>
              <w:spacing w:line="360" w:lineRule="auto"/>
              <w:jc w:val="center"/>
              <w:rPr>
                <w:rFonts w:ascii="宋体" w:hAnsi="宋体"/>
                <w:color w:val="auto"/>
                <w:szCs w:val="21"/>
                <w:highlight w:val="none"/>
              </w:rPr>
            </w:pPr>
          </w:p>
        </w:tc>
      </w:tr>
      <w:tr w14:paraId="01F0B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6F3E81D2">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39EF2F6">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E89C6B5">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2289CF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5EC2C1BE">
            <w:pPr>
              <w:tabs>
                <w:tab w:val="left" w:pos="720"/>
              </w:tabs>
              <w:snapToGrid w:val="0"/>
              <w:spacing w:line="360" w:lineRule="auto"/>
              <w:jc w:val="center"/>
              <w:rPr>
                <w:rFonts w:ascii="宋体" w:hAnsi="宋体"/>
                <w:color w:val="auto"/>
                <w:szCs w:val="21"/>
                <w:highlight w:val="none"/>
              </w:rPr>
            </w:pPr>
          </w:p>
        </w:tc>
      </w:tr>
      <w:tr w14:paraId="4F8F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1BD9F27">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729996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A9CB392">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9AFF42B">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97BC0D6">
            <w:pPr>
              <w:tabs>
                <w:tab w:val="left" w:pos="720"/>
              </w:tabs>
              <w:snapToGrid w:val="0"/>
              <w:spacing w:line="360" w:lineRule="auto"/>
              <w:jc w:val="center"/>
              <w:rPr>
                <w:rFonts w:ascii="宋体" w:hAnsi="宋体"/>
                <w:color w:val="auto"/>
                <w:szCs w:val="21"/>
                <w:highlight w:val="none"/>
              </w:rPr>
            </w:pPr>
          </w:p>
        </w:tc>
      </w:tr>
      <w:tr w14:paraId="30E9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34889724">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6FAF25F">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63D203A">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704011B">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4A38589">
            <w:pPr>
              <w:tabs>
                <w:tab w:val="left" w:pos="720"/>
              </w:tabs>
              <w:snapToGrid w:val="0"/>
              <w:spacing w:line="360" w:lineRule="auto"/>
              <w:jc w:val="center"/>
              <w:rPr>
                <w:rFonts w:ascii="宋体" w:hAnsi="宋体"/>
                <w:color w:val="auto"/>
                <w:szCs w:val="21"/>
                <w:highlight w:val="none"/>
              </w:rPr>
            </w:pPr>
          </w:p>
        </w:tc>
      </w:tr>
      <w:tr w14:paraId="330F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652A9C0B">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1C0FC803">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7F3D295">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1AF64A5">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D5746D1">
            <w:pPr>
              <w:tabs>
                <w:tab w:val="left" w:pos="720"/>
              </w:tabs>
              <w:snapToGrid w:val="0"/>
              <w:spacing w:line="360" w:lineRule="auto"/>
              <w:jc w:val="center"/>
              <w:rPr>
                <w:rFonts w:ascii="宋体" w:hAnsi="宋体"/>
                <w:color w:val="auto"/>
                <w:szCs w:val="21"/>
                <w:highlight w:val="none"/>
              </w:rPr>
            </w:pPr>
          </w:p>
        </w:tc>
      </w:tr>
      <w:tr w14:paraId="01B9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14:paraId="2C773841">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02BF9A8">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5ACB973">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8B2AECF">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2B4510E">
            <w:pPr>
              <w:tabs>
                <w:tab w:val="left" w:pos="720"/>
              </w:tabs>
              <w:snapToGrid w:val="0"/>
              <w:spacing w:line="360" w:lineRule="auto"/>
              <w:jc w:val="center"/>
              <w:rPr>
                <w:rFonts w:ascii="宋体" w:hAnsi="宋体"/>
                <w:color w:val="auto"/>
                <w:szCs w:val="21"/>
                <w:highlight w:val="none"/>
              </w:rPr>
            </w:pPr>
          </w:p>
        </w:tc>
      </w:tr>
      <w:tr w14:paraId="231F9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14:paraId="6CE88689">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3F083B7F">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76C3C36">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BF2110B">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1420365">
            <w:pPr>
              <w:tabs>
                <w:tab w:val="left" w:pos="720"/>
              </w:tabs>
              <w:snapToGrid w:val="0"/>
              <w:spacing w:line="360" w:lineRule="auto"/>
              <w:jc w:val="center"/>
              <w:rPr>
                <w:rFonts w:ascii="宋体" w:hAnsi="宋体"/>
                <w:color w:val="auto"/>
                <w:szCs w:val="21"/>
                <w:highlight w:val="none"/>
              </w:rPr>
            </w:pPr>
          </w:p>
        </w:tc>
      </w:tr>
      <w:tr w14:paraId="0BD1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14:paraId="02458F92">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C5E8546">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B2B133E">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7ECDFFF">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04BEE1D">
            <w:pPr>
              <w:tabs>
                <w:tab w:val="left" w:pos="720"/>
              </w:tabs>
              <w:snapToGrid w:val="0"/>
              <w:spacing w:line="360" w:lineRule="auto"/>
              <w:jc w:val="center"/>
              <w:rPr>
                <w:rFonts w:ascii="宋体" w:hAnsi="宋体"/>
                <w:color w:val="auto"/>
                <w:szCs w:val="21"/>
                <w:highlight w:val="none"/>
              </w:rPr>
            </w:pPr>
          </w:p>
        </w:tc>
      </w:tr>
    </w:tbl>
    <w:p w14:paraId="519AA75B">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注：参与编制技术标投标文件所有人员名单应包括如编制技术投标方案、负责清样校对、负责打印及复印等所有人员在内的人员名单。</w:t>
      </w:r>
    </w:p>
    <w:p w14:paraId="47DD3224">
      <w:pPr>
        <w:rPr>
          <w:color w:val="auto"/>
          <w:highlight w:val="none"/>
        </w:rPr>
      </w:pPr>
      <w:bookmarkStart w:id="160" w:name="_Toc62056046"/>
      <w:r>
        <w:rPr>
          <w:rFonts w:hint="eastAsia"/>
          <w:color w:val="auto"/>
          <w:highlight w:val="none"/>
        </w:rPr>
        <w:t xml:space="preserve"> </w:t>
      </w:r>
      <w:bookmarkEnd w:id="160"/>
    </w:p>
    <w:p w14:paraId="473D1FC0">
      <w:pPr>
        <w:ind w:firstLine="420"/>
        <w:rPr>
          <w:color w:val="auto"/>
          <w:kern w:val="0"/>
          <w:sz w:val="20"/>
          <w:szCs w:val="20"/>
          <w:highlight w:val="none"/>
        </w:rPr>
      </w:pPr>
      <w:r>
        <w:rPr>
          <w:color w:val="auto"/>
          <w:kern w:val="0"/>
          <w:sz w:val="20"/>
          <w:szCs w:val="20"/>
          <w:highlight w:val="none"/>
        </w:rPr>
        <w:br w:type="page"/>
      </w:r>
    </w:p>
    <w:p w14:paraId="05B3A87B">
      <w:pPr>
        <w:widowControl/>
        <w:topLinePunct/>
        <w:adjustRightInd w:val="0"/>
        <w:snapToGrid w:val="0"/>
        <w:spacing w:after="200"/>
        <w:jc w:val="left"/>
        <w:outlineLvl w:val="2"/>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格式十：危险性较大的分部分项工程清单及超过一定规模的危险性较大的分部分项工程清单</w:t>
      </w:r>
    </w:p>
    <w:p w14:paraId="3DE4A633">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危险性较大的分部分项工程清单及</w:t>
      </w:r>
    </w:p>
    <w:p w14:paraId="339740A0">
      <w:pPr>
        <w:widowControl/>
        <w:topLinePunct/>
        <w:adjustRightInd w:val="0"/>
        <w:snapToGrid w:val="0"/>
        <w:spacing w:before="158" w:beforeLines="50" w:after="156"/>
        <w:jc w:val="center"/>
        <w:rPr>
          <w:rFonts w:ascii="宋体" w:hAnsi="宋体"/>
          <w:b/>
          <w:color w:val="auto"/>
          <w:spacing w:val="4"/>
          <w:kern w:val="0"/>
          <w:sz w:val="32"/>
          <w:szCs w:val="32"/>
          <w:highlight w:val="none"/>
        </w:rPr>
      </w:pPr>
      <w:r>
        <w:rPr>
          <w:rFonts w:hint="eastAsia" w:ascii="宋体" w:hAnsi="宋体"/>
          <w:b/>
          <w:color w:val="auto"/>
          <w:spacing w:val="4"/>
          <w:kern w:val="0"/>
          <w:sz w:val="32"/>
          <w:szCs w:val="32"/>
          <w:highlight w:val="none"/>
        </w:rPr>
        <w:t>超过一定规模的危险性较大的分部分项工程清单</w:t>
      </w:r>
    </w:p>
    <w:p w14:paraId="5A071114">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根据中华人民共和国住房和城乡建设部令第37号《危险性较大的分部分项工程安全管理规定》（以下简称“37号文”），</w:t>
      </w:r>
      <w:r>
        <w:rPr>
          <w:rFonts w:hint="eastAsia"/>
          <w:color w:val="auto"/>
          <w:szCs w:val="21"/>
          <w:highlight w:val="none"/>
        </w:rPr>
        <w:t>投标人在投标时须补充完善危大工程清单</w:t>
      </w:r>
      <w:r>
        <w:rPr>
          <w:rFonts w:hint="eastAsia" w:ascii="宋体" w:hAnsi="宋体" w:cs="宋体"/>
          <w:color w:val="auto"/>
          <w:kern w:val="0"/>
          <w:szCs w:val="21"/>
          <w:highlight w:val="none"/>
        </w:rPr>
        <w:t>并</w:t>
      </w:r>
      <w:r>
        <w:rPr>
          <w:rFonts w:hint="eastAsia" w:ascii="宋体" w:hAnsi="宋体" w:cs="宋体"/>
          <w:snapToGrid w:val="0"/>
          <w:color w:val="auto"/>
          <w:spacing w:val="4"/>
          <w:kern w:val="0"/>
          <w:szCs w:val="21"/>
          <w:highlight w:val="none"/>
        </w:rPr>
        <w:t>结合本工程的类型和特点，科学、合理地设置本项目的危险性较大的分部分项工程安全管理措施，危险性较大的分部分项工程安全管理措施由投标人结合招标人对本工程的具体要求自行设定</w:t>
      </w:r>
      <w:r>
        <w:rPr>
          <w:rFonts w:hint="eastAsia" w:ascii="宋体" w:hAnsi="宋体"/>
          <w:color w:val="auto"/>
          <w:szCs w:val="21"/>
          <w:highlight w:val="none"/>
        </w:rPr>
        <w:t>。</w:t>
      </w:r>
    </w:p>
    <w:p w14:paraId="500F9299">
      <w:pPr>
        <w:numPr>
          <w:ilvl w:val="0"/>
          <w:numId w:val="2"/>
        </w:numPr>
        <w:autoSpaceDE w:val="0"/>
        <w:autoSpaceDN w:val="0"/>
        <w:adjustRightInd w:val="0"/>
        <w:spacing w:line="276" w:lineRule="auto"/>
        <w:jc w:val="left"/>
        <w:rPr>
          <w:rFonts w:ascii="宋体" w:hAnsi="宋体"/>
          <w:b/>
          <w:bCs/>
          <w:color w:val="auto"/>
          <w:szCs w:val="21"/>
          <w:highlight w:val="none"/>
        </w:rPr>
      </w:pPr>
      <w:r>
        <w:rPr>
          <w:rFonts w:hint="eastAsia" w:ascii="宋体" w:hAnsi="宋体"/>
          <w:b/>
          <w:bCs/>
          <w:color w:val="auto"/>
          <w:szCs w:val="21"/>
          <w:highlight w:val="none"/>
        </w:rPr>
        <w:t>投标人根据设计文件的要求及37号文的规定列出“危险性较大的分部分项工程清单及超过一定规模的危险性较大的分部分项工程清单”中与本招标项目相关的清单项，具体请在第5点“打√”标识。</w:t>
      </w:r>
    </w:p>
    <w:p w14:paraId="03234D66">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投标单位应当在投标时根据招标人提供的下述第5点清单，在投标文件中编制专项施工方案</w:t>
      </w:r>
      <w:r>
        <w:rPr>
          <w:rFonts w:hint="eastAsia" w:ascii="宋体" w:hAnsi="宋体"/>
          <w:b/>
          <w:bCs/>
          <w:color w:val="auto"/>
          <w:szCs w:val="21"/>
          <w:highlight w:val="none"/>
        </w:rPr>
        <w:t>，提供相应的安全管理措施</w:t>
      </w:r>
      <w:r>
        <w:rPr>
          <w:rFonts w:hint="eastAsia" w:ascii="宋体" w:hAnsi="宋体"/>
          <w:color w:val="auto"/>
          <w:szCs w:val="21"/>
          <w:highlight w:val="none"/>
        </w:rPr>
        <w:t>。</w:t>
      </w:r>
    </w:p>
    <w:p w14:paraId="130FDBC6">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762FAD7">
      <w:pPr>
        <w:numPr>
          <w:ilvl w:val="0"/>
          <w:numId w:val="2"/>
        </w:numPr>
        <w:autoSpaceDE w:val="0"/>
        <w:autoSpaceDN w:val="0"/>
        <w:adjustRightInd w:val="0"/>
        <w:spacing w:line="276" w:lineRule="auto"/>
        <w:jc w:val="left"/>
        <w:rPr>
          <w:rFonts w:ascii="宋体" w:hAnsi="宋体"/>
          <w:color w:val="auto"/>
          <w:szCs w:val="21"/>
          <w:highlight w:val="none"/>
        </w:rPr>
      </w:pPr>
      <w:r>
        <w:rPr>
          <w:rFonts w:hint="eastAsia" w:ascii="宋体" w:hAnsi="宋体"/>
          <w:color w:val="auto"/>
          <w:szCs w:val="21"/>
          <w:highlight w:val="none"/>
        </w:rPr>
        <w:t>危险性较大的分部分项工程清单及超过一定规模的危险性较大的分部分项工程清单：</w:t>
      </w:r>
    </w:p>
    <w:tbl>
      <w:tblPr>
        <w:tblStyle w:val="25"/>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14:paraId="10B2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CDFEBFB">
            <w:pPr>
              <w:spacing w:before="40" w:after="40" w:line="300" w:lineRule="exact"/>
              <w:jc w:val="center"/>
              <w:rPr>
                <w:b/>
                <w:color w:val="auto"/>
                <w:szCs w:val="21"/>
                <w:highlight w:val="none"/>
              </w:rPr>
            </w:pPr>
            <w:r>
              <w:rPr>
                <w:rFonts w:hint="eastAsia" w:ascii="宋体" w:hAnsi="宋体" w:cs="宋体"/>
                <w:b/>
                <w:color w:val="auto"/>
                <w:szCs w:val="21"/>
                <w:highlight w:val="none"/>
                <w:lang w:bidi="ar"/>
              </w:rPr>
              <w:t>一、危险性较大的分部分项工程清单</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156039">
            <w:pPr>
              <w:spacing w:before="40" w:after="40" w:line="300" w:lineRule="exact"/>
              <w:jc w:val="center"/>
              <w:rPr>
                <w:color w:val="auto"/>
                <w:szCs w:val="21"/>
                <w:highlight w:val="none"/>
              </w:rPr>
            </w:pPr>
            <w:r>
              <w:rPr>
                <w:rFonts w:hint="eastAsia" w:ascii="宋体" w:hAnsi="宋体" w:cs="宋体"/>
                <w:color w:val="auto"/>
                <w:szCs w:val="21"/>
                <w:highlight w:val="none"/>
                <w:lang w:bidi="ar"/>
              </w:rPr>
              <w:t>建设单位</w:t>
            </w:r>
          </w:p>
        </w:tc>
        <w:tc>
          <w:tcPr>
            <w:tcW w:w="1190" w:type="dxa"/>
            <w:tcBorders>
              <w:top w:val="single" w:color="auto" w:sz="4" w:space="0"/>
              <w:left w:val="nil"/>
              <w:bottom w:val="single" w:color="auto" w:sz="4" w:space="0"/>
              <w:right w:val="single" w:color="auto" w:sz="4" w:space="0"/>
            </w:tcBorders>
            <w:shd w:val="clear" w:color="auto" w:fill="auto"/>
            <w:vAlign w:val="center"/>
          </w:tcPr>
          <w:p w14:paraId="226F8649">
            <w:pPr>
              <w:spacing w:before="40" w:after="40" w:line="300" w:lineRule="exact"/>
              <w:jc w:val="center"/>
              <w:rPr>
                <w:color w:val="auto"/>
                <w:szCs w:val="21"/>
                <w:highlight w:val="none"/>
              </w:rPr>
            </w:pPr>
            <w:r>
              <w:rPr>
                <w:rFonts w:hint="eastAsia" w:ascii="宋体" w:hAnsi="宋体" w:cs="宋体"/>
                <w:color w:val="auto"/>
                <w:szCs w:val="21"/>
                <w:highlight w:val="none"/>
                <w:lang w:bidi="ar"/>
              </w:rPr>
              <w:t>投标单位</w:t>
            </w:r>
          </w:p>
        </w:tc>
        <w:tc>
          <w:tcPr>
            <w:tcW w:w="796" w:type="dxa"/>
            <w:tcBorders>
              <w:top w:val="single" w:color="auto" w:sz="4" w:space="0"/>
              <w:left w:val="nil"/>
              <w:bottom w:val="single" w:color="auto" w:sz="4" w:space="0"/>
              <w:right w:val="single" w:color="auto" w:sz="4" w:space="0"/>
            </w:tcBorders>
            <w:shd w:val="clear" w:color="auto" w:fill="auto"/>
            <w:vAlign w:val="center"/>
          </w:tcPr>
          <w:p w14:paraId="41CB4C00">
            <w:pPr>
              <w:spacing w:before="40" w:after="40" w:line="300" w:lineRule="exact"/>
              <w:jc w:val="center"/>
              <w:rPr>
                <w:color w:val="auto"/>
                <w:szCs w:val="21"/>
                <w:highlight w:val="none"/>
              </w:rPr>
            </w:pPr>
            <w:r>
              <w:rPr>
                <w:rFonts w:hint="eastAsia" w:ascii="宋体" w:hAnsi="宋体" w:cs="宋体"/>
                <w:color w:val="auto"/>
                <w:szCs w:val="21"/>
                <w:highlight w:val="none"/>
                <w:lang w:bidi="ar"/>
              </w:rPr>
              <w:t>备注</w:t>
            </w:r>
          </w:p>
        </w:tc>
      </w:tr>
      <w:tr w14:paraId="38600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6347E6B">
            <w:pPr>
              <w:spacing w:before="40" w:after="40" w:line="300" w:lineRule="exact"/>
              <w:rPr>
                <w:color w:val="auto"/>
                <w:szCs w:val="21"/>
                <w:highlight w:val="none"/>
              </w:rPr>
            </w:pPr>
            <w:r>
              <w:rPr>
                <w:rFonts w:hint="eastAsia" w:ascii="宋体" w:hAnsi="宋体" w:cs="宋体"/>
                <w:color w:val="auto"/>
                <w:szCs w:val="21"/>
                <w:highlight w:val="none"/>
                <w:lang w:bidi="ar"/>
              </w:rPr>
              <w:t>一、基坑支护</w:t>
            </w:r>
          </w:p>
        </w:tc>
        <w:tc>
          <w:tcPr>
            <w:tcW w:w="1134" w:type="dxa"/>
            <w:tcBorders>
              <w:top w:val="single" w:color="auto" w:sz="4" w:space="0"/>
              <w:left w:val="nil"/>
              <w:bottom w:val="single" w:color="auto" w:sz="4" w:space="0"/>
              <w:right w:val="single" w:color="auto" w:sz="4" w:space="0"/>
            </w:tcBorders>
            <w:shd w:val="clear" w:color="auto" w:fill="auto"/>
            <w:vAlign w:val="center"/>
          </w:tcPr>
          <w:p w14:paraId="3AB54940">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6FC12DBD">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448F9C6B">
            <w:pPr>
              <w:spacing w:before="40" w:after="40" w:line="300" w:lineRule="exact"/>
              <w:jc w:val="center"/>
              <w:rPr>
                <w:rFonts w:ascii="宋体" w:hAnsi="宋体" w:cs="宋体"/>
                <w:color w:val="auto"/>
                <w:szCs w:val="21"/>
                <w:highlight w:val="none"/>
              </w:rPr>
            </w:pPr>
          </w:p>
        </w:tc>
      </w:tr>
      <w:tr w14:paraId="0E78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1348E26">
            <w:pPr>
              <w:spacing w:before="40" w:after="40" w:line="300" w:lineRule="exact"/>
              <w:rPr>
                <w:color w:val="auto"/>
                <w:szCs w:val="21"/>
                <w:highlight w:val="none"/>
              </w:rPr>
            </w:pPr>
            <w:r>
              <w:rPr>
                <w:rFonts w:hint="eastAsia" w:ascii="宋体" w:hAnsi="宋体" w:cs="宋体"/>
                <w:color w:val="auto"/>
                <w:szCs w:val="21"/>
                <w:highlight w:val="none"/>
                <w:lang w:bidi="ar"/>
              </w:rPr>
              <w:t>（一）开挖深度超过</w:t>
            </w:r>
            <w:r>
              <w:rPr>
                <w:rFonts w:eastAsiaTheme="minorEastAsia"/>
                <w:color w:val="auto"/>
                <w:szCs w:val="21"/>
                <w:highlight w:val="none"/>
                <w:lang w:bidi="ar"/>
              </w:rPr>
              <w:t>3m</w:t>
            </w:r>
            <w:r>
              <w:rPr>
                <w:rFonts w:hint="eastAsia" w:ascii="宋体" w:hAnsi="宋体" w:cs="宋体"/>
                <w:color w:val="auto"/>
                <w:szCs w:val="21"/>
                <w:highlight w:val="none"/>
                <w:lang w:bidi="ar"/>
              </w:rPr>
              <w:t>（含</w:t>
            </w:r>
            <w:r>
              <w:rPr>
                <w:rFonts w:eastAsiaTheme="minorEastAsia"/>
                <w:color w:val="auto"/>
                <w:szCs w:val="21"/>
                <w:highlight w:val="none"/>
                <w:lang w:bidi="ar"/>
              </w:rPr>
              <w:t>3m</w:t>
            </w:r>
            <w:r>
              <w:rPr>
                <w:rFonts w:hint="eastAsia" w:ascii="宋体" w:hAnsi="宋体" w:cs="宋体"/>
                <w:color w:val="auto"/>
                <w:szCs w:val="21"/>
                <w:highlight w:val="none"/>
                <w:lang w:bidi="ar"/>
              </w:rPr>
              <w:t>）的基坑（槽）的土方开挖、支护、降水工程。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5F2325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4C2335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F28A84F">
            <w:pPr>
              <w:spacing w:before="40" w:after="40" w:line="300" w:lineRule="exact"/>
              <w:jc w:val="center"/>
              <w:rPr>
                <w:rFonts w:ascii="宋体" w:hAnsi="宋体" w:cs="宋体"/>
                <w:color w:val="auto"/>
                <w:szCs w:val="21"/>
                <w:highlight w:val="none"/>
              </w:rPr>
            </w:pPr>
          </w:p>
        </w:tc>
      </w:tr>
      <w:tr w14:paraId="6E7F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893F685">
            <w:pPr>
              <w:spacing w:before="40" w:after="40" w:line="300" w:lineRule="exact"/>
              <w:rPr>
                <w:color w:val="auto"/>
                <w:szCs w:val="21"/>
                <w:highlight w:val="none"/>
              </w:rPr>
            </w:pPr>
            <w:r>
              <w:rPr>
                <w:rFonts w:hint="eastAsia" w:ascii="宋体" w:hAnsi="宋体" w:cs="宋体"/>
                <w:color w:val="auto"/>
                <w:szCs w:val="21"/>
                <w:highlight w:val="none"/>
                <w:lang w:bidi="ar"/>
              </w:rPr>
              <w:t>（二）开挖深度虽未超过</w:t>
            </w:r>
            <w:r>
              <w:rPr>
                <w:rFonts w:eastAsiaTheme="minorEastAsia"/>
                <w:color w:val="auto"/>
                <w:szCs w:val="21"/>
                <w:highlight w:val="none"/>
                <w:lang w:bidi="ar"/>
              </w:rPr>
              <w:t>3m</w:t>
            </w:r>
            <w:r>
              <w:rPr>
                <w:rFonts w:hint="eastAsia" w:ascii="宋体" w:hAnsi="宋体" w:cs="宋体"/>
                <w:color w:val="auto"/>
                <w:szCs w:val="21"/>
                <w:highlight w:val="none"/>
                <w:lang w:bidi="ar"/>
              </w:rPr>
              <w:t>，但地质条件、周围环境和地下管线复杂，或影响毗邻建、构筑物安全的基坑（槽）的土方开挖、支护、降水工程。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5C9452E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38C5A43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4B4CC16">
            <w:pPr>
              <w:spacing w:before="40" w:after="40" w:line="300" w:lineRule="exact"/>
              <w:jc w:val="center"/>
              <w:rPr>
                <w:rFonts w:ascii="宋体" w:hAnsi="宋体" w:cs="宋体"/>
                <w:color w:val="auto"/>
                <w:szCs w:val="21"/>
                <w:highlight w:val="none"/>
              </w:rPr>
            </w:pPr>
          </w:p>
        </w:tc>
      </w:tr>
      <w:tr w14:paraId="5360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B892E64">
            <w:pPr>
              <w:spacing w:before="40" w:after="40" w:line="300" w:lineRule="exact"/>
              <w:rPr>
                <w:color w:val="auto"/>
                <w:szCs w:val="21"/>
                <w:highlight w:val="none"/>
              </w:rPr>
            </w:pPr>
            <w:r>
              <w:rPr>
                <w:rFonts w:hint="eastAsia" w:ascii="宋体" w:hAnsi="宋体" w:cs="宋体"/>
                <w:color w:val="auto"/>
                <w:szCs w:val="21"/>
                <w:highlight w:val="none"/>
                <w:lang w:bidi="ar"/>
              </w:rPr>
              <w:t>二、模板工程及支撑体系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3FA6EBDE">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2E36AD4">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0D725DAF">
            <w:pPr>
              <w:spacing w:before="40" w:after="40" w:line="300" w:lineRule="exact"/>
              <w:jc w:val="center"/>
              <w:rPr>
                <w:rFonts w:ascii="宋体" w:hAnsi="宋体" w:cs="宋体"/>
                <w:color w:val="auto"/>
                <w:szCs w:val="21"/>
                <w:highlight w:val="none"/>
              </w:rPr>
            </w:pPr>
          </w:p>
        </w:tc>
      </w:tr>
      <w:tr w14:paraId="6A8E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8B381F1">
            <w:pPr>
              <w:spacing w:before="40" w:after="40" w:line="300" w:lineRule="exact"/>
              <w:rPr>
                <w:color w:val="auto"/>
                <w:szCs w:val="21"/>
                <w:highlight w:val="none"/>
              </w:rPr>
            </w:pPr>
            <w:r>
              <w:rPr>
                <w:rFonts w:hint="eastAsia" w:ascii="宋体" w:hAnsi="宋体" w:cs="宋体"/>
                <w:color w:val="auto"/>
                <w:szCs w:val="21"/>
                <w:highlight w:val="none"/>
                <w:lang w:bidi="ar"/>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3CA15C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A6627A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3F476DC">
            <w:pPr>
              <w:spacing w:before="40" w:after="40" w:line="300" w:lineRule="exact"/>
              <w:jc w:val="center"/>
              <w:rPr>
                <w:rFonts w:ascii="宋体" w:hAnsi="宋体" w:cs="宋体"/>
                <w:color w:val="auto"/>
                <w:szCs w:val="21"/>
                <w:highlight w:val="none"/>
              </w:rPr>
            </w:pPr>
          </w:p>
        </w:tc>
      </w:tr>
      <w:tr w14:paraId="4435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351448B">
            <w:pPr>
              <w:spacing w:before="40" w:after="40" w:line="300" w:lineRule="exact"/>
              <w:rPr>
                <w:color w:val="auto"/>
                <w:szCs w:val="21"/>
                <w:highlight w:val="none"/>
              </w:rPr>
            </w:pPr>
            <w:r>
              <w:rPr>
                <w:rFonts w:hint="eastAsia" w:ascii="宋体" w:hAnsi="宋体" w:cs="宋体"/>
                <w:color w:val="auto"/>
                <w:szCs w:val="21"/>
                <w:highlight w:val="none"/>
                <w:lang w:bidi="ar"/>
              </w:rPr>
              <w:t>（二）混凝土模板支撑工程：搭设高度</w:t>
            </w:r>
            <w:r>
              <w:rPr>
                <w:rFonts w:eastAsiaTheme="minorEastAsia"/>
                <w:color w:val="auto"/>
                <w:szCs w:val="21"/>
                <w:highlight w:val="none"/>
                <w:lang w:bidi="ar"/>
              </w:rPr>
              <w:t>5m</w:t>
            </w:r>
            <w:r>
              <w:rPr>
                <w:rFonts w:hint="eastAsia" w:ascii="宋体" w:hAnsi="宋体" w:cs="宋体"/>
                <w:color w:val="auto"/>
                <w:szCs w:val="21"/>
                <w:highlight w:val="none"/>
                <w:lang w:bidi="ar"/>
              </w:rPr>
              <w:t>及以上，或搭设跨度</w:t>
            </w:r>
            <w:r>
              <w:rPr>
                <w:rFonts w:eastAsiaTheme="minorEastAsia"/>
                <w:color w:val="auto"/>
                <w:szCs w:val="21"/>
                <w:highlight w:val="none"/>
                <w:lang w:bidi="ar"/>
              </w:rPr>
              <w:t>10m</w:t>
            </w:r>
            <w:r>
              <w:rPr>
                <w:rFonts w:hint="eastAsia" w:ascii="宋体" w:hAnsi="宋体" w:cs="宋体"/>
                <w:color w:val="auto"/>
                <w:szCs w:val="21"/>
                <w:highlight w:val="none"/>
                <w:lang w:bidi="ar"/>
              </w:rPr>
              <w:t>及以上，或施工总荷载（荷载效应基本组合的设计值，以下简称设计值）</w:t>
            </w:r>
            <w:r>
              <w:rPr>
                <w:rFonts w:eastAsiaTheme="minorEastAsia"/>
                <w:color w:val="auto"/>
                <w:szCs w:val="21"/>
                <w:highlight w:val="none"/>
                <w:lang w:bidi="ar"/>
              </w:rPr>
              <w:t>10kN/m2</w:t>
            </w:r>
            <w:r>
              <w:rPr>
                <w:rFonts w:hint="eastAsia" w:ascii="宋体" w:hAnsi="宋体" w:cs="宋体"/>
                <w:color w:val="auto"/>
                <w:szCs w:val="21"/>
                <w:highlight w:val="none"/>
                <w:lang w:bidi="ar"/>
              </w:rPr>
              <w:t>及以上，或集中线荷载（设计值）</w:t>
            </w:r>
            <w:r>
              <w:rPr>
                <w:rFonts w:eastAsiaTheme="minorEastAsia"/>
                <w:color w:val="auto"/>
                <w:szCs w:val="21"/>
                <w:highlight w:val="none"/>
                <w:lang w:bidi="ar"/>
              </w:rPr>
              <w:t>15kN/m</w:t>
            </w:r>
            <w:r>
              <w:rPr>
                <w:rFonts w:hint="eastAsia" w:ascii="宋体" w:hAnsi="宋体" w:cs="宋体"/>
                <w:color w:val="auto"/>
                <w:szCs w:val="21"/>
                <w:highlight w:val="none"/>
                <w:lang w:bidi="ar"/>
              </w:rPr>
              <w:t>及以上，或高度大于支撑水平投影宽度且相对独立无联系构件的混凝土模板支撑工程。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988C1D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67E3FD8">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B2AAD67">
            <w:pPr>
              <w:spacing w:before="40" w:after="40" w:line="300" w:lineRule="exact"/>
              <w:jc w:val="center"/>
              <w:rPr>
                <w:rFonts w:ascii="宋体" w:hAnsi="宋体" w:cs="宋体"/>
                <w:color w:val="auto"/>
                <w:szCs w:val="21"/>
                <w:highlight w:val="none"/>
              </w:rPr>
            </w:pPr>
          </w:p>
        </w:tc>
      </w:tr>
      <w:tr w14:paraId="6C9F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6356A92">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（三）承重支撑体系：用于钢结构安装等满堂支撑体系。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FE226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79D1641">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C7CF918">
            <w:pPr>
              <w:spacing w:before="40" w:after="40" w:line="300" w:lineRule="exact"/>
              <w:jc w:val="center"/>
              <w:rPr>
                <w:rFonts w:ascii="宋体" w:hAnsi="宋体" w:cs="宋体"/>
                <w:color w:val="auto"/>
                <w:szCs w:val="21"/>
                <w:highlight w:val="none"/>
              </w:rPr>
            </w:pPr>
          </w:p>
        </w:tc>
      </w:tr>
      <w:tr w14:paraId="0EA3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8E94C94">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三、起重吊装及起重机械安装拆卸工程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BDB4AA7">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7E610EE6">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2B793D8D">
            <w:pPr>
              <w:spacing w:before="40" w:after="40" w:line="300" w:lineRule="exact"/>
              <w:jc w:val="center"/>
              <w:rPr>
                <w:rFonts w:ascii="宋体" w:hAnsi="宋体" w:cs="宋体"/>
                <w:color w:val="auto"/>
                <w:szCs w:val="21"/>
                <w:highlight w:val="none"/>
              </w:rPr>
            </w:pPr>
          </w:p>
        </w:tc>
      </w:tr>
      <w:tr w14:paraId="372F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7C98F93">
            <w:pPr>
              <w:widowControl/>
              <w:spacing w:before="40" w:after="40" w:line="300" w:lineRule="exact"/>
              <w:rPr>
                <w:rFonts w:cs="宋体"/>
                <w:color w:val="auto"/>
                <w:szCs w:val="21"/>
                <w:highlight w:val="none"/>
              </w:rPr>
            </w:pPr>
            <w:r>
              <w:rPr>
                <w:rFonts w:hint="eastAsia" w:ascii="宋体" w:hAnsi="宋体" w:cs="宋体"/>
                <w:color w:val="auto"/>
                <w:szCs w:val="21"/>
                <w:highlight w:val="none"/>
                <w:lang w:bidi="ar"/>
              </w:rPr>
              <w:t>（一）采用非常规起重设备、方法，且单件起吊重量在</w:t>
            </w:r>
            <w:r>
              <w:rPr>
                <w:rFonts w:cs="宋体" w:eastAsiaTheme="minorEastAsia"/>
                <w:color w:val="auto"/>
                <w:szCs w:val="21"/>
                <w:highlight w:val="none"/>
                <w:lang w:bidi="ar"/>
              </w:rPr>
              <w:t>10kN</w:t>
            </w:r>
            <w:r>
              <w:rPr>
                <w:rFonts w:hint="eastAsia" w:ascii="宋体" w:hAnsi="宋体" w:cs="宋体"/>
                <w:color w:val="auto"/>
                <w:szCs w:val="21"/>
                <w:highlight w:val="none"/>
                <w:lang w:bidi="ar"/>
              </w:rPr>
              <w:t>及以上的起重吊装工程。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C91288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7898DE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A827ED6">
            <w:pPr>
              <w:spacing w:before="40" w:after="40" w:line="300" w:lineRule="exact"/>
              <w:jc w:val="center"/>
              <w:rPr>
                <w:rFonts w:ascii="宋体" w:hAnsi="宋体" w:cs="宋体"/>
                <w:color w:val="auto"/>
                <w:szCs w:val="21"/>
                <w:highlight w:val="none"/>
              </w:rPr>
            </w:pPr>
          </w:p>
        </w:tc>
      </w:tr>
      <w:tr w14:paraId="3454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BA21CCE">
            <w:pPr>
              <w:spacing w:before="40" w:after="40" w:line="300" w:lineRule="exact"/>
              <w:rPr>
                <w:color w:val="auto"/>
                <w:szCs w:val="21"/>
                <w:highlight w:val="none"/>
              </w:rPr>
            </w:pPr>
            <w:r>
              <w:rPr>
                <w:rFonts w:hint="eastAsia" w:ascii="宋体" w:hAnsi="宋体" w:cs="宋体"/>
                <w:color w:val="auto"/>
                <w:szCs w:val="21"/>
                <w:highlight w:val="none"/>
                <w:lang w:bidi="ar"/>
              </w:rPr>
              <w:t>（二）采用起重机械进行安装的工程。</w:t>
            </w:r>
          </w:p>
        </w:tc>
        <w:tc>
          <w:tcPr>
            <w:tcW w:w="1134" w:type="dxa"/>
            <w:tcBorders>
              <w:top w:val="single" w:color="auto" w:sz="4" w:space="0"/>
              <w:left w:val="nil"/>
              <w:bottom w:val="single" w:color="auto" w:sz="4" w:space="0"/>
              <w:right w:val="single" w:color="auto" w:sz="4" w:space="0"/>
            </w:tcBorders>
            <w:shd w:val="clear" w:color="auto" w:fill="auto"/>
          </w:tcPr>
          <w:p w14:paraId="31FA8398">
            <w:pPr>
              <w:jc w:val="center"/>
              <w:rPr>
                <w:color w:val="auto"/>
                <w:szCs w:val="21"/>
                <w:highlight w:val="none"/>
              </w:rPr>
            </w:pPr>
            <w:r>
              <w:rPr>
                <w:rFonts w:hint="eastAsia" w:ascii="宋体" w:hAnsi="宋体" w:cs="宋体"/>
                <w:color w:val="auto"/>
                <w:szCs w:val="21"/>
                <w:highlight w:val="none"/>
                <w:lang w:bidi="ar"/>
              </w:rPr>
              <w:t>(</w:t>
            </w:r>
            <w:r>
              <w:rPr>
                <w:rFonts w:hint="eastAsia" w:ascii="宋体" w:hAnsi="宋体"/>
                <w:b/>
                <w:bCs/>
                <w:color w:val="auto"/>
                <w:szCs w:val="21"/>
                <w:highlight w:val="none"/>
              </w:rPr>
              <w:t xml:space="preserve">  </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14:paraId="6E80A26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571B509">
            <w:pPr>
              <w:spacing w:before="40" w:after="40" w:line="300" w:lineRule="exact"/>
              <w:jc w:val="center"/>
              <w:rPr>
                <w:rFonts w:ascii="宋体" w:hAnsi="宋体" w:cs="宋体"/>
                <w:color w:val="auto"/>
                <w:szCs w:val="21"/>
                <w:highlight w:val="none"/>
              </w:rPr>
            </w:pPr>
          </w:p>
        </w:tc>
      </w:tr>
      <w:tr w14:paraId="069D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CA3C412">
            <w:pPr>
              <w:spacing w:before="40" w:after="40" w:line="300" w:lineRule="exact"/>
              <w:rPr>
                <w:rFonts w:cs="宋体"/>
                <w:color w:val="auto"/>
                <w:szCs w:val="21"/>
                <w:highlight w:val="none"/>
              </w:rPr>
            </w:pPr>
            <w:r>
              <w:rPr>
                <w:rFonts w:hint="eastAsia" w:ascii="宋体" w:hAnsi="宋体" w:cs="宋体"/>
                <w:color w:val="auto"/>
                <w:szCs w:val="21"/>
                <w:highlight w:val="none"/>
                <w:lang w:bidi="ar"/>
              </w:rPr>
              <w:t>（三）起重机械安装和拆卸工程。</w:t>
            </w:r>
          </w:p>
        </w:tc>
        <w:tc>
          <w:tcPr>
            <w:tcW w:w="1134" w:type="dxa"/>
            <w:tcBorders>
              <w:top w:val="single" w:color="auto" w:sz="4" w:space="0"/>
              <w:left w:val="nil"/>
              <w:bottom w:val="single" w:color="auto" w:sz="4" w:space="0"/>
              <w:right w:val="single" w:color="auto" w:sz="4" w:space="0"/>
            </w:tcBorders>
            <w:shd w:val="clear" w:color="auto" w:fill="auto"/>
          </w:tcPr>
          <w:p w14:paraId="36BEFB4B">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BBF65E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4F1099F">
            <w:pPr>
              <w:spacing w:before="40" w:after="40" w:line="300" w:lineRule="exact"/>
              <w:jc w:val="center"/>
              <w:rPr>
                <w:rFonts w:ascii="宋体" w:hAnsi="宋体" w:cs="宋体"/>
                <w:color w:val="auto"/>
                <w:szCs w:val="21"/>
                <w:highlight w:val="none"/>
              </w:rPr>
            </w:pPr>
          </w:p>
        </w:tc>
      </w:tr>
      <w:tr w14:paraId="59AF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2DD4E9B">
            <w:pPr>
              <w:spacing w:before="40" w:after="40" w:line="300" w:lineRule="exact"/>
              <w:rPr>
                <w:color w:val="auto"/>
                <w:szCs w:val="21"/>
                <w:highlight w:val="none"/>
              </w:rPr>
            </w:pPr>
            <w:r>
              <w:rPr>
                <w:rFonts w:hint="eastAsia" w:ascii="宋体" w:hAnsi="宋体" w:cs="宋体"/>
                <w:color w:val="auto"/>
                <w:szCs w:val="21"/>
                <w:highlight w:val="none"/>
                <w:lang w:bidi="ar"/>
              </w:rPr>
              <w:t>四、脚手架工程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CBE904E">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53B239EC">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59DF1F48">
            <w:pPr>
              <w:spacing w:before="40" w:after="40" w:line="300" w:lineRule="exact"/>
              <w:jc w:val="center"/>
              <w:rPr>
                <w:rFonts w:ascii="宋体" w:hAnsi="宋体" w:cs="宋体"/>
                <w:color w:val="auto"/>
                <w:szCs w:val="21"/>
                <w:highlight w:val="none"/>
              </w:rPr>
            </w:pPr>
          </w:p>
        </w:tc>
      </w:tr>
      <w:tr w14:paraId="4B76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4B97195">
            <w:pPr>
              <w:spacing w:before="40" w:after="40" w:line="300" w:lineRule="exact"/>
              <w:rPr>
                <w:color w:val="auto"/>
                <w:szCs w:val="21"/>
                <w:highlight w:val="none"/>
              </w:rPr>
            </w:pPr>
            <w:r>
              <w:rPr>
                <w:rFonts w:hint="eastAsia" w:ascii="宋体" w:hAnsi="宋体" w:cs="宋体"/>
                <w:color w:val="auto"/>
                <w:szCs w:val="21"/>
                <w:highlight w:val="none"/>
                <w:lang w:bidi="ar"/>
              </w:rPr>
              <w:t>（一）搭设高度</w:t>
            </w:r>
            <w:r>
              <w:rPr>
                <w:rFonts w:eastAsiaTheme="minorEastAsia"/>
                <w:color w:val="auto"/>
                <w:szCs w:val="21"/>
                <w:highlight w:val="none"/>
                <w:lang w:bidi="ar"/>
              </w:rPr>
              <w:t>24m</w:t>
            </w:r>
            <w:r>
              <w:rPr>
                <w:rFonts w:hint="eastAsia" w:ascii="宋体" w:hAnsi="宋体" w:cs="宋体"/>
                <w:color w:val="auto"/>
                <w:szCs w:val="21"/>
                <w:highlight w:val="none"/>
                <w:lang w:bidi="ar"/>
              </w:rPr>
              <w:t>及以上的落地式钢管脚手架工程（包括采光井、电梯井脚手架）。</w:t>
            </w:r>
          </w:p>
        </w:tc>
        <w:tc>
          <w:tcPr>
            <w:tcW w:w="1134" w:type="dxa"/>
            <w:tcBorders>
              <w:top w:val="single" w:color="auto" w:sz="4" w:space="0"/>
              <w:left w:val="nil"/>
              <w:bottom w:val="single" w:color="auto" w:sz="4" w:space="0"/>
              <w:right w:val="single" w:color="auto" w:sz="4" w:space="0"/>
            </w:tcBorders>
            <w:shd w:val="clear" w:color="auto" w:fill="auto"/>
            <w:vAlign w:val="center"/>
          </w:tcPr>
          <w:p w14:paraId="554EB64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CF822A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0973AF9">
            <w:pPr>
              <w:spacing w:before="40" w:after="40" w:line="300" w:lineRule="exact"/>
              <w:jc w:val="center"/>
              <w:rPr>
                <w:rFonts w:ascii="宋体" w:hAnsi="宋体" w:cs="宋体"/>
                <w:color w:val="auto"/>
                <w:szCs w:val="21"/>
                <w:highlight w:val="none"/>
              </w:rPr>
            </w:pPr>
          </w:p>
        </w:tc>
      </w:tr>
      <w:tr w14:paraId="3DFF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47FC16B">
            <w:pPr>
              <w:spacing w:before="40" w:after="40" w:line="300" w:lineRule="exact"/>
              <w:rPr>
                <w:color w:val="auto"/>
                <w:szCs w:val="21"/>
                <w:highlight w:val="none"/>
              </w:rPr>
            </w:pPr>
            <w:r>
              <w:rPr>
                <w:rFonts w:hint="eastAsia" w:ascii="宋体" w:hAnsi="宋体" w:cs="宋体"/>
                <w:color w:val="auto"/>
                <w:szCs w:val="21"/>
                <w:highlight w:val="none"/>
                <w:lang w:bidi="ar"/>
              </w:rPr>
              <w:t>（二）附着式升降脚手架工程。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E65AE2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3A37A3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20AE7AD">
            <w:pPr>
              <w:spacing w:before="40" w:after="40" w:line="300" w:lineRule="exact"/>
              <w:jc w:val="center"/>
              <w:rPr>
                <w:rFonts w:ascii="宋体" w:hAnsi="宋体" w:cs="宋体"/>
                <w:color w:val="auto"/>
                <w:szCs w:val="21"/>
                <w:highlight w:val="none"/>
              </w:rPr>
            </w:pPr>
          </w:p>
        </w:tc>
      </w:tr>
      <w:tr w14:paraId="56A5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71C8309">
            <w:pPr>
              <w:spacing w:before="40" w:after="40" w:line="300" w:lineRule="exact"/>
              <w:rPr>
                <w:color w:val="auto"/>
                <w:szCs w:val="21"/>
                <w:highlight w:val="none"/>
              </w:rPr>
            </w:pPr>
            <w:r>
              <w:rPr>
                <w:rFonts w:hint="eastAsia" w:ascii="宋体" w:hAnsi="宋体" w:cs="宋体"/>
                <w:color w:val="auto"/>
                <w:szCs w:val="21"/>
                <w:highlight w:val="none"/>
                <w:lang w:bidi="ar"/>
              </w:rPr>
              <w:t>（三）悬挑式脚手架工程。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50EAD06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12A3111">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F80EBBF">
            <w:pPr>
              <w:spacing w:before="40" w:after="40" w:line="300" w:lineRule="exact"/>
              <w:jc w:val="center"/>
              <w:rPr>
                <w:rFonts w:ascii="宋体" w:hAnsi="宋体" w:cs="宋体"/>
                <w:color w:val="auto"/>
                <w:szCs w:val="21"/>
                <w:highlight w:val="none"/>
              </w:rPr>
            </w:pPr>
          </w:p>
        </w:tc>
      </w:tr>
      <w:tr w14:paraId="7039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6AD6A78">
            <w:pPr>
              <w:spacing w:before="40" w:after="40" w:line="300" w:lineRule="exact"/>
              <w:rPr>
                <w:color w:val="auto"/>
                <w:szCs w:val="21"/>
                <w:highlight w:val="none"/>
              </w:rPr>
            </w:pPr>
            <w:r>
              <w:rPr>
                <w:rFonts w:hint="eastAsia" w:ascii="宋体" w:hAnsi="宋体" w:cs="宋体"/>
                <w:color w:val="auto"/>
                <w:szCs w:val="21"/>
                <w:highlight w:val="none"/>
                <w:lang w:bidi="ar"/>
              </w:rPr>
              <w:t>（四）高处作业吊篮。</w:t>
            </w:r>
          </w:p>
        </w:tc>
        <w:tc>
          <w:tcPr>
            <w:tcW w:w="1134" w:type="dxa"/>
            <w:tcBorders>
              <w:top w:val="single" w:color="auto" w:sz="4" w:space="0"/>
              <w:left w:val="nil"/>
              <w:bottom w:val="single" w:color="auto" w:sz="4" w:space="0"/>
              <w:right w:val="single" w:color="auto" w:sz="4" w:space="0"/>
            </w:tcBorders>
            <w:shd w:val="clear" w:color="auto" w:fill="auto"/>
            <w:vAlign w:val="center"/>
          </w:tcPr>
          <w:p w14:paraId="721234A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D52F82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78ECA3E">
            <w:pPr>
              <w:spacing w:before="40" w:after="40" w:line="300" w:lineRule="exact"/>
              <w:jc w:val="center"/>
              <w:rPr>
                <w:rFonts w:ascii="宋体" w:hAnsi="宋体" w:cs="宋体"/>
                <w:color w:val="auto"/>
                <w:szCs w:val="21"/>
                <w:highlight w:val="none"/>
              </w:rPr>
            </w:pPr>
          </w:p>
        </w:tc>
      </w:tr>
      <w:tr w14:paraId="42A5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4F60922">
            <w:pPr>
              <w:spacing w:before="40" w:after="40" w:line="300" w:lineRule="exact"/>
              <w:rPr>
                <w:color w:val="auto"/>
                <w:szCs w:val="21"/>
                <w:highlight w:val="none"/>
              </w:rPr>
            </w:pPr>
            <w:r>
              <w:rPr>
                <w:rFonts w:hint="eastAsia" w:ascii="宋体" w:hAnsi="宋体" w:cs="宋体"/>
                <w:color w:val="auto"/>
                <w:szCs w:val="21"/>
                <w:highlight w:val="none"/>
                <w:lang w:bidi="ar"/>
              </w:rPr>
              <w:t>（五）卸料平台、操作平台工程。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EDFD52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ECB397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FC23B82">
            <w:pPr>
              <w:spacing w:before="40" w:after="40" w:line="300" w:lineRule="exact"/>
              <w:jc w:val="center"/>
              <w:rPr>
                <w:rFonts w:ascii="宋体" w:hAnsi="宋体" w:cs="宋体"/>
                <w:color w:val="auto"/>
                <w:szCs w:val="21"/>
                <w:highlight w:val="none"/>
              </w:rPr>
            </w:pPr>
          </w:p>
        </w:tc>
      </w:tr>
      <w:tr w14:paraId="5D6E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4994EB9">
            <w:pPr>
              <w:spacing w:before="40" w:after="40" w:line="300" w:lineRule="exact"/>
              <w:rPr>
                <w:color w:val="auto"/>
                <w:szCs w:val="21"/>
                <w:highlight w:val="none"/>
              </w:rPr>
            </w:pPr>
            <w:r>
              <w:rPr>
                <w:rFonts w:hint="eastAsia" w:ascii="宋体" w:hAnsi="宋体" w:cs="宋体"/>
                <w:color w:val="auto"/>
                <w:szCs w:val="21"/>
                <w:highlight w:val="none"/>
                <w:lang w:bidi="ar"/>
              </w:rPr>
              <w:t>（六）异型脚手架工程。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686872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BC19EC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DD4B7C3">
            <w:pPr>
              <w:spacing w:before="40" w:after="40" w:line="300" w:lineRule="exact"/>
              <w:jc w:val="center"/>
              <w:rPr>
                <w:rFonts w:ascii="宋体" w:hAnsi="宋体" w:cs="宋体"/>
                <w:color w:val="auto"/>
                <w:szCs w:val="21"/>
                <w:highlight w:val="none"/>
              </w:rPr>
            </w:pPr>
          </w:p>
        </w:tc>
      </w:tr>
      <w:tr w14:paraId="4C250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957C108">
            <w:pPr>
              <w:spacing w:before="40" w:after="40" w:line="300" w:lineRule="exact"/>
              <w:rPr>
                <w:color w:val="auto"/>
                <w:szCs w:val="21"/>
                <w:highlight w:val="none"/>
              </w:rPr>
            </w:pPr>
            <w:r>
              <w:rPr>
                <w:rFonts w:hint="eastAsia" w:ascii="宋体" w:hAnsi="宋体" w:cs="宋体"/>
                <w:color w:val="auto"/>
                <w:szCs w:val="21"/>
                <w:highlight w:val="none"/>
                <w:lang w:bidi="ar"/>
              </w:rPr>
              <w:t>五、拆除工程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84E4C36">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A4118AA">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47DFC28F">
            <w:pPr>
              <w:spacing w:before="40" w:after="40" w:line="300" w:lineRule="exact"/>
              <w:jc w:val="center"/>
              <w:rPr>
                <w:rFonts w:ascii="宋体" w:hAnsi="宋体" w:cs="宋体"/>
                <w:color w:val="auto"/>
                <w:szCs w:val="21"/>
                <w:highlight w:val="none"/>
              </w:rPr>
            </w:pPr>
          </w:p>
        </w:tc>
      </w:tr>
      <w:tr w14:paraId="0E66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AA7977F">
            <w:pPr>
              <w:spacing w:before="40" w:after="40" w:line="300" w:lineRule="exact"/>
              <w:rPr>
                <w:color w:val="auto"/>
                <w:szCs w:val="21"/>
                <w:highlight w:val="none"/>
              </w:rPr>
            </w:pPr>
            <w:r>
              <w:rPr>
                <w:rFonts w:hint="eastAsia" w:ascii="宋体" w:hAnsi="宋体" w:cs="宋体"/>
                <w:color w:val="auto"/>
                <w:szCs w:val="21"/>
                <w:highlight w:val="none"/>
                <w:lang w:bidi="ar"/>
              </w:rPr>
              <w:t>可能影响行人、交通、电力设施、通讯设施或其它建、构筑物安全的拆除工程。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FC11FB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7D946E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AC8EC86">
            <w:pPr>
              <w:spacing w:before="40" w:after="40" w:line="300" w:lineRule="exact"/>
              <w:jc w:val="center"/>
              <w:rPr>
                <w:rFonts w:ascii="宋体" w:hAnsi="宋体" w:cs="宋体"/>
                <w:color w:val="auto"/>
                <w:szCs w:val="21"/>
                <w:highlight w:val="none"/>
              </w:rPr>
            </w:pPr>
          </w:p>
        </w:tc>
      </w:tr>
      <w:tr w14:paraId="5A21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D3A0D5E">
            <w:pPr>
              <w:spacing w:before="40" w:after="40" w:line="300" w:lineRule="exact"/>
              <w:rPr>
                <w:color w:val="auto"/>
                <w:szCs w:val="21"/>
                <w:highlight w:val="none"/>
              </w:rPr>
            </w:pPr>
            <w:r>
              <w:rPr>
                <w:rFonts w:hint="eastAsia" w:ascii="宋体" w:hAnsi="宋体" w:cs="宋体"/>
                <w:color w:val="auto"/>
                <w:szCs w:val="21"/>
                <w:highlight w:val="none"/>
                <w:lang w:bidi="ar"/>
              </w:rPr>
              <w:t>六、暗挖工程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F3BF38F">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17E2419A">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05481950">
            <w:pPr>
              <w:spacing w:before="40" w:after="40" w:line="300" w:lineRule="exact"/>
              <w:jc w:val="center"/>
              <w:rPr>
                <w:rFonts w:ascii="宋体" w:hAnsi="宋体" w:cs="宋体"/>
                <w:color w:val="auto"/>
                <w:szCs w:val="21"/>
                <w:highlight w:val="none"/>
              </w:rPr>
            </w:pPr>
          </w:p>
        </w:tc>
      </w:tr>
      <w:tr w14:paraId="181E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F001D8E">
            <w:pPr>
              <w:spacing w:before="40" w:after="40" w:line="300" w:lineRule="exact"/>
              <w:rPr>
                <w:color w:val="auto"/>
                <w:szCs w:val="21"/>
                <w:highlight w:val="none"/>
              </w:rPr>
            </w:pPr>
            <w:r>
              <w:rPr>
                <w:rFonts w:hint="eastAsia" w:ascii="宋体" w:hAnsi="宋体" w:cs="宋体"/>
                <w:color w:val="auto"/>
                <w:szCs w:val="21"/>
                <w:highlight w:val="none"/>
                <w:lang w:bidi="ar"/>
              </w:rPr>
              <w:t>采用矿山法、盾构法、顶管法施工的隧道、洞室工程。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62E656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318827E">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ED24830">
            <w:pPr>
              <w:spacing w:before="40" w:after="40" w:line="300" w:lineRule="exact"/>
              <w:jc w:val="center"/>
              <w:rPr>
                <w:rFonts w:ascii="宋体" w:hAnsi="宋体" w:cs="宋体"/>
                <w:color w:val="auto"/>
                <w:szCs w:val="21"/>
                <w:highlight w:val="none"/>
              </w:rPr>
            </w:pPr>
          </w:p>
        </w:tc>
      </w:tr>
      <w:tr w14:paraId="1B86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F47DAAF">
            <w:pPr>
              <w:spacing w:before="40" w:after="40" w:line="300" w:lineRule="exact"/>
              <w:rPr>
                <w:color w:val="auto"/>
                <w:szCs w:val="21"/>
                <w:highlight w:val="none"/>
              </w:rPr>
            </w:pPr>
            <w:r>
              <w:rPr>
                <w:rFonts w:hint="eastAsia" w:ascii="宋体" w:hAnsi="宋体" w:cs="宋体"/>
                <w:color w:val="auto"/>
                <w:szCs w:val="21"/>
                <w:highlight w:val="none"/>
                <w:lang w:bidi="ar"/>
              </w:rPr>
              <w:t>七、其它</w:t>
            </w:r>
          </w:p>
        </w:tc>
        <w:tc>
          <w:tcPr>
            <w:tcW w:w="1134" w:type="dxa"/>
            <w:tcBorders>
              <w:top w:val="single" w:color="auto" w:sz="4" w:space="0"/>
              <w:left w:val="nil"/>
              <w:bottom w:val="single" w:color="auto" w:sz="4" w:space="0"/>
              <w:right w:val="single" w:color="auto" w:sz="4" w:space="0"/>
            </w:tcBorders>
            <w:shd w:val="clear" w:color="auto" w:fill="auto"/>
            <w:vAlign w:val="center"/>
          </w:tcPr>
          <w:p w14:paraId="2C72CDF9">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F77E4F5">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4632B37C">
            <w:pPr>
              <w:spacing w:before="40" w:after="40" w:line="300" w:lineRule="exact"/>
              <w:jc w:val="center"/>
              <w:rPr>
                <w:rFonts w:ascii="宋体" w:hAnsi="宋体" w:cs="宋体"/>
                <w:color w:val="auto"/>
                <w:szCs w:val="21"/>
                <w:highlight w:val="none"/>
              </w:rPr>
            </w:pPr>
          </w:p>
        </w:tc>
      </w:tr>
      <w:tr w14:paraId="32FA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34ED9C8">
            <w:pPr>
              <w:spacing w:before="40" w:after="40" w:line="300" w:lineRule="exact"/>
              <w:rPr>
                <w:color w:val="auto"/>
                <w:szCs w:val="21"/>
                <w:highlight w:val="none"/>
              </w:rPr>
            </w:pPr>
            <w:r>
              <w:rPr>
                <w:rFonts w:hint="eastAsia" w:ascii="宋体" w:hAnsi="宋体" w:cs="宋体"/>
                <w:color w:val="auto"/>
                <w:szCs w:val="21"/>
                <w:highlight w:val="none"/>
                <w:lang w:bidi="ar"/>
              </w:rPr>
              <w:t>（一）建筑幕墙安装工程。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92E444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A05DE2C">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9D06CE9">
            <w:pPr>
              <w:spacing w:before="40" w:after="40" w:line="300" w:lineRule="exact"/>
              <w:jc w:val="center"/>
              <w:rPr>
                <w:rFonts w:ascii="宋体" w:hAnsi="宋体" w:cs="宋体"/>
                <w:color w:val="auto"/>
                <w:szCs w:val="21"/>
                <w:highlight w:val="none"/>
              </w:rPr>
            </w:pPr>
          </w:p>
        </w:tc>
      </w:tr>
      <w:tr w14:paraId="67B35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5C21C1B">
            <w:pPr>
              <w:spacing w:before="40" w:after="40" w:line="300" w:lineRule="exact"/>
              <w:rPr>
                <w:color w:val="auto"/>
                <w:szCs w:val="21"/>
                <w:highlight w:val="none"/>
              </w:rPr>
            </w:pPr>
            <w:r>
              <w:rPr>
                <w:rFonts w:hint="eastAsia" w:ascii="宋体" w:hAnsi="宋体" w:cs="宋体"/>
                <w:color w:val="auto"/>
                <w:szCs w:val="21"/>
                <w:highlight w:val="none"/>
                <w:lang w:bidi="ar"/>
              </w:rPr>
              <w:t>（二）钢结构、网架和索膜结构安装工程。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92D3C0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7835B5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54CA47A">
            <w:pPr>
              <w:spacing w:before="40" w:after="40" w:line="300" w:lineRule="exact"/>
              <w:jc w:val="center"/>
              <w:rPr>
                <w:rFonts w:ascii="宋体" w:hAnsi="宋体" w:cs="宋体"/>
                <w:color w:val="auto"/>
                <w:szCs w:val="21"/>
                <w:highlight w:val="none"/>
              </w:rPr>
            </w:pPr>
          </w:p>
        </w:tc>
      </w:tr>
      <w:tr w14:paraId="7F9A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672E461">
            <w:pPr>
              <w:spacing w:before="40" w:after="40" w:line="300" w:lineRule="exact"/>
              <w:rPr>
                <w:color w:val="auto"/>
                <w:szCs w:val="21"/>
                <w:highlight w:val="none"/>
              </w:rPr>
            </w:pPr>
            <w:r>
              <w:rPr>
                <w:rFonts w:hint="eastAsia" w:ascii="宋体" w:hAnsi="宋体" w:cs="宋体"/>
                <w:color w:val="auto"/>
                <w:szCs w:val="21"/>
                <w:highlight w:val="none"/>
                <w:lang w:bidi="ar"/>
              </w:rPr>
              <w:t>（三）人工挖孔桩工程。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DCCB1B1">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1915F16">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6ADF7B4">
            <w:pPr>
              <w:spacing w:before="40" w:after="40" w:line="300" w:lineRule="exact"/>
              <w:jc w:val="center"/>
              <w:rPr>
                <w:rFonts w:ascii="宋体" w:hAnsi="宋体" w:cs="宋体"/>
                <w:color w:val="auto"/>
                <w:szCs w:val="21"/>
                <w:highlight w:val="none"/>
              </w:rPr>
            </w:pPr>
          </w:p>
        </w:tc>
      </w:tr>
      <w:tr w14:paraId="2269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FCAF575">
            <w:pPr>
              <w:spacing w:before="40" w:after="40" w:line="300" w:lineRule="exact"/>
              <w:rPr>
                <w:color w:val="auto"/>
                <w:szCs w:val="21"/>
                <w:highlight w:val="none"/>
              </w:rPr>
            </w:pPr>
            <w:r>
              <w:rPr>
                <w:rFonts w:hint="eastAsia" w:ascii="宋体" w:hAnsi="宋体" w:cs="宋体"/>
                <w:color w:val="auto"/>
                <w:szCs w:val="21"/>
                <w:highlight w:val="none"/>
                <w:lang w:bidi="ar"/>
              </w:rPr>
              <w:t>（四）水下作业工程。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525A935A">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549EB1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3BB71662">
            <w:pPr>
              <w:spacing w:before="40" w:after="40" w:line="300" w:lineRule="exact"/>
              <w:jc w:val="center"/>
              <w:rPr>
                <w:rFonts w:ascii="宋体" w:hAnsi="宋体" w:cs="宋体"/>
                <w:color w:val="auto"/>
                <w:szCs w:val="21"/>
                <w:highlight w:val="none"/>
              </w:rPr>
            </w:pPr>
          </w:p>
        </w:tc>
      </w:tr>
      <w:tr w14:paraId="37C3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7334555">
            <w:pPr>
              <w:spacing w:before="40" w:after="40" w:line="300" w:lineRule="exact"/>
              <w:rPr>
                <w:color w:val="auto"/>
                <w:szCs w:val="21"/>
                <w:highlight w:val="none"/>
              </w:rPr>
            </w:pPr>
            <w:r>
              <w:rPr>
                <w:rFonts w:hint="eastAsia" w:ascii="宋体" w:hAnsi="宋体" w:cs="宋体"/>
                <w:color w:val="auto"/>
                <w:szCs w:val="21"/>
                <w:highlight w:val="none"/>
                <w:lang w:bidi="ar"/>
              </w:rPr>
              <w:t>（五）装配式建筑混凝土预制构件安装工程。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AA897B1">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07C38F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41CDDC7">
            <w:pPr>
              <w:spacing w:before="40" w:after="40" w:line="300" w:lineRule="exact"/>
              <w:jc w:val="center"/>
              <w:rPr>
                <w:rFonts w:ascii="宋体" w:hAnsi="宋体" w:cs="宋体"/>
                <w:color w:val="auto"/>
                <w:szCs w:val="21"/>
                <w:highlight w:val="none"/>
              </w:rPr>
            </w:pPr>
          </w:p>
        </w:tc>
      </w:tr>
      <w:tr w14:paraId="3B20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86FF1BD">
            <w:pPr>
              <w:spacing w:before="40" w:after="40" w:line="300" w:lineRule="exact"/>
              <w:rPr>
                <w:color w:val="auto"/>
                <w:szCs w:val="21"/>
                <w:highlight w:val="none"/>
              </w:rPr>
            </w:pPr>
            <w:r>
              <w:rPr>
                <w:rFonts w:hint="eastAsia" w:ascii="宋体" w:hAnsi="宋体" w:cs="宋体"/>
                <w:color w:val="auto"/>
                <w:szCs w:val="21"/>
                <w:highlight w:val="none"/>
                <w:lang w:bidi="ar"/>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7A4324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C66A97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3880C83">
            <w:pPr>
              <w:spacing w:before="40" w:after="40" w:line="300" w:lineRule="exact"/>
              <w:jc w:val="center"/>
              <w:rPr>
                <w:rFonts w:ascii="宋体" w:hAnsi="宋体" w:cs="宋体"/>
                <w:color w:val="auto"/>
                <w:szCs w:val="21"/>
                <w:highlight w:val="none"/>
              </w:rPr>
            </w:pPr>
          </w:p>
        </w:tc>
      </w:tr>
      <w:tr w14:paraId="0A00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6581848">
            <w:pPr>
              <w:widowControl/>
              <w:spacing w:before="40" w:after="40" w:line="300" w:lineRule="exact"/>
              <w:rPr>
                <w:rFonts w:cs="宋体"/>
                <w:b/>
                <w:color w:val="auto"/>
                <w:szCs w:val="21"/>
                <w:highlight w:val="none"/>
              </w:rPr>
            </w:pPr>
            <w:r>
              <w:rPr>
                <w:rFonts w:hint="eastAsia" w:ascii="宋体" w:hAnsi="宋体" w:cs="宋体"/>
                <w:b/>
                <w:color w:val="auto"/>
                <w:szCs w:val="21"/>
                <w:highlight w:val="none"/>
                <w:lang w:bidi="ar"/>
              </w:rPr>
              <w:t>二、超过一定规模的危险性较大的分部分项工程清单</w:t>
            </w:r>
          </w:p>
        </w:tc>
        <w:tc>
          <w:tcPr>
            <w:tcW w:w="1134" w:type="dxa"/>
            <w:tcBorders>
              <w:top w:val="single" w:color="auto" w:sz="4" w:space="0"/>
              <w:left w:val="nil"/>
              <w:bottom w:val="single" w:color="auto" w:sz="4" w:space="0"/>
              <w:right w:val="single" w:color="auto" w:sz="4" w:space="0"/>
            </w:tcBorders>
            <w:shd w:val="clear" w:color="auto" w:fill="auto"/>
            <w:vAlign w:val="center"/>
          </w:tcPr>
          <w:p w14:paraId="00985D66">
            <w:pPr>
              <w:spacing w:before="40" w:after="40" w:line="300" w:lineRule="exact"/>
              <w:jc w:val="center"/>
              <w:rPr>
                <w:rFonts w:ascii="宋体" w:hAnsi="宋体" w:cs="宋体"/>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3CD63F94">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9AF9890">
            <w:pPr>
              <w:spacing w:before="40" w:after="40" w:line="300" w:lineRule="exact"/>
              <w:jc w:val="center"/>
              <w:rPr>
                <w:rFonts w:ascii="宋体" w:hAnsi="宋体" w:cs="宋体"/>
                <w:color w:val="auto"/>
                <w:szCs w:val="21"/>
                <w:highlight w:val="none"/>
              </w:rPr>
            </w:pPr>
          </w:p>
        </w:tc>
      </w:tr>
      <w:tr w14:paraId="7811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CA74EE7">
            <w:pPr>
              <w:spacing w:before="40" w:after="40" w:line="300" w:lineRule="exact"/>
              <w:rPr>
                <w:color w:val="auto"/>
                <w:szCs w:val="21"/>
                <w:highlight w:val="none"/>
              </w:rPr>
            </w:pPr>
            <w:r>
              <w:rPr>
                <w:rFonts w:hint="eastAsia" w:ascii="宋体" w:hAnsi="宋体" w:cs="宋体"/>
                <w:color w:val="auto"/>
                <w:szCs w:val="21"/>
                <w:highlight w:val="none"/>
                <w:lang w:bidi="ar"/>
              </w:rPr>
              <w:t>一、深基坑工程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C7C9F04">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6C235098">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31F8B970">
            <w:pPr>
              <w:spacing w:before="40" w:after="40" w:line="300" w:lineRule="exact"/>
              <w:jc w:val="center"/>
              <w:rPr>
                <w:rFonts w:ascii="宋体" w:hAnsi="宋体" w:cs="宋体"/>
                <w:color w:val="auto"/>
                <w:szCs w:val="21"/>
                <w:highlight w:val="none"/>
              </w:rPr>
            </w:pPr>
          </w:p>
        </w:tc>
      </w:tr>
      <w:tr w14:paraId="0ADD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02FE587">
            <w:pPr>
              <w:spacing w:before="40" w:after="40" w:line="300" w:lineRule="exact"/>
              <w:rPr>
                <w:color w:val="auto"/>
                <w:szCs w:val="21"/>
                <w:highlight w:val="none"/>
              </w:rPr>
            </w:pPr>
            <w:r>
              <w:rPr>
                <w:rFonts w:hint="eastAsia" w:ascii="宋体" w:hAnsi="宋体" w:cs="宋体"/>
                <w:color w:val="auto"/>
                <w:szCs w:val="21"/>
                <w:highlight w:val="none"/>
                <w:lang w:bidi="ar"/>
              </w:rPr>
              <w:t>开挖深度超过</w:t>
            </w:r>
            <w:r>
              <w:rPr>
                <w:rFonts w:eastAsiaTheme="minorEastAsia"/>
                <w:color w:val="auto"/>
                <w:szCs w:val="21"/>
                <w:highlight w:val="none"/>
                <w:lang w:bidi="ar"/>
              </w:rPr>
              <w:t>5m</w:t>
            </w:r>
            <w:r>
              <w:rPr>
                <w:rFonts w:hint="eastAsia" w:ascii="宋体" w:hAnsi="宋体" w:cs="宋体"/>
                <w:color w:val="auto"/>
                <w:szCs w:val="21"/>
                <w:highlight w:val="none"/>
                <w:lang w:bidi="ar"/>
              </w:rPr>
              <w:t>（含</w:t>
            </w:r>
            <w:r>
              <w:rPr>
                <w:rFonts w:eastAsiaTheme="minorEastAsia"/>
                <w:color w:val="auto"/>
                <w:szCs w:val="21"/>
                <w:highlight w:val="none"/>
                <w:lang w:bidi="ar"/>
              </w:rPr>
              <w:t>5m</w:t>
            </w:r>
            <w:r>
              <w:rPr>
                <w:rFonts w:hint="eastAsia" w:ascii="宋体" w:hAnsi="宋体" w:cs="宋体"/>
                <w:color w:val="auto"/>
                <w:szCs w:val="21"/>
                <w:highlight w:val="none"/>
                <w:lang w:bidi="ar"/>
              </w:rPr>
              <w:t>）的基坑（槽）的土方开挖、支护、降水工程。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576BDFF">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1F8CCF9">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21568E3">
            <w:pPr>
              <w:spacing w:before="40" w:after="40" w:line="300" w:lineRule="exact"/>
              <w:ind w:firstLine="480"/>
              <w:jc w:val="center"/>
              <w:rPr>
                <w:rFonts w:ascii="宋体" w:hAnsi="宋体" w:cs="宋体"/>
                <w:color w:val="auto"/>
                <w:szCs w:val="21"/>
                <w:highlight w:val="none"/>
              </w:rPr>
            </w:pPr>
          </w:p>
        </w:tc>
      </w:tr>
      <w:tr w14:paraId="6CF4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4A29D9F">
            <w:pPr>
              <w:spacing w:before="40" w:after="40" w:line="300" w:lineRule="exact"/>
              <w:rPr>
                <w:color w:val="auto"/>
                <w:szCs w:val="21"/>
                <w:highlight w:val="none"/>
              </w:rPr>
            </w:pPr>
            <w:r>
              <w:rPr>
                <w:rFonts w:hint="eastAsia" w:ascii="宋体" w:hAnsi="宋体" w:cs="宋体"/>
                <w:color w:val="auto"/>
                <w:szCs w:val="21"/>
                <w:highlight w:val="none"/>
                <w:lang w:bidi="ar"/>
              </w:rPr>
              <w:t>二、模板工程及支撑体系</w:t>
            </w:r>
          </w:p>
        </w:tc>
        <w:tc>
          <w:tcPr>
            <w:tcW w:w="1134" w:type="dxa"/>
            <w:tcBorders>
              <w:top w:val="single" w:color="auto" w:sz="4" w:space="0"/>
              <w:left w:val="nil"/>
              <w:bottom w:val="single" w:color="auto" w:sz="4" w:space="0"/>
              <w:right w:val="single" w:color="auto" w:sz="4" w:space="0"/>
            </w:tcBorders>
            <w:shd w:val="clear" w:color="auto" w:fill="auto"/>
            <w:vAlign w:val="center"/>
          </w:tcPr>
          <w:p w14:paraId="78A6B75B">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D4E1B7C">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7FCFD78D">
            <w:pPr>
              <w:spacing w:before="40" w:after="40" w:line="300" w:lineRule="exact"/>
              <w:ind w:firstLine="480"/>
              <w:jc w:val="center"/>
              <w:rPr>
                <w:rFonts w:ascii="宋体" w:hAnsi="宋体" w:cs="宋体"/>
                <w:color w:val="auto"/>
                <w:szCs w:val="21"/>
                <w:highlight w:val="none"/>
              </w:rPr>
            </w:pPr>
          </w:p>
        </w:tc>
      </w:tr>
      <w:tr w14:paraId="25E1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D72BC7A">
            <w:pPr>
              <w:spacing w:before="40" w:after="40" w:line="300" w:lineRule="exact"/>
              <w:rPr>
                <w:color w:val="auto"/>
                <w:szCs w:val="21"/>
                <w:highlight w:val="none"/>
              </w:rPr>
            </w:pPr>
            <w:r>
              <w:rPr>
                <w:rFonts w:hint="eastAsia" w:ascii="宋体" w:hAnsi="宋体" w:cs="宋体"/>
                <w:color w:val="auto"/>
                <w:szCs w:val="21"/>
                <w:highlight w:val="none"/>
                <w:lang w:bidi="ar"/>
              </w:rPr>
              <w:t>（一）各类工具式模板工程：包括滑模、爬模、飞模、隧道模等工程。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2869F68">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851116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364AC02">
            <w:pPr>
              <w:spacing w:before="40" w:after="40" w:line="300" w:lineRule="exact"/>
              <w:ind w:firstLine="480"/>
              <w:jc w:val="center"/>
              <w:rPr>
                <w:rFonts w:ascii="宋体" w:hAnsi="宋体" w:cs="宋体"/>
                <w:color w:val="auto"/>
                <w:szCs w:val="21"/>
                <w:highlight w:val="none"/>
              </w:rPr>
            </w:pPr>
          </w:p>
        </w:tc>
      </w:tr>
      <w:tr w14:paraId="433B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315CD3E">
            <w:pPr>
              <w:spacing w:before="40" w:after="40" w:line="300" w:lineRule="exact"/>
              <w:rPr>
                <w:color w:val="auto"/>
                <w:szCs w:val="21"/>
                <w:highlight w:val="none"/>
              </w:rPr>
            </w:pPr>
            <w:r>
              <w:rPr>
                <w:rFonts w:hint="eastAsia" w:ascii="宋体" w:hAnsi="宋体" w:cs="宋体"/>
                <w:color w:val="auto"/>
                <w:szCs w:val="21"/>
                <w:highlight w:val="none"/>
                <w:lang w:bidi="ar"/>
              </w:rPr>
              <w:t>（二）混凝土模板支撑工程：搭设高度</w:t>
            </w:r>
            <w:r>
              <w:rPr>
                <w:rFonts w:eastAsiaTheme="minorEastAsia"/>
                <w:color w:val="auto"/>
                <w:szCs w:val="21"/>
                <w:highlight w:val="none"/>
                <w:lang w:bidi="ar"/>
              </w:rPr>
              <w:t>8m</w:t>
            </w:r>
            <w:r>
              <w:rPr>
                <w:rFonts w:hint="eastAsia" w:ascii="宋体" w:hAnsi="宋体" w:cs="宋体"/>
                <w:color w:val="auto"/>
                <w:szCs w:val="21"/>
                <w:highlight w:val="none"/>
                <w:lang w:bidi="ar"/>
              </w:rPr>
              <w:t>及以上，或搭设跨度</w:t>
            </w:r>
            <w:r>
              <w:rPr>
                <w:rFonts w:eastAsiaTheme="minorEastAsia"/>
                <w:color w:val="auto"/>
                <w:szCs w:val="21"/>
                <w:highlight w:val="none"/>
                <w:lang w:bidi="ar"/>
              </w:rPr>
              <w:t>18m</w:t>
            </w:r>
            <w:r>
              <w:rPr>
                <w:rFonts w:hint="eastAsia" w:ascii="宋体" w:hAnsi="宋体" w:cs="宋体"/>
                <w:color w:val="auto"/>
                <w:szCs w:val="21"/>
                <w:highlight w:val="none"/>
                <w:lang w:bidi="ar"/>
              </w:rPr>
              <w:t>及以上，或施工总荷载（设计值）</w:t>
            </w:r>
            <w:r>
              <w:rPr>
                <w:rFonts w:eastAsiaTheme="minorEastAsia"/>
                <w:color w:val="auto"/>
                <w:szCs w:val="21"/>
                <w:highlight w:val="none"/>
                <w:lang w:bidi="ar"/>
              </w:rPr>
              <w:t>15kN/m2</w:t>
            </w:r>
            <w:r>
              <w:rPr>
                <w:rFonts w:hint="eastAsia" w:ascii="宋体" w:hAnsi="宋体" w:cs="宋体"/>
                <w:color w:val="auto"/>
                <w:szCs w:val="21"/>
                <w:highlight w:val="none"/>
                <w:lang w:bidi="ar"/>
              </w:rPr>
              <w:t>及以上，或集中线荷载（设计值）</w:t>
            </w:r>
            <w:r>
              <w:rPr>
                <w:rFonts w:eastAsiaTheme="minorEastAsia"/>
                <w:color w:val="auto"/>
                <w:szCs w:val="21"/>
                <w:highlight w:val="none"/>
                <w:lang w:bidi="ar"/>
              </w:rPr>
              <w:t>20kN/m</w:t>
            </w:r>
            <w:r>
              <w:rPr>
                <w:rFonts w:hint="eastAsia" w:ascii="宋体" w:hAnsi="宋体" w:cs="宋体"/>
                <w:color w:val="auto"/>
                <w:szCs w:val="21"/>
                <w:highlight w:val="none"/>
                <w:lang w:bidi="ar"/>
              </w:rPr>
              <w:t>及以上。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0867254B">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A8E0407">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D2B5E6B">
            <w:pPr>
              <w:spacing w:before="40" w:after="40" w:line="300" w:lineRule="exact"/>
              <w:jc w:val="center"/>
              <w:rPr>
                <w:rFonts w:ascii="宋体" w:hAnsi="宋体" w:cs="宋体"/>
                <w:color w:val="auto"/>
                <w:szCs w:val="21"/>
                <w:highlight w:val="none"/>
              </w:rPr>
            </w:pPr>
          </w:p>
        </w:tc>
      </w:tr>
      <w:tr w14:paraId="5168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25B6908">
            <w:pPr>
              <w:spacing w:before="40" w:after="40" w:line="300" w:lineRule="exact"/>
              <w:rPr>
                <w:color w:val="auto"/>
                <w:szCs w:val="21"/>
                <w:highlight w:val="none"/>
              </w:rPr>
            </w:pPr>
            <w:r>
              <w:rPr>
                <w:rFonts w:hint="eastAsia" w:ascii="宋体" w:hAnsi="宋体" w:cs="宋体"/>
                <w:color w:val="auto"/>
                <w:szCs w:val="21"/>
                <w:highlight w:val="none"/>
                <w:lang w:bidi="ar"/>
              </w:rPr>
              <w:t>（三）承重支撑体系：用于钢结构安装等满堂支撑体系，承受单点集中荷载</w:t>
            </w:r>
            <w:r>
              <w:rPr>
                <w:rFonts w:eastAsiaTheme="minorEastAsia"/>
                <w:color w:val="auto"/>
                <w:szCs w:val="21"/>
                <w:highlight w:val="none"/>
                <w:lang w:bidi="ar"/>
              </w:rPr>
              <w:t>7kN</w:t>
            </w:r>
            <w:r>
              <w:rPr>
                <w:rFonts w:hint="eastAsia" w:ascii="宋体" w:hAnsi="宋体" w:cs="宋体"/>
                <w:color w:val="auto"/>
                <w:szCs w:val="21"/>
                <w:highlight w:val="none"/>
                <w:lang w:bidi="ar"/>
              </w:rPr>
              <w:t>及以上。</w:t>
            </w:r>
          </w:p>
        </w:tc>
        <w:tc>
          <w:tcPr>
            <w:tcW w:w="1134" w:type="dxa"/>
            <w:tcBorders>
              <w:top w:val="single" w:color="auto" w:sz="4" w:space="0"/>
              <w:left w:val="nil"/>
              <w:bottom w:val="single" w:color="auto" w:sz="4" w:space="0"/>
              <w:right w:val="single" w:color="auto" w:sz="4" w:space="0"/>
            </w:tcBorders>
            <w:shd w:val="clear" w:color="auto" w:fill="auto"/>
            <w:vAlign w:val="center"/>
          </w:tcPr>
          <w:p w14:paraId="0C156B6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B215A6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2DB4FC8">
            <w:pPr>
              <w:spacing w:before="40" w:after="40" w:line="300" w:lineRule="exact"/>
              <w:jc w:val="center"/>
              <w:rPr>
                <w:rFonts w:ascii="宋体" w:hAnsi="宋体" w:cs="宋体"/>
                <w:color w:val="auto"/>
                <w:szCs w:val="21"/>
                <w:highlight w:val="none"/>
              </w:rPr>
            </w:pPr>
          </w:p>
        </w:tc>
      </w:tr>
      <w:tr w14:paraId="6460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D30386A">
            <w:pPr>
              <w:spacing w:before="40" w:after="40" w:line="300" w:lineRule="exact"/>
              <w:jc w:val="left"/>
              <w:rPr>
                <w:color w:val="auto"/>
                <w:szCs w:val="21"/>
                <w:highlight w:val="none"/>
              </w:rPr>
            </w:pPr>
            <w:r>
              <w:rPr>
                <w:rFonts w:hint="eastAsia" w:ascii="宋体" w:hAnsi="宋体" w:cs="宋体"/>
                <w:color w:val="auto"/>
                <w:szCs w:val="21"/>
                <w:highlight w:val="none"/>
                <w:lang w:bidi="ar"/>
              </w:rPr>
              <w:t>三、起重吊装及起重机械安装拆卸工程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DAD4118">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3D4779D">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7D265639">
            <w:pPr>
              <w:spacing w:before="40" w:after="40" w:line="300" w:lineRule="exact"/>
              <w:jc w:val="center"/>
              <w:rPr>
                <w:rFonts w:ascii="宋体" w:hAnsi="宋体" w:cs="宋体"/>
                <w:color w:val="auto"/>
                <w:szCs w:val="21"/>
                <w:highlight w:val="none"/>
              </w:rPr>
            </w:pPr>
          </w:p>
        </w:tc>
      </w:tr>
      <w:tr w14:paraId="04E4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072B403">
            <w:pPr>
              <w:spacing w:before="40" w:after="40" w:line="300" w:lineRule="exact"/>
              <w:rPr>
                <w:color w:val="auto"/>
                <w:szCs w:val="21"/>
                <w:highlight w:val="none"/>
              </w:rPr>
            </w:pPr>
            <w:r>
              <w:rPr>
                <w:rFonts w:hint="eastAsia" w:ascii="宋体" w:hAnsi="宋体" w:cs="宋体"/>
                <w:color w:val="auto"/>
                <w:szCs w:val="21"/>
                <w:highlight w:val="none"/>
                <w:lang w:bidi="ar"/>
              </w:rPr>
              <w:t>（一）采用非常规起重设备、方法，且单件起吊重量在</w:t>
            </w:r>
            <w:r>
              <w:rPr>
                <w:rFonts w:eastAsiaTheme="minorEastAsia"/>
                <w:color w:val="auto"/>
                <w:szCs w:val="21"/>
                <w:highlight w:val="none"/>
                <w:lang w:bidi="ar"/>
              </w:rPr>
              <w:t>100kN</w:t>
            </w:r>
            <w:r>
              <w:rPr>
                <w:rFonts w:hint="eastAsia" w:ascii="宋体" w:hAnsi="宋体" w:cs="宋体"/>
                <w:color w:val="auto"/>
                <w:szCs w:val="21"/>
                <w:highlight w:val="none"/>
                <w:lang w:bidi="ar"/>
              </w:rPr>
              <w:t>及以上的起重吊装工程。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11059DC">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6A3D271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719CF94">
            <w:pPr>
              <w:spacing w:before="40" w:after="40" w:line="300" w:lineRule="exact"/>
              <w:jc w:val="center"/>
              <w:rPr>
                <w:rFonts w:ascii="宋体" w:hAnsi="宋体" w:cs="宋体"/>
                <w:color w:val="auto"/>
                <w:szCs w:val="21"/>
                <w:highlight w:val="none"/>
              </w:rPr>
            </w:pPr>
          </w:p>
        </w:tc>
      </w:tr>
      <w:tr w14:paraId="65F7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D6F0308">
            <w:pPr>
              <w:spacing w:before="40" w:after="40" w:line="300" w:lineRule="exact"/>
              <w:rPr>
                <w:color w:val="auto"/>
                <w:szCs w:val="21"/>
                <w:highlight w:val="none"/>
              </w:rPr>
            </w:pPr>
            <w:r>
              <w:rPr>
                <w:rFonts w:hint="eastAsia" w:ascii="宋体" w:hAnsi="宋体" w:cs="宋体"/>
                <w:color w:val="auto"/>
                <w:szCs w:val="21"/>
                <w:highlight w:val="none"/>
                <w:lang w:bidi="ar"/>
              </w:rPr>
              <w:t>（二）起重量</w:t>
            </w:r>
            <w:r>
              <w:rPr>
                <w:rFonts w:eastAsiaTheme="minorEastAsia"/>
                <w:color w:val="auto"/>
                <w:szCs w:val="21"/>
                <w:highlight w:val="none"/>
                <w:lang w:bidi="ar"/>
              </w:rPr>
              <w:t>300kN</w:t>
            </w:r>
            <w:r>
              <w:rPr>
                <w:rFonts w:hint="eastAsia" w:ascii="宋体" w:hAnsi="宋体" w:cs="宋体"/>
                <w:color w:val="auto"/>
                <w:szCs w:val="21"/>
                <w:highlight w:val="none"/>
                <w:lang w:bidi="ar"/>
              </w:rPr>
              <w:t>及以上，或搭设总高度</w:t>
            </w:r>
            <w:r>
              <w:rPr>
                <w:rFonts w:eastAsiaTheme="minorEastAsia"/>
                <w:color w:val="auto"/>
                <w:szCs w:val="21"/>
                <w:highlight w:val="none"/>
                <w:lang w:bidi="ar"/>
              </w:rPr>
              <w:t>200m</w:t>
            </w:r>
            <w:r>
              <w:rPr>
                <w:rFonts w:hint="eastAsia" w:ascii="宋体" w:hAnsi="宋体" w:cs="宋体"/>
                <w:color w:val="auto"/>
                <w:szCs w:val="21"/>
                <w:highlight w:val="none"/>
                <w:lang w:bidi="ar"/>
              </w:rPr>
              <w:t>及以上，或搭设基础标高在</w:t>
            </w:r>
            <w:r>
              <w:rPr>
                <w:rFonts w:eastAsiaTheme="minorEastAsia"/>
                <w:color w:val="auto"/>
                <w:szCs w:val="21"/>
                <w:highlight w:val="none"/>
                <w:lang w:bidi="ar"/>
              </w:rPr>
              <w:t>200m</w:t>
            </w:r>
            <w:r>
              <w:rPr>
                <w:rFonts w:hint="eastAsia" w:ascii="宋体" w:hAnsi="宋体" w:cs="宋体"/>
                <w:color w:val="auto"/>
                <w:szCs w:val="21"/>
                <w:highlight w:val="none"/>
                <w:lang w:bidi="ar"/>
              </w:rPr>
              <w:t>及以上的起重机械安装和拆卸工程。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13ACA82">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E11587F">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EEB2CDC">
            <w:pPr>
              <w:spacing w:before="40" w:after="40" w:line="300" w:lineRule="exact"/>
              <w:jc w:val="center"/>
              <w:rPr>
                <w:rFonts w:ascii="宋体" w:hAnsi="宋体" w:cs="宋体"/>
                <w:color w:val="auto"/>
                <w:szCs w:val="21"/>
                <w:highlight w:val="none"/>
              </w:rPr>
            </w:pPr>
          </w:p>
        </w:tc>
      </w:tr>
      <w:tr w14:paraId="6C99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649508F9">
            <w:pPr>
              <w:spacing w:before="40" w:after="40" w:line="300" w:lineRule="exact"/>
              <w:rPr>
                <w:color w:val="auto"/>
                <w:szCs w:val="21"/>
                <w:highlight w:val="none"/>
              </w:rPr>
            </w:pPr>
            <w:r>
              <w:rPr>
                <w:rFonts w:hint="eastAsia" w:ascii="宋体" w:hAnsi="宋体" w:cs="宋体"/>
                <w:color w:val="auto"/>
                <w:szCs w:val="21"/>
                <w:highlight w:val="none"/>
                <w:lang w:bidi="ar"/>
              </w:rPr>
              <w:t>四、脚手架工程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8236698">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35AC184E">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60C2DC2">
            <w:pPr>
              <w:spacing w:before="40" w:after="40" w:line="300" w:lineRule="exact"/>
              <w:jc w:val="center"/>
              <w:rPr>
                <w:rFonts w:ascii="宋体" w:hAnsi="宋体" w:cs="宋体"/>
                <w:color w:val="auto"/>
                <w:szCs w:val="21"/>
                <w:highlight w:val="none"/>
              </w:rPr>
            </w:pPr>
          </w:p>
        </w:tc>
      </w:tr>
      <w:tr w14:paraId="6F73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34DCF8F3">
            <w:pPr>
              <w:spacing w:before="40" w:after="40" w:line="300" w:lineRule="exact"/>
              <w:rPr>
                <w:color w:val="auto"/>
                <w:szCs w:val="21"/>
                <w:highlight w:val="none"/>
              </w:rPr>
            </w:pPr>
            <w:r>
              <w:rPr>
                <w:rFonts w:hint="eastAsia" w:ascii="宋体" w:hAnsi="宋体" w:cs="宋体"/>
                <w:color w:val="auto"/>
                <w:szCs w:val="21"/>
                <w:highlight w:val="none"/>
                <w:lang w:bidi="ar"/>
              </w:rPr>
              <w:t>（一）搭设高度</w:t>
            </w:r>
            <w:r>
              <w:rPr>
                <w:rFonts w:eastAsiaTheme="minorEastAsia"/>
                <w:color w:val="auto"/>
                <w:szCs w:val="21"/>
                <w:highlight w:val="none"/>
                <w:lang w:bidi="ar"/>
              </w:rPr>
              <w:t>50m</w:t>
            </w:r>
            <w:r>
              <w:rPr>
                <w:rFonts w:hint="eastAsia" w:ascii="宋体" w:hAnsi="宋体" w:cs="宋体"/>
                <w:color w:val="auto"/>
                <w:szCs w:val="21"/>
                <w:highlight w:val="none"/>
                <w:lang w:bidi="ar"/>
              </w:rPr>
              <w:t>及以上的落地式钢管脚手架工程。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F514D3C">
            <w:pPr>
              <w:jc w:val="center"/>
              <w:rPr>
                <w:color w:val="auto"/>
                <w:szCs w:val="21"/>
                <w:highlight w:val="none"/>
              </w:rPr>
            </w:pPr>
            <w:r>
              <w:rPr>
                <w:rFonts w:hint="eastAsia" w:ascii="宋体" w:hAnsi="宋体" w:cs="宋体"/>
                <w:color w:val="auto"/>
                <w:szCs w:val="21"/>
                <w:highlight w:val="none"/>
                <w:lang w:bidi="ar"/>
              </w:rPr>
              <w:t>(</w:t>
            </w:r>
            <w:r>
              <w:rPr>
                <w:color w:val="auto"/>
                <w:szCs w:val="21"/>
                <w:highlight w:val="none"/>
                <w:lang w:bidi="ar"/>
              </w:rPr>
              <w:t xml:space="preserve">   </w:t>
            </w:r>
            <w:r>
              <w:rPr>
                <w:rFonts w:hint="eastAsia" w:ascii="宋体" w:hAnsi="宋体" w:cs="宋体"/>
                <w:color w:val="auto"/>
                <w:szCs w:val="21"/>
                <w:highlight w:val="none"/>
                <w:lang w:bidi="ar"/>
              </w:rPr>
              <w:t>)</w:t>
            </w:r>
          </w:p>
        </w:tc>
        <w:tc>
          <w:tcPr>
            <w:tcW w:w="1190" w:type="dxa"/>
            <w:tcBorders>
              <w:top w:val="single" w:color="auto" w:sz="4" w:space="0"/>
              <w:left w:val="nil"/>
              <w:bottom w:val="single" w:color="auto" w:sz="4" w:space="0"/>
              <w:right w:val="single" w:color="auto" w:sz="4" w:space="0"/>
            </w:tcBorders>
            <w:shd w:val="clear" w:color="auto" w:fill="auto"/>
            <w:vAlign w:val="center"/>
          </w:tcPr>
          <w:p w14:paraId="03928CC5">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5E232E8">
            <w:pPr>
              <w:spacing w:before="40" w:after="40" w:line="300" w:lineRule="exact"/>
              <w:jc w:val="center"/>
              <w:rPr>
                <w:rFonts w:ascii="宋体" w:hAnsi="宋体" w:cs="宋体"/>
                <w:color w:val="auto"/>
                <w:szCs w:val="21"/>
                <w:highlight w:val="none"/>
              </w:rPr>
            </w:pPr>
          </w:p>
        </w:tc>
      </w:tr>
      <w:tr w14:paraId="0097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3AED821">
            <w:pPr>
              <w:spacing w:before="40" w:after="40" w:line="300" w:lineRule="exact"/>
              <w:rPr>
                <w:color w:val="auto"/>
                <w:szCs w:val="21"/>
                <w:highlight w:val="none"/>
              </w:rPr>
            </w:pPr>
            <w:r>
              <w:rPr>
                <w:rFonts w:hint="eastAsia" w:ascii="宋体" w:hAnsi="宋体" w:cs="宋体"/>
                <w:color w:val="auto"/>
                <w:szCs w:val="21"/>
                <w:highlight w:val="none"/>
                <w:lang w:bidi="ar"/>
              </w:rPr>
              <w:t>（二）提升高度在</w:t>
            </w:r>
            <w:r>
              <w:rPr>
                <w:rFonts w:eastAsiaTheme="minorEastAsia"/>
                <w:color w:val="auto"/>
                <w:szCs w:val="21"/>
                <w:highlight w:val="none"/>
                <w:lang w:bidi="ar"/>
              </w:rPr>
              <w:t>150m</w:t>
            </w:r>
            <w:r>
              <w:rPr>
                <w:rFonts w:hint="eastAsia" w:ascii="宋体" w:hAnsi="宋体" w:cs="宋体"/>
                <w:color w:val="auto"/>
                <w:szCs w:val="21"/>
                <w:highlight w:val="none"/>
                <w:lang w:bidi="ar"/>
              </w:rPr>
              <w:t>及以上的附着式升降脚手架工程或附着式升降操作平台工程。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DFACD9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65E1E7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13DFFFFC">
            <w:pPr>
              <w:spacing w:before="40" w:after="40" w:line="300" w:lineRule="exact"/>
              <w:jc w:val="center"/>
              <w:rPr>
                <w:rFonts w:ascii="宋体" w:hAnsi="宋体" w:cs="宋体"/>
                <w:color w:val="auto"/>
                <w:szCs w:val="21"/>
                <w:highlight w:val="none"/>
              </w:rPr>
            </w:pPr>
          </w:p>
        </w:tc>
      </w:tr>
      <w:tr w14:paraId="02F2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DCFA105">
            <w:pPr>
              <w:spacing w:before="40" w:after="40" w:line="300" w:lineRule="exact"/>
              <w:rPr>
                <w:color w:val="auto"/>
                <w:szCs w:val="21"/>
                <w:highlight w:val="none"/>
              </w:rPr>
            </w:pPr>
            <w:r>
              <w:rPr>
                <w:rFonts w:hint="eastAsia" w:ascii="宋体" w:hAnsi="宋体" w:cs="宋体"/>
                <w:color w:val="auto"/>
                <w:szCs w:val="21"/>
                <w:highlight w:val="none"/>
                <w:lang w:bidi="ar"/>
              </w:rPr>
              <w:t>（三）分段架体搭设高度</w:t>
            </w:r>
            <w:r>
              <w:rPr>
                <w:rFonts w:eastAsiaTheme="minorEastAsia"/>
                <w:color w:val="auto"/>
                <w:szCs w:val="21"/>
                <w:highlight w:val="none"/>
                <w:lang w:bidi="ar"/>
              </w:rPr>
              <w:t>20m</w:t>
            </w:r>
            <w:r>
              <w:rPr>
                <w:rFonts w:hint="eastAsia" w:ascii="宋体" w:hAnsi="宋体" w:cs="宋体"/>
                <w:color w:val="auto"/>
                <w:szCs w:val="21"/>
                <w:highlight w:val="none"/>
                <w:lang w:bidi="ar"/>
              </w:rPr>
              <w:t>及以上的悬挑式脚手架工程。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24AC2C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04256CE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4A95E4F">
            <w:pPr>
              <w:spacing w:before="40" w:after="40" w:line="300" w:lineRule="exact"/>
              <w:jc w:val="center"/>
              <w:rPr>
                <w:rFonts w:ascii="宋体" w:hAnsi="宋体" w:cs="宋体"/>
                <w:color w:val="auto"/>
                <w:szCs w:val="21"/>
                <w:highlight w:val="none"/>
              </w:rPr>
            </w:pPr>
          </w:p>
        </w:tc>
      </w:tr>
      <w:tr w14:paraId="4A0D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800041A">
            <w:pPr>
              <w:spacing w:before="40" w:after="40" w:line="300" w:lineRule="exact"/>
              <w:rPr>
                <w:color w:val="auto"/>
                <w:szCs w:val="21"/>
                <w:highlight w:val="none"/>
              </w:rPr>
            </w:pPr>
            <w:r>
              <w:rPr>
                <w:rFonts w:hint="eastAsia" w:ascii="宋体" w:hAnsi="宋体" w:cs="宋体"/>
                <w:color w:val="auto"/>
                <w:szCs w:val="21"/>
                <w:highlight w:val="none"/>
                <w:lang w:bidi="ar"/>
              </w:rPr>
              <w:t>五、拆除工程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8A2B9AB">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0AB369B4">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2DF6C1ED">
            <w:pPr>
              <w:spacing w:before="40" w:after="40" w:line="300" w:lineRule="exact"/>
              <w:jc w:val="center"/>
              <w:rPr>
                <w:rFonts w:ascii="宋体" w:hAnsi="宋体" w:cs="宋体"/>
                <w:color w:val="auto"/>
                <w:szCs w:val="21"/>
                <w:highlight w:val="none"/>
              </w:rPr>
            </w:pPr>
          </w:p>
        </w:tc>
      </w:tr>
      <w:tr w14:paraId="578A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53BBC82">
            <w:pPr>
              <w:spacing w:before="40" w:after="40" w:line="300" w:lineRule="exact"/>
              <w:rPr>
                <w:color w:val="auto"/>
                <w:szCs w:val="21"/>
                <w:highlight w:val="none"/>
              </w:rPr>
            </w:pPr>
            <w:r>
              <w:rPr>
                <w:rFonts w:hint="eastAsia" w:ascii="宋体" w:hAnsi="宋体" w:cs="宋体"/>
                <w:color w:val="auto"/>
                <w:szCs w:val="21"/>
                <w:highlight w:val="none"/>
                <w:lang w:bidi="ar"/>
              </w:rPr>
              <w:t>（一）码头、桥梁、高架、烟囱、水塔或拆除中容易引起有毒有害气（液）体或粉尘扩散、易燃易爆事故发生的特殊建、构筑物的拆除工程。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BA137E5">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600F13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609DE12C">
            <w:pPr>
              <w:spacing w:before="40" w:after="40" w:line="300" w:lineRule="exact"/>
              <w:jc w:val="center"/>
              <w:rPr>
                <w:rFonts w:ascii="宋体" w:hAnsi="宋体" w:cs="宋体"/>
                <w:color w:val="auto"/>
                <w:szCs w:val="21"/>
                <w:highlight w:val="none"/>
              </w:rPr>
            </w:pPr>
          </w:p>
        </w:tc>
      </w:tr>
      <w:tr w14:paraId="4DE83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989CBC5">
            <w:pPr>
              <w:spacing w:before="40" w:after="40" w:line="300" w:lineRule="exact"/>
              <w:rPr>
                <w:color w:val="auto"/>
                <w:szCs w:val="21"/>
                <w:highlight w:val="none"/>
              </w:rPr>
            </w:pPr>
            <w:r>
              <w:rPr>
                <w:rFonts w:hint="eastAsia" w:ascii="宋体" w:hAnsi="宋体" w:cs="宋体"/>
                <w:color w:val="auto"/>
                <w:szCs w:val="21"/>
                <w:highlight w:val="none"/>
                <w:lang w:bidi="ar"/>
              </w:rPr>
              <w:t>（二）文物保护建筑、优秀历史建筑或历史文化风貌区影响范围内的拆除工程。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7E899A51">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2E73C9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7BAA9FF1">
            <w:pPr>
              <w:spacing w:before="40" w:after="40" w:line="300" w:lineRule="exact"/>
              <w:jc w:val="center"/>
              <w:rPr>
                <w:rFonts w:ascii="宋体" w:hAnsi="宋体" w:cs="宋体"/>
                <w:color w:val="auto"/>
                <w:szCs w:val="21"/>
                <w:highlight w:val="none"/>
              </w:rPr>
            </w:pPr>
          </w:p>
        </w:tc>
      </w:tr>
      <w:tr w14:paraId="42CA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2FD4AD0C">
            <w:pPr>
              <w:spacing w:before="40" w:after="40" w:line="300" w:lineRule="exact"/>
              <w:rPr>
                <w:color w:val="auto"/>
                <w:szCs w:val="21"/>
                <w:highlight w:val="none"/>
              </w:rPr>
            </w:pPr>
            <w:r>
              <w:rPr>
                <w:rFonts w:hint="eastAsia" w:ascii="宋体" w:hAnsi="宋体" w:cs="宋体"/>
                <w:color w:val="auto"/>
                <w:szCs w:val="21"/>
                <w:highlight w:val="none"/>
                <w:lang w:bidi="ar"/>
              </w:rPr>
              <w:t>六、暗挖工程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4BC24808">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44421915">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59882676">
            <w:pPr>
              <w:spacing w:before="40" w:after="40" w:line="300" w:lineRule="exact"/>
              <w:jc w:val="center"/>
              <w:rPr>
                <w:rFonts w:ascii="宋体" w:hAnsi="宋体" w:cs="宋体"/>
                <w:color w:val="auto"/>
                <w:szCs w:val="21"/>
                <w:highlight w:val="none"/>
              </w:rPr>
            </w:pPr>
          </w:p>
        </w:tc>
      </w:tr>
      <w:tr w14:paraId="7623D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6595631">
            <w:pPr>
              <w:spacing w:before="40" w:after="40" w:line="300" w:lineRule="exact"/>
              <w:rPr>
                <w:color w:val="auto"/>
                <w:szCs w:val="21"/>
                <w:highlight w:val="none"/>
              </w:rPr>
            </w:pPr>
            <w:r>
              <w:rPr>
                <w:rFonts w:hint="eastAsia" w:ascii="宋体" w:hAnsi="宋体" w:cs="宋体"/>
                <w:color w:val="auto"/>
                <w:szCs w:val="21"/>
                <w:highlight w:val="none"/>
                <w:lang w:bidi="ar"/>
              </w:rPr>
              <w:t>采用矿山法、盾构法、顶管法施工的隧道、洞室工程。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EC02D6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589540D">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383CE71">
            <w:pPr>
              <w:spacing w:before="40" w:after="40" w:line="300" w:lineRule="exact"/>
              <w:jc w:val="center"/>
              <w:rPr>
                <w:rFonts w:ascii="宋体" w:hAnsi="宋体" w:cs="宋体"/>
                <w:color w:val="auto"/>
                <w:szCs w:val="21"/>
                <w:highlight w:val="none"/>
              </w:rPr>
            </w:pPr>
          </w:p>
        </w:tc>
      </w:tr>
      <w:tr w14:paraId="5621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591DDD07">
            <w:pPr>
              <w:spacing w:before="40" w:after="40" w:line="300" w:lineRule="exact"/>
              <w:rPr>
                <w:color w:val="auto"/>
                <w:szCs w:val="21"/>
                <w:highlight w:val="none"/>
              </w:rPr>
            </w:pPr>
            <w:r>
              <w:rPr>
                <w:rFonts w:hint="eastAsia" w:ascii="宋体" w:hAnsi="宋体" w:cs="宋体"/>
                <w:color w:val="auto"/>
                <w:szCs w:val="21"/>
                <w:highlight w:val="none"/>
                <w:lang w:bidi="ar"/>
              </w:rPr>
              <w:t>七、其它</w:t>
            </w:r>
          </w:p>
        </w:tc>
        <w:tc>
          <w:tcPr>
            <w:tcW w:w="1134" w:type="dxa"/>
            <w:tcBorders>
              <w:top w:val="single" w:color="auto" w:sz="4" w:space="0"/>
              <w:left w:val="nil"/>
              <w:bottom w:val="single" w:color="auto" w:sz="4" w:space="0"/>
              <w:right w:val="single" w:color="auto" w:sz="4" w:space="0"/>
            </w:tcBorders>
            <w:shd w:val="clear" w:color="auto" w:fill="auto"/>
            <w:vAlign w:val="center"/>
          </w:tcPr>
          <w:p w14:paraId="433C9AD0">
            <w:pPr>
              <w:jc w:val="center"/>
              <w:rPr>
                <w:color w:val="auto"/>
                <w:szCs w:val="21"/>
                <w:highlight w:val="none"/>
              </w:rPr>
            </w:pPr>
          </w:p>
        </w:tc>
        <w:tc>
          <w:tcPr>
            <w:tcW w:w="1190" w:type="dxa"/>
            <w:tcBorders>
              <w:top w:val="single" w:color="auto" w:sz="4" w:space="0"/>
              <w:left w:val="nil"/>
              <w:bottom w:val="single" w:color="auto" w:sz="4" w:space="0"/>
              <w:right w:val="single" w:color="auto" w:sz="4" w:space="0"/>
            </w:tcBorders>
            <w:shd w:val="clear" w:color="auto" w:fill="auto"/>
            <w:vAlign w:val="center"/>
          </w:tcPr>
          <w:p w14:paraId="524D27F8">
            <w:pPr>
              <w:spacing w:before="40" w:after="40" w:line="300" w:lineRule="exact"/>
              <w:jc w:val="center"/>
              <w:rPr>
                <w:rFonts w:ascii="宋体" w:hAnsi="宋体" w:cs="宋体"/>
                <w:color w:val="auto"/>
                <w:szCs w:val="21"/>
                <w:highlight w:val="none"/>
              </w:rPr>
            </w:pPr>
          </w:p>
        </w:tc>
        <w:tc>
          <w:tcPr>
            <w:tcW w:w="796" w:type="dxa"/>
            <w:tcBorders>
              <w:top w:val="single" w:color="auto" w:sz="4" w:space="0"/>
              <w:left w:val="nil"/>
              <w:bottom w:val="single" w:color="auto" w:sz="4" w:space="0"/>
              <w:right w:val="single" w:color="auto" w:sz="4" w:space="0"/>
            </w:tcBorders>
            <w:shd w:val="clear" w:color="auto" w:fill="auto"/>
            <w:vAlign w:val="center"/>
          </w:tcPr>
          <w:p w14:paraId="62F70ACA">
            <w:pPr>
              <w:spacing w:before="40" w:after="40" w:line="300" w:lineRule="exact"/>
              <w:jc w:val="center"/>
              <w:rPr>
                <w:rFonts w:ascii="宋体" w:hAnsi="宋体" w:cs="宋体"/>
                <w:color w:val="auto"/>
                <w:szCs w:val="21"/>
                <w:highlight w:val="none"/>
              </w:rPr>
            </w:pPr>
          </w:p>
        </w:tc>
      </w:tr>
      <w:tr w14:paraId="29B1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86F552D">
            <w:pPr>
              <w:spacing w:before="40" w:after="40" w:line="300" w:lineRule="exact"/>
              <w:rPr>
                <w:color w:val="auto"/>
                <w:szCs w:val="21"/>
                <w:highlight w:val="none"/>
              </w:rPr>
            </w:pPr>
            <w:r>
              <w:rPr>
                <w:rFonts w:hint="eastAsia" w:ascii="宋体" w:hAnsi="宋体" w:cs="宋体"/>
                <w:color w:val="auto"/>
                <w:szCs w:val="21"/>
                <w:highlight w:val="none"/>
                <w:lang w:bidi="ar"/>
              </w:rPr>
              <w:t>（一）施工高度</w:t>
            </w:r>
            <w:r>
              <w:rPr>
                <w:rFonts w:eastAsiaTheme="minorEastAsia"/>
                <w:color w:val="auto"/>
                <w:szCs w:val="21"/>
                <w:highlight w:val="none"/>
                <w:lang w:bidi="ar"/>
              </w:rPr>
              <w:t>50m</w:t>
            </w:r>
            <w:r>
              <w:rPr>
                <w:rFonts w:hint="eastAsia" w:ascii="宋体" w:hAnsi="宋体" w:cs="宋体"/>
                <w:color w:val="auto"/>
                <w:szCs w:val="21"/>
                <w:highlight w:val="none"/>
                <w:lang w:bidi="ar"/>
              </w:rPr>
              <w:t>及以上的建筑幕墙安装工程。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27D7F1DB">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40D4A39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26B7B746">
            <w:pPr>
              <w:spacing w:before="40" w:after="40" w:line="300" w:lineRule="exact"/>
              <w:jc w:val="center"/>
              <w:rPr>
                <w:rFonts w:ascii="宋体" w:hAnsi="宋体" w:cs="宋体"/>
                <w:color w:val="auto"/>
                <w:szCs w:val="21"/>
                <w:highlight w:val="none"/>
              </w:rPr>
            </w:pPr>
          </w:p>
        </w:tc>
      </w:tr>
      <w:tr w14:paraId="1646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7E9860D8">
            <w:pPr>
              <w:spacing w:before="40" w:after="40" w:line="300" w:lineRule="exact"/>
              <w:rPr>
                <w:color w:val="auto"/>
                <w:szCs w:val="21"/>
                <w:highlight w:val="none"/>
              </w:rPr>
            </w:pPr>
            <w:r>
              <w:rPr>
                <w:rFonts w:hint="eastAsia" w:ascii="宋体" w:hAnsi="宋体" w:cs="宋体"/>
                <w:color w:val="auto"/>
                <w:szCs w:val="21"/>
                <w:highlight w:val="none"/>
                <w:lang w:bidi="ar"/>
              </w:rPr>
              <w:t>（二）跨度</w:t>
            </w:r>
            <w:r>
              <w:rPr>
                <w:rFonts w:eastAsiaTheme="minorEastAsia"/>
                <w:color w:val="auto"/>
                <w:szCs w:val="21"/>
                <w:highlight w:val="none"/>
                <w:lang w:bidi="ar"/>
              </w:rPr>
              <w:t>36m</w:t>
            </w:r>
            <w:r>
              <w:rPr>
                <w:rFonts w:hint="eastAsia" w:ascii="宋体" w:hAnsi="宋体" w:cs="宋体"/>
                <w:color w:val="auto"/>
                <w:szCs w:val="21"/>
                <w:highlight w:val="none"/>
                <w:lang w:bidi="ar"/>
              </w:rPr>
              <w:t>及以上的钢结构安装工程，或跨度</w:t>
            </w:r>
            <w:r>
              <w:rPr>
                <w:rFonts w:eastAsiaTheme="minorEastAsia"/>
                <w:color w:val="auto"/>
                <w:szCs w:val="21"/>
                <w:highlight w:val="none"/>
                <w:lang w:bidi="ar"/>
              </w:rPr>
              <w:t>60m</w:t>
            </w:r>
            <w:r>
              <w:rPr>
                <w:rFonts w:hint="eastAsia" w:ascii="宋体" w:hAnsi="宋体" w:cs="宋体"/>
                <w:color w:val="auto"/>
                <w:szCs w:val="21"/>
                <w:highlight w:val="none"/>
                <w:lang w:bidi="ar"/>
              </w:rPr>
              <w:t>及以上的网架和索膜结构安装工程。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023FBF3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2C2522A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0D0DD0F">
            <w:pPr>
              <w:spacing w:before="40" w:after="40" w:line="300" w:lineRule="exact"/>
              <w:jc w:val="center"/>
              <w:rPr>
                <w:rFonts w:ascii="宋体" w:hAnsi="宋体" w:cs="宋体"/>
                <w:color w:val="auto"/>
                <w:szCs w:val="21"/>
                <w:highlight w:val="none"/>
              </w:rPr>
            </w:pPr>
          </w:p>
        </w:tc>
      </w:tr>
      <w:tr w14:paraId="7A0E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4D6F9631">
            <w:pPr>
              <w:spacing w:before="40" w:after="40" w:line="300" w:lineRule="exact"/>
              <w:rPr>
                <w:color w:val="auto"/>
                <w:szCs w:val="21"/>
                <w:highlight w:val="none"/>
              </w:rPr>
            </w:pPr>
            <w:r>
              <w:rPr>
                <w:rFonts w:hint="eastAsia" w:ascii="宋体" w:hAnsi="宋体" w:cs="宋体"/>
                <w:color w:val="auto"/>
                <w:szCs w:val="21"/>
                <w:highlight w:val="none"/>
                <w:lang w:bidi="ar"/>
              </w:rPr>
              <w:t>（三）开挖深度</w:t>
            </w:r>
            <w:r>
              <w:rPr>
                <w:rFonts w:eastAsiaTheme="minorEastAsia"/>
                <w:color w:val="auto"/>
                <w:szCs w:val="21"/>
                <w:highlight w:val="none"/>
                <w:lang w:bidi="ar"/>
              </w:rPr>
              <w:t>16m</w:t>
            </w:r>
            <w:r>
              <w:rPr>
                <w:rFonts w:hint="eastAsia" w:ascii="宋体" w:hAnsi="宋体" w:cs="宋体"/>
                <w:color w:val="auto"/>
                <w:szCs w:val="21"/>
                <w:highlight w:val="none"/>
                <w:lang w:bidi="ar"/>
              </w:rPr>
              <w:t>及以上的人工挖孔桩工程。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14236D54">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141A73E2">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4D987E64">
            <w:pPr>
              <w:spacing w:before="40" w:after="40" w:line="300" w:lineRule="exact"/>
              <w:jc w:val="center"/>
              <w:rPr>
                <w:rFonts w:ascii="宋体" w:hAnsi="宋体" w:cs="宋体"/>
                <w:color w:val="auto"/>
                <w:szCs w:val="21"/>
                <w:highlight w:val="none"/>
              </w:rPr>
            </w:pPr>
          </w:p>
        </w:tc>
      </w:tr>
      <w:tr w14:paraId="63437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63ADDC9">
            <w:pPr>
              <w:spacing w:before="40" w:after="40" w:line="300" w:lineRule="exact"/>
              <w:rPr>
                <w:color w:val="auto"/>
                <w:szCs w:val="21"/>
                <w:highlight w:val="none"/>
              </w:rPr>
            </w:pPr>
            <w:r>
              <w:rPr>
                <w:rFonts w:hint="eastAsia" w:ascii="宋体" w:hAnsi="宋体" w:cs="宋体"/>
                <w:color w:val="auto"/>
                <w:szCs w:val="21"/>
                <w:highlight w:val="none"/>
                <w:lang w:bidi="ar"/>
              </w:rPr>
              <w:t>（四）水下作业工程。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31EF9A20">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5D89FE0">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0BB61B4B">
            <w:pPr>
              <w:spacing w:before="40" w:after="40" w:line="300" w:lineRule="exact"/>
              <w:jc w:val="center"/>
              <w:rPr>
                <w:rFonts w:ascii="宋体" w:hAnsi="宋体" w:cs="宋体"/>
                <w:color w:val="auto"/>
                <w:szCs w:val="21"/>
                <w:highlight w:val="none"/>
              </w:rPr>
            </w:pPr>
          </w:p>
        </w:tc>
      </w:tr>
      <w:tr w14:paraId="5A82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1B7680C7">
            <w:pPr>
              <w:spacing w:before="40" w:after="40" w:line="300" w:lineRule="exact"/>
              <w:rPr>
                <w:color w:val="auto"/>
                <w:szCs w:val="21"/>
                <w:highlight w:val="none"/>
              </w:rPr>
            </w:pPr>
            <w:r>
              <w:rPr>
                <w:rFonts w:hint="eastAsia" w:ascii="宋体" w:hAnsi="宋体" w:cs="宋体"/>
                <w:color w:val="auto"/>
                <w:szCs w:val="21"/>
                <w:highlight w:val="none"/>
                <w:lang w:bidi="ar"/>
              </w:rPr>
              <w:t>（五）重量</w:t>
            </w:r>
            <w:r>
              <w:rPr>
                <w:rFonts w:eastAsiaTheme="minorEastAsia"/>
                <w:color w:val="auto"/>
                <w:szCs w:val="21"/>
                <w:highlight w:val="none"/>
                <w:lang w:bidi="ar"/>
              </w:rPr>
              <w:t>1000kN</w:t>
            </w:r>
            <w:r>
              <w:rPr>
                <w:rFonts w:hint="eastAsia" w:ascii="宋体" w:hAnsi="宋体" w:cs="宋体"/>
                <w:color w:val="auto"/>
                <w:szCs w:val="21"/>
                <w:highlight w:val="none"/>
                <w:lang w:bidi="ar"/>
              </w:rPr>
              <w:t>及以上的大型结构整体顶升、平移、转体等施工工艺。</w:t>
            </w:r>
          </w:p>
        </w:tc>
        <w:tc>
          <w:tcPr>
            <w:tcW w:w="1134" w:type="dxa"/>
            <w:tcBorders>
              <w:top w:val="single" w:color="auto" w:sz="4" w:space="0"/>
              <w:left w:val="nil"/>
              <w:bottom w:val="single" w:color="auto" w:sz="4" w:space="0"/>
              <w:right w:val="single" w:color="auto" w:sz="4" w:space="0"/>
            </w:tcBorders>
            <w:shd w:val="clear" w:color="auto" w:fill="auto"/>
            <w:vAlign w:val="center"/>
          </w:tcPr>
          <w:p w14:paraId="6876891A">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79EEE30B">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484A681">
            <w:pPr>
              <w:spacing w:before="40" w:after="40" w:line="300" w:lineRule="exact"/>
              <w:jc w:val="center"/>
              <w:rPr>
                <w:rFonts w:ascii="宋体" w:hAnsi="宋体" w:cs="宋体"/>
                <w:color w:val="auto"/>
                <w:szCs w:val="21"/>
                <w:highlight w:val="none"/>
              </w:rPr>
            </w:pPr>
          </w:p>
        </w:tc>
      </w:tr>
      <w:tr w14:paraId="36C9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tcBorders>
              <w:top w:val="single" w:color="auto" w:sz="4" w:space="0"/>
              <w:left w:val="single" w:color="auto" w:sz="4" w:space="0"/>
              <w:bottom w:val="single" w:color="auto" w:sz="4" w:space="0"/>
              <w:right w:val="single" w:color="auto" w:sz="4" w:space="0"/>
            </w:tcBorders>
            <w:shd w:val="clear" w:color="auto" w:fill="auto"/>
            <w:vAlign w:val="center"/>
          </w:tcPr>
          <w:p w14:paraId="086A0EF8">
            <w:pPr>
              <w:spacing w:before="40" w:after="40" w:line="300" w:lineRule="exact"/>
              <w:rPr>
                <w:color w:val="auto"/>
                <w:szCs w:val="21"/>
                <w:highlight w:val="none"/>
              </w:rPr>
            </w:pPr>
            <w:r>
              <w:rPr>
                <w:rFonts w:hint="eastAsia" w:ascii="宋体" w:hAnsi="宋体" w:cs="宋体"/>
                <w:color w:val="auto"/>
                <w:szCs w:val="21"/>
                <w:highlight w:val="none"/>
                <w:lang w:bidi="ar"/>
              </w:rPr>
              <w:t>（六）采用新技术、新工艺、新材料、新设备可能影响工程施工安全，尚无国家、行业及地方技术标准的分部分项工程。</w:t>
            </w:r>
          </w:p>
        </w:tc>
        <w:tc>
          <w:tcPr>
            <w:tcW w:w="1134" w:type="dxa"/>
            <w:tcBorders>
              <w:top w:val="single" w:color="auto" w:sz="4" w:space="0"/>
              <w:left w:val="nil"/>
              <w:bottom w:val="single" w:color="auto" w:sz="4" w:space="0"/>
              <w:right w:val="single" w:color="auto" w:sz="4" w:space="0"/>
            </w:tcBorders>
            <w:shd w:val="clear" w:color="auto" w:fill="auto"/>
            <w:vAlign w:val="center"/>
          </w:tcPr>
          <w:p w14:paraId="61897BE3">
            <w:pPr>
              <w:jc w:val="center"/>
              <w:rPr>
                <w:color w:val="auto"/>
                <w:szCs w:val="21"/>
                <w:highlight w:val="none"/>
              </w:rPr>
            </w:pPr>
            <w:r>
              <w:rPr>
                <w:rFonts w:hint="eastAsia" w:ascii="宋体" w:hAnsi="宋体" w:cs="宋体"/>
                <w:color w:val="auto"/>
                <w:szCs w:val="21"/>
                <w:highlight w:val="none"/>
                <w:lang w:bidi="ar"/>
              </w:rPr>
              <w:t>(   )</w:t>
            </w:r>
          </w:p>
        </w:tc>
        <w:tc>
          <w:tcPr>
            <w:tcW w:w="1190" w:type="dxa"/>
            <w:tcBorders>
              <w:top w:val="single" w:color="auto" w:sz="4" w:space="0"/>
              <w:left w:val="nil"/>
              <w:bottom w:val="single" w:color="auto" w:sz="4" w:space="0"/>
              <w:right w:val="single" w:color="auto" w:sz="4" w:space="0"/>
            </w:tcBorders>
            <w:shd w:val="clear" w:color="auto" w:fill="auto"/>
            <w:vAlign w:val="center"/>
          </w:tcPr>
          <w:p w14:paraId="50FCFA24">
            <w:pPr>
              <w:spacing w:before="40" w:after="40" w:line="300" w:lineRule="exact"/>
              <w:jc w:val="center"/>
              <w:rPr>
                <w:rFonts w:ascii="宋体" w:hAnsi="宋体" w:cs="宋体"/>
                <w:color w:val="auto"/>
                <w:szCs w:val="21"/>
                <w:highlight w:val="none"/>
              </w:rPr>
            </w:pPr>
            <w:r>
              <w:rPr>
                <w:rFonts w:hint="eastAsia" w:ascii="宋体" w:hAnsi="宋体" w:cs="宋体"/>
                <w:color w:val="auto"/>
                <w:szCs w:val="21"/>
                <w:highlight w:val="none"/>
                <w:lang w:bidi="ar"/>
              </w:rPr>
              <w:t>(   )</w:t>
            </w:r>
          </w:p>
        </w:tc>
        <w:tc>
          <w:tcPr>
            <w:tcW w:w="796" w:type="dxa"/>
            <w:tcBorders>
              <w:top w:val="single" w:color="auto" w:sz="4" w:space="0"/>
              <w:left w:val="nil"/>
              <w:bottom w:val="single" w:color="auto" w:sz="4" w:space="0"/>
              <w:right w:val="single" w:color="auto" w:sz="4" w:space="0"/>
            </w:tcBorders>
            <w:shd w:val="clear" w:color="auto" w:fill="auto"/>
            <w:vAlign w:val="center"/>
          </w:tcPr>
          <w:p w14:paraId="5D1BA470">
            <w:pPr>
              <w:spacing w:before="40" w:after="40" w:line="300" w:lineRule="exact"/>
              <w:jc w:val="center"/>
              <w:rPr>
                <w:rFonts w:ascii="宋体" w:hAnsi="宋体" w:cs="宋体"/>
                <w:color w:val="auto"/>
                <w:szCs w:val="21"/>
                <w:highlight w:val="none"/>
              </w:rPr>
            </w:pPr>
          </w:p>
        </w:tc>
      </w:tr>
    </w:tbl>
    <w:p w14:paraId="6F517AA0">
      <w:pPr>
        <w:spacing w:line="360" w:lineRule="auto"/>
        <w:ind w:firstLine="3000" w:firstLineChars="1250"/>
        <w:rPr>
          <w:rFonts w:ascii="宋体" w:hAnsi="宋体" w:cs="宋体"/>
          <w:color w:val="auto"/>
          <w:sz w:val="24"/>
          <w:szCs w:val="20"/>
          <w:highlight w:val="none"/>
        </w:rPr>
      </w:pPr>
    </w:p>
    <w:p w14:paraId="4344757B">
      <w:pPr>
        <w:spacing w:line="360" w:lineRule="auto"/>
        <w:ind w:firstLine="2940" w:firstLineChars="1225"/>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14:paraId="1C8C6F92">
      <w:pPr>
        <w:spacing w:line="360" w:lineRule="auto"/>
        <w:ind w:firstLine="2940" w:firstLineChars="1225"/>
        <w:jc w:val="left"/>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14:paraId="2DA70C24">
      <w:pPr>
        <w:spacing w:line="360" w:lineRule="auto"/>
        <w:ind w:firstLine="2940" w:firstLineChars="1225"/>
        <w:jc w:val="left"/>
        <w:rPr>
          <w:color w:val="auto"/>
          <w:highlight w:val="none"/>
        </w:rPr>
      </w:pPr>
      <w:r>
        <w:rPr>
          <w:rFonts w:hint="eastAsia" w:ascii="宋体" w:hAnsi="宋体" w:cs="宋体"/>
          <w:color w:val="auto"/>
          <w:sz w:val="24"/>
          <w:szCs w:val="20"/>
          <w:highlight w:val="none"/>
        </w:rPr>
        <w:t>日  期：   年   月   日</w:t>
      </w:r>
    </w:p>
    <w:p w14:paraId="65178B65">
      <w:pPr>
        <w:spacing w:line="360" w:lineRule="auto"/>
        <w:jc w:val="center"/>
        <w:rPr>
          <w:b/>
          <w:color w:val="auto"/>
          <w:highlight w:val="none"/>
        </w:rPr>
      </w:pPr>
    </w:p>
    <w:p w14:paraId="515AB30A">
      <w:pPr>
        <w:rPr>
          <w:color w:val="auto"/>
          <w:kern w:val="0"/>
          <w:sz w:val="20"/>
          <w:szCs w:val="20"/>
          <w:highlight w:val="none"/>
        </w:rPr>
      </w:pPr>
      <w:r>
        <w:rPr>
          <w:color w:val="auto"/>
          <w:kern w:val="0"/>
          <w:sz w:val="20"/>
          <w:szCs w:val="20"/>
          <w:highlight w:val="none"/>
        </w:rPr>
        <w:br w:type="page"/>
      </w:r>
    </w:p>
    <w:p w14:paraId="11D11026">
      <w:pPr>
        <w:widowControl/>
        <w:topLinePunct/>
        <w:adjustRightInd w:val="0"/>
        <w:snapToGrid w:val="0"/>
        <w:spacing w:after="200"/>
        <w:jc w:val="left"/>
        <w:outlineLvl w:val="1"/>
        <w:rPr>
          <w:rFonts w:ascii="宋体" w:hAnsi="宋体"/>
          <w:b/>
          <w:color w:val="auto"/>
          <w:sz w:val="28"/>
          <w:highlight w:val="none"/>
        </w:rPr>
      </w:pPr>
      <w:bookmarkStart w:id="161" w:name="_Toc62056047"/>
      <w:bookmarkStart w:id="162" w:name="_Toc504722518"/>
      <w:bookmarkStart w:id="163" w:name="_Toc1507"/>
      <w:r>
        <w:rPr>
          <w:rFonts w:hint="eastAsia" w:ascii="宋体" w:hAnsi="宋体"/>
          <w:b/>
          <w:color w:val="auto"/>
          <w:sz w:val="28"/>
          <w:highlight w:val="none"/>
        </w:rPr>
        <w:t>二、经济标投标文件格式</w:t>
      </w:r>
      <w:bookmarkEnd w:id="161"/>
      <w:bookmarkEnd w:id="162"/>
      <w:bookmarkEnd w:id="163"/>
    </w:p>
    <w:p w14:paraId="5AAD0B13">
      <w:pPr>
        <w:widowControl/>
        <w:topLinePunct/>
        <w:adjustRightInd w:val="0"/>
        <w:snapToGrid w:val="0"/>
        <w:spacing w:after="200"/>
        <w:jc w:val="left"/>
        <w:outlineLvl w:val="2"/>
        <w:rPr>
          <w:rFonts w:ascii="宋体" w:hAnsi="宋体"/>
          <w:color w:val="auto"/>
          <w:spacing w:val="4"/>
          <w:kern w:val="0"/>
          <w:sz w:val="24"/>
          <w:szCs w:val="24"/>
          <w:highlight w:val="none"/>
        </w:rPr>
      </w:pPr>
      <w:bookmarkStart w:id="164" w:name="_Toc22912"/>
      <w:bookmarkStart w:id="165" w:name="_Toc62056048"/>
      <w:bookmarkStart w:id="166" w:name="_Toc4489953"/>
      <w:bookmarkStart w:id="167" w:name="_Toc504722519"/>
      <w:bookmarkStart w:id="168" w:name="_Toc29476922"/>
      <w:r>
        <w:rPr>
          <w:rFonts w:hint="eastAsia" w:ascii="宋体" w:hAnsi="宋体"/>
          <w:color w:val="auto"/>
          <w:spacing w:val="4"/>
          <w:kern w:val="0"/>
          <w:sz w:val="24"/>
          <w:szCs w:val="24"/>
          <w:highlight w:val="none"/>
        </w:rPr>
        <w:t>格式一：经济标封面</w:t>
      </w:r>
      <w:bookmarkEnd w:id="164"/>
      <w:bookmarkEnd w:id="165"/>
      <w:bookmarkEnd w:id="166"/>
      <w:bookmarkEnd w:id="167"/>
      <w:bookmarkEnd w:id="168"/>
    </w:p>
    <w:p w14:paraId="31872022">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AE08171">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0C7943CF">
      <w:pPr>
        <w:widowControl/>
        <w:topLinePunct/>
        <w:adjustRightInd w:val="0"/>
        <w:snapToGrid w:val="0"/>
        <w:spacing w:after="200"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14:paraId="28A9C1BA">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4087C80F">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F17A802">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29632A8">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E54EFDE">
      <w:pPr>
        <w:widowControl/>
        <w:topLinePunct/>
        <w:adjustRightInd w:val="0"/>
        <w:snapToGrid w:val="0"/>
        <w:spacing w:after="200"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14:paraId="513482D7">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第二册 （经济标书）</w:t>
      </w:r>
    </w:p>
    <w:p w14:paraId="1721BDBA">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266FCED4">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bookmarkStart w:id="169" w:name="_Toc239216052"/>
      <w:bookmarkStart w:id="170" w:name="_Toc226209025"/>
      <w:bookmarkStart w:id="171" w:name="_Toc318924517"/>
      <w:bookmarkStart w:id="172" w:name="_Toc337720111"/>
      <w:bookmarkStart w:id="173" w:name="_Toc239311767"/>
      <w:bookmarkStart w:id="174" w:name="_Toc163337643"/>
      <w:bookmarkStart w:id="175" w:name="_Toc352623441"/>
      <w:bookmarkStart w:id="176" w:name="_Toc449308436"/>
      <w:bookmarkStart w:id="177" w:name="_Toc464131240"/>
      <w:bookmarkStart w:id="178" w:name="_Toc369536788"/>
      <w:bookmarkStart w:id="179" w:name="_Toc484958710"/>
      <w:bookmarkStart w:id="180" w:name="_Toc358370596"/>
      <w:bookmarkStart w:id="181" w:name="_Toc395261116"/>
      <w:bookmarkStart w:id="182" w:name="_Toc352240543"/>
      <w:r>
        <w:rPr>
          <w:rFonts w:hint="eastAsia" w:ascii="宋体" w:hAnsi="宋体"/>
          <w:color w:val="auto"/>
          <w:spacing w:val="4"/>
          <w:kern w:val="0"/>
          <w:sz w:val="30"/>
          <w:szCs w:val="30"/>
          <w:highlight w:val="none"/>
          <w:u w:val="single"/>
        </w:rPr>
        <w:t xml:space="preserve">       （填写投标人单位</w:t>
      </w:r>
      <w:bookmarkEnd w:id="169"/>
      <w:bookmarkEnd w:id="170"/>
      <w:bookmarkEnd w:id="171"/>
      <w:bookmarkEnd w:id="172"/>
      <w:bookmarkEnd w:id="173"/>
      <w:bookmarkEnd w:id="174"/>
      <w:r>
        <w:rPr>
          <w:rFonts w:hint="eastAsia" w:ascii="宋体" w:hAnsi="宋体"/>
          <w:color w:val="auto"/>
          <w:spacing w:val="4"/>
          <w:kern w:val="0"/>
          <w:sz w:val="30"/>
          <w:szCs w:val="30"/>
          <w:highlight w:val="none"/>
          <w:u w:val="single"/>
        </w:rPr>
        <w:t xml:space="preserve">名称）  </w:t>
      </w:r>
      <w:bookmarkEnd w:id="175"/>
      <w:bookmarkEnd w:id="176"/>
      <w:bookmarkEnd w:id="177"/>
      <w:bookmarkEnd w:id="178"/>
      <w:bookmarkEnd w:id="179"/>
      <w:bookmarkEnd w:id="180"/>
      <w:bookmarkEnd w:id="181"/>
      <w:bookmarkEnd w:id="182"/>
      <w:r>
        <w:rPr>
          <w:rFonts w:hint="eastAsia" w:ascii="宋体" w:hAnsi="宋体"/>
          <w:color w:val="auto"/>
          <w:spacing w:val="4"/>
          <w:kern w:val="0"/>
          <w:sz w:val="30"/>
          <w:szCs w:val="30"/>
          <w:highlight w:val="none"/>
          <w:u w:val="single"/>
        </w:rPr>
        <w:t xml:space="preserve">     （盖章）</w:t>
      </w:r>
    </w:p>
    <w:p w14:paraId="3805DCA5">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p>
    <w:p w14:paraId="70414F94">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法定代表人或</w:t>
      </w:r>
    </w:p>
    <w:p w14:paraId="4ADE97F1">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其委托代理人：</w:t>
      </w:r>
      <w:r>
        <w:rPr>
          <w:rFonts w:hint="eastAsia" w:ascii="宋体" w:hAnsi="宋体"/>
          <w:color w:val="auto"/>
          <w:spacing w:val="4"/>
          <w:kern w:val="0"/>
          <w:sz w:val="30"/>
          <w:szCs w:val="30"/>
          <w:highlight w:val="none"/>
          <w:u w:val="single"/>
        </w:rPr>
        <w:t xml:space="preserve">                       （签字或盖章）</w:t>
      </w:r>
    </w:p>
    <w:p w14:paraId="41CB6AD9">
      <w:pPr>
        <w:widowControl/>
        <w:topLinePunct/>
        <w:adjustRightInd w:val="0"/>
        <w:snapToGrid w:val="0"/>
        <w:spacing w:after="200"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日  期：</w:t>
      </w:r>
      <w:r>
        <w:rPr>
          <w:rFonts w:hint="eastAsia" w:ascii="宋体" w:hAnsi="宋体"/>
          <w:color w:val="auto"/>
          <w:spacing w:val="4"/>
          <w:kern w:val="0"/>
          <w:sz w:val="30"/>
          <w:szCs w:val="30"/>
          <w:highlight w:val="none"/>
          <w:u w:val="single"/>
        </w:rPr>
        <w:t xml:space="preserve">                                        </w:t>
      </w:r>
      <w:r>
        <w:rPr>
          <w:rFonts w:ascii="宋体" w:hAnsi="宋体"/>
          <w:color w:val="auto"/>
          <w:spacing w:val="4"/>
          <w:kern w:val="0"/>
          <w:sz w:val="30"/>
          <w:szCs w:val="30"/>
          <w:highlight w:val="none"/>
        </w:rPr>
        <w:t xml:space="preserve"> </w:t>
      </w:r>
    </w:p>
    <w:p w14:paraId="79C50648">
      <w:pPr>
        <w:widowControl/>
        <w:topLinePunct/>
        <w:adjustRightInd w:val="0"/>
        <w:snapToGrid w:val="0"/>
        <w:spacing w:after="200"/>
        <w:jc w:val="left"/>
        <w:outlineLvl w:val="2"/>
        <w:rPr>
          <w:rFonts w:ascii="黑体" w:hAnsi="宋体" w:eastAsia="黑体"/>
          <w:b/>
          <w:color w:val="auto"/>
          <w:spacing w:val="4"/>
          <w:kern w:val="0"/>
          <w:sz w:val="24"/>
          <w:szCs w:val="24"/>
          <w:highlight w:val="none"/>
        </w:rPr>
      </w:pPr>
      <w:r>
        <w:rPr>
          <w:rFonts w:ascii="宋体" w:hAnsi="宋体"/>
          <w:color w:val="auto"/>
          <w:spacing w:val="4"/>
          <w:kern w:val="0"/>
          <w:sz w:val="24"/>
          <w:szCs w:val="24"/>
          <w:highlight w:val="none"/>
        </w:rPr>
        <w:br w:type="page"/>
      </w:r>
      <w:bookmarkStart w:id="183" w:name="_Toc29476923"/>
      <w:bookmarkStart w:id="184" w:name="_Toc62056049"/>
      <w:bookmarkStart w:id="185" w:name="_Toc4489954"/>
      <w:r>
        <w:rPr>
          <w:rFonts w:hint="eastAsia" w:ascii="宋体" w:hAnsi="宋体"/>
          <w:color w:val="auto"/>
          <w:spacing w:val="4"/>
          <w:kern w:val="0"/>
          <w:sz w:val="24"/>
          <w:szCs w:val="24"/>
          <w:highlight w:val="none"/>
        </w:rPr>
        <w:t>格式二</w:t>
      </w:r>
      <w:bookmarkStart w:id="186" w:name="_Toc29524"/>
      <w:bookmarkStart w:id="187" w:name="_Toc504722521"/>
      <w:r>
        <w:rPr>
          <w:rFonts w:hint="eastAsia" w:ascii="宋体" w:hAnsi="宋体"/>
          <w:color w:val="auto"/>
          <w:spacing w:val="4"/>
          <w:kern w:val="0"/>
          <w:sz w:val="24"/>
          <w:szCs w:val="24"/>
          <w:highlight w:val="none"/>
        </w:rPr>
        <w:t>：工程量清单计价表</w:t>
      </w:r>
      <w:bookmarkEnd w:id="183"/>
      <w:bookmarkEnd w:id="184"/>
      <w:bookmarkEnd w:id="185"/>
      <w:bookmarkEnd w:id="186"/>
      <w:bookmarkEnd w:id="187"/>
    </w:p>
    <w:p w14:paraId="2E63C0A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31982D98">
      <w:pPr>
        <w:widowControl/>
        <w:topLinePunct/>
        <w:adjustRightInd w:val="0"/>
        <w:snapToGrid w:val="0"/>
        <w:spacing w:after="200"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工程量清单计价表</w:t>
      </w:r>
    </w:p>
    <w:p w14:paraId="60C116A3">
      <w:pPr>
        <w:widowControl/>
        <w:topLinePunct/>
        <w:adjustRightInd w:val="0"/>
        <w:snapToGrid w:val="0"/>
        <w:spacing w:after="200" w:line="360" w:lineRule="auto"/>
        <w:ind w:firstLine="496" w:firstLineChars="200"/>
        <w:jc w:val="left"/>
        <w:rPr>
          <w:rFonts w:ascii="宋体" w:hAnsi="宋体"/>
          <w:color w:val="auto"/>
          <w:spacing w:val="4"/>
          <w:kern w:val="0"/>
          <w:sz w:val="24"/>
          <w:szCs w:val="24"/>
          <w:highlight w:val="none"/>
        </w:rPr>
      </w:pPr>
    </w:p>
    <w:p w14:paraId="61E28C0E">
      <w:pPr>
        <w:tabs>
          <w:tab w:val="left" w:pos="720"/>
        </w:tabs>
        <w:snapToGrid w:val="0"/>
        <w:spacing w:line="360" w:lineRule="auto"/>
        <w:jc w:val="center"/>
        <w:rPr>
          <w:rFonts w:ascii="宋体" w:hAnsi="宋体"/>
          <w:color w:val="auto"/>
          <w:highlight w:val="none"/>
        </w:rPr>
      </w:pPr>
      <w:r>
        <w:rPr>
          <w:rFonts w:hint="eastAsia" w:ascii="宋体" w:hAnsi="宋体"/>
          <w:color w:val="auto"/>
          <w:highlight w:val="none"/>
        </w:rPr>
        <w:t>本部分内容详见招标文件第七章工程量清单。</w:t>
      </w:r>
    </w:p>
    <w:p w14:paraId="4145FCFA">
      <w:pPr>
        <w:tabs>
          <w:tab w:val="left" w:pos="720"/>
        </w:tabs>
        <w:snapToGrid w:val="0"/>
        <w:spacing w:line="360" w:lineRule="auto"/>
        <w:outlineLvl w:val="2"/>
        <w:rPr>
          <w:rFonts w:ascii="宋体" w:hAnsi="宋体"/>
          <w:snapToGrid w:val="0"/>
          <w:color w:val="auto"/>
          <w:spacing w:val="4"/>
          <w:kern w:val="0"/>
          <w:sz w:val="24"/>
          <w:szCs w:val="24"/>
          <w:highlight w:val="none"/>
        </w:rPr>
      </w:pPr>
      <w:r>
        <w:rPr>
          <w:color w:val="auto"/>
          <w:highlight w:val="none"/>
        </w:rPr>
        <w:br w:type="page"/>
      </w:r>
      <w:bookmarkStart w:id="188" w:name="_Toc62056050"/>
      <w:r>
        <w:rPr>
          <w:rFonts w:hint="eastAsia" w:ascii="宋体" w:hAnsi="宋体"/>
          <w:snapToGrid w:val="0"/>
          <w:color w:val="auto"/>
          <w:spacing w:val="4"/>
          <w:kern w:val="0"/>
          <w:sz w:val="24"/>
          <w:szCs w:val="24"/>
          <w:highlight w:val="none"/>
        </w:rPr>
        <w:t>格式三：</w:t>
      </w:r>
      <w:r>
        <w:rPr>
          <w:rFonts w:hint="eastAsia"/>
          <w:color w:val="auto"/>
          <w:sz w:val="24"/>
          <w:szCs w:val="24"/>
          <w:highlight w:val="none"/>
        </w:rPr>
        <w:t>参与编制经济标投标文件人员名单</w:t>
      </w:r>
      <w:bookmarkEnd w:id="188"/>
    </w:p>
    <w:p w14:paraId="423CF9DB">
      <w:pPr>
        <w:spacing w:line="360" w:lineRule="auto"/>
        <w:jc w:val="center"/>
        <w:rPr>
          <w:rFonts w:hint="eastAsia" w:ascii="Times New Roman" w:hAnsi="Times New Roman" w:eastAsia="宋体" w:cs="Times New Roman"/>
          <w:b/>
          <w:color w:val="auto"/>
          <w:kern w:val="0"/>
          <w:sz w:val="32"/>
          <w:szCs w:val="32"/>
          <w:highlight w:val="none"/>
        </w:rPr>
      </w:pPr>
      <w:r>
        <w:rPr>
          <w:rFonts w:hint="eastAsia" w:ascii="Times New Roman" w:hAnsi="Times New Roman" w:eastAsia="宋体" w:cs="Times New Roman"/>
          <w:b/>
          <w:color w:val="auto"/>
          <w:kern w:val="0"/>
          <w:sz w:val="32"/>
          <w:szCs w:val="32"/>
          <w:highlight w:val="none"/>
        </w:rPr>
        <w:t>参与编制经济标投标文件人员名单</w:t>
      </w: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14:paraId="7AFC3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2" w:type="dxa"/>
            <w:gridSpan w:val="5"/>
            <w:tcBorders>
              <w:top w:val="single" w:color="auto" w:sz="4" w:space="0"/>
              <w:left w:val="single" w:color="auto" w:sz="4" w:space="0"/>
              <w:bottom w:val="single" w:color="auto" w:sz="4" w:space="0"/>
              <w:right w:val="single" w:color="auto" w:sz="4" w:space="0"/>
            </w:tcBorders>
            <w:vAlign w:val="center"/>
          </w:tcPr>
          <w:p w14:paraId="029632D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投标人名称</w:t>
            </w:r>
          </w:p>
        </w:tc>
      </w:tr>
      <w:tr w14:paraId="1A64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A8864A8">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14:paraId="3734740F">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14:paraId="22053411">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14:paraId="582A5FED">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14:paraId="576D485B">
            <w:pPr>
              <w:tabs>
                <w:tab w:val="left" w:pos="720"/>
              </w:tabs>
              <w:snapToGrid w:val="0"/>
              <w:spacing w:line="360" w:lineRule="auto"/>
              <w:jc w:val="center"/>
              <w:rPr>
                <w:rFonts w:ascii="宋体" w:hAnsi="宋体"/>
                <w:color w:val="auto"/>
                <w:szCs w:val="21"/>
                <w:highlight w:val="none"/>
              </w:rPr>
            </w:pPr>
            <w:r>
              <w:rPr>
                <w:rFonts w:hint="eastAsia" w:ascii="宋体" w:hAnsi="宋体"/>
                <w:color w:val="auto"/>
                <w:szCs w:val="21"/>
                <w:highlight w:val="none"/>
              </w:rPr>
              <w:t>本人签名栏</w:t>
            </w:r>
          </w:p>
        </w:tc>
      </w:tr>
      <w:tr w14:paraId="06E5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572A092">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AFFC58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6583DFAB">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7505B7A4">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7D83CB2">
            <w:pPr>
              <w:tabs>
                <w:tab w:val="left" w:pos="720"/>
              </w:tabs>
              <w:snapToGrid w:val="0"/>
              <w:spacing w:line="360" w:lineRule="auto"/>
              <w:jc w:val="center"/>
              <w:rPr>
                <w:rFonts w:ascii="宋体" w:hAnsi="宋体"/>
                <w:color w:val="auto"/>
                <w:szCs w:val="21"/>
                <w:highlight w:val="none"/>
              </w:rPr>
            </w:pPr>
          </w:p>
        </w:tc>
      </w:tr>
      <w:tr w14:paraId="31E0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321B5E7D">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519A9679">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FE84EED">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2F49C33F">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17D0B4EB">
            <w:pPr>
              <w:tabs>
                <w:tab w:val="left" w:pos="720"/>
              </w:tabs>
              <w:snapToGrid w:val="0"/>
              <w:spacing w:line="360" w:lineRule="auto"/>
              <w:jc w:val="center"/>
              <w:rPr>
                <w:rFonts w:ascii="宋体" w:hAnsi="宋体"/>
                <w:color w:val="auto"/>
                <w:szCs w:val="21"/>
                <w:highlight w:val="none"/>
              </w:rPr>
            </w:pPr>
          </w:p>
        </w:tc>
      </w:tr>
      <w:tr w14:paraId="1585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2625A7B">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1F21FCD">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90D2023">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81F4D53">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0A3D79E5">
            <w:pPr>
              <w:tabs>
                <w:tab w:val="left" w:pos="720"/>
              </w:tabs>
              <w:snapToGrid w:val="0"/>
              <w:spacing w:line="360" w:lineRule="auto"/>
              <w:jc w:val="center"/>
              <w:rPr>
                <w:rFonts w:ascii="宋体" w:hAnsi="宋体"/>
                <w:color w:val="auto"/>
                <w:szCs w:val="21"/>
                <w:highlight w:val="none"/>
              </w:rPr>
            </w:pPr>
          </w:p>
        </w:tc>
      </w:tr>
      <w:tr w14:paraId="3199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01393386">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4AD07B60">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2D20E9F3">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11AD5B3A">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7FACBAB">
            <w:pPr>
              <w:tabs>
                <w:tab w:val="left" w:pos="720"/>
              </w:tabs>
              <w:snapToGrid w:val="0"/>
              <w:spacing w:line="360" w:lineRule="auto"/>
              <w:jc w:val="center"/>
              <w:rPr>
                <w:rFonts w:ascii="宋体" w:hAnsi="宋体"/>
                <w:color w:val="auto"/>
                <w:szCs w:val="21"/>
                <w:highlight w:val="none"/>
              </w:rPr>
            </w:pPr>
          </w:p>
        </w:tc>
      </w:tr>
      <w:tr w14:paraId="1474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69EEDB1F">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29C0A24">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5238121B">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3936D79F">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CB8A6D9">
            <w:pPr>
              <w:tabs>
                <w:tab w:val="left" w:pos="720"/>
              </w:tabs>
              <w:snapToGrid w:val="0"/>
              <w:spacing w:line="360" w:lineRule="auto"/>
              <w:jc w:val="center"/>
              <w:rPr>
                <w:rFonts w:ascii="宋体" w:hAnsi="宋体"/>
                <w:color w:val="auto"/>
                <w:szCs w:val="21"/>
                <w:highlight w:val="none"/>
              </w:rPr>
            </w:pPr>
          </w:p>
        </w:tc>
      </w:tr>
      <w:tr w14:paraId="0AE7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4DC230A0">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6F40D3B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7A42B370">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F8322DD">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32D1A3F1">
            <w:pPr>
              <w:tabs>
                <w:tab w:val="left" w:pos="720"/>
              </w:tabs>
              <w:snapToGrid w:val="0"/>
              <w:spacing w:line="360" w:lineRule="auto"/>
              <w:jc w:val="center"/>
              <w:rPr>
                <w:rFonts w:ascii="宋体" w:hAnsi="宋体"/>
                <w:color w:val="auto"/>
                <w:szCs w:val="21"/>
                <w:highlight w:val="none"/>
              </w:rPr>
            </w:pPr>
          </w:p>
        </w:tc>
      </w:tr>
      <w:tr w14:paraId="2A12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26B5FEA3">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70D9997D">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004DA77C">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4FC47521">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28B66531">
            <w:pPr>
              <w:tabs>
                <w:tab w:val="left" w:pos="720"/>
              </w:tabs>
              <w:snapToGrid w:val="0"/>
              <w:spacing w:line="360" w:lineRule="auto"/>
              <w:jc w:val="center"/>
              <w:rPr>
                <w:rFonts w:ascii="宋体" w:hAnsi="宋体"/>
                <w:color w:val="auto"/>
                <w:szCs w:val="21"/>
                <w:highlight w:val="none"/>
              </w:rPr>
            </w:pPr>
          </w:p>
        </w:tc>
      </w:tr>
      <w:tr w14:paraId="35C4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tcBorders>
              <w:top w:val="single" w:color="auto" w:sz="4" w:space="0"/>
              <w:left w:val="single" w:color="auto" w:sz="4" w:space="0"/>
              <w:bottom w:val="single" w:color="auto" w:sz="4" w:space="0"/>
              <w:right w:val="single" w:color="auto" w:sz="4" w:space="0"/>
            </w:tcBorders>
            <w:vAlign w:val="center"/>
          </w:tcPr>
          <w:p w14:paraId="5B568AC8">
            <w:pPr>
              <w:tabs>
                <w:tab w:val="left" w:pos="720"/>
              </w:tabs>
              <w:snapToGrid w:val="0"/>
              <w:spacing w:line="360" w:lineRule="auto"/>
              <w:jc w:val="center"/>
              <w:rPr>
                <w:rFonts w:ascii="宋体" w:hAnsi="宋体"/>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14:paraId="2225BF8B">
            <w:pPr>
              <w:tabs>
                <w:tab w:val="left" w:pos="720"/>
              </w:tabs>
              <w:snapToGrid w:val="0"/>
              <w:spacing w:line="360" w:lineRule="auto"/>
              <w:jc w:val="center"/>
              <w:rPr>
                <w:rFonts w:ascii="宋体" w:hAnsi="宋体"/>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14:paraId="3ECC388C">
            <w:pPr>
              <w:tabs>
                <w:tab w:val="left" w:pos="720"/>
              </w:tabs>
              <w:snapToGrid w:val="0"/>
              <w:spacing w:line="360" w:lineRule="auto"/>
              <w:jc w:val="center"/>
              <w:rPr>
                <w:rFonts w:ascii="宋体" w:hAnsi="宋体"/>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14:paraId="5C0279C3">
            <w:pPr>
              <w:tabs>
                <w:tab w:val="left" w:pos="720"/>
              </w:tabs>
              <w:snapToGrid w:val="0"/>
              <w:spacing w:line="360" w:lineRule="auto"/>
              <w:jc w:val="center"/>
              <w:rPr>
                <w:rFonts w:ascii="宋体" w:hAnsi="宋体"/>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14:paraId="730AA113">
            <w:pPr>
              <w:tabs>
                <w:tab w:val="left" w:pos="720"/>
              </w:tabs>
              <w:snapToGrid w:val="0"/>
              <w:spacing w:line="360" w:lineRule="auto"/>
              <w:jc w:val="center"/>
              <w:rPr>
                <w:rFonts w:ascii="宋体" w:hAnsi="宋体"/>
                <w:color w:val="auto"/>
                <w:szCs w:val="21"/>
                <w:highlight w:val="none"/>
              </w:rPr>
            </w:pPr>
          </w:p>
        </w:tc>
      </w:tr>
    </w:tbl>
    <w:p w14:paraId="1F38981F">
      <w:pPr>
        <w:tabs>
          <w:tab w:val="left" w:pos="720"/>
        </w:tabs>
        <w:snapToGrid w:val="0"/>
        <w:spacing w:line="360" w:lineRule="auto"/>
        <w:rPr>
          <w:color w:val="auto"/>
          <w:sz w:val="24"/>
          <w:szCs w:val="24"/>
          <w:highlight w:val="none"/>
        </w:rPr>
      </w:pPr>
    </w:p>
    <w:p w14:paraId="05F42108">
      <w:pPr>
        <w:spacing w:line="360" w:lineRule="auto"/>
        <w:ind w:left="-2" w:leftChars="-1" w:firstLine="350" w:firstLineChars="175"/>
        <w:jc w:val="left"/>
        <w:rPr>
          <w:color w:val="auto"/>
          <w:kern w:val="0"/>
          <w:sz w:val="20"/>
          <w:szCs w:val="21"/>
          <w:highlight w:val="none"/>
        </w:rPr>
      </w:pPr>
      <w:r>
        <w:rPr>
          <w:rFonts w:hint="eastAsia"/>
          <w:color w:val="auto"/>
          <w:kern w:val="0"/>
          <w:sz w:val="20"/>
          <w:szCs w:val="21"/>
          <w:highlight w:val="none"/>
        </w:rPr>
        <w:t>注：参与编制经济标投标文件所有人员名单应包括编制各种专业工程量清单投标报价、负责清样校对、负责打印及复印等所有人员在内的人员名单。</w:t>
      </w:r>
    </w:p>
    <w:p w14:paraId="04BE229D">
      <w:pPr>
        <w:spacing w:line="360" w:lineRule="auto"/>
        <w:ind w:left="-2" w:leftChars="-1" w:firstLine="420" w:firstLineChars="175"/>
        <w:jc w:val="center"/>
        <w:rPr>
          <w:color w:val="auto"/>
          <w:kern w:val="0"/>
          <w:sz w:val="24"/>
          <w:szCs w:val="24"/>
          <w:highlight w:val="none"/>
        </w:rPr>
      </w:pPr>
    </w:p>
    <w:p w14:paraId="284245C0">
      <w:pPr>
        <w:autoSpaceDE w:val="0"/>
        <w:autoSpaceDN w:val="0"/>
        <w:adjustRightInd w:val="0"/>
        <w:outlineLvl w:val="2"/>
        <w:rPr>
          <w:color w:val="auto"/>
          <w:szCs w:val="21"/>
          <w:highlight w:val="none"/>
        </w:rPr>
      </w:pPr>
      <w:r>
        <w:rPr>
          <w:color w:val="auto"/>
          <w:szCs w:val="21"/>
          <w:highlight w:val="none"/>
        </w:rPr>
        <w:br w:type="page"/>
      </w:r>
      <w:bookmarkStart w:id="189" w:name="_Toc62056051"/>
      <w:r>
        <w:rPr>
          <w:rFonts w:hint="eastAsia" w:ascii="宋体" w:hAnsi="宋体"/>
          <w:snapToGrid w:val="0"/>
          <w:color w:val="auto"/>
          <w:spacing w:val="4"/>
          <w:kern w:val="0"/>
          <w:sz w:val="24"/>
          <w:szCs w:val="24"/>
          <w:highlight w:val="none"/>
        </w:rPr>
        <w:t>格式四：对投标文件编制的承诺</w:t>
      </w:r>
      <w:bookmarkEnd w:id="189"/>
    </w:p>
    <w:p w14:paraId="0A32AD94">
      <w:pPr>
        <w:spacing w:line="360" w:lineRule="auto"/>
        <w:jc w:val="center"/>
        <w:rPr>
          <w:color w:val="auto"/>
          <w:kern w:val="0"/>
          <w:sz w:val="32"/>
          <w:szCs w:val="32"/>
          <w:highlight w:val="none"/>
        </w:rPr>
      </w:pPr>
      <w:r>
        <w:rPr>
          <w:rFonts w:hint="eastAsia"/>
          <w:b/>
          <w:color w:val="auto"/>
          <w:kern w:val="0"/>
          <w:sz w:val="32"/>
          <w:szCs w:val="32"/>
          <w:highlight w:val="none"/>
        </w:rPr>
        <w:t>对投标文件编制的承诺</w:t>
      </w:r>
    </w:p>
    <w:p w14:paraId="1D1FCDA0">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本公司授权</w:t>
      </w:r>
      <w:r>
        <w:rPr>
          <w:rFonts w:hint="eastAsia" w:ascii="宋体" w:hAnsi="宋体"/>
          <w:color w:val="auto"/>
          <w:kern w:val="0"/>
          <w:sz w:val="24"/>
          <w:szCs w:val="24"/>
          <w:highlight w:val="none"/>
          <w:u w:val="single"/>
        </w:rPr>
        <w:t xml:space="preserve">         （身份证号：               ）</w:t>
      </w:r>
      <w:r>
        <w:rPr>
          <w:rFonts w:hint="eastAsia" w:ascii="宋体" w:hAnsi="宋体"/>
          <w:color w:val="auto"/>
          <w:kern w:val="0"/>
          <w:sz w:val="24"/>
          <w:szCs w:val="24"/>
          <w:highlight w:val="none"/>
        </w:rPr>
        <w:t>负责对投标文件的编制及内容进行解释、说明，并承诺以下事项：</w:t>
      </w:r>
    </w:p>
    <w:p w14:paraId="5D72BDE8">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1.被授权人清楚投标文件编制的具体情况，包括技术方案文件、工程量清单、以及投标文件的加密打包的理解；</w:t>
      </w:r>
    </w:p>
    <w:p w14:paraId="41EB856D">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2.在本项目开标至评标结束前，努力确保被授权人在项目评标所在地附近；</w:t>
      </w:r>
    </w:p>
    <w:p w14:paraId="7356F8ED">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3.从评标委员会要求澄清起二小时内，被授权人应如实地书面澄清。</w:t>
      </w:r>
    </w:p>
    <w:p w14:paraId="55E502CC">
      <w:pPr>
        <w:spacing w:line="360" w:lineRule="auto"/>
        <w:ind w:left="-2" w:leftChars="-1" w:firstLine="540" w:firstLineChars="225"/>
        <w:rPr>
          <w:rFonts w:ascii="宋体" w:hAnsi="宋体"/>
          <w:color w:val="auto"/>
          <w:kern w:val="0"/>
          <w:sz w:val="24"/>
          <w:szCs w:val="24"/>
          <w:highlight w:val="none"/>
        </w:rPr>
      </w:pPr>
      <w:r>
        <w:rPr>
          <w:rFonts w:hint="eastAsia" w:ascii="宋体" w:hAnsi="宋体"/>
          <w:color w:val="auto"/>
          <w:kern w:val="0"/>
          <w:sz w:val="24"/>
          <w:szCs w:val="24"/>
          <w:highlight w:val="none"/>
        </w:rPr>
        <w:t>如由于未遵守上述承诺内容之一导致无法进行澄清的，我公司认可和接受评标委员会作出的评审结论。</w:t>
      </w:r>
    </w:p>
    <w:p w14:paraId="5026647C">
      <w:pPr>
        <w:spacing w:line="360" w:lineRule="auto"/>
        <w:ind w:firstLine="360" w:firstLineChars="150"/>
        <w:rPr>
          <w:rFonts w:ascii="宋体" w:hAnsi="宋体"/>
          <w:color w:val="auto"/>
          <w:kern w:val="0"/>
          <w:sz w:val="24"/>
          <w:szCs w:val="24"/>
          <w:highlight w:val="none"/>
        </w:rPr>
      </w:pPr>
      <w:r>
        <w:rPr>
          <w:rFonts w:hint="eastAsia" w:ascii="宋体" w:hAnsi="宋体"/>
          <w:color w:val="auto"/>
          <w:kern w:val="0"/>
          <w:sz w:val="24"/>
          <w:szCs w:val="24"/>
          <w:highlight w:val="none"/>
        </w:rPr>
        <w:t xml:space="preserve"> </w:t>
      </w:r>
    </w:p>
    <w:p w14:paraId="3FC4C4A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附件：《投标文件编制情况》</w:t>
      </w:r>
    </w:p>
    <w:p w14:paraId="0C5464F8">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w:t>
      </w:r>
      <w:r>
        <w:rPr>
          <w:rFonts w:hint="eastAsia" w:ascii="宋体" w:hAnsi="宋体"/>
          <w:color w:val="auto"/>
          <w:sz w:val="24"/>
          <w:szCs w:val="24"/>
          <w:highlight w:val="none"/>
          <w:u w:val="single"/>
        </w:rPr>
        <w:t xml:space="preserve">                  </w:t>
      </w:r>
    </w:p>
    <w:p w14:paraId="46165344">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0650FC49">
      <w:pPr>
        <w:spacing w:line="360" w:lineRule="auto"/>
        <w:rPr>
          <w:b/>
          <w:color w:val="auto"/>
          <w:kern w:val="0"/>
          <w:sz w:val="32"/>
          <w:szCs w:val="32"/>
          <w:highlight w:val="none"/>
        </w:rPr>
      </w:pPr>
    </w:p>
    <w:p w14:paraId="246F7F99">
      <w:pPr>
        <w:spacing w:line="360" w:lineRule="auto"/>
        <w:ind w:firstLine="643" w:firstLineChars="200"/>
        <w:jc w:val="center"/>
        <w:rPr>
          <w:color w:val="auto"/>
          <w:kern w:val="0"/>
          <w:sz w:val="18"/>
          <w:szCs w:val="18"/>
          <w:highlight w:val="none"/>
        </w:rPr>
      </w:pPr>
      <w:r>
        <w:rPr>
          <w:rFonts w:hint="eastAsia"/>
          <w:b/>
          <w:color w:val="auto"/>
          <w:kern w:val="0"/>
          <w:sz w:val="32"/>
          <w:szCs w:val="32"/>
          <w:highlight w:val="none"/>
        </w:rPr>
        <w:t>投标文件编制情况</w:t>
      </w:r>
    </w:p>
    <w:p w14:paraId="5AB4F1FD">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rPr>
        <w:t>1.投标文件报价编制方式： □自行编制的，编制的负责人：</w:t>
      </w:r>
      <w:r>
        <w:rPr>
          <w:rFonts w:hint="eastAsia" w:ascii="宋体" w:hAnsi="宋体"/>
          <w:color w:val="auto"/>
          <w:kern w:val="0"/>
          <w:sz w:val="24"/>
          <w:szCs w:val="24"/>
          <w:highlight w:val="none"/>
          <w:u w:val="single"/>
        </w:rPr>
        <w:t xml:space="preserve"> （盖造价工程师执业专用章或全国建设工程造价员章，执业单位应与投标人一致） </w:t>
      </w:r>
      <w:r>
        <w:rPr>
          <w:rFonts w:hint="eastAsia" w:ascii="宋体" w:hAnsi="宋体"/>
          <w:color w:val="auto"/>
          <w:kern w:val="0"/>
          <w:sz w:val="24"/>
          <w:szCs w:val="24"/>
          <w:highlight w:val="none"/>
        </w:rPr>
        <w:t>。□委托编制的，受委托单位</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，编制的负责人：</w:t>
      </w:r>
      <w:r>
        <w:rPr>
          <w:rFonts w:hint="eastAsia" w:ascii="宋体" w:hAnsi="宋体"/>
          <w:color w:val="auto"/>
          <w:kern w:val="0"/>
          <w:sz w:val="24"/>
          <w:szCs w:val="24"/>
          <w:highlight w:val="none"/>
          <w:u w:val="single"/>
        </w:rPr>
        <w:t xml:space="preserve"> （盖造价工程师执业专用章或全国建设工程造价员章，执业单位应与受委托单位一致） </w:t>
      </w:r>
      <w:r>
        <w:rPr>
          <w:rFonts w:hint="eastAsia" w:ascii="宋体" w:hAnsi="宋体"/>
          <w:color w:val="auto"/>
          <w:kern w:val="0"/>
          <w:sz w:val="24"/>
          <w:szCs w:val="24"/>
          <w:highlight w:val="none"/>
        </w:rPr>
        <w:t>。</w:t>
      </w:r>
    </w:p>
    <w:p w14:paraId="2BD6D02B">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2.投标文件加密打包的电脑情况</w:t>
      </w:r>
    </w:p>
    <w:tbl>
      <w:tblPr>
        <w:tblStyle w:val="25"/>
        <w:tblW w:w="8522" w:type="dxa"/>
        <w:tblInd w:w="0" w:type="dxa"/>
        <w:tblLayout w:type="fixed"/>
        <w:tblCellMar>
          <w:top w:w="0" w:type="dxa"/>
          <w:left w:w="108" w:type="dxa"/>
          <w:bottom w:w="0" w:type="dxa"/>
          <w:right w:w="108" w:type="dxa"/>
        </w:tblCellMar>
      </w:tblPr>
      <w:tblGrid>
        <w:gridCol w:w="8522"/>
      </w:tblGrid>
      <w:tr w14:paraId="4A3C462F">
        <w:tblPrEx>
          <w:tblCellMar>
            <w:top w:w="0" w:type="dxa"/>
            <w:left w:w="108" w:type="dxa"/>
            <w:bottom w:w="0" w:type="dxa"/>
            <w:right w:w="108" w:type="dxa"/>
          </w:tblCellMar>
        </w:tblPrEx>
        <w:trPr>
          <w:trHeight w:val="2819" w:hRule="atLeast"/>
        </w:trPr>
        <w:tc>
          <w:tcPr>
            <w:tcW w:w="8522" w:type="dxa"/>
          </w:tcPr>
          <w:p w14:paraId="7D8CBB36">
            <w:pPr>
              <w:spacing w:line="360" w:lineRule="auto"/>
              <w:rPr>
                <w:rFonts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7E946078">
            <w:pPr>
              <w:spacing w:line="360" w:lineRule="auto"/>
              <w:rPr>
                <w:rFonts w:ascii="宋体" w:hAnsi="宋体"/>
                <w:color w:val="auto"/>
                <w:sz w:val="24"/>
                <w:szCs w:val="24"/>
                <w:highlight w:val="none"/>
              </w:rPr>
            </w:pPr>
            <w:r>
              <w:rPr>
                <w:rFonts w:hint="eastAsia" w:ascii="宋体" w:hAnsi="宋体"/>
                <w:color w:val="auto"/>
                <w:sz w:val="24"/>
                <w:szCs w:val="24"/>
                <w:highlight w:val="none"/>
              </w:rPr>
              <w:t>电脑类型</w:t>
            </w:r>
          </w:p>
          <w:p w14:paraId="75E64846">
            <w:pPr>
              <w:spacing w:line="360" w:lineRule="auto"/>
              <w:rPr>
                <w:rFonts w:ascii="宋体" w:hAnsi="宋体"/>
                <w:color w:val="auto"/>
                <w:sz w:val="24"/>
                <w:szCs w:val="24"/>
                <w:highlight w:val="none"/>
              </w:rPr>
            </w:pPr>
            <w:r>
              <w:rPr>
                <w:rFonts w:hint="eastAsia" w:ascii="宋体" w:hAnsi="宋体"/>
                <w:color w:val="auto"/>
                <w:sz w:val="24"/>
                <w:szCs w:val="24"/>
                <w:highlight w:val="none"/>
              </w:rPr>
              <w:t>电脑所属单位</w:t>
            </w:r>
          </w:p>
          <w:p w14:paraId="3178249E">
            <w:pPr>
              <w:spacing w:line="360" w:lineRule="auto"/>
              <w:rPr>
                <w:rFonts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47637AB1">
      <w:pPr>
        <w:tabs>
          <w:tab w:val="left" w:pos="720"/>
        </w:tabs>
        <w:snapToGrid w:val="0"/>
        <w:spacing w:line="360" w:lineRule="auto"/>
        <w:jc w:val="center"/>
        <w:outlineLvl w:val="0"/>
        <w:rPr>
          <w:rFonts w:ascii="Arial" w:hAnsi="Arial"/>
          <w:b/>
          <w:color w:val="auto"/>
          <w:kern w:val="44"/>
          <w:sz w:val="32"/>
          <w:szCs w:val="36"/>
          <w:highlight w:val="none"/>
        </w:rPr>
      </w:pPr>
      <w:bookmarkStart w:id="190" w:name="_Toc2272568"/>
      <w:r>
        <w:rPr>
          <w:rFonts w:hint="eastAsia" w:ascii="Arial" w:hAnsi="Arial"/>
          <w:b/>
          <w:color w:val="auto"/>
          <w:kern w:val="44"/>
          <w:sz w:val="32"/>
          <w:szCs w:val="36"/>
          <w:highlight w:val="none"/>
        </w:rPr>
        <w:br w:type="page"/>
      </w:r>
      <w:bookmarkStart w:id="191" w:name="_Toc62056052"/>
      <w:r>
        <w:rPr>
          <w:rFonts w:hint="eastAsia" w:ascii="Arial" w:hAnsi="Arial"/>
          <w:b/>
          <w:color w:val="auto"/>
          <w:kern w:val="44"/>
          <w:sz w:val="32"/>
          <w:szCs w:val="36"/>
          <w:highlight w:val="none"/>
        </w:rPr>
        <w:t>第五章  技术条件（工程建设标准）</w:t>
      </w:r>
      <w:bookmarkEnd w:id="190"/>
      <w:bookmarkEnd w:id="191"/>
    </w:p>
    <w:p w14:paraId="2A17DDEE">
      <w:pPr>
        <w:widowControl/>
        <w:spacing w:line="360" w:lineRule="auto"/>
        <w:ind w:right="-197" w:rightChars="-94"/>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（一）项目概述说明</w:t>
      </w:r>
    </w:p>
    <w:p w14:paraId="4C4A16C5">
      <w:pPr>
        <w:spacing w:line="360" w:lineRule="auto"/>
        <w:ind w:left="141" w:leftChars="67"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广东省野生动物监测救护中心</w:t>
      </w:r>
      <w:r>
        <w:rPr>
          <w:rFonts w:hint="eastAsia" w:ascii="宋体" w:hAnsi="宋体" w:cs="宋体"/>
          <w:color w:val="auto"/>
          <w:sz w:val="24"/>
          <w:szCs w:val="24"/>
          <w:highlight w:val="none"/>
        </w:rPr>
        <w:t>（以下简称为“招标人”）通过公开招标方式为本项目选定1家施工单位，按照国家有关规定、规范、设计说明、施工说明及做法等进行施工、验收，承包单位必须按较高标准执行装修施工，满足各审计分中心集中办公需求。</w:t>
      </w:r>
    </w:p>
    <w:p w14:paraId="4B64179A">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1、工程名称：</w:t>
      </w:r>
      <w:r>
        <w:rPr>
          <w:rFonts w:hint="eastAsia" w:ascii="宋体" w:hAnsi="宋体" w:cs="宋体"/>
          <w:color w:val="auto"/>
          <w:sz w:val="24"/>
          <w:szCs w:val="24"/>
          <w:highlight w:val="none"/>
          <w:lang w:eastAsia="zh-CN"/>
        </w:rPr>
        <w:t>国家林业和草原局穿山甲保护研究中心项目施工总承包</w:t>
      </w:r>
      <w:r>
        <w:rPr>
          <w:rFonts w:hint="eastAsia" w:ascii="宋体" w:hAnsi="宋体" w:cs="宋体"/>
          <w:color w:val="auto"/>
          <w:sz w:val="24"/>
          <w:szCs w:val="24"/>
          <w:highlight w:val="none"/>
        </w:rPr>
        <w:t>。</w:t>
      </w:r>
    </w:p>
    <w:p w14:paraId="26185765">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2、建设单位：</w:t>
      </w:r>
      <w:r>
        <w:rPr>
          <w:rFonts w:hint="eastAsia" w:ascii="宋体" w:hAnsi="宋体" w:cs="宋体"/>
          <w:color w:val="auto"/>
          <w:sz w:val="24"/>
          <w:szCs w:val="24"/>
          <w:highlight w:val="none"/>
          <w:lang w:eastAsia="zh-CN"/>
        </w:rPr>
        <w:t>广东省野生动物监测救护中心</w:t>
      </w:r>
      <w:r>
        <w:rPr>
          <w:rFonts w:hint="eastAsia" w:ascii="宋体" w:hAnsi="宋体" w:cs="宋体"/>
          <w:color w:val="auto"/>
          <w:sz w:val="24"/>
          <w:szCs w:val="24"/>
          <w:highlight w:val="none"/>
        </w:rPr>
        <w:t>。</w:t>
      </w:r>
    </w:p>
    <w:p w14:paraId="563886F8">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3、工程地点：</w:t>
      </w:r>
      <w:r>
        <w:rPr>
          <w:rFonts w:hint="eastAsia" w:ascii="宋体" w:hAnsi="宋体" w:cs="宋体"/>
          <w:color w:val="auto"/>
          <w:sz w:val="24"/>
          <w:szCs w:val="24"/>
          <w:highlight w:val="none"/>
          <w:lang w:eastAsia="zh-CN"/>
        </w:rPr>
        <w:t>广州市天河区凤凰街道渔沙坦村</w:t>
      </w:r>
      <w:r>
        <w:rPr>
          <w:rFonts w:hint="eastAsia" w:ascii="宋体" w:hAnsi="宋体" w:cs="宋体"/>
          <w:color w:val="auto"/>
          <w:sz w:val="24"/>
          <w:szCs w:val="24"/>
          <w:highlight w:val="none"/>
        </w:rPr>
        <w:t>。</w:t>
      </w:r>
    </w:p>
    <w:p w14:paraId="2A071B6C">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4、工程规模：具体数据以施工招标图纸为准。</w:t>
      </w:r>
    </w:p>
    <w:p w14:paraId="11B17D37">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5、最高限价：179,860,741.79元。</w:t>
      </w:r>
    </w:p>
    <w:p w14:paraId="19B7810E">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6、施工工期：自监理单位颁发《开工令》之日起90天（日历日）完成全部施工内容，达到竣工验收标准，</w:t>
      </w:r>
      <w:r>
        <w:rPr>
          <w:rFonts w:hint="eastAsia" w:ascii="宋体" w:hAnsi="宋体" w:cs="宋体"/>
          <w:color w:val="auto"/>
          <w:spacing w:val="4"/>
          <w:kern w:val="0"/>
          <w:sz w:val="24"/>
          <w:szCs w:val="24"/>
          <w:highlight w:val="none"/>
        </w:rPr>
        <w:t>具体开工日期以总监理工程师发出的开工令为准。</w:t>
      </w:r>
      <w:r>
        <w:rPr>
          <w:rFonts w:hint="eastAsia" w:ascii="宋体" w:hAnsi="宋体" w:cs="宋体"/>
          <w:color w:val="auto"/>
          <w:sz w:val="24"/>
          <w:szCs w:val="24"/>
          <w:highlight w:val="none"/>
        </w:rPr>
        <w:t xml:space="preserve"> </w:t>
      </w:r>
    </w:p>
    <w:p w14:paraId="20FD0D89">
      <w:pPr>
        <w:pStyle w:val="7"/>
        <w:spacing w:line="360" w:lineRule="auto"/>
        <w:rPr>
          <w:rFonts w:ascii="宋体" w:hAnsi="宋体" w:cs="宋体"/>
          <w:color w:val="auto"/>
          <w:spacing w:val="4"/>
          <w:sz w:val="24"/>
          <w:szCs w:val="24"/>
          <w:highlight w:val="none"/>
        </w:rPr>
      </w:pPr>
      <w:r>
        <w:rPr>
          <w:rFonts w:hint="eastAsia" w:ascii="宋体" w:hAnsi="宋体" w:cs="宋体"/>
          <w:color w:val="auto"/>
          <w:sz w:val="24"/>
          <w:szCs w:val="24"/>
          <w:highlight w:val="none"/>
        </w:rPr>
        <w:t>7、质量目标：</w:t>
      </w:r>
      <w:r>
        <w:rPr>
          <w:rFonts w:hint="eastAsia" w:ascii="宋体" w:hAnsi="宋体" w:cs="宋体"/>
          <w:color w:val="auto"/>
          <w:spacing w:val="4"/>
          <w:sz w:val="24"/>
          <w:szCs w:val="24"/>
          <w:highlight w:val="none"/>
        </w:rPr>
        <w:t>一次性竣工验收合格。</w:t>
      </w:r>
    </w:p>
    <w:p w14:paraId="0830FFBF">
      <w:pPr>
        <w:pStyle w:val="7"/>
        <w:spacing w:line="360" w:lineRule="auto"/>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8、职业健康安全管理目标：事故隐患排查治理覆盖率100%，一般事故隐患整改率100%，重大事故隐患挂牌督办率100%、整改率100%；安全生产非法违法行为举报投诉查办率达到100%。杜绝发生一般等级以上的伤亡事故且工伤责任事故死亡人数为零。确保责任事故死亡率为零，工程无重大安全事故，工伤频率控制在广州市建筑施工安全管理法规规定的指标要求范围内。国家、地方及行业相关规范规定合格标准不一致的，以较高标准为准。</w:t>
      </w:r>
    </w:p>
    <w:p w14:paraId="7734DE7C">
      <w:pPr>
        <w:spacing w:line="360" w:lineRule="auto"/>
        <w:ind w:right="-197" w:rightChars="-9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环境管理目标：严格执行广州市建设委员会制定的《广州市建设工程现场文明施工管理办法》（广州市人民政府令第62号）、广州市建设委员会制定的《关于进一步规范建设工程施工现场围蔽的通知》（穗建质〔2014〕859号）、《广州市城乡建设委员会关于印发广州市加强建筑工地环保管理工作方案的通知》（穗建质〔2014〕754号）、《广州市提升建设工程安全文明施工管理水平的工作指引》（穗建质〔2017〕815号）；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承包人为在缺陷责任期内履行其义务而需要的材料、设备和临时设施，其费用已包含在承包人的投标报价中，不另行计量支付。</w:t>
      </w:r>
    </w:p>
    <w:p w14:paraId="3EAD62E2">
      <w:pPr>
        <w:pStyle w:val="16"/>
        <w:widowControl/>
        <w:numPr>
          <w:ilvl w:val="255"/>
          <w:numId w:val="0"/>
        </w:numPr>
        <w:spacing w:line="360" w:lineRule="auto"/>
        <w:ind w:firstLine="480" w:firstLineChars="200"/>
        <w:rPr>
          <w:rFonts w:ascii="宋体" w:hAnsi="宋体" w:cs="宋体"/>
          <w:color w:val="auto"/>
          <w:sz w:val="24"/>
          <w:szCs w:val="24"/>
          <w:highlight w:val="none"/>
        </w:rPr>
      </w:pPr>
    </w:p>
    <w:p w14:paraId="358514C8">
      <w:pPr>
        <w:pStyle w:val="16"/>
        <w:widowControl/>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（二）人员配置要求</w:t>
      </w:r>
    </w:p>
    <w:p w14:paraId="64262604">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1、要求施工单位进场即成立相应项目组负责工程现场施工及管理工作，成立专职的团队负责履行施工总承包配合服务工作。项目人员配备要求严格按照投标文件和施工合同执行</w:t>
      </w:r>
      <w:r>
        <w:rPr>
          <w:rFonts w:hint="eastAsia" w:ascii="宋体" w:hAnsi="宋体" w:cs="宋体"/>
          <w:color w:val="auto"/>
          <w:spacing w:val="4"/>
          <w:sz w:val="24"/>
          <w:szCs w:val="24"/>
          <w:highlight w:val="none"/>
        </w:rPr>
        <w:t>。工程实施过程中，发包人不要求更换时不得更换。因特殊情况需要更换的，中标单位应按合同约定完善更换手续，并保证更换人员的资质、资历、业绩、实际工作能力不低于前任人员的素质，同时提供更换人员的社保证明。承包人投入的施工作业人员必须具备相应的上岗证，如特种人员，还须具备特种人员作业证书，以确保施工质量。所有人员必须带证上岗，随时接受发包人、监理人检查，否则按合同约定承担违约责任。</w:t>
      </w:r>
    </w:p>
    <w:p w14:paraId="65D7A161">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2、承包人投标时所报项目负责人即为本工程的承包人代表。如需更换承包人代表，应具备下列条件：</w:t>
      </w:r>
    </w:p>
    <w:p w14:paraId="7CA2CCCF">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（1）新更换的承包人代表具有的专业（执业）资格等级、资历、业绩、实际工作能力必须高于或相当于投标时所报项目负责人的素质；</w:t>
      </w:r>
    </w:p>
    <w:p w14:paraId="499C7859">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（2）不能同时在其他工程项目中服务；如其同时在其他工程项目中服务，发包人有权要求更换承包人代表。</w:t>
      </w:r>
    </w:p>
    <w:p w14:paraId="39D5909B">
      <w:pPr>
        <w:pStyle w:val="16"/>
        <w:widowControl/>
        <w:numPr>
          <w:ilvl w:val="255"/>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（3）至少提前7天以书面形式通知发包人，并征得发包人书面同意。</w:t>
      </w:r>
    </w:p>
    <w:p w14:paraId="1ECE62B9">
      <w:pPr>
        <w:pStyle w:val="16"/>
        <w:widowControl/>
        <w:numPr>
          <w:ilvl w:val="255"/>
          <w:numId w:val="0"/>
        </w:num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（4）承包人应保证承包人代表人选的稳定，未经发包人同意，不得擅自更换。</w:t>
      </w:r>
    </w:p>
    <w:p w14:paraId="12110EFF">
      <w:pPr>
        <w:pStyle w:val="16"/>
        <w:widowControl/>
        <w:numPr>
          <w:ilvl w:val="255"/>
          <w:numId w:val="0"/>
        </w:numPr>
        <w:spacing w:line="360" w:lineRule="auto"/>
        <w:ind w:firstLine="480" w:firstLineChars="200"/>
        <w:rPr>
          <w:rFonts w:hint="eastAsia" w:ascii="宋体" w:hAnsi="宋体" w:cs="宋体"/>
          <w:color w:val="auto"/>
          <w:sz w:val="24"/>
          <w:szCs w:val="24"/>
          <w:highlight w:val="none"/>
        </w:rPr>
      </w:pPr>
    </w:p>
    <w:p w14:paraId="76BADDBF">
      <w:pPr>
        <w:pStyle w:val="7"/>
        <w:spacing w:line="360" w:lineRule="auto"/>
        <w:ind w:firstLine="0"/>
        <w:rPr>
          <w:rFonts w:hint="eastAsia"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lang w:val="en-US" w:eastAsia="zh-CN"/>
        </w:rPr>
        <w:t>（三）进度管理要求</w:t>
      </w:r>
    </w:p>
    <w:p w14:paraId="760EC2A2">
      <w:pPr>
        <w:pStyle w:val="16"/>
        <w:widowControl/>
        <w:numPr>
          <w:ilvl w:val="255"/>
          <w:numId w:val="0"/>
        </w:num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工期较紧，需按照工期完成施工，严格按照监理单位审核的施工计划严格施工。中标单位确定后，应立即做好施工进场准备。针对工期进行周密部署；排充足的人工、机械设备、材料，合理的周转资金。充分利用项目场地的空间开展相关工作。在发包人通知开工时，立即进场施工。施工开工前三天进行现场交验。承包人按照发包人通知的时间进场，开工前完成图纸会审和设计交底。承包人在不影响整体施工进度前提下完成以上手续办理。本项目工期按日历天计算，即已考虑节假日及夜间施工的情况，请承包人自行考虑节假日及夜间加班所产生的相关费用并综合报价，上述费用已含在合同总价中，后续不再调整。</w:t>
      </w:r>
    </w:p>
    <w:p w14:paraId="59AECFC9">
      <w:pPr>
        <w:pStyle w:val="16"/>
        <w:widowControl/>
        <w:numPr>
          <w:ilvl w:val="255"/>
          <w:numId w:val="0"/>
        </w:numPr>
        <w:spacing w:line="360" w:lineRule="auto"/>
        <w:rPr>
          <w:rFonts w:hint="eastAsia" w:ascii="宋体" w:hAnsi="宋体" w:cs="宋体"/>
          <w:color w:val="auto"/>
          <w:sz w:val="24"/>
          <w:szCs w:val="24"/>
          <w:highlight w:val="none"/>
          <w:lang w:val="en-US" w:eastAsia="zh-CN"/>
        </w:rPr>
      </w:pPr>
    </w:p>
    <w:p w14:paraId="753B8CE2">
      <w:pPr>
        <w:pStyle w:val="16"/>
        <w:widowControl/>
        <w:numPr>
          <w:ilvl w:val="255"/>
          <w:numId w:val="0"/>
        </w:numPr>
        <w:spacing w:line="360" w:lineRule="auto"/>
        <w:rPr>
          <w:rFonts w:ascii="宋体" w:hAnsi="宋体" w:cs="宋体"/>
          <w:color w:val="auto"/>
          <w:sz w:val="24"/>
          <w:szCs w:val="24"/>
          <w:highlight w:val="none"/>
        </w:rPr>
      </w:pP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cs="宋体"/>
          <w:b/>
          <w:bCs/>
          <w:color w:val="auto"/>
          <w:sz w:val="24"/>
          <w:szCs w:val="24"/>
          <w:highlight w:val="none"/>
        </w:rPr>
        <w:t>）</w:t>
      </w:r>
      <w:r>
        <w:rPr>
          <w:rFonts w:hint="eastAsia" w:ascii="宋体" w:hAnsi="宋体" w:cs="宋体"/>
          <w:b/>
          <w:bCs/>
          <w:color w:val="auto"/>
          <w:spacing w:val="4"/>
          <w:sz w:val="24"/>
          <w:szCs w:val="24"/>
          <w:highlight w:val="none"/>
        </w:rPr>
        <w:t>材料管理要求</w:t>
      </w:r>
    </w:p>
    <w:p w14:paraId="4E93E480">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所有的材料设备均严格按照相关技术规范、招标文件要求选用，并保证材料设备参数的真实性、有效性，如发生材料设备货不对版、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材料到货后要先检验合格后报发包人、监理抽查合格后方可使用，不合格的材料必须无条件退场。同时承包人应承担由此产生的有关违约责任和其他法律责任。承包人需在《主要材料设备品牌选用表》中选用材料及设备，否则承包人中标后，发包人有权要求承包人按发包人的要求采购，并保留调整其材料价格的权利。</w:t>
      </w:r>
    </w:p>
    <w:p w14:paraId="5B4D4302">
      <w:pPr>
        <w:spacing w:line="360" w:lineRule="auto"/>
        <w:ind w:right="-197" w:rightChars="-94" w:firstLine="482" w:firstLineChars="200"/>
        <w:rPr>
          <w:color w:val="auto"/>
          <w:highlight w:val="none"/>
        </w:rPr>
      </w:pPr>
      <w:r>
        <w:rPr>
          <w:rFonts w:hint="eastAsia" w:ascii="宋体" w:hAnsi="宋体" w:cs="宋体"/>
          <w:b/>
          <w:bCs/>
          <w:color w:val="auto"/>
          <w:sz w:val="24"/>
          <w:szCs w:val="24"/>
          <w:highlight w:val="none"/>
        </w:rPr>
        <w:t>主要材料及设备品牌推荐表（推荐或相当于）</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2221"/>
        <w:gridCol w:w="2815"/>
        <w:gridCol w:w="840"/>
        <w:gridCol w:w="1979"/>
      </w:tblGrid>
      <w:tr w14:paraId="19D1E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F8FE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305" w:type="pct"/>
            <w:tcBorders>
              <w:tl2br w:val="nil"/>
              <w:tr2bl w:val="nil"/>
            </w:tcBorders>
            <w:noWrap w:val="0"/>
            <w:vAlign w:val="center"/>
          </w:tcPr>
          <w:p w14:paraId="298FFB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材料设备名称</w:t>
            </w:r>
          </w:p>
        </w:tc>
        <w:tc>
          <w:tcPr>
            <w:tcW w:w="1653" w:type="pct"/>
            <w:tcBorders>
              <w:tl2br w:val="nil"/>
              <w:tr2bl w:val="nil"/>
            </w:tcBorders>
            <w:noWrap w:val="0"/>
            <w:vAlign w:val="center"/>
          </w:tcPr>
          <w:p w14:paraId="4B315D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生产厂家/品牌（或相当于）</w:t>
            </w:r>
          </w:p>
        </w:tc>
        <w:tc>
          <w:tcPr>
            <w:tcW w:w="493" w:type="pct"/>
            <w:tcBorders>
              <w:tl2br w:val="nil"/>
              <w:tr2bl w:val="nil"/>
            </w:tcBorders>
            <w:noWrap w:val="0"/>
            <w:vAlign w:val="center"/>
          </w:tcPr>
          <w:p w14:paraId="06FDFC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档次</w:t>
            </w:r>
          </w:p>
        </w:tc>
        <w:tc>
          <w:tcPr>
            <w:tcW w:w="1160" w:type="pct"/>
            <w:tcBorders>
              <w:tl2br w:val="nil"/>
              <w:tr2bl w:val="nil"/>
            </w:tcBorders>
            <w:noWrap/>
            <w:vAlign w:val="center"/>
          </w:tcPr>
          <w:p w14:paraId="47176E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1778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6457E5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4613" w:type="pct"/>
            <w:gridSpan w:val="4"/>
            <w:tcBorders>
              <w:tl2br w:val="nil"/>
              <w:tr2bl w:val="nil"/>
            </w:tcBorders>
            <w:noWrap w:val="0"/>
            <w:vAlign w:val="center"/>
          </w:tcPr>
          <w:p w14:paraId="58583C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土建工程</w:t>
            </w:r>
          </w:p>
        </w:tc>
      </w:tr>
      <w:tr w14:paraId="14214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33CC6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0B77D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水泥</w:t>
            </w:r>
          </w:p>
        </w:tc>
        <w:tc>
          <w:tcPr>
            <w:tcW w:w="1653" w:type="pct"/>
            <w:tcBorders>
              <w:tl2br w:val="nil"/>
              <w:tr2bl w:val="nil"/>
            </w:tcBorders>
            <w:noWrap w:val="0"/>
            <w:vAlign w:val="center"/>
          </w:tcPr>
          <w:p w14:paraId="161A8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金羊、南方、华润</w:t>
            </w:r>
          </w:p>
        </w:tc>
        <w:tc>
          <w:tcPr>
            <w:tcW w:w="493" w:type="pct"/>
            <w:tcBorders>
              <w:tl2br w:val="nil"/>
              <w:tr2bl w:val="nil"/>
            </w:tcBorders>
            <w:noWrap w:val="0"/>
            <w:vAlign w:val="center"/>
          </w:tcPr>
          <w:p w14:paraId="0841B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1160" w:type="pct"/>
            <w:tcBorders>
              <w:tl2br w:val="nil"/>
              <w:tr2bl w:val="nil"/>
            </w:tcBorders>
            <w:noWrap/>
            <w:vAlign w:val="center"/>
          </w:tcPr>
          <w:p w14:paraId="487CD559">
            <w:pPr>
              <w:jc w:val="center"/>
              <w:rPr>
                <w:rFonts w:hint="eastAsia" w:ascii="宋体" w:hAnsi="宋体" w:eastAsia="宋体" w:cs="宋体"/>
                <w:i w:val="0"/>
                <w:iCs w:val="0"/>
                <w:color w:val="000000"/>
                <w:sz w:val="22"/>
                <w:szCs w:val="22"/>
                <w:u w:val="none"/>
              </w:rPr>
            </w:pPr>
          </w:p>
        </w:tc>
      </w:tr>
      <w:tr w14:paraId="0CC99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5959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pct"/>
            <w:tcBorders>
              <w:tl2br w:val="nil"/>
              <w:tr2bl w:val="nil"/>
            </w:tcBorders>
            <w:noWrap w:val="0"/>
            <w:vAlign w:val="center"/>
          </w:tcPr>
          <w:p w14:paraId="6685E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防水卷材</w:t>
            </w:r>
          </w:p>
        </w:tc>
        <w:tc>
          <w:tcPr>
            <w:tcW w:w="1653" w:type="pct"/>
            <w:tcBorders>
              <w:tl2br w:val="nil"/>
              <w:tr2bl w:val="nil"/>
            </w:tcBorders>
            <w:noWrap w:val="0"/>
            <w:vAlign w:val="center"/>
          </w:tcPr>
          <w:p w14:paraId="13B06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台实、科顺、鲁惠</w:t>
            </w:r>
          </w:p>
        </w:tc>
        <w:tc>
          <w:tcPr>
            <w:tcW w:w="493" w:type="pct"/>
            <w:tcBorders>
              <w:tl2br w:val="nil"/>
              <w:tr2bl w:val="nil"/>
            </w:tcBorders>
            <w:noWrap w:val="0"/>
            <w:vAlign w:val="center"/>
          </w:tcPr>
          <w:p w14:paraId="54764E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47187277">
            <w:pPr>
              <w:jc w:val="center"/>
              <w:rPr>
                <w:rFonts w:hint="eastAsia" w:ascii="宋体" w:hAnsi="宋体" w:eastAsia="宋体" w:cs="宋体"/>
                <w:i w:val="0"/>
                <w:iCs w:val="0"/>
                <w:color w:val="000000"/>
                <w:sz w:val="22"/>
                <w:szCs w:val="22"/>
                <w:u w:val="none"/>
              </w:rPr>
            </w:pPr>
          </w:p>
        </w:tc>
      </w:tr>
      <w:tr w14:paraId="6E9A2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428DD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pct"/>
            <w:tcBorders>
              <w:tl2br w:val="nil"/>
              <w:tr2bl w:val="nil"/>
            </w:tcBorders>
            <w:noWrap w:val="0"/>
            <w:vAlign w:val="center"/>
          </w:tcPr>
          <w:p w14:paraId="6AE90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防火门、防火卷帘</w:t>
            </w:r>
          </w:p>
        </w:tc>
        <w:tc>
          <w:tcPr>
            <w:tcW w:w="1653" w:type="pct"/>
            <w:tcBorders>
              <w:tl2br w:val="nil"/>
              <w:tr2bl w:val="nil"/>
            </w:tcBorders>
            <w:noWrap w:val="0"/>
            <w:vAlign w:val="center"/>
          </w:tcPr>
          <w:p w14:paraId="32251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雅君园门业、锦湖和盛、广州市白云南粤防火门有限公司</w:t>
            </w:r>
          </w:p>
        </w:tc>
        <w:tc>
          <w:tcPr>
            <w:tcW w:w="493" w:type="pct"/>
            <w:tcBorders>
              <w:tl2br w:val="nil"/>
              <w:tr2bl w:val="nil"/>
            </w:tcBorders>
            <w:noWrap w:val="0"/>
            <w:vAlign w:val="center"/>
          </w:tcPr>
          <w:p w14:paraId="135F4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48AAB8CB">
            <w:pPr>
              <w:jc w:val="center"/>
              <w:rPr>
                <w:rFonts w:hint="eastAsia" w:ascii="宋体" w:hAnsi="宋体" w:eastAsia="宋体" w:cs="宋体"/>
                <w:i w:val="0"/>
                <w:iCs w:val="0"/>
                <w:color w:val="000000"/>
                <w:sz w:val="22"/>
                <w:szCs w:val="22"/>
                <w:u w:val="none"/>
              </w:rPr>
            </w:pPr>
          </w:p>
        </w:tc>
      </w:tr>
      <w:tr w14:paraId="67F25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04950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pct"/>
            <w:tcBorders>
              <w:tl2br w:val="nil"/>
              <w:tr2bl w:val="nil"/>
            </w:tcBorders>
            <w:noWrap w:val="0"/>
            <w:vAlign w:val="center"/>
          </w:tcPr>
          <w:p w14:paraId="27B3A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人防门</w:t>
            </w:r>
          </w:p>
        </w:tc>
        <w:tc>
          <w:tcPr>
            <w:tcW w:w="1653" w:type="pct"/>
            <w:tcBorders>
              <w:tl2br w:val="nil"/>
              <w:tr2bl w:val="nil"/>
            </w:tcBorders>
            <w:noWrap w:val="0"/>
            <w:vAlign w:val="center"/>
          </w:tcPr>
          <w:p w14:paraId="6A6A5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方大、广州市羊城地下工程有限公司、中南人防</w:t>
            </w:r>
          </w:p>
        </w:tc>
        <w:tc>
          <w:tcPr>
            <w:tcW w:w="493" w:type="pct"/>
            <w:tcBorders>
              <w:tl2br w:val="nil"/>
              <w:tr2bl w:val="nil"/>
            </w:tcBorders>
            <w:noWrap w:val="0"/>
            <w:vAlign w:val="center"/>
          </w:tcPr>
          <w:p w14:paraId="6D845B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334FEF61">
            <w:pPr>
              <w:jc w:val="center"/>
              <w:rPr>
                <w:rFonts w:hint="eastAsia" w:ascii="宋体" w:hAnsi="宋体" w:eastAsia="宋体" w:cs="宋体"/>
                <w:i w:val="0"/>
                <w:iCs w:val="0"/>
                <w:color w:val="000000"/>
                <w:sz w:val="22"/>
                <w:szCs w:val="22"/>
                <w:u w:val="none"/>
              </w:rPr>
            </w:pPr>
          </w:p>
        </w:tc>
      </w:tr>
      <w:tr w14:paraId="72A9E1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E38A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5" w:type="pct"/>
            <w:tcBorders>
              <w:tl2br w:val="nil"/>
              <w:tr2bl w:val="nil"/>
            </w:tcBorders>
            <w:noWrap w:val="0"/>
            <w:vAlign w:val="center"/>
          </w:tcPr>
          <w:p w14:paraId="2812F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挤塑板</w:t>
            </w:r>
          </w:p>
        </w:tc>
        <w:tc>
          <w:tcPr>
            <w:tcW w:w="1653" w:type="pct"/>
            <w:tcBorders>
              <w:tl2br w:val="nil"/>
              <w:tr2bl w:val="nil"/>
            </w:tcBorders>
            <w:noWrap w:val="0"/>
            <w:vAlign w:val="center"/>
          </w:tcPr>
          <w:p w14:paraId="0F705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华美、通强、高圣佳</w:t>
            </w:r>
          </w:p>
        </w:tc>
        <w:tc>
          <w:tcPr>
            <w:tcW w:w="493" w:type="pct"/>
            <w:tcBorders>
              <w:tl2br w:val="nil"/>
              <w:tr2bl w:val="nil"/>
            </w:tcBorders>
            <w:noWrap w:val="0"/>
            <w:vAlign w:val="center"/>
          </w:tcPr>
          <w:p w14:paraId="7CE42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2040774A">
            <w:pPr>
              <w:jc w:val="center"/>
              <w:rPr>
                <w:rFonts w:hint="eastAsia" w:ascii="宋体" w:hAnsi="宋体" w:eastAsia="宋体" w:cs="宋体"/>
                <w:i w:val="0"/>
                <w:iCs w:val="0"/>
                <w:color w:val="000000"/>
                <w:sz w:val="22"/>
                <w:szCs w:val="22"/>
                <w:u w:val="none"/>
              </w:rPr>
            </w:pPr>
          </w:p>
        </w:tc>
      </w:tr>
      <w:tr w14:paraId="5A1B69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63482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5" w:type="pct"/>
            <w:tcBorders>
              <w:tl2br w:val="nil"/>
              <w:tr2bl w:val="nil"/>
            </w:tcBorders>
            <w:noWrap w:val="0"/>
            <w:vAlign w:val="center"/>
          </w:tcPr>
          <w:p w14:paraId="547E0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无石棉硅酸钙板</w:t>
            </w:r>
          </w:p>
        </w:tc>
        <w:tc>
          <w:tcPr>
            <w:tcW w:w="1653" w:type="pct"/>
            <w:tcBorders>
              <w:tl2br w:val="nil"/>
              <w:tr2bl w:val="nil"/>
            </w:tcBorders>
            <w:noWrap w:val="0"/>
            <w:vAlign w:val="center"/>
          </w:tcPr>
          <w:p w14:paraId="71F21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肇庆市金贝麟新型建材有限公司、甘全、迪朗</w:t>
            </w:r>
          </w:p>
        </w:tc>
        <w:tc>
          <w:tcPr>
            <w:tcW w:w="493" w:type="pct"/>
            <w:tcBorders>
              <w:tl2br w:val="nil"/>
              <w:tr2bl w:val="nil"/>
            </w:tcBorders>
            <w:noWrap w:val="0"/>
            <w:vAlign w:val="center"/>
          </w:tcPr>
          <w:p w14:paraId="3D5FD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2A80292E">
            <w:pPr>
              <w:jc w:val="center"/>
              <w:rPr>
                <w:rFonts w:hint="eastAsia" w:ascii="宋体" w:hAnsi="宋体" w:eastAsia="宋体" w:cs="宋体"/>
                <w:i w:val="0"/>
                <w:iCs w:val="0"/>
                <w:color w:val="000000"/>
                <w:sz w:val="22"/>
                <w:szCs w:val="22"/>
                <w:u w:val="none"/>
              </w:rPr>
            </w:pPr>
          </w:p>
        </w:tc>
      </w:tr>
      <w:tr w14:paraId="61770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0E4E7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5" w:type="pct"/>
            <w:tcBorders>
              <w:tl2br w:val="nil"/>
              <w:tr2bl w:val="nil"/>
            </w:tcBorders>
            <w:noWrap w:val="0"/>
            <w:vAlign w:val="center"/>
          </w:tcPr>
          <w:p w14:paraId="4F208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防静电地板</w:t>
            </w:r>
          </w:p>
        </w:tc>
        <w:tc>
          <w:tcPr>
            <w:tcW w:w="1653" w:type="pct"/>
            <w:tcBorders>
              <w:tl2br w:val="nil"/>
              <w:tr2bl w:val="nil"/>
            </w:tcBorders>
            <w:noWrap w:val="0"/>
            <w:vAlign w:val="center"/>
          </w:tcPr>
          <w:p w14:paraId="1441E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广州市奥格装饰材料有限公司、深圳华集地板有限公司、沈飞</w:t>
            </w:r>
          </w:p>
        </w:tc>
        <w:tc>
          <w:tcPr>
            <w:tcW w:w="493" w:type="pct"/>
            <w:tcBorders>
              <w:tl2br w:val="nil"/>
              <w:tr2bl w:val="nil"/>
            </w:tcBorders>
            <w:noWrap w:val="0"/>
            <w:vAlign w:val="center"/>
          </w:tcPr>
          <w:p w14:paraId="013CD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69B183F5">
            <w:pPr>
              <w:jc w:val="center"/>
              <w:rPr>
                <w:rFonts w:hint="eastAsia" w:ascii="宋体" w:hAnsi="宋体" w:eastAsia="宋体" w:cs="宋体"/>
                <w:i w:val="0"/>
                <w:iCs w:val="0"/>
                <w:color w:val="000000"/>
                <w:sz w:val="22"/>
                <w:szCs w:val="22"/>
                <w:u w:val="none"/>
              </w:rPr>
            </w:pPr>
          </w:p>
        </w:tc>
      </w:tr>
      <w:tr w14:paraId="15C83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8121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5" w:type="pct"/>
            <w:tcBorders>
              <w:tl2br w:val="nil"/>
              <w:tr2bl w:val="nil"/>
            </w:tcBorders>
            <w:noWrap w:val="0"/>
            <w:vAlign w:val="center"/>
          </w:tcPr>
          <w:p w14:paraId="44D5F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防水涂料</w:t>
            </w:r>
          </w:p>
        </w:tc>
        <w:tc>
          <w:tcPr>
            <w:tcW w:w="1653" w:type="pct"/>
            <w:tcBorders>
              <w:tl2br w:val="nil"/>
              <w:tr2bl w:val="nil"/>
            </w:tcBorders>
            <w:noWrap w:val="0"/>
            <w:vAlign w:val="center"/>
          </w:tcPr>
          <w:p w14:paraId="7053B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台实、科顺、鲁惠</w:t>
            </w:r>
          </w:p>
        </w:tc>
        <w:tc>
          <w:tcPr>
            <w:tcW w:w="493" w:type="pct"/>
            <w:tcBorders>
              <w:tl2br w:val="nil"/>
              <w:tr2bl w:val="nil"/>
            </w:tcBorders>
            <w:noWrap w:val="0"/>
            <w:vAlign w:val="center"/>
          </w:tcPr>
          <w:p w14:paraId="35479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6C2FB4DD">
            <w:pPr>
              <w:jc w:val="center"/>
              <w:rPr>
                <w:rFonts w:hint="eastAsia" w:ascii="宋体" w:hAnsi="宋体" w:eastAsia="宋体" w:cs="宋体"/>
                <w:i w:val="0"/>
                <w:iCs w:val="0"/>
                <w:color w:val="000000"/>
                <w:sz w:val="22"/>
                <w:szCs w:val="22"/>
                <w:u w:val="none"/>
              </w:rPr>
            </w:pPr>
          </w:p>
        </w:tc>
      </w:tr>
      <w:tr w14:paraId="09736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1C583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5" w:type="pct"/>
            <w:tcBorders>
              <w:tl2br w:val="nil"/>
              <w:tr2bl w:val="nil"/>
            </w:tcBorders>
            <w:noWrap w:val="0"/>
            <w:vAlign w:val="center"/>
          </w:tcPr>
          <w:p w14:paraId="67841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油漆涂料</w:t>
            </w:r>
          </w:p>
        </w:tc>
        <w:tc>
          <w:tcPr>
            <w:tcW w:w="1653" w:type="pct"/>
            <w:tcBorders>
              <w:tl2br w:val="nil"/>
              <w:tr2bl w:val="nil"/>
            </w:tcBorders>
            <w:noWrap w:val="0"/>
            <w:vAlign w:val="center"/>
          </w:tcPr>
          <w:p w14:paraId="03C3FF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广州立邦涂料有限公司、广州昊特建材有限公司（涂可诺）、佛山市巴斯德建材有限公司</w:t>
            </w:r>
          </w:p>
        </w:tc>
        <w:tc>
          <w:tcPr>
            <w:tcW w:w="493" w:type="pct"/>
            <w:tcBorders>
              <w:tl2br w:val="nil"/>
              <w:tr2bl w:val="nil"/>
            </w:tcBorders>
            <w:noWrap w:val="0"/>
            <w:vAlign w:val="center"/>
          </w:tcPr>
          <w:p w14:paraId="598AE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1F61DDDF">
            <w:pPr>
              <w:jc w:val="center"/>
              <w:rPr>
                <w:rFonts w:hint="eastAsia" w:ascii="宋体" w:hAnsi="宋体" w:eastAsia="宋体" w:cs="宋体"/>
                <w:i w:val="0"/>
                <w:iCs w:val="0"/>
                <w:color w:val="000000"/>
                <w:sz w:val="22"/>
                <w:szCs w:val="22"/>
                <w:u w:val="none"/>
              </w:rPr>
            </w:pPr>
          </w:p>
        </w:tc>
      </w:tr>
      <w:tr w14:paraId="69408F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3435A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5" w:type="pct"/>
            <w:tcBorders>
              <w:tl2br w:val="nil"/>
              <w:tr2bl w:val="nil"/>
            </w:tcBorders>
            <w:noWrap w:val="0"/>
            <w:vAlign w:val="center"/>
          </w:tcPr>
          <w:p w14:paraId="3A2F1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花岗岩、大理石</w:t>
            </w:r>
          </w:p>
        </w:tc>
        <w:tc>
          <w:tcPr>
            <w:tcW w:w="1653" w:type="pct"/>
            <w:tcBorders>
              <w:tl2br w:val="nil"/>
              <w:tr2bl w:val="nil"/>
            </w:tcBorders>
            <w:noWrap w:val="0"/>
            <w:vAlign w:val="center"/>
          </w:tcPr>
          <w:p w14:paraId="301C7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广东新豪峻石材有限公司、广州市鑫峻海石材有限公司、广州市华利石材有限公司</w:t>
            </w:r>
          </w:p>
        </w:tc>
        <w:tc>
          <w:tcPr>
            <w:tcW w:w="493" w:type="pct"/>
            <w:tcBorders>
              <w:tl2br w:val="nil"/>
              <w:tr2bl w:val="nil"/>
            </w:tcBorders>
            <w:noWrap w:val="0"/>
            <w:vAlign w:val="center"/>
          </w:tcPr>
          <w:p w14:paraId="4E359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437082AD">
            <w:pPr>
              <w:jc w:val="center"/>
              <w:rPr>
                <w:rFonts w:hint="eastAsia" w:ascii="宋体" w:hAnsi="宋体" w:eastAsia="宋体" w:cs="宋体"/>
                <w:i w:val="0"/>
                <w:iCs w:val="0"/>
                <w:color w:val="000000"/>
                <w:sz w:val="22"/>
                <w:szCs w:val="22"/>
                <w:u w:val="none"/>
              </w:rPr>
            </w:pPr>
          </w:p>
        </w:tc>
      </w:tr>
      <w:tr w14:paraId="1A42F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4158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5" w:type="pct"/>
            <w:tcBorders>
              <w:tl2br w:val="nil"/>
              <w:tr2bl w:val="nil"/>
            </w:tcBorders>
            <w:noWrap w:val="0"/>
            <w:vAlign w:val="center"/>
          </w:tcPr>
          <w:p w14:paraId="2E4629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地面砖</w:t>
            </w:r>
          </w:p>
        </w:tc>
        <w:tc>
          <w:tcPr>
            <w:tcW w:w="1653" w:type="pct"/>
            <w:tcBorders>
              <w:tl2br w:val="nil"/>
              <w:tr2bl w:val="nil"/>
            </w:tcBorders>
            <w:noWrap w:val="0"/>
            <w:vAlign w:val="center"/>
          </w:tcPr>
          <w:p w14:paraId="482BB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信业、蒙娜丽莎、心水、杏花、罗宝</w:t>
            </w:r>
          </w:p>
        </w:tc>
        <w:tc>
          <w:tcPr>
            <w:tcW w:w="493" w:type="pct"/>
            <w:tcBorders>
              <w:tl2br w:val="nil"/>
              <w:tr2bl w:val="nil"/>
            </w:tcBorders>
            <w:noWrap w:val="0"/>
            <w:vAlign w:val="center"/>
          </w:tcPr>
          <w:p w14:paraId="778F5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28138BCF">
            <w:pPr>
              <w:jc w:val="center"/>
              <w:rPr>
                <w:rFonts w:hint="eastAsia" w:ascii="宋体" w:hAnsi="宋体" w:eastAsia="宋体" w:cs="宋体"/>
                <w:i w:val="0"/>
                <w:iCs w:val="0"/>
                <w:color w:val="000000"/>
                <w:sz w:val="22"/>
                <w:szCs w:val="22"/>
                <w:u w:val="none"/>
              </w:rPr>
            </w:pPr>
          </w:p>
        </w:tc>
      </w:tr>
      <w:tr w14:paraId="773EEB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6A43CB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5" w:type="pct"/>
            <w:tcBorders>
              <w:tl2br w:val="nil"/>
              <w:tr2bl w:val="nil"/>
            </w:tcBorders>
            <w:noWrap w:val="0"/>
            <w:vAlign w:val="center"/>
          </w:tcPr>
          <w:p w14:paraId="21D08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瓷片</w:t>
            </w:r>
          </w:p>
        </w:tc>
        <w:tc>
          <w:tcPr>
            <w:tcW w:w="1653" w:type="pct"/>
            <w:tcBorders>
              <w:tl2br w:val="nil"/>
              <w:tr2bl w:val="nil"/>
            </w:tcBorders>
            <w:noWrap w:val="0"/>
            <w:vAlign w:val="center"/>
          </w:tcPr>
          <w:p w14:paraId="7B52F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陶之彩、红叶、蒙娜丽莎</w:t>
            </w:r>
          </w:p>
        </w:tc>
        <w:tc>
          <w:tcPr>
            <w:tcW w:w="493" w:type="pct"/>
            <w:tcBorders>
              <w:tl2br w:val="nil"/>
              <w:tr2bl w:val="nil"/>
            </w:tcBorders>
            <w:noWrap w:val="0"/>
            <w:vAlign w:val="center"/>
          </w:tcPr>
          <w:p w14:paraId="3F3952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108FAD1C">
            <w:pPr>
              <w:jc w:val="center"/>
              <w:rPr>
                <w:rFonts w:hint="eastAsia" w:ascii="宋体" w:hAnsi="宋体" w:eastAsia="宋体" w:cs="宋体"/>
                <w:i w:val="0"/>
                <w:iCs w:val="0"/>
                <w:color w:val="000000"/>
                <w:sz w:val="22"/>
                <w:szCs w:val="22"/>
                <w:u w:val="none"/>
              </w:rPr>
            </w:pPr>
          </w:p>
        </w:tc>
      </w:tr>
      <w:tr w14:paraId="5FBD8A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396F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5" w:type="pct"/>
            <w:tcBorders>
              <w:tl2br w:val="nil"/>
              <w:tr2bl w:val="nil"/>
            </w:tcBorders>
            <w:noWrap w:val="0"/>
            <w:vAlign w:val="center"/>
          </w:tcPr>
          <w:p w14:paraId="3B29A3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外墙砖</w:t>
            </w:r>
          </w:p>
        </w:tc>
        <w:tc>
          <w:tcPr>
            <w:tcW w:w="1653" w:type="pct"/>
            <w:tcBorders>
              <w:tl2br w:val="nil"/>
              <w:tr2bl w:val="nil"/>
            </w:tcBorders>
            <w:noWrap w:val="0"/>
            <w:vAlign w:val="center"/>
          </w:tcPr>
          <w:p w14:paraId="1E7FD7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美诺丝、协程、晋兔</w:t>
            </w:r>
          </w:p>
        </w:tc>
        <w:tc>
          <w:tcPr>
            <w:tcW w:w="493" w:type="pct"/>
            <w:tcBorders>
              <w:tl2br w:val="nil"/>
              <w:tr2bl w:val="nil"/>
            </w:tcBorders>
            <w:noWrap w:val="0"/>
            <w:vAlign w:val="center"/>
          </w:tcPr>
          <w:p w14:paraId="5A7259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5D2BCA04">
            <w:pPr>
              <w:jc w:val="center"/>
              <w:rPr>
                <w:rFonts w:hint="eastAsia" w:ascii="宋体" w:hAnsi="宋体" w:eastAsia="宋体" w:cs="宋体"/>
                <w:i w:val="0"/>
                <w:iCs w:val="0"/>
                <w:color w:val="000000"/>
                <w:sz w:val="22"/>
                <w:szCs w:val="22"/>
                <w:u w:val="none"/>
              </w:rPr>
            </w:pPr>
          </w:p>
        </w:tc>
      </w:tr>
      <w:tr w14:paraId="525AE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767E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5" w:type="pct"/>
            <w:tcBorders>
              <w:tl2br w:val="nil"/>
              <w:tr2bl w:val="nil"/>
            </w:tcBorders>
            <w:noWrap w:val="0"/>
            <w:vAlign w:val="center"/>
          </w:tcPr>
          <w:p w14:paraId="197E6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幕墙铝单板</w:t>
            </w:r>
          </w:p>
        </w:tc>
        <w:tc>
          <w:tcPr>
            <w:tcW w:w="1653" w:type="pct"/>
            <w:tcBorders>
              <w:tl2br w:val="nil"/>
              <w:tr2bl w:val="nil"/>
            </w:tcBorders>
            <w:noWrap w:val="0"/>
            <w:vAlign w:val="center"/>
          </w:tcPr>
          <w:p w14:paraId="72F50C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腾郡、德柯、晟辉</w:t>
            </w:r>
          </w:p>
        </w:tc>
        <w:tc>
          <w:tcPr>
            <w:tcW w:w="493" w:type="pct"/>
            <w:tcBorders>
              <w:tl2br w:val="nil"/>
              <w:tr2bl w:val="nil"/>
            </w:tcBorders>
            <w:noWrap w:val="0"/>
            <w:vAlign w:val="center"/>
          </w:tcPr>
          <w:p w14:paraId="4DBF3B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1414C0BA">
            <w:pPr>
              <w:jc w:val="center"/>
              <w:rPr>
                <w:rFonts w:hint="eastAsia" w:ascii="宋体" w:hAnsi="宋体" w:eastAsia="宋体" w:cs="宋体"/>
                <w:i w:val="0"/>
                <w:iCs w:val="0"/>
                <w:color w:val="000000"/>
                <w:sz w:val="22"/>
                <w:szCs w:val="22"/>
                <w:u w:val="none"/>
              </w:rPr>
            </w:pPr>
          </w:p>
        </w:tc>
      </w:tr>
      <w:tr w14:paraId="062D7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665F1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5" w:type="pct"/>
            <w:tcBorders>
              <w:tl2br w:val="nil"/>
              <w:tr2bl w:val="nil"/>
            </w:tcBorders>
            <w:noWrap w:val="0"/>
            <w:vAlign w:val="center"/>
          </w:tcPr>
          <w:p w14:paraId="47960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铝单板、铝扣板</w:t>
            </w:r>
          </w:p>
        </w:tc>
        <w:tc>
          <w:tcPr>
            <w:tcW w:w="1653" w:type="pct"/>
            <w:tcBorders>
              <w:tl2br w:val="nil"/>
              <w:tr2bl w:val="nil"/>
            </w:tcBorders>
            <w:noWrap w:val="0"/>
            <w:vAlign w:val="center"/>
          </w:tcPr>
          <w:p w14:paraId="67FED7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佛山市南海宇诚装饰材料有限公司、广州市白云区松洲伟泰五金加工厂、佛山市南海思泰建材有限公司</w:t>
            </w:r>
          </w:p>
        </w:tc>
        <w:tc>
          <w:tcPr>
            <w:tcW w:w="493" w:type="pct"/>
            <w:tcBorders>
              <w:tl2br w:val="nil"/>
              <w:tr2bl w:val="nil"/>
            </w:tcBorders>
            <w:noWrap w:val="0"/>
            <w:vAlign w:val="center"/>
          </w:tcPr>
          <w:p w14:paraId="0E209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0FD78358">
            <w:pPr>
              <w:jc w:val="center"/>
              <w:rPr>
                <w:rFonts w:hint="eastAsia" w:ascii="宋体" w:hAnsi="宋体" w:eastAsia="宋体" w:cs="宋体"/>
                <w:i w:val="0"/>
                <w:iCs w:val="0"/>
                <w:color w:val="000000"/>
                <w:sz w:val="22"/>
                <w:szCs w:val="22"/>
                <w:u w:val="none"/>
              </w:rPr>
            </w:pPr>
          </w:p>
        </w:tc>
      </w:tr>
      <w:tr w14:paraId="35598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36BE0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5" w:type="pct"/>
            <w:tcBorders>
              <w:tl2br w:val="nil"/>
              <w:tr2bl w:val="nil"/>
            </w:tcBorders>
            <w:noWrap w:val="0"/>
            <w:vAlign w:val="center"/>
          </w:tcPr>
          <w:p w14:paraId="37D2B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幕墙铝材、门窗铝材</w:t>
            </w:r>
          </w:p>
        </w:tc>
        <w:tc>
          <w:tcPr>
            <w:tcW w:w="1653" w:type="pct"/>
            <w:tcBorders>
              <w:tl2br w:val="nil"/>
              <w:tr2bl w:val="nil"/>
            </w:tcBorders>
            <w:noWrap w:val="0"/>
            <w:vAlign w:val="center"/>
          </w:tcPr>
          <w:p w14:paraId="676B9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广东兴发铝业有限公司、凤铝、广铝东江、坚美</w:t>
            </w:r>
          </w:p>
        </w:tc>
        <w:tc>
          <w:tcPr>
            <w:tcW w:w="493" w:type="pct"/>
            <w:tcBorders>
              <w:tl2br w:val="nil"/>
              <w:tr2bl w:val="nil"/>
            </w:tcBorders>
            <w:noWrap w:val="0"/>
            <w:vAlign w:val="center"/>
          </w:tcPr>
          <w:p w14:paraId="69348E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5D7A502D">
            <w:pPr>
              <w:jc w:val="center"/>
              <w:rPr>
                <w:rFonts w:hint="eastAsia" w:ascii="宋体" w:hAnsi="宋体" w:eastAsia="宋体" w:cs="宋体"/>
                <w:i w:val="0"/>
                <w:iCs w:val="0"/>
                <w:color w:val="000000"/>
                <w:sz w:val="22"/>
                <w:szCs w:val="22"/>
                <w:u w:val="none"/>
              </w:rPr>
            </w:pPr>
          </w:p>
        </w:tc>
      </w:tr>
      <w:tr w14:paraId="778432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8FB3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5" w:type="pct"/>
            <w:tcBorders>
              <w:tl2br w:val="nil"/>
              <w:tr2bl w:val="nil"/>
            </w:tcBorders>
            <w:noWrap w:val="0"/>
            <w:vAlign w:val="center"/>
          </w:tcPr>
          <w:p w14:paraId="1B3AE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w:t>
            </w:r>
          </w:p>
        </w:tc>
        <w:tc>
          <w:tcPr>
            <w:tcW w:w="1653" w:type="pct"/>
            <w:tcBorders>
              <w:tl2br w:val="nil"/>
              <w:tr2bl w:val="nil"/>
            </w:tcBorders>
            <w:noWrap w:val="0"/>
            <w:vAlign w:val="center"/>
          </w:tcPr>
          <w:p w14:paraId="5E6A8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信义、南海三佳、南玻</w:t>
            </w:r>
          </w:p>
        </w:tc>
        <w:tc>
          <w:tcPr>
            <w:tcW w:w="493" w:type="pct"/>
            <w:tcBorders>
              <w:tl2br w:val="nil"/>
              <w:tr2bl w:val="nil"/>
            </w:tcBorders>
            <w:noWrap w:val="0"/>
            <w:vAlign w:val="center"/>
          </w:tcPr>
          <w:p w14:paraId="6D922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35390536">
            <w:pPr>
              <w:jc w:val="center"/>
              <w:rPr>
                <w:rFonts w:hint="eastAsia" w:ascii="宋体" w:hAnsi="宋体" w:eastAsia="宋体" w:cs="宋体"/>
                <w:i w:val="0"/>
                <w:iCs w:val="0"/>
                <w:color w:val="000000"/>
                <w:sz w:val="22"/>
                <w:szCs w:val="22"/>
                <w:u w:val="none"/>
              </w:rPr>
            </w:pPr>
          </w:p>
        </w:tc>
      </w:tr>
      <w:tr w14:paraId="2FBE9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3A6BD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5" w:type="pct"/>
            <w:tcBorders>
              <w:tl2br w:val="nil"/>
              <w:tr2bl w:val="nil"/>
            </w:tcBorders>
            <w:noWrap w:val="0"/>
            <w:vAlign w:val="center"/>
          </w:tcPr>
          <w:p w14:paraId="64C50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铝方通</w:t>
            </w:r>
          </w:p>
        </w:tc>
        <w:tc>
          <w:tcPr>
            <w:tcW w:w="1653" w:type="pct"/>
            <w:tcBorders>
              <w:tl2br w:val="nil"/>
              <w:tr2bl w:val="nil"/>
            </w:tcBorders>
            <w:noWrap w:val="0"/>
            <w:vAlign w:val="center"/>
          </w:tcPr>
          <w:p w14:paraId="33B9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广州市白玉兰科技有限公司、佛山市三水天诺联成装饰材料有限公司、广州市白云区松洲伟泰五金加工厂</w:t>
            </w:r>
          </w:p>
        </w:tc>
        <w:tc>
          <w:tcPr>
            <w:tcW w:w="493" w:type="pct"/>
            <w:tcBorders>
              <w:tl2br w:val="nil"/>
              <w:tr2bl w:val="nil"/>
            </w:tcBorders>
            <w:noWrap w:val="0"/>
            <w:vAlign w:val="center"/>
          </w:tcPr>
          <w:p w14:paraId="07969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40DA872E">
            <w:pPr>
              <w:jc w:val="center"/>
              <w:rPr>
                <w:rFonts w:hint="eastAsia" w:ascii="宋体" w:hAnsi="宋体" w:eastAsia="宋体" w:cs="宋体"/>
                <w:i w:val="0"/>
                <w:iCs w:val="0"/>
                <w:color w:val="000000"/>
                <w:sz w:val="22"/>
                <w:szCs w:val="22"/>
                <w:u w:val="none"/>
              </w:rPr>
            </w:pPr>
          </w:p>
        </w:tc>
      </w:tr>
      <w:tr w14:paraId="130E6D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5955CD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w:t>
            </w:r>
          </w:p>
        </w:tc>
        <w:tc>
          <w:tcPr>
            <w:tcW w:w="4613" w:type="pct"/>
            <w:gridSpan w:val="4"/>
            <w:tcBorders>
              <w:tl2br w:val="nil"/>
              <w:tr2bl w:val="nil"/>
            </w:tcBorders>
            <w:noWrap w:val="0"/>
            <w:vAlign w:val="center"/>
          </w:tcPr>
          <w:p w14:paraId="5AC601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室内装饰材料</w:t>
            </w:r>
          </w:p>
        </w:tc>
      </w:tr>
      <w:tr w14:paraId="1ACD6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9133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2BB35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涂料</w:t>
            </w:r>
          </w:p>
        </w:tc>
        <w:tc>
          <w:tcPr>
            <w:tcW w:w="1653" w:type="pct"/>
            <w:tcBorders>
              <w:tl2br w:val="nil"/>
              <w:tr2bl w:val="nil"/>
            </w:tcBorders>
            <w:noWrap w:val="0"/>
            <w:vAlign w:val="center"/>
          </w:tcPr>
          <w:p w14:paraId="07720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立邦、多乐士、芬琳</w:t>
            </w:r>
          </w:p>
        </w:tc>
        <w:tc>
          <w:tcPr>
            <w:tcW w:w="493" w:type="pct"/>
            <w:tcBorders>
              <w:tl2br w:val="nil"/>
              <w:tr2bl w:val="nil"/>
            </w:tcBorders>
            <w:noWrap w:val="0"/>
            <w:vAlign w:val="center"/>
          </w:tcPr>
          <w:p w14:paraId="291F44A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EBC1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环保、无味、防霉</w:t>
            </w:r>
          </w:p>
        </w:tc>
      </w:tr>
      <w:tr w14:paraId="3485A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6E49E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pct"/>
            <w:tcBorders>
              <w:tl2br w:val="nil"/>
              <w:tr2bl w:val="nil"/>
            </w:tcBorders>
            <w:noWrap w:val="0"/>
            <w:vAlign w:val="center"/>
          </w:tcPr>
          <w:p w14:paraId="4DD7B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防火饰面板(直纹)</w:t>
            </w:r>
          </w:p>
        </w:tc>
        <w:tc>
          <w:tcPr>
            <w:tcW w:w="1653" w:type="pct"/>
            <w:tcBorders>
              <w:tl2br w:val="nil"/>
              <w:tr2bl w:val="nil"/>
            </w:tcBorders>
            <w:noWrap w:val="0"/>
            <w:vAlign w:val="center"/>
          </w:tcPr>
          <w:p w14:paraId="4B76D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富美加、威盛亚、亚太</w:t>
            </w:r>
          </w:p>
        </w:tc>
        <w:tc>
          <w:tcPr>
            <w:tcW w:w="493" w:type="pct"/>
            <w:tcBorders>
              <w:tl2br w:val="nil"/>
              <w:tr2bl w:val="nil"/>
            </w:tcBorders>
            <w:noWrap w:val="0"/>
            <w:vAlign w:val="center"/>
          </w:tcPr>
          <w:p w14:paraId="448683F0">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2400765">
            <w:pPr>
              <w:jc w:val="center"/>
              <w:rPr>
                <w:rFonts w:hint="eastAsia" w:ascii="宋体" w:hAnsi="宋体" w:eastAsia="宋体" w:cs="宋体"/>
                <w:i w:val="0"/>
                <w:iCs w:val="0"/>
                <w:color w:val="000000"/>
                <w:sz w:val="22"/>
                <w:szCs w:val="22"/>
                <w:u w:val="none"/>
              </w:rPr>
            </w:pPr>
          </w:p>
        </w:tc>
      </w:tr>
      <w:tr w14:paraId="6909B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0B938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pct"/>
            <w:tcBorders>
              <w:tl2br w:val="nil"/>
              <w:tr2bl w:val="nil"/>
            </w:tcBorders>
            <w:noWrap w:val="0"/>
            <w:vAlign w:val="center"/>
          </w:tcPr>
          <w:p w14:paraId="3C999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陶金微孔吸音板、陶金槽木吸音板</w:t>
            </w:r>
          </w:p>
        </w:tc>
        <w:tc>
          <w:tcPr>
            <w:tcW w:w="1653" w:type="pct"/>
            <w:tcBorders>
              <w:tl2br w:val="nil"/>
              <w:tr2bl w:val="nil"/>
            </w:tcBorders>
            <w:noWrap w:val="0"/>
            <w:vAlign w:val="center"/>
          </w:tcPr>
          <w:p w14:paraId="6B99D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声博士、丽音、洛斐尔</w:t>
            </w:r>
          </w:p>
        </w:tc>
        <w:tc>
          <w:tcPr>
            <w:tcW w:w="493" w:type="pct"/>
            <w:tcBorders>
              <w:tl2br w:val="nil"/>
              <w:tr2bl w:val="nil"/>
            </w:tcBorders>
            <w:noWrap w:val="0"/>
            <w:vAlign w:val="center"/>
          </w:tcPr>
          <w:p w14:paraId="4F2BD837">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722BB1E">
            <w:pPr>
              <w:jc w:val="center"/>
              <w:rPr>
                <w:rFonts w:hint="eastAsia" w:ascii="宋体" w:hAnsi="宋体" w:eastAsia="宋体" w:cs="宋体"/>
                <w:i w:val="0"/>
                <w:iCs w:val="0"/>
                <w:color w:val="000000"/>
                <w:sz w:val="22"/>
                <w:szCs w:val="22"/>
                <w:u w:val="none"/>
              </w:rPr>
            </w:pPr>
          </w:p>
        </w:tc>
      </w:tr>
      <w:tr w14:paraId="567CA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7ED7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pct"/>
            <w:tcBorders>
              <w:tl2br w:val="nil"/>
              <w:tr2bl w:val="nil"/>
            </w:tcBorders>
            <w:noWrap w:val="0"/>
            <w:vAlign w:val="center"/>
          </w:tcPr>
          <w:p w14:paraId="2C74C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人造石</w:t>
            </w:r>
          </w:p>
        </w:tc>
        <w:tc>
          <w:tcPr>
            <w:tcW w:w="1653" w:type="pct"/>
            <w:tcBorders>
              <w:tl2br w:val="nil"/>
              <w:tr2bl w:val="nil"/>
            </w:tcBorders>
            <w:noWrap w:val="0"/>
            <w:vAlign w:val="center"/>
          </w:tcPr>
          <w:p w14:paraId="44698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杜邦、三星、LG</w:t>
            </w:r>
          </w:p>
        </w:tc>
        <w:tc>
          <w:tcPr>
            <w:tcW w:w="493" w:type="pct"/>
            <w:tcBorders>
              <w:tl2br w:val="nil"/>
              <w:tr2bl w:val="nil"/>
            </w:tcBorders>
            <w:noWrap w:val="0"/>
            <w:vAlign w:val="center"/>
          </w:tcPr>
          <w:p w14:paraId="4F83F885">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78FB7E4C">
            <w:pPr>
              <w:jc w:val="center"/>
              <w:rPr>
                <w:rFonts w:hint="eastAsia" w:ascii="宋体" w:hAnsi="宋体" w:eastAsia="宋体" w:cs="宋体"/>
                <w:i w:val="0"/>
                <w:iCs w:val="0"/>
                <w:color w:val="000000"/>
                <w:sz w:val="22"/>
                <w:szCs w:val="22"/>
                <w:u w:val="none"/>
              </w:rPr>
            </w:pPr>
          </w:p>
        </w:tc>
      </w:tr>
      <w:tr w14:paraId="75691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EF464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5" w:type="pct"/>
            <w:tcBorders>
              <w:tl2br w:val="nil"/>
              <w:tr2bl w:val="nil"/>
            </w:tcBorders>
            <w:noWrap w:val="0"/>
            <w:vAlign w:val="center"/>
          </w:tcPr>
          <w:p w14:paraId="10071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硅酸钙板</w:t>
            </w:r>
          </w:p>
        </w:tc>
        <w:tc>
          <w:tcPr>
            <w:tcW w:w="1653" w:type="pct"/>
            <w:tcBorders>
              <w:tl2br w:val="nil"/>
              <w:tr2bl w:val="nil"/>
            </w:tcBorders>
            <w:noWrap w:val="0"/>
            <w:vAlign w:val="center"/>
          </w:tcPr>
          <w:p w14:paraId="62111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埃特尼特、东上、优美</w:t>
            </w:r>
          </w:p>
        </w:tc>
        <w:tc>
          <w:tcPr>
            <w:tcW w:w="493" w:type="pct"/>
            <w:tcBorders>
              <w:tl2br w:val="nil"/>
              <w:tr2bl w:val="nil"/>
            </w:tcBorders>
            <w:noWrap w:val="0"/>
            <w:vAlign w:val="center"/>
          </w:tcPr>
          <w:p w14:paraId="526A8EF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A35012F">
            <w:pPr>
              <w:jc w:val="center"/>
              <w:rPr>
                <w:rFonts w:hint="eastAsia" w:ascii="宋体" w:hAnsi="宋体" w:eastAsia="宋体" w:cs="宋体"/>
                <w:i w:val="0"/>
                <w:iCs w:val="0"/>
                <w:color w:val="000000"/>
                <w:sz w:val="22"/>
                <w:szCs w:val="22"/>
                <w:u w:val="none"/>
              </w:rPr>
            </w:pPr>
          </w:p>
        </w:tc>
      </w:tr>
      <w:tr w14:paraId="59D10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27B82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5" w:type="pct"/>
            <w:tcBorders>
              <w:tl2br w:val="nil"/>
              <w:tr2bl w:val="nil"/>
            </w:tcBorders>
            <w:noWrap w:val="0"/>
            <w:vAlign w:val="center"/>
          </w:tcPr>
          <w:p w14:paraId="46FF7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w:t>
            </w:r>
          </w:p>
        </w:tc>
        <w:tc>
          <w:tcPr>
            <w:tcW w:w="1653" w:type="pct"/>
            <w:tcBorders>
              <w:tl2br w:val="nil"/>
              <w:tr2bl w:val="nil"/>
            </w:tcBorders>
            <w:noWrap w:val="0"/>
            <w:vAlign w:val="center"/>
          </w:tcPr>
          <w:p w14:paraId="1DC1C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佛山市海洋同不锈钢有限公司(不锈钢板)、佛山市南海华狮龙金属装饰制品有限公司、佛山澜石同韶达金属压延厂</w:t>
            </w:r>
          </w:p>
        </w:tc>
        <w:tc>
          <w:tcPr>
            <w:tcW w:w="493" w:type="pct"/>
            <w:tcBorders>
              <w:tl2br w:val="nil"/>
              <w:tr2bl w:val="nil"/>
            </w:tcBorders>
            <w:noWrap w:val="0"/>
            <w:vAlign w:val="center"/>
          </w:tcPr>
          <w:p w14:paraId="4C5929A4">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F695661">
            <w:pPr>
              <w:jc w:val="center"/>
              <w:rPr>
                <w:rFonts w:hint="eastAsia" w:ascii="宋体" w:hAnsi="宋体" w:eastAsia="宋体" w:cs="宋体"/>
                <w:i w:val="0"/>
                <w:iCs w:val="0"/>
                <w:color w:val="000000"/>
                <w:sz w:val="22"/>
                <w:szCs w:val="22"/>
                <w:u w:val="none"/>
              </w:rPr>
            </w:pPr>
          </w:p>
        </w:tc>
      </w:tr>
      <w:tr w14:paraId="12BD3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47C97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5" w:type="pct"/>
            <w:tcBorders>
              <w:tl2br w:val="nil"/>
              <w:tr2bl w:val="nil"/>
            </w:tcBorders>
            <w:noWrap w:val="0"/>
            <w:vAlign w:val="center"/>
          </w:tcPr>
          <w:p w14:paraId="3A8CE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木纹洁菌抗倍特板</w:t>
            </w:r>
          </w:p>
        </w:tc>
        <w:tc>
          <w:tcPr>
            <w:tcW w:w="1653" w:type="pct"/>
            <w:tcBorders>
              <w:tl2br w:val="nil"/>
              <w:tr2bl w:val="nil"/>
            </w:tcBorders>
            <w:noWrap w:val="0"/>
            <w:vAlign w:val="center"/>
          </w:tcPr>
          <w:p w14:paraId="2A017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富美家、森旺、普丽</w:t>
            </w:r>
          </w:p>
        </w:tc>
        <w:tc>
          <w:tcPr>
            <w:tcW w:w="493" w:type="pct"/>
            <w:tcBorders>
              <w:tl2br w:val="nil"/>
              <w:tr2bl w:val="nil"/>
            </w:tcBorders>
            <w:noWrap w:val="0"/>
            <w:vAlign w:val="center"/>
          </w:tcPr>
          <w:p w14:paraId="2B3B5A1C">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BBDC763">
            <w:pPr>
              <w:jc w:val="center"/>
              <w:rPr>
                <w:rFonts w:hint="eastAsia" w:ascii="宋体" w:hAnsi="宋体" w:eastAsia="宋体" w:cs="宋体"/>
                <w:i w:val="0"/>
                <w:iCs w:val="0"/>
                <w:color w:val="000000"/>
                <w:sz w:val="22"/>
                <w:szCs w:val="22"/>
                <w:u w:val="none"/>
              </w:rPr>
            </w:pPr>
          </w:p>
        </w:tc>
      </w:tr>
      <w:tr w14:paraId="6788A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1C821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5" w:type="pct"/>
            <w:tcBorders>
              <w:tl2br w:val="nil"/>
              <w:tr2bl w:val="nil"/>
            </w:tcBorders>
            <w:noWrap w:val="0"/>
            <w:vAlign w:val="center"/>
          </w:tcPr>
          <w:p w14:paraId="638C3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抗菌护墙板</w:t>
            </w:r>
          </w:p>
        </w:tc>
        <w:tc>
          <w:tcPr>
            <w:tcW w:w="1653" w:type="pct"/>
            <w:tcBorders>
              <w:tl2br w:val="nil"/>
              <w:tr2bl w:val="nil"/>
            </w:tcBorders>
            <w:noWrap w:val="0"/>
            <w:vAlign w:val="center"/>
          </w:tcPr>
          <w:p w14:paraId="22BB8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品格(广州市锐博新材料)、普丽思顿(深圳市普丽思顿环保新材料有限公司)、雅卓(广州艾朗德机电科技有限公司)</w:t>
            </w:r>
          </w:p>
        </w:tc>
        <w:tc>
          <w:tcPr>
            <w:tcW w:w="493" w:type="pct"/>
            <w:tcBorders>
              <w:tl2br w:val="nil"/>
              <w:tr2bl w:val="nil"/>
            </w:tcBorders>
            <w:noWrap w:val="0"/>
            <w:vAlign w:val="center"/>
          </w:tcPr>
          <w:p w14:paraId="7E82A19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B96A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燃烧性能等级A级</w:t>
            </w:r>
          </w:p>
        </w:tc>
      </w:tr>
      <w:tr w14:paraId="35258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BD92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5" w:type="pct"/>
            <w:tcBorders>
              <w:tl2br w:val="nil"/>
              <w:tr2bl w:val="nil"/>
            </w:tcBorders>
            <w:noWrap w:val="0"/>
            <w:vAlign w:val="center"/>
          </w:tcPr>
          <w:p w14:paraId="44E9A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高品抗菌天花板</w:t>
            </w:r>
          </w:p>
        </w:tc>
        <w:tc>
          <w:tcPr>
            <w:tcW w:w="1653" w:type="pct"/>
            <w:tcBorders>
              <w:tl2br w:val="nil"/>
              <w:tr2bl w:val="nil"/>
            </w:tcBorders>
            <w:noWrap w:val="0"/>
            <w:vAlign w:val="center"/>
          </w:tcPr>
          <w:p w14:paraId="1A922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于天顺建材、博尔普建材、银虎</w:t>
            </w:r>
          </w:p>
        </w:tc>
        <w:tc>
          <w:tcPr>
            <w:tcW w:w="493" w:type="pct"/>
            <w:tcBorders>
              <w:tl2br w:val="nil"/>
              <w:tr2bl w:val="nil"/>
            </w:tcBorders>
            <w:noWrap w:val="0"/>
            <w:vAlign w:val="center"/>
          </w:tcPr>
          <w:p w14:paraId="7307E1E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73851825">
            <w:pPr>
              <w:jc w:val="center"/>
              <w:rPr>
                <w:rFonts w:hint="eastAsia" w:ascii="宋体" w:hAnsi="宋体" w:eastAsia="宋体" w:cs="宋体"/>
                <w:i w:val="0"/>
                <w:iCs w:val="0"/>
                <w:color w:val="000000"/>
                <w:sz w:val="22"/>
                <w:szCs w:val="22"/>
                <w:u w:val="none"/>
              </w:rPr>
            </w:pPr>
          </w:p>
        </w:tc>
      </w:tr>
      <w:tr w14:paraId="0EFAE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EBB8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5" w:type="pct"/>
            <w:tcBorders>
              <w:tl2br w:val="nil"/>
              <w:tr2bl w:val="nil"/>
            </w:tcBorders>
            <w:noWrap w:val="0"/>
            <w:vAlign w:val="center"/>
          </w:tcPr>
          <w:p w14:paraId="043DE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资砖、瓷片</w:t>
            </w:r>
          </w:p>
        </w:tc>
        <w:tc>
          <w:tcPr>
            <w:tcW w:w="1653" w:type="pct"/>
            <w:tcBorders>
              <w:tl2br w:val="nil"/>
              <w:tr2bl w:val="nil"/>
            </w:tcBorders>
            <w:noWrap w:val="0"/>
            <w:vAlign w:val="center"/>
          </w:tcPr>
          <w:p w14:paraId="5EFA0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马可波罗、蒙娜丽莎、诺贝尔</w:t>
            </w:r>
          </w:p>
        </w:tc>
        <w:tc>
          <w:tcPr>
            <w:tcW w:w="493" w:type="pct"/>
            <w:tcBorders>
              <w:tl2br w:val="nil"/>
              <w:tr2bl w:val="nil"/>
            </w:tcBorders>
            <w:noWrap w:val="0"/>
            <w:vAlign w:val="center"/>
          </w:tcPr>
          <w:p w14:paraId="05CDFA64">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293657A">
            <w:pPr>
              <w:jc w:val="center"/>
              <w:rPr>
                <w:rFonts w:hint="eastAsia" w:ascii="宋体" w:hAnsi="宋体" w:eastAsia="宋体" w:cs="宋体"/>
                <w:i w:val="0"/>
                <w:iCs w:val="0"/>
                <w:color w:val="000000"/>
                <w:sz w:val="22"/>
                <w:szCs w:val="22"/>
                <w:u w:val="none"/>
              </w:rPr>
            </w:pPr>
          </w:p>
        </w:tc>
      </w:tr>
      <w:tr w14:paraId="6981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34239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5" w:type="pct"/>
            <w:tcBorders>
              <w:tl2br w:val="nil"/>
              <w:tr2bl w:val="nil"/>
            </w:tcBorders>
            <w:noWrap w:val="0"/>
            <w:vAlign w:val="center"/>
          </w:tcPr>
          <w:p w14:paraId="734EB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653" w:type="pct"/>
            <w:tcBorders>
              <w:tl2br w:val="nil"/>
              <w:tr2bl w:val="nil"/>
            </w:tcBorders>
            <w:noWrap w:val="0"/>
            <w:vAlign w:val="center"/>
          </w:tcPr>
          <w:p w14:paraId="7902C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亚迪石材、环球、高时石材</w:t>
            </w:r>
          </w:p>
        </w:tc>
        <w:tc>
          <w:tcPr>
            <w:tcW w:w="493" w:type="pct"/>
            <w:tcBorders>
              <w:tl2br w:val="nil"/>
              <w:tr2bl w:val="nil"/>
            </w:tcBorders>
            <w:noWrap w:val="0"/>
            <w:vAlign w:val="center"/>
          </w:tcPr>
          <w:p w14:paraId="0022E37C">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3601412">
            <w:pPr>
              <w:jc w:val="center"/>
              <w:rPr>
                <w:rFonts w:hint="eastAsia" w:ascii="宋体" w:hAnsi="宋体" w:eastAsia="宋体" w:cs="宋体"/>
                <w:i w:val="0"/>
                <w:iCs w:val="0"/>
                <w:color w:val="000000"/>
                <w:sz w:val="22"/>
                <w:szCs w:val="22"/>
                <w:u w:val="none"/>
              </w:rPr>
            </w:pPr>
          </w:p>
        </w:tc>
      </w:tr>
      <w:tr w14:paraId="2F7E4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6D736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5" w:type="pct"/>
            <w:tcBorders>
              <w:tl2br w:val="nil"/>
              <w:tr2bl w:val="nil"/>
            </w:tcBorders>
            <w:noWrap w:val="0"/>
            <w:vAlign w:val="center"/>
          </w:tcPr>
          <w:p w14:paraId="44009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铝合金拉手</w:t>
            </w:r>
          </w:p>
        </w:tc>
        <w:tc>
          <w:tcPr>
            <w:tcW w:w="1653" w:type="pct"/>
            <w:tcBorders>
              <w:tl2br w:val="nil"/>
              <w:tr2bl w:val="nil"/>
            </w:tcBorders>
            <w:noWrap w:val="0"/>
            <w:vAlign w:val="center"/>
          </w:tcPr>
          <w:p w14:paraId="68B6A6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卡博尔五金、 广州拉德铝合金拉手厂、深圳维多利五金制品厂</w:t>
            </w:r>
          </w:p>
        </w:tc>
        <w:tc>
          <w:tcPr>
            <w:tcW w:w="493" w:type="pct"/>
            <w:tcBorders>
              <w:tl2br w:val="nil"/>
              <w:tr2bl w:val="nil"/>
            </w:tcBorders>
            <w:noWrap w:val="0"/>
            <w:vAlign w:val="center"/>
          </w:tcPr>
          <w:p w14:paraId="258AD409">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043B293">
            <w:pPr>
              <w:jc w:val="center"/>
              <w:rPr>
                <w:rFonts w:hint="eastAsia" w:ascii="宋体" w:hAnsi="宋体" w:eastAsia="宋体" w:cs="宋体"/>
                <w:i w:val="0"/>
                <w:iCs w:val="0"/>
                <w:color w:val="000000"/>
                <w:sz w:val="22"/>
                <w:szCs w:val="22"/>
                <w:u w:val="none"/>
              </w:rPr>
            </w:pPr>
          </w:p>
        </w:tc>
      </w:tr>
      <w:tr w14:paraId="1067A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C0806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5" w:type="pct"/>
            <w:tcBorders>
              <w:tl2br w:val="nil"/>
              <w:tr2bl w:val="nil"/>
            </w:tcBorders>
            <w:noWrap w:val="0"/>
            <w:vAlign w:val="center"/>
          </w:tcPr>
          <w:p w14:paraId="455C8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弹性石英地板</w:t>
            </w:r>
          </w:p>
        </w:tc>
        <w:tc>
          <w:tcPr>
            <w:tcW w:w="1653" w:type="pct"/>
            <w:tcBorders>
              <w:tl2br w:val="nil"/>
              <w:tr2bl w:val="nil"/>
            </w:tcBorders>
            <w:noWrap w:val="0"/>
            <w:vAlign w:val="center"/>
          </w:tcPr>
          <w:p w14:paraId="53C3F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丽杰、楷工、英稳洁</w:t>
            </w:r>
          </w:p>
        </w:tc>
        <w:tc>
          <w:tcPr>
            <w:tcW w:w="493" w:type="pct"/>
            <w:tcBorders>
              <w:tl2br w:val="nil"/>
              <w:tr2bl w:val="nil"/>
            </w:tcBorders>
            <w:noWrap w:val="0"/>
            <w:vAlign w:val="center"/>
          </w:tcPr>
          <w:p w14:paraId="5FDA9105">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CD49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燃烧性能等级A级</w:t>
            </w:r>
          </w:p>
        </w:tc>
      </w:tr>
      <w:tr w14:paraId="7C90D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9B92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5" w:type="pct"/>
            <w:tcBorders>
              <w:tl2br w:val="nil"/>
              <w:tr2bl w:val="nil"/>
            </w:tcBorders>
            <w:noWrap w:val="0"/>
            <w:vAlign w:val="center"/>
          </w:tcPr>
          <w:p w14:paraId="19AB4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架空抗静电地板</w:t>
            </w:r>
          </w:p>
        </w:tc>
        <w:tc>
          <w:tcPr>
            <w:tcW w:w="1653" w:type="pct"/>
            <w:tcBorders>
              <w:tl2br w:val="nil"/>
              <w:tr2bl w:val="nil"/>
            </w:tcBorders>
            <w:noWrap w:val="0"/>
            <w:vAlign w:val="center"/>
          </w:tcPr>
          <w:p w14:paraId="656CF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汇迈地板、德满林、八达</w:t>
            </w:r>
          </w:p>
        </w:tc>
        <w:tc>
          <w:tcPr>
            <w:tcW w:w="493" w:type="pct"/>
            <w:tcBorders>
              <w:tl2br w:val="nil"/>
              <w:tr2bl w:val="nil"/>
            </w:tcBorders>
            <w:noWrap w:val="0"/>
            <w:vAlign w:val="center"/>
          </w:tcPr>
          <w:p w14:paraId="1AC9907E">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7848E8C">
            <w:pPr>
              <w:jc w:val="center"/>
              <w:rPr>
                <w:rFonts w:hint="eastAsia" w:ascii="宋体" w:hAnsi="宋体" w:eastAsia="宋体" w:cs="宋体"/>
                <w:i w:val="0"/>
                <w:iCs w:val="0"/>
                <w:color w:val="000000"/>
                <w:sz w:val="22"/>
                <w:szCs w:val="22"/>
                <w:u w:val="none"/>
              </w:rPr>
            </w:pPr>
          </w:p>
        </w:tc>
      </w:tr>
      <w:tr w14:paraId="67748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BF33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5" w:type="pct"/>
            <w:tcBorders>
              <w:tl2br w:val="nil"/>
              <w:tr2bl w:val="nil"/>
            </w:tcBorders>
            <w:noWrap w:val="0"/>
            <w:vAlign w:val="center"/>
          </w:tcPr>
          <w:p w14:paraId="07EE2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无溶剂环氧涂料地面</w:t>
            </w:r>
          </w:p>
        </w:tc>
        <w:tc>
          <w:tcPr>
            <w:tcW w:w="1653" w:type="pct"/>
            <w:tcBorders>
              <w:tl2br w:val="nil"/>
              <w:tr2bl w:val="nil"/>
            </w:tcBorders>
            <w:noWrap w:val="0"/>
            <w:vAlign w:val="center"/>
          </w:tcPr>
          <w:p w14:paraId="74903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巴斯夫、秀珀、西卡</w:t>
            </w:r>
          </w:p>
        </w:tc>
        <w:tc>
          <w:tcPr>
            <w:tcW w:w="493" w:type="pct"/>
            <w:tcBorders>
              <w:tl2br w:val="nil"/>
              <w:tr2bl w:val="nil"/>
            </w:tcBorders>
            <w:noWrap w:val="0"/>
            <w:vAlign w:val="center"/>
          </w:tcPr>
          <w:p w14:paraId="4C95096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1F2A7DE">
            <w:pPr>
              <w:jc w:val="center"/>
              <w:rPr>
                <w:rFonts w:hint="eastAsia" w:ascii="宋体" w:hAnsi="宋体" w:eastAsia="宋体" w:cs="宋体"/>
                <w:i w:val="0"/>
                <w:iCs w:val="0"/>
                <w:color w:val="000000"/>
                <w:sz w:val="22"/>
                <w:szCs w:val="22"/>
                <w:u w:val="none"/>
              </w:rPr>
            </w:pPr>
          </w:p>
        </w:tc>
      </w:tr>
      <w:tr w14:paraId="6D550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93C4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5" w:type="pct"/>
            <w:tcBorders>
              <w:tl2br w:val="nil"/>
              <w:tr2bl w:val="nil"/>
            </w:tcBorders>
            <w:noWrap w:val="0"/>
            <w:vAlign w:val="center"/>
          </w:tcPr>
          <w:p w14:paraId="1CA55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难燃夹板(胶合板)</w:t>
            </w:r>
          </w:p>
        </w:tc>
        <w:tc>
          <w:tcPr>
            <w:tcW w:w="1653" w:type="pct"/>
            <w:tcBorders>
              <w:tl2br w:val="nil"/>
              <w:tr2bl w:val="nil"/>
            </w:tcBorders>
            <w:noWrap w:val="0"/>
            <w:vAlign w:val="center"/>
          </w:tcPr>
          <w:p w14:paraId="45A51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众森、林安、广丰</w:t>
            </w:r>
          </w:p>
        </w:tc>
        <w:tc>
          <w:tcPr>
            <w:tcW w:w="493" w:type="pct"/>
            <w:tcBorders>
              <w:tl2br w:val="nil"/>
              <w:tr2bl w:val="nil"/>
            </w:tcBorders>
            <w:noWrap w:val="0"/>
            <w:vAlign w:val="center"/>
          </w:tcPr>
          <w:p w14:paraId="2858D73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3F8A2C7">
            <w:pPr>
              <w:jc w:val="center"/>
              <w:rPr>
                <w:rFonts w:hint="eastAsia" w:ascii="宋体" w:hAnsi="宋体" w:eastAsia="宋体" w:cs="宋体"/>
                <w:i w:val="0"/>
                <w:iCs w:val="0"/>
                <w:color w:val="000000"/>
                <w:sz w:val="22"/>
                <w:szCs w:val="22"/>
                <w:u w:val="none"/>
              </w:rPr>
            </w:pPr>
          </w:p>
        </w:tc>
      </w:tr>
      <w:tr w14:paraId="035D4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F91A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5" w:type="pct"/>
            <w:tcBorders>
              <w:tl2br w:val="nil"/>
              <w:tr2bl w:val="nil"/>
            </w:tcBorders>
            <w:noWrap w:val="0"/>
            <w:vAlign w:val="center"/>
          </w:tcPr>
          <w:p w14:paraId="3595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铝单板</w:t>
            </w:r>
          </w:p>
        </w:tc>
        <w:tc>
          <w:tcPr>
            <w:tcW w:w="1653" w:type="pct"/>
            <w:tcBorders>
              <w:tl2br w:val="nil"/>
              <w:tr2bl w:val="nil"/>
            </w:tcBorders>
            <w:noWrap w:val="0"/>
            <w:vAlign w:val="center"/>
          </w:tcPr>
          <w:p w14:paraId="467CF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乐思龙、华狮龙、广美</w:t>
            </w:r>
          </w:p>
        </w:tc>
        <w:tc>
          <w:tcPr>
            <w:tcW w:w="493" w:type="pct"/>
            <w:tcBorders>
              <w:tl2br w:val="nil"/>
              <w:tr2bl w:val="nil"/>
            </w:tcBorders>
            <w:noWrap w:val="0"/>
            <w:vAlign w:val="center"/>
          </w:tcPr>
          <w:p w14:paraId="0F84D66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1820A9C">
            <w:pPr>
              <w:jc w:val="center"/>
              <w:rPr>
                <w:rFonts w:hint="eastAsia" w:ascii="宋体" w:hAnsi="宋体" w:eastAsia="宋体" w:cs="宋体"/>
                <w:i w:val="0"/>
                <w:iCs w:val="0"/>
                <w:color w:val="000000"/>
                <w:sz w:val="22"/>
                <w:szCs w:val="22"/>
                <w:u w:val="none"/>
              </w:rPr>
            </w:pPr>
          </w:p>
        </w:tc>
      </w:tr>
      <w:tr w14:paraId="3C02C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BF71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5" w:type="pct"/>
            <w:tcBorders>
              <w:tl2br w:val="nil"/>
              <w:tr2bl w:val="nil"/>
            </w:tcBorders>
            <w:noWrap w:val="0"/>
            <w:vAlign w:val="center"/>
          </w:tcPr>
          <w:p w14:paraId="30504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铝扣板</w:t>
            </w:r>
          </w:p>
        </w:tc>
        <w:tc>
          <w:tcPr>
            <w:tcW w:w="1653" w:type="pct"/>
            <w:tcBorders>
              <w:tl2br w:val="nil"/>
              <w:tr2bl w:val="nil"/>
            </w:tcBorders>
            <w:noWrap w:val="0"/>
            <w:vAlign w:val="center"/>
          </w:tcPr>
          <w:p w14:paraId="7C24F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广州龙牌、新景、华狮龙</w:t>
            </w:r>
          </w:p>
        </w:tc>
        <w:tc>
          <w:tcPr>
            <w:tcW w:w="493" w:type="pct"/>
            <w:tcBorders>
              <w:tl2br w:val="nil"/>
              <w:tr2bl w:val="nil"/>
            </w:tcBorders>
            <w:noWrap w:val="0"/>
            <w:vAlign w:val="center"/>
          </w:tcPr>
          <w:p w14:paraId="3EB96912">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B73DCA6">
            <w:pPr>
              <w:jc w:val="center"/>
              <w:rPr>
                <w:rFonts w:hint="eastAsia" w:ascii="宋体" w:hAnsi="宋体" w:eastAsia="宋体" w:cs="宋体"/>
                <w:i w:val="0"/>
                <w:iCs w:val="0"/>
                <w:color w:val="000000"/>
                <w:sz w:val="22"/>
                <w:szCs w:val="22"/>
                <w:u w:val="none"/>
              </w:rPr>
            </w:pPr>
          </w:p>
        </w:tc>
      </w:tr>
      <w:tr w14:paraId="58C49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F1C2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5" w:type="pct"/>
            <w:tcBorders>
              <w:tl2br w:val="nil"/>
              <w:tr2bl w:val="nil"/>
            </w:tcBorders>
            <w:noWrap w:val="0"/>
            <w:vAlign w:val="center"/>
          </w:tcPr>
          <w:p w14:paraId="6A5899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653" w:type="pct"/>
            <w:tcBorders>
              <w:tl2br w:val="nil"/>
              <w:tr2bl w:val="nil"/>
            </w:tcBorders>
            <w:noWrap w:val="0"/>
            <w:vAlign w:val="center"/>
          </w:tcPr>
          <w:p w14:paraId="14C6B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佛山中南、广州通用、广州红宝星</w:t>
            </w:r>
          </w:p>
        </w:tc>
        <w:tc>
          <w:tcPr>
            <w:tcW w:w="493" w:type="pct"/>
            <w:tcBorders>
              <w:tl2br w:val="nil"/>
              <w:tr2bl w:val="nil"/>
            </w:tcBorders>
            <w:noWrap w:val="0"/>
            <w:vAlign w:val="center"/>
          </w:tcPr>
          <w:p w14:paraId="6ACDBC01">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0FB45F5">
            <w:pPr>
              <w:jc w:val="center"/>
              <w:rPr>
                <w:rFonts w:hint="eastAsia" w:ascii="宋体" w:hAnsi="宋体" w:eastAsia="宋体" w:cs="宋体"/>
                <w:i w:val="0"/>
                <w:iCs w:val="0"/>
                <w:color w:val="000000"/>
                <w:sz w:val="22"/>
                <w:szCs w:val="22"/>
                <w:u w:val="none"/>
              </w:rPr>
            </w:pPr>
          </w:p>
        </w:tc>
      </w:tr>
      <w:tr w14:paraId="21312A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847E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5" w:type="pct"/>
            <w:tcBorders>
              <w:tl2br w:val="nil"/>
              <w:tr2bl w:val="nil"/>
            </w:tcBorders>
            <w:noWrap w:val="0"/>
            <w:vAlign w:val="center"/>
          </w:tcPr>
          <w:p w14:paraId="3C86B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仿木纹钢板卫生间门</w:t>
            </w:r>
          </w:p>
        </w:tc>
        <w:tc>
          <w:tcPr>
            <w:tcW w:w="1653" w:type="pct"/>
            <w:tcBorders>
              <w:tl2br w:val="nil"/>
              <w:tr2bl w:val="nil"/>
            </w:tcBorders>
            <w:noWrap w:val="0"/>
            <w:vAlign w:val="center"/>
          </w:tcPr>
          <w:p w14:paraId="115C1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冠宸不锈钢、豫熙家居、德盾</w:t>
            </w:r>
          </w:p>
        </w:tc>
        <w:tc>
          <w:tcPr>
            <w:tcW w:w="493" w:type="pct"/>
            <w:tcBorders>
              <w:tl2br w:val="nil"/>
              <w:tr2bl w:val="nil"/>
            </w:tcBorders>
            <w:noWrap w:val="0"/>
            <w:vAlign w:val="center"/>
          </w:tcPr>
          <w:p w14:paraId="0F8291E8">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D3346DF">
            <w:pPr>
              <w:jc w:val="center"/>
              <w:rPr>
                <w:rFonts w:hint="eastAsia" w:ascii="宋体" w:hAnsi="宋体" w:eastAsia="宋体" w:cs="宋体"/>
                <w:i w:val="0"/>
                <w:iCs w:val="0"/>
                <w:color w:val="000000"/>
                <w:sz w:val="22"/>
                <w:szCs w:val="22"/>
                <w:u w:val="none"/>
              </w:rPr>
            </w:pPr>
          </w:p>
        </w:tc>
      </w:tr>
      <w:tr w14:paraId="6E0506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65CF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5" w:type="pct"/>
            <w:tcBorders>
              <w:tl2br w:val="nil"/>
              <w:tr2bl w:val="nil"/>
            </w:tcBorders>
            <w:noWrap w:val="0"/>
            <w:vAlign w:val="center"/>
          </w:tcPr>
          <w:p w14:paraId="72488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定制夹板门、实木门</w:t>
            </w:r>
          </w:p>
        </w:tc>
        <w:tc>
          <w:tcPr>
            <w:tcW w:w="1653" w:type="pct"/>
            <w:tcBorders>
              <w:tl2br w:val="nil"/>
              <w:tr2bl w:val="nil"/>
            </w:tcBorders>
            <w:noWrap w:val="0"/>
            <w:vAlign w:val="center"/>
          </w:tcPr>
          <w:p w14:paraId="09BD56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TATA、丽音、大自然</w:t>
            </w:r>
          </w:p>
        </w:tc>
        <w:tc>
          <w:tcPr>
            <w:tcW w:w="493" w:type="pct"/>
            <w:tcBorders>
              <w:tl2br w:val="nil"/>
              <w:tr2bl w:val="nil"/>
            </w:tcBorders>
            <w:noWrap w:val="0"/>
            <w:vAlign w:val="center"/>
          </w:tcPr>
          <w:p w14:paraId="4E81E496">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7F26378">
            <w:pPr>
              <w:jc w:val="center"/>
              <w:rPr>
                <w:rFonts w:hint="eastAsia" w:ascii="宋体" w:hAnsi="宋体" w:eastAsia="宋体" w:cs="宋体"/>
                <w:i w:val="0"/>
                <w:iCs w:val="0"/>
                <w:color w:val="000000"/>
                <w:sz w:val="22"/>
                <w:szCs w:val="22"/>
                <w:u w:val="none"/>
              </w:rPr>
            </w:pPr>
          </w:p>
        </w:tc>
      </w:tr>
      <w:tr w14:paraId="1CCCD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BB53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05" w:type="pct"/>
            <w:tcBorders>
              <w:tl2br w:val="nil"/>
              <w:tr2bl w:val="nil"/>
            </w:tcBorders>
            <w:noWrap w:val="0"/>
            <w:vAlign w:val="center"/>
          </w:tcPr>
          <w:p w14:paraId="70C9C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木门、钢制门、普通气密门</w:t>
            </w:r>
          </w:p>
        </w:tc>
        <w:tc>
          <w:tcPr>
            <w:tcW w:w="1653" w:type="pct"/>
            <w:tcBorders>
              <w:tl2br w:val="nil"/>
              <w:tr2bl w:val="nil"/>
            </w:tcBorders>
            <w:noWrap w:val="0"/>
            <w:vAlign w:val="center"/>
          </w:tcPr>
          <w:p w14:paraId="638EB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林森、西格、鹏弛</w:t>
            </w:r>
          </w:p>
        </w:tc>
        <w:tc>
          <w:tcPr>
            <w:tcW w:w="493" w:type="pct"/>
            <w:tcBorders>
              <w:tl2br w:val="nil"/>
              <w:tr2bl w:val="nil"/>
            </w:tcBorders>
            <w:noWrap w:val="0"/>
            <w:vAlign w:val="center"/>
          </w:tcPr>
          <w:p w14:paraId="183B7A3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3092EBE">
            <w:pPr>
              <w:jc w:val="center"/>
              <w:rPr>
                <w:rFonts w:hint="eastAsia" w:ascii="宋体" w:hAnsi="宋体" w:eastAsia="宋体" w:cs="宋体"/>
                <w:i w:val="0"/>
                <w:iCs w:val="0"/>
                <w:color w:val="000000"/>
                <w:sz w:val="22"/>
                <w:szCs w:val="22"/>
                <w:u w:val="none"/>
              </w:rPr>
            </w:pPr>
          </w:p>
        </w:tc>
      </w:tr>
      <w:tr w14:paraId="440E2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6E76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05" w:type="pct"/>
            <w:tcBorders>
              <w:tl2br w:val="nil"/>
              <w:tr2bl w:val="nil"/>
            </w:tcBorders>
            <w:noWrap w:val="0"/>
            <w:vAlign w:val="center"/>
          </w:tcPr>
          <w:p w14:paraId="092153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铝合金(门窗)</w:t>
            </w:r>
          </w:p>
        </w:tc>
        <w:tc>
          <w:tcPr>
            <w:tcW w:w="1653" w:type="pct"/>
            <w:tcBorders>
              <w:tl2br w:val="nil"/>
              <w:tr2bl w:val="nil"/>
            </w:tcBorders>
            <w:noWrap w:val="0"/>
            <w:vAlign w:val="center"/>
          </w:tcPr>
          <w:p w14:paraId="779AC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凤铝、广铝、坚美</w:t>
            </w:r>
          </w:p>
        </w:tc>
        <w:tc>
          <w:tcPr>
            <w:tcW w:w="493" w:type="pct"/>
            <w:tcBorders>
              <w:tl2br w:val="nil"/>
              <w:tr2bl w:val="nil"/>
            </w:tcBorders>
            <w:noWrap w:val="0"/>
            <w:vAlign w:val="center"/>
          </w:tcPr>
          <w:p w14:paraId="0C04C61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BFAF0D2">
            <w:pPr>
              <w:jc w:val="center"/>
              <w:rPr>
                <w:rFonts w:hint="eastAsia" w:ascii="宋体" w:hAnsi="宋体" w:eastAsia="宋体" w:cs="宋体"/>
                <w:i w:val="0"/>
                <w:iCs w:val="0"/>
                <w:color w:val="000000"/>
                <w:sz w:val="22"/>
                <w:szCs w:val="22"/>
                <w:u w:val="none"/>
              </w:rPr>
            </w:pPr>
          </w:p>
        </w:tc>
      </w:tr>
      <w:tr w14:paraId="48C59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B07B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05" w:type="pct"/>
            <w:tcBorders>
              <w:tl2br w:val="nil"/>
              <w:tr2bl w:val="nil"/>
            </w:tcBorders>
            <w:noWrap w:val="0"/>
            <w:vAlign w:val="center"/>
          </w:tcPr>
          <w:p w14:paraId="0C380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木纹铝方通</w:t>
            </w:r>
          </w:p>
        </w:tc>
        <w:tc>
          <w:tcPr>
            <w:tcW w:w="1653" w:type="pct"/>
            <w:tcBorders>
              <w:tl2br w:val="nil"/>
              <w:tr2bl w:val="nil"/>
            </w:tcBorders>
            <w:noWrap w:val="0"/>
            <w:vAlign w:val="center"/>
          </w:tcPr>
          <w:p w14:paraId="2835D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珩富睿、BUIMA、雍科UMT</w:t>
            </w:r>
          </w:p>
        </w:tc>
        <w:tc>
          <w:tcPr>
            <w:tcW w:w="493" w:type="pct"/>
            <w:tcBorders>
              <w:tl2br w:val="nil"/>
              <w:tr2bl w:val="nil"/>
            </w:tcBorders>
            <w:noWrap w:val="0"/>
            <w:vAlign w:val="center"/>
          </w:tcPr>
          <w:p w14:paraId="04CEEC06">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2C0A5EF">
            <w:pPr>
              <w:jc w:val="center"/>
              <w:rPr>
                <w:rFonts w:hint="eastAsia" w:ascii="宋体" w:hAnsi="宋体" w:eastAsia="宋体" w:cs="宋体"/>
                <w:i w:val="0"/>
                <w:iCs w:val="0"/>
                <w:color w:val="000000"/>
                <w:sz w:val="22"/>
                <w:szCs w:val="22"/>
                <w:u w:val="none"/>
              </w:rPr>
            </w:pPr>
          </w:p>
        </w:tc>
      </w:tr>
      <w:tr w14:paraId="50C2B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5BAC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05" w:type="pct"/>
            <w:tcBorders>
              <w:tl2br w:val="nil"/>
              <w:tr2bl w:val="nil"/>
            </w:tcBorders>
            <w:noWrap w:val="0"/>
            <w:vAlign w:val="center"/>
          </w:tcPr>
          <w:p w14:paraId="1BEC1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钢质防火门</w:t>
            </w:r>
          </w:p>
        </w:tc>
        <w:tc>
          <w:tcPr>
            <w:tcW w:w="1653" w:type="pct"/>
            <w:tcBorders>
              <w:tl2br w:val="nil"/>
              <w:tr2bl w:val="nil"/>
            </w:tcBorders>
            <w:noWrap w:val="0"/>
            <w:vAlign w:val="center"/>
          </w:tcPr>
          <w:p w14:paraId="3D77D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日高、美心、霍曼</w:t>
            </w:r>
          </w:p>
        </w:tc>
        <w:tc>
          <w:tcPr>
            <w:tcW w:w="493" w:type="pct"/>
            <w:tcBorders>
              <w:tl2br w:val="nil"/>
              <w:tr2bl w:val="nil"/>
            </w:tcBorders>
            <w:noWrap w:val="0"/>
            <w:vAlign w:val="center"/>
          </w:tcPr>
          <w:p w14:paraId="476A47A0">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24F8072">
            <w:pPr>
              <w:jc w:val="center"/>
              <w:rPr>
                <w:rFonts w:hint="eastAsia" w:ascii="宋体" w:hAnsi="宋体" w:eastAsia="宋体" w:cs="宋体"/>
                <w:i w:val="0"/>
                <w:iCs w:val="0"/>
                <w:color w:val="000000"/>
                <w:sz w:val="22"/>
                <w:szCs w:val="22"/>
                <w:u w:val="none"/>
              </w:rPr>
            </w:pPr>
          </w:p>
        </w:tc>
      </w:tr>
      <w:tr w14:paraId="72E62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0D060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05" w:type="pct"/>
            <w:tcBorders>
              <w:tl2br w:val="nil"/>
              <w:tr2bl w:val="nil"/>
            </w:tcBorders>
            <w:noWrap w:val="0"/>
            <w:vAlign w:val="center"/>
          </w:tcPr>
          <w:p w14:paraId="681572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成品医用气密门、成品医用自动气密门</w:t>
            </w:r>
          </w:p>
        </w:tc>
        <w:tc>
          <w:tcPr>
            <w:tcW w:w="1653" w:type="pct"/>
            <w:tcBorders>
              <w:tl2br w:val="nil"/>
              <w:tr2bl w:val="nil"/>
            </w:tcBorders>
            <w:noWrap w:val="0"/>
            <w:vAlign w:val="center"/>
          </w:tcPr>
          <w:p w14:paraId="0E7E62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霍曼、欧宝、盖德</w:t>
            </w:r>
          </w:p>
        </w:tc>
        <w:tc>
          <w:tcPr>
            <w:tcW w:w="493" w:type="pct"/>
            <w:tcBorders>
              <w:tl2br w:val="nil"/>
              <w:tr2bl w:val="nil"/>
            </w:tcBorders>
            <w:noWrap w:val="0"/>
            <w:vAlign w:val="center"/>
          </w:tcPr>
          <w:p w14:paraId="2320D86E">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D5CC592">
            <w:pPr>
              <w:jc w:val="center"/>
              <w:rPr>
                <w:rFonts w:hint="eastAsia" w:ascii="宋体" w:hAnsi="宋体" w:eastAsia="宋体" w:cs="宋体"/>
                <w:i w:val="0"/>
                <w:iCs w:val="0"/>
                <w:color w:val="000000"/>
                <w:sz w:val="22"/>
                <w:szCs w:val="22"/>
                <w:u w:val="none"/>
              </w:rPr>
            </w:pPr>
          </w:p>
        </w:tc>
      </w:tr>
      <w:tr w14:paraId="6DA47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6A641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05" w:type="pct"/>
            <w:tcBorders>
              <w:tl2br w:val="nil"/>
              <w:tr2bl w:val="nil"/>
            </w:tcBorders>
            <w:noWrap w:val="0"/>
            <w:vAlign w:val="center"/>
          </w:tcPr>
          <w:p w14:paraId="6A4C3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彩钢板(玻镁)</w:t>
            </w:r>
          </w:p>
        </w:tc>
        <w:tc>
          <w:tcPr>
            <w:tcW w:w="1653" w:type="pct"/>
            <w:tcBorders>
              <w:tl2br w:val="nil"/>
              <w:tr2bl w:val="nil"/>
            </w:tcBorders>
            <w:noWrap w:val="0"/>
            <w:vAlign w:val="center"/>
          </w:tcPr>
          <w:p w14:paraId="5D26B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汇隽、广东鑫邦、广州倍安捷</w:t>
            </w:r>
          </w:p>
        </w:tc>
        <w:tc>
          <w:tcPr>
            <w:tcW w:w="493" w:type="pct"/>
            <w:tcBorders>
              <w:tl2br w:val="nil"/>
              <w:tr2bl w:val="nil"/>
            </w:tcBorders>
            <w:noWrap w:val="0"/>
            <w:vAlign w:val="center"/>
          </w:tcPr>
          <w:p w14:paraId="2D021D82">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37B8639">
            <w:pPr>
              <w:jc w:val="center"/>
              <w:rPr>
                <w:rFonts w:hint="eastAsia" w:ascii="宋体" w:hAnsi="宋体" w:eastAsia="宋体" w:cs="宋体"/>
                <w:i w:val="0"/>
                <w:iCs w:val="0"/>
                <w:color w:val="000000"/>
                <w:sz w:val="22"/>
                <w:szCs w:val="22"/>
                <w:u w:val="none"/>
              </w:rPr>
            </w:pPr>
          </w:p>
        </w:tc>
      </w:tr>
      <w:tr w14:paraId="60D2E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3957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05" w:type="pct"/>
            <w:tcBorders>
              <w:tl2br w:val="nil"/>
              <w:tr2bl w:val="nil"/>
            </w:tcBorders>
            <w:noWrap w:val="0"/>
            <w:vAlign w:val="center"/>
          </w:tcPr>
          <w:p w14:paraId="61DB3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金属面玻镁中空净化板</w:t>
            </w:r>
          </w:p>
        </w:tc>
        <w:tc>
          <w:tcPr>
            <w:tcW w:w="1653" w:type="pct"/>
            <w:tcBorders>
              <w:tl2br w:val="nil"/>
              <w:tr2bl w:val="nil"/>
            </w:tcBorders>
            <w:noWrap w:val="0"/>
            <w:vAlign w:val="center"/>
          </w:tcPr>
          <w:p w14:paraId="6E998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华翱、尚成、莱润</w:t>
            </w:r>
          </w:p>
        </w:tc>
        <w:tc>
          <w:tcPr>
            <w:tcW w:w="493" w:type="pct"/>
            <w:tcBorders>
              <w:tl2br w:val="nil"/>
              <w:tr2bl w:val="nil"/>
            </w:tcBorders>
            <w:noWrap w:val="0"/>
            <w:vAlign w:val="center"/>
          </w:tcPr>
          <w:p w14:paraId="6C5BE606">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4C750B8">
            <w:pPr>
              <w:jc w:val="center"/>
              <w:rPr>
                <w:rFonts w:hint="eastAsia" w:ascii="宋体" w:hAnsi="宋体" w:eastAsia="宋体" w:cs="宋体"/>
                <w:i w:val="0"/>
                <w:iCs w:val="0"/>
                <w:color w:val="000000"/>
                <w:sz w:val="22"/>
                <w:szCs w:val="22"/>
                <w:u w:val="none"/>
              </w:rPr>
            </w:pPr>
          </w:p>
        </w:tc>
      </w:tr>
      <w:tr w14:paraId="6D9AB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6C5A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05" w:type="pct"/>
            <w:tcBorders>
              <w:tl2br w:val="nil"/>
              <w:tr2bl w:val="nil"/>
            </w:tcBorders>
            <w:noWrap w:val="0"/>
            <w:vAlign w:val="center"/>
          </w:tcPr>
          <w:p w14:paraId="18C28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防撞扶手</w:t>
            </w:r>
          </w:p>
        </w:tc>
        <w:tc>
          <w:tcPr>
            <w:tcW w:w="1653" w:type="pct"/>
            <w:tcBorders>
              <w:tl2br w:val="nil"/>
              <w:tr2bl w:val="nil"/>
            </w:tcBorders>
            <w:noWrap w:val="0"/>
            <w:vAlign w:val="center"/>
          </w:tcPr>
          <w:p w14:paraId="54C82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金品格、祥韵、科菲</w:t>
            </w:r>
          </w:p>
        </w:tc>
        <w:tc>
          <w:tcPr>
            <w:tcW w:w="493" w:type="pct"/>
            <w:tcBorders>
              <w:tl2br w:val="nil"/>
              <w:tr2bl w:val="nil"/>
            </w:tcBorders>
            <w:noWrap w:val="0"/>
            <w:vAlign w:val="center"/>
          </w:tcPr>
          <w:p w14:paraId="1A0D6EE5">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0EE36A8">
            <w:pPr>
              <w:jc w:val="center"/>
              <w:rPr>
                <w:rFonts w:hint="eastAsia" w:ascii="宋体" w:hAnsi="宋体" w:eastAsia="宋体" w:cs="宋体"/>
                <w:i w:val="0"/>
                <w:iCs w:val="0"/>
                <w:color w:val="000000"/>
                <w:sz w:val="22"/>
                <w:szCs w:val="22"/>
                <w:u w:val="none"/>
              </w:rPr>
            </w:pPr>
          </w:p>
        </w:tc>
      </w:tr>
      <w:tr w14:paraId="074AE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364E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05" w:type="pct"/>
            <w:tcBorders>
              <w:tl2br w:val="nil"/>
              <w:tr2bl w:val="nil"/>
            </w:tcBorders>
            <w:noWrap w:val="0"/>
            <w:vAlign w:val="center"/>
          </w:tcPr>
          <w:p w14:paraId="24072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防辐射门、防辐射玻璃</w:t>
            </w:r>
          </w:p>
        </w:tc>
        <w:tc>
          <w:tcPr>
            <w:tcW w:w="1653" w:type="pct"/>
            <w:tcBorders>
              <w:tl2br w:val="nil"/>
              <w:tr2bl w:val="nil"/>
            </w:tcBorders>
            <w:noWrap w:val="0"/>
            <w:vAlign w:val="center"/>
          </w:tcPr>
          <w:p w14:paraId="087A7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华克、路遥、天津万木</w:t>
            </w:r>
          </w:p>
        </w:tc>
        <w:tc>
          <w:tcPr>
            <w:tcW w:w="493" w:type="pct"/>
            <w:tcBorders>
              <w:tl2br w:val="nil"/>
              <w:tr2bl w:val="nil"/>
            </w:tcBorders>
            <w:noWrap w:val="0"/>
            <w:vAlign w:val="center"/>
          </w:tcPr>
          <w:p w14:paraId="0E6E88EA">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1B0319E">
            <w:pPr>
              <w:jc w:val="center"/>
              <w:rPr>
                <w:rFonts w:hint="eastAsia" w:ascii="宋体" w:hAnsi="宋体" w:eastAsia="宋体" w:cs="宋体"/>
                <w:i w:val="0"/>
                <w:iCs w:val="0"/>
                <w:color w:val="000000"/>
                <w:sz w:val="22"/>
                <w:szCs w:val="22"/>
                <w:u w:val="none"/>
              </w:rPr>
            </w:pPr>
          </w:p>
        </w:tc>
      </w:tr>
      <w:tr w14:paraId="3A791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6FA1E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05" w:type="pct"/>
            <w:tcBorders>
              <w:tl2br w:val="nil"/>
              <w:tr2bl w:val="nil"/>
            </w:tcBorders>
            <w:noWrap w:val="0"/>
            <w:vAlign w:val="center"/>
          </w:tcPr>
          <w:p w14:paraId="07051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铅板</w:t>
            </w:r>
          </w:p>
        </w:tc>
        <w:tc>
          <w:tcPr>
            <w:tcW w:w="1653" w:type="pct"/>
            <w:tcBorders>
              <w:tl2br w:val="nil"/>
              <w:tr2bl w:val="nil"/>
            </w:tcBorders>
            <w:noWrap w:val="0"/>
            <w:vAlign w:val="center"/>
          </w:tcPr>
          <w:p w14:paraId="6CDDD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华克、路遥、天津万木</w:t>
            </w:r>
          </w:p>
        </w:tc>
        <w:tc>
          <w:tcPr>
            <w:tcW w:w="493" w:type="pct"/>
            <w:tcBorders>
              <w:tl2br w:val="nil"/>
              <w:tr2bl w:val="nil"/>
            </w:tcBorders>
            <w:noWrap w:val="0"/>
            <w:vAlign w:val="center"/>
          </w:tcPr>
          <w:p w14:paraId="1DBBEE7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65990CB">
            <w:pPr>
              <w:jc w:val="center"/>
              <w:rPr>
                <w:rFonts w:hint="eastAsia" w:ascii="宋体" w:hAnsi="宋体" w:eastAsia="宋体" w:cs="宋体"/>
                <w:i w:val="0"/>
                <w:iCs w:val="0"/>
                <w:color w:val="000000"/>
                <w:sz w:val="22"/>
                <w:szCs w:val="22"/>
                <w:u w:val="none"/>
              </w:rPr>
            </w:pPr>
          </w:p>
        </w:tc>
      </w:tr>
      <w:tr w14:paraId="1DB996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3E37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305" w:type="pct"/>
            <w:tcBorders>
              <w:tl2br w:val="nil"/>
              <w:tr2bl w:val="nil"/>
            </w:tcBorders>
            <w:noWrap w:val="0"/>
            <w:vAlign w:val="center"/>
          </w:tcPr>
          <w:p w14:paraId="5724B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防辐射涂料</w:t>
            </w:r>
          </w:p>
        </w:tc>
        <w:tc>
          <w:tcPr>
            <w:tcW w:w="1653" w:type="pct"/>
            <w:tcBorders>
              <w:tl2br w:val="nil"/>
              <w:tr2bl w:val="nil"/>
            </w:tcBorders>
            <w:noWrap w:val="0"/>
            <w:vAlign w:val="center"/>
          </w:tcPr>
          <w:p w14:paraId="2EE5A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华克、路遥、天津万木</w:t>
            </w:r>
          </w:p>
        </w:tc>
        <w:tc>
          <w:tcPr>
            <w:tcW w:w="493" w:type="pct"/>
            <w:tcBorders>
              <w:tl2br w:val="nil"/>
              <w:tr2bl w:val="nil"/>
            </w:tcBorders>
            <w:noWrap w:val="0"/>
            <w:vAlign w:val="center"/>
          </w:tcPr>
          <w:p w14:paraId="0AEDB69D">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FFE3001">
            <w:pPr>
              <w:jc w:val="center"/>
              <w:rPr>
                <w:rFonts w:hint="eastAsia" w:ascii="宋体" w:hAnsi="宋体" w:eastAsia="宋体" w:cs="宋体"/>
                <w:i w:val="0"/>
                <w:iCs w:val="0"/>
                <w:color w:val="000000"/>
                <w:sz w:val="22"/>
                <w:szCs w:val="22"/>
                <w:u w:val="none"/>
              </w:rPr>
            </w:pPr>
          </w:p>
        </w:tc>
      </w:tr>
      <w:tr w14:paraId="6E3DC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609A4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305" w:type="pct"/>
            <w:tcBorders>
              <w:tl2br w:val="nil"/>
              <w:tr2bl w:val="nil"/>
            </w:tcBorders>
            <w:noWrap w:val="0"/>
            <w:vAlign w:val="center"/>
          </w:tcPr>
          <w:p w14:paraId="00774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防火隔热玻璃</w:t>
            </w:r>
          </w:p>
        </w:tc>
        <w:tc>
          <w:tcPr>
            <w:tcW w:w="1653" w:type="pct"/>
            <w:tcBorders>
              <w:tl2br w:val="nil"/>
              <w:tr2bl w:val="nil"/>
            </w:tcBorders>
            <w:noWrap w:val="0"/>
            <w:vAlign w:val="center"/>
          </w:tcPr>
          <w:p w14:paraId="128F7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南玻、信义、金刚</w:t>
            </w:r>
          </w:p>
        </w:tc>
        <w:tc>
          <w:tcPr>
            <w:tcW w:w="493" w:type="pct"/>
            <w:tcBorders>
              <w:tl2br w:val="nil"/>
              <w:tr2bl w:val="nil"/>
            </w:tcBorders>
            <w:noWrap w:val="0"/>
            <w:vAlign w:val="center"/>
          </w:tcPr>
          <w:p w14:paraId="753D8C3A">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74AEE8A">
            <w:pPr>
              <w:jc w:val="center"/>
              <w:rPr>
                <w:rFonts w:hint="eastAsia" w:ascii="宋体" w:hAnsi="宋体" w:eastAsia="宋体" w:cs="宋体"/>
                <w:i w:val="0"/>
                <w:iCs w:val="0"/>
                <w:color w:val="000000"/>
                <w:sz w:val="22"/>
                <w:szCs w:val="22"/>
                <w:u w:val="none"/>
              </w:rPr>
            </w:pPr>
          </w:p>
        </w:tc>
      </w:tr>
      <w:tr w14:paraId="330BC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139C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305" w:type="pct"/>
            <w:tcBorders>
              <w:tl2br w:val="nil"/>
              <w:tr2bl w:val="nil"/>
            </w:tcBorders>
            <w:noWrap w:val="0"/>
            <w:vAlign w:val="center"/>
          </w:tcPr>
          <w:p w14:paraId="1C47F8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不锈钢传递窗</w:t>
            </w:r>
          </w:p>
        </w:tc>
        <w:tc>
          <w:tcPr>
            <w:tcW w:w="1653" w:type="pct"/>
            <w:tcBorders>
              <w:tl2br w:val="nil"/>
              <w:tr2bl w:val="nil"/>
            </w:tcBorders>
            <w:noWrap w:val="0"/>
            <w:vAlign w:val="center"/>
          </w:tcPr>
          <w:p w14:paraId="039807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中景、鹏弛、铭铉</w:t>
            </w:r>
          </w:p>
        </w:tc>
        <w:tc>
          <w:tcPr>
            <w:tcW w:w="493" w:type="pct"/>
            <w:tcBorders>
              <w:tl2br w:val="nil"/>
              <w:tr2bl w:val="nil"/>
            </w:tcBorders>
            <w:noWrap w:val="0"/>
            <w:vAlign w:val="center"/>
          </w:tcPr>
          <w:p w14:paraId="29824D66">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5731D1E">
            <w:pPr>
              <w:jc w:val="center"/>
              <w:rPr>
                <w:rFonts w:hint="eastAsia" w:ascii="宋体" w:hAnsi="宋体" w:eastAsia="宋体" w:cs="宋体"/>
                <w:i w:val="0"/>
                <w:iCs w:val="0"/>
                <w:color w:val="000000"/>
                <w:sz w:val="22"/>
                <w:szCs w:val="22"/>
                <w:u w:val="none"/>
              </w:rPr>
            </w:pPr>
          </w:p>
        </w:tc>
      </w:tr>
      <w:tr w14:paraId="71500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152517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w:t>
            </w:r>
          </w:p>
        </w:tc>
        <w:tc>
          <w:tcPr>
            <w:tcW w:w="4613" w:type="pct"/>
            <w:gridSpan w:val="4"/>
            <w:tcBorders>
              <w:tl2br w:val="nil"/>
              <w:tr2bl w:val="nil"/>
            </w:tcBorders>
            <w:noWrap w:val="0"/>
            <w:vAlign w:val="center"/>
          </w:tcPr>
          <w:p w14:paraId="140269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电梯工程</w:t>
            </w:r>
          </w:p>
        </w:tc>
      </w:tr>
      <w:tr w14:paraId="6C3E5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64C15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36DBB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w:t>
            </w:r>
          </w:p>
        </w:tc>
        <w:tc>
          <w:tcPr>
            <w:tcW w:w="1653" w:type="pct"/>
            <w:tcBorders>
              <w:tl2br w:val="nil"/>
              <w:tr2bl w:val="nil"/>
            </w:tcBorders>
            <w:noWrap w:val="0"/>
            <w:vAlign w:val="center"/>
          </w:tcPr>
          <w:p w14:paraId="3F9FB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日立、奥的斯、三菱</w:t>
            </w:r>
          </w:p>
        </w:tc>
        <w:tc>
          <w:tcPr>
            <w:tcW w:w="493" w:type="pct"/>
            <w:tcBorders>
              <w:tl2br w:val="nil"/>
              <w:tr2bl w:val="nil"/>
            </w:tcBorders>
            <w:noWrap w:val="0"/>
            <w:vAlign w:val="center"/>
          </w:tcPr>
          <w:p w14:paraId="2EBD1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1F995BB1">
            <w:pPr>
              <w:jc w:val="center"/>
              <w:rPr>
                <w:rFonts w:hint="eastAsia" w:ascii="宋体" w:hAnsi="宋体" w:eastAsia="宋体" w:cs="宋体"/>
                <w:i w:val="0"/>
                <w:iCs w:val="0"/>
                <w:color w:val="000000"/>
                <w:sz w:val="22"/>
                <w:szCs w:val="22"/>
                <w:u w:val="none"/>
              </w:rPr>
            </w:pPr>
          </w:p>
        </w:tc>
      </w:tr>
      <w:tr w14:paraId="7E8607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0584FF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w:t>
            </w:r>
          </w:p>
        </w:tc>
        <w:tc>
          <w:tcPr>
            <w:tcW w:w="4613" w:type="pct"/>
            <w:gridSpan w:val="4"/>
            <w:tcBorders>
              <w:tl2br w:val="nil"/>
              <w:tr2bl w:val="nil"/>
            </w:tcBorders>
            <w:noWrap w:val="0"/>
            <w:vAlign w:val="center"/>
          </w:tcPr>
          <w:p w14:paraId="51349D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弱电工程</w:t>
            </w:r>
          </w:p>
        </w:tc>
      </w:tr>
      <w:tr w14:paraId="28530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36B59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2F658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综合布线系统</w:t>
            </w:r>
          </w:p>
        </w:tc>
        <w:tc>
          <w:tcPr>
            <w:tcW w:w="1653" w:type="pct"/>
            <w:tcBorders>
              <w:tl2br w:val="nil"/>
              <w:tr2bl w:val="nil"/>
            </w:tcBorders>
            <w:noWrap w:val="0"/>
            <w:vAlign w:val="center"/>
          </w:tcPr>
          <w:p w14:paraId="72BB3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宇洪、福禄克、欢联</w:t>
            </w:r>
          </w:p>
        </w:tc>
        <w:tc>
          <w:tcPr>
            <w:tcW w:w="493" w:type="pct"/>
            <w:tcBorders>
              <w:tl2br w:val="nil"/>
              <w:tr2bl w:val="nil"/>
            </w:tcBorders>
            <w:noWrap w:val="0"/>
            <w:vAlign w:val="center"/>
          </w:tcPr>
          <w:p w14:paraId="50FBC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586D7B88">
            <w:pPr>
              <w:jc w:val="center"/>
              <w:rPr>
                <w:rFonts w:hint="eastAsia" w:ascii="宋体" w:hAnsi="宋体" w:eastAsia="宋体" w:cs="宋体"/>
                <w:i w:val="0"/>
                <w:iCs w:val="0"/>
                <w:color w:val="000000"/>
                <w:sz w:val="22"/>
                <w:szCs w:val="22"/>
                <w:u w:val="none"/>
              </w:rPr>
            </w:pPr>
          </w:p>
        </w:tc>
      </w:tr>
      <w:tr w14:paraId="58600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64E7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pct"/>
            <w:tcBorders>
              <w:tl2br w:val="nil"/>
              <w:tr2bl w:val="nil"/>
            </w:tcBorders>
            <w:noWrap w:val="0"/>
            <w:vAlign w:val="center"/>
          </w:tcPr>
          <w:p w14:paraId="5A7E8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弱电线缆</w:t>
            </w:r>
          </w:p>
        </w:tc>
        <w:tc>
          <w:tcPr>
            <w:tcW w:w="1653" w:type="pct"/>
            <w:tcBorders>
              <w:tl2br w:val="nil"/>
              <w:tr2bl w:val="nil"/>
            </w:tcBorders>
            <w:noWrap w:val="0"/>
            <w:vAlign w:val="center"/>
          </w:tcPr>
          <w:p w14:paraId="4D968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宇洪、福禄克、欢联</w:t>
            </w:r>
          </w:p>
        </w:tc>
        <w:tc>
          <w:tcPr>
            <w:tcW w:w="493" w:type="pct"/>
            <w:tcBorders>
              <w:tl2br w:val="nil"/>
              <w:tr2bl w:val="nil"/>
            </w:tcBorders>
            <w:noWrap w:val="0"/>
            <w:vAlign w:val="center"/>
          </w:tcPr>
          <w:p w14:paraId="078AD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68BCB3DE">
            <w:pPr>
              <w:jc w:val="center"/>
              <w:rPr>
                <w:rFonts w:hint="eastAsia" w:ascii="宋体" w:hAnsi="宋体" w:eastAsia="宋体" w:cs="宋体"/>
                <w:i w:val="0"/>
                <w:iCs w:val="0"/>
                <w:color w:val="000000"/>
                <w:sz w:val="22"/>
                <w:szCs w:val="22"/>
                <w:u w:val="none"/>
              </w:rPr>
            </w:pPr>
          </w:p>
        </w:tc>
      </w:tr>
      <w:tr w14:paraId="50328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E69E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pct"/>
            <w:tcBorders>
              <w:tl2br w:val="nil"/>
              <w:tr2bl w:val="nil"/>
            </w:tcBorders>
            <w:noWrap w:val="0"/>
            <w:vAlign w:val="center"/>
          </w:tcPr>
          <w:p w14:paraId="554DFF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计算机网络系统</w:t>
            </w:r>
          </w:p>
        </w:tc>
        <w:tc>
          <w:tcPr>
            <w:tcW w:w="1653" w:type="pct"/>
            <w:tcBorders>
              <w:tl2br w:val="nil"/>
              <w:tr2bl w:val="nil"/>
            </w:tcBorders>
            <w:noWrap w:val="0"/>
            <w:vAlign w:val="center"/>
          </w:tcPr>
          <w:p w14:paraId="1BCC8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华为、锐捷、中兴</w:t>
            </w:r>
          </w:p>
        </w:tc>
        <w:tc>
          <w:tcPr>
            <w:tcW w:w="493" w:type="pct"/>
            <w:tcBorders>
              <w:tl2br w:val="nil"/>
              <w:tr2bl w:val="nil"/>
            </w:tcBorders>
            <w:noWrap w:val="0"/>
            <w:vAlign w:val="center"/>
          </w:tcPr>
          <w:p w14:paraId="6C35B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5CFF2E39">
            <w:pPr>
              <w:jc w:val="center"/>
              <w:rPr>
                <w:rFonts w:hint="eastAsia" w:ascii="宋体" w:hAnsi="宋体" w:eastAsia="宋体" w:cs="宋体"/>
                <w:i w:val="0"/>
                <w:iCs w:val="0"/>
                <w:color w:val="000000"/>
                <w:sz w:val="22"/>
                <w:szCs w:val="22"/>
                <w:u w:val="none"/>
              </w:rPr>
            </w:pPr>
          </w:p>
        </w:tc>
      </w:tr>
      <w:tr w14:paraId="6D135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B43D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pct"/>
            <w:tcBorders>
              <w:tl2br w:val="nil"/>
              <w:tr2bl w:val="nil"/>
            </w:tcBorders>
            <w:noWrap w:val="0"/>
            <w:vAlign w:val="center"/>
          </w:tcPr>
          <w:p w14:paraId="3E384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数字视频监控系统</w:t>
            </w:r>
          </w:p>
        </w:tc>
        <w:tc>
          <w:tcPr>
            <w:tcW w:w="1653" w:type="pct"/>
            <w:tcBorders>
              <w:tl2br w:val="nil"/>
              <w:tr2bl w:val="nil"/>
            </w:tcBorders>
            <w:noWrap w:val="0"/>
            <w:vAlign w:val="center"/>
          </w:tcPr>
          <w:p w14:paraId="37A0AA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海康威视、浙江大华、宇视</w:t>
            </w:r>
          </w:p>
        </w:tc>
        <w:tc>
          <w:tcPr>
            <w:tcW w:w="493" w:type="pct"/>
            <w:tcBorders>
              <w:tl2br w:val="nil"/>
              <w:tr2bl w:val="nil"/>
            </w:tcBorders>
            <w:noWrap w:val="0"/>
            <w:vAlign w:val="center"/>
          </w:tcPr>
          <w:p w14:paraId="46C03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19369958">
            <w:pPr>
              <w:jc w:val="center"/>
              <w:rPr>
                <w:rFonts w:hint="eastAsia" w:ascii="宋体" w:hAnsi="宋体" w:eastAsia="宋体" w:cs="宋体"/>
                <w:i w:val="0"/>
                <w:iCs w:val="0"/>
                <w:color w:val="000000"/>
                <w:sz w:val="22"/>
                <w:szCs w:val="22"/>
                <w:u w:val="none"/>
              </w:rPr>
            </w:pPr>
          </w:p>
        </w:tc>
      </w:tr>
      <w:tr w14:paraId="20C7D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03EBD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5" w:type="pct"/>
            <w:tcBorders>
              <w:tl2br w:val="nil"/>
              <w:tr2bl w:val="nil"/>
            </w:tcBorders>
            <w:noWrap w:val="0"/>
            <w:vAlign w:val="center"/>
          </w:tcPr>
          <w:p w14:paraId="4CC44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出入口控制系统</w:t>
            </w:r>
          </w:p>
        </w:tc>
        <w:tc>
          <w:tcPr>
            <w:tcW w:w="1653" w:type="pct"/>
            <w:tcBorders>
              <w:tl2br w:val="nil"/>
              <w:tr2bl w:val="nil"/>
            </w:tcBorders>
            <w:noWrap w:val="0"/>
            <w:vAlign w:val="center"/>
          </w:tcPr>
          <w:p w14:paraId="56A96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海康威视、瑞立德、捷顺</w:t>
            </w:r>
          </w:p>
        </w:tc>
        <w:tc>
          <w:tcPr>
            <w:tcW w:w="493" w:type="pct"/>
            <w:tcBorders>
              <w:tl2br w:val="nil"/>
              <w:tr2bl w:val="nil"/>
            </w:tcBorders>
            <w:noWrap w:val="0"/>
            <w:vAlign w:val="center"/>
          </w:tcPr>
          <w:p w14:paraId="4073EC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65D6BC25">
            <w:pPr>
              <w:jc w:val="center"/>
              <w:rPr>
                <w:rFonts w:hint="eastAsia" w:ascii="宋体" w:hAnsi="宋体" w:eastAsia="宋体" w:cs="宋体"/>
                <w:i w:val="0"/>
                <w:iCs w:val="0"/>
                <w:color w:val="000000"/>
                <w:sz w:val="22"/>
                <w:szCs w:val="22"/>
                <w:u w:val="none"/>
              </w:rPr>
            </w:pPr>
          </w:p>
        </w:tc>
      </w:tr>
      <w:tr w14:paraId="50AD35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D1844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5" w:type="pct"/>
            <w:tcBorders>
              <w:tl2br w:val="nil"/>
              <w:tr2bl w:val="nil"/>
            </w:tcBorders>
            <w:noWrap w:val="0"/>
            <w:vAlign w:val="center"/>
          </w:tcPr>
          <w:p w14:paraId="4599E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电子巡更系统</w:t>
            </w:r>
          </w:p>
        </w:tc>
        <w:tc>
          <w:tcPr>
            <w:tcW w:w="1653" w:type="pct"/>
            <w:tcBorders>
              <w:tl2br w:val="nil"/>
              <w:tr2bl w:val="nil"/>
            </w:tcBorders>
            <w:noWrap w:val="0"/>
            <w:vAlign w:val="center"/>
          </w:tcPr>
          <w:p w14:paraId="59B987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兰德华、安居宝、海康威视</w:t>
            </w:r>
          </w:p>
        </w:tc>
        <w:tc>
          <w:tcPr>
            <w:tcW w:w="493" w:type="pct"/>
            <w:tcBorders>
              <w:tl2br w:val="nil"/>
              <w:tr2bl w:val="nil"/>
            </w:tcBorders>
            <w:noWrap w:val="0"/>
            <w:vAlign w:val="center"/>
          </w:tcPr>
          <w:p w14:paraId="3BACE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34573444">
            <w:pPr>
              <w:jc w:val="center"/>
              <w:rPr>
                <w:rFonts w:hint="eastAsia" w:ascii="宋体" w:hAnsi="宋体" w:eastAsia="宋体" w:cs="宋体"/>
                <w:i w:val="0"/>
                <w:iCs w:val="0"/>
                <w:color w:val="000000"/>
                <w:sz w:val="22"/>
                <w:szCs w:val="22"/>
                <w:u w:val="none"/>
              </w:rPr>
            </w:pPr>
          </w:p>
        </w:tc>
      </w:tr>
      <w:tr w14:paraId="0E03B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E429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5" w:type="pct"/>
            <w:tcBorders>
              <w:tl2br w:val="nil"/>
              <w:tr2bl w:val="nil"/>
            </w:tcBorders>
            <w:noWrap w:val="0"/>
            <w:vAlign w:val="center"/>
          </w:tcPr>
          <w:p w14:paraId="03398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停车场系统</w:t>
            </w:r>
          </w:p>
        </w:tc>
        <w:tc>
          <w:tcPr>
            <w:tcW w:w="1653" w:type="pct"/>
            <w:tcBorders>
              <w:tl2br w:val="nil"/>
              <w:tr2bl w:val="nil"/>
            </w:tcBorders>
            <w:noWrap w:val="0"/>
            <w:vAlign w:val="center"/>
          </w:tcPr>
          <w:p w14:paraId="557BC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海康威视、捷顺、富士</w:t>
            </w:r>
          </w:p>
        </w:tc>
        <w:tc>
          <w:tcPr>
            <w:tcW w:w="493" w:type="pct"/>
            <w:tcBorders>
              <w:tl2br w:val="nil"/>
              <w:tr2bl w:val="nil"/>
            </w:tcBorders>
            <w:noWrap w:val="0"/>
            <w:vAlign w:val="center"/>
          </w:tcPr>
          <w:p w14:paraId="44A3F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71BE992B">
            <w:pPr>
              <w:jc w:val="center"/>
              <w:rPr>
                <w:rFonts w:hint="eastAsia" w:ascii="宋体" w:hAnsi="宋体" w:eastAsia="宋体" w:cs="宋体"/>
                <w:i w:val="0"/>
                <w:iCs w:val="0"/>
                <w:color w:val="000000"/>
                <w:sz w:val="22"/>
                <w:szCs w:val="22"/>
                <w:u w:val="none"/>
              </w:rPr>
            </w:pPr>
          </w:p>
        </w:tc>
      </w:tr>
      <w:tr w14:paraId="51390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093AA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5" w:type="pct"/>
            <w:tcBorders>
              <w:tl2br w:val="nil"/>
              <w:tr2bl w:val="nil"/>
            </w:tcBorders>
            <w:noWrap w:val="0"/>
            <w:vAlign w:val="center"/>
          </w:tcPr>
          <w:p w14:paraId="7D26C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广播系统</w:t>
            </w:r>
          </w:p>
        </w:tc>
        <w:tc>
          <w:tcPr>
            <w:tcW w:w="1653" w:type="pct"/>
            <w:tcBorders>
              <w:tl2br w:val="nil"/>
              <w:tr2bl w:val="nil"/>
            </w:tcBorders>
            <w:noWrap w:val="0"/>
            <w:vAlign w:val="center"/>
          </w:tcPr>
          <w:p w14:paraId="264D1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科迪声、音舒雅、迪士普</w:t>
            </w:r>
          </w:p>
        </w:tc>
        <w:tc>
          <w:tcPr>
            <w:tcW w:w="493" w:type="pct"/>
            <w:tcBorders>
              <w:tl2br w:val="nil"/>
              <w:tr2bl w:val="nil"/>
            </w:tcBorders>
            <w:noWrap w:val="0"/>
            <w:vAlign w:val="center"/>
          </w:tcPr>
          <w:p w14:paraId="3D5A1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中档</w:t>
            </w:r>
          </w:p>
        </w:tc>
        <w:tc>
          <w:tcPr>
            <w:tcW w:w="1160" w:type="pct"/>
            <w:tcBorders>
              <w:tl2br w:val="nil"/>
              <w:tr2bl w:val="nil"/>
            </w:tcBorders>
            <w:noWrap/>
            <w:vAlign w:val="center"/>
          </w:tcPr>
          <w:p w14:paraId="666EBCB7">
            <w:pPr>
              <w:jc w:val="center"/>
              <w:rPr>
                <w:rFonts w:hint="eastAsia" w:ascii="宋体" w:hAnsi="宋体" w:eastAsia="宋体" w:cs="宋体"/>
                <w:i w:val="0"/>
                <w:iCs w:val="0"/>
                <w:color w:val="000000"/>
                <w:sz w:val="22"/>
                <w:szCs w:val="22"/>
                <w:u w:val="none"/>
              </w:rPr>
            </w:pPr>
          </w:p>
        </w:tc>
      </w:tr>
      <w:tr w14:paraId="29EE3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30246F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w:t>
            </w:r>
          </w:p>
        </w:tc>
        <w:tc>
          <w:tcPr>
            <w:tcW w:w="4613" w:type="pct"/>
            <w:gridSpan w:val="4"/>
            <w:tcBorders>
              <w:tl2br w:val="nil"/>
              <w:tr2bl w:val="nil"/>
            </w:tcBorders>
            <w:noWrap w:val="0"/>
            <w:vAlign w:val="center"/>
          </w:tcPr>
          <w:p w14:paraId="0BA4B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电气系统</w:t>
            </w:r>
          </w:p>
        </w:tc>
      </w:tr>
      <w:tr w14:paraId="54DC6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03141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5B314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中、低压开关柜及配电箱</w:t>
            </w:r>
          </w:p>
        </w:tc>
        <w:tc>
          <w:tcPr>
            <w:tcW w:w="1653" w:type="pct"/>
            <w:tcBorders>
              <w:tl2br w:val="nil"/>
              <w:tr2bl w:val="nil"/>
            </w:tcBorders>
            <w:noWrap w:val="0"/>
            <w:vAlign w:val="center"/>
          </w:tcPr>
          <w:p w14:paraId="777864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广州澳升、珠海丰兰、广州广高</w:t>
            </w:r>
          </w:p>
        </w:tc>
        <w:tc>
          <w:tcPr>
            <w:tcW w:w="493" w:type="pct"/>
            <w:tcBorders>
              <w:tl2br w:val="nil"/>
              <w:tr2bl w:val="nil"/>
            </w:tcBorders>
            <w:noWrap w:val="0"/>
            <w:vAlign w:val="center"/>
          </w:tcPr>
          <w:p w14:paraId="6F38DB4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5FAACB6">
            <w:pPr>
              <w:jc w:val="center"/>
              <w:rPr>
                <w:rFonts w:hint="eastAsia" w:ascii="宋体" w:hAnsi="宋体" w:eastAsia="宋体" w:cs="宋体"/>
                <w:i w:val="0"/>
                <w:iCs w:val="0"/>
                <w:color w:val="000000"/>
                <w:sz w:val="22"/>
                <w:szCs w:val="22"/>
                <w:u w:val="none"/>
              </w:rPr>
            </w:pPr>
          </w:p>
        </w:tc>
      </w:tr>
      <w:tr w14:paraId="098005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6D7C5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pct"/>
            <w:tcBorders>
              <w:tl2br w:val="nil"/>
              <w:tr2bl w:val="nil"/>
            </w:tcBorders>
            <w:noWrap w:val="0"/>
            <w:vAlign w:val="center"/>
          </w:tcPr>
          <w:p w14:paraId="5A14CB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中、低压开关柜及配电箱内核心元件</w:t>
            </w:r>
          </w:p>
        </w:tc>
        <w:tc>
          <w:tcPr>
            <w:tcW w:w="1653" w:type="pct"/>
            <w:tcBorders>
              <w:tl2br w:val="nil"/>
              <w:tr2bl w:val="nil"/>
            </w:tcBorders>
            <w:noWrap w:val="0"/>
            <w:vAlign w:val="center"/>
          </w:tcPr>
          <w:p w14:paraId="23AED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施耐德电器（中国）有限公司、浙江天正股份有限公司、广州白云电器设备、德力西集团有限公司（或相当于）</w:t>
            </w:r>
          </w:p>
        </w:tc>
        <w:tc>
          <w:tcPr>
            <w:tcW w:w="493" w:type="pct"/>
            <w:tcBorders>
              <w:tl2br w:val="nil"/>
              <w:tr2bl w:val="nil"/>
            </w:tcBorders>
            <w:noWrap w:val="0"/>
            <w:vAlign w:val="center"/>
          </w:tcPr>
          <w:p w14:paraId="5EEC9CF2">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14D2527">
            <w:pPr>
              <w:jc w:val="center"/>
              <w:rPr>
                <w:rFonts w:hint="eastAsia" w:ascii="宋体" w:hAnsi="宋体" w:eastAsia="宋体" w:cs="宋体"/>
                <w:i w:val="0"/>
                <w:iCs w:val="0"/>
                <w:color w:val="000000"/>
                <w:sz w:val="22"/>
                <w:szCs w:val="22"/>
                <w:u w:val="none"/>
              </w:rPr>
            </w:pPr>
          </w:p>
        </w:tc>
      </w:tr>
      <w:tr w14:paraId="584AB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352ED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pct"/>
            <w:tcBorders>
              <w:tl2br w:val="nil"/>
              <w:tr2bl w:val="nil"/>
            </w:tcBorders>
            <w:noWrap w:val="0"/>
            <w:vAlign w:val="center"/>
          </w:tcPr>
          <w:p w14:paraId="13102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室内照明</w:t>
            </w:r>
          </w:p>
        </w:tc>
        <w:tc>
          <w:tcPr>
            <w:tcW w:w="1653" w:type="pct"/>
            <w:tcBorders>
              <w:tl2br w:val="nil"/>
              <w:tr2bl w:val="nil"/>
            </w:tcBorders>
            <w:noWrap w:val="0"/>
            <w:vAlign w:val="center"/>
          </w:tcPr>
          <w:p w14:paraId="73216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惠州雷士光电科技有限公司、广州市九佛电器有限公司、佛山电器照明股份有限公司（或相当于）</w:t>
            </w:r>
          </w:p>
        </w:tc>
        <w:tc>
          <w:tcPr>
            <w:tcW w:w="493" w:type="pct"/>
            <w:tcBorders>
              <w:tl2br w:val="nil"/>
              <w:tr2bl w:val="nil"/>
            </w:tcBorders>
            <w:noWrap w:val="0"/>
            <w:vAlign w:val="center"/>
          </w:tcPr>
          <w:p w14:paraId="5BDB2027">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302BE12">
            <w:pPr>
              <w:jc w:val="center"/>
              <w:rPr>
                <w:rFonts w:hint="eastAsia" w:ascii="宋体" w:hAnsi="宋体" w:eastAsia="宋体" w:cs="宋体"/>
                <w:i w:val="0"/>
                <w:iCs w:val="0"/>
                <w:color w:val="000000"/>
                <w:sz w:val="22"/>
                <w:szCs w:val="22"/>
                <w:u w:val="none"/>
              </w:rPr>
            </w:pPr>
          </w:p>
        </w:tc>
      </w:tr>
      <w:tr w14:paraId="06E301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0DA72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pct"/>
            <w:tcBorders>
              <w:tl2br w:val="nil"/>
              <w:tr2bl w:val="nil"/>
            </w:tcBorders>
            <w:noWrap w:val="0"/>
            <w:vAlign w:val="center"/>
          </w:tcPr>
          <w:p w14:paraId="698AFD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室外照明</w:t>
            </w:r>
          </w:p>
        </w:tc>
        <w:tc>
          <w:tcPr>
            <w:tcW w:w="1653" w:type="pct"/>
            <w:tcBorders>
              <w:tl2br w:val="nil"/>
              <w:tr2bl w:val="nil"/>
            </w:tcBorders>
            <w:noWrap w:val="0"/>
            <w:vAlign w:val="center"/>
          </w:tcPr>
          <w:p w14:paraId="17C7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惠州雷士光电科技有限公司、广州市九佛电器有限公司、佛山电器照明股份有限公司（或相当于）</w:t>
            </w:r>
          </w:p>
        </w:tc>
        <w:tc>
          <w:tcPr>
            <w:tcW w:w="493" w:type="pct"/>
            <w:tcBorders>
              <w:tl2br w:val="nil"/>
              <w:tr2bl w:val="nil"/>
            </w:tcBorders>
            <w:noWrap w:val="0"/>
            <w:vAlign w:val="center"/>
          </w:tcPr>
          <w:p w14:paraId="2EF4A9E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2C2C8F7">
            <w:pPr>
              <w:jc w:val="center"/>
              <w:rPr>
                <w:rFonts w:hint="eastAsia" w:ascii="宋体" w:hAnsi="宋体" w:eastAsia="宋体" w:cs="宋体"/>
                <w:i w:val="0"/>
                <w:iCs w:val="0"/>
                <w:color w:val="000000"/>
                <w:sz w:val="22"/>
                <w:szCs w:val="22"/>
                <w:u w:val="none"/>
              </w:rPr>
            </w:pPr>
          </w:p>
        </w:tc>
      </w:tr>
      <w:tr w14:paraId="50065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86" w:type="pct"/>
            <w:tcBorders>
              <w:tl2br w:val="nil"/>
              <w:tr2bl w:val="nil"/>
            </w:tcBorders>
            <w:noWrap/>
            <w:vAlign w:val="center"/>
          </w:tcPr>
          <w:p w14:paraId="6AB6C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5" w:type="pct"/>
            <w:tcBorders>
              <w:tl2br w:val="nil"/>
              <w:tr2bl w:val="nil"/>
            </w:tcBorders>
            <w:noWrap w:val="0"/>
            <w:vAlign w:val="center"/>
          </w:tcPr>
          <w:p w14:paraId="6EE06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应急照明</w:t>
            </w:r>
          </w:p>
        </w:tc>
        <w:tc>
          <w:tcPr>
            <w:tcW w:w="1653" w:type="pct"/>
            <w:tcBorders>
              <w:tl2br w:val="nil"/>
              <w:tr2bl w:val="nil"/>
            </w:tcBorders>
            <w:noWrap w:val="0"/>
            <w:vAlign w:val="center"/>
          </w:tcPr>
          <w:p w14:paraId="52673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江门市艺光科技开发有限公司、江门市敏华电器有限公司、广东三雄极光照明股份有限公司、广州市九佛电器有限公司（或相当于）</w:t>
            </w:r>
          </w:p>
        </w:tc>
        <w:tc>
          <w:tcPr>
            <w:tcW w:w="493" w:type="pct"/>
            <w:tcBorders>
              <w:tl2br w:val="nil"/>
              <w:tr2bl w:val="nil"/>
            </w:tcBorders>
            <w:noWrap w:val="0"/>
            <w:vAlign w:val="center"/>
          </w:tcPr>
          <w:p w14:paraId="287EFDBD">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D3B31F4">
            <w:pPr>
              <w:jc w:val="center"/>
              <w:rPr>
                <w:rFonts w:hint="eastAsia" w:ascii="宋体" w:hAnsi="宋体" w:eastAsia="宋体" w:cs="宋体"/>
                <w:i w:val="0"/>
                <w:iCs w:val="0"/>
                <w:color w:val="000000"/>
                <w:sz w:val="22"/>
                <w:szCs w:val="22"/>
                <w:u w:val="none"/>
              </w:rPr>
            </w:pPr>
          </w:p>
        </w:tc>
      </w:tr>
      <w:tr w14:paraId="7354D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86" w:type="pct"/>
            <w:tcBorders>
              <w:tl2br w:val="nil"/>
              <w:tr2bl w:val="nil"/>
            </w:tcBorders>
            <w:noWrap/>
            <w:vAlign w:val="center"/>
          </w:tcPr>
          <w:p w14:paraId="065C6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5" w:type="pct"/>
            <w:tcBorders>
              <w:tl2br w:val="nil"/>
              <w:tr2bl w:val="nil"/>
            </w:tcBorders>
            <w:noWrap w:val="0"/>
            <w:vAlign w:val="center"/>
          </w:tcPr>
          <w:p w14:paraId="644FD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电线、电缆</w:t>
            </w:r>
          </w:p>
        </w:tc>
        <w:tc>
          <w:tcPr>
            <w:tcW w:w="1653" w:type="pct"/>
            <w:tcBorders>
              <w:tl2br w:val="nil"/>
              <w:tr2bl w:val="nil"/>
            </w:tcBorders>
            <w:noWrap w:val="0"/>
            <w:vAlign w:val="center"/>
          </w:tcPr>
          <w:p w14:paraId="6468C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广东胜宇电缆实业有限公司、广东英牌电缆实业有限公司、广州南洋电缆有限公司、广州珠江电缆有限公司、广东金龙羽集团有限公司（或相当于）</w:t>
            </w:r>
          </w:p>
        </w:tc>
        <w:tc>
          <w:tcPr>
            <w:tcW w:w="493" w:type="pct"/>
            <w:tcBorders>
              <w:tl2br w:val="nil"/>
              <w:tr2bl w:val="nil"/>
            </w:tcBorders>
            <w:noWrap w:val="0"/>
            <w:vAlign w:val="center"/>
          </w:tcPr>
          <w:p w14:paraId="2623A85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4B8E851">
            <w:pPr>
              <w:jc w:val="center"/>
              <w:rPr>
                <w:rFonts w:hint="eastAsia" w:ascii="宋体" w:hAnsi="宋体" w:eastAsia="宋体" w:cs="宋体"/>
                <w:i w:val="0"/>
                <w:iCs w:val="0"/>
                <w:color w:val="000000"/>
                <w:sz w:val="22"/>
                <w:szCs w:val="22"/>
                <w:u w:val="none"/>
              </w:rPr>
            </w:pPr>
          </w:p>
        </w:tc>
      </w:tr>
      <w:tr w14:paraId="256FD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86" w:type="pct"/>
            <w:tcBorders>
              <w:tl2br w:val="nil"/>
              <w:tr2bl w:val="nil"/>
            </w:tcBorders>
            <w:noWrap/>
            <w:vAlign w:val="center"/>
          </w:tcPr>
          <w:p w14:paraId="2B51A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5" w:type="pct"/>
            <w:tcBorders>
              <w:tl2br w:val="nil"/>
              <w:tr2bl w:val="nil"/>
            </w:tcBorders>
            <w:noWrap w:val="0"/>
            <w:vAlign w:val="center"/>
          </w:tcPr>
          <w:p w14:paraId="76027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低压母线槽</w:t>
            </w:r>
          </w:p>
        </w:tc>
        <w:tc>
          <w:tcPr>
            <w:tcW w:w="1653" w:type="pct"/>
            <w:tcBorders>
              <w:tl2br w:val="nil"/>
              <w:tr2bl w:val="nil"/>
            </w:tcBorders>
            <w:noWrap w:val="0"/>
            <w:vAlign w:val="center"/>
          </w:tcPr>
          <w:p w14:paraId="7F1A15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广东长电成套电器有限公司、广州穗达电气有限公司、广东文兴电器科技有限公司、广州宇正电气有限公司、广州白云电器设备股份有限公司（或相当于）</w:t>
            </w:r>
          </w:p>
        </w:tc>
        <w:tc>
          <w:tcPr>
            <w:tcW w:w="493" w:type="pct"/>
            <w:tcBorders>
              <w:tl2br w:val="nil"/>
              <w:tr2bl w:val="nil"/>
            </w:tcBorders>
            <w:noWrap w:val="0"/>
            <w:vAlign w:val="center"/>
          </w:tcPr>
          <w:p w14:paraId="3BF04C2A">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7342C9E">
            <w:pPr>
              <w:jc w:val="center"/>
              <w:rPr>
                <w:rFonts w:hint="eastAsia" w:ascii="宋体" w:hAnsi="宋体" w:eastAsia="宋体" w:cs="宋体"/>
                <w:i w:val="0"/>
                <w:iCs w:val="0"/>
                <w:color w:val="000000"/>
                <w:sz w:val="22"/>
                <w:szCs w:val="22"/>
                <w:u w:val="none"/>
              </w:rPr>
            </w:pPr>
          </w:p>
        </w:tc>
      </w:tr>
      <w:tr w14:paraId="7C923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0E7DB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5" w:type="pct"/>
            <w:tcBorders>
              <w:tl2br w:val="nil"/>
              <w:tr2bl w:val="nil"/>
            </w:tcBorders>
            <w:noWrap w:val="0"/>
            <w:vAlign w:val="center"/>
          </w:tcPr>
          <w:p w14:paraId="544D8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开关、插座</w:t>
            </w:r>
          </w:p>
        </w:tc>
        <w:tc>
          <w:tcPr>
            <w:tcW w:w="1653" w:type="pct"/>
            <w:tcBorders>
              <w:tl2br w:val="nil"/>
              <w:tr2bl w:val="nil"/>
            </w:tcBorders>
            <w:noWrap w:val="0"/>
            <w:vAlign w:val="center"/>
          </w:tcPr>
          <w:p w14:paraId="28523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施耐德电器（中国）有限公司、荣事达电器、松本电工、西门子电器（或相当于）</w:t>
            </w:r>
          </w:p>
        </w:tc>
        <w:tc>
          <w:tcPr>
            <w:tcW w:w="493" w:type="pct"/>
            <w:tcBorders>
              <w:tl2br w:val="nil"/>
              <w:tr2bl w:val="nil"/>
            </w:tcBorders>
            <w:noWrap w:val="0"/>
            <w:vAlign w:val="center"/>
          </w:tcPr>
          <w:p w14:paraId="6E64086D">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DD806F5">
            <w:pPr>
              <w:jc w:val="center"/>
              <w:rPr>
                <w:rFonts w:hint="eastAsia" w:ascii="宋体" w:hAnsi="宋体" w:eastAsia="宋体" w:cs="宋体"/>
                <w:i w:val="0"/>
                <w:iCs w:val="0"/>
                <w:color w:val="000000"/>
                <w:sz w:val="22"/>
                <w:szCs w:val="22"/>
                <w:u w:val="none"/>
              </w:rPr>
            </w:pPr>
          </w:p>
        </w:tc>
      </w:tr>
      <w:tr w14:paraId="5F159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2D93F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5" w:type="pct"/>
            <w:tcBorders>
              <w:tl2br w:val="nil"/>
              <w:tr2bl w:val="nil"/>
            </w:tcBorders>
            <w:noWrap w:val="0"/>
            <w:vAlign w:val="center"/>
          </w:tcPr>
          <w:p w14:paraId="02AEE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镀锌电线管</w:t>
            </w:r>
          </w:p>
        </w:tc>
        <w:tc>
          <w:tcPr>
            <w:tcW w:w="1653" w:type="pct"/>
            <w:tcBorders>
              <w:tl2br w:val="nil"/>
              <w:tr2bl w:val="nil"/>
            </w:tcBorders>
            <w:noWrap w:val="0"/>
            <w:vAlign w:val="center"/>
          </w:tcPr>
          <w:p w14:paraId="4F1DD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广东深联实业有限公司、广州天虹、广州万洲、广东宏际（或相当于）</w:t>
            </w:r>
          </w:p>
        </w:tc>
        <w:tc>
          <w:tcPr>
            <w:tcW w:w="493" w:type="pct"/>
            <w:tcBorders>
              <w:tl2br w:val="nil"/>
              <w:tr2bl w:val="nil"/>
            </w:tcBorders>
            <w:noWrap w:val="0"/>
            <w:vAlign w:val="center"/>
          </w:tcPr>
          <w:p w14:paraId="333A0887">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13D9CBD">
            <w:pPr>
              <w:jc w:val="center"/>
              <w:rPr>
                <w:rFonts w:hint="eastAsia" w:ascii="宋体" w:hAnsi="宋体" w:eastAsia="宋体" w:cs="宋体"/>
                <w:i w:val="0"/>
                <w:iCs w:val="0"/>
                <w:color w:val="000000"/>
                <w:sz w:val="22"/>
                <w:szCs w:val="22"/>
                <w:u w:val="none"/>
              </w:rPr>
            </w:pPr>
          </w:p>
        </w:tc>
      </w:tr>
      <w:tr w14:paraId="65481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86" w:type="pct"/>
            <w:tcBorders>
              <w:tl2br w:val="nil"/>
              <w:tr2bl w:val="nil"/>
            </w:tcBorders>
            <w:noWrap/>
            <w:vAlign w:val="center"/>
          </w:tcPr>
          <w:p w14:paraId="0FED0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5" w:type="pct"/>
            <w:tcBorders>
              <w:tl2br w:val="nil"/>
              <w:tr2bl w:val="nil"/>
            </w:tcBorders>
            <w:noWrap w:val="0"/>
            <w:vAlign w:val="center"/>
          </w:tcPr>
          <w:p w14:paraId="2369B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金属桥架、金属线槽</w:t>
            </w:r>
          </w:p>
        </w:tc>
        <w:tc>
          <w:tcPr>
            <w:tcW w:w="1653" w:type="pct"/>
            <w:tcBorders>
              <w:tl2br w:val="nil"/>
              <w:tr2bl w:val="nil"/>
            </w:tcBorders>
            <w:noWrap w:val="0"/>
            <w:vAlign w:val="center"/>
          </w:tcPr>
          <w:p w14:paraId="6AEB3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东莞市深亿达电缆桥架有限公司、广东一通管业科技有限公司、广东文兴电器科技有限公司、广州中广胜电气有限公司（或相当于）</w:t>
            </w:r>
          </w:p>
        </w:tc>
        <w:tc>
          <w:tcPr>
            <w:tcW w:w="493" w:type="pct"/>
            <w:tcBorders>
              <w:tl2br w:val="nil"/>
              <w:tr2bl w:val="nil"/>
            </w:tcBorders>
            <w:noWrap w:val="0"/>
            <w:vAlign w:val="center"/>
          </w:tcPr>
          <w:p w14:paraId="0DF5B951">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DB423F4">
            <w:pPr>
              <w:jc w:val="center"/>
              <w:rPr>
                <w:rFonts w:hint="eastAsia" w:ascii="宋体" w:hAnsi="宋体" w:eastAsia="宋体" w:cs="宋体"/>
                <w:i w:val="0"/>
                <w:iCs w:val="0"/>
                <w:color w:val="000000"/>
                <w:sz w:val="22"/>
                <w:szCs w:val="22"/>
                <w:u w:val="none"/>
              </w:rPr>
            </w:pPr>
          </w:p>
        </w:tc>
      </w:tr>
      <w:tr w14:paraId="36E75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5BD5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5" w:type="pct"/>
            <w:tcBorders>
              <w:tl2br w:val="nil"/>
              <w:tr2bl w:val="nil"/>
            </w:tcBorders>
            <w:noWrap w:val="0"/>
            <w:vAlign w:val="center"/>
          </w:tcPr>
          <w:p w14:paraId="07AB5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难燃塑料线管</w:t>
            </w:r>
          </w:p>
        </w:tc>
        <w:tc>
          <w:tcPr>
            <w:tcW w:w="1653" w:type="pct"/>
            <w:tcBorders>
              <w:tl2br w:val="nil"/>
              <w:tr2bl w:val="nil"/>
            </w:tcBorders>
            <w:noWrap w:val="0"/>
            <w:vAlign w:val="center"/>
          </w:tcPr>
          <w:p w14:paraId="4F823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深联、联塑、雄塑、顾地、（或相当于）</w:t>
            </w:r>
          </w:p>
        </w:tc>
        <w:tc>
          <w:tcPr>
            <w:tcW w:w="493" w:type="pct"/>
            <w:tcBorders>
              <w:tl2br w:val="nil"/>
              <w:tr2bl w:val="nil"/>
            </w:tcBorders>
            <w:noWrap w:val="0"/>
            <w:vAlign w:val="center"/>
          </w:tcPr>
          <w:p w14:paraId="10B14195">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62AE42E">
            <w:pPr>
              <w:jc w:val="center"/>
              <w:rPr>
                <w:rFonts w:hint="eastAsia" w:ascii="宋体" w:hAnsi="宋体" w:eastAsia="宋体" w:cs="宋体"/>
                <w:i w:val="0"/>
                <w:iCs w:val="0"/>
                <w:color w:val="000000"/>
                <w:sz w:val="22"/>
                <w:szCs w:val="22"/>
                <w:u w:val="none"/>
              </w:rPr>
            </w:pPr>
          </w:p>
        </w:tc>
      </w:tr>
      <w:tr w14:paraId="3B1FB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DE99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5" w:type="pct"/>
            <w:tcBorders>
              <w:tl2br w:val="nil"/>
              <w:tr2bl w:val="nil"/>
            </w:tcBorders>
            <w:noWrap w:val="0"/>
            <w:vAlign w:val="center"/>
          </w:tcPr>
          <w:p w14:paraId="2C9E9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w:t>
            </w:r>
          </w:p>
        </w:tc>
        <w:tc>
          <w:tcPr>
            <w:tcW w:w="1653" w:type="pct"/>
            <w:tcBorders>
              <w:tl2br w:val="nil"/>
              <w:tr2bl w:val="nil"/>
            </w:tcBorders>
            <w:noWrap w:val="0"/>
            <w:vAlign w:val="center"/>
          </w:tcPr>
          <w:p w14:paraId="4761A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日立、三菱、蒂森（或相当于）</w:t>
            </w:r>
          </w:p>
        </w:tc>
        <w:tc>
          <w:tcPr>
            <w:tcW w:w="493" w:type="pct"/>
            <w:tcBorders>
              <w:tl2br w:val="nil"/>
              <w:tr2bl w:val="nil"/>
            </w:tcBorders>
            <w:noWrap w:val="0"/>
            <w:vAlign w:val="center"/>
          </w:tcPr>
          <w:p w14:paraId="29182F5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6501AC9">
            <w:pPr>
              <w:jc w:val="center"/>
              <w:rPr>
                <w:rFonts w:hint="eastAsia" w:ascii="宋体" w:hAnsi="宋体" w:eastAsia="宋体" w:cs="宋体"/>
                <w:i w:val="0"/>
                <w:iCs w:val="0"/>
                <w:color w:val="000000"/>
                <w:sz w:val="22"/>
                <w:szCs w:val="22"/>
                <w:u w:val="none"/>
              </w:rPr>
            </w:pPr>
          </w:p>
        </w:tc>
      </w:tr>
      <w:tr w14:paraId="7D02D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86" w:type="pct"/>
            <w:tcBorders>
              <w:tl2br w:val="nil"/>
              <w:tr2bl w:val="nil"/>
            </w:tcBorders>
            <w:noWrap/>
            <w:vAlign w:val="center"/>
          </w:tcPr>
          <w:p w14:paraId="4CC53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5" w:type="pct"/>
            <w:tcBorders>
              <w:tl2br w:val="nil"/>
              <w:tr2bl w:val="nil"/>
            </w:tcBorders>
            <w:noWrap w:val="0"/>
            <w:vAlign w:val="center"/>
          </w:tcPr>
          <w:p w14:paraId="52D83B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变压器</w:t>
            </w:r>
          </w:p>
        </w:tc>
        <w:tc>
          <w:tcPr>
            <w:tcW w:w="1653" w:type="pct"/>
            <w:tcBorders>
              <w:tl2br w:val="nil"/>
              <w:tr2bl w:val="nil"/>
            </w:tcBorders>
            <w:noWrap w:val="0"/>
            <w:vAlign w:val="center"/>
          </w:tcPr>
          <w:p w14:paraId="1588BB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广州广高高压电器有限公司、广东广特电气股份有限公司、佛山诺亚电器有限公司、广州南车骏发电气有限公司（或相当于）</w:t>
            </w:r>
          </w:p>
        </w:tc>
        <w:tc>
          <w:tcPr>
            <w:tcW w:w="493" w:type="pct"/>
            <w:tcBorders>
              <w:tl2br w:val="nil"/>
              <w:tr2bl w:val="nil"/>
            </w:tcBorders>
            <w:noWrap w:val="0"/>
            <w:vAlign w:val="center"/>
          </w:tcPr>
          <w:p w14:paraId="41AE81F1">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C5F8238">
            <w:pPr>
              <w:jc w:val="center"/>
              <w:rPr>
                <w:rFonts w:hint="eastAsia" w:ascii="宋体" w:hAnsi="宋体" w:eastAsia="宋体" w:cs="宋体"/>
                <w:i w:val="0"/>
                <w:iCs w:val="0"/>
                <w:color w:val="000000"/>
                <w:sz w:val="22"/>
                <w:szCs w:val="22"/>
                <w:u w:val="none"/>
              </w:rPr>
            </w:pPr>
          </w:p>
        </w:tc>
      </w:tr>
      <w:tr w14:paraId="69C8D0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7A6F2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5" w:type="pct"/>
            <w:tcBorders>
              <w:tl2br w:val="nil"/>
              <w:tr2bl w:val="nil"/>
            </w:tcBorders>
            <w:noWrap w:val="0"/>
            <w:vAlign w:val="center"/>
          </w:tcPr>
          <w:p w14:paraId="343C0F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电表</w:t>
            </w:r>
          </w:p>
        </w:tc>
        <w:tc>
          <w:tcPr>
            <w:tcW w:w="1653" w:type="pct"/>
            <w:tcBorders>
              <w:tl2br w:val="nil"/>
              <w:tr2bl w:val="nil"/>
            </w:tcBorders>
            <w:noWrap w:val="0"/>
            <w:vAlign w:val="center"/>
          </w:tcPr>
          <w:p w14:paraId="448C3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林洋、万泰、肇庆市金贝麟新型建材有限公司</w:t>
            </w:r>
          </w:p>
        </w:tc>
        <w:tc>
          <w:tcPr>
            <w:tcW w:w="493" w:type="pct"/>
            <w:tcBorders>
              <w:tl2br w:val="nil"/>
              <w:tr2bl w:val="nil"/>
            </w:tcBorders>
            <w:noWrap w:val="0"/>
            <w:vAlign w:val="center"/>
          </w:tcPr>
          <w:p w14:paraId="6569A568">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D7B8D5F">
            <w:pPr>
              <w:jc w:val="center"/>
              <w:rPr>
                <w:rFonts w:hint="eastAsia" w:ascii="宋体" w:hAnsi="宋体" w:eastAsia="宋体" w:cs="宋体"/>
                <w:i w:val="0"/>
                <w:iCs w:val="0"/>
                <w:color w:val="000000"/>
                <w:sz w:val="22"/>
                <w:szCs w:val="22"/>
                <w:u w:val="none"/>
              </w:rPr>
            </w:pPr>
          </w:p>
        </w:tc>
      </w:tr>
      <w:tr w14:paraId="29B1E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86" w:type="pct"/>
            <w:tcBorders>
              <w:tl2br w:val="nil"/>
              <w:tr2bl w:val="nil"/>
            </w:tcBorders>
            <w:noWrap/>
            <w:vAlign w:val="center"/>
          </w:tcPr>
          <w:p w14:paraId="5D518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5" w:type="pct"/>
            <w:tcBorders>
              <w:tl2br w:val="nil"/>
              <w:tr2bl w:val="nil"/>
            </w:tcBorders>
            <w:noWrap w:val="0"/>
            <w:vAlign w:val="center"/>
          </w:tcPr>
          <w:p w14:paraId="20B2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中压开关柜(10KV)箱体</w:t>
            </w:r>
          </w:p>
        </w:tc>
        <w:tc>
          <w:tcPr>
            <w:tcW w:w="1653" w:type="pct"/>
            <w:tcBorders>
              <w:tl2br w:val="nil"/>
              <w:tr2bl w:val="nil"/>
            </w:tcBorders>
            <w:noWrap w:val="0"/>
            <w:vAlign w:val="center"/>
          </w:tcPr>
          <w:p w14:paraId="54477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广东长电成套电器有限公司、广东施富电气实业有限公司、广州白云电器设备股份有限公司、广东海坤电气实业有限公司、广州宇正电气有限公司、广州广高变压器有限公司、（或相当于）</w:t>
            </w:r>
          </w:p>
        </w:tc>
        <w:tc>
          <w:tcPr>
            <w:tcW w:w="493" w:type="pct"/>
            <w:tcBorders>
              <w:tl2br w:val="nil"/>
              <w:tr2bl w:val="nil"/>
            </w:tcBorders>
            <w:noWrap w:val="0"/>
            <w:vAlign w:val="center"/>
          </w:tcPr>
          <w:p w14:paraId="04D085F8">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D9765A2">
            <w:pPr>
              <w:jc w:val="center"/>
              <w:rPr>
                <w:rFonts w:hint="eastAsia" w:ascii="宋体" w:hAnsi="宋体" w:eastAsia="宋体" w:cs="宋体"/>
                <w:i w:val="0"/>
                <w:iCs w:val="0"/>
                <w:color w:val="000000"/>
                <w:sz w:val="22"/>
                <w:szCs w:val="22"/>
                <w:u w:val="none"/>
              </w:rPr>
            </w:pPr>
          </w:p>
        </w:tc>
      </w:tr>
      <w:tr w14:paraId="5FC64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86" w:type="pct"/>
            <w:tcBorders>
              <w:tl2br w:val="nil"/>
              <w:tr2bl w:val="nil"/>
            </w:tcBorders>
            <w:noWrap/>
            <w:vAlign w:val="center"/>
          </w:tcPr>
          <w:p w14:paraId="25B1D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5" w:type="pct"/>
            <w:tcBorders>
              <w:tl2br w:val="nil"/>
              <w:tr2bl w:val="nil"/>
            </w:tcBorders>
            <w:noWrap w:val="0"/>
            <w:vAlign w:val="center"/>
          </w:tcPr>
          <w:p w14:paraId="26B3F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低压开关柜箱体</w:t>
            </w:r>
          </w:p>
        </w:tc>
        <w:tc>
          <w:tcPr>
            <w:tcW w:w="1653" w:type="pct"/>
            <w:tcBorders>
              <w:tl2br w:val="nil"/>
              <w:tr2bl w:val="nil"/>
            </w:tcBorders>
            <w:noWrap w:val="0"/>
            <w:vAlign w:val="center"/>
          </w:tcPr>
          <w:p w14:paraId="00DBC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广东长电成套电器有限公司、广东施富电气实业有限公司、广州白云电器设备股份有限公司、广东海坤电气实业有限公司、广州宇正电气有限公司、广州广高变压器有限公司、（或相当于）</w:t>
            </w:r>
          </w:p>
        </w:tc>
        <w:tc>
          <w:tcPr>
            <w:tcW w:w="493" w:type="pct"/>
            <w:tcBorders>
              <w:tl2br w:val="nil"/>
              <w:tr2bl w:val="nil"/>
            </w:tcBorders>
            <w:noWrap w:val="0"/>
            <w:vAlign w:val="center"/>
          </w:tcPr>
          <w:p w14:paraId="12964B37">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CC2F011">
            <w:pPr>
              <w:jc w:val="center"/>
              <w:rPr>
                <w:rFonts w:hint="eastAsia" w:ascii="宋体" w:hAnsi="宋体" w:eastAsia="宋体" w:cs="宋体"/>
                <w:i w:val="0"/>
                <w:iCs w:val="0"/>
                <w:color w:val="000000"/>
                <w:sz w:val="22"/>
                <w:szCs w:val="22"/>
                <w:u w:val="none"/>
              </w:rPr>
            </w:pPr>
          </w:p>
        </w:tc>
      </w:tr>
      <w:tr w14:paraId="09D627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86" w:type="pct"/>
            <w:tcBorders>
              <w:tl2br w:val="nil"/>
              <w:tr2bl w:val="nil"/>
            </w:tcBorders>
            <w:noWrap/>
            <w:vAlign w:val="center"/>
          </w:tcPr>
          <w:p w14:paraId="2C0D4B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5" w:type="pct"/>
            <w:tcBorders>
              <w:tl2br w:val="nil"/>
              <w:tr2bl w:val="nil"/>
            </w:tcBorders>
            <w:noWrap w:val="0"/>
            <w:vAlign w:val="center"/>
          </w:tcPr>
          <w:p w14:paraId="5A0A2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智能照明控制系统</w:t>
            </w:r>
          </w:p>
        </w:tc>
        <w:tc>
          <w:tcPr>
            <w:tcW w:w="1653" w:type="pct"/>
            <w:tcBorders>
              <w:tl2br w:val="nil"/>
              <w:tr2bl w:val="nil"/>
            </w:tcBorders>
            <w:noWrap w:val="0"/>
            <w:vAlign w:val="center"/>
          </w:tcPr>
          <w:p w14:paraId="35776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江门市艺光科技开发有限公司、深圳市泰和安科技有限公司、江门市敏华电器有限公司、施耐德、西门子、飞利浦、（或相当于）</w:t>
            </w:r>
          </w:p>
        </w:tc>
        <w:tc>
          <w:tcPr>
            <w:tcW w:w="493" w:type="pct"/>
            <w:tcBorders>
              <w:tl2br w:val="nil"/>
              <w:tr2bl w:val="nil"/>
            </w:tcBorders>
            <w:noWrap w:val="0"/>
            <w:vAlign w:val="center"/>
          </w:tcPr>
          <w:p w14:paraId="6DC93F58">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AB72390">
            <w:pPr>
              <w:jc w:val="center"/>
              <w:rPr>
                <w:rFonts w:hint="eastAsia" w:ascii="宋体" w:hAnsi="宋体" w:eastAsia="宋体" w:cs="宋体"/>
                <w:i w:val="0"/>
                <w:iCs w:val="0"/>
                <w:color w:val="000000"/>
                <w:sz w:val="22"/>
                <w:szCs w:val="22"/>
                <w:u w:val="none"/>
              </w:rPr>
            </w:pPr>
          </w:p>
        </w:tc>
      </w:tr>
      <w:tr w14:paraId="69559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7E740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5" w:type="pct"/>
            <w:tcBorders>
              <w:tl2br w:val="nil"/>
              <w:tr2bl w:val="nil"/>
            </w:tcBorders>
            <w:noWrap w:val="0"/>
            <w:vAlign w:val="center"/>
          </w:tcPr>
          <w:p w14:paraId="2E731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漏电火灾报警系统</w:t>
            </w:r>
          </w:p>
        </w:tc>
        <w:tc>
          <w:tcPr>
            <w:tcW w:w="1653" w:type="pct"/>
            <w:tcBorders>
              <w:tl2br w:val="nil"/>
              <w:tr2bl w:val="nil"/>
            </w:tcBorders>
            <w:noWrap w:val="0"/>
            <w:vAlign w:val="center"/>
          </w:tcPr>
          <w:p w14:paraId="784B00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深圳市泰和安科技有限公司、海湾安全技术有限公司、北大青鸟环宇消防设备股份有限公司（或相当于）</w:t>
            </w:r>
          </w:p>
        </w:tc>
        <w:tc>
          <w:tcPr>
            <w:tcW w:w="493" w:type="pct"/>
            <w:tcBorders>
              <w:tl2br w:val="nil"/>
              <w:tr2bl w:val="nil"/>
            </w:tcBorders>
            <w:noWrap w:val="0"/>
            <w:vAlign w:val="center"/>
          </w:tcPr>
          <w:p w14:paraId="798BDB0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712C1ED6">
            <w:pPr>
              <w:jc w:val="center"/>
              <w:rPr>
                <w:rFonts w:hint="eastAsia" w:ascii="宋体" w:hAnsi="宋体" w:eastAsia="宋体" w:cs="宋体"/>
                <w:i w:val="0"/>
                <w:iCs w:val="0"/>
                <w:color w:val="000000"/>
                <w:sz w:val="22"/>
                <w:szCs w:val="22"/>
                <w:u w:val="none"/>
              </w:rPr>
            </w:pPr>
          </w:p>
        </w:tc>
      </w:tr>
      <w:tr w14:paraId="47D87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52786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5" w:type="pct"/>
            <w:tcBorders>
              <w:tl2br w:val="nil"/>
              <w:tr2bl w:val="nil"/>
            </w:tcBorders>
            <w:noWrap w:val="0"/>
            <w:vAlign w:val="center"/>
          </w:tcPr>
          <w:p w14:paraId="3B7A1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防火门监控系统</w:t>
            </w:r>
          </w:p>
        </w:tc>
        <w:tc>
          <w:tcPr>
            <w:tcW w:w="1653" w:type="pct"/>
            <w:tcBorders>
              <w:tl2br w:val="nil"/>
              <w:tr2bl w:val="nil"/>
            </w:tcBorders>
            <w:noWrap w:val="0"/>
            <w:vAlign w:val="center"/>
          </w:tcPr>
          <w:p w14:paraId="25E49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深圳市泰和安科技有限公司、海湾安全技术有限公司、北大青鸟环宇消防设备股份有限公司（或相当于）</w:t>
            </w:r>
          </w:p>
        </w:tc>
        <w:tc>
          <w:tcPr>
            <w:tcW w:w="493" w:type="pct"/>
            <w:tcBorders>
              <w:tl2br w:val="nil"/>
              <w:tr2bl w:val="nil"/>
            </w:tcBorders>
            <w:noWrap w:val="0"/>
            <w:vAlign w:val="center"/>
          </w:tcPr>
          <w:p w14:paraId="4120C7A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B0A1186">
            <w:pPr>
              <w:jc w:val="center"/>
              <w:rPr>
                <w:rFonts w:hint="eastAsia" w:ascii="宋体" w:hAnsi="宋体" w:eastAsia="宋体" w:cs="宋体"/>
                <w:i w:val="0"/>
                <w:iCs w:val="0"/>
                <w:color w:val="000000"/>
                <w:sz w:val="22"/>
                <w:szCs w:val="22"/>
                <w:u w:val="none"/>
              </w:rPr>
            </w:pPr>
          </w:p>
        </w:tc>
      </w:tr>
      <w:tr w14:paraId="1597B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72B6E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5" w:type="pct"/>
            <w:tcBorders>
              <w:tl2br w:val="nil"/>
              <w:tr2bl w:val="nil"/>
            </w:tcBorders>
            <w:noWrap w:val="0"/>
            <w:vAlign w:val="center"/>
          </w:tcPr>
          <w:p w14:paraId="49E63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柴油发电机组</w:t>
            </w:r>
          </w:p>
        </w:tc>
        <w:tc>
          <w:tcPr>
            <w:tcW w:w="1653" w:type="pct"/>
            <w:tcBorders>
              <w:tl2br w:val="nil"/>
              <w:tr2bl w:val="nil"/>
            </w:tcBorders>
            <w:noWrap w:val="0"/>
            <w:vAlign w:val="center"/>
          </w:tcPr>
          <w:p w14:paraId="4D17F6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玉柴动力、重庆康明斯、淮纺动力、（或相当于）</w:t>
            </w:r>
          </w:p>
        </w:tc>
        <w:tc>
          <w:tcPr>
            <w:tcW w:w="493" w:type="pct"/>
            <w:tcBorders>
              <w:tl2br w:val="nil"/>
              <w:tr2bl w:val="nil"/>
            </w:tcBorders>
            <w:noWrap w:val="0"/>
            <w:vAlign w:val="center"/>
          </w:tcPr>
          <w:p w14:paraId="742D8815">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86D649F">
            <w:pPr>
              <w:jc w:val="center"/>
              <w:rPr>
                <w:rFonts w:hint="eastAsia" w:ascii="宋体" w:hAnsi="宋体" w:eastAsia="宋体" w:cs="宋体"/>
                <w:i w:val="0"/>
                <w:iCs w:val="0"/>
                <w:color w:val="000000"/>
                <w:sz w:val="22"/>
                <w:szCs w:val="22"/>
                <w:u w:val="none"/>
              </w:rPr>
            </w:pPr>
          </w:p>
        </w:tc>
      </w:tr>
      <w:tr w14:paraId="6FBBEB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86" w:type="pct"/>
            <w:tcBorders>
              <w:tl2br w:val="nil"/>
              <w:tr2bl w:val="nil"/>
            </w:tcBorders>
            <w:noWrap/>
            <w:vAlign w:val="center"/>
          </w:tcPr>
          <w:p w14:paraId="619EE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05" w:type="pct"/>
            <w:tcBorders>
              <w:tl2br w:val="nil"/>
              <w:tr2bl w:val="nil"/>
            </w:tcBorders>
            <w:noWrap w:val="0"/>
            <w:vAlign w:val="center"/>
          </w:tcPr>
          <w:p w14:paraId="2F53F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7Kw充电桩(慢充型)</w:t>
            </w:r>
          </w:p>
        </w:tc>
        <w:tc>
          <w:tcPr>
            <w:tcW w:w="1653" w:type="pct"/>
            <w:tcBorders>
              <w:tl2br w:val="nil"/>
              <w:tr2bl w:val="nil"/>
            </w:tcBorders>
            <w:noWrap w:val="0"/>
            <w:vAlign w:val="center"/>
          </w:tcPr>
          <w:p w14:paraId="345FC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深圳市永联科技股份有限公司、深圳市盛弘电气股份有限公司、深圳市海鹏信电子股份有限公司、易充新能源（深圳）有限公司（或相当于）</w:t>
            </w:r>
          </w:p>
        </w:tc>
        <w:tc>
          <w:tcPr>
            <w:tcW w:w="493" w:type="pct"/>
            <w:tcBorders>
              <w:tl2br w:val="nil"/>
              <w:tr2bl w:val="nil"/>
            </w:tcBorders>
            <w:noWrap w:val="0"/>
            <w:vAlign w:val="center"/>
          </w:tcPr>
          <w:p w14:paraId="40A6FE6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BFEFA00">
            <w:pPr>
              <w:jc w:val="center"/>
              <w:rPr>
                <w:rFonts w:hint="eastAsia" w:ascii="宋体" w:hAnsi="宋体" w:eastAsia="宋体" w:cs="宋体"/>
                <w:i w:val="0"/>
                <w:iCs w:val="0"/>
                <w:color w:val="000000"/>
                <w:sz w:val="22"/>
                <w:szCs w:val="22"/>
                <w:u w:val="none"/>
              </w:rPr>
            </w:pPr>
          </w:p>
        </w:tc>
      </w:tr>
      <w:tr w14:paraId="14F811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1C9DD1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w:t>
            </w:r>
          </w:p>
        </w:tc>
        <w:tc>
          <w:tcPr>
            <w:tcW w:w="4613" w:type="pct"/>
            <w:gridSpan w:val="4"/>
            <w:tcBorders>
              <w:tl2br w:val="nil"/>
              <w:tr2bl w:val="nil"/>
            </w:tcBorders>
            <w:noWrap w:val="0"/>
            <w:vAlign w:val="center"/>
          </w:tcPr>
          <w:p w14:paraId="0C812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消防系统</w:t>
            </w:r>
          </w:p>
        </w:tc>
      </w:tr>
      <w:tr w14:paraId="6BDDF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32B5B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11B09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消防报警设备</w:t>
            </w:r>
          </w:p>
        </w:tc>
        <w:tc>
          <w:tcPr>
            <w:tcW w:w="1653" w:type="pct"/>
            <w:tcBorders>
              <w:tl2br w:val="nil"/>
              <w:tr2bl w:val="nil"/>
            </w:tcBorders>
            <w:noWrap w:val="0"/>
            <w:vAlign w:val="center"/>
          </w:tcPr>
          <w:p w14:paraId="6EB58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深圳市泰和安科技有限公司、海湾安全技术有限公司、北大青鸟环宇消防设备股份有限公司（或相当于）</w:t>
            </w:r>
          </w:p>
        </w:tc>
        <w:tc>
          <w:tcPr>
            <w:tcW w:w="493" w:type="pct"/>
            <w:tcBorders>
              <w:tl2br w:val="nil"/>
              <w:tr2bl w:val="nil"/>
            </w:tcBorders>
            <w:noWrap w:val="0"/>
            <w:vAlign w:val="center"/>
          </w:tcPr>
          <w:p w14:paraId="38F95FAA">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3C1C4F9">
            <w:pPr>
              <w:jc w:val="center"/>
              <w:rPr>
                <w:rFonts w:hint="eastAsia" w:ascii="宋体" w:hAnsi="宋体" w:eastAsia="宋体" w:cs="宋体"/>
                <w:i w:val="0"/>
                <w:iCs w:val="0"/>
                <w:color w:val="000000"/>
                <w:sz w:val="22"/>
                <w:szCs w:val="22"/>
                <w:u w:val="none"/>
              </w:rPr>
            </w:pPr>
          </w:p>
        </w:tc>
      </w:tr>
      <w:tr w14:paraId="1A7EC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4EF4A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pct"/>
            <w:tcBorders>
              <w:tl2br w:val="nil"/>
              <w:tr2bl w:val="nil"/>
            </w:tcBorders>
            <w:noWrap w:val="0"/>
            <w:vAlign w:val="center"/>
          </w:tcPr>
          <w:p w14:paraId="55A3E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气体灭火设备</w:t>
            </w:r>
          </w:p>
        </w:tc>
        <w:tc>
          <w:tcPr>
            <w:tcW w:w="1653" w:type="pct"/>
            <w:tcBorders>
              <w:tl2br w:val="nil"/>
              <w:tr2bl w:val="nil"/>
            </w:tcBorders>
            <w:noWrap w:val="0"/>
            <w:vAlign w:val="center"/>
          </w:tcPr>
          <w:p w14:paraId="6A76F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广州市番禺振兴消防设备有限公司、广州气宇消防设备有限公司、广东胜捷消防科技有限公司（或相当于）</w:t>
            </w:r>
          </w:p>
        </w:tc>
        <w:tc>
          <w:tcPr>
            <w:tcW w:w="493" w:type="pct"/>
            <w:tcBorders>
              <w:tl2br w:val="nil"/>
              <w:tr2bl w:val="nil"/>
            </w:tcBorders>
            <w:noWrap w:val="0"/>
            <w:vAlign w:val="center"/>
          </w:tcPr>
          <w:p w14:paraId="35336A7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A037A68">
            <w:pPr>
              <w:jc w:val="center"/>
              <w:rPr>
                <w:rFonts w:hint="eastAsia" w:ascii="宋体" w:hAnsi="宋体" w:eastAsia="宋体" w:cs="宋体"/>
                <w:i w:val="0"/>
                <w:iCs w:val="0"/>
                <w:color w:val="000000"/>
                <w:sz w:val="22"/>
                <w:szCs w:val="22"/>
                <w:u w:val="none"/>
              </w:rPr>
            </w:pPr>
          </w:p>
        </w:tc>
      </w:tr>
      <w:tr w14:paraId="25DC09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482DE0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w:t>
            </w:r>
          </w:p>
        </w:tc>
        <w:tc>
          <w:tcPr>
            <w:tcW w:w="4613" w:type="pct"/>
            <w:gridSpan w:val="4"/>
            <w:tcBorders>
              <w:tl2br w:val="nil"/>
              <w:tr2bl w:val="nil"/>
            </w:tcBorders>
            <w:noWrap w:val="0"/>
            <w:vAlign w:val="center"/>
          </w:tcPr>
          <w:p w14:paraId="05336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弱电系统</w:t>
            </w:r>
          </w:p>
        </w:tc>
      </w:tr>
      <w:tr w14:paraId="4DD28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02CA7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440446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653" w:type="pct"/>
            <w:tcBorders>
              <w:tl2br w:val="nil"/>
              <w:tr2bl w:val="nil"/>
            </w:tcBorders>
            <w:noWrap w:val="0"/>
            <w:vAlign w:val="center"/>
          </w:tcPr>
          <w:p w14:paraId="7F5E1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华为、锐捷、H3C(或相当于)</w:t>
            </w:r>
          </w:p>
        </w:tc>
        <w:tc>
          <w:tcPr>
            <w:tcW w:w="493" w:type="pct"/>
            <w:tcBorders>
              <w:tl2br w:val="nil"/>
              <w:tr2bl w:val="nil"/>
            </w:tcBorders>
            <w:noWrap w:val="0"/>
            <w:vAlign w:val="center"/>
          </w:tcPr>
          <w:p w14:paraId="7033B63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F53BAF7">
            <w:pPr>
              <w:jc w:val="center"/>
              <w:rPr>
                <w:rFonts w:hint="eastAsia" w:ascii="宋体" w:hAnsi="宋体" w:eastAsia="宋体" w:cs="宋体"/>
                <w:i w:val="0"/>
                <w:iCs w:val="0"/>
                <w:color w:val="000000"/>
                <w:sz w:val="22"/>
                <w:szCs w:val="22"/>
                <w:u w:val="none"/>
              </w:rPr>
            </w:pPr>
          </w:p>
        </w:tc>
      </w:tr>
      <w:tr w14:paraId="73838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AC67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pct"/>
            <w:tcBorders>
              <w:tl2br w:val="nil"/>
              <w:tr2bl w:val="nil"/>
            </w:tcBorders>
            <w:noWrap w:val="0"/>
            <w:vAlign w:val="center"/>
          </w:tcPr>
          <w:p w14:paraId="734CF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网络线、配线架</w:t>
            </w:r>
          </w:p>
        </w:tc>
        <w:tc>
          <w:tcPr>
            <w:tcW w:w="1653" w:type="pct"/>
            <w:tcBorders>
              <w:tl2br w:val="nil"/>
              <w:tr2bl w:val="nil"/>
            </w:tcBorders>
            <w:noWrap w:val="0"/>
            <w:vAlign w:val="center"/>
          </w:tcPr>
          <w:p w14:paraId="2B70E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天诚、TCL、广东一舟、(或相当于)</w:t>
            </w:r>
          </w:p>
        </w:tc>
        <w:tc>
          <w:tcPr>
            <w:tcW w:w="493" w:type="pct"/>
            <w:tcBorders>
              <w:tl2br w:val="nil"/>
              <w:tr2bl w:val="nil"/>
            </w:tcBorders>
            <w:noWrap w:val="0"/>
            <w:vAlign w:val="center"/>
          </w:tcPr>
          <w:p w14:paraId="38DB4E64">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3AB2EFF">
            <w:pPr>
              <w:jc w:val="center"/>
              <w:rPr>
                <w:rFonts w:hint="eastAsia" w:ascii="宋体" w:hAnsi="宋体" w:eastAsia="宋体" w:cs="宋体"/>
                <w:i w:val="0"/>
                <w:iCs w:val="0"/>
                <w:color w:val="000000"/>
                <w:sz w:val="22"/>
                <w:szCs w:val="22"/>
                <w:u w:val="none"/>
              </w:rPr>
            </w:pPr>
          </w:p>
        </w:tc>
      </w:tr>
      <w:tr w14:paraId="15CAF6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678B6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pct"/>
            <w:tcBorders>
              <w:tl2br w:val="nil"/>
              <w:tr2bl w:val="nil"/>
            </w:tcBorders>
            <w:noWrap w:val="0"/>
            <w:vAlign w:val="center"/>
          </w:tcPr>
          <w:p w14:paraId="4DBB7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信息插座面板</w:t>
            </w:r>
          </w:p>
        </w:tc>
        <w:tc>
          <w:tcPr>
            <w:tcW w:w="1653" w:type="pct"/>
            <w:tcBorders>
              <w:tl2br w:val="nil"/>
              <w:tr2bl w:val="nil"/>
            </w:tcBorders>
            <w:noWrap w:val="0"/>
            <w:vAlign w:val="center"/>
          </w:tcPr>
          <w:p w14:paraId="6729A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上海爱普华顿、TCL、松本电工(或相当于)</w:t>
            </w:r>
          </w:p>
        </w:tc>
        <w:tc>
          <w:tcPr>
            <w:tcW w:w="493" w:type="pct"/>
            <w:tcBorders>
              <w:tl2br w:val="nil"/>
              <w:tr2bl w:val="nil"/>
            </w:tcBorders>
            <w:noWrap w:val="0"/>
            <w:vAlign w:val="center"/>
          </w:tcPr>
          <w:p w14:paraId="0C83939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81BEE80">
            <w:pPr>
              <w:jc w:val="center"/>
              <w:rPr>
                <w:rFonts w:hint="eastAsia" w:ascii="宋体" w:hAnsi="宋体" w:eastAsia="宋体" w:cs="宋体"/>
                <w:i w:val="0"/>
                <w:iCs w:val="0"/>
                <w:color w:val="000000"/>
                <w:sz w:val="22"/>
                <w:szCs w:val="22"/>
                <w:u w:val="none"/>
              </w:rPr>
            </w:pPr>
          </w:p>
        </w:tc>
      </w:tr>
      <w:tr w14:paraId="41261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D75F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pct"/>
            <w:tcBorders>
              <w:tl2br w:val="nil"/>
              <w:tr2bl w:val="nil"/>
            </w:tcBorders>
            <w:noWrap w:val="0"/>
            <w:vAlign w:val="center"/>
          </w:tcPr>
          <w:p w14:paraId="4AF6B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分配器、分支器、放大器</w:t>
            </w:r>
          </w:p>
        </w:tc>
        <w:tc>
          <w:tcPr>
            <w:tcW w:w="1653" w:type="pct"/>
            <w:tcBorders>
              <w:tl2br w:val="nil"/>
              <w:tr2bl w:val="nil"/>
            </w:tcBorders>
            <w:noWrap w:val="0"/>
            <w:vAlign w:val="center"/>
          </w:tcPr>
          <w:p w14:paraId="0D9CA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杭州鸿雁、视贝、安普(或相当于)</w:t>
            </w:r>
          </w:p>
        </w:tc>
        <w:tc>
          <w:tcPr>
            <w:tcW w:w="493" w:type="pct"/>
            <w:tcBorders>
              <w:tl2br w:val="nil"/>
              <w:tr2bl w:val="nil"/>
            </w:tcBorders>
            <w:noWrap w:val="0"/>
            <w:vAlign w:val="center"/>
          </w:tcPr>
          <w:p w14:paraId="22DCE22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33F4C6A">
            <w:pPr>
              <w:jc w:val="center"/>
              <w:rPr>
                <w:rFonts w:hint="eastAsia" w:ascii="宋体" w:hAnsi="宋体" w:eastAsia="宋体" w:cs="宋体"/>
                <w:i w:val="0"/>
                <w:iCs w:val="0"/>
                <w:color w:val="000000"/>
                <w:sz w:val="22"/>
                <w:szCs w:val="22"/>
                <w:u w:val="none"/>
              </w:rPr>
            </w:pPr>
          </w:p>
        </w:tc>
      </w:tr>
      <w:tr w14:paraId="2F254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FFE3E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5" w:type="pct"/>
            <w:tcBorders>
              <w:tl2br w:val="nil"/>
              <w:tr2bl w:val="nil"/>
            </w:tcBorders>
            <w:noWrap w:val="0"/>
            <w:vAlign w:val="center"/>
          </w:tcPr>
          <w:p w14:paraId="7B8A9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光接收机</w:t>
            </w:r>
          </w:p>
        </w:tc>
        <w:tc>
          <w:tcPr>
            <w:tcW w:w="1653" w:type="pct"/>
            <w:tcBorders>
              <w:tl2br w:val="nil"/>
              <w:tr2bl w:val="nil"/>
            </w:tcBorders>
            <w:noWrap w:val="0"/>
            <w:vAlign w:val="center"/>
          </w:tcPr>
          <w:p w14:paraId="4900B6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杭州鸿雁、海康威视、安普(或相当于)</w:t>
            </w:r>
          </w:p>
        </w:tc>
        <w:tc>
          <w:tcPr>
            <w:tcW w:w="493" w:type="pct"/>
            <w:tcBorders>
              <w:tl2br w:val="nil"/>
              <w:tr2bl w:val="nil"/>
            </w:tcBorders>
            <w:noWrap w:val="0"/>
            <w:vAlign w:val="center"/>
          </w:tcPr>
          <w:p w14:paraId="0783715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424ECDC">
            <w:pPr>
              <w:jc w:val="center"/>
              <w:rPr>
                <w:rFonts w:hint="eastAsia" w:ascii="宋体" w:hAnsi="宋体" w:eastAsia="宋体" w:cs="宋体"/>
                <w:i w:val="0"/>
                <w:iCs w:val="0"/>
                <w:color w:val="000000"/>
                <w:sz w:val="22"/>
                <w:szCs w:val="22"/>
                <w:u w:val="none"/>
              </w:rPr>
            </w:pPr>
          </w:p>
        </w:tc>
      </w:tr>
      <w:tr w14:paraId="17F2B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38DAA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5" w:type="pct"/>
            <w:tcBorders>
              <w:tl2br w:val="nil"/>
              <w:tr2bl w:val="nil"/>
            </w:tcBorders>
            <w:noWrap w:val="0"/>
            <w:vAlign w:val="center"/>
          </w:tcPr>
          <w:p w14:paraId="5E07E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彩色监视器、监视器墙</w:t>
            </w:r>
          </w:p>
        </w:tc>
        <w:tc>
          <w:tcPr>
            <w:tcW w:w="1653" w:type="pct"/>
            <w:tcBorders>
              <w:tl2br w:val="nil"/>
              <w:tr2bl w:val="nil"/>
            </w:tcBorders>
            <w:noWrap w:val="0"/>
            <w:vAlign w:val="center"/>
          </w:tcPr>
          <w:p w14:paraId="3ED88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TCL、创维、海康威视(或相当于)</w:t>
            </w:r>
          </w:p>
        </w:tc>
        <w:tc>
          <w:tcPr>
            <w:tcW w:w="493" w:type="pct"/>
            <w:tcBorders>
              <w:tl2br w:val="nil"/>
              <w:tr2bl w:val="nil"/>
            </w:tcBorders>
            <w:noWrap w:val="0"/>
            <w:vAlign w:val="center"/>
          </w:tcPr>
          <w:p w14:paraId="746CB210">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B78922F">
            <w:pPr>
              <w:jc w:val="center"/>
              <w:rPr>
                <w:rFonts w:hint="eastAsia" w:ascii="宋体" w:hAnsi="宋体" w:eastAsia="宋体" w:cs="宋体"/>
                <w:i w:val="0"/>
                <w:iCs w:val="0"/>
                <w:color w:val="000000"/>
                <w:sz w:val="22"/>
                <w:szCs w:val="22"/>
                <w:u w:val="none"/>
              </w:rPr>
            </w:pPr>
          </w:p>
        </w:tc>
      </w:tr>
      <w:tr w14:paraId="1304B2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ign w:val="center"/>
          </w:tcPr>
          <w:p w14:paraId="25A3D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5" w:type="pct"/>
            <w:tcBorders>
              <w:tl2br w:val="nil"/>
              <w:tr2bl w:val="nil"/>
            </w:tcBorders>
            <w:noWrap w:val="0"/>
            <w:vAlign w:val="center"/>
          </w:tcPr>
          <w:p w14:paraId="069EE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网络切换键盘、磁盘、中心管理服务器、视频解码器、视频管理工作站</w:t>
            </w:r>
          </w:p>
        </w:tc>
        <w:tc>
          <w:tcPr>
            <w:tcW w:w="1653" w:type="pct"/>
            <w:tcBorders>
              <w:tl2br w:val="nil"/>
              <w:tr2bl w:val="nil"/>
            </w:tcBorders>
            <w:noWrap w:val="0"/>
            <w:vAlign w:val="center"/>
          </w:tcPr>
          <w:p w14:paraId="34297F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海康威视、联想、TCL(或相当于)</w:t>
            </w:r>
          </w:p>
        </w:tc>
        <w:tc>
          <w:tcPr>
            <w:tcW w:w="493" w:type="pct"/>
            <w:tcBorders>
              <w:tl2br w:val="nil"/>
              <w:tr2bl w:val="nil"/>
            </w:tcBorders>
            <w:noWrap w:val="0"/>
            <w:vAlign w:val="center"/>
          </w:tcPr>
          <w:p w14:paraId="63AB84E0">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EB1F22F">
            <w:pPr>
              <w:jc w:val="center"/>
              <w:rPr>
                <w:rFonts w:hint="eastAsia" w:ascii="宋体" w:hAnsi="宋体" w:eastAsia="宋体" w:cs="宋体"/>
                <w:i w:val="0"/>
                <w:iCs w:val="0"/>
                <w:color w:val="000000"/>
                <w:sz w:val="22"/>
                <w:szCs w:val="22"/>
                <w:u w:val="none"/>
              </w:rPr>
            </w:pPr>
          </w:p>
        </w:tc>
      </w:tr>
      <w:tr w14:paraId="2BF7E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45494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5" w:type="pct"/>
            <w:tcBorders>
              <w:tl2br w:val="nil"/>
              <w:tr2bl w:val="nil"/>
            </w:tcBorders>
            <w:noWrap w:val="0"/>
            <w:vAlign w:val="center"/>
          </w:tcPr>
          <w:p w14:paraId="7F600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电视摄像机（挂墙式）、硬盘录像机</w:t>
            </w:r>
          </w:p>
        </w:tc>
        <w:tc>
          <w:tcPr>
            <w:tcW w:w="1653" w:type="pct"/>
            <w:tcBorders>
              <w:tl2br w:val="nil"/>
              <w:tr2bl w:val="nil"/>
            </w:tcBorders>
            <w:noWrap w:val="0"/>
            <w:vAlign w:val="center"/>
          </w:tcPr>
          <w:p w14:paraId="0A1DA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海康威视、大华、迅通、(或相当于)</w:t>
            </w:r>
          </w:p>
        </w:tc>
        <w:tc>
          <w:tcPr>
            <w:tcW w:w="493" w:type="pct"/>
            <w:tcBorders>
              <w:tl2br w:val="nil"/>
              <w:tr2bl w:val="nil"/>
            </w:tcBorders>
            <w:noWrap w:val="0"/>
            <w:vAlign w:val="center"/>
          </w:tcPr>
          <w:p w14:paraId="765620C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A7B572F">
            <w:pPr>
              <w:jc w:val="center"/>
              <w:rPr>
                <w:rFonts w:hint="eastAsia" w:ascii="宋体" w:hAnsi="宋体" w:eastAsia="宋体" w:cs="宋体"/>
                <w:i w:val="0"/>
                <w:iCs w:val="0"/>
                <w:color w:val="000000"/>
                <w:sz w:val="22"/>
                <w:szCs w:val="22"/>
                <w:u w:val="none"/>
              </w:rPr>
            </w:pPr>
          </w:p>
        </w:tc>
      </w:tr>
      <w:tr w14:paraId="79820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35AD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5" w:type="pct"/>
            <w:tcBorders>
              <w:tl2br w:val="nil"/>
              <w:tr2bl w:val="nil"/>
            </w:tcBorders>
            <w:noWrap w:val="0"/>
            <w:vAlign w:val="center"/>
          </w:tcPr>
          <w:p w14:paraId="09C20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监控管理服务器</w:t>
            </w:r>
          </w:p>
        </w:tc>
        <w:tc>
          <w:tcPr>
            <w:tcW w:w="1653" w:type="pct"/>
            <w:tcBorders>
              <w:tl2br w:val="nil"/>
              <w:tr2bl w:val="nil"/>
            </w:tcBorders>
            <w:noWrap w:val="0"/>
            <w:vAlign w:val="center"/>
          </w:tcPr>
          <w:p w14:paraId="7FB3C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海康威视、迅通、金微、(或相当于)</w:t>
            </w:r>
          </w:p>
        </w:tc>
        <w:tc>
          <w:tcPr>
            <w:tcW w:w="493" w:type="pct"/>
            <w:tcBorders>
              <w:tl2br w:val="nil"/>
              <w:tr2bl w:val="nil"/>
            </w:tcBorders>
            <w:noWrap w:val="0"/>
            <w:vAlign w:val="center"/>
          </w:tcPr>
          <w:p w14:paraId="338F8A5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385683F8">
            <w:pPr>
              <w:jc w:val="center"/>
              <w:rPr>
                <w:rFonts w:hint="eastAsia" w:ascii="宋体" w:hAnsi="宋体" w:eastAsia="宋体" w:cs="宋体"/>
                <w:i w:val="0"/>
                <w:iCs w:val="0"/>
                <w:color w:val="000000"/>
                <w:sz w:val="22"/>
                <w:szCs w:val="22"/>
                <w:u w:val="none"/>
              </w:rPr>
            </w:pPr>
          </w:p>
        </w:tc>
      </w:tr>
      <w:tr w14:paraId="172D9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B8A2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5" w:type="pct"/>
            <w:tcBorders>
              <w:tl2br w:val="nil"/>
              <w:tr2bl w:val="nil"/>
            </w:tcBorders>
            <w:noWrap w:val="0"/>
            <w:vAlign w:val="center"/>
          </w:tcPr>
          <w:p w14:paraId="0A4F7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UPS不间断电源</w:t>
            </w:r>
          </w:p>
        </w:tc>
        <w:tc>
          <w:tcPr>
            <w:tcW w:w="1653" w:type="pct"/>
            <w:tcBorders>
              <w:tl2br w:val="nil"/>
              <w:tr2bl w:val="nil"/>
            </w:tcBorders>
            <w:noWrap w:val="0"/>
            <w:vAlign w:val="center"/>
          </w:tcPr>
          <w:p w14:paraId="25730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山特、科奥信、柏克(或相当于)</w:t>
            </w:r>
          </w:p>
        </w:tc>
        <w:tc>
          <w:tcPr>
            <w:tcW w:w="493" w:type="pct"/>
            <w:tcBorders>
              <w:tl2br w:val="nil"/>
              <w:tr2bl w:val="nil"/>
            </w:tcBorders>
            <w:noWrap w:val="0"/>
            <w:vAlign w:val="center"/>
          </w:tcPr>
          <w:p w14:paraId="428197A6">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247D4A8">
            <w:pPr>
              <w:jc w:val="center"/>
              <w:rPr>
                <w:rFonts w:hint="eastAsia" w:ascii="宋体" w:hAnsi="宋体" w:eastAsia="宋体" w:cs="宋体"/>
                <w:i w:val="0"/>
                <w:iCs w:val="0"/>
                <w:color w:val="000000"/>
                <w:sz w:val="22"/>
                <w:szCs w:val="22"/>
                <w:u w:val="none"/>
              </w:rPr>
            </w:pPr>
          </w:p>
        </w:tc>
      </w:tr>
      <w:tr w14:paraId="3101E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5001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5" w:type="pct"/>
            <w:tcBorders>
              <w:tl2br w:val="nil"/>
              <w:tr2bl w:val="nil"/>
            </w:tcBorders>
            <w:noWrap w:val="0"/>
            <w:vAlign w:val="center"/>
          </w:tcPr>
          <w:p w14:paraId="4AB29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弱电线缆</w:t>
            </w:r>
          </w:p>
        </w:tc>
        <w:tc>
          <w:tcPr>
            <w:tcW w:w="1653" w:type="pct"/>
            <w:tcBorders>
              <w:tl2br w:val="nil"/>
              <w:tr2bl w:val="nil"/>
            </w:tcBorders>
            <w:noWrap w:val="0"/>
            <w:vAlign w:val="center"/>
          </w:tcPr>
          <w:p w14:paraId="182F1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广州宇洪牌、天诚、广东一舟(或相当于)</w:t>
            </w:r>
          </w:p>
        </w:tc>
        <w:tc>
          <w:tcPr>
            <w:tcW w:w="493" w:type="pct"/>
            <w:tcBorders>
              <w:tl2br w:val="nil"/>
              <w:tr2bl w:val="nil"/>
            </w:tcBorders>
            <w:noWrap w:val="0"/>
            <w:vAlign w:val="center"/>
          </w:tcPr>
          <w:p w14:paraId="02784B48">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5ED0533">
            <w:pPr>
              <w:jc w:val="center"/>
              <w:rPr>
                <w:rFonts w:hint="eastAsia" w:ascii="宋体" w:hAnsi="宋体" w:eastAsia="宋体" w:cs="宋体"/>
                <w:i w:val="0"/>
                <w:iCs w:val="0"/>
                <w:color w:val="000000"/>
                <w:sz w:val="22"/>
                <w:szCs w:val="22"/>
                <w:u w:val="none"/>
              </w:rPr>
            </w:pPr>
          </w:p>
        </w:tc>
      </w:tr>
      <w:tr w14:paraId="0FF11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7026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5" w:type="pct"/>
            <w:tcBorders>
              <w:tl2br w:val="nil"/>
              <w:tr2bl w:val="nil"/>
            </w:tcBorders>
            <w:noWrap w:val="0"/>
            <w:vAlign w:val="center"/>
          </w:tcPr>
          <w:p w14:paraId="467BF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有线电视系统</w:t>
            </w:r>
          </w:p>
        </w:tc>
        <w:tc>
          <w:tcPr>
            <w:tcW w:w="1653" w:type="pct"/>
            <w:tcBorders>
              <w:tl2br w:val="nil"/>
              <w:tr2bl w:val="nil"/>
            </w:tcBorders>
            <w:noWrap w:val="0"/>
            <w:vAlign w:val="center"/>
          </w:tcPr>
          <w:p w14:paraId="13C38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安特、杰士美、迈威(或相当于)</w:t>
            </w:r>
          </w:p>
        </w:tc>
        <w:tc>
          <w:tcPr>
            <w:tcW w:w="493" w:type="pct"/>
            <w:tcBorders>
              <w:tl2br w:val="nil"/>
              <w:tr2bl w:val="nil"/>
            </w:tcBorders>
            <w:noWrap w:val="0"/>
            <w:vAlign w:val="center"/>
          </w:tcPr>
          <w:p w14:paraId="7613697E">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0C9981B">
            <w:pPr>
              <w:jc w:val="center"/>
              <w:rPr>
                <w:rFonts w:hint="eastAsia" w:ascii="宋体" w:hAnsi="宋体" w:eastAsia="宋体" w:cs="宋体"/>
                <w:i w:val="0"/>
                <w:iCs w:val="0"/>
                <w:color w:val="000000"/>
                <w:sz w:val="22"/>
                <w:szCs w:val="22"/>
                <w:u w:val="none"/>
              </w:rPr>
            </w:pPr>
          </w:p>
        </w:tc>
      </w:tr>
      <w:tr w14:paraId="74790B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A5A1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5" w:type="pct"/>
            <w:tcBorders>
              <w:tl2br w:val="nil"/>
              <w:tr2bl w:val="nil"/>
            </w:tcBorders>
            <w:noWrap w:val="0"/>
            <w:vAlign w:val="center"/>
          </w:tcPr>
          <w:p w14:paraId="4B8AF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出入口控制系统</w:t>
            </w:r>
          </w:p>
        </w:tc>
        <w:tc>
          <w:tcPr>
            <w:tcW w:w="1653" w:type="pct"/>
            <w:tcBorders>
              <w:tl2br w:val="nil"/>
              <w:tr2bl w:val="nil"/>
            </w:tcBorders>
            <w:noWrap w:val="0"/>
            <w:vAlign w:val="center"/>
          </w:tcPr>
          <w:p w14:paraId="047E7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海康威视、瑞立德、捷顺(或相当于)</w:t>
            </w:r>
          </w:p>
        </w:tc>
        <w:tc>
          <w:tcPr>
            <w:tcW w:w="493" w:type="pct"/>
            <w:tcBorders>
              <w:tl2br w:val="nil"/>
              <w:tr2bl w:val="nil"/>
            </w:tcBorders>
            <w:noWrap w:val="0"/>
            <w:vAlign w:val="center"/>
          </w:tcPr>
          <w:p w14:paraId="4A6239F9">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A746B70">
            <w:pPr>
              <w:jc w:val="center"/>
              <w:rPr>
                <w:rFonts w:hint="eastAsia" w:ascii="宋体" w:hAnsi="宋体" w:eastAsia="宋体" w:cs="宋体"/>
                <w:i w:val="0"/>
                <w:iCs w:val="0"/>
                <w:color w:val="000000"/>
                <w:sz w:val="22"/>
                <w:szCs w:val="22"/>
                <w:u w:val="none"/>
              </w:rPr>
            </w:pPr>
          </w:p>
        </w:tc>
      </w:tr>
      <w:tr w14:paraId="11BAD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7E969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5" w:type="pct"/>
            <w:tcBorders>
              <w:tl2br w:val="nil"/>
              <w:tr2bl w:val="nil"/>
            </w:tcBorders>
            <w:noWrap w:val="0"/>
            <w:vAlign w:val="center"/>
          </w:tcPr>
          <w:p w14:paraId="04123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入侵报警系统</w:t>
            </w:r>
          </w:p>
        </w:tc>
        <w:tc>
          <w:tcPr>
            <w:tcW w:w="1653" w:type="pct"/>
            <w:tcBorders>
              <w:tl2br w:val="nil"/>
              <w:tr2bl w:val="nil"/>
            </w:tcBorders>
            <w:noWrap w:val="0"/>
            <w:vAlign w:val="center"/>
          </w:tcPr>
          <w:p w14:paraId="1858E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海康威视、豪恩、艾礼安(或相当于)</w:t>
            </w:r>
          </w:p>
        </w:tc>
        <w:tc>
          <w:tcPr>
            <w:tcW w:w="493" w:type="pct"/>
            <w:tcBorders>
              <w:tl2br w:val="nil"/>
              <w:tr2bl w:val="nil"/>
            </w:tcBorders>
            <w:noWrap w:val="0"/>
            <w:vAlign w:val="center"/>
          </w:tcPr>
          <w:p w14:paraId="1E05B327">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54702C6">
            <w:pPr>
              <w:jc w:val="center"/>
              <w:rPr>
                <w:rFonts w:hint="eastAsia" w:ascii="宋体" w:hAnsi="宋体" w:eastAsia="宋体" w:cs="宋体"/>
                <w:i w:val="0"/>
                <w:iCs w:val="0"/>
                <w:color w:val="000000"/>
                <w:sz w:val="22"/>
                <w:szCs w:val="22"/>
                <w:u w:val="none"/>
              </w:rPr>
            </w:pPr>
          </w:p>
        </w:tc>
      </w:tr>
      <w:tr w14:paraId="31F091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EA8E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5" w:type="pct"/>
            <w:tcBorders>
              <w:tl2br w:val="nil"/>
              <w:tr2bl w:val="nil"/>
            </w:tcBorders>
            <w:noWrap w:val="0"/>
            <w:vAlign w:val="center"/>
          </w:tcPr>
          <w:p w14:paraId="07921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电子巡更系统</w:t>
            </w:r>
          </w:p>
        </w:tc>
        <w:tc>
          <w:tcPr>
            <w:tcW w:w="1653" w:type="pct"/>
            <w:tcBorders>
              <w:tl2br w:val="nil"/>
              <w:tr2bl w:val="nil"/>
            </w:tcBorders>
            <w:noWrap w:val="0"/>
            <w:vAlign w:val="center"/>
          </w:tcPr>
          <w:p w14:paraId="638366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兰德华、安居宝、海康威视(或相当于)</w:t>
            </w:r>
          </w:p>
        </w:tc>
        <w:tc>
          <w:tcPr>
            <w:tcW w:w="493" w:type="pct"/>
            <w:tcBorders>
              <w:tl2br w:val="nil"/>
              <w:tr2bl w:val="nil"/>
            </w:tcBorders>
            <w:noWrap w:val="0"/>
            <w:vAlign w:val="center"/>
          </w:tcPr>
          <w:p w14:paraId="05529D5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BC43E09">
            <w:pPr>
              <w:jc w:val="center"/>
              <w:rPr>
                <w:rFonts w:hint="eastAsia" w:ascii="宋体" w:hAnsi="宋体" w:eastAsia="宋体" w:cs="宋体"/>
                <w:i w:val="0"/>
                <w:iCs w:val="0"/>
                <w:color w:val="000000"/>
                <w:sz w:val="22"/>
                <w:szCs w:val="22"/>
                <w:u w:val="none"/>
              </w:rPr>
            </w:pPr>
          </w:p>
        </w:tc>
      </w:tr>
      <w:tr w14:paraId="05402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B97F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5" w:type="pct"/>
            <w:tcBorders>
              <w:tl2br w:val="nil"/>
              <w:tr2bl w:val="nil"/>
            </w:tcBorders>
            <w:noWrap w:val="0"/>
            <w:vAlign w:val="center"/>
          </w:tcPr>
          <w:p w14:paraId="1927E4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停车场系统</w:t>
            </w:r>
          </w:p>
        </w:tc>
        <w:tc>
          <w:tcPr>
            <w:tcW w:w="1653" w:type="pct"/>
            <w:tcBorders>
              <w:tl2br w:val="nil"/>
              <w:tr2bl w:val="nil"/>
            </w:tcBorders>
            <w:noWrap w:val="0"/>
            <w:vAlign w:val="center"/>
          </w:tcPr>
          <w:p w14:paraId="4A48D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海康威视、南泽、富士(或相当于)</w:t>
            </w:r>
          </w:p>
        </w:tc>
        <w:tc>
          <w:tcPr>
            <w:tcW w:w="493" w:type="pct"/>
            <w:tcBorders>
              <w:tl2br w:val="nil"/>
              <w:tr2bl w:val="nil"/>
            </w:tcBorders>
            <w:noWrap w:val="0"/>
            <w:vAlign w:val="center"/>
          </w:tcPr>
          <w:p w14:paraId="49711562">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F43E6D5">
            <w:pPr>
              <w:jc w:val="center"/>
              <w:rPr>
                <w:rFonts w:hint="eastAsia" w:ascii="宋体" w:hAnsi="宋体" w:eastAsia="宋体" w:cs="宋体"/>
                <w:i w:val="0"/>
                <w:iCs w:val="0"/>
                <w:color w:val="000000"/>
                <w:sz w:val="22"/>
                <w:szCs w:val="22"/>
                <w:u w:val="none"/>
              </w:rPr>
            </w:pPr>
          </w:p>
        </w:tc>
      </w:tr>
      <w:tr w14:paraId="4D509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2682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5" w:type="pct"/>
            <w:tcBorders>
              <w:tl2br w:val="nil"/>
              <w:tr2bl w:val="nil"/>
            </w:tcBorders>
            <w:noWrap w:val="0"/>
            <w:vAlign w:val="center"/>
          </w:tcPr>
          <w:p w14:paraId="0D654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智能疏散系统</w:t>
            </w:r>
          </w:p>
        </w:tc>
        <w:tc>
          <w:tcPr>
            <w:tcW w:w="1653" w:type="pct"/>
            <w:tcBorders>
              <w:tl2br w:val="nil"/>
              <w:tr2bl w:val="nil"/>
            </w:tcBorders>
            <w:noWrap w:val="0"/>
            <w:vAlign w:val="center"/>
          </w:tcPr>
          <w:p w14:paraId="0FC2EA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崇正华盛、海湾、合广测控(或相当于)</w:t>
            </w:r>
          </w:p>
        </w:tc>
        <w:tc>
          <w:tcPr>
            <w:tcW w:w="493" w:type="pct"/>
            <w:tcBorders>
              <w:tl2br w:val="nil"/>
              <w:tr2bl w:val="nil"/>
            </w:tcBorders>
            <w:noWrap w:val="0"/>
            <w:vAlign w:val="center"/>
          </w:tcPr>
          <w:p w14:paraId="4C7E2517">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D66AF97">
            <w:pPr>
              <w:jc w:val="center"/>
              <w:rPr>
                <w:rFonts w:hint="eastAsia" w:ascii="宋体" w:hAnsi="宋体" w:eastAsia="宋体" w:cs="宋体"/>
                <w:i w:val="0"/>
                <w:iCs w:val="0"/>
                <w:color w:val="000000"/>
                <w:sz w:val="22"/>
                <w:szCs w:val="22"/>
                <w:u w:val="none"/>
              </w:rPr>
            </w:pPr>
          </w:p>
        </w:tc>
      </w:tr>
      <w:tr w14:paraId="4AE25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0DA9ED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八</w:t>
            </w:r>
          </w:p>
        </w:tc>
        <w:tc>
          <w:tcPr>
            <w:tcW w:w="4613" w:type="pct"/>
            <w:gridSpan w:val="4"/>
            <w:tcBorders>
              <w:tl2br w:val="nil"/>
              <w:tr2bl w:val="nil"/>
            </w:tcBorders>
            <w:noWrap w:val="0"/>
            <w:vAlign w:val="center"/>
          </w:tcPr>
          <w:p w14:paraId="1B080D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抗震、降噪</w:t>
            </w:r>
          </w:p>
        </w:tc>
      </w:tr>
      <w:tr w14:paraId="211C37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86" w:type="pct"/>
            <w:tcBorders>
              <w:tl2br w:val="nil"/>
              <w:tr2bl w:val="nil"/>
            </w:tcBorders>
            <w:noWrap/>
            <w:vAlign w:val="center"/>
          </w:tcPr>
          <w:p w14:paraId="602A5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10B0C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抗震支架</w:t>
            </w:r>
          </w:p>
        </w:tc>
        <w:tc>
          <w:tcPr>
            <w:tcW w:w="1653" w:type="pct"/>
            <w:tcBorders>
              <w:tl2br w:val="nil"/>
              <w:tr2bl w:val="nil"/>
            </w:tcBorders>
            <w:noWrap w:val="0"/>
            <w:vAlign w:val="center"/>
          </w:tcPr>
          <w:p w14:paraId="7DFE6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广东深联实业有限公司、江苏奇佩建筑装配科技有限公司、广州绿匠科技有限公司、广州图固建筑科技有限公司（或相当于）</w:t>
            </w:r>
          </w:p>
        </w:tc>
        <w:tc>
          <w:tcPr>
            <w:tcW w:w="493" w:type="pct"/>
            <w:tcBorders>
              <w:tl2br w:val="nil"/>
              <w:tr2bl w:val="nil"/>
            </w:tcBorders>
            <w:noWrap w:val="0"/>
            <w:vAlign w:val="center"/>
          </w:tcPr>
          <w:p w14:paraId="48AB765A">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1CBF248">
            <w:pPr>
              <w:jc w:val="center"/>
              <w:rPr>
                <w:rFonts w:hint="eastAsia" w:ascii="宋体" w:hAnsi="宋体" w:eastAsia="宋体" w:cs="宋体"/>
                <w:i w:val="0"/>
                <w:iCs w:val="0"/>
                <w:color w:val="000000"/>
                <w:sz w:val="22"/>
                <w:szCs w:val="22"/>
                <w:u w:val="none"/>
              </w:rPr>
            </w:pPr>
          </w:p>
        </w:tc>
      </w:tr>
      <w:tr w14:paraId="0F8F33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0FE809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w:t>
            </w:r>
          </w:p>
        </w:tc>
        <w:tc>
          <w:tcPr>
            <w:tcW w:w="4613" w:type="pct"/>
            <w:gridSpan w:val="4"/>
            <w:tcBorders>
              <w:tl2br w:val="nil"/>
              <w:tr2bl w:val="nil"/>
            </w:tcBorders>
            <w:noWrap w:val="0"/>
            <w:vAlign w:val="center"/>
          </w:tcPr>
          <w:p w14:paraId="486B7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暖通空调类</w:t>
            </w:r>
          </w:p>
        </w:tc>
      </w:tr>
      <w:tr w14:paraId="21EA72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1382B2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0"/>
            <w:vAlign w:val="center"/>
          </w:tcPr>
          <w:p w14:paraId="17C05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风管阀门</w:t>
            </w:r>
          </w:p>
        </w:tc>
        <w:tc>
          <w:tcPr>
            <w:tcW w:w="1653" w:type="pct"/>
            <w:tcBorders>
              <w:tl2br w:val="nil"/>
              <w:tr2bl w:val="nil"/>
            </w:tcBorders>
            <w:noWrap w:val="0"/>
            <w:vAlign w:val="center"/>
          </w:tcPr>
          <w:p w14:paraId="36819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东莞飞达、上海显隆、广东亿风、泰昌、上虞、康美风</w:t>
            </w:r>
          </w:p>
        </w:tc>
        <w:tc>
          <w:tcPr>
            <w:tcW w:w="493" w:type="pct"/>
            <w:tcBorders>
              <w:tl2br w:val="nil"/>
              <w:tr2bl w:val="nil"/>
            </w:tcBorders>
            <w:noWrap w:val="0"/>
            <w:vAlign w:val="center"/>
          </w:tcPr>
          <w:p w14:paraId="3A418D1D">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4EFA26C">
            <w:pPr>
              <w:jc w:val="center"/>
              <w:rPr>
                <w:rFonts w:hint="eastAsia" w:ascii="宋体" w:hAnsi="宋体" w:eastAsia="宋体" w:cs="宋体"/>
                <w:i w:val="0"/>
                <w:iCs w:val="0"/>
                <w:color w:val="000000"/>
                <w:sz w:val="22"/>
                <w:szCs w:val="22"/>
                <w:u w:val="none"/>
              </w:rPr>
            </w:pPr>
          </w:p>
        </w:tc>
      </w:tr>
      <w:tr w14:paraId="1DF948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723DD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pct"/>
            <w:tcBorders>
              <w:tl2br w:val="nil"/>
              <w:tr2bl w:val="nil"/>
            </w:tcBorders>
            <w:noWrap w:val="0"/>
            <w:vAlign w:val="center"/>
          </w:tcPr>
          <w:p w14:paraId="34B30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防火阀</w:t>
            </w:r>
          </w:p>
        </w:tc>
        <w:tc>
          <w:tcPr>
            <w:tcW w:w="1653" w:type="pct"/>
            <w:tcBorders>
              <w:tl2br w:val="nil"/>
              <w:tr2bl w:val="nil"/>
            </w:tcBorders>
            <w:noWrap w:val="0"/>
            <w:vAlign w:val="center"/>
          </w:tcPr>
          <w:p w14:paraId="3A6FE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东莞飞达、上海显隆、广东亿风、泰昌、上虞、康美风</w:t>
            </w:r>
          </w:p>
        </w:tc>
        <w:tc>
          <w:tcPr>
            <w:tcW w:w="493" w:type="pct"/>
            <w:tcBorders>
              <w:tl2br w:val="nil"/>
              <w:tr2bl w:val="nil"/>
            </w:tcBorders>
            <w:noWrap w:val="0"/>
            <w:vAlign w:val="center"/>
          </w:tcPr>
          <w:p w14:paraId="6991E5DA">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1BD8E8DC">
            <w:pPr>
              <w:jc w:val="center"/>
              <w:rPr>
                <w:rFonts w:hint="eastAsia" w:ascii="宋体" w:hAnsi="宋体" w:eastAsia="宋体" w:cs="宋体"/>
                <w:i w:val="0"/>
                <w:iCs w:val="0"/>
                <w:color w:val="000000"/>
                <w:sz w:val="22"/>
                <w:szCs w:val="22"/>
                <w:u w:val="none"/>
              </w:rPr>
            </w:pPr>
          </w:p>
        </w:tc>
      </w:tr>
      <w:tr w14:paraId="46C1C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7C533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pct"/>
            <w:tcBorders>
              <w:tl2br w:val="nil"/>
              <w:tr2bl w:val="nil"/>
            </w:tcBorders>
            <w:noWrap w:val="0"/>
            <w:vAlign w:val="center"/>
          </w:tcPr>
          <w:p w14:paraId="60A4A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条形百叶送回风口</w:t>
            </w:r>
          </w:p>
        </w:tc>
        <w:tc>
          <w:tcPr>
            <w:tcW w:w="1653" w:type="pct"/>
            <w:tcBorders>
              <w:tl2br w:val="nil"/>
              <w:tr2bl w:val="nil"/>
            </w:tcBorders>
            <w:noWrap w:val="0"/>
            <w:vAlign w:val="center"/>
          </w:tcPr>
          <w:p w14:paraId="0ECEF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胜博、格瑞德、宇宙、广州越海、天津塘沽</w:t>
            </w:r>
          </w:p>
        </w:tc>
        <w:tc>
          <w:tcPr>
            <w:tcW w:w="493" w:type="pct"/>
            <w:tcBorders>
              <w:tl2br w:val="nil"/>
              <w:tr2bl w:val="nil"/>
            </w:tcBorders>
            <w:noWrap w:val="0"/>
            <w:vAlign w:val="center"/>
          </w:tcPr>
          <w:p w14:paraId="1BB2817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C3B97EF">
            <w:pPr>
              <w:jc w:val="center"/>
              <w:rPr>
                <w:rFonts w:hint="eastAsia" w:ascii="宋体" w:hAnsi="宋体" w:eastAsia="宋体" w:cs="宋体"/>
                <w:i w:val="0"/>
                <w:iCs w:val="0"/>
                <w:color w:val="000000"/>
                <w:sz w:val="22"/>
                <w:szCs w:val="22"/>
                <w:u w:val="none"/>
              </w:rPr>
            </w:pPr>
          </w:p>
        </w:tc>
      </w:tr>
      <w:tr w14:paraId="042EA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26F8A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pct"/>
            <w:tcBorders>
              <w:tl2br w:val="nil"/>
              <w:tr2bl w:val="nil"/>
            </w:tcBorders>
            <w:noWrap w:val="0"/>
            <w:vAlign w:val="center"/>
          </w:tcPr>
          <w:p w14:paraId="0BCED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消声器</w:t>
            </w:r>
          </w:p>
        </w:tc>
        <w:tc>
          <w:tcPr>
            <w:tcW w:w="1653" w:type="pct"/>
            <w:tcBorders>
              <w:tl2br w:val="nil"/>
              <w:tr2bl w:val="nil"/>
            </w:tcBorders>
            <w:noWrap w:val="0"/>
            <w:vAlign w:val="center"/>
          </w:tcPr>
          <w:p w14:paraId="442A1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东莞飞达、上海显隆、广东亿风、泰昌、上虞、康美风</w:t>
            </w:r>
          </w:p>
        </w:tc>
        <w:tc>
          <w:tcPr>
            <w:tcW w:w="493" w:type="pct"/>
            <w:tcBorders>
              <w:tl2br w:val="nil"/>
              <w:tr2bl w:val="nil"/>
            </w:tcBorders>
            <w:noWrap w:val="0"/>
            <w:vAlign w:val="center"/>
          </w:tcPr>
          <w:p w14:paraId="18FB7F7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763E69BF">
            <w:pPr>
              <w:jc w:val="center"/>
              <w:rPr>
                <w:rFonts w:hint="eastAsia" w:ascii="宋体" w:hAnsi="宋体" w:eastAsia="宋体" w:cs="宋体"/>
                <w:i w:val="0"/>
                <w:iCs w:val="0"/>
                <w:color w:val="000000"/>
                <w:sz w:val="22"/>
                <w:szCs w:val="22"/>
                <w:u w:val="none"/>
              </w:rPr>
            </w:pPr>
          </w:p>
        </w:tc>
      </w:tr>
      <w:tr w14:paraId="4DDF9C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4DF73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5" w:type="pct"/>
            <w:tcBorders>
              <w:tl2br w:val="nil"/>
              <w:tr2bl w:val="nil"/>
            </w:tcBorders>
            <w:noWrap w:val="0"/>
            <w:vAlign w:val="center"/>
          </w:tcPr>
          <w:p w14:paraId="1045AE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静压箱</w:t>
            </w:r>
          </w:p>
        </w:tc>
        <w:tc>
          <w:tcPr>
            <w:tcW w:w="1653" w:type="pct"/>
            <w:tcBorders>
              <w:tl2br w:val="nil"/>
              <w:tr2bl w:val="nil"/>
            </w:tcBorders>
            <w:noWrap w:val="0"/>
            <w:vAlign w:val="center"/>
          </w:tcPr>
          <w:p w14:paraId="14B6DA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东莞飞达、上海显隆、广东亿风、泰昌、上虞、康美风</w:t>
            </w:r>
          </w:p>
        </w:tc>
        <w:tc>
          <w:tcPr>
            <w:tcW w:w="493" w:type="pct"/>
            <w:tcBorders>
              <w:tl2br w:val="nil"/>
              <w:tr2bl w:val="nil"/>
            </w:tcBorders>
            <w:noWrap w:val="0"/>
            <w:vAlign w:val="center"/>
          </w:tcPr>
          <w:p w14:paraId="2D04F561">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BC4D88E">
            <w:pPr>
              <w:jc w:val="center"/>
              <w:rPr>
                <w:rFonts w:hint="eastAsia" w:ascii="宋体" w:hAnsi="宋体" w:eastAsia="宋体" w:cs="宋体"/>
                <w:i w:val="0"/>
                <w:iCs w:val="0"/>
                <w:color w:val="000000"/>
                <w:sz w:val="22"/>
                <w:szCs w:val="22"/>
                <w:u w:val="none"/>
              </w:rPr>
            </w:pPr>
          </w:p>
        </w:tc>
      </w:tr>
      <w:tr w14:paraId="7C9151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4119C7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5" w:type="pct"/>
            <w:tcBorders>
              <w:tl2br w:val="nil"/>
              <w:tr2bl w:val="nil"/>
            </w:tcBorders>
            <w:noWrap w:val="0"/>
            <w:vAlign w:val="center"/>
          </w:tcPr>
          <w:p w14:paraId="7907B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散流器</w:t>
            </w:r>
          </w:p>
        </w:tc>
        <w:tc>
          <w:tcPr>
            <w:tcW w:w="1653" w:type="pct"/>
            <w:tcBorders>
              <w:tl2br w:val="nil"/>
              <w:tr2bl w:val="nil"/>
            </w:tcBorders>
            <w:noWrap w:val="0"/>
            <w:vAlign w:val="center"/>
          </w:tcPr>
          <w:p w14:paraId="6F64E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东莞飞达、上海显隆、广东亿风、泰昌、上虞、康美风</w:t>
            </w:r>
          </w:p>
        </w:tc>
        <w:tc>
          <w:tcPr>
            <w:tcW w:w="493" w:type="pct"/>
            <w:tcBorders>
              <w:tl2br w:val="nil"/>
              <w:tr2bl w:val="nil"/>
            </w:tcBorders>
            <w:noWrap w:val="0"/>
            <w:vAlign w:val="center"/>
          </w:tcPr>
          <w:p w14:paraId="47E55621">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7F5F2AEE">
            <w:pPr>
              <w:jc w:val="center"/>
              <w:rPr>
                <w:rFonts w:hint="eastAsia" w:ascii="宋体" w:hAnsi="宋体" w:eastAsia="宋体" w:cs="宋体"/>
                <w:i w:val="0"/>
                <w:iCs w:val="0"/>
                <w:color w:val="000000"/>
                <w:sz w:val="22"/>
                <w:szCs w:val="22"/>
                <w:u w:val="none"/>
              </w:rPr>
            </w:pPr>
          </w:p>
        </w:tc>
      </w:tr>
      <w:tr w14:paraId="0617D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09744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5" w:type="pct"/>
            <w:tcBorders>
              <w:tl2br w:val="nil"/>
              <w:tr2bl w:val="nil"/>
            </w:tcBorders>
            <w:noWrap w:val="0"/>
            <w:vAlign w:val="center"/>
          </w:tcPr>
          <w:p w14:paraId="7BE1C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直膨式组合式洁净空调机</w:t>
            </w:r>
          </w:p>
        </w:tc>
        <w:tc>
          <w:tcPr>
            <w:tcW w:w="1653" w:type="pct"/>
            <w:tcBorders>
              <w:tl2br w:val="nil"/>
              <w:tr2bl w:val="nil"/>
            </w:tcBorders>
            <w:noWrap w:val="0"/>
            <w:vAlign w:val="center"/>
          </w:tcPr>
          <w:p w14:paraId="59DAF4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南京天加、格力、美的、浙江思科，广东申菱</w:t>
            </w:r>
          </w:p>
        </w:tc>
        <w:tc>
          <w:tcPr>
            <w:tcW w:w="493" w:type="pct"/>
            <w:tcBorders>
              <w:tl2br w:val="nil"/>
              <w:tr2bl w:val="nil"/>
            </w:tcBorders>
            <w:noWrap w:val="0"/>
            <w:vAlign w:val="center"/>
          </w:tcPr>
          <w:p w14:paraId="00D67CB0">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CF57EDE">
            <w:pPr>
              <w:jc w:val="center"/>
              <w:rPr>
                <w:rFonts w:hint="eastAsia" w:ascii="宋体" w:hAnsi="宋体" w:eastAsia="宋体" w:cs="宋体"/>
                <w:i w:val="0"/>
                <w:iCs w:val="0"/>
                <w:color w:val="000000"/>
                <w:sz w:val="22"/>
                <w:szCs w:val="22"/>
                <w:u w:val="none"/>
              </w:rPr>
            </w:pPr>
          </w:p>
        </w:tc>
      </w:tr>
      <w:tr w14:paraId="582DB9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3DE3B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5" w:type="pct"/>
            <w:tcBorders>
              <w:tl2br w:val="nil"/>
              <w:tr2bl w:val="nil"/>
            </w:tcBorders>
            <w:noWrap w:val="0"/>
            <w:vAlign w:val="center"/>
          </w:tcPr>
          <w:p w14:paraId="36095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电热加湿器</w:t>
            </w:r>
          </w:p>
        </w:tc>
        <w:tc>
          <w:tcPr>
            <w:tcW w:w="1653" w:type="pct"/>
            <w:tcBorders>
              <w:tl2br w:val="nil"/>
              <w:tr2bl w:val="nil"/>
            </w:tcBorders>
            <w:noWrap w:val="0"/>
            <w:vAlign w:val="center"/>
          </w:tcPr>
          <w:p w14:paraId="66010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瑞士康迪（Condair），日本湿王（Wetmaster)，加拿大NEP</w:t>
            </w:r>
          </w:p>
        </w:tc>
        <w:tc>
          <w:tcPr>
            <w:tcW w:w="493" w:type="pct"/>
            <w:tcBorders>
              <w:tl2br w:val="nil"/>
              <w:tr2bl w:val="nil"/>
            </w:tcBorders>
            <w:noWrap w:val="0"/>
            <w:vAlign w:val="center"/>
          </w:tcPr>
          <w:p w14:paraId="101D383E">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7A5F18C">
            <w:pPr>
              <w:jc w:val="center"/>
              <w:rPr>
                <w:rFonts w:hint="eastAsia" w:ascii="宋体" w:hAnsi="宋体" w:eastAsia="宋体" w:cs="宋体"/>
                <w:i w:val="0"/>
                <w:iCs w:val="0"/>
                <w:color w:val="000000"/>
                <w:sz w:val="22"/>
                <w:szCs w:val="22"/>
                <w:u w:val="none"/>
              </w:rPr>
            </w:pPr>
          </w:p>
        </w:tc>
      </w:tr>
      <w:tr w14:paraId="545CFA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2629F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05" w:type="pct"/>
            <w:tcBorders>
              <w:tl2br w:val="nil"/>
              <w:tr2bl w:val="nil"/>
            </w:tcBorders>
            <w:noWrap w:val="0"/>
            <w:vAlign w:val="center"/>
          </w:tcPr>
          <w:p w14:paraId="4DAFF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数字化直膨空气处理机、智能变风量模块（新风）</w:t>
            </w:r>
          </w:p>
        </w:tc>
        <w:tc>
          <w:tcPr>
            <w:tcW w:w="1653" w:type="pct"/>
            <w:tcBorders>
              <w:tl2br w:val="nil"/>
              <w:tr2bl w:val="nil"/>
            </w:tcBorders>
            <w:noWrap w:val="0"/>
            <w:vAlign w:val="center"/>
          </w:tcPr>
          <w:p w14:paraId="4C9CE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重庆海润、南京创元、上海极达、雅士</w:t>
            </w:r>
          </w:p>
        </w:tc>
        <w:tc>
          <w:tcPr>
            <w:tcW w:w="493" w:type="pct"/>
            <w:tcBorders>
              <w:tl2br w:val="nil"/>
              <w:tr2bl w:val="nil"/>
            </w:tcBorders>
            <w:noWrap w:val="0"/>
            <w:vAlign w:val="center"/>
          </w:tcPr>
          <w:p w14:paraId="0AFFE37E">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A5042F7">
            <w:pPr>
              <w:jc w:val="center"/>
              <w:rPr>
                <w:rFonts w:hint="eastAsia" w:ascii="宋体" w:hAnsi="宋体" w:eastAsia="宋体" w:cs="宋体"/>
                <w:i w:val="0"/>
                <w:iCs w:val="0"/>
                <w:color w:val="000000"/>
                <w:sz w:val="22"/>
                <w:szCs w:val="22"/>
                <w:u w:val="none"/>
              </w:rPr>
            </w:pPr>
          </w:p>
        </w:tc>
      </w:tr>
      <w:tr w14:paraId="57451C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08E3E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05" w:type="pct"/>
            <w:tcBorders>
              <w:tl2br w:val="nil"/>
              <w:tr2bl w:val="nil"/>
            </w:tcBorders>
            <w:noWrap w:val="0"/>
            <w:vAlign w:val="center"/>
          </w:tcPr>
          <w:p w14:paraId="15A3B2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离心风机、轴流风机、消防风机、换气扇</w:t>
            </w:r>
          </w:p>
        </w:tc>
        <w:tc>
          <w:tcPr>
            <w:tcW w:w="1653" w:type="pct"/>
            <w:tcBorders>
              <w:tl2br w:val="nil"/>
              <w:tr2bl w:val="nil"/>
            </w:tcBorders>
            <w:noWrap w:val="0"/>
            <w:vAlign w:val="center"/>
          </w:tcPr>
          <w:p w14:paraId="28494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绿岛风、上虞、飞达、上海显隆、广东亿风</w:t>
            </w:r>
          </w:p>
        </w:tc>
        <w:tc>
          <w:tcPr>
            <w:tcW w:w="493" w:type="pct"/>
            <w:tcBorders>
              <w:tl2br w:val="nil"/>
              <w:tr2bl w:val="nil"/>
            </w:tcBorders>
            <w:noWrap w:val="0"/>
            <w:vAlign w:val="center"/>
          </w:tcPr>
          <w:p w14:paraId="72CB1E60">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9EE1621">
            <w:pPr>
              <w:jc w:val="center"/>
              <w:rPr>
                <w:rFonts w:hint="eastAsia" w:ascii="宋体" w:hAnsi="宋体" w:eastAsia="宋体" w:cs="宋体"/>
                <w:i w:val="0"/>
                <w:iCs w:val="0"/>
                <w:color w:val="000000"/>
                <w:sz w:val="22"/>
                <w:szCs w:val="22"/>
                <w:u w:val="none"/>
              </w:rPr>
            </w:pPr>
          </w:p>
        </w:tc>
      </w:tr>
      <w:tr w14:paraId="1B46E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37E05F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05" w:type="pct"/>
            <w:tcBorders>
              <w:tl2br w:val="nil"/>
              <w:tr2bl w:val="nil"/>
            </w:tcBorders>
            <w:noWrap w:val="0"/>
            <w:vAlign w:val="center"/>
          </w:tcPr>
          <w:p w14:paraId="4E879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硬质玻璃棉保温板</w:t>
            </w:r>
          </w:p>
        </w:tc>
        <w:tc>
          <w:tcPr>
            <w:tcW w:w="1653" w:type="pct"/>
            <w:tcBorders>
              <w:tl2br w:val="nil"/>
              <w:tr2bl w:val="nil"/>
            </w:tcBorders>
            <w:noWrap w:val="0"/>
            <w:vAlign w:val="center"/>
          </w:tcPr>
          <w:p w14:paraId="32E6D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莱乐斯，杜肯、华美、褔母斯</w:t>
            </w:r>
          </w:p>
        </w:tc>
        <w:tc>
          <w:tcPr>
            <w:tcW w:w="493" w:type="pct"/>
            <w:tcBorders>
              <w:tl2br w:val="nil"/>
              <w:tr2bl w:val="nil"/>
            </w:tcBorders>
            <w:noWrap w:val="0"/>
            <w:vAlign w:val="center"/>
          </w:tcPr>
          <w:p w14:paraId="4AC51CE8">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E8BA069">
            <w:pPr>
              <w:jc w:val="center"/>
              <w:rPr>
                <w:rFonts w:hint="eastAsia" w:ascii="宋体" w:hAnsi="宋体" w:eastAsia="宋体" w:cs="宋体"/>
                <w:i w:val="0"/>
                <w:iCs w:val="0"/>
                <w:color w:val="000000"/>
                <w:sz w:val="22"/>
                <w:szCs w:val="22"/>
                <w:u w:val="none"/>
              </w:rPr>
            </w:pPr>
          </w:p>
        </w:tc>
      </w:tr>
      <w:tr w14:paraId="22555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6602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05" w:type="pct"/>
            <w:tcBorders>
              <w:tl2br w:val="nil"/>
              <w:tr2bl w:val="nil"/>
            </w:tcBorders>
            <w:noWrap w:val="0"/>
            <w:vAlign w:val="center"/>
          </w:tcPr>
          <w:p w14:paraId="0FDD0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多联机、分体机</w:t>
            </w:r>
          </w:p>
        </w:tc>
        <w:tc>
          <w:tcPr>
            <w:tcW w:w="1653" w:type="pct"/>
            <w:tcBorders>
              <w:tl2br w:val="nil"/>
              <w:tr2bl w:val="nil"/>
            </w:tcBorders>
            <w:noWrap w:val="0"/>
            <w:vAlign w:val="center"/>
          </w:tcPr>
          <w:p w14:paraId="4527D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大金、格力、海尔、美的、海信、日立</w:t>
            </w:r>
          </w:p>
        </w:tc>
        <w:tc>
          <w:tcPr>
            <w:tcW w:w="493" w:type="pct"/>
            <w:tcBorders>
              <w:tl2br w:val="nil"/>
              <w:tr2bl w:val="nil"/>
            </w:tcBorders>
            <w:noWrap w:val="0"/>
            <w:vAlign w:val="center"/>
          </w:tcPr>
          <w:p w14:paraId="309F2208">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12A74A5">
            <w:pPr>
              <w:jc w:val="center"/>
              <w:rPr>
                <w:rFonts w:hint="eastAsia" w:ascii="宋体" w:hAnsi="宋体" w:eastAsia="宋体" w:cs="宋体"/>
                <w:i w:val="0"/>
                <w:iCs w:val="0"/>
                <w:color w:val="000000"/>
                <w:sz w:val="22"/>
                <w:szCs w:val="22"/>
                <w:u w:val="none"/>
              </w:rPr>
            </w:pPr>
          </w:p>
        </w:tc>
      </w:tr>
      <w:tr w14:paraId="782647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5296C0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05" w:type="pct"/>
            <w:tcBorders>
              <w:tl2br w:val="nil"/>
              <w:tr2bl w:val="nil"/>
            </w:tcBorders>
            <w:noWrap w:val="0"/>
            <w:vAlign w:val="center"/>
          </w:tcPr>
          <w:p w14:paraId="41829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难燃B橡塑保温板</w:t>
            </w:r>
          </w:p>
        </w:tc>
        <w:tc>
          <w:tcPr>
            <w:tcW w:w="1653" w:type="pct"/>
            <w:tcBorders>
              <w:tl2br w:val="nil"/>
              <w:tr2bl w:val="nil"/>
            </w:tcBorders>
            <w:noWrap w:val="0"/>
            <w:vAlign w:val="center"/>
          </w:tcPr>
          <w:p w14:paraId="4AC03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莱乐斯，杜肯福耐斯、华美、褔母斯</w:t>
            </w:r>
          </w:p>
        </w:tc>
        <w:tc>
          <w:tcPr>
            <w:tcW w:w="493" w:type="pct"/>
            <w:tcBorders>
              <w:tl2br w:val="nil"/>
              <w:tr2bl w:val="nil"/>
            </w:tcBorders>
            <w:noWrap w:val="0"/>
            <w:vAlign w:val="center"/>
          </w:tcPr>
          <w:p w14:paraId="56239AB2">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3C3F431">
            <w:pPr>
              <w:jc w:val="center"/>
              <w:rPr>
                <w:rFonts w:hint="eastAsia" w:ascii="宋体" w:hAnsi="宋体" w:eastAsia="宋体" w:cs="宋体"/>
                <w:i w:val="0"/>
                <w:iCs w:val="0"/>
                <w:color w:val="000000"/>
                <w:sz w:val="22"/>
                <w:szCs w:val="22"/>
                <w:u w:val="none"/>
              </w:rPr>
            </w:pPr>
          </w:p>
        </w:tc>
      </w:tr>
      <w:tr w14:paraId="2EBDD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3D768E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05" w:type="pct"/>
            <w:tcBorders>
              <w:tl2br w:val="nil"/>
              <w:tr2bl w:val="nil"/>
            </w:tcBorders>
            <w:noWrap w:val="0"/>
            <w:vAlign w:val="center"/>
          </w:tcPr>
          <w:p w14:paraId="51372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智能组合式除臭装置/一体扰流喷淋除臭设备</w:t>
            </w:r>
          </w:p>
        </w:tc>
        <w:tc>
          <w:tcPr>
            <w:tcW w:w="1653" w:type="pct"/>
            <w:tcBorders>
              <w:tl2br w:val="nil"/>
              <w:tr2bl w:val="nil"/>
            </w:tcBorders>
            <w:noWrap w:val="0"/>
            <w:vAlign w:val="center"/>
          </w:tcPr>
          <w:p w14:paraId="7AFD8C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上海埃松/西安富康、北京北盛、上海鸣励</w:t>
            </w:r>
          </w:p>
        </w:tc>
        <w:tc>
          <w:tcPr>
            <w:tcW w:w="493" w:type="pct"/>
            <w:tcBorders>
              <w:tl2br w:val="nil"/>
              <w:tr2bl w:val="nil"/>
            </w:tcBorders>
            <w:noWrap w:val="0"/>
            <w:vAlign w:val="center"/>
          </w:tcPr>
          <w:p w14:paraId="2BA45D55">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A328E03">
            <w:pPr>
              <w:jc w:val="center"/>
              <w:rPr>
                <w:rFonts w:hint="eastAsia" w:ascii="宋体" w:hAnsi="宋体" w:eastAsia="宋体" w:cs="宋体"/>
                <w:i w:val="0"/>
                <w:iCs w:val="0"/>
                <w:color w:val="000000"/>
                <w:sz w:val="22"/>
                <w:szCs w:val="22"/>
                <w:u w:val="none"/>
              </w:rPr>
            </w:pPr>
          </w:p>
        </w:tc>
      </w:tr>
      <w:tr w14:paraId="24D46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30EC1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05" w:type="pct"/>
            <w:tcBorders>
              <w:tl2br w:val="nil"/>
              <w:tr2bl w:val="nil"/>
            </w:tcBorders>
            <w:noWrap w:val="0"/>
            <w:vAlign w:val="center"/>
          </w:tcPr>
          <w:p w14:paraId="6A263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高效送风口</w:t>
            </w:r>
          </w:p>
        </w:tc>
        <w:tc>
          <w:tcPr>
            <w:tcW w:w="1653" w:type="pct"/>
            <w:tcBorders>
              <w:tl2br w:val="nil"/>
              <w:tr2bl w:val="nil"/>
            </w:tcBorders>
            <w:noWrap w:val="0"/>
            <w:vAlign w:val="center"/>
          </w:tcPr>
          <w:p w14:paraId="42C21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佛山中境、东莞利人、佛山东龙宇</w:t>
            </w:r>
          </w:p>
        </w:tc>
        <w:tc>
          <w:tcPr>
            <w:tcW w:w="493" w:type="pct"/>
            <w:tcBorders>
              <w:tl2br w:val="nil"/>
              <w:tr2bl w:val="nil"/>
            </w:tcBorders>
            <w:noWrap w:val="0"/>
            <w:vAlign w:val="center"/>
          </w:tcPr>
          <w:p w14:paraId="2D4D444A">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7B83B0C">
            <w:pPr>
              <w:jc w:val="center"/>
              <w:rPr>
                <w:rFonts w:hint="eastAsia" w:ascii="宋体" w:hAnsi="宋体" w:eastAsia="宋体" w:cs="宋体"/>
                <w:i w:val="0"/>
                <w:iCs w:val="0"/>
                <w:color w:val="000000"/>
                <w:sz w:val="22"/>
                <w:szCs w:val="22"/>
                <w:u w:val="none"/>
              </w:rPr>
            </w:pPr>
          </w:p>
        </w:tc>
      </w:tr>
      <w:tr w14:paraId="2A14A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1A26A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05" w:type="pct"/>
            <w:tcBorders>
              <w:tl2br w:val="nil"/>
              <w:tr2bl w:val="nil"/>
            </w:tcBorders>
            <w:noWrap w:val="0"/>
            <w:vAlign w:val="center"/>
          </w:tcPr>
          <w:p w14:paraId="525D53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活性炭吸附器</w:t>
            </w:r>
          </w:p>
        </w:tc>
        <w:tc>
          <w:tcPr>
            <w:tcW w:w="1653" w:type="pct"/>
            <w:tcBorders>
              <w:tl2br w:val="nil"/>
              <w:tr2bl w:val="nil"/>
            </w:tcBorders>
            <w:noWrap w:val="0"/>
            <w:vAlign w:val="center"/>
          </w:tcPr>
          <w:p w14:paraId="4D8E9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西安富康、上海埃松、北京北盛、上海鸣励</w:t>
            </w:r>
          </w:p>
        </w:tc>
        <w:tc>
          <w:tcPr>
            <w:tcW w:w="493" w:type="pct"/>
            <w:tcBorders>
              <w:tl2br w:val="nil"/>
              <w:tr2bl w:val="nil"/>
            </w:tcBorders>
            <w:noWrap w:val="0"/>
            <w:vAlign w:val="center"/>
          </w:tcPr>
          <w:p w14:paraId="2BC1183B">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ECDC32C">
            <w:pPr>
              <w:jc w:val="center"/>
              <w:rPr>
                <w:rFonts w:hint="eastAsia" w:ascii="宋体" w:hAnsi="宋体" w:eastAsia="宋体" w:cs="宋体"/>
                <w:i w:val="0"/>
                <w:iCs w:val="0"/>
                <w:color w:val="000000"/>
                <w:sz w:val="22"/>
                <w:szCs w:val="22"/>
                <w:u w:val="none"/>
              </w:rPr>
            </w:pPr>
          </w:p>
        </w:tc>
      </w:tr>
      <w:tr w14:paraId="74C70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1AB791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05" w:type="pct"/>
            <w:tcBorders>
              <w:tl2br w:val="nil"/>
              <w:tr2bl w:val="nil"/>
            </w:tcBorders>
            <w:noWrap w:val="0"/>
            <w:vAlign w:val="center"/>
          </w:tcPr>
          <w:p w14:paraId="7C473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一体光氧离子废气处理机(风管型)</w:t>
            </w:r>
          </w:p>
        </w:tc>
        <w:tc>
          <w:tcPr>
            <w:tcW w:w="1653" w:type="pct"/>
            <w:tcBorders>
              <w:tl2br w:val="nil"/>
              <w:tr2bl w:val="nil"/>
            </w:tcBorders>
            <w:noWrap w:val="0"/>
            <w:vAlign w:val="center"/>
          </w:tcPr>
          <w:p w14:paraId="3568D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西安富康、上海埃松、北京北盛、上海鸣励</w:t>
            </w:r>
          </w:p>
        </w:tc>
        <w:tc>
          <w:tcPr>
            <w:tcW w:w="493" w:type="pct"/>
            <w:tcBorders>
              <w:tl2br w:val="nil"/>
              <w:tr2bl w:val="nil"/>
            </w:tcBorders>
            <w:noWrap w:val="0"/>
            <w:vAlign w:val="center"/>
          </w:tcPr>
          <w:p w14:paraId="1CDC5BD0">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4F81DC6F">
            <w:pPr>
              <w:jc w:val="center"/>
              <w:rPr>
                <w:rFonts w:hint="eastAsia" w:ascii="宋体" w:hAnsi="宋体" w:eastAsia="宋体" w:cs="宋体"/>
                <w:i w:val="0"/>
                <w:iCs w:val="0"/>
                <w:color w:val="000000"/>
                <w:sz w:val="22"/>
                <w:szCs w:val="22"/>
                <w:u w:val="none"/>
              </w:rPr>
            </w:pPr>
          </w:p>
        </w:tc>
      </w:tr>
      <w:tr w14:paraId="4E869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037D5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05" w:type="pct"/>
            <w:tcBorders>
              <w:tl2br w:val="nil"/>
              <w:tr2bl w:val="nil"/>
            </w:tcBorders>
            <w:noWrap w:val="0"/>
            <w:vAlign w:val="center"/>
          </w:tcPr>
          <w:p w14:paraId="5D41C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排气扇</w:t>
            </w:r>
          </w:p>
        </w:tc>
        <w:tc>
          <w:tcPr>
            <w:tcW w:w="1653" w:type="pct"/>
            <w:tcBorders>
              <w:tl2br w:val="nil"/>
              <w:tr2bl w:val="nil"/>
            </w:tcBorders>
            <w:noWrap w:val="0"/>
            <w:vAlign w:val="center"/>
          </w:tcPr>
          <w:p w14:paraId="779FF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绿岛风、金羚、正野、上虞</w:t>
            </w:r>
          </w:p>
        </w:tc>
        <w:tc>
          <w:tcPr>
            <w:tcW w:w="493" w:type="pct"/>
            <w:tcBorders>
              <w:tl2br w:val="nil"/>
              <w:tr2bl w:val="nil"/>
            </w:tcBorders>
            <w:noWrap w:val="0"/>
            <w:vAlign w:val="center"/>
          </w:tcPr>
          <w:p w14:paraId="61A25BED">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554C950">
            <w:pPr>
              <w:jc w:val="center"/>
              <w:rPr>
                <w:rFonts w:hint="eastAsia" w:ascii="宋体" w:hAnsi="宋体" w:eastAsia="宋体" w:cs="宋体"/>
                <w:i w:val="0"/>
                <w:iCs w:val="0"/>
                <w:color w:val="000000"/>
                <w:sz w:val="22"/>
                <w:szCs w:val="22"/>
                <w:u w:val="none"/>
              </w:rPr>
            </w:pPr>
          </w:p>
        </w:tc>
      </w:tr>
      <w:tr w14:paraId="33211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40B4A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05" w:type="pct"/>
            <w:tcBorders>
              <w:tl2br w:val="nil"/>
              <w:tr2bl w:val="nil"/>
            </w:tcBorders>
            <w:noWrap w:val="0"/>
            <w:vAlign w:val="center"/>
          </w:tcPr>
          <w:p w14:paraId="64F66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冷媒紫铜管</w:t>
            </w:r>
          </w:p>
        </w:tc>
        <w:tc>
          <w:tcPr>
            <w:tcW w:w="1653" w:type="pct"/>
            <w:tcBorders>
              <w:tl2br w:val="nil"/>
              <w:tr2bl w:val="nil"/>
            </w:tcBorders>
            <w:noWrap w:val="0"/>
            <w:vAlign w:val="center"/>
          </w:tcPr>
          <w:p w14:paraId="0B201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宏泰、飞轮、华鸿、海亮</w:t>
            </w:r>
          </w:p>
        </w:tc>
        <w:tc>
          <w:tcPr>
            <w:tcW w:w="493" w:type="pct"/>
            <w:tcBorders>
              <w:tl2br w:val="nil"/>
              <w:tr2bl w:val="nil"/>
            </w:tcBorders>
            <w:noWrap w:val="0"/>
            <w:vAlign w:val="center"/>
          </w:tcPr>
          <w:p w14:paraId="1677265F">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6D37831">
            <w:pPr>
              <w:jc w:val="center"/>
              <w:rPr>
                <w:rFonts w:hint="eastAsia" w:ascii="宋体" w:hAnsi="宋体" w:eastAsia="宋体" w:cs="宋体"/>
                <w:i w:val="0"/>
                <w:iCs w:val="0"/>
                <w:color w:val="000000"/>
                <w:sz w:val="22"/>
                <w:szCs w:val="22"/>
                <w:u w:val="none"/>
              </w:rPr>
            </w:pPr>
          </w:p>
        </w:tc>
      </w:tr>
      <w:tr w14:paraId="3F49D2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1872B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05" w:type="pct"/>
            <w:tcBorders>
              <w:tl2br w:val="nil"/>
              <w:tr2bl w:val="nil"/>
            </w:tcBorders>
            <w:noWrap w:val="0"/>
            <w:vAlign w:val="center"/>
          </w:tcPr>
          <w:p w14:paraId="0588F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精密空调</w:t>
            </w:r>
          </w:p>
        </w:tc>
        <w:tc>
          <w:tcPr>
            <w:tcW w:w="1653" w:type="pct"/>
            <w:tcBorders>
              <w:tl2br w:val="nil"/>
              <w:tr2bl w:val="nil"/>
            </w:tcBorders>
            <w:noWrap w:val="0"/>
            <w:vAlign w:val="center"/>
          </w:tcPr>
          <w:p w14:paraId="563D2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格力、美的、申菱、欧科</w:t>
            </w:r>
          </w:p>
        </w:tc>
        <w:tc>
          <w:tcPr>
            <w:tcW w:w="493" w:type="pct"/>
            <w:tcBorders>
              <w:tl2br w:val="nil"/>
              <w:tr2bl w:val="nil"/>
            </w:tcBorders>
            <w:noWrap w:val="0"/>
            <w:vAlign w:val="center"/>
          </w:tcPr>
          <w:p w14:paraId="29E7E32E">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2EA2F4AD">
            <w:pPr>
              <w:jc w:val="center"/>
              <w:rPr>
                <w:rFonts w:hint="eastAsia" w:ascii="宋体" w:hAnsi="宋体" w:eastAsia="宋体" w:cs="宋体"/>
                <w:i w:val="0"/>
                <w:iCs w:val="0"/>
                <w:color w:val="000000"/>
                <w:sz w:val="22"/>
                <w:szCs w:val="22"/>
                <w:u w:val="none"/>
              </w:rPr>
            </w:pPr>
          </w:p>
        </w:tc>
      </w:tr>
      <w:tr w14:paraId="29F90A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0"/>
            <w:vAlign w:val="center"/>
          </w:tcPr>
          <w:p w14:paraId="13544A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十</w:t>
            </w:r>
          </w:p>
        </w:tc>
        <w:tc>
          <w:tcPr>
            <w:tcW w:w="4613" w:type="pct"/>
            <w:gridSpan w:val="4"/>
            <w:tcBorders>
              <w:tl2br w:val="nil"/>
              <w:tr2bl w:val="nil"/>
            </w:tcBorders>
            <w:noWrap w:val="0"/>
            <w:vAlign w:val="center"/>
          </w:tcPr>
          <w:p w14:paraId="0C133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给排水材料</w:t>
            </w:r>
          </w:p>
        </w:tc>
      </w:tr>
      <w:tr w14:paraId="6896E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ign w:val="center"/>
          </w:tcPr>
          <w:p w14:paraId="64311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5" w:type="pct"/>
            <w:tcBorders>
              <w:tl2br w:val="nil"/>
              <w:tr2bl w:val="nil"/>
            </w:tcBorders>
            <w:noWrap/>
            <w:vAlign w:val="center"/>
          </w:tcPr>
          <w:p w14:paraId="31975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生活给水泵/潜污泵</w:t>
            </w:r>
          </w:p>
        </w:tc>
        <w:tc>
          <w:tcPr>
            <w:tcW w:w="1653" w:type="pct"/>
            <w:tcBorders>
              <w:tl2br w:val="nil"/>
              <w:tr2bl w:val="nil"/>
            </w:tcBorders>
            <w:noWrap w:val="0"/>
            <w:vAlign w:val="center"/>
          </w:tcPr>
          <w:p w14:paraId="32984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格兰富、赛莱默、威乐、三利、双轮、熊猫、广一、东方泵业、上海凯泉、铭星</w:t>
            </w:r>
          </w:p>
        </w:tc>
        <w:tc>
          <w:tcPr>
            <w:tcW w:w="493" w:type="pct"/>
            <w:tcBorders>
              <w:tl2br w:val="nil"/>
              <w:tr2bl w:val="nil"/>
            </w:tcBorders>
            <w:noWrap w:val="0"/>
            <w:vAlign w:val="center"/>
          </w:tcPr>
          <w:p w14:paraId="3D445609">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6552B4B7">
            <w:pPr>
              <w:jc w:val="center"/>
              <w:rPr>
                <w:rFonts w:hint="eastAsia" w:ascii="宋体" w:hAnsi="宋体" w:eastAsia="宋体" w:cs="宋体"/>
                <w:i w:val="0"/>
                <w:iCs w:val="0"/>
                <w:color w:val="000000"/>
                <w:sz w:val="22"/>
                <w:szCs w:val="22"/>
                <w:u w:val="none"/>
              </w:rPr>
            </w:pPr>
          </w:p>
        </w:tc>
      </w:tr>
      <w:tr w14:paraId="7E12A9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86" w:type="pct"/>
            <w:tcBorders>
              <w:tl2br w:val="nil"/>
              <w:tr2bl w:val="nil"/>
            </w:tcBorders>
            <w:noWrap w:val="0"/>
            <w:vAlign w:val="center"/>
          </w:tcPr>
          <w:p w14:paraId="5BE50D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5" w:type="pct"/>
            <w:tcBorders>
              <w:tl2br w:val="nil"/>
              <w:tr2bl w:val="nil"/>
            </w:tcBorders>
            <w:noWrap w:val="0"/>
            <w:vAlign w:val="center"/>
          </w:tcPr>
          <w:p w14:paraId="71CDF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空气源热水泵</w:t>
            </w:r>
          </w:p>
        </w:tc>
        <w:tc>
          <w:tcPr>
            <w:tcW w:w="1653" w:type="pct"/>
            <w:tcBorders>
              <w:tl2br w:val="nil"/>
              <w:tr2bl w:val="nil"/>
            </w:tcBorders>
            <w:noWrap w:val="0"/>
            <w:vAlign w:val="center"/>
          </w:tcPr>
          <w:p w14:paraId="6EABD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清华同方、美的、天舒、中宇、纽恩泰、格力</w:t>
            </w:r>
          </w:p>
        </w:tc>
        <w:tc>
          <w:tcPr>
            <w:tcW w:w="493" w:type="pct"/>
            <w:tcBorders>
              <w:tl2br w:val="nil"/>
              <w:tr2bl w:val="nil"/>
            </w:tcBorders>
            <w:noWrap w:val="0"/>
            <w:vAlign w:val="center"/>
          </w:tcPr>
          <w:p w14:paraId="589443F2">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7C3E6F11">
            <w:pPr>
              <w:jc w:val="center"/>
              <w:rPr>
                <w:rFonts w:hint="eastAsia" w:ascii="宋体" w:hAnsi="宋体" w:eastAsia="宋体" w:cs="宋体"/>
                <w:i w:val="0"/>
                <w:iCs w:val="0"/>
                <w:color w:val="000000"/>
                <w:sz w:val="22"/>
                <w:szCs w:val="22"/>
                <w:u w:val="none"/>
              </w:rPr>
            </w:pPr>
          </w:p>
        </w:tc>
      </w:tr>
      <w:tr w14:paraId="0F0D7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86" w:type="pct"/>
            <w:tcBorders>
              <w:tl2br w:val="nil"/>
              <w:tr2bl w:val="nil"/>
            </w:tcBorders>
            <w:noWrap/>
            <w:vAlign w:val="center"/>
          </w:tcPr>
          <w:p w14:paraId="2EF4E9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pct"/>
            <w:tcBorders>
              <w:tl2br w:val="nil"/>
              <w:tr2bl w:val="nil"/>
            </w:tcBorders>
            <w:noWrap/>
            <w:vAlign w:val="center"/>
          </w:tcPr>
          <w:p w14:paraId="58F16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消防水泵</w:t>
            </w:r>
          </w:p>
        </w:tc>
        <w:tc>
          <w:tcPr>
            <w:tcW w:w="1653" w:type="pct"/>
            <w:tcBorders>
              <w:tl2br w:val="nil"/>
              <w:tr2bl w:val="nil"/>
            </w:tcBorders>
            <w:noWrap w:val="0"/>
            <w:vAlign w:val="center"/>
          </w:tcPr>
          <w:p w14:paraId="74F40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双轮、熊猫、广一、东方泵业、上海凯泉</w:t>
            </w:r>
          </w:p>
        </w:tc>
        <w:tc>
          <w:tcPr>
            <w:tcW w:w="493" w:type="pct"/>
            <w:tcBorders>
              <w:tl2br w:val="nil"/>
              <w:tr2bl w:val="nil"/>
            </w:tcBorders>
            <w:noWrap w:val="0"/>
            <w:vAlign w:val="center"/>
          </w:tcPr>
          <w:p w14:paraId="05014780">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72102D7">
            <w:pPr>
              <w:jc w:val="center"/>
              <w:rPr>
                <w:rFonts w:hint="eastAsia" w:ascii="宋体" w:hAnsi="宋体" w:eastAsia="宋体" w:cs="宋体"/>
                <w:i w:val="0"/>
                <w:iCs w:val="0"/>
                <w:color w:val="000000"/>
                <w:sz w:val="22"/>
                <w:szCs w:val="22"/>
                <w:u w:val="none"/>
              </w:rPr>
            </w:pPr>
          </w:p>
        </w:tc>
      </w:tr>
      <w:tr w14:paraId="77E54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386" w:type="pct"/>
            <w:tcBorders>
              <w:tl2br w:val="nil"/>
              <w:tr2bl w:val="nil"/>
            </w:tcBorders>
            <w:noWrap w:val="0"/>
            <w:vAlign w:val="center"/>
          </w:tcPr>
          <w:p w14:paraId="5C943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5" w:type="pct"/>
            <w:tcBorders>
              <w:tl2br w:val="nil"/>
              <w:tr2bl w:val="nil"/>
            </w:tcBorders>
            <w:noWrap w:val="0"/>
            <w:vAlign w:val="center"/>
          </w:tcPr>
          <w:p w14:paraId="0815C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消防水产品(喷头、水流指示器、湿式报警阀、水泵接合器、信号阀)</w:t>
            </w:r>
          </w:p>
        </w:tc>
        <w:tc>
          <w:tcPr>
            <w:tcW w:w="1653" w:type="pct"/>
            <w:tcBorders>
              <w:tl2br w:val="nil"/>
              <w:tr2bl w:val="nil"/>
            </w:tcBorders>
            <w:noWrap w:val="0"/>
            <w:vAlign w:val="center"/>
          </w:tcPr>
          <w:p w14:paraId="49795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川消、唯特利、桂安、白沙</w:t>
            </w:r>
          </w:p>
        </w:tc>
        <w:tc>
          <w:tcPr>
            <w:tcW w:w="493" w:type="pct"/>
            <w:tcBorders>
              <w:tl2br w:val="nil"/>
              <w:tr2bl w:val="nil"/>
            </w:tcBorders>
            <w:noWrap w:val="0"/>
            <w:vAlign w:val="center"/>
          </w:tcPr>
          <w:p w14:paraId="3787DA97">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86CB1F8">
            <w:pPr>
              <w:jc w:val="center"/>
              <w:rPr>
                <w:rFonts w:hint="eastAsia" w:ascii="宋体" w:hAnsi="宋体" w:eastAsia="宋体" w:cs="宋体"/>
                <w:i w:val="0"/>
                <w:iCs w:val="0"/>
                <w:color w:val="000000"/>
                <w:sz w:val="22"/>
                <w:szCs w:val="22"/>
                <w:u w:val="none"/>
              </w:rPr>
            </w:pPr>
          </w:p>
        </w:tc>
      </w:tr>
      <w:tr w14:paraId="4D673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86" w:type="pct"/>
            <w:tcBorders>
              <w:tl2br w:val="nil"/>
              <w:tr2bl w:val="nil"/>
            </w:tcBorders>
            <w:noWrap w:val="0"/>
            <w:vAlign w:val="center"/>
          </w:tcPr>
          <w:p w14:paraId="49750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5" w:type="pct"/>
            <w:tcBorders>
              <w:tl2br w:val="nil"/>
              <w:tr2bl w:val="nil"/>
            </w:tcBorders>
            <w:noWrap w:val="0"/>
            <w:vAlign w:val="center"/>
          </w:tcPr>
          <w:p w14:paraId="5857B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建筑钢管类管材与管件，含以下3类：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1.不锈钢无缝钢管；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2.镀锌焊接钢管；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3.薄壁不锈钢水管。</w:t>
            </w:r>
          </w:p>
        </w:tc>
        <w:tc>
          <w:tcPr>
            <w:tcW w:w="1653" w:type="pct"/>
            <w:tcBorders>
              <w:tl2br w:val="nil"/>
              <w:tr2bl w:val="nil"/>
            </w:tcBorders>
            <w:noWrap w:val="0"/>
            <w:vAlign w:val="center"/>
          </w:tcPr>
          <w:p w14:paraId="74F00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美亚、雅昌、共同、民乐、金羊慧家、金洲牌、福兰特、中捷、铭扬、友发、三庆、长城、宝捷</w:t>
            </w:r>
          </w:p>
        </w:tc>
        <w:tc>
          <w:tcPr>
            <w:tcW w:w="493" w:type="pct"/>
            <w:tcBorders>
              <w:tl2br w:val="nil"/>
              <w:tr2bl w:val="nil"/>
            </w:tcBorders>
            <w:noWrap w:val="0"/>
            <w:vAlign w:val="center"/>
          </w:tcPr>
          <w:p w14:paraId="58F0F06E">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0ABA991C">
            <w:pPr>
              <w:jc w:val="center"/>
              <w:rPr>
                <w:rFonts w:hint="eastAsia" w:ascii="宋体" w:hAnsi="宋体" w:eastAsia="宋体" w:cs="宋体"/>
                <w:i w:val="0"/>
                <w:iCs w:val="0"/>
                <w:color w:val="000000"/>
                <w:sz w:val="22"/>
                <w:szCs w:val="22"/>
                <w:u w:val="none"/>
              </w:rPr>
            </w:pPr>
          </w:p>
        </w:tc>
      </w:tr>
      <w:tr w14:paraId="39495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6" w:type="pct"/>
            <w:tcBorders>
              <w:tl2br w:val="nil"/>
              <w:tr2bl w:val="nil"/>
            </w:tcBorders>
            <w:noWrap w:val="0"/>
            <w:vAlign w:val="center"/>
          </w:tcPr>
          <w:p w14:paraId="1FC53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5" w:type="pct"/>
            <w:tcBorders>
              <w:tl2br w:val="nil"/>
              <w:tr2bl w:val="nil"/>
            </w:tcBorders>
            <w:noWrap w:val="0"/>
            <w:vAlign w:val="center"/>
          </w:tcPr>
          <w:p w14:paraId="5B0966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市政塑料类管材与管件：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聚乙烯类（PE）管材与管件，包括给水用聚乙烯（PE）管，燃气用埋地聚乙烯（PE）管，埋地用聚乙烯（PE）聚乙烯双壁波纹管，埋地用聚乙烯（PE）聚乙烯缠绕结构壁管，给水用低密度聚乙烯管，喷灌用低密度聚乙烯管等；</w:t>
            </w:r>
          </w:p>
        </w:tc>
        <w:tc>
          <w:tcPr>
            <w:tcW w:w="1653" w:type="pct"/>
            <w:tcBorders>
              <w:tl2br w:val="nil"/>
              <w:tr2bl w:val="nil"/>
            </w:tcBorders>
            <w:noWrap w:val="0"/>
            <w:vAlign w:val="center"/>
          </w:tcPr>
          <w:p w14:paraId="57919F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联塑、中财、雄塑、顾地、鸿泰、公元牌/永高牌、康泰牌、东方伍拾年、日丰、中亚、粤星管道、和塑、伟星、中德、统塑</w:t>
            </w:r>
          </w:p>
        </w:tc>
        <w:tc>
          <w:tcPr>
            <w:tcW w:w="493" w:type="pct"/>
            <w:tcBorders>
              <w:tl2br w:val="nil"/>
              <w:tr2bl w:val="nil"/>
            </w:tcBorders>
            <w:noWrap w:val="0"/>
            <w:vAlign w:val="center"/>
          </w:tcPr>
          <w:p w14:paraId="6ED19FDD">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71ADBB29">
            <w:pPr>
              <w:jc w:val="center"/>
              <w:rPr>
                <w:rFonts w:hint="eastAsia" w:ascii="宋体" w:hAnsi="宋体" w:eastAsia="宋体" w:cs="宋体"/>
                <w:i w:val="0"/>
                <w:iCs w:val="0"/>
                <w:color w:val="000000"/>
                <w:sz w:val="22"/>
                <w:szCs w:val="22"/>
                <w:u w:val="none"/>
              </w:rPr>
            </w:pPr>
          </w:p>
        </w:tc>
      </w:tr>
      <w:tr w14:paraId="4B432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86" w:type="pct"/>
            <w:tcBorders>
              <w:tl2br w:val="nil"/>
              <w:tr2bl w:val="nil"/>
            </w:tcBorders>
            <w:noWrap w:val="0"/>
            <w:vAlign w:val="center"/>
          </w:tcPr>
          <w:p w14:paraId="20CF4C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05" w:type="pct"/>
            <w:tcBorders>
              <w:tl2br w:val="nil"/>
              <w:tr2bl w:val="nil"/>
            </w:tcBorders>
            <w:noWrap w:val="0"/>
            <w:vAlign w:val="center"/>
          </w:tcPr>
          <w:p w14:paraId="718E77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给排水阀门（包括各类法兰阀门、丝扣阀、防污截止阀、减压阀、Y 型过滤器、信号闸阀等）</w:t>
            </w:r>
          </w:p>
        </w:tc>
        <w:tc>
          <w:tcPr>
            <w:tcW w:w="1653" w:type="pct"/>
            <w:tcBorders>
              <w:tl2br w:val="nil"/>
              <w:tr2bl w:val="nil"/>
            </w:tcBorders>
            <w:noWrap w:val="0"/>
            <w:vAlign w:val="center"/>
          </w:tcPr>
          <w:p w14:paraId="70B3B1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上海冠龙、欧特莱、广精、妥阀、佳福斯、INGRAM 英格兰姆、天津塘沽瓦特斯、越海、永泉牌、天津塘高、上海罗兰、开维喜、荣钢阀门、广州中奇、上海标一、电建、良工、春江牌、JQFM、亿田阀门、联塑、广州奥申、TVA 斯耐德、良正阀门、泰勒 TALOAR、正丰</w:t>
            </w:r>
          </w:p>
        </w:tc>
        <w:tc>
          <w:tcPr>
            <w:tcW w:w="493" w:type="pct"/>
            <w:tcBorders>
              <w:tl2br w:val="nil"/>
              <w:tr2bl w:val="nil"/>
            </w:tcBorders>
            <w:noWrap w:val="0"/>
            <w:vAlign w:val="center"/>
          </w:tcPr>
          <w:p w14:paraId="78CA90E4">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570482B4">
            <w:pPr>
              <w:jc w:val="center"/>
              <w:rPr>
                <w:rFonts w:hint="eastAsia" w:ascii="宋体" w:hAnsi="宋体" w:eastAsia="宋体" w:cs="宋体"/>
                <w:i w:val="0"/>
                <w:iCs w:val="0"/>
                <w:color w:val="000000"/>
                <w:sz w:val="22"/>
                <w:szCs w:val="22"/>
                <w:u w:val="none"/>
              </w:rPr>
            </w:pPr>
          </w:p>
        </w:tc>
      </w:tr>
      <w:tr w14:paraId="25639B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386" w:type="pct"/>
            <w:tcBorders>
              <w:tl2br w:val="nil"/>
              <w:tr2bl w:val="nil"/>
            </w:tcBorders>
            <w:noWrap w:val="0"/>
            <w:vAlign w:val="center"/>
          </w:tcPr>
          <w:p w14:paraId="680A0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05" w:type="pct"/>
            <w:tcBorders>
              <w:tl2br w:val="nil"/>
              <w:tr2bl w:val="nil"/>
            </w:tcBorders>
            <w:noWrap w:val="0"/>
            <w:vAlign w:val="center"/>
          </w:tcPr>
          <w:p w14:paraId="52057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抗震支吊架包含： 1.支撑式抗震支吊架；2.悬吊式抗震支吊架。</w:t>
            </w:r>
          </w:p>
        </w:tc>
        <w:tc>
          <w:tcPr>
            <w:tcW w:w="1653" w:type="pct"/>
            <w:tcBorders>
              <w:tl2br w:val="nil"/>
              <w:tr2bl w:val="nil"/>
            </w:tcBorders>
            <w:noWrap w:val="0"/>
            <w:vAlign w:val="center"/>
          </w:tcPr>
          <w:p w14:paraId="4C4BD8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喜利得、优力可、雅仕格、伍尔特、合和牌、共源、安固士、雅昌、邦达、新力紧</w:t>
            </w:r>
          </w:p>
        </w:tc>
        <w:tc>
          <w:tcPr>
            <w:tcW w:w="493" w:type="pct"/>
            <w:tcBorders>
              <w:tl2br w:val="nil"/>
              <w:tr2bl w:val="nil"/>
            </w:tcBorders>
            <w:noWrap w:val="0"/>
            <w:vAlign w:val="center"/>
          </w:tcPr>
          <w:p w14:paraId="7DC2F643">
            <w:pPr>
              <w:jc w:val="center"/>
              <w:rPr>
                <w:rFonts w:hint="eastAsia" w:ascii="宋体" w:hAnsi="宋体" w:eastAsia="宋体" w:cs="宋体"/>
                <w:i w:val="0"/>
                <w:iCs w:val="0"/>
                <w:color w:val="000000"/>
                <w:sz w:val="22"/>
                <w:szCs w:val="22"/>
                <w:u w:val="none"/>
              </w:rPr>
            </w:pPr>
          </w:p>
        </w:tc>
        <w:tc>
          <w:tcPr>
            <w:tcW w:w="1160" w:type="pct"/>
            <w:tcBorders>
              <w:tl2br w:val="nil"/>
              <w:tr2bl w:val="nil"/>
            </w:tcBorders>
            <w:noWrap/>
            <w:vAlign w:val="center"/>
          </w:tcPr>
          <w:p w14:paraId="79D20CA2">
            <w:pPr>
              <w:jc w:val="center"/>
              <w:rPr>
                <w:rFonts w:hint="eastAsia" w:ascii="宋体" w:hAnsi="宋体" w:eastAsia="宋体" w:cs="宋体"/>
                <w:i w:val="0"/>
                <w:iCs w:val="0"/>
                <w:color w:val="000000"/>
                <w:sz w:val="22"/>
                <w:szCs w:val="22"/>
                <w:u w:val="none"/>
              </w:rPr>
            </w:pPr>
          </w:p>
        </w:tc>
      </w:tr>
    </w:tbl>
    <w:p w14:paraId="5ADECF79">
      <w:pPr>
        <w:rPr>
          <w:color w:val="auto"/>
          <w:highlight w:val="none"/>
        </w:rPr>
      </w:pPr>
    </w:p>
    <w:p w14:paraId="12CD5F19">
      <w:pPr>
        <w:rPr>
          <w:color w:val="auto"/>
          <w:highlight w:val="none"/>
        </w:rPr>
      </w:pPr>
    </w:p>
    <w:p w14:paraId="4092F0DD">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注：承包人采购的材料、设备其质量档次应不低于或相当于主要材料及设备品牌推荐表（推荐或相当于）中品牌厂家的质量档次。</w:t>
      </w:r>
    </w:p>
    <w:p w14:paraId="0D041A91">
      <w:pPr>
        <w:pStyle w:val="7"/>
        <w:spacing w:line="360" w:lineRule="auto"/>
        <w:ind w:firstLine="498" w:firstLineChars="200"/>
        <w:rPr>
          <w:rFonts w:ascii="宋体" w:hAnsi="宋体" w:cs="宋体"/>
          <w:b/>
          <w:bCs/>
          <w:color w:val="auto"/>
          <w:spacing w:val="4"/>
          <w:sz w:val="24"/>
          <w:szCs w:val="24"/>
          <w:highlight w:val="none"/>
        </w:rPr>
      </w:pPr>
    </w:p>
    <w:p w14:paraId="7FFE4295">
      <w:pPr>
        <w:pStyle w:val="7"/>
        <w:spacing w:line="360" w:lineRule="auto"/>
        <w:ind w:left="0" w:leftChars="0" w:firstLine="0" w:firstLineChars="0"/>
        <w:rPr>
          <w:rFonts w:ascii="宋体" w:hAnsi="宋体" w:cs="宋体"/>
          <w:color w:val="auto"/>
          <w:spacing w:val="4"/>
          <w:sz w:val="24"/>
          <w:szCs w:val="24"/>
          <w:highlight w:val="none"/>
        </w:rPr>
      </w:pPr>
      <w:r>
        <w:rPr>
          <w:rFonts w:hint="eastAsia" w:ascii="宋体" w:hAnsi="宋体" w:cs="宋体"/>
          <w:b/>
          <w:bCs/>
          <w:color w:val="auto"/>
          <w:spacing w:val="4"/>
          <w:sz w:val="24"/>
          <w:szCs w:val="24"/>
          <w:highlight w:val="none"/>
        </w:rPr>
        <w:t>（</w:t>
      </w:r>
      <w:r>
        <w:rPr>
          <w:rFonts w:hint="eastAsia" w:ascii="宋体" w:hAnsi="宋体" w:cs="宋体"/>
          <w:b/>
          <w:bCs/>
          <w:color w:val="auto"/>
          <w:spacing w:val="4"/>
          <w:sz w:val="24"/>
          <w:szCs w:val="24"/>
          <w:highlight w:val="none"/>
          <w:lang w:val="en-US" w:eastAsia="zh-CN"/>
        </w:rPr>
        <w:t>五</w:t>
      </w:r>
      <w:r>
        <w:rPr>
          <w:rFonts w:hint="eastAsia" w:ascii="宋体" w:hAnsi="宋体" w:cs="宋体"/>
          <w:b/>
          <w:bCs/>
          <w:color w:val="auto"/>
          <w:spacing w:val="4"/>
          <w:sz w:val="24"/>
          <w:szCs w:val="24"/>
          <w:highlight w:val="none"/>
        </w:rPr>
        <w:t>）工人工资支付管理要求</w:t>
      </w:r>
    </w:p>
    <w:p w14:paraId="705023FE">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承包人应当按照国家及广东省、广州市的有关规定和本合同的有关约定加强其参与本合同工程建设人员（包括农民工）的管理。承包人应当根据劳动合同约定的农民工工资标准等内容，按照依法签订的集体合同或劳动合同约定的日期按月支付工资，并不得低于当地最低工资标准。</w:t>
      </w:r>
    </w:p>
    <w:p w14:paraId="008F3A7B">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承包人应每月编制农民工工资支付表，如实记录支付时间、支付对象、支付金额等工资支付情况，并于每月底在其现场管理机构办公场所显眼位置公示，接受监督。</w:t>
      </w:r>
    </w:p>
    <w:p w14:paraId="7528E061">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承包人不按合同及有关规定按时、足额支付分包单位合同价款及民工工资而被投诉或上访属实的，发包人有权终止与承包人的合同，发包人因此造成的所有损失由承包人承担；如因此致使民工集体上访、集聚围阻而造成社会不良影响的，发包人有权终止与承包人的合同，并上报有关部门，发包人因此造成的所有损失由承包人承担。如属恶意煽动并造成社会不良影响的，发包人将提请司法部门追究其法律责任。</w:t>
      </w:r>
    </w:p>
    <w:p w14:paraId="1814FC6C">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5ABB0E51">
      <w:pPr>
        <w:pStyle w:val="7"/>
        <w:rPr>
          <w:color w:val="auto"/>
          <w:highlight w:val="none"/>
        </w:rPr>
      </w:pPr>
    </w:p>
    <w:p w14:paraId="22026496">
      <w:pPr>
        <w:pStyle w:val="7"/>
        <w:spacing w:line="360" w:lineRule="auto"/>
        <w:ind w:left="0" w:leftChars="0" w:firstLine="0" w:firstLineChars="0"/>
        <w:rPr>
          <w:rFonts w:ascii="宋体" w:hAnsi="宋体" w:cs="宋体"/>
          <w:b/>
          <w:bCs/>
          <w:color w:val="auto"/>
          <w:spacing w:val="4"/>
          <w:sz w:val="24"/>
          <w:szCs w:val="24"/>
          <w:highlight w:val="none"/>
        </w:rPr>
      </w:pPr>
      <w:r>
        <w:rPr>
          <w:rFonts w:hint="eastAsia" w:ascii="宋体" w:hAnsi="宋体" w:cs="宋体"/>
          <w:b/>
          <w:bCs/>
          <w:color w:val="auto"/>
          <w:spacing w:val="4"/>
          <w:sz w:val="24"/>
          <w:szCs w:val="24"/>
          <w:highlight w:val="none"/>
        </w:rPr>
        <w:t>（</w:t>
      </w:r>
      <w:r>
        <w:rPr>
          <w:rFonts w:hint="eastAsia" w:ascii="宋体" w:hAnsi="宋体" w:cs="宋体"/>
          <w:b/>
          <w:bCs/>
          <w:color w:val="auto"/>
          <w:spacing w:val="4"/>
          <w:sz w:val="24"/>
          <w:szCs w:val="24"/>
          <w:highlight w:val="none"/>
          <w:lang w:val="en-US" w:eastAsia="zh-CN"/>
        </w:rPr>
        <w:t>六</w:t>
      </w:r>
      <w:r>
        <w:rPr>
          <w:rFonts w:hint="eastAsia" w:ascii="宋体" w:hAnsi="宋体" w:cs="宋体"/>
          <w:b/>
          <w:bCs/>
          <w:color w:val="auto"/>
          <w:spacing w:val="4"/>
          <w:sz w:val="24"/>
          <w:szCs w:val="24"/>
          <w:highlight w:val="none"/>
        </w:rPr>
        <w:t>）施工现场建筑垃圾源头减量的具体要求和建筑垃圾综合利用产品的使用要求</w:t>
      </w:r>
    </w:p>
    <w:p w14:paraId="1876646C">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30C481DB">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2、建筑垃圾应当按照国家有关规定进行分类，实行分类收集、分类贮存、分类运输、分类处置。</w:t>
      </w:r>
    </w:p>
    <w:p w14:paraId="558ABA0F">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3、建设单位应当建立建筑垃圾分类收集、贮存以及台账管理等制度，督促施工单位开展建筑垃圾分类和合法装载，并及时向工程所在地县级人民政府建筑垃圾主管部门报送建筑垃圾处理方案。</w:t>
      </w:r>
    </w:p>
    <w:p w14:paraId="47E1B833">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施工单位应当建立建筑垃圾管理台账，分类收集、贮存和及时清运施工过程中产生的建筑垃圾，采取有效措施防止混合已分类的建筑垃圾。</w:t>
      </w:r>
    </w:p>
    <w:p w14:paraId="15C5C7EA">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工程施工单位应当将建筑垃圾的产生量与种类、清运时间、最终去向等信息在施工现场公示，接受社会监督。</w:t>
      </w:r>
    </w:p>
    <w:p w14:paraId="0603E781">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w:t>
      </w:r>
    </w:p>
    <w:p w14:paraId="4D437EA5">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建筑垃圾运输车辆、船舶应当符合相应的载运技术条件。建筑垃圾处置场所为陆域的，不得采用开底式船舶运输建筑垃圾。</w:t>
      </w:r>
    </w:p>
    <w:p w14:paraId="74B40B9E">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3254530F">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w:t>
      </w:r>
    </w:p>
    <w:p w14:paraId="19763AB9">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具备现场综合利用条件的建设工程，应当进行建筑垃圾现场综合利用。</w:t>
      </w:r>
    </w:p>
    <w:p w14:paraId="75029DE9">
      <w:pPr>
        <w:pStyle w:val="7"/>
        <w:spacing w:line="360" w:lineRule="auto"/>
        <w:ind w:firstLine="496" w:firstLineChars="200"/>
        <w:rPr>
          <w:rFonts w:ascii="宋体" w:hAnsi="宋体" w:cs="宋体"/>
          <w:color w:val="auto"/>
          <w:spacing w:val="4"/>
          <w:sz w:val="24"/>
          <w:szCs w:val="24"/>
          <w:highlight w:val="none"/>
        </w:rPr>
      </w:pPr>
      <w:r>
        <w:rPr>
          <w:rFonts w:hint="eastAsia" w:ascii="宋体" w:hAnsi="宋体" w:cs="宋体"/>
          <w:color w:val="auto"/>
          <w:spacing w:val="4"/>
          <w:sz w:val="24"/>
          <w:szCs w:val="24"/>
          <w:highlight w:val="none"/>
        </w:rPr>
        <w:t>7、建设单位和施工单位严格遵守并执行《广东省建筑垃圾管理条例》。</w:t>
      </w:r>
    </w:p>
    <w:p w14:paraId="5A785438">
      <w:pPr>
        <w:topLinePunct/>
        <w:adjustRightInd w:val="0"/>
        <w:snapToGrid w:val="0"/>
        <w:spacing w:line="360" w:lineRule="auto"/>
        <w:ind w:firstLine="496" w:firstLineChars="200"/>
        <w:jc w:val="left"/>
        <w:rPr>
          <w:rFonts w:ascii="宋体" w:hAnsi="宋体" w:eastAsia="Times New Roman"/>
          <w:snapToGrid w:val="0"/>
          <w:color w:val="auto"/>
          <w:spacing w:val="4"/>
          <w:sz w:val="24"/>
          <w:szCs w:val="24"/>
          <w:highlight w:val="none"/>
        </w:rPr>
      </w:pPr>
    </w:p>
    <w:p w14:paraId="5140708E">
      <w:pPr>
        <w:rPr>
          <w:b/>
          <w:color w:val="auto"/>
          <w:kern w:val="44"/>
          <w:sz w:val="28"/>
          <w:szCs w:val="28"/>
          <w:highlight w:val="none"/>
        </w:rPr>
      </w:pPr>
      <w:bookmarkStart w:id="192" w:name="_Toc62056136"/>
      <w:bookmarkStart w:id="193" w:name="_Toc2272569"/>
      <w:r>
        <w:rPr>
          <w:b/>
          <w:color w:val="auto"/>
          <w:kern w:val="44"/>
          <w:sz w:val="28"/>
          <w:szCs w:val="28"/>
          <w:highlight w:val="none"/>
        </w:rPr>
        <w:br w:type="page"/>
      </w:r>
    </w:p>
    <w:p w14:paraId="646C70AE">
      <w:pPr>
        <w:pStyle w:val="7"/>
        <w:rPr>
          <w:color w:val="auto"/>
          <w:highlight w:val="none"/>
        </w:rPr>
      </w:pPr>
    </w:p>
    <w:p w14:paraId="3EB190BA">
      <w:pPr>
        <w:keepNext/>
        <w:keepLines/>
        <w:spacing w:before="120" w:after="120" w:line="360" w:lineRule="auto"/>
        <w:jc w:val="center"/>
        <w:outlineLvl w:val="0"/>
        <w:rPr>
          <w:b/>
          <w:color w:val="auto"/>
          <w:kern w:val="44"/>
          <w:sz w:val="28"/>
          <w:szCs w:val="28"/>
          <w:highlight w:val="none"/>
        </w:rPr>
      </w:pPr>
      <w:r>
        <w:rPr>
          <w:rFonts w:hint="eastAsia"/>
          <w:b/>
          <w:color w:val="auto"/>
          <w:kern w:val="44"/>
          <w:sz w:val="28"/>
          <w:szCs w:val="28"/>
          <w:highlight w:val="none"/>
        </w:rPr>
        <w:t>第六章</w:t>
      </w:r>
      <w:r>
        <w:rPr>
          <w:b/>
          <w:color w:val="auto"/>
          <w:kern w:val="44"/>
          <w:sz w:val="28"/>
          <w:szCs w:val="28"/>
          <w:highlight w:val="none"/>
        </w:rPr>
        <w:t xml:space="preserve">  </w:t>
      </w:r>
      <w:r>
        <w:rPr>
          <w:rFonts w:hint="eastAsia"/>
          <w:b/>
          <w:color w:val="auto"/>
          <w:kern w:val="44"/>
          <w:sz w:val="28"/>
          <w:szCs w:val="28"/>
          <w:highlight w:val="none"/>
        </w:rPr>
        <w:t>图纸及勘察资料</w:t>
      </w:r>
      <w:bookmarkEnd w:id="192"/>
      <w:bookmarkEnd w:id="193"/>
    </w:p>
    <w:p w14:paraId="3C859CE4">
      <w:pPr>
        <w:spacing w:line="360" w:lineRule="auto"/>
        <w:rPr>
          <w:rFonts w:ascii="宋体" w:hAnsi="宋体"/>
          <w:color w:val="auto"/>
          <w:sz w:val="24"/>
          <w:szCs w:val="24"/>
          <w:highlight w:val="none"/>
        </w:rPr>
      </w:pPr>
      <w:r>
        <w:rPr>
          <w:rFonts w:hint="eastAsia" w:ascii="宋体" w:hAnsi="宋体"/>
          <w:color w:val="auto"/>
          <w:sz w:val="24"/>
          <w:szCs w:val="24"/>
          <w:highlight w:val="none"/>
        </w:rPr>
        <w:t>注：本项目所有招标图纸、资料知识产权属招标人所有，不得用于除本次招标项目外其它用途，否则应承担由此所引起的全部法律责任。</w:t>
      </w:r>
    </w:p>
    <w:p w14:paraId="25D7222C">
      <w:pPr>
        <w:rPr>
          <w:rFonts w:ascii="宋体" w:hAnsi="宋体" w:cs="宋体"/>
          <w:color w:val="auto"/>
          <w:sz w:val="24"/>
          <w:szCs w:val="24"/>
          <w:highlight w:val="none"/>
        </w:rPr>
      </w:pPr>
    </w:p>
    <w:p w14:paraId="46AACD61">
      <w:pPr>
        <w:rPr>
          <w:rFonts w:ascii="宋体" w:hAnsi="宋体" w:cs="宋体"/>
          <w:b/>
          <w:color w:val="auto"/>
          <w:sz w:val="24"/>
          <w:szCs w:val="24"/>
          <w:highlight w:val="none"/>
        </w:rPr>
      </w:pPr>
      <w:r>
        <w:rPr>
          <w:rFonts w:hint="eastAsia" w:ascii="宋体" w:hAnsi="宋体" w:cs="宋体"/>
          <w:color w:val="auto"/>
          <w:sz w:val="24"/>
          <w:szCs w:val="24"/>
          <w:highlight w:val="none"/>
        </w:rPr>
        <w:t>注：招标图纸，另册。</w:t>
      </w:r>
    </w:p>
    <w:p w14:paraId="2513376F">
      <w:pPr>
        <w:keepNext/>
        <w:keepLines/>
        <w:spacing w:before="120" w:after="120" w:line="360" w:lineRule="auto"/>
        <w:jc w:val="center"/>
        <w:outlineLvl w:val="0"/>
        <w:rPr>
          <w:b/>
          <w:color w:val="auto"/>
          <w:kern w:val="44"/>
          <w:sz w:val="28"/>
          <w:szCs w:val="28"/>
          <w:highlight w:val="none"/>
        </w:rPr>
      </w:pPr>
      <w:r>
        <w:rPr>
          <w:color w:val="auto"/>
          <w:kern w:val="44"/>
          <w:sz w:val="24"/>
          <w:szCs w:val="24"/>
          <w:highlight w:val="none"/>
        </w:rPr>
        <w:br w:type="page"/>
      </w:r>
      <w:bookmarkStart w:id="194" w:name="_Toc62056137"/>
      <w:bookmarkStart w:id="195" w:name="_Toc2272570"/>
      <w:r>
        <w:rPr>
          <w:rFonts w:hint="eastAsia"/>
          <w:b/>
          <w:color w:val="auto"/>
          <w:kern w:val="44"/>
          <w:sz w:val="28"/>
          <w:szCs w:val="28"/>
          <w:highlight w:val="none"/>
        </w:rPr>
        <w:t>第七章</w:t>
      </w:r>
      <w:r>
        <w:rPr>
          <w:b/>
          <w:color w:val="auto"/>
          <w:kern w:val="44"/>
          <w:sz w:val="28"/>
          <w:szCs w:val="28"/>
          <w:highlight w:val="none"/>
        </w:rPr>
        <w:t xml:space="preserve">  </w:t>
      </w:r>
      <w:r>
        <w:rPr>
          <w:rFonts w:hint="eastAsia"/>
          <w:b/>
          <w:color w:val="auto"/>
          <w:kern w:val="44"/>
          <w:sz w:val="28"/>
          <w:szCs w:val="28"/>
          <w:highlight w:val="none"/>
        </w:rPr>
        <w:t>工程量清单</w:t>
      </w:r>
      <w:bookmarkEnd w:id="194"/>
      <w:bookmarkEnd w:id="195"/>
    </w:p>
    <w:p w14:paraId="5EE8EF5F">
      <w:pPr>
        <w:rPr>
          <w:rFonts w:ascii="宋体"/>
          <w:b/>
          <w:color w:val="auto"/>
          <w:sz w:val="24"/>
          <w:szCs w:val="24"/>
          <w:highlight w:val="none"/>
        </w:rPr>
      </w:pPr>
      <w:r>
        <w:rPr>
          <w:rFonts w:hint="eastAsia" w:ascii="宋体" w:hAnsi="宋体"/>
          <w:color w:val="auto"/>
          <w:sz w:val="24"/>
          <w:szCs w:val="24"/>
          <w:highlight w:val="none"/>
        </w:rPr>
        <w:t>注：另册。</w:t>
      </w:r>
    </w:p>
    <w:p w14:paraId="7F750120">
      <w:pPr>
        <w:keepNext/>
        <w:keepLines/>
        <w:spacing w:before="120" w:after="120" w:line="360" w:lineRule="auto"/>
        <w:jc w:val="center"/>
        <w:outlineLvl w:val="0"/>
        <w:rPr>
          <w:rFonts w:ascii="宋体"/>
          <w:b/>
          <w:color w:val="auto"/>
          <w:kern w:val="44"/>
          <w:sz w:val="28"/>
          <w:szCs w:val="28"/>
          <w:highlight w:val="none"/>
        </w:rPr>
      </w:pPr>
      <w:r>
        <w:rPr>
          <w:color w:val="auto"/>
          <w:kern w:val="44"/>
          <w:sz w:val="24"/>
          <w:szCs w:val="24"/>
          <w:highlight w:val="none"/>
        </w:rPr>
        <w:br w:type="page"/>
      </w:r>
      <w:bookmarkStart w:id="196" w:name="_Toc62056138"/>
      <w:bookmarkStart w:id="197" w:name="_Toc2272571"/>
      <w:r>
        <w:rPr>
          <w:rFonts w:hint="eastAsia"/>
          <w:b/>
          <w:color w:val="auto"/>
          <w:kern w:val="44"/>
          <w:sz w:val="28"/>
          <w:szCs w:val="28"/>
          <w:highlight w:val="none"/>
        </w:rPr>
        <w:t>第八章</w:t>
      </w:r>
      <w:r>
        <w:rPr>
          <w:b/>
          <w:color w:val="auto"/>
          <w:kern w:val="44"/>
          <w:sz w:val="28"/>
          <w:szCs w:val="28"/>
          <w:highlight w:val="none"/>
        </w:rPr>
        <w:t xml:space="preserve">  </w:t>
      </w:r>
      <w:r>
        <w:rPr>
          <w:rFonts w:hint="eastAsia"/>
          <w:b/>
          <w:color w:val="auto"/>
          <w:kern w:val="44"/>
          <w:sz w:val="28"/>
          <w:szCs w:val="28"/>
          <w:highlight w:val="none"/>
        </w:rPr>
        <w:t>最高投标限价</w:t>
      </w:r>
      <w:bookmarkEnd w:id="196"/>
      <w:bookmarkEnd w:id="197"/>
    </w:p>
    <w:p w14:paraId="267A0919">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招标人应当在发布招标文件时，公布最高投标限价的总价，分部分项工程费、措施项目费、其他项目费、税金，以及绿色施工安全防护措施费、暂列金额等投标人不可竞争的固定报价。</w:t>
      </w:r>
    </w:p>
    <w:p w14:paraId="68C68AE0">
      <w:pPr>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具体见本项目《最高投标限价公布函》。</w:t>
      </w:r>
    </w:p>
    <w:p w14:paraId="7F63CFE3">
      <w:pPr>
        <w:rPr>
          <w:color w:val="auto"/>
          <w:highlight w:val="none"/>
        </w:rPr>
      </w:pPr>
    </w:p>
    <w:p w14:paraId="5DDAB42D">
      <w:pPr>
        <w:widowControl/>
        <w:jc w:val="left"/>
        <w:rPr>
          <w:color w:val="auto"/>
          <w:highlight w:val="none"/>
        </w:rPr>
      </w:pPr>
    </w:p>
    <w:sectPr>
      <w:headerReference r:id="rId12" w:type="default"/>
      <w:footerReference r:id="rId13"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2D3EC">
    <w:pPr>
      <w:pStyle w:val="16"/>
      <w:ind w:firstLine="392"/>
      <w:rPr>
        <w:rStyle w:val="29"/>
      </w:rPr>
    </w:pPr>
    <w:r>
      <w:fldChar w:fldCharType="begin"/>
    </w:r>
    <w:r>
      <w:rPr>
        <w:rStyle w:val="29"/>
      </w:rPr>
      <w:instrText xml:space="preserve">PAGE  </w:instrText>
    </w:r>
    <w:r>
      <w:fldChar w:fldCharType="separate"/>
    </w:r>
    <w:r>
      <w:rPr>
        <w:rStyle w:val="29"/>
        <w:rFonts w:hint="eastAsia"/>
      </w:rPr>
      <w:t>一</w:t>
    </w:r>
    <w:r>
      <w:rPr>
        <w:rStyle w:val="29"/>
      </w:rPr>
      <w:t>–2</w:t>
    </w:r>
    <w:r>
      <w:fldChar w:fldCharType="end"/>
    </w:r>
  </w:p>
  <w:p w14:paraId="16B4F819">
    <w:pPr>
      <w:pStyle w:val="16"/>
      <w:ind w:firstLine="392"/>
    </w:pP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015F1">
    <w:pPr>
      <w:pStyle w:val="16"/>
      <w:ind w:firstLine="392"/>
      <w:jc w:val="center"/>
      <w:rPr>
        <w:rStyle w:val="29"/>
        <w:szCs w:val="22"/>
      </w:rPr>
    </w:pPr>
    <w:r>
      <w:fldChar w:fldCharType="begin"/>
    </w:r>
    <w:r>
      <w:rPr>
        <w:rStyle w:val="29"/>
      </w:rPr>
      <w:instrText xml:space="preserve">PAGE  </w:instrText>
    </w:r>
    <w:r>
      <w:fldChar w:fldCharType="separate"/>
    </w:r>
    <w:r>
      <w:rPr>
        <w:rStyle w:val="29"/>
      </w:rPr>
      <w:t>48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50DA4">
    <w:pPr>
      <w:pStyle w:val="16"/>
      <w:framePr w:wrap="around" w:vAnchor="text" w:hAnchor="margin" w:xAlign="outside" w:y="1"/>
      <w:jc w:val="center"/>
      <w:rPr>
        <w:rStyle w:val="29"/>
      </w:rPr>
    </w:pPr>
    <w:r>
      <w:fldChar w:fldCharType="begin"/>
    </w:r>
    <w:r>
      <w:rPr>
        <w:rStyle w:val="29"/>
      </w:rPr>
      <w:instrText xml:space="preserve">PAGE  </w:instrText>
    </w:r>
    <w:r>
      <w:fldChar w:fldCharType="separate"/>
    </w:r>
    <w:r>
      <w:rPr>
        <w:rStyle w:val="29"/>
      </w:rPr>
      <w:t>64</w:t>
    </w:r>
    <w:r>
      <w:fldChar w:fldCharType="end"/>
    </w:r>
  </w:p>
  <w:p w14:paraId="52A00712">
    <w:pPr>
      <w:pStyle w:val="16"/>
      <w:framePr w:wrap="around" w:vAnchor="text" w:hAnchor="margin" w:xAlign="outside" w:y="1"/>
      <w:ind w:left="-4410" w:leftChars="-2100" w:right="-4439" w:rightChars="-2114"/>
      <w:rPr>
        <w:rStyle w:val="29"/>
      </w:rPr>
    </w:pPr>
  </w:p>
  <w:p w14:paraId="3BD0BBF3">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04129">
    <w:pPr>
      <w:pStyle w:val="16"/>
      <w:framePr w:wrap="around" w:vAnchor="text" w:hAnchor="margin" w:xAlign="outside" w:y="1"/>
      <w:rPr>
        <w:rStyle w:val="29"/>
      </w:rPr>
    </w:pPr>
    <w:r>
      <w:fldChar w:fldCharType="begin"/>
    </w:r>
    <w:r>
      <w:rPr>
        <w:rStyle w:val="29"/>
      </w:rPr>
      <w:instrText xml:space="preserve">PAGE  </w:instrText>
    </w:r>
    <w:r>
      <w:fldChar w:fldCharType="separate"/>
    </w:r>
    <w:r>
      <w:rPr>
        <w:rStyle w:val="29"/>
        <w:rFonts w:hint="eastAsia"/>
      </w:rPr>
      <w:t>一</w:t>
    </w:r>
    <w:r>
      <w:rPr>
        <w:rStyle w:val="29"/>
      </w:rPr>
      <w:t>–2</w:t>
    </w:r>
    <w:r>
      <w:fldChar w:fldCharType="end"/>
    </w:r>
  </w:p>
  <w:p w14:paraId="61DB144E">
    <w:pPr>
      <w:pStyle w:val="16"/>
      <w:ind w:right="360" w:firstLine="360"/>
      <w:jc w:val="center"/>
    </w:pPr>
    <w:r>
      <w:rP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83734">
    <w:pPr>
      <w:pStyle w:val="16"/>
      <w:jc w:val="center"/>
    </w:pPr>
    <w:r>
      <w:fldChar w:fldCharType="begin"/>
    </w:r>
    <w:r>
      <w:rPr>
        <w:rStyle w:val="29"/>
      </w:rPr>
      <w:instrText xml:space="preserve"> PAGE </w:instrText>
    </w:r>
    <w:r>
      <w:fldChar w:fldCharType="separate"/>
    </w:r>
    <w:r>
      <w:rPr>
        <w:rStyle w:val="29"/>
      </w:rPr>
      <w:t>49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D369">
    <w:pPr>
      <w:pStyle w:val="16"/>
      <w:ind w:firstLine="4140" w:firstLineChars="230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67E435">
                          <w:pPr>
                            <w:pStyle w:val="16"/>
                            <w:ind w:firstLine="4140" w:firstLineChars="2300"/>
                          </w:pPr>
                          <w:r>
                            <w:fldChar w:fldCharType="begin"/>
                          </w:r>
                          <w:r>
                            <w:instrText xml:space="preserve"> PAGE   \* MERGEFORMAT </w:instrText>
                          </w:r>
                          <w:r>
                            <w:fldChar w:fldCharType="separate"/>
                          </w:r>
                          <w:r>
                            <w:rPr>
                              <w:lang w:val="zh-CN"/>
                            </w:rPr>
                            <w:t>86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0A67E435">
                    <w:pPr>
                      <w:pStyle w:val="16"/>
                      <w:ind w:firstLine="4140" w:firstLineChars="2300"/>
                    </w:pPr>
                    <w:r>
                      <w:fldChar w:fldCharType="begin"/>
                    </w:r>
                    <w:r>
                      <w:instrText xml:space="preserve"> PAGE   \* MERGEFORMAT </w:instrText>
                    </w:r>
                    <w:r>
                      <w:fldChar w:fldCharType="separate"/>
                    </w:r>
                    <w:r>
                      <w:rPr>
                        <w:lang w:val="zh-CN"/>
                      </w:rPr>
                      <w:t>86</w:t>
                    </w:r>
                    <w:r>
                      <w:fldChar w:fldCharType="end"/>
                    </w:r>
                  </w:p>
                </w:txbxContent>
              </v:textbox>
            </v:shape>
          </w:pict>
        </mc:Fallback>
      </mc:AlternateContent>
    </w:r>
  </w:p>
  <w:p w14:paraId="2189F0A5">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12B5A">
    <w:pPr>
      <w:pStyle w:val="17"/>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5F4FC">
    <w:pPr>
      <w:pStyle w:val="1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E21A">
    <w:pPr>
      <w:pStyle w:val="17"/>
      <w:jc w:val="right"/>
      <w:rPr>
        <w:i/>
        <w:iCs/>
      </w:rPr>
    </w:pPr>
    <w:r>
      <w:rPr>
        <w:rFonts w:hint="eastAsia"/>
        <w:i/>
        <w:iCs/>
      </w:rPr>
      <w:t>横枝岗路道路排水改造工程招标文件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6B32">
    <w:pPr>
      <w:pStyle w:val="17"/>
      <w:pBdr>
        <w:bottom w:val="none" w:color="auto" w:sz="0" w:space="0"/>
      </w:pBdr>
      <w:jc w:val="right"/>
      <w:rPr>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56A6">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70"/>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dit="comment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YTE4OWE0ODhhZTc0MDliNmNmNDZjODMyOWQyYzMifQ=="/>
  </w:docVars>
  <w:rsids>
    <w:rsidRoot w:val="142B1BC6"/>
    <w:rsid w:val="0000031D"/>
    <w:rsid w:val="00031E00"/>
    <w:rsid w:val="00057826"/>
    <w:rsid w:val="00057E63"/>
    <w:rsid w:val="00071267"/>
    <w:rsid w:val="00072C76"/>
    <w:rsid w:val="000A3888"/>
    <w:rsid w:val="000A3A39"/>
    <w:rsid w:val="000C702B"/>
    <w:rsid w:val="000F2142"/>
    <w:rsid w:val="000F2F5D"/>
    <w:rsid w:val="000F4ECB"/>
    <w:rsid w:val="00100074"/>
    <w:rsid w:val="0010180C"/>
    <w:rsid w:val="001460B8"/>
    <w:rsid w:val="00163D31"/>
    <w:rsid w:val="0018038E"/>
    <w:rsid w:val="0018305D"/>
    <w:rsid w:val="001A04E9"/>
    <w:rsid w:val="001A3F13"/>
    <w:rsid w:val="001A5D27"/>
    <w:rsid w:val="001B1242"/>
    <w:rsid w:val="001B7A16"/>
    <w:rsid w:val="001C13A2"/>
    <w:rsid w:val="001C3BFB"/>
    <w:rsid w:val="001E6498"/>
    <w:rsid w:val="00220CD6"/>
    <w:rsid w:val="00223859"/>
    <w:rsid w:val="00230135"/>
    <w:rsid w:val="00232010"/>
    <w:rsid w:val="00256D3D"/>
    <w:rsid w:val="00257526"/>
    <w:rsid w:val="00257534"/>
    <w:rsid w:val="00263D2C"/>
    <w:rsid w:val="00264B87"/>
    <w:rsid w:val="002968EE"/>
    <w:rsid w:val="002972A5"/>
    <w:rsid w:val="002A1F57"/>
    <w:rsid w:val="002A3FCA"/>
    <w:rsid w:val="002A6F86"/>
    <w:rsid w:val="002B5848"/>
    <w:rsid w:val="002C602B"/>
    <w:rsid w:val="002F1E39"/>
    <w:rsid w:val="003147AF"/>
    <w:rsid w:val="00331C76"/>
    <w:rsid w:val="00342141"/>
    <w:rsid w:val="0035402B"/>
    <w:rsid w:val="00366AD2"/>
    <w:rsid w:val="00370710"/>
    <w:rsid w:val="00377F5F"/>
    <w:rsid w:val="00396DAC"/>
    <w:rsid w:val="003A5F9A"/>
    <w:rsid w:val="003B4216"/>
    <w:rsid w:val="003B55B5"/>
    <w:rsid w:val="003B6B15"/>
    <w:rsid w:val="003D145D"/>
    <w:rsid w:val="003D5DB6"/>
    <w:rsid w:val="003E51F3"/>
    <w:rsid w:val="003E7023"/>
    <w:rsid w:val="003F2235"/>
    <w:rsid w:val="003F6758"/>
    <w:rsid w:val="00401044"/>
    <w:rsid w:val="00406E6A"/>
    <w:rsid w:val="00445A94"/>
    <w:rsid w:val="004579CC"/>
    <w:rsid w:val="00476BAE"/>
    <w:rsid w:val="00482625"/>
    <w:rsid w:val="004A6DD9"/>
    <w:rsid w:val="004B0827"/>
    <w:rsid w:val="004D5E14"/>
    <w:rsid w:val="004E4F0C"/>
    <w:rsid w:val="004E6DEA"/>
    <w:rsid w:val="004F1BF8"/>
    <w:rsid w:val="00500138"/>
    <w:rsid w:val="005426A4"/>
    <w:rsid w:val="00542C4E"/>
    <w:rsid w:val="00543095"/>
    <w:rsid w:val="00544600"/>
    <w:rsid w:val="0055574E"/>
    <w:rsid w:val="00556863"/>
    <w:rsid w:val="005601BE"/>
    <w:rsid w:val="00572168"/>
    <w:rsid w:val="00583B91"/>
    <w:rsid w:val="005A25CD"/>
    <w:rsid w:val="005C78D1"/>
    <w:rsid w:val="005E1593"/>
    <w:rsid w:val="0060493F"/>
    <w:rsid w:val="00626018"/>
    <w:rsid w:val="00627448"/>
    <w:rsid w:val="00631E20"/>
    <w:rsid w:val="00645257"/>
    <w:rsid w:val="00660175"/>
    <w:rsid w:val="00663196"/>
    <w:rsid w:val="00671882"/>
    <w:rsid w:val="00684384"/>
    <w:rsid w:val="00690CE3"/>
    <w:rsid w:val="006A30A2"/>
    <w:rsid w:val="006E6C3C"/>
    <w:rsid w:val="006F3C05"/>
    <w:rsid w:val="006F46AA"/>
    <w:rsid w:val="006F5AF4"/>
    <w:rsid w:val="00704493"/>
    <w:rsid w:val="00711723"/>
    <w:rsid w:val="00715742"/>
    <w:rsid w:val="00743E16"/>
    <w:rsid w:val="007461D5"/>
    <w:rsid w:val="0076463A"/>
    <w:rsid w:val="007979D1"/>
    <w:rsid w:val="007C46F5"/>
    <w:rsid w:val="007F57F0"/>
    <w:rsid w:val="00803BB3"/>
    <w:rsid w:val="00826842"/>
    <w:rsid w:val="00836880"/>
    <w:rsid w:val="00847235"/>
    <w:rsid w:val="008C43C3"/>
    <w:rsid w:val="008E5A41"/>
    <w:rsid w:val="00911249"/>
    <w:rsid w:val="00911982"/>
    <w:rsid w:val="00934E07"/>
    <w:rsid w:val="00945F3C"/>
    <w:rsid w:val="0095574A"/>
    <w:rsid w:val="00962D53"/>
    <w:rsid w:val="00966202"/>
    <w:rsid w:val="009A474C"/>
    <w:rsid w:val="009B1614"/>
    <w:rsid w:val="009C3BBB"/>
    <w:rsid w:val="009E644C"/>
    <w:rsid w:val="009F1FB0"/>
    <w:rsid w:val="00A1254C"/>
    <w:rsid w:val="00A364B9"/>
    <w:rsid w:val="00A428EC"/>
    <w:rsid w:val="00A509B7"/>
    <w:rsid w:val="00A67117"/>
    <w:rsid w:val="00A75B51"/>
    <w:rsid w:val="00A94CD3"/>
    <w:rsid w:val="00AA30B6"/>
    <w:rsid w:val="00AB69E5"/>
    <w:rsid w:val="00AD0ECF"/>
    <w:rsid w:val="00AD2F8A"/>
    <w:rsid w:val="00AF4CCD"/>
    <w:rsid w:val="00B3610B"/>
    <w:rsid w:val="00B373CE"/>
    <w:rsid w:val="00B47BDE"/>
    <w:rsid w:val="00B649EE"/>
    <w:rsid w:val="00B707E1"/>
    <w:rsid w:val="00B76DF3"/>
    <w:rsid w:val="00B87593"/>
    <w:rsid w:val="00BA0032"/>
    <w:rsid w:val="00BB5195"/>
    <w:rsid w:val="00BC57CD"/>
    <w:rsid w:val="00BD03E4"/>
    <w:rsid w:val="00BD29F0"/>
    <w:rsid w:val="00BF36C0"/>
    <w:rsid w:val="00BF5EEA"/>
    <w:rsid w:val="00BF657C"/>
    <w:rsid w:val="00C0267A"/>
    <w:rsid w:val="00C14BE3"/>
    <w:rsid w:val="00C24ED7"/>
    <w:rsid w:val="00C34A00"/>
    <w:rsid w:val="00C36067"/>
    <w:rsid w:val="00C377CC"/>
    <w:rsid w:val="00C435E8"/>
    <w:rsid w:val="00C61B5D"/>
    <w:rsid w:val="00C66064"/>
    <w:rsid w:val="00CA776B"/>
    <w:rsid w:val="00CC2A4D"/>
    <w:rsid w:val="00CE0CF3"/>
    <w:rsid w:val="00CF7B74"/>
    <w:rsid w:val="00D05FA0"/>
    <w:rsid w:val="00D06BAD"/>
    <w:rsid w:val="00D109EC"/>
    <w:rsid w:val="00D1407A"/>
    <w:rsid w:val="00D1479A"/>
    <w:rsid w:val="00D22EBB"/>
    <w:rsid w:val="00D26E4E"/>
    <w:rsid w:val="00D37BEF"/>
    <w:rsid w:val="00D44DA5"/>
    <w:rsid w:val="00D61211"/>
    <w:rsid w:val="00D846EF"/>
    <w:rsid w:val="00D958EC"/>
    <w:rsid w:val="00D9681F"/>
    <w:rsid w:val="00DD3FA5"/>
    <w:rsid w:val="00E36116"/>
    <w:rsid w:val="00E409D1"/>
    <w:rsid w:val="00E46E41"/>
    <w:rsid w:val="00E72558"/>
    <w:rsid w:val="00E72A29"/>
    <w:rsid w:val="00E871C4"/>
    <w:rsid w:val="00E924BF"/>
    <w:rsid w:val="00EA3B19"/>
    <w:rsid w:val="00EB524F"/>
    <w:rsid w:val="00EC2C28"/>
    <w:rsid w:val="00EC45C0"/>
    <w:rsid w:val="00EF1E9E"/>
    <w:rsid w:val="00EF6626"/>
    <w:rsid w:val="00F03187"/>
    <w:rsid w:val="00F12D7F"/>
    <w:rsid w:val="00F21BED"/>
    <w:rsid w:val="00F437B0"/>
    <w:rsid w:val="00F64823"/>
    <w:rsid w:val="00F673B8"/>
    <w:rsid w:val="00F911CC"/>
    <w:rsid w:val="00F94934"/>
    <w:rsid w:val="00F94FD3"/>
    <w:rsid w:val="00FB412E"/>
    <w:rsid w:val="00FB5F3C"/>
    <w:rsid w:val="00FC4544"/>
    <w:rsid w:val="00FE038A"/>
    <w:rsid w:val="00FE613B"/>
    <w:rsid w:val="00FF04B7"/>
    <w:rsid w:val="00FF65B6"/>
    <w:rsid w:val="019D1480"/>
    <w:rsid w:val="020E3E06"/>
    <w:rsid w:val="021439DC"/>
    <w:rsid w:val="029A5F34"/>
    <w:rsid w:val="02F35989"/>
    <w:rsid w:val="033E4BBF"/>
    <w:rsid w:val="03C76963"/>
    <w:rsid w:val="03E15990"/>
    <w:rsid w:val="03FA7540"/>
    <w:rsid w:val="042042C5"/>
    <w:rsid w:val="0441390A"/>
    <w:rsid w:val="04426884"/>
    <w:rsid w:val="04587234"/>
    <w:rsid w:val="04BB0EDB"/>
    <w:rsid w:val="04C256F2"/>
    <w:rsid w:val="04C47C11"/>
    <w:rsid w:val="04DA4474"/>
    <w:rsid w:val="04F15BFE"/>
    <w:rsid w:val="0515703E"/>
    <w:rsid w:val="052B1173"/>
    <w:rsid w:val="054D10EA"/>
    <w:rsid w:val="05A01219"/>
    <w:rsid w:val="05D830A9"/>
    <w:rsid w:val="05E530D0"/>
    <w:rsid w:val="06026F05"/>
    <w:rsid w:val="06253E14"/>
    <w:rsid w:val="066D7A56"/>
    <w:rsid w:val="066E369D"/>
    <w:rsid w:val="06DD649D"/>
    <w:rsid w:val="072B0FB7"/>
    <w:rsid w:val="07D050E5"/>
    <w:rsid w:val="07FA71A3"/>
    <w:rsid w:val="08362EE5"/>
    <w:rsid w:val="08422A5C"/>
    <w:rsid w:val="088F5575"/>
    <w:rsid w:val="089112ED"/>
    <w:rsid w:val="08CC0577"/>
    <w:rsid w:val="08E92ED7"/>
    <w:rsid w:val="09091BE8"/>
    <w:rsid w:val="095C18FB"/>
    <w:rsid w:val="09622C8A"/>
    <w:rsid w:val="098350DA"/>
    <w:rsid w:val="09976DD7"/>
    <w:rsid w:val="099C5809"/>
    <w:rsid w:val="09FE6A97"/>
    <w:rsid w:val="0A8F226A"/>
    <w:rsid w:val="0AC104F6"/>
    <w:rsid w:val="0AFA761E"/>
    <w:rsid w:val="0B185CF6"/>
    <w:rsid w:val="0B455756"/>
    <w:rsid w:val="0B766AA4"/>
    <w:rsid w:val="0BB91287"/>
    <w:rsid w:val="0BBB2559"/>
    <w:rsid w:val="0BD53BE7"/>
    <w:rsid w:val="0BE300B2"/>
    <w:rsid w:val="0BFE313E"/>
    <w:rsid w:val="0C322DE7"/>
    <w:rsid w:val="0C486956"/>
    <w:rsid w:val="0C72576D"/>
    <w:rsid w:val="0C8427D5"/>
    <w:rsid w:val="0D3F3A0E"/>
    <w:rsid w:val="0D6C40D7"/>
    <w:rsid w:val="0D6F1091"/>
    <w:rsid w:val="0DF177D2"/>
    <w:rsid w:val="0DF5370D"/>
    <w:rsid w:val="0E856341"/>
    <w:rsid w:val="0F0861A4"/>
    <w:rsid w:val="0F0F7B7B"/>
    <w:rsid w:val="0F9067A2"/>
    <w:rsid w:val="0FA4224E"/>
    <w:rsid w:val="10001C84"/>
    <w:rsid w:val="102B0279"/>
    <w:rsid w:val="102D2243"/>
    <w:rsid w:val="102D40AF"/>
    <w:rsid w:val="104430E9"/>
    <w:rsid w:val="10806817"/>
    <w:rsid w:val="10A61BCB"/>
    <w:rsid w:val="10E30B54"/>
    <w:rsid w:val="10E43821"/>
    <w:rsid w:val="1111070F"/>
    <w:rsid w:val="1120766D"/>
    <w:rsid w:val="115D4462"/>
    <w:rsid w:val="119E073A"/>
    <w:rsid w:val="11A93B4C"/>
    <w:rsid w:val="11C27BEE"/>
    <w:rsid w:val="121D0989"/>
    <w:rsid w:val="12575356"/>
    <w:rsid w:val="129733ED"/>
    <w:rsid w:val="12CD1ABC"/>
    <w:rsid w:val="12DE5A77"/>
    <w:rsid w:val="13BC5DB8"/>
    <w:rsid w:val="141561C4"/>
    <w:rsid w:val="142B1BC6"/>
    <w:rsid w:val="145A5976"/>
    <w:rsid w:val="14790C42"/>
    <w:rsid w:val="14977C8B"/>
    <w:rsid w:val="14DE1D5E"/>
    <w:rsid w:val="156264EB"/>
    <w:rsid w:val="15635767"/>
    <w:rsid w:val="15D3322D"/>
    <w:rsid w:val="15D60C87"/>
    <w:rsid w:val="161517B0"/>
    <w:rsid w:val="16E02A62"/>
    <w:rsid w:val="17123F41"/>
    <w:rsid w:val="17571954"/>
    <w:rsid w:val="17660016"/>
    <w:rsid w:val="17683B61"/>
    <w:rsid w:val="180C7E4B"/>
    <w:rsid w:val="184F50C0"/>
    <w:rsid w:val="19D22C48"/>
    <w:rsid w:val="19E41BC5"/>
    <w:rsid w:val="1A342413"/>
    <w:rsid w:val="1AA93D17"/>
    <w:rsid w:val="1ACB1F16"/>
    <w:rsid w:val="1B293607"/>
    <w:rsid w:val="1B5763C6"/>
    <w:rsid w:val="1B65323A"/>
    <w:rsid w:val="1B813443"/>
    <w:rsid w:val="1C084989"/>
    <w:rsid w:val="1C7A05BE"/>
    <w:rsid w:val="1CD62C83"/>
    <w:rsid w:val="1CE23F8F"/>
    <w:rsid w:val="1CE34798"/>
    <w:rsid w:val="1D034C1E"/>
    <w:rsid w:val="1DE17414"/>
    <w:rsid w:val="1E0208EF"/>
    <w:rsid w:val="1E3EB167"/>
    <w:rsid w:val="1E592455"/>
    <w:rsid w:val="1E670D33"/>
    <w:rsid w:val="1E682698"/>
    <w:rsid w:val="1E761E86"/>
    <w:rsid w:val="1E85324A"/>
    <w:rsid w:val="1EFE5E1F"/>
    <w:rsid w:val="1F6F63E5"/>
    <w:rsid w:val="1F784B5D"/>
    <w:rsid w:val="1F796F98"/>
    <w:rsid w:val="1FA616CA"/>
    <w:rsid w:val="1FBF0E4C"/>
    <w:rsid w:val="1FDF30BC"/>
    <w:rsid w:val="1FE8583F"/>
    <w:rsid w:val="1FFB7C68"/>
    <w:rsid w:val="2000527E"/>
    <w:rsid w:val="202610D9"/>
    <w:rsid w:val="202645B9"/>
    <w:rsid w:val="20294C9C"/>
    <w:rsid w:val="20623E68"/>
    <w:rsid w:val="206670F5"/>
    <w:rsid w:val="209459C7"/>
    <w:rsid w:val="20B3409F"/>
    <w:rsid w:val="20DF30E6"/>
    <w:rsid w:val="212925B3"/>
    <w:rsid w:val="213031DB"/>
    <w:rsid w:val="213A656E"/>
    <w:rsid w:val="214E3DC8"/>
    <w:rsid w:val="215C4736"/>
    <w:rsid w:val="218C0E3B"/>
    <w:rsid w:val="21A41C3A"/>
    <w:rsid w:val="21C35692"/>
    <w:rsid w:val="21D544E9"/>
    <w:rsid w:val="21F95081"/>
    <w:rsid w:val="224234FD"/>
    <w:rsid w:val="22D14CB0"/>
    <w:rsid w:val="22E06CA1"/>
    <w:rsid w:val="22F4274D"/>
    <w:rsid w:val="23143CD7"/>
    <w:rsid w:val="231A6657"/>
    <w:rsid w:val="2329689A"/>
    <w:rsid w:val="233C2883"/>
    <w:rsid w:val="23765646"/>
    <w:rsid w:val="237C4249"/>
    <w:rsid w:val="23A323EE"/>
    <w:rsid w:val="23A75A11"/>
    <w:rsid w:val="23FF13A9"/>
    <w:rsid w:val="24363C6A"/>
    <w:rsid w:val="243C4377"/>
    <w:rsid w:val="247E49C4"/>
    <w:rsid w:val="248B0E8F"/>
    <w:rsid w:val="24AA6BAD"/>
    <w:rsid w:val="24B93C4E"/>
    <w:rsid w:val="250A679F"/>
    <w:rsid w:val="251A77FD"/>
    <w:rsid w:val="25282AC8"/>
    <w:rsid w:val="25517A09"/>
    <w:rsid w:val="257E4457"/>
    <w:rsid w:val="258424AE"/>
    <w:rsid w:val="25B05051"/>
    <w:rsid w:val="25C81B45"/>
    <w:rsid w:val="25C90728"/>
    <w:rsid w:val="25EA791B"/>
    <w:rsid w:val="2651791F"/>
    <w:rsid w:val="26A9175B"/>
    <w:rsid w:val="26E3376C"/>
    <w:rsid w:val="26F70A5D"/>
    <w:rsid w:val="27304943"/>
    <w:rsid w:val="27846795"/>
    <w:rsid w:val="27930786"/>
    <w:rsid w:val="279A2ECA"/>
    <w:rsid w:val="28180C8B"/>
    <w:rsid w:val="2839228F"/>
    <w:rsid w:val="286D547B"/>
    <w:rsid w:val="288822B5"/>
    <w:rsid w:val="28914D4C"/>
    <w:rsid w:val="28C17575"/>
    <w:rsid w:val="290A5ABA"/>
    <w:rsid w:val="291537C2"/>
    <w:rsid w:val="29CD15F7"/>
    <w:rsid w:val="2A3E70CF"/>
    <w:rsid w:val="2A4023DF"/>
    <w:rsid w:val="2A9C2048"/>
    <w:rsid w:val="2AB078A1"/>
    <w:rsid w:val="2BC071BE"/>
    <w:rsid w:val="2C073A9F"/>
    <w:rsid w:val="2C082406"/>
    <w:rsid w:val="2C5632CC"/>
    <w:rsid w:val="2C604F77"/>
    <w:rsid w:val="2C62070F"/>
    <w:rsid w:val="2C710E56"/>
    <w:rsid w:val="2C9A3D89"/>
    <w:rsid w:val="2CD6332A"/>
    <w:rsid w:val="2CE5535F"/>
    <w:rsid w:val="2D053ED4"/>
    <w:rsid w:val="2D2A393B"/>
    <w:rsid w:val="2DF74E76"/>
    <w:rsid w:val="2DF77401"/>
    <w:rsid w:val="2E921798"/>
    <w:rsid w:val="2E9848D4"/>
    <w:rsid w:val="2EB37960"/>
    <w:rsid w:val="2EC168BB"/>
    <w:rsid w:val="2EEA688C"/>
    <w:rsid w:val="2EF51D26"/>
    <w:rsid w:val="2F1228D8"/>
    <w:rsid w:val="2F566C69"/>
    <w:rsid w:val="2F634EE2"/>
    <w:rsid w:val="2F6649D2"/>
    <w:rsid w:val="2F6E3672"/>
    <w:rsid w:val="2FBCE632"/>
    <w:rsid w:val="2FBD8F03"/>
    <w:rsid w:val="2FC516F9"/>
    <w:rsid w:val="2FE36FA0"/>
    <w:rsid w:val="2FF13484"/>
    <w:rsid w:val="2FFD0C4B"/>
    <w:rsid w:val="30275F10"/>
    <w:rsid w:val="302A1EA4"/>
    <w:rsid w:val="30B97150"/>
    <w:rsid w:val="313D3669"/>
    <w:rsid w:val="31AB491E"/>
    <w:rsid w:val="31EB11BF"/>
    <w:rsid w:val="31F167D5"/>
    <w:rsid w:val="3220692E"/>
    <w:rsid w:val="3240194D"/>
    <w:rsid w:val="326571C3"/>
    <w:rsid w:val="32800DDF"/>
    <w:rsid w:val="32B1171B"/>
    <w:rsid w:val="32BC3287"/>
    <w:rsid w:val="32F50547"/>
    <w:rsid w:val="32F83B93"/>
    <w:rsid w:val="3304687C"/>
    <w:rsid w:val="331E1EB4"/>
    <w:rsid w:val="33323549"/>
    <w:rsid w:val="3360181B"/>
    <w:rsid w:val="33D470FA"/>
    <w:rsid w:val="33E16D1D"/>
    <w:rsid w:val="345E048B"/>
    <w:rsid w:val="348B6582"/>
    <w:rsid w:val="34AA1521"/>
    <w:rsid w:val="34B23E72"/>
    <w:rsid w:val="35076310"/>
    <w:rsid w:val="35273A48"/>
    <w:rsid w:val="355577C9"/>
    <w:rsid w:val="35EA1EB9"/>
    <w:rsid w:val="35F04FF6"/>
    <w:rsid w:val="3623361D"/>
    <w:rsid w:val="364D3069"/>
    <w:rsid w:val="365A0A03"/>
    <w:rsid w:val="36637EBD"/>
    <w:rsid w:val="366F0610"/>
    <w:rsid w:val="36D7558A"/>
    <w:rsid w:val="36F11025"/>
    <w:rsid w:val="37123142"/>
    <w:rsid w:val="37201A7A"/>
    <w:rsid w:val="37421881"/>
    <w:rsid w:val="376143FD"/>
    <w:rsid w:val="376C4B50"/>
    <w:rsid w:val="37757EA8"/>
    <w:rsid w:val="37A3666F"/>
    <w:rsid w:val="37A97B52"/>
    <w:rsid w:val="37FA57A5"/>
    <w:rsid w:val="380A6843"/>
    <w:rsid w:val="385555E4"/>
    <w:rsid w:val="394144E6"/>
    <w:rsid w:val="395F1C11"/>
    <w:rsid w:val="396E7247"/>
    <w:rsid w:val="39904B26"/>
    <w:rsid w:val="39C26CA9"/>
    <w:rsid w:val="39EB35FA"/>
    <w:rsid w:val="39F01A68"/>
    <w:rsid w:val="39F2E03B"/>
    <w:rsid w:val="3A791A5E"/>
    <w:rsid w:val="3A7D6A3C"/>
    <w:rsid w:val="3A886068"/>
    <w:rsid w:val="3AAF36D1"/>
    <w:rsid w:val="3AC52EF5"/>
    <w:rsid w:val="3AFFE1AE"/>
    <w:rsid w:val="3B043169"/>
    <w:rsid w:val="3B7A783B"/>
    <w:rsid w:val="3B911029"/>
    <w:rsid w:val="3B9F3746"/>
    <w:rsid w:val="3BB371F1"/>
    <w:rsid w:val="3BE9FEC3"/>
    <w:rsid w:val="3BFC4B8D"/>
    <w:rsid w:val="3C526A0A"/>
    <w:rsid w:val="3C9BDD96"/>
    <w:rsid w:val="3CAF1CB2"/>
    <w:rsid w:val="3CB93B7A"/>
    <w:rsid w:val="3D0C4E0B"/>
    <w:rsid w:val="3D812B6D"/>
    <w:rsid w:val="3DC30423"/>
    <w:rsid w:val="3DE01DD2"/>
    <w:rsid w:val="3E907376"/>
    <w:rsid w:val="3E9E1A93"/>
    <w:rsid w:val="3EE2CFE6"/>
    <w:rsid w:val="3F096257"/>
    <w:rsid w:val="3F3D0829"/>
    <w:rsid w:val="3F5C204E"/>
    <w:rsid w:val="3F5F63B5"/>
    <w:rsid w:val="3FFC1E1C"/>
    <w:rsid w:val="4033445D"/>
    <w:rsid w:val="40683756"/>
    <w:rsid w:val="407451A1"/>
    <w:rsid w:val="408947D8"/>
    <w:rsid w:val="40AF61D9"/>
    <w:rsid w:val="40FB7FF2"/>
    <w:rsid w:val="412C782A"/>
    <w:rsid w:val="41566883"/>
    <w:rsid w:val="41A9639A"/>
    <w:rsid w:val="421A58D4"/>
    <w:rsid w:val="421B33FA"/>
    <w:rsid w:val="428B181C"/>
    <w:rsid w:val="42D55C9F"/>
    <w:rsid w:val="43175059"/>
    <w:rsid w:val="432451AF"/>
    <w:rsid w:val="43814017"/>
    <w:rsid w:val="43A26CDE"/>
    <w:rsid w:val="44000AFA"/>
    <w:rsid w:val="440A7BCA"/>
    <w:rsid w:val="441D18E3"/>
    <w:rsid w:val="442347E8"/>
    <w:rsid w:val="4438469C"/>
    <w:rsid w:val="445D5F4C"/>
    <w:rsid w:val="447A4D0F"/>
    <w:rsid w:val="44A51ABD"/>
    <w:rsid w:val="44C47D79"/>
    <w:rsid w:val="44C61D43"/>
    <w:rsid w:val="4512369C"/>
    <w:rsid w:val="454858A8"/>
    <w:rsid w:val="455B2737"/>
    <w:rsid w:val="458C4D3B"/>
    <w:rsid w:val="45D40490"/>
    <w:rsid w:val="45E2495B"/>
    <w:rsid w:val="460122A5"/>
    <w:rsid w:val="464F5D68"/>
    <w:rsid w:val="466510E8"/>
    <w:rsid w:val="468E4D3A"/>
    <w:rsid w:val="46C40504"/>
    <w:rsid w:val="46DC2848"/>
    <w:rsid w:val="47413903"/>
    <w:rsid w:val="47B265AF"/>
    <w:rsid w:val="48074B4D"/>
    <w:rsid w:val="48082673"/>
    <w:rsid w:val="480C2163"/>
    <w:rsid w:val="48763A80"/>
    <w:rsid w:val="48A759E8"/>
    <w:rsid w:val="48AE2B96"/>
    <w:rsid w:val="48E21116"/>
    <w:rsid w:val="48EC789E"/>
    <w:rsid w:val="49042E3A"/>
    <w:rsid w:val="49494CF1"/>
    <w:rsid w:val="49670529"/>
    <w:rsid w:val="499F74D9"/>
    <w:rsid w:val="49B96433"/>
    <w:rsid w:val="49CC7DFC"/>
    <w:rsid w:val="49D97E23"/>
    <w:rsid w:val="4A0550BC"/>
    <w:rsid w:val="4A056E6A"/>
    <w:rsid w:val="4A1B1AA4"/>
    <w:rsid w:val="4A1D5D99"/>
    <w:rsid w:val="4A3414FD"/>
    <w:rsid w:val="4A647FF2"/>
    <w:rsid w:val="4AED581F"/>
    <w:rsid w:val="4B025452"/>
    <w:rsid w:val="4B3C48AC"/>
    <w:rsid w:val="4B9A1834"/>
    <w:rsid w:val="4BCC547D"/>
    <w:rsid w:val="4C4A3044"/>
    <w:rsid w:val="4C7A4D16"/>
    <w:rsid w:val="4CEF0A6D"/>
    <w:rsid w:val="4CF23581"/>
    <w:rsid w:val="4CFF2296"/>
    <w:rsid w:val="4D0E3CD2"/>
    <w:rsid w:val="4D3F08E5"/>
    <w:rsid w:val="4DF80A94"/>
    <w:rsid w:val="4DFF3D4B"/>
    <w:rsid w:val="4E047438"/>
    <w:rsid w:val="4E4B32B9"/>
    <w:rsid w:val="4E7FFBDD"/>
    <w:rsid w:val="4E816CDB"/>
    <w:rsid w:val="4EA2737D"/>
    <w:rsid w:val="4ECB1306"/>
    <w:rsid w:val="4EF8600E"/>
    <w:rsid w:val="4F22401A"/>
    <w:rsid w:val="4F443F90"/>
    <w:rsid w:val="4FAE58AE"/>
    <w:rsid w:val="501871CB"/>
    <w:rsid w:val="502618E8"/>
    <w:rsid w:val="503E4E84"/>
    <w:rsid w:val="50447FC0"/>
    <w:rsid w:val="50597F0F"/>
    <w:rsid w:val="50B23B3E"/>
    <w:rsid w:val="511E6A63"/>
    <w:rsid w:val="51654AD5"/>
    <w:rsid w:val="518410C6"/>
    <w:rsid w:val="51887554"/>
    <w:rsid w:val="51C413B8"/>
    <w:rsid w:val="522D1654"/>
    <w:rsid w:val="526F44F1"/>
    <w:rsid w:val="528C7B92"/>
    <w:rsid w:val="52B82114"/>
    <w:rsid w:val="52DB5FB9"/>
    <w:rsid w:val="534558E3"/>
    <w:rsid w:val="53933738"/>
    <w:rsid w:val="53BC2652"/>
    <w:rsid w:val="53E774F6"/>
    <w:rsid w:val="545804DE"/>
    <w:rsid w:val="548A098C"/>
    <w:rsid w:val="548C0FC4"/>
    <w:rsid w:val="54931516"/>
    <w:rsid w:val="54DC2EBD"/>
    <w:rsid w:val="54FE72D7"/>
    <w:rsid w:val="55326F81"/>
    <w:rsid w:val="554D7917"/>
    <w:rsid w:val="55766E6E"/>
    <w:rsid w:val="559F31E2"/>
    <w:rsid w:val="55B1434A"/>
    <w:rsid w:val="55C23E61"/>
    <w:rsid w:val="55FE818E"/>
    <w:rsid w:val="56116B96"/>
    <w:rsid w:val="56205B39"/>
    <w:rsid w:val="56533622"/>
    <w:rsid w:val="566667FA"/>
    <w:rsid w:val="56EEBC89"/>
    <w:rsid w:val="570FAE4E"/>
    <w:rsid w:val="576BDFDE"/>
    <w:rsid w:val="57B63E99"/>
    <w:rsid w:val="57EB13F3"/>
    <w:rsid w:val="583F3E8F"/>
    <w:rsid w:val="58900246"/>
    <w:rsid w:val="589F492D"/>
    <w:rsid w:val="58AB32D2"/>
    <w:rsid w:val="59183BD6"/>
    <w:rsid w:val="59267FBB"/>
    <w:rsid w:val="59D76A81"/>
    <w:rsid w:val="5A2C21F1"/>
    <w:rsid w:val="5A2F709C"/>
    <w:rsid w:val="5A5A6D5E"/>
    <w:rsid w:val="5A9009D2"/>
    <w:rsid w:val="5A907F37"/>
    <w:rsid w:val="5AC7692E"/>
    <w:rsid w:val="5ACE057E"/>
    <w:rsid w:val="5AE64A95"/>
    <w:rsid w:val="5B05479D"/>
    <w:rsid w:val="5B3C2907"/>
    <w:rsid w:val="5B667B2F"/>
    <w:rsid w:val="5B827B08"/>
    <w:rsid w:val="5BAFA663"/>
    <w:rsid w:val="5C367984"/>
    <w:rsid w:val="5C454916"/>
    <w:rsid w:val="5C660FA0"/>
    <w:rsid w:val="5CA442C0"/>
    <w:rsid w:val="5D07484F"/>
    <w:rsid w:val="5D3513BC"/>
    <w:rsid w:val="5D352CFB"/>
    <w:rsid w:val="5D3F2858"/>
    <w:rsid w:val="5D5C0D59"/>
    <w:rsid w:val="5D630627"/>
    <w:rsid w:val="5D741621"/>
    <w:rsid w:val="5D850596"/>
    <w:rsid w:val="5DA53978"/>
    <w:rsid w:val="5E167FCB"/>
    <w:rsid w:val="5E227B93"/>
    <w:rsid w:val="5E7B3747"/>
    <w:rsid w:val="5E7B72A3"/>
    <w:rsid w:val="5ECB3DD3"/>
    <w:rsid w:val="5F300255"/>
    <w:rsid w:val="5F630292"/>
    <w:rsid w:val="5F9D05D0"/>
    <w:rsid w:val="5FAD0D7A"/>
    <w:rsid w:val="5FD904BB"/>
    <w:rsid w:val="5FE57944"/>
    <w:rsid w:val="5FE84E0C"/>
    <w:rsid w:val="5FFC2665"/>
    <w:rsid w:val="60097ACC"/>
    <w:rsid w:val="609A4F3F"/>
    <w:rsid w:val="60CE0B25"/>
    <w:rsid w:val="60FC642B"/>
    <w:rsid w:val="613227E3"/>
    <w:rsid w:val="61E41603"/>
    <w:rsid w:val="621B3277"/>
    <w:rsid w:val="626B2804"/>
    <w:rsid w:val="62A3501A"/>
    <w:rsid w:val="62F13FD7"/>
    <w:rsid w:val="62F2712F"/>
    <w:rsid w:val="633B7BA7"/>
    <w:rsid w:val="63617DB9"/>
    <w:rsid w:val="63D419A4"/>
    <w:rsid w:val="63FF378E"/>
    <w:rsid w:val="640632E1"/>
    <w:rsid w:val="643C771E"/>
    <w:rsid w:val="6449068A"/>
    <w:rsid w:val="64520AA6"/>
    <w:rsid w:val="64B04E9B"/>
    <w:rsid w:val="64CE2822"/>
    <w:rsid w:val="64CF20F6"/>
    <w:rsid w:val="65763686"/>
    <w:rsid w:val="65D57105"/>
    <w:rsid w:val="66C40DA9"/>
    <w:rsid w:val="670676DF"/>
    <w:rsid w:val="672A7AB8"/>
    <w:rsid w:val="67364DA6"/>
    <w:rsid w:val="67650AF0"/>
    <w:rsid w:val="67872BFA"/>
    <w:rsid w:val="679F02B4"/>
    <w:rsid w:val="67DD2D7C"/>
    <w:rsid w:val="687F9075"/>
    <w:rsid w:val="68C66E4C"/>
    <w:rsid w:val="68C87588"/>
    <w:rsid w:val="68F24605"/>
    <w:rsid w:val="68F95994"/>
    <w:rsid w:val="69124CA8"/>
    <w:rsid w:val="69270753"/>
    <w:rsid w:val="692769A5"/>
    <w:rsid w:val="69453EE2"/>
    <w:rsid w:val="699E15C6"/>
    <w:rsid w:val="6A4B1C10"/>
    <w:rsid w:val="6AA62270"/>
    <w:rsid w:val="6AA67D9D"/>
    <w:rsid w:val="6AFB4DE7"/>
    <w:rsid w:val="6B0F2860"/>
    <w:rsid w:val="6B6A647A"/>
    <w:rsid w:val="6B7B6B34"/>
    <w:rsid w:val="6BED2296"/>
    <w:rsid w:val="6CB30C91"/>
    <w:rsid w:val="6CF070AE"/>
    <w:rsid w:val="6D170ADE"/>
    <w:rsid w:val="6D716441"/>
    <w:rsid w:val="6DF130DE"/>
    <w:rsid w:val="6E1048B6"/>
    <w:rsid w:val="6E2A3A35"/>
    <w:rsid w:val="6E3336F6"/>
    <w:rsid w:val="6E5017A9"/>
    <w:rsid w:val="6E5B266C"/>
    <w:rsid w:val="6E712470"/>
    <w:rsid w:val="6E7764B9"/>
    <w:rsid w:val="6EC31385"/>
    <w:rsid w:val="6EDF62B8"/>
    <w:rsid w:val="6F2E33F7"/>
    <w:rsid w:val="6F9C2C09"/>
    <w:rsid w:val="6F9D4995"/>
    <w:rsid w:val="702A0B29"/>
    <w:rsid w:val="705B0CE2"/>
    <w:rsid w:val="70E84C6C"/>
    <w:rsid w:val="70FA77C2"/>
    <w:rsid w:val="71B608C6"/>
    <w:rsid w:val="71BA7C8A"/>
    <w:rsid w:val="728A0953"/>
    <w:rsid w:val="729D1A86"/>
    <w:rsid w:val="72FFEC1E"/>
    <w:rsid w:val="731A00BA"/>
    <w:rsid w:val="73AF381F"/>
    <w:rsid w:val="73B01345"/>
    <w:rsid w:val="73FDC657"/>
    <w:rsid w:val="73FF6EA2"/>
    <w:rsid w:val="74263BAF"/>
    <w:rsid w:val="745D14CD"/>
    <w:rsid w:val="746D7D34"/>
    <w:rsid w:val="74717568"/>
    <w:rsid w:val="7476433D"/>
    <w:rsid w:val="747AD007"/>
    <w:rsid w:val="74EC2851"/>
    <w:rsid w:val="75A248AC"/>
    <w:rsid w:val="75E17EDC"/>
    <w:rsid w:val="75EC8CB8"/>
    <w:rsid w:val="75ECFC9C"/>
    <w:rsid w:val="75F5875B"/>
    <w:rsid w:val="76094035"/>
    <w:rsid w:val="761271C2"/>
    <w:rsid w:val="763149BF"/>
    <w:rsid w:val="763C15B6"/>
    <w:rsid w:val="76C9543C"/>
    <w:rsid w:val="773D7394"/>
    <w:rsid w:val="77527467"/>
    <w:rsid w:val="778C3E77"/>
    <w:rsid w:val="77BF5C48"/>
    <w:rsid w:val="77E048EF"/>
    <w:rsid w:val="77ED700C"/>
    <w:rsid w:val="789143F5"/>
    <w:rsid w:val="78D855C6"/>
    <w:rsid w:val="78DDB063"/>
    <w:rsid w:val="79007947"/>
    <w:rsid w:val="79515378"/>
    <w:rsid w:val="79B54D65"/>
    <w:rsid w:val="79C36276"/>
    <w:rsid w:val="79C55019"/>
    <w:rsid w:val="79E74C00"/>
    <w:rsid w:val="7A53521E"/>
    <w:rsid w:val="7A552C46"/>
    <w:rsid w:val="7A8B6FAC"/>
    <w:rsid w:val="7AE316C1"/>
    <w:rsid w:val="7AEF7743"/>
    <w:rsid w:val="7AF01505"/>
    <w:rsid w:val="7B112F8D"/>
    <w:rsid w:val="7B6C46EB"/>
    <w:rsid w:val="7BAB1AAD"/>
    <w:rsid w:val="7BC566B5"/>
    <w:rsid w:val="7BCC0CE6"/>
    <w:rsid w:val="7BDE3CCD"/>
    <w:rsid w:val="7BFD861E"/>
    <w:rsid w:val="7C066AB6"/>
    <w:rsid w:val="7C0E7550"/>
    <w:rsid w:val="7C4B038C"/>
    <w:rsid w:val="7C8F1EA9"/>
    <w:rsid w:val="7CD51E1C"/>
    <w:rsid w:val="7CE7C4D0"/>
    <w:rsid w:val="7D3747EB"/>
    <w:rsid w:val="7D3D2B21"/>
    <w:rsid w:val="7D4476CE"/>
    <w:rsid w:val="7DCD1023"/>
    <w:rsid w:val="7DD86484"/>
    <w:rsid w:val="7DDF0F40"/>
    <w:rsid w:val="7DEC566F"/>
    <w:rsid w:val="7DF2712A"/>
    <w:rsid w:val="7DFED87B"/>
    <w:rsid w:val="7E3808B5"/>
    <w:rsid w:val="7E5A353A"/>
    <w:rsid w:val="7E6B0C8A"/>
    <w:rsid w:val="7E811183"/>
    <w:rsid w:val="7E83298D"/>
    <w:rsid w:val="7E8F2BCB"/>
    <w:rsid w:val="7ED70D8A"/>
    <w:rsid w:val="7EFFAF34"/>
    <w:rsid w:val="7F431CAA"/>
    <w:rsid w:val="7F437511"/>
    <w:rsid w:val="7F475253"/>
    <w:rsid w:val="7F5B485B"/>
    <w:rsid w:val="7F5F25C3"/>
    <w:rsid w:val="7F736048"/>
    <w:rsid w:val="7F7D74C7"/>
    <w:rsid w:val="7F7EB943"/>
    <w:rsid w:val="7F8042C1"/>
    <w:rsid w:val="7F9EED94"/>
    <w:rsid w:val="7FAA2125"/>
    <w:rsid w:val="7FAF9C37"/>
    <w:rsid w:val="7FB2AEB9"/>
    <w:rsid w:val="7FB9C1CE"/>
    <w:rsid w:val="7FB9D497"/>
    <w:rsid w:val="7FBE2977"/>
    <w:rsid w:val="7FBF5567"/>
    <w:rsid w:val="7FC59A58"/>
    <w:rsid w:val="7FCC5758"/>
    <w:rsid w:val="7FCE87D7"/>
    <w:rsid w:val="7FDC1C58"/>
    <w:rsid w:val="7FE492D3"/>
    <w:rsid w:val="7FE68BFA"/>
    <w:rsid w:val="7FF3D604"/>
    <w:rsid w:val="7FF5E3E8"/>
    <w:rsid w:val="7FFB1CAD"/>
    <w:rsid w:val="7FFF6302"/>
    <w:rsid w:val="8D9F19BD"/>
    <w:rsid w:val="9BBB0043"/>
    <w:rsid w:val="9CFB61C5"/>
    <w:rsid w:val="9DF83C00"/>
    <w:rsid w:val="9E7FB1C8"/>
    <w:rsid w:val="9FD612DB"/>
    <w:rsid w:val="9FFFBE48"/>
    <w:rsid w:val="AB673E77"/>
    <w:rsid w:val="AF2B9846"/>
    <w:rsid w:val="AFDFC430"/>
    <w:rsid w:val="B5EC147C"/>
    <w:rsid w:val="B677B025"/>
    <w:rsid w:val="B74E1DF9"/>
    <w:rsid w:val="B7FD1BF4"/>
    <w:rsid w:val="BAD7D0E4"/>
    <w:rsid w:val="BBFBBB46"/>
    <w:rsid w:val="BEE74784"/>
    <w:rsid w:val="BF3DD189"/>
    <w:rsid w:val="BFEDF7EA"/>
    <w:rsid w:val="BFEFC854"/>
    <w:rsid w:val="BFFFB0F8"/>
    <w:rsid w:val="BFFFF897"/>
    <w:rsid w:val="C7C96A7C"/>
    <w:rsid w:val="CE6EF88D"/>
    <w:rsid w:val="CFD7E06A"/>
    <w:rsid w:val="D23329C4"/>
    <w:rsid w:val="D369F03E"/>
    <w:rsid w:val="D3CD89DB"/>
    <w:rsid w:val="D6FD89D4"/>
    <w:rsid w:val="D7C6A07D"/>
    <w:rsid w:val="DAFFE97B"/>
    <w:rsid w:val="DBA3AF44"/>
    <w:rsid w:val="DBCFC3DC"/>
    <w:rsid w:val="DD767C56"/>
    <w:rsid w:val="DDF70E42"/>
    <w:rsid w:val="DDFBBB1B"/>
    <w:rsid w:val="DEBF4CFE"/>
    <w:rsid w:val="DF9B6720"/>
    <w:rsid w:val="DFFA3BBE"/>
    <w:rsid w:val="DFFF310D"/>
    <w:rsid w:val="E3BFBB73"/>
    <w:rsid w:val="E7E9A346"/>
    <w:rsid w:val="E7FBD204"/>
    <w:rsid w:val="EBFF267E"/>
    <w:rsid w:val="EDDFC6E4"/>
    <w:rsid w:val="EED763E6"/>
    <w:rsid w:val="EEFE1F39"/>
    <w:rsid w:val="EF313102"/>
    <w:rsid w:val="EF5E3C90"/>
    <w:rsid w:val="EF6D47FF"/>
    <w:rsid w:val="EFAF76D4"/>
    <w:rsid w:val="EFBF7DE7"/>
    <w:rsid w:val="EFCB55F1"/>
    <w:rsid w:val="EFFF6FDF"/>
    <w:rsid w:val="F3FF1D0D"/>
    <w:rsid w:val="F3FFC8D4"/>
    <w:rsid w:val="F5ACBC5A"/>
    <w:rsid w:val="F65DAAF2"/>
    <w:rsid w:val="F7F5F3F1"/>
    <w:rsid w:val="F7FF10C5"/>
    <w:rsid w:val="F7FF1581"/>
    <w:rsid w:val="FB3629E0"/>
    <w:rsid w:val="FBF9FBF9"/>
    <w:rsid w:val="FBFA37AC"/>
    <w:rsid w:val="FBFB649E"/>
    <w:rsid w:val="FBFDCA73"/>
    <w:rsid w:val="FCD1CA28"/>
    <w:rsid w:val="FD5218BF"/>
    <w:rsid w:val="FDF70B65"/>
    <w:rsid w:val="FDFE1363"/>
    <w:rsid w:val="FDFFAC6C"/>
    <w:rsid w:val="FEEF3FDB"/>
    <w:rsid w:val="FEF621C7"/>
    <w:rsid w:val="FF3D2F1E"/>
    <w:rsid w:val="FF5AB529"/>
    <w:rsid w:val="FF7E0E52"/>
    <w:rsid w:val="FF7F4DE5"/>
    <w:rsid w:val="FFDDBDA7"/>
    <w:rsid w:val="FFDFD4BB"/>
    <w:rsid w:val="FFECD278"/>
    <w:rsid w:val="FFF6C46A"/>
    <w:rsid w:val="FFF74644"/>
    <w:rsid w:val="FFF9A63F"/>
    <w:rsid w:val="FFFF8E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54"/>
    <w:qFormat/>
    <w:uiPriority w:val="9"/>
    <w:pPr>
      <w:keepNext/>
      <w:keepLines/>
      <w:tabs>
        <w:tab w:val="right" w:leader="dot" w:pos="9060"/>
      </w:tabs>
      <w:spacing w:beforeAutospacing="1" w:after="120"/>
      <w:outlineLvl w:val="0"/>
    </w:pPr>
    <w:rPr>
      <w:rFonts w:ascii="Arial" w:hAnsi="Arial"/>
      <w:b/>
      <w:caps w:val="0"/>
      <w:kern w:val="44"/>
      <w:sz w:val="28"/>
      <w:szCs w:val="28"/>
    </w:rPr>
  </w:style>
  <w:style w:type="paragraph" w:styleId="4">
    <w:name w:val="heading 2"/>
    <w:basedOn w:val="1"/>
    <w:next w:val="1"/>
    <w:link w:val="41"/>
    <w:qFormat/>
    <w:uiPriority w:val="9"/>
    <w:pPr>
      <w:keepNext/>
      <w:keepLines/>
      <w:spacing w:before="120" w:after="120" w:line="415" w:lineRule="auto"/>
      <w:jc w:val="center"/>
      <w:outlineLvl w:val="1"/>
    </w:pPr>
    <w:rPr>
      <w:rFonts w:ascii="Arial" w:hAnsi="Arial"/>
      <w:b/>
      <w:color w:val="000000"/>
      <w:sz w:val="28"/>
      <w:szCs w:val="24"/>
    </w:rPr>
  </w:style>
  <w:style w:type="paragraph" w:styleId="5">
    <w:name w:val="heading 3"/>
    <w:basedOn w:val="1"/>
    <w:next w:val="1"/>
    <w:link w:val="42"/>
    <w:qFormat/>
    <w:uiPriority w:val="9"/>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link w:val="83"/>
    <w:semiHidden/>
    <w:unhideWhenUsed/>
    <w:qFormat/>
    <w:uiPriority w:val="0"/>
    <w:pPr>
      <w:widowControl/>
      <w:spacing w:beforeAutospacing="1" w:afterAutospacing="1"/>
      <w:jc w:val="left"/>
      <w:outlineLvl w:val="3"/>
    </w:pPr>
    <w:rPr>
      <w:rFonts w:hint="eastAsia" w:ascii="宋体" w:hAnsi="宋体"/>
      <w:b/>
      <w:kern w:val="0"/>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s="Calibri"/>
      <w:caps/>
      <w:kern w:val="0"/>
      <w:sz w:val="24"/>
      <w:szCs w:val="32"/>
    </w:rPr>
  </w:style>
  <w:style w:type="paragraph" w:styleId="7">
    <w:name w:val="Normal Indent"/>
    <w:basedOn w:val="1"/>
    <w:next w:val="1"/>
    <w:qFormat/>
    <w:uiPriority w:val="0"/>
    <w:pPr>
      <w:ind w:firstLine="420"/>
    </w:pPr>
    <w:rPr>
      <w:kern w:val="0"/>
      <w:sz w:val="20"/>
      <w:szCs w:val="20"/>
    </w:rPr>
  </w:style>
  <w:style w:type="paragraph" w:styleId="8">
    <w:name w:val="annotation text"/>
    <w:basedOn w:val="1"/>
    <w:link w:val="55"/>
    <w:qFormat/>
    <w:uiPriority w:val="0"/>
    <w:pPr>
      <w:jc w:val="left"/>
    </w:pPr>
  </w:style>
  <w:style w:type="paragraph" w:styleId="9">
    <w:name w:val="Body Text"/>
    <w:basedOn w:val="1"/>
    <w:next w:val="1"/>
    <w:link w:val="43"/>
    <w:qFormat/>
    <w:uiPriority w:val="99"/>
    <w:pPr>
      <w:spacing w:after="120"/>
    </w:pPr>
  </w:style>
  <w:style w:type="paragraph" w:styleId="10">
    <w:name w:val="Body Text Indent"/>
    <w:basedOn w:val="1"/>
    <w:next w:val="11"/>
    <w:link w:val="44"/>
    <w:qFormat/>
    <w:uiPriority w:val="0"/>
    <w:pPr>
      <w:ind w:firstLine="570"/>
    </w:pPr>
    <w:rPr>
      <w:kern w:val="0"/>
      <w:sz w:val="28"/>
      <w:szCs w:val="20"/>
    </w:rPr>
  </w:style>
  <w:style w:type="paragraph" w:styleId="11">
    <w:name w:val="envelope return"/>
    <w:basedOn w:val="1"/>
    <w:qFormat/>
    <w:uiPriority w:val="0"/>
    <w:pPr>
      <w:snapToGrid w:val="0"/>
    </w:pPr>
    <w:rPr>
      <w:rFonts w:ascii="Arial" w:hAnsi="Arial"/>
      <w:szCs w:val="24"/>
    </w:rPr>
  </w:style>
  <w:style w:type="paragraph" w:styleId="12">
    <w:name w:val="index 4"/>
    <w:basedOn w:val="1"/>
    <w:next w:val="1"/>
    <w:unhideWhenUsed/>
    <w:qFormat/>
    <w:uiPriority w:val="99"/>
    <w:pPr>
      <w:ind w:left="600" w:leftChars="600"/>
    </w:pPr>
    <w:rPr>
      <w:rFonts w:ascii="Calibri" w:hAnsi="Calibri"/>
      <w:szCs w:val="21"/>
    </w:rPr>
  </w:style>
  <w:style w:type="paragraph" w:styleId="13">
    <w:name w:val="Plain Text"/>
    <w:basedOn w:val="1"/>
    <w:next w:val="1"/>
    <w:link w:val="57"/>
    <w:qFormat/>
    <w:uiPriority w:val="99"/>
    <w:rPr>
      <w:rFonts w:hint="eastAsia" w:ascii="宋体" w:hAnsi="Courier New"/>
      <w:szCs w:val="20"/>
    </w:rPr>
  </w:style>
  <w:style w:type="paragraph" w:styleId="14">
    <w:name w:val="Date"/>
    <w:basedOn w:val="1"/>
    <w:next w:val="1"/>
    <w:link w:val="58"/>
    <w:unhideWhenUsed/>
    <w:qFormat/>
    <w:uiPriority w:val="99"/>
    <w:rPr>
      <w:rFonts w:ascii="Calibri" w:hAnsi="Calibri" w:cs="Calibri"/>
      <w:kern w:val="0"/>
      <w:sz w:val="20"/>
      <w:szCs w:val="20"/>
    </w:rPr>
  </w:style>
  <w:style w:type="paragraph" w:styleId="15">
    <w:name w:val="Balloon Text"/>
    <w:basedOn w:val="1"/>
    <w:link w:val="40"/>
    <w:qFormat/>
    <w:uiPriority w:val="99"/>
    <w:rPr>
      <w:sz w:val="18"/>
      <w:szCs w:val="18"/>
    </w:rPr>
  </w:style>
  <w:style w:type="paragraph" w:styleId="16">
    <w:name w:val="footer"/>
    <w:basedOn w:val="1"/>
    <w:link w:val="45"/>
    <w:unhideWhenUsed/>
    <w:qFormat/>
    <w:uiPriority w:val="0"/>
    <w:pPr>
      <w:tabs>
        <w:tab w:val="center" w:pos="4153"/>
        <w:tab w:val="right" w:pos="8306"/>
      </w:tabs>
      <w:snapToGrid w:val="0"/>
      <w:jc w:val="left"/>
    </w:pPr>
    <w:rPr>
      <w:kern w:val="0"/>
      <w:sz w:val="18"/>
      <w:szCs w:val="18"/>
    </w:rPr>
  </w:style>
  <w:style w:type="paragraph" w:styleId="17">
    <w:name w:val="header"/>
    <w:basedOn w:val="1"/>
    <w:link w:val="4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2"/>
    <w:basedOn w:val="1"/>
    <w:next w:val="1"/>
    <w:qFormat/>
    <w:uiPriority w:val="39"/>
    <w:pPr>
      <w:tabs>
        <w:tab w:val="right" w:leader="dot" w:pos="9060"/>
      </w:tabs>
      <w:snapToGrid w:val="0"/>
      <w:spacing w:line="360" w:lineRule="auto"/>
      <w:ind w:left="420" w:leftChars="200"/>
      <w:jc w:val="left"/>
    </w:pPr>
    <w:rPr>
      <w:rFonts w:cs="Calibri"/>
      <w:sz w:val="24"/>
      <w:szCs w:val="24"/>
    </w:rPr>
  </w:style>
  <w:style w:type="paragraph" w:styleId="19">
    <w:name w:val="Body Text 2"/>
    <w:basedOn w:val="1"/>
    <w:link w:val="62"/>
    <w:unhideWhenUsed/>
    <w:qFormat/>
    <w:uiPriority w:val="99"/>
    <w:rPr>
      <w:rFonts w:hint="eastAsia" w:ascii="宋体" w:hAnsi="宋体" w:cs="Calibri"/>
      <w:kern w:val="0"/>
      <w:sz w:val="20"/>
      <w:szCs w:val="20"/>
      <w:u w:val="single"/>
    </w:rPr>
  </w:style>
  <w:style w:type="paragraph" w:styleId="2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1">
    <w:name w:val="Title"/>
    <w:basedOn w:val="1"/>
    <w:link w:val="63"/>
    <w:qFormat/>
    <w:uiPriority w:val="10"/>
    <w:pPr>
      <w:spacing w:before="240" w:after="60"/>
      <w:jc w:val="center"/>
      <w:outlineLvl w:val="0"/>
    </w:pPr>
    <w:rPr>
      <w:rFonts w:ascii="Cambria" w:hAnsi="Cambria" w:cs="Calibri"/>
      <w:b/>
      <w:bCs/>
      <w:sz w:val="32"/>
      <w:szCs w:val="32"/>
    </w:rPr>
  </w:style>
  <w:style w:type="paragraph" w:styleId="22">
    <w:name w:val="annotation subject"/>
    <w:basedOn w:val="8"/>
    <w:next w:val="8"/>
    <w:link w:val="86"/>
    <w:qFormat/>
    <w:uiPriority w:val="0"/>
    <w:rPr>
      <w:b/>
      <w:bCs/>
    </w:rPr>
  </w:style>
  <w:style w:type="paragraph" w:styleId="23">
    <w:name w:val="Body Text First Indent"/>
    <w:basedOn w:val="9"/>
    <w:link w:val="47"/>
    <w:qFormat/>
    <w:uiPriority w:val="99"/>
    <w:pPr>
      <w:ind w:firstLine="420"/>
    </w:pPr>
    <w:rPr>
      <w:rFonts w:ascii="Calibri" w:hAnsi="Calibri"/>
    </w:rPr>
  </w:style>
  <w:style w:type="paragraph" w:styleId="24">
    <w:name w:val="Body Text First Indent 2"/>
    <w:basedOn w:val="10"/>
    <w:link w:val="48"/>
    <w:qFormat/>
    <w:uiPriority w:val="99"/>
    <w:pPr>
      <w:spacing w:after="120"/>
      <w:ind w:left="200" w:leftChars="200" w:firstLine="200" w:firstLineChars="200"/>
    </w:pPr>
    <w:rPr>
      <w:rFonts w:ascii="Calibri" w:hAnsi="Calibri"/>
      <w:color w:val="0D0D0D"/>
      <w:kern w:val="2"/>
      <w:sz w:val="21"/>
      <w:szCs w:val="24"/>
      <w:lang w:eastAsia="en-US"/>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page number"/>
    <w:qFormat/>
    <w:uiPriority w:val="0"/>
    <w:rPr>
      <w:rFonts w:ascii="Calibri" w:hAnsi="Calibri" w:eastAsia="宋体" w:cs="Times New Roman"/>
    </w:rPr>
  </w:style>
  <w:style w:type="character" w:styleId="30">
    <w:name w:val="FollowedHyperlink"/>
    <w:basedOn w:val="27"/>
    <w:qFormat/>
    <w:uiPriority w:val="0"/>
    <w:rPr>
      <w:rFonts w:hint="eastAsia" w:ascii="微软雅黑" w:hAnsi="微软雅黑" w:eastAsia="微软雅黑" w:cs="微软雅黑"/>
      <w:color w:val="337AB7"/>
      <w:u w:val="none"/>
    </w:rPr>
  </w:style>
  <w:style w:type="character" w:styleId="31">
    <w:name w:val="HTML Definition"/>
    <w:basedOn w:val="27"/>
    <w:qFormat/>
    <w:uiPriority w:val="0"/>
    <w:rPr>
      <w:i/>
      <w:iCs/>
    </w:rPr>
  </w:style>
  <w:style w:type="character" w:styleId="32">
    <w:name w:val="Hyperlink"/>
    <w:qFormat/>
    <w:uiPriority w:val="99"/>
    <w:rPr>
      <w:rFonts w:ascii="Calibri" w:hAnsi="Calibri" w:eastAsia="宋体" w:cs="Times New Roman"/>
      <w:color w:val="0000FF"/>
      <w:u w:val="single"/>
    </w:rPr>
  </w:style>
  <w:style w:type="character" w:styleId="33">
    <w:name w:val="HTML Code"/>
    <w:basedOn w:val="27"/>
    <w:qFormat/>
    <w:uiPriority w:val="0"/>
    <w:rPr>
      <w:rFonts w:hint="default" w:ascii="Consolas" w:hAnsi="Consolas" w:eastAsia="Consolas" w:cs="Consolas"/>
      <w:color w:val="C7254E"/>
      <w:sz w:val="21"/>
      <w:szCs w:val="21"/>
      <w:bdr w:val="single" w:color="E1E1E1" w:sz="4" w:space="0"/>
      <w:shd w:val="clear" w:fill="F9F2F4"/>
    </w:rPr>
  </w:style>
  <w:style w:type="character" w:styleId="34">
    <w:name w:val="annotation reference"/>
    <w:unhideWhenUsed/>
    <w:qFormat/>
    <w:uiPriority w:val="0"/>
    <w:rPr>
      <w:sz w:val="21"/>
      <w:szCs w:val="21"/>
    </w:rPr>
  </w:style>
  <w:style w:type="character" w:styleId="35">
    <w:name w:val="HTML Keyboard"/>
    <w:basedOn w:val="27"/>
    <w:qFormat/>
    <w:uiPriority w:val="0"/>
    <w:rPr>
      <w:rFonts w:hint="default" w:ascii="Consolas" w:hAnsi="Consolas" w:eastAsia="Consolas" w:cs="Consolas"/>
      <w:color w:val="FFFFFF"/>
      <w:sz w:val="21"/>
      <w:szCs w:val="21"/>
      <w:shd w:val="clear" w:fill="333333"/>
    </w:rPr>
  </w:style>
  <w:style w:type="character" w:styleId="36">
    <w:name w:val="HTML Sample"/>
    <w:basedOn w:val="27"/>
    <w:qFormat/>
    <w:uiPriority w:val="0"/>
    <w:rPr>
      <w:rFonts w:ascii="Consolas" w:hAnsi="Consolas" w:eastAsia="Consolas" w:cs="Consolas"/>
      <w:sz w:val="21"/>
      <w:szCs w:val="21"/>
    </w:rPr>
  </w:style>
  <w:style w:type="paragraph" w:customStyle="1" w:styleId="37">
    <w:name w:val="章节三"/>
    <w:basedOn w:val="38"/>
    <w:next w:val="38"/>
    <w:qFormat/>
    <w:uiPriority w:val="99"/>
    <w:pPr>
      <w:widowControl w:val="0"/>
      <w:spacing w:beforeLines="50" w:line="240" w:lineRule="auto"/>
      <w:ind w:firstLine="0" w:firstLineChars="0"/>
      <w:outlineLvl w:val="2"/>
    </w:pPr>
    <w:rPr>
      <w:rFonts w:ascii="黑体" w:hAnsi="宋体" w:eastAsia="黑体"/>
      <w:b/>
    </w:rPr>
  </w:style>
  <w:style w:type="paragraph" w:customStyle="1" w:styleId="38">
    <w:name w:val="文一"/>
    <w:link w:val="53"/>
    <w:qFormat/>
    <w:uiPriority w:val="0"/>
    <w:pPr>
      <w:topLinePunct/>
      <w:adjustRightInd w:val="0"/>
      <w:snapToGrid w:val="0"/>
      <w:spacing w:line="360" w:lineRule="auto"/>
      <w:ind w:firstLine="200" w:firstLineChars="200"/>
    </w:pPr>
    <w:rPr>
      <w:rFonts w:ascii="Times New Roman" w:hAnsi="Times New Roman" w:eastAsia="Times New Roman" w:cs="Times New Roman"/>
      <w:snapToGrid w:val="0"/>
      <w:spacing w:val="4"/>
      <w:kern w:val="2"/>
      <w:sz w:val="24"/>
      <w:szCs w:val="24"/>
      <w:lang w:val="en-US" w:eastAsia="zh-CN" w:bidi="ar-SA"/>
    </w:rPr>
  </w:style>
  <w:style w:type="paragraph" w:customStyle="1" w:styleId="39">
    <w:name w:val="正文1"/>
    <w:basedOn w:val="1"/>
    <w:qFormat/>
    <w:uiPriority w:val="0"/>
    <w:pPr>
      <w:spacing w:line="360" w:lineRule="auto"/>
      <w:ind w:firstLine="200" w:firstLineChars="200"/>
      <w:jc w:val="left"/>
    </w:pPr>
    <w:rPr>
      <w:rFonts w:ascii="Calibri" w:hAnsi="Calibri"/>
      <w:sz w:val="24"/>
    </w:rPr>
  </w:style>
  <w:style w:type="character" w:customStyle="1" w:styleId="40">
    <w:name w:val="批注框文本 Char"/>
    <w:basedOn w:val="27"/>
    <w:link w:val="15"/>
    <w:qFormat/>
    <w:uiPriority w:val="99"/>
    <w:rPr>
      <w:rFonts w:ascii="Times New Roman" w:hAnsi="Times New Roman" w:cs="Times New Roman"/>
      <w:kern w:val="2"/>
      <w:sz w:val="18"/>
      <w:szCs w:val="18"/>
    </w:rPr>
  </w:style>
  <w:style w:type="character" w:customStyle="1" w:styleId="41">
    <w:name w:val="标题 2 Char"/>
    <w:link w:val="4"/>
    <w:qFormat/>
    <w:uiPriority w:val="0"/>
    <w:rPr>
      <w:rFonts w:ascii="Arial" w:hAnsi="Arial" w:cs="Times New Roman"/>
      <w:b/>
      <w:color w:val="000000"/>
      <w:kern w:val="2"/>
      <w:sz w:val="28"/>
      <w:szCs w:val="24"/>
    </w:rPr>
  </w:style>
  <w:style w:type="character" w:customStyle="1" w:styleId="42">
    <w:name w:val="标题 3 Char"/>
    <w:link w:val="5"/>
    <w:qFormat/>
    <w:uiPriority w:val="9"/>
    <w:rPr>
      <w:rFonts w:ascii="宋体" w:hAnsi="宋体" w:cs="Times New Roman"/>
      <w:sz w:val="27"/>
      <w:szCs w:val="27"/>
    </w:rPr>
  </w:style>
  <w:style w:type="character" w:customStyle="1" w:styleId="43">
    <w:name w:val="正文文本 Char"/>
    <w:link w:val="9"/>
    <w:qFormat/>
    <w:uiPriority w:val="0"/>
    <w:rPr>
      <w:rFonts w:ascii="Times New Roman" w:hAnsi="Times New Roman" w:cs="Times New Roman"/>
      <w:kern w:val="2"/>
      <w:sz w:val="21"/>
      <w:szCs w:val="22"/>
    </w:rPr>
  </w:style>
  <w:style w:type="character" w:customStyle="1" w:styleId="44">
    <w:name w:val="正文文本缩进 Char"/>
    <w:basedOn w:val="27"/>
    <w:link w:val="10"/>
    <w:qFormat/>
    <w:uiPriority w:val="0"/>
    <w:rPr>
      <w:rFonts w:ascii="Times New Roman" w:hAnsi="Times New Roman" w:cs="Times New Roman"/>
      <w:sz w:val="28"/>
    </w:rPr>
  </w:style>
  <w:style w:type="character" w:customStyle="1" w:styleId="45">
    <w:name w:val="页脚 Char"/>
    <w:link w:val="16"/>
    <w:qFormat/>
    <w:uiPriority w:val="99"/>
    <w:rPr>
      <w:rFonts w:ascii="Times New Roman" w:hAnsi="Times New Roman" w:cs="Times New Roman"/>
      <w:sz w:val="18"/>
      <w:szCs w:val="18"/>
    </w:rPr>
  </w:style>
  <w:style w:type="character" w:customStyle="1" w:styleId="46">
    <w:name w:val="页眉 Char"/>
    <w:link w:val="17"/>
    <w:qFormat/>
    <w:uiPriority w:val="0"/>
    <w:rPr>
      <w:rFonts w:ascii="Times New Roman" w:hAnsi="Times New Roman" w:cs="Times New Roman"/>
      <w:sz w:val="18"/>
      <w:szCs w:val="18"/>
    </w:rPr>
  </w:style>
  <w:style w:type="character" w:customStyle="1" w:styleId="47">
    <w:name w:val="正文首行缩进 Char"/>
    <w:basedOn w:val="43"/>
    <w:link w:val="23"/>
    <w:qFormat/>
    <w:uiPriority w:val="0"/>
    <w:rPr>
      <w:rFonts w:ascii="Times New Roman" w:hAnsi="Times New Roman" w:cs="Times New Roman"/>
      <w:kern w:val="2"/>
      <w:sz w:val="21"/>
      <w:szCs w:val="22"/>
    </w:rPr>
  </w:style>
  <w:style w:type="character" w:customStyle="1" w:styleId="48">
    <w:name w:val="正文首行缩进 2 Char"/>
    <w:basedOn w:val="44"/>
    <w:link w:val="24"/>
    <w:qFormat/>
    <w:uiPriority w:val="0"/>
    <w:rPr>
      <w:rFonts w:ascii="Times New Roman" w:hAnsi="Times New Roman" w:cs="Times New Roman"/>
      <w:color w:val="0D0D0D"/>
      <w:kern w:val="2"/>
      <w:sz w:val="21"/>
      <w:szCs w:val="24"/>
      <w:lang w:eastAsia="en-US"/>
    </w:rPr>
  </w:style>
  <w:style w:type="character" w:customStyle="1" w:styleId="49">
    <w:name w:val="font11"/>
    <w:qFormat/>
    <w:uiPriority w:val="0"/>
    <w:rPr>
      <w:rFonts w:hint="eastAsia" w:ascii="仿宋" w:hAnsi="仿宋" w:eastAsia="仿宋" w:cs="仿宋"/>
      <w:b/>
      <w:color w:val="000000"/>
      <w:sz w:val="28"/>
      <w:szCs w:val="28"/>
      <w:u w:val="none"/>
    </w:rPr>
  </w:style>
  <w:style w:type="character" w:customStyle="1" w:styleId="50">
    <w:name w:val="font21"/>
    <w:qFormat/>
    <w:uiPriority w:val="0"/>
    <w:rPr>
      <w:rFonts w:hint="eastAsia" w:ascii="仿宋" w:hAnsi="仿宋" w:eastAsia="仿宋" w:cs="仿宋"/>
      <w:b/>
      <w:color w:val="000000"/>
      <w:sz w:val="28"/>
      <w:szCs w:val="28"/>
      <w:u w:val="none"/>
    </w:rPr>
  </w:style>
  <w:style w:type="paragraph" w:customStyle="1" w:styleId="51">
    <w:name w:val="正题"/>
    <w:basedOn w:val="38"/>
    <w:next w:val="38"/>
    <w:qFormat/>
    <w:uiPriority w:val="0"/>
    <w:pPr>
      <w:spacing w:after="200"/>
      <w:ind w:firstLine="0" w:firstLineChars="0"/>
      <w:jc w:val="center"/>
    </w:pPr>
    <w:rPr>
      <w:rFonts w:eastAsia="黑体"/>
      <w:b/>
      <w:snapToGrid/>
      <w:kern w:val="0"/>
      <w:sz w:val="36"/>
      <w:szCs w:val="36"/>
    </w:rPr>
  </w:style>
  <w:style w:type="paragraph" w:styleId="52">
    <w:name w:val="List Paragraph"/>
    <w:basedOn w:val="1"/>
    <w:qFormat/>
    <w:uiPriority w:val="0"/>
    <w:pPr>
      <w:ind w:firstLine="420" w:firstLineChars="200"/>
    </w:pPr>
    <w:rPr>
      <w:szCs w:val="20"/>
    </w:rPr>
  </w:style>
  <w:style w:type="character" w:customStyle="1" w:styleId="53">
    <w:name w:val="文一 Char"/>
    <w:link w:val="38"/>
    <w:qFormat/>
    <w:uiPriority w:val="0"/>
    <w:rPr>
      <w:rFonts w:ascii="Times New Roman" w:hAnsi="Times New Roman" w:eastAsia="Times New Roman" w:cs="Times New Roman"/>
      <w:snapToGrid w:val="0"/>
      <w:spacing w:val="4"/>
      <w:kern w:val="2"/>
      <w:sz w:val="24"/>
      <w:szCs w:val="24"/>
    </w:rPr>
  </w:style>
  <w:style w:type="character" w:customStyle="1" w:styleId="54">
    <w:name w:val="标题 1 Char"/>
    <w:basedOn w:val="27"/>
    <w:link w:val="2"/>
    <w:qFormat/>
    <w:uiPriority w:val="9"/>
    <w:rPr>
      <w:rFonts w:ascii="Arial" w:hAnsi="Arial"/>
      <w:b/>
      <w:kern w:val="44"/>
      <w:sz w:val="28"/>
      <w:szCs w:val="28"/>
    </w:rPr>
  </w:style>
  <w:style w:type="character" w:customStyle="1" w:styleId="55">
    <w:name w:val="批注文字 Char"/>
    <w:link w:val="8"/>
    <w:qFormat/>
    <w:uiPriority w:val="0"/>
    <w:rPr>
      <w:rFonts w:ascii="Times New Roman" w:hAnsi="Times New Roman" w:cs="Times New Roman"/>
      <w:kern w:val="2"/>
      <w:sz w:val="21"/>
      <w:szCs w:val="22"/>
    </w:rPr>
  </w:style>
  <w:style w:type="character" w:customStyle="1" w:styleId="56">
    <w:name w:val="正文文本 Char1"/>
    <w:semiHidden/>
    <w:qFormat/>
    <w:uiPriority w:val="99"/>
    <w:rPr>
      <w:rFonts w:ascii="Calibri" w:hAnsi="Calibri" w:eastAsia="宋体" w:cs="Times New Roman"/>
    </w:rPr>
  </w:style>
  <w:style w:type="character" w:customStyle="1" w:styleId="57">
    <w:name w:val="纯文本 Char1"/>
    <w:link w:val="13"/>
    <w:qFormat/>
    <w:uiPriority w:val="99"/>
    <w:rPr>
      <w:rFonts w:ascii="宋体" w:hAnsi="Courier New" w:cs="Times New Roman"/>
    </w:rPr>
  </w:style>
  <w:style w:type="character" w:customStyle="1" w:styleId="58">
    <w:name w:val="日期 Char"/>
    <w:basedOn w:val="27"/>
    <w:link w:val="14"/>
    <w:qFormat/>
    <w:uiPriority w:val="99"/>
  </w:style>
  <w:style w:type="character" w:customStyle="1" w:styleId="59">
    <w:name w:val="批注框文本 Char1"/>
    <w:semiHidden/>
    <w:qFormat/>
    <w:uiPriority w:val="99"/>
    <w:rPr>
      <w:rFonts w:ascii="Calibri" w:hAnsi="Calibri" w:eastAsia="宋体" w:cs="Times New Roman"/>
      <w:sz w:val="18"/>
      <w:szCs w:val="18"/>
    </w:rPr>
  </w:style>
  <w:style w:type="character" w:customStyle="1" w:styleId="60">
    <w:name w:val="页脚 Char1"/>
    <w:semiHidden/>
    <w:qFormat/>
    <w:uiPriority w:val="99"/>
    <w:rPr>
      <w:rFonts w:ascii="Calibri" w:hAnsi="Calibri" w:eastAsia="宋体" w:cs="Times New Roman"/>
      <w:sz w:val="18"/>
      <w:szCs w:val="18"/>
    </w:rPr>
  </w:style>
  <w:style w:type="character" w:customStyle="1" w:styleId="61">
    <w:name w:val="页眉 Char1"/>
    <w:semiHidden/>
    <w:qFormat/>
    <w:uiPriority w:val="99"/>
    <w:rPr>
      <w:rFonts w:ascii="Calibri" w:hAnsi="Calibri" w:eastAsia="宋体" w:cs="Times New Roman"/>
      <w:sz w:val="18"/>
      <w:szCs w:val="18"/>
    </w:rPr>
  </w:style>
  <w:style w:type="character" w:customStyle="1" w:styleId="62">
    <w:name w:val="正文文本 2 Char"/>
    <w:basedOn w:val="27"/>
    <w:link w:val="19"/>
    <w:qFormat/>
    <w:uiPriority w:val="99"/>
    <w:rPr>
      <w:rFonts w:ascii="宋体" w:hAnsi="宋体"/>
      <w:u w:val="single"/>
    </w:rPr>
  </w:style>
  <w:style w:type="character" w:customStyle="1" w:styleId="63">
    <w:name w:val="标题 Char"/>
    <w:basedOn w:val="27"/>
    <w:link w:val="21"/>
    <w:qFormat/>
    <w:uiPriority w:val="10"/>
    <w:rPr>
      <w:rFonts w:ascii="Cambria" w:hAnsi="Cambria"/>
      <w:b/>
      <w:bCs/>
      <w:kern w:val="2"/>
      <w:sz w:val="32"/>
      <w:szCs w:val="32"/>
    </w:rPr>
  </w:style>
  <w:style w:type="character" w:customStyle="1" w:styleId="64">
    <w:name w:val="正文首行缩进 Char1"/>
    <w:semiHidden/>
    <w:qFormat/>
    <w:uiPriority w:val="99"/>
    <w:rPr>
      <w:rFonts w:ascii="Calibri" w:hAnsi="Calibri" w:eastAsia="宋体" w:cs="Times New Roman"/>
    </w:rPr>
  </w:style>
  <w:style w:type="character" w:customStyle="1" w:styleId="65">
    <w:name w:val="纯文本 Char"/>
    <w:qFormat/>
    <w:uiPriority w:val="99"/>
    <w:rPr>
      <w:rFonts w:ascii="宋体" w:hAnsi="Courier New"/>
      <w:kern w:val="2"/>
      <w:sz w:val="21"/>
    </w:rPr>
  </w:style>
  <w:style w:type="character" w:customStyle="1" w:styleId="66">
    <w:name w:val="15"/>
    <w:qFormat/>
    <w:uiPriority w:val="0"/>
    <w:rPr>
      <w:rFonts w:hint="default" w:ascii="Times New Roman" w:hAnsi="Times New Roman" w:cs="Times New Roman"/>
      <w:color w:val="0000FF"/>
      <w:u w:val="single"/>
    </w:rPr>
  </w:style>
  <w:style w:type="character" w:customStyle="1" w:styleId="67">
    <w:name w:val="标题 Char2"/>
    <w:qFormat/>
    <w:uiPriority w:val="0"/>
    <w:rPr>
      <w:rFonts w:ascii="Cambria" w:hAnsi="Cambria" w:eastAsia="宋体" w:cs="Times New Roman"/>
      <w:b/>
      <w:bCs/>
      <w:kern w:val="2"/>
      <w:sz w:val="32"/>
      <w:szCs w:val="32"/>
    </w:rPr>
  </w:style>
  <w:style w:type="character" w:customStyle="1" w:styleId="68">
    <w:name w:val="17"/>
    <w:qFormat/>
    <w:uiPriority w:val="0"/>
    <w:rPr>
      <w:rFonts w:hint="default" w:ascii="Times New Roman" w:hAnsi="Times New Roman" w:cs="Times New Roman"/>
    </w:rPr>
  </w:style>
  <w:style w:type="character" w:customStyle="1" w:styleId="69">
    <w:name w:val="样式1 Char Char"/>
    <w:link w:val="70"/>
    <w:qFormat/>
    <w:locked/>
    <w:uiPriority w:val="0"/>
    <w:rPr>
      <w:rFonts w:ascii="Cambria" w:hAnsi="Arial" w:eastAsia="黑体"/>
      <w:b/>
      <w:bCs/>
      <w:kern w:val="2"/>
      <w:sz w:val="32"/>
      <w:szCs w:val="32"/>
    </w:rPr>
  </w:style>
  <w:style w:type="paragraph" w:customStyle="1" w:styleId="70">
    <w:name w:val="样式1"/>
    <w:basedOn w:val="21"/>
    <w:link w:val="69"/>
    <w:qFormat/>
    <w:uiPriority w:val="0"/>
    <w:pPr>
      <w:numPr>
        <w:ilvl w:val="0"/>
        <w:numId w:val="1"/>
      </w:numPr>
      <w:tabs>
        <w:tab w:val="left" w:pos="1271"/>
        <w:tab w:val="clear" w:pos="1260"/>
      </w:tabs>
      <w:spacing w:line="560" w:lineRule="exact"/>
      <w:jc w:val="left"/>
    </w:pPr>
    <w:rPr>
      <w:rFonts w:hAnsi="Arial" w:eastAsia="黑体"/>
    </w:rPr>
  </w:style>
  <w:style w:type="character" w:customStyle="1" w:styleId="71">
    <w:name w:val="16"/>
    <w:qFormat/>
    <w:uiPriority w:val="0"/>
    <w:rPr>
      <w:rFonts w:hint="eastAsia" w:ascii="宋体" w:hAnsi="宋体" w:eastAsia="宋体" w:cs="宋体"/>
      <w:color w:val="000000"/>
      <w:sz w:val="20"/>
      <w:szCs w:val="20"/>
    </w:rPr>
  </w:style>
  <w:style w:type="paragraph" w:customStyle="1" w:styleId="72">
    <w:name w:val="文二"/>
    <w:basedOn w:val="1"/>
    <w:qFormat/>
    <w:uiPriority w:val="0"/>
    <w:pPr>
      <w:widowControl/>
      <w:spacing w:after="200" w:line="276" w:lineRule="auto"/>
      <w:jc w:val="left"/>
    </w:pPr>
    <w:rPr>
      <w:rFonts w:ascii="宋体" w:hAnsi="宋体" w:cs="Calibri"/>
      <w:kern w:val="0"/>
      <w:sz w:val="22"/>
      <w:szCs w:val="21"/>
      <w:lang w:eastAsia="en-US" w:bidi="en-US"/>
    </w:rPr>
  </w:style>
  <w:style w:type="paragraph" w:customStyle="1" w:styleId="73">
    <w:name w:val="Table Paragraph"/>
    <w:basedOn w:val="1"/>
    <w:qFormat/>
    <w:uiPriority w:val="0"/>
    <w:pPr>
      <w:spacing w:before="26" w:line="208" w:lineRule="exact"/>
    </w:pPr>
    <w:rPr>
      <w:rFonts w:ascii="仿宋_GB2312" w:hAnsi="仿宋_GB2312" w:eastAsia="仿宋_GB2312" w:cs="仿宋_GB2312"/>
    </w:rPr>
  </w:style>
  <w:style w:type="paragraph" w:customStyle="1" w:styleId="74">
    <w:name w:val="表格文字"/>
    <w:basedOn w:val="1"/>
    <w:qFormat/>
    <w:uiPriority w:val="0"/>
    <w:pPr>
      <w:adjustRightInd w:val="0"/>
      <w:spacing w:line="420" w:lineRule="atLeast"/>
      <w:jc w:val="left"/>
      <w:textAlignment w:val="baseline"/>
    </w:pPr>
    <w:rPr>
      <w:rFonts w:ascii="Calibri" w:hAnsi="Calibri" w:cs="Calibri"/>
      <w:kern w:val="0"/>
      <w:szCs w:val="21"/>
    </w:rPr>
  </w:style>
  <w:style w:type="paragraph" w:customStyle="1" w:styleId="75">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76">
    <w:name w:val="发文落款"/>
    <w:basedOn w:val="75"/>
    <w:qFormat/>
    <w:uiPriority w:val="0"/>
    <w:pPr>
      <w:ind w:left="4094" w:right="607" w:firstLine="0"/>
      <w:jc w:val="center"/>
    </w:pPr>
  </w:style>
  <w:style w:type="paragraph" w:customStyle="1" w:styleId="77">
    <w:name w:val="正文 New New"/>
    <w:basedOn w:val="1"/>
    <w:qFormat/>
    <w:uiPriority w:val="0"/>
    <w:rPr>
      <w:rFonts w:ascii="Calibri" w:hAnsi="Calibri" w:eastAsia="楷体_GB2312" w:cs="宋体"/>
      <w:szCs w:val="21"/>
    </w:rPr>
  </w:style>
  <w:style w:type="paragraph" w:customStyle="1" w:styleId="78">
    <w:name w:val="章节二"/>
    <w:basedOn w:val="1"/>
    <w:next w:val="1"/>
    <w:qFormat/>
    <w:uiPriority w:val="0"/>
    <w:pPr>
      <w:topLinePunct/>
      <w:adjustRightInd w:val="0"/>
      <w:snapToGrid w:val="0"/>
      <w:spacing w:beforeLines="50"/>
      <w:jc w:val="center"/>
      <w:outlineLvl w:val="1"/>
    </w:pPr>
    <w:rPr>
      <w:rFonts w:eastAsia="黑体" w:cs="Calibri"/>
      <w:b/>
      <w:spacing w:val="4"/>
      <w:kern w:val="0"/>
      <w:sz w:val="30"/>
      <w:szCs w:val="30"/>
    </w:rPr>
  </w:style>
  <w:style w:type="paragraph" w:customStyle="1" w:styleId="79">
    <w:name w:val="修订1"/>
    <w:unhideWhenUsed/>
    <w:qFormat/>
    <w:uiPriority w:val="99"/>
    <w:rPr>
      <w:rFonts w:ascii="Calibri" w:hAnsi="Calibri" w:eastAsia="宋体" w:cs="Calibri"/>
      <w:kern w:val="2"/>
      <w:sz w:val="21"/>
      <w:szCs w:val="22"/>
      <w:lang w:val="en-US" w:eastAsia="zh-CN" w:bidi="ar-SA"/>
    </w:rPr>
  </w:style>
  <w:style w:type="paragraph" w:customStyle="1" w:styleId="80">
    <w:name w:val="Default"/>
    <w:next w:val="1"/>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81">
    <w:name w:val="正文文本3"/>
    <w:basedOn w:val="1"/>
    <w:qFormat/>
    <w:uiPriority w:val="0"/>
    <w:pPr>
      <w:shd w:val="clear" w:color="auto" w:fill="FFFFFF"/>
      <w:spacing w:line="0" w:lineRule="atLeast"/>
      <w:jc w:val="left"/>
    </w:pPr>
    <w:rPr>
      <w:rFonts w:hint="eastAsia" w:ascii="宋体" w:hAnsi="宋体" w:cs="Calibri"/>
      <w:kern w:val="0"/>
      <w:sz w:val="19"/>
      <w:szCs w:val="19"/>
    </w:rPr>
  </w:style>
  <w:style w:type="table" w:customStyle="1" w:styleId="82">
    <w:name w:val="Table Normal"/>
    <w:unhideWhenUsed/>
    <w:qFormat/>
    <w:uiPriority w:val="0"/>
    <w:tblPr>
      <w:tblCellMar>
        <w:top w:w="0" w:type="dxa"/>
        <w:left w:w="0" w:type="dxa"/>
        <w:bottom w:w="0" w:type="dxa"/>
        <w:right w:w="0" w:type="dxa"/>
      </w:tblCellMar>
    </w:tblPr>
  </w:style>
  <w:style w:type="character" w:customStyle="1" w:styleId="83">
    <w:name w:val="标题 4 Char"/>
    <w:basedOn w:val="27"/>
    <w:link w:val="6"/>
    <w:qFormat/>
    <w:uiPriority w:val="0"/>
    <w:rPr>
      <w:rFonts w:hint="eastAsia" w:ascii="宋体" w:hAnsi="宋体" w:eastAsia="宋体" w:cs="宋体"/>
      <w:b/>
      <w:sz w:val="24"/>
      <w:szCs w:val="24"/>
    </w:rPr>
  </w:style>
  <w:style w:type="paragraph" w:customStyle="1" w:styleId="84">
    <w:name w:val="_Style 3"/>
    <w:basedOn w:val="1"/>
    <w:qFormat/>
    <w:uiPriority w:val="0"/>
    <w:pPr>
      <w:ind w:firstLine="420" w:firstLineChars="200"/>
    </w:pPr>
    <w:rPr>
      <w:sz w:val="20"/>
    </w:rPr>
  </w:style>
  <w:style w:type="character" w:customStyle="1" w:styleId="85">
    <w:name w:val="s2"/>
    <w:qFormat/>
    <w:uiPriority w:val="0"/>
  </w:style>
  <w:style w:type="character" w:customStyle="1" w:styleId="86">
    <w:name w:val="批注主题 Char"/>
    <w:basedOn w:val="55"/>
    <w:link w:val="22"/>
    <w:qFormat/>
    <w:uiPriority w:val="0"/>
    <w:rPr>
      <w:rFonts w:ascii="Times New Roman" w:hAnsi="Times New Roman" w:cs="Times New Roman"/>
      <w:b/>
      <w:bCs/>
      <w:kern w:val="2"/>
      <w:sz w:val="21"/>
      <w:szCs w:val="22"/>
    </w:rPr>
  </w:style>
  <w:style w:type="character" w:customStyle="1" w:styleId="87">
    <w:name w:val="s15"/>
    <w:qFormat/>
    <w:uiPriority w:val="0"/>
    <w:rPr>
      <w:color w:val="2131A1"/>
    </w:rPr>
  </w:style>
  <w:style w:type="character" w:customStyle="1" w:styleId="88">
    <w:name w:val="s3"/>
    <w:qFormat/>
    <w:uiPriority w:val="0"/>
  </w:style>
  <w:style w:type="character" w:customStyle="1" w:styleId="89">
    <w:name w:val="NormalCharacter"/>
    <w:qFormat/>
    <w:uiPriority w:val="0"/>
  </w:style>
  <w:style w:type="paragraph" w:customStyle="1" w:styleId="90">
    <w:name w:val="Other|1"/>
    <w:basedOn w:val="1"/>
    <w:qFormat/>
    <w:uiPriority w:val="0"/>
    <w:pPr>
      <w:spacing w:line="228" w:lineRule="exact"/>
    </w:pPr>
    <w:rPr>
      <w:rFonts w:ascii="宋体" w:hAnsi="宋体" w:cs="宋体"/>
      <w:sz w:val="17"/>
      <w:szCs w:val="17"/>
      <w:lang w:val="zh-TW" w:eastAsia="zh-TW" w:bidi="zh-TW"/>
    </w:rPr>
  </w:style>
  <w:style w:type="character" w:customStyle="1" w:styleId="91">
    <w:name w:val="username"/>
    <w:basedOn w:val="27"/>
    <w:qFormat/>
    <w:uiPriority w:val="0"/>
  </w:style>
  <w:style w:type="character" w:customStyle="1" w:styleId="92">
    <w:name w:val="title25"/>
    <w:basedOn w:val="27"/>
    <w:qFormat/>
    <w:uiPriority w:val="0"/>
  </w:style>
  <w:style w:type="character" w:customStyle="1" w:styleId="93">
    <w:name w:val="title26"/>
    <w:basedOn w:val="27"/>
    <w:qFormat/>
    <w:uiPriority w:val="0"/>
  </w:style>
  <w:style w:type="character" w:customStyle="1" w:styleId="94">
    <w:name w:val="title21"/>
    <w:basedOn w:val="2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93</Pages>
  <Words>54114</Words>
  <Characters>56692</Characters>
  <Lines>398</Lines>
  <Paragraphs>112</Paragraphs>
  <TotalTime>1</TotalTime>
  <ScaleCrop>false</ScaleCrop>
  <LinksUpToDate>false</LinksUpToDate>
  <CharactersWithSpaces>59041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2024-08-09T02:38:00Z</dcterms:created>
  <dc:creator>植暇荒宰募</dc:creator>
  <cp:lastModifiedBy>招标代理</cp:lastModifiedBy>
  <cp:lastPrinted>2024-08-13T04:41:00Z</cp:lastPrinted>
  <dcterms:modified xsi:type="dcterms:W3CDTF">2025-01-26T06:56:35Z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3CC4CD2771C64199A4E53C3A2B58A7A7_13</vt:lpwstr>
  </property>
  <property fmtid="{D5CDD505-2E9C-101B-9397-08002B2CF9AE}" pid="4" name="KSOTemplateDocerSaveRecord">
    <vt:lpwstr>eyJoZGlkIjoiNDA5YTE4OWE0ODhhZTc0MDliNmNmNDZjODMyOWQyYzMiLCJ1c2VySWQiOiIxNzg3NjIyMyJ9</vt:lpwstr>
  </property>
</Properties>
</file>