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219" w:lineRule="auto"/>
        <w:ind w:left="2154" w:leftChars="0" w:hanging="2154" w:hangingChars="764"/>
        <w:jc w:val="both"/>
        <w:rPr>
          <w:rFonts w:hint="default" w:ascii="宋体" w:hAnsi="宋体" w:eastAsia="宋体" w:cs="宋体"/>
          <w:color w:val="auto"/>
          <w:spacing w:val="1"/>
          <w:sz w:val="28"/>
          <w:szCs w:val="28"/>
          <w:highlight w:val="none"/>
          <w:lang w:val="en-US" w:eastAsia="zh-CN"/>
          <w14:textOutline w14:w="5103" w14:cap="sq" w14:cmpd="sng">
            <w14:solidFill>
              <w14:srgbClr w14:val="000000"/>
            </w14:solidFill>
            <w14:prstDash w14:val="solid"/>
            <w14:bevel/>
          </w14:textOutline>
        </w:rPr>
      </w:pPr>
      <w:bookmarkStart w:id="0" w:name="_GoBack"/>
      <w:r>
        <w:rPr>
          <w:rFonts w:hint="eastAsia" w:ascii="宋体" w:hAnsi="宋体" w:eastAsia="宋体" w:cs="宋体"/>
          <w:color w:val="auto"/>
          <w:spacing w:val="1"/>
          <w:sz w:val="28"/>
          <w:szCs w:val="28"/>
          <w:highlight w:val="none"/>
          <w:lang w:val="en-US" w:eastAsia="zh-CN"/>
          <w14:textOutline w14:w="5103" w14:cap="sq" w14:cmpd="sng">
            <w14:solidFill>
              <w14:srgbClr w14:val="000000"/>
            </w14:solidFill>
            <w14:prstDash w14:val="solid"/>
            <w14:bevel/>
          </w14:textOutline>
        </w:rPr>
        <w:t>附件2：</w:t>
      </w:r>
      <w:bookmarkEnd w:id="0"/>
    </w:p>
    <w:p>
      <w:pPr>
        <w:spacing w:before="91" w:line="219" w:lineRule="auto"/>
        <w:ind w:left="2157"/>
        <w:rPr>
          <w:rFonts w:ascii="宋体" w:hAnsi="宋体" w:eastAsia="宋体" w:cs="宋体"/>
          <w:color w:val="auto"/>
          <w:sz w:val="12"/>
          <w:szCs w:val="12"/>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附录</w:t>
      </w:r>
      <w:r>
        <w:rPr>
          <w:rFonts w:ascii="宋体" w:hAnsi="宋体" w:eastAsia="宋体" w:cs="宋体"/>
          <w:color w:val="auto"/>
          <w:spacing w:val="-36"/>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1</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资格审查条件(资质最低条件)</w:t>
      </w:r>
    </w:p>
    <w:p>
      <w:pPr>
        <w:spacing w:line="170" w:lineRule="exact"/>
        <w:rPr>
          <w:color w:val="auto"/>
          <w:highlight w:val="none"/>
        </w:rPr>
      </w:pPr>
    </w:p>
    <w:tbl>
      <w:tblPr>
        <w:tblStyle w:val="8"/>
        <w:tblW w:w="912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21"/>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0" w:hRule="atLeast"/>
        </w:trPr>
        <w:tc>
          <w:tcPr>
            <w:tcW w:w="9121" w:type="dxa"/>
            <w:tcBorders>
              <w:bottom w:val="single" w:color="000000" w:sz="2" w:space="0"/>
            </w:tcBorders>
            <w:vAlign w:val="top"/>
          </w:tcPr>
          <w:p>
            <w:pPr>
              <w:pStyle w:val="7"/>
              <w:spacing w:before="64" w:line="219" w:lineRule="auto"/>
              <w:ind w:left="3356"/>
              <w:rPr>
                <w:color w:val="auto"/>
                <w:highlight w:val="none"/>
              </w:rPr>
            </w:pPr>
            <w:r>
              <w:rPr>
                <w:color w:val="auto"/>
                <w:highlight w:val="none"/>
                <w14:textOutline w14:w="4358" w14:cap="sq" w14:cmpd="sng">
                  <w14:solidFill>
                    <w14:srgbClr w14:val="000000"/>
                  </w14:solidFill>
                  <w14:prstDash w14:val="solid"/>
                  <w14:bevel/>
                </w14:textOutline>
              </w:rPr>
              <w:t>施工企业资质等级要求</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9121" w:type="dxa"/>
            <w:tcBorders>
              <w:top w:val="single" w:color="000000" w:sz="2" w:space="0"/>
            </w:tcBorders>
            <w:vAlign w:val="top"/>
          </w:tcPr>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1、具备有效的企业法人营业执照。</w:t>
            </w:r>
          </w:p>
          <w:p>
            <w:pPr>
              <w:spacing w:line="360" w:lineRule="auto"/>
              <w:ind w:firstLine="48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2、投标人须具备住房城乡建设主管部门核发的公路工程施工总承包三级以上（含三级）资质，并具有有效的安全生产许可证的法人。</w:t>
            </w:r>
          </w:p>
          <w:p>
            <w:pPr>
              <w:spacing w:line="360" w:lineRule="auto"/>
              <w:ind w:firstLine="48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3、具备合法有效的安全生产许可证。</w:t>
            </w:r>
          </w:p>
          <w:p>
            <w:pPr>
              <w:spacing w:line="360" w:lineRule="auto"/>
              <w:ind w:firstLine="480"/>
              <w:jc w:val="left"/>
              <w:rPr>
                <w:color w:val="auto"/>
                <w:highlight w:val="none"/>
              </w:rPr>
            </w:pPr>
            <w:r>
              <w:rPr>
                <w:rFonts w:hint="eastAsia" w:ascii="宋体" w:hAnsi="宋体" w:eastAsia="宋体" w:cs="宋体"/>
                <w:color w:val="auto"/>
                <w:sz w:val="21"/>
                <w:szCs w:val="21"/>
                <w:highlight w:val="none"/>
                <w:lang w:val="en-US" w:eastAsia="zh-CN"/>
              </w:rPr>
              <w:t>4、投标人应进入交通运输部“全国公路建设市场监督管理系统（https://hwdms.mot.gov.cn/)”中的公路工程施工资质企业名录，且投标人名称和资质与该名录中的相应企业名称和资质完全一致。对于未列入“名录”或投标人名称、资质信息与“名录”查询结果不符的，将不能通过资格审查。</w:t>
            </w:r>
          </w:p>
        </w:tc>
      </w:tr>
    </w:tbl>
    <w:p>
      <w:pPr>
        <w:spacing w:before="61" w:line="198" w:lineRule="auto"/>
        <w:ind w:firstLine="432" w:firstLineChars="200"/>
        <w:rPr>
          <w:rFonts w:ascii="宋体" w:hAnsi="宋体" w:eastAsia="宋体" w:cs="宋体"/>
          <w:color w:val="auto"/>
          <w:sz w:val="24"/>
          <w:szCs w:val="24"/>
          <w:highlight w:val="none"/>
        </w:rPr>
      </w:pPr>
      <w:r>
        <w:rPr>
          <w:rFonts w:ascii="宋体" w:hAnsi="宋体" w:eastAsia="宋体" w:cs="宋体"/>
          <w:color w:val="auto"/>
          <w:spacing w:val="8"/>
          <w:sz w:val="20"/>
          <w:szCs w:val="20"/>
          <w:highlight w:val="none"/>
        </w:rPr>
        <w:t>注：投标人应根据投标文件第二章“投标人须知</w:t>
      </w:r>
      <w:r>
        <w:rPr>
          <w:rFonts w:ascii="宋体" w:hAnsi="宋体" w:eastAsia="宋体" w:cs="宋体"/>
          <w:color w:val="auto"/>
          <w:spacing w:val="-72"/>
          <w:sz w:val="20"/>
          <w:szCs w:val="20"/>
          <w:highlight w:val="none"/>
        </w:rPr>
        <w:t xml:space="preserve"> </w:t>
      </w:r>
      <w:r>
        <w:rPr>
          <w:rFonts w:ascii="宋体" w:hAnsi="宋体" w:eastAsia="宋体" w:cs="宋体"/>
          <w:color w:val="auto"/>
          <w:spacing w:val="7"/>
          <w:sz w:val="20"/>
          <w:szCs w:val="20"/>
          <w:highlight w:val="none"/>
        </w:rPr>
        <w:t>”第</w:t>
      </w:r>
      <w:r>
        <w:rPr>
          <w:rFonts w:ascii="宋体" w:hAnsi="宋体" w:eastAsia="宋体" w:cs="宋体"/>
          <w:color w:val="auto"/>
          <w:spacing w:val="-35"/>
          <w:sz w:val="20"/>
          <w:szCs w:val="20"/>
          <w:highlight w:val="none"/>
        </w:rPr>
        <w:t xml:space="preserve"> </w:t>
      </w:r>
      <w:r>
        <w:rPr>
          <w:rFonts w:ascii="宋体" w:hAnsi="宋体" w:eastAsia="宋体" w:cs="宋体"/>
          <w:color w:val="auto"/>
          <w:spacing w:val="7"/>
          <w:sz w:val="20"/>
          <w:szCs w:val="20"/>
          <w:highlight w:val="none"/>
        </w:rPr>
        <w:t>3.5.1</w:t>
      </w:r>
      <w:r>
        <w:rPr>
          <w:rFonts w:ascii="宋体" w:hAnsi="宋体" w:eastAsia="宋体" w:cs="宋体"/>
          <w:color w:val="auto"/>
          <w:spacing w:val="-35"/>
          <w:sz w:val="20"/>
          <w:szCs w:val="20"/>
          <w:highlight w:val="none"/>
        </w:rPr>
        <w:t xml:space="preserve"> </w:t>
      </w:r>
      <w:r>
        <w:rPr>
          <w:rFonts w:ascii="宋体" w:hAnsi="宋体" w:eastAsia="宋体" w:cs="宋体"/>
          <w:color w:val="auto"/>
          <w:spacing w:val="7"/>
          <w:sz w:val="20"/>
          <w:szCs w:val="20"/>
          <w:highlight w:val="none"/>
        </w:rPr>
        <w:t>项的要求附</w:t>
      </w:r>
      <w:r>
        <w:rPr>
          <w:rFonts w:ascii="宋体" w:hAnsi="宋体" w:eastAsia="宋体" w:cs="宋体"/>
          <w:color w:val="auto"/>
          <w:spacing w:val="8"/>
          <w:sz w:val="20"/>
          <w:szCs w:val="20"/>
          <w:highlight w:val="none"/>
        </w:rPr>
        <w:t>相关</w:t>
      </w:r>
      <w:r>
        <w:rPr>
          <w:rFonts w:ascii="宋体" w:hAnsi="宋体" w:eastAsia="宋体" w:cs="宋体"/>
          <w:color w:val="auto"/>
          <w:spacing w:val="7"/>
          <w:sz w:val="20"/>
          <w:szCs w:val="20"/>
          <w:highlight w:val="none"/>
        </w:rPr>
        <w:t>证明材料</w:t>
      </w:r>
      <w:r>
        <w:rPr>
          <w:rFonts w:ascii="宋体" w:hAnsi="宋体" w:eastAsia="宋体" w:cs="宋体"/>
          <w:color w:val="auto"/>
          <w:spacing w:val="7"/>
          <w:sz w:val="24"/>
          <w:szCs w:val="24"/>
          <w:highlight w:val="none"/>
        </w:rPr>
        <w:t>。</w:t>
      </w:r>
    </w:p>
    <w:p>
      <w:pPr>
        <w:pStyle w:val="9"/>
        <w:rPr>
          <w:color w:val="auto"/>
          <w:highlight w:val="none"/>
        </w:rPr>
        <w:sectPr>
          <w:pgSz w:w="11900" w:h="16839"/>
          <w:pgMar w:top="947" w:right="1416" w:bottom="1084" w:left="1417" w:header="707" w:footer="922" w:gutter="0"/>
          <w:pgNumType w:fmt="numberInDash"/>
          <w:cols w:space="720" w:num="1"/>
        </w:sectPr>
      </w:pPr>
    </w:p>
    <w:p>
      <w:pPr>
        <w:pStyle w:val="2"/>
        <w:rPr>
          <w:color w:val="auto"/>
          <w:highlight w:val="none"/>
        </w:rPr>
      </w:pPr>
    </w:p>
    <w:p>
      <w:pP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p>
    <w:p>
      <w:pPr>
        <w:jc w:val="center"/>
        <w:rPr>
          <w:rFonts w:ascii="宋体" w:hAnsi="宋体" w:eastAsia="宋体" w:cs="宋体"/>
          <w:color w:val="auto"/>
          <w:sz w:val="12"/>
          <w:szCs w:val="12"/>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附录</w:t>
      </w:r>
      <w:r>
        <w:rPr>
          <w:rFonts w:ascii="宋体" w:hAnsi="宋体" w:eastAsia="宋体" w:cs="宋体"/>
          <w:color w:val="auto"/>
          <w:spacing w:val="-46"/>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资格审查条件(财务最低要求)</w:t>
      </w:r>
    </w:p>
    <w:p>
      <w:pPr>
        <w:spacing w:before="117"/>
        <w:rPr>
          <w:color w:val="auto"/>
          <w:highlight w:val="none"/>
        </w:rPr>
      </w:pPr>
    </w:p>
    <w:p>
      <w:pPr>
        <w:spacing w:before="116"/>
        <w:rPr>
          <w:color w:val="auto"/>
          <w:highlight w:val="none"/>
        </w:rPr>
      </w:pPr>
    </w:p>
    <w:tbl>
      <w:tblPr>
        <w:tblStyle w:val="8"/>
        <w:tblW w:w="8957" w:type="dxa"/>
        <w:tblInd w:w="44"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957"/>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20" w:hRule="atLeast"/>
        </w:trPr>
        <w:tc>
          <w:tcPr>
            <w:tcW w:w="8957" w:type="dxa"/>
            <w:tcBorders>
              <w:bottom w:val="single" w:color="000000" w:sz="2" w:space="0"/>
            </w:tcBorders>
            <w:vAlign w:val="top"/>
          </w:tcPr>
          <w:p>
            <w:pPr>
              <w:pStyle w:val="7"/>
              <w:spacing w:before="243" w:line="219" w:lineRule="auto"/>
              <w:ind w:left="3816"/>
              <w:rPr>
                <w:color w:val="auto"/>
                <w:highlight w:val="none"/>
              </w:rPr>
            </w:pPr>
            <w:r>
              <w:rPr>
                <w:color w:val="auto"/>
                <w:spacing w:val="-8"/>
                <w:highlight w:val="none"/>
                <w14:textOutline w14:w="4358" w14:cap="sq" w14:cmpd="sng">
                  <w14:solidFill>
                    <w14:srgbClr w14:val="000000"/>
                  </w14:solidFill>
                  <w14:prstDash w14:val="solid"/>
                  <w14:bevel/>
                </w14:textOutline>
              </w:rPr>
              <w:t>财</w:t>
            </w:r>
            <w:r>
              <w:rPr>
                <w:color w:val="auto"/>
                <w:spacing w:val="11"/>
                <w:highlight w:val="none"/>
              </w:rPr>
              <w:t xml:space="preserve"> </w:t>
            </w:r>
            <w:r>
              <w:rPr>
                <w:color w:val="auto"/>
                <w:spacing w:val="-8"/>
                <w:highlight w:val="none"/>
                <w14:textOutline w14:w="4358" w14:cap="sq" w14:cmpd="sng">
                  <w14:solidFill>
                    <w14:srgbClr w14:val="000000"/>
                  </w14:solidFill>
                  <w14:prstDash w14:val="solid"/>
                  <w14:bevel/>
                </w14:textOutline>
              </w:rPr>
              <w:t>务</w:t>
            </w:r>
            <w:r>
              <w:rPr>
                <w:color w:val="auto"/>
                <w:spacing w:val="12"/>
                <w:highlight w:val="none"/>
              </w:rPr>
              <w:t xml:space="preserve"> </w:t>
            </w:r>
            <w:r>
              <w:rPr>
                <w:color w:val="auto"/>
                <w:spacing w:val="-8"/>
                <w:highlight w:val="none"/>
                <w14:textOutline w14:w="4358" w14:cap="sq" w14:cmpd="sng">
                  <w14:solidFill>
                    <w14:srgbClr w14:val="000000"/>
                  </w14:solidFill>
                  <w14:prstDash w14:val="solid"/>
                  <w14:bevel/>
                </w14:textOutline>
              </w:rPr>
              <w:t>要</w:t>
            </w:r>
            <w:r>
              <w:rPr>
                <w:color w:val="auto"/>
                <w:spacing w:val="13"/>
                <w:highlight w:val="none"/>
              </w:rPr>
              <w:t xml:space="preserve"> </w:t>
            </w:r>
            <w:r>
              <w:rPr>
                <w:color w:val="auto"/>
                <w:spacing w:val="-8"/>
                <w:highlight w:val="none"/>
                <w14:textOutline w14:w="4358" w14:cap="sq" w14:cmpd="sng">
                  <w14:solidFill>
                    <w14:srgbClr w14:val="000000"/>
                  </w14:solidFill>
                  <w14:prstDash w14:val="solid"/>
                  <w14:bevel/>
                </w14:textOutline>
              </w:rPr>
              <w:t>求</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065" w:hRule="atLeast"/>
        </w:trPr>
        <w:tc>
          <w:tcPr>
            <w:tcW w:w="8957" w:type="dxa"/>
            <w:tcBorders>
              <w:top w:val="single" w:color="000000" w:sz="2" w:space="0"/>
            </w:tcBorders>
            <w:vAlign w:val="top"/>
          </w:tcPr>
          <w:p>
            <w:pPr>
              <w:spacing w:line="320" w:lineRule="auto"/>
              <w:rPr>
                <w:rFonts w:ascii="Arial"/>
                <w:color w:val="auto"/>
                <w:sz w:val="21"/>
                <w:highlight w:val="none"/>
              </w:rPr>
            </w:pPr>
          </w:p>
          <w:p>
            <w:pPr>
              <w:pStyle w:val="7"/>
              <w:spacing w:before="78" w:line="360" w:lineRule="auto"/>
              <w:ind w:left="60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1、企业净资产（总资产-总负债）不少于</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lang w:val="en-US" w:eastAsia="zh-CN"/>
              </w:rPr>
              <w:t>1</w:t>
            </w:r>
            <w:r>
              <w:rPr>
                <w:rFonts w:hint="eastAsia" w:cs="宋体"/>
                <w:color w:val="auto"/>
                <w:spacing w:val="-2"/>
                <w:sz w:val="21"/>
                <w:szCs w:val="21"/>
                <w:highlight w:val="none"/>
                <w:u w:val="single" w:color="auto"/>
                <w:lang w:val="en-US" w:eastAsia="zh-CN"/>
              </w:rPr>
              <w:t>3</w:t>
            </w:r>
            <w:r>
              <w:rPr>
                <w:rFonts w:hint="eastAsia" w:ascii="宋体" w:hAnsi="宋体" w:eastAsia="宋体" w:cs="宋体"/>
                <w:color w:val="auto"/>
                <w:spacing w:val="-2"/>
                <w:sz w:val="21"/>
                <w:szCs w:val="21"/>
                <w:highlight w:val="none"/>
                <w:u w:val="single" w:color="auto"/>
                <w:lang w:val="en-US" w:eastAsia="zh-CN"/>
              </w:rPr>
              <w:t>00</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91"/>
                <w:sz w:val="21"/>
                <w:szCs w:val="21"/>
                <w:highlight w:val="none"/>
              </w:rPr>
              <w:t xml:space="preserve"> </w:t>
            </w:r>
            <w:r>
              <w:rPr>
                <w:rFonts w:hint="eastAsia" w:ascii="宋体" w:hAnsi="宋体" w:eastAsia="宋体" w:cs="宋体"/>
                <w:color w:val="auto"/>
                <w:spacing w:val="-2"/>
                <w:sz w:val="21"/>
                <w:szCs w:val="21"/>
                <w:highlight w:val="none"/>
              </w:rPr>
              <w:t>万元人民币。</w:t>
            </w:r>
          </w:p>
          <w:p>
            <w:pPr>
              <w:pStyle w:val="7"/>
              <w:spacing w:before="184" w:line="360" w:lineRule="auto"/>
              <w:ind w:left="128" w:right="95" w:firstLine="46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2、营运资金（流动资产－流动负债）不少于</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1</w:t>
            </w:r>
            <w:r>
              <w:rPr>
                <w:rFonts w:hint="eastAsia" w:cs="宋体"/>
                <w:color w:val="auto"/>
                <w:spacing w:val="-1"/>
                <w:sz w:val="21"/>
                <w:szCs w:val="21"/>
                <w:highlight w:val="none"/>
                <w:u w:val="single" w:color="auto"/>
                <w:lang w:val="en-US" w:eastAsia="zh-CN"/>
              </w:rPr>
              <w:t>0</w:t>
            </w:r>
            <w:r>
              <w:rPr>
                <w:rFonts w:hint="eastAsia" w:ascii="宋体" w:hAnsi="宋体" w:eastAsia="宋体" w:cs="宋体"/>
                <w:color w:val="auto"/>
                <w:spacing w:val="-1"/>
                <w:sz w:val="21"/>
                <w:szCs w:val="21"/>
                <w:highlight w:val="none"/>
                <w:u w:val="single" w:color="auto"/>
                <w:lang w:val="en-US" w:eastAsia="zh-CN"/>
              </w:rPr>
              <w:t>00</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pacing w:val="-2"/>
                <w:sz w:val="21"/>
                <w:szCs w:val="21"/>
                <w:highlight w:val="none"/>
              </w:rPr>
              <w:t>万元人民币。</w:t>
            </w:r>
            <w:r>
              <w:rPr>
                <w:rFonts w:hint="eastAsia" w:ascii="宋体" w:hAnsi="宋体" w:eastAsia="宋体" w:cs="宋体"/>
                <w:color w:val="auto"/>
                <w:spacing w:val="-2"/>
                <w:sz w:val="21"/>
                <w:szCs w:val="21"/>
                <w:highlight w:val="none"/>
                <w:u w:val="single" w:color="auto"/>
              </w:rPr>
              <w:t xml:space="preserve">或国内商业银行出具的信贷证明额度不少于 </w:t>
            </w:r>
            <w:r>
              <w:rPr>
                <w:rFonts w:hint="eastAsia" w:ascii="宋体" w:hAnsi="宋体" w:eastAsia="宋体" w:cs="宋体"/>
                <w:color w:val="auto"/>
                <w:spacing w:val="-2"/>
                <w:sz w:val="21"/>
                <w:szCs w:val="21"/>
                <w:highlight w:val="none"/>
                <w:u w:val="single" w:color="auto"/>
                <w:lang w:val="en-US" w:eastAsia="zh-CN"/>
              </w:rPr>
              <w:t>1</w:t>
            </w:r>
            <w:r>
              <w:rPr>
                <w:rFonts w:hint="eastAsia" w:cs="宋体"/>
                <w:color w:val="auto"/>
                <w:spacing w:val="-2"/>
                <w:sz w:val="21"/>
                <w:szCs w:val="21"/>
                <w:highlight w:val="none"/>
                <w:u w:val="single" w:color="auto"/>
                <w:lang w:val="en-US" w:eastAsia="zh-CN"/>
              </w:rPr>
              <w:t>0</w:t>
            </w:r>
            <w:r>
              <w:rPr>
                <w:rFonts w:hint="eastAsia" w:ascii="宋体" w:hAnsi="宋体" w:eastAsia="宋体" w:cs="宋体"/>
                <w:color w:val="auto"/>
                <w:spacing w:val="-2"/>
                <w:sz w:val="21"/>
                <w:szCs w:val="21"/>
                <w:highlight w:val="none"/>
                <w:u w:val="single" w:color="auto"/>
                <w:lang w:val="en-US" w:eastAsia="zh-CN"/>
              </w:rPr>
              <w:t>00</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"bookmark59"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pacing w:val="-2"/>
                <w:sz w:val="21"/>
                <w:szCs w:val="21"/>
                <w:highlight w:val="none"/>
                <w:u w:val="single" w:color="auto"/>
              </w:rPr>
              <w:t>万元人民币</w:t>
            </w:r>
            <w:r>
              <w:rPr>
                <w:rFonts w:hint="eastAsia" w:ascii="宋体" w:hAnsi="宋体" w:eastAsia="宋体" w:cs="宋体"/>
                <w:color w:val="auto"/>
                <w:spacing w:val="-2"/>
                <w:sz w:val="21"/>
                <w:szCs w:val="21"/>
                <w:highlight w:val="none"/>
                <w:u w:val="single" w:color="auto"/>
              </w:rPr>
              <w:fldChar w:fldCharType="end"/>
            </w:r>
            <w:r>
              <w:rPr>
                <w:rFonts w:hint="eastAsia" w:ascii="宋体" w:hAnsi="宋体" w:eastAsia="宋体" w:cs="宋体"/>
                <w:color w:val="auto"/>
                <w:spacing w:val="-11"/>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w:t>
            </w:r>
          </w:p>
          <w:p>
            <w:pPr>
              <w:pStyle w:val="7"/>
              <w:spacing w:line="360" w:lineRule="auto"/>
              <w:ind w:left="59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3、近三个年度的年平均营业总收入不少于</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1</w:t>
            </w:r>
            <w:r>
              <w:rPr>
                <w:rFonts w:hint="eastAsia" w:cs="宋体"/>
                <w:color w:val="auto"/>
                <w:spacing w:val="-1"/>
                <w:sz w:val="21"/>
                <w:szCs w:val="21"/>
                <w:highlight w:val="none"/>
                <w:u w:val="single" w:color="auto"/>
                <w:lang w:val="en-US" w:eastAsia="zh-CN"/>
              </w:rPr>
              <w:t>0</w:t>
            </w:r>
            <w:r>
              <w:rPr>
                <w:rFonts w:hint="eastAsia" w:ascii="宋体" w:hAnsi="宋体" w:eastAsia="宋体" w:cs="宋体"/>
                <w:color w:val="auto"/>
                <w:spacing w:val="-1"/>
                <w:sz w:val="21"/>
                <w:szCs w:val="21"/>
                <w:highlight w:val="none"/>
                <w:u w:val="single" w:color="auto"/>
                <w:lang w:val="en-US" w:eastAsia="zh-CN"/>
              </w:rPr>
              <w:t>00</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05"/>
                <w:sz w:val="21"/>
                <w:szCs w:val="21"/>
                <w:highlight w:val="none"/>
              </w:rPr>
              <w:t xml:space="preserve"> </w:t>
            </w:r>
            <w:r>
              <w:rPr>
                <w:rFonts w:hint="eastAsia" w:ascii="宋体" w:hAnsi="宋体" w:eastAsia="宋体" w:cs="宋体"/>
                <w:color w:val="auto"/>
                <w:spacing w:val="-1"/>
                <w:sz w:val="21"/>
                <w:szCs w:val="21"/>
                <w:highlight w:val="none"/>
              </w:rPr>
              <w:t>万元人民币。</w:t>
            </w:r>
          </w:p>
          <w:p>
            <w:pPr>
              <w:pStyle w:val="7"/>
              <w:spacing w:line="360" w:lineRule="auto"/>
              <w:ind w:left="586"/>
              <w:rPr>
                <w:color w:val="auto"/>
                <w:highlight w:val="none"/>
              </w:rPr>
            </w:pPr>
            <w:r>
              <w:rPr>
                <w:rFonts w:hint="eastAsia" w:ascii="宋体" w:hAnsi="宋体" w:eastAsia="宋体" w:cs="宋体"/>
                <w:color w:val="auto"/>
                <w:spacing w:val="-2"/>
                <w:sz w:val="21"/>
                <w:szCs w:val="21"/>
                <w:highlight w:val="none"/>
              </w:rPr>
              <w:t>4、近三个年度至少有</w:t>
            </w:r>
            <w:r>
              <w:rPr>
                <w:rFonts w:hint="eastAsia" w:ascii="宋体" w:hAnsi="宋体" w:eastAsia="宋体" w:cs="宋体"/>
                <w:color w:val="auto"/>
                <w:spacing w:val="-112"/>
                <w:sz w:val="21"/>
                <w:szCs w:val="21"/>
                <w:highlight w:val="none"/>
              </w:rPr>
              <w:t xml:space="preserve"> </w:t>
            </w:r>
            <w:r>
              <w:rPr>
                <w:rFonts w:hint="eastAsia" w:ascii="宋体" w:hAnsi="宋体" w:eastAsia="宋体" w:cs="宋体"/>
                <w:color w:val="auto"/>
                <w:spacing w:val="20"/>
                <w:sz w:val="21"/>
                <w:szCs w:val="21"/>
                <w:highlight w:val="none"/>
                <w:u w:val="single" w:color="auto"/>
              </w:rPr>
              <w:t xml:space="preserve"> </w:t>
            </w:r>
            <w:r>
              <w:rPr>
                <w:rFonts w:hint="eastAsia" w:cs="宋体"/>
                <w:color w:val="auto"/>
                <w:spacing w:val="20"/>
                <w:sz w:val="21"/>
                <w:szCs w:val="21"/>
                <w:highlight w:val="none"/>
                <w:u w:val="single" w:color="auto"/>
                <w:lang w:val="en-US" w:eastAsia="zh-CN"/>
              </w:rPr>
              <w:t xml:space="preserve">2 </w:t>
            </w:r>
            <w:r>
              <w:rPr>
                <w:rFonts w:hint="eastAsia" w:ascii="宋体" w:hAnsi="宋体" w:eastAsia="宋体" w:cs="宋体"/>
                <w:color w:val="auto"/>
                <w:spacing w:val="20"/>
                <w:sz w:val="21"/>
                <w:szCs w:val="21"/>
                <w:highlight w:val="none"/>
                <w:u w:val="single" w:color="auto"/>
              </w:rPr>
              <w:t xml:space="preserve"> </w:t>
            </w:r>
            <w:r>
              <w:rPr>
                <w:rFonts w:hint="eastAsia" w:ascii="宋体" w:hAnsi="宋体" w:eastAsia="宋体" w:cs="宋体"/>
                <w:color w:val="auto"/>
                <w:spacing w:val="-110"/>
                <w:sz w:val="21"/>
                <w:szCs w:val="21"/>
                <w:highlight w:val="none"/>
              </w:rPr>
              <w:t xml:space="preserve"> </w:t>
            </w:r>
            <w:r>
              <w:rPr>
                <w:rFonts w:hint="eastAsia" w:ascii="宋体" w:hAnsi="宋体" w:eastAsia="宋体" w:cs="宋体"/>
                <w:color w:val="auto"/>
                <w:spacing w:val="-2"/>
                <w:sz w:val="21"/>
                <w:szCs w:val="21"/>
                <w:highlight w:val="none"/>
              </w:rPr>
              <w:t>年盈利。</w:t>
            </w:r>
          </w:p>
        </w:tc>
      </w:tr>
    </w:tbl>
    <w:p>
      <w:pPr>
        <w:spacing w:before="154" w:line="221" w:lineRule="auto"/>
        <w:ind w:left="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注：1、企业净资产、营运资金是按交通运输部“</w:t>
      </w:r>
      <w:r>
        <w:rPr>
          <w:rFonts w:hint="eastAsia" w:ascii="宋体" w:hAnsi="宋体" w:eastAsia="宋体" w:cs="宋体"/>
          <w:color w:val="auto"/>
          <w:spacing w:val="7"/>
          <w:sz w:val="20"/>
          <w:szCs w:val="20"/>
          <w:highlight w:val="none"/>
        </w:rPr>
        <w:t>全国公路建设市场监督管理系统（https://hwdms.mot.gov.cn）</w:t>
      </w:r>
      <w:r>
        <w:rPr>
          <w:rFonts w:ascii="宋体" w:hAnsi="宋体" w:eastAsia="宋体" w:cs="宋体"/>
          <w:color w:val="auto"/>
          <w:spacing w:val="7"/>
          <w:sz w:val="20"/>
          <w:szCs w:val="20"/>
          <w:highlight w:val="none"/>
        </w:rPr>
        <w:t>”登记的最新</w:t>
      </w:r>
      <w:r>
        <w:rPr>
          <w:rFonts w:ascii="宋体" w:hAnsi="宋体" w:eastAsia="宋体" w:cs="宋体"/>
          <w:color w:val="auto"/>
          <w:spacing w:val="8"/>
          <w:sz w:val="20"/>
          <w:szCs w:val="20"/>
          <w:highlight w:val="none"/>
        </w:rPr>
        <w:t>年度（近三个年度的最后一年，下同）数据计算</w:t>
      </w:r>
      <w:r>
        <w:rPr>
          <w:rFonts w:ascii="宋体" w:hAnsi="宋体" w:eastAsia="宋体" w:cs="宋体"/>
          <w:color w:val="auto"/>
          <w:spacing w:val="7"/>
          <w:sz w:val="20"/>
          <w:szCs w:val="20"/>
          <w:highlight w:val="none"/>
        </w:rPr>
        <w:t>得出。近三个年度是指</w:t>
      </w:r>
      <w:r>
        <w:rPr>
          <w:rFonts w:hint="eastAsia" w:ascii="宋体" w:hAnsi="宋体" w:eastAsia="宋体" w:cs="宋体"/>
          <w:color w:val="auto"/>
          <w:spacing w:val="7"/>
          <w:sz w:val="20"/>
          <w:szCs w:val="20"/>
          <w:highlight w:val="none"/>
          <w:u w:val="single" w:color="auto"/>
          <w:lang w:val="en-US" w:eastAsia="zh-CN"/>
        </w:rPr>
        <w:t>2021、2022、2023</w:t>
      </w:r>
      <w:r>
        <w:rPr>
          <w:rFonts w:ascii="宋体" w:hAnsi="宋体" w:eastAsia="宋体" w:cs="宋体"/>
          <w:color w:val="auto"/>
          <w:spacing w:val="7"/>
          <w:sz w:val="20"/>
          <w:szCs w:val="20"/>
          <w:highlight w:val="none"/>
        </w:rPr>
        <w:t>。</w:t>
      </w:r>
    </w:p>
    <w:p>
      <w:pPr>
        <w:ind w:left="7" w:right="13" w:firstLine="41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2、以联合体形式投标的，财务最低要求中的第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8"/>
          <w:sz w:val="20"/>
          <w:szCs w:val="20"/>
          <w:highlight w:val="none"/>
        </w:rPr>
        <w:t>1、2、3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项其财务能力以所有成员（含牵头</w:t>
      </w:r>
      <w:r>
        <w:rPr>
          <w:rFonts w:hint="eastAsia" w:ascii="宋体" w:hAnsi="宋体" w:eastAsia="宋体" w:cs="宋体"/>
          <w:color w:val="auto"/>
          <w:spacing w:val="7"/>
          <w:sz w:val="20"/>
          <w:szCs w:val="20"/>
          <w:highlight w:val="none"/>
        </w:rPr>
        <w:t>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合并加总计算为准，第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7"/>
          <w:sz w:val="20"/>
          <w:szCs w:val="20"/>
          <w:highlight w:val="none"/>
        </w:rPr>
        <w:t>4</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项联合体各方均需满足。</w:t>
      </w:r>
    </w:p>
    <w:p>
      <w:pPr>
        <w:spacing w:before="24" w:line="227" w:lineRule="auto"/>
        <w:ind w:left="43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3、投标人应根据招标文件第二章“投标人须知</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7"/>
          <w:sz w:val="20"/>
          <w:szCs w:val="20"/>
          <w:highlight w:val="none"/>
        </w:rPr>
        <w:t>”第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3.5.2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项的要求附相关证明材料。</w:t>
      </w:r>
    </w:p>
    <w:p>
      <w:pPr>
        <w:spacing w:before="24" w:line="227" w:lineRule="auto"/>
        <w:ind w:left="431"/>
        <w:rPr>
          <w:rFonts w:ascii="宋体" w:hAnsi="宋体" w:eastAsia="宋体" w:cs="宋体"/>
          <w:color w:val="auto"/>
          <w:sz w:val="20"/>
          <w:szCs w:val="20"/>
          <w:highlight w:val="none"/>
        </w:rPr>
      </w:pPr>
    </w:p>
    <w:p>
      <w:pPr>
        <w:rPr>
          <w:color w:val="auto"/>
          <w:highlight w:val="none"/>
          <w:lang w:val="en-US" w:eastAsia="en-US"/>
        </w:rPr>
      </w:pPr>
      <w:r>
        <w:rPr>
          <w:color w:val="auto"/>
          <w:highlight w:val="none"/>
          <w:lang w:val="en-US" w:eastAsia="en-US"/>
        </w:rPr>
        <w:br w:type="page"/>
      </w:r>
    </w:p>
    <w:p>
      <w:pPr>
        <w:spacing w:before="91" w:line="219" w:lineRule="auto"/>
        <w:ind w:left="2314"/>
        <w:rPr>
          <w:rFonts w:ascii="宋体" w:hAnsi="宋体" w:eastAsia="宋体" w:cs="宋体"/>
          <w:color w:val="auto"/>
          <w:sz w:val="12"/>
          <w:szCs w:val="12"/>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附录</w:t>
      </w:r>
      <w:r>
        <w:rPr>
          <w:rFonts w:ascii="宋体" w:hAnsi="宋体" w:eastAsia="宋体" w:cs="宋体"/>
          <w:color w:val="auto"/>
          <w:spacing w:val="-44"/>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资格审查条件(业绩最低要求)</w:t>
      </w:r>
    </w:p>
    <w:p>
      <w:pPr>
        <w:spacing w:line="170" w:lineRule="exact"/>
        <w:rPr>
          <w:color w:val="auto"/>
          <w:highlight w:val="none"/>
        </w:rPr>
      </w:pPr>
    </w:p>
    <w:tbl>
      <w:tblPr>
        <w:tblStyle w:val="8"/>
        <w:tblW w:w="904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04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75" w:hRule="atLeast"/>
        </w:trPr>
        <w:tc>
          <w:tcPr>
            <w:tcW w:w="9042" w:type="dxa"/>
            <w:tcBorders>
              <w:bottom w:val="single" w:color="000000" w:sz="2" w:space="0"/>
            </w:tcBorders>
            <w:vAlign w:val="top"/>
          </w:tcPr>
          <w:p>
            <w:pPr>
              <w:pStyle w:val="7"/>
              <w:spacing w:before="39" w:line="220" w:lineRule="auto"/>
              <w:ind w:left="4035"/>
              <w:rPr>
                <w:color w:val="auto"/>
                <w:highlight w:val="none"/>
              </w:rPr>
            </w:pPr>
            <w:r>
              <w:rPr>
                <w:color w:val="auto"/>
                <w:spacing w:val="-2"/>
                <w:highlight w:val="none"/>
                <w14:textOutline w14:w="4358" w14:cap="sq" w14:cmpd="sng">
                  <w14:solidFill>
                    <w14:srgbClr w14:val="000000"/>
                  </w14:solidFill>
                  <w14:prstDash w14:val="solid"/>
                  <w14:bevel/>
                </w14:textOutline>
              </w:rPr>
              <w:t>业绩要求</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370" w:hRule="atLeast"/>
        </w:trPr>
        <w:tc>
          <w:tcPr>
            <w:tcW w:w="9042" w:type="dxa"/>
            <w:tcBorders>
              <w:top w:val="single" w:color="000000" w:sz="2" w:space="0"/>
            </w:tcBorders>
            <w:vAlign w:val="center"/>
          </w:tcPr>
          <w:p>
            <w:pPr>
              <w:keepNext w:val="0"/>
              <w:keepLines w:val="0"/>
              <w:widowControl/>
              <w:suppressLineNumbers w:val="0"/>
              <w:spacing w:line="480" w:lineRule="auto"/>
              <w:ind w:firstLine="630" w:firstLineChars="300"/>
              <w:jc w:val="left"/>
              <w:rPr>
                <w:rFonts w:hint="eastAsia" w:ascii="宋体" w:hAnsi="宋体" w:eastAsia="宋体" w:cs="宋体"/>
                <w:snapToGrid w:val="0"/>
                <w:color w:val="auto"/>
                <w:kern w:val="0"/>
                <w:sz w:val="21"/>
                <w:szCs w:val="21"/>
                <w:highlight w:val="none"/>
                <w:u w:val="none"/>
                <w:lang w:val="en-US" w:eastAsia="zh-CN" w:bidi="ar"/>
              </w:rPr>
            </w:pPr>
            <w:r>
              <w:rPr>
                <w:rFonts w:hint="eastAsia" w:ascii="宋体" w:hAnsi="宋体" w:eastAsia="宋体" w:cs="宋体"/>
                <w:snapToGrid w:val="0"/>
                <w:color w:val="auto"/>
                <w:kern w:val="0"/>
                <w:sz w:val="21"/>
                <w:szCs w:val="21"/>
                <w:highlight w:val="none"/>
                <w:u w:val="none"/>
                <w:lang w:val="en-US" w:eastAsia="zh-CN" w:bidi="ar"/>
              </w:rPr>
              <w:t>近五年内(2020年 1 月 1 日至递交投标文件截止日止)成功完成：</w:t>
            </w:r>
          </w:p>
          <w:p>
            <w:pPr>
              <w:pStyle w:val="7"/>
              <w:spacing w:before="1" w:line="480" w:lineRule="auto"/>
              <w:ind w:left="107" w:firstLine="630" w:firstLineChars="300"/>
              <w:jc w:val="left"/>
              <w:rPr>
                <w:color w:val="auto"/>
                <w:highlight w:val="none"/>
              </w:rPr>
            </w:pPr>
            <w:r>
              <w:rPr>
                <w:rFonts w:hint="eastAsia" w:ascii="宋体" w:hAnsi="宋体" w:eastAsia="宋体" w:cs="宋体"/>
                <w:snapToGrid w:val="0"/>
                <w:color w:val="auto"/>
                <w:kern w:val="0"/>
                <w:sz w:val="21"/>
                <w:szCs w:val="21"/>
                <w:highlight w:val="none"/>
                <w:u w:val="none"/>
                <w:lang w:val="en-US" w:eastAsia="zh-CN" w:bidi="ar"/>
              </w:rPr>
              <w:t>类似工程路基桥涵工程至少</w:t>
            </w:r>
            <w:r>
              <w:rPr>
                <w:rFonts w:hint="eastAsia" w:ascii="宋体" w:hAnsi="宋体" w:eastAsia="宋体" w:cs="宋体"/>
                <w:snapToGrid w:val="0"/>
                <w:color w:val="auto"/>
                <w:kern w:val="0"/>
                <w:sz w:val="21"/>
                <w:szCs w:val="21"/>
                <w:highlight w:val="none"/>
                <w:u w:val="single"/>
                <w:lang w:val="en-US" w:eastAsia="zh-CN" w:bidi="ar"/>
              </w:rPr>
              <w:t xml:space="preserve"> 1</w:t>
            </w:r>
            <w:r>
              <w:rPr>
                <w:rFonts w:hint="eastAsia" w:ascii="宋体" w:hAnsi="宋体" w:eastAsia="宋体" w:cs="宋体"/>
                <w:snapToGrid w:val="0"/>
                <w:color w:val="auto"/>
                <w:kern w:val="0"/>
                <w:sz w:val="21"/>
                <w:szCs w:val="21"/>
                <w:highlight w:val="none"/>
                <w:u w:val="none"/>
                <w:lang w:val="en-US" w:eastAsia="zh-CN" w:bidi="ar"/>
              </w:rPr>
              <w:t>个标段，且累计里程不少于</w:t>
            </w:r>
            <w:r>
              <w:rPr>
                <w:rFonts w:hint="eastAsia" w:cs="宋体"/>
                <w:snapToGrid w:val="0"/>
                <w:color w:val="auto"/>
                <w:kern w:val="0"/>
                <w:sz w:val="21"/>
                <w:szCs w:val="21"/>
                <w:highlight w:val="none"/>
                <w:u w:val="single"/>
                <w:lang w:val="en-US" w:eastAsia="zh-CN" w:bidi="ar"/>
              </w:rPr>
              <w:t xml:space="preserve"> 0.1 </w:t>
            </w:r>
            <w:r>
              <w:rPr>
                <w:rFonts w:hint="eastAsia" w:ascii="宋体" w:hAnsi="宋体" w:eastAsia="宋体" w:cs="宋体"/>
                <w:snapToGrid w:val="0"/>
                <w:color w:val="auto"/>
                <w:kern w:val="0"/>
                <w:sz w:val="21"/>
                <w:szCs w:val="21"/>
                <w:highlight w:val="none"/>
                <w:u w:val="none"/>
                <w:lang w:val="en-US" w:eastAsia="zh-CN" w:bidi="ar"/>
              </w:rPr>
              <w:t>km。</w:t>
            </w:r>
          </w:p>
        </w:tc>
      </w:tr>
    </w:tbl>
    <w:p>
      <w:pPr>
        <w:spacing w:before="303" w:line="223" w:lineRule="auto"/>
        <w:ind w:left="12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注：1、本附录所要求的业绩仅限中华人民共和国境内业绩。</w:t>
      </w:r>
    </w:p>
    <w:p>
      <w:pPr>
        <w:spacing w:before="12" w:line="266" w:lineRule="exact"/>
        <w:ind w:left="552"/>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rPr>
        <w:t>2、若为联合体投标，投标人业绩的资格审查条件和加分条件（如有）的认定原则如下</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9"/>
          <w:sz w:val="20"/>
          <w:szCs w:val="20"/>
          <w:highlight w:val="none"/>
          <w:u w:val="single"/>
          <w:lang w:val="en-US" w:eastAsia="zh-CN"/>
        </w:rPr>
        <w:t xml:space="preserve"> /</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9"/>
          <w:sz w:val="20"/>
          <w:szCs w:val="20"/>
          <w:highlight w:val="none"/>
          <w:lang w:eastAsia="zh-CN"/>
        </w:rPr>
        <w:t>。</w:t>
      </w:r>
    </w:p>
    <w:p>
      <w:pPr>
        <w:spacing w:before="73" w:line="244" w:lineRule="auto"/>
        <w:ind w:left="132" w:right="2" w:firstLine="421"/>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3、若投标人提供的业绩证明为联合体业绩，则按交通运输部“全国公路建设市场监督管理系统（https://hwdms.mot.gov.cn）”</w:t>
      </w:r>
      <w:r>
        <w:rPr>
          <w:rFonts w:hint="eastAsia" w:ascii="宋体" w:hAnsi="宋体" w:eastAsia="宋体" w:cs="宋体"/>
          <w:color w:val="auto"/>
          <w:spacing w:val="9"/>
          <w:sz w:val="20"/>
          <w:szCs w:val="20"/>
          <w:highlight w:val="none"/>
        </w:rPr>
        <w:t>业绩信息的网页截图体现其完成的相关专项工程的工程量认定，无法界定其完成的相关专项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工程的工程量，此业绩不予认定。</w:t>
      </w:r>
    </w:p>
    <w:p>
      <w:pPr>
        <w:spacing w:before="23" w:line="227" w:lineRule="auto"/>
        <w:ind w:left="548"/>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4、投标人应根据招标文件第二章“投标人</w:t>
      </w:r>
      <w:r>
        <w:rPr>
          <w:rFonts w:hint="eastAsia" w:ascii="宋体" w:hAnsi="宋体" w:eastAsia="宋体" w:cs="宋体"/>
          <w:color w:val="auto"/>
          <w:spacing w:val="7"/>
          <w:sz w:val="20"/>
          <w:szCs w:val="20"/>
          <w:highlight w:val="none"/>
        </w:rPr>
        <w:t>须知</w:t>
      </w:r>
      <w:r>
        <w:rPr>
          <w:rFonts w:hint="eastAsia" w:ascii="宋体" w:hAnsi="宋体" w:eastAsia="宋体" w:cs="宋体"/>
          <w:color w:val="auto"/>
          <w:spacing w:val="-72"/>
          <w:sz w:val="20"/>
          <w:szCs w:val="20"/>
          <w:highlight w:val="none"/>
        </w:rPr>
        <w:t xml:space="preserve"> </w:t>
      </w:r>
      <w:r>
        <w:rPr>
          <w:rFonts w:hint="eastAsia" w:ascii="宋体" w:hAnsi="宋体" w:eastAsia="宋体" w:cs="宋体"/>
          <w:color w:val="auto"/>
          <w:spacing w:val="7"/>
          <w:sz w:val="20"/>
          <w:szCs w:val="20"/>
          <w:highlight w:val="none"/>
        </w:rPr>
        <w:t>”第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3.5.3</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项的要求附相关证明材料。</w:t>
      </w:r>
    </w:p>
    <w:p>
      <w:pPr>
        <w:spacing w:before="25" w:line="228" w:lineRule="auto"/>
        <w:ind w:left="553"/>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5、近五年是指：</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2020</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91"/>
          <w:sz w:val="20"/>
          <w:szCs w:val="20"/>
          <w:highlight w:val="none"/>
        </w:rPr>
        <w:t xml:space="preserve"> </w:t>
      </w:r>
      <w:r>
        <w:rPr>
          <w:rFonts w:hint="eastAsia" w:ascii="宋体" w:hAnsi="宋体" w:eastAsia="宋体" w:cs="宋体"/>
          <w:color w:val="auto"/>
          <w:spacing w:val="6"/>
          <w:sz w:val="20"/>
          <w:szCs w:val="20"/>
          <w:highlight w:val="none"/>
        </w:rPr>
        <w:t>年</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val="en-US" w:eastAsia="zh-CN"/>
        </w:rPr>
        <w:t>1</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87"/>
          <w:sz w:val="20"/>
          <w:szCs w:val="20"/>
          <w:highlight w:val="none"/>
        </w:rPr>
        <w:t xml:space="preserve"> </w:t>
      </w:r>
      <w:r>
        <w:rPr>
          <w:rFonts w:hint="eastAsia" w:ascii="宋体" w:hAnsi="宋体" w:eastAsia="宋体" w:cs="宋体"/>
          <w:color w:val="auto"/>
          <w:spacing w:val="6"/>
          <w:sz w:val="20"/>
          <w:szCs w:val="20"/>
          <w:highlight w:val="none"/>
        </w:rPr>
        <w:t>月</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 xml:space="preserve"> 1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6"/>
          <w:sz w:val="20"/>
          <w:szCs w:val="20"/>
          <w:highlight w:val="none"/>
        </w:rPr>
        <w:t>日至投标</w:t>
      </w:r>
      <w:r>
        <w:rPr>
          <w:rFonts w:hint="eastAsia" w:ascii="宋体" w:hAnsi="宋体" w:eastAsia="宋体" w:cs="宋体"/>
          <w:color w:val="auto"/>
          <w:spacing w:val="5"/>
          <w:sz w:val="20"/>
          <w:szCs w:val="20"/>
          <w:highlight w:val="none"/>
        </w:rPr>
        <w:t>文件递交截止之日止。</w:t>
      </w:r>
    </w:p>
    <w:p>
      <w:pPr>
        <w:spacing w:before="27"/>
        <w:ind w:left="131" w:right="38" w:firstLine="420"/>
        <w:rPr>
          <w:rFonts w:hint="eastAsia" w:ascii="宋体" w:hAnsi="宋体" w:eastAsia="宋体" w:cs="宋体"/>
          <w:color w:val="auto"/>
          <w:sz w:val="20"/>
          <w:szCs w:val="20"/>
          <w:highlight w:val="none"/>
          <w:u w:val="none" w:color="auto"/>
        </w:rPr>
      </w:pPr>
      <w:r>
        <w:rPr>
          <w:rFonts w:hint="eastAsia" w:ascii="宋体" w:hAnsi="宋体" w:eastAsia="宋体" w:cs="宋体"/>
          <w:color w:val="auto"/>
          <w:spacing w:val="9"/>
          <w:sz w:val="20"/>
          <w:szCs w:val="20"/>
          <w:highlight w:val="none"/>
        </w:rPr>
        <w:t>6、类似工程是指：指</w:t>
      </w:r>
      <w:r>
        <w:rPr>
          <w:rFonts w:hint="eastAsia" w:ascii="宋体" w:hAnsi="宋体" w:eastAsia="宋体" w:cs="宋体"/>
          <w:color w:val="auto"/>
          <w:spacing w:val="9"/>
          <w:sz w:val="20"/>
          <w:szCs w:val="20"/>
          <w:highlight w:val="none"/>
          <w:u w:val="single" w:color="auto"/>
        </w:rPr>
        <w:t>新建或改、扩建</w:t>
      </w:r>
      <w:r>
        <w:rPr>
          <w:rFonts w:hint="eastAsia" w:ascii="宋体" w:hAnsi="宋体" w:eastAsia="宋体" w:cs="宋体"/>
          <w:color w:val="auto"/>
          <w:spacing w:val="7"/>
          <w:sz w:val="20"/>
          <w:szCs w:val="20"/>
          <w:highlight w:val="none"/>
          <w:u w:val="single" w:color="auto"/>
          <w:lang w:val="en-US" w:eastAsia="zh-CN"/>
        </w:rPr>
        <w:t>四级或以上</w:t>
      </w:r>
      <w:r>
        <w:rPr>
          <w:rFonts w:hint="eastAsia" w:ascii="宋体" w:hAnsi="宋体" w:eastAsia="宋体" w:cs="宋体"/>
          <w:color w:val="auto"/>
          <w:spacing w:val="7"/>
          <w:sz w:val="20"/>
          <w:szCs w:val="20"/>
          <w:highlight w:val="none"/>
          <w:u w:val="single" w:color="auto"/>
        </w:rPr>
        <w:t>(公路技术等级)</w:t>
      </w:r>
      <w:r>
        <w:rPr>
          <w:rFonts w:hint="eastAsia" w:ascii="宋体" w:hAnsi="宋体" w:eastAsia="宋体" w:cs="宋体"/>
          <w:color w:val="auto"/>
          <w:spacing w:val="8"/>
          <w:sz w:val="20"/>
          <w:szCs w:val="20"/>
          <w:highlight w:val="none"/>
          <w:u w:val="single" w:color="auto"/>
        </w:rPr>
        <w:t>公路</w:t>
      </w:r>
      <w:r>
        <w:rPr>
          <w:rFonts w:hint="eastAsia" w:ascii="宋体" w:hAnsi="宋体" w:eastAsia="宋体" w:cs="宋体"/>
          <w:color w:val="auto"/>
          <w:spacing w:val="8"/>
          <w:sz w:val="20"/>
          <w:szCs w:val="20"/>
          <w:highlight w:val="none"/>
        </w:rPr>
        <w:t>施工项目</w:t>
      </w:r>
      <w:r>
        <w:rPr>
          <w:rFonts w:hint="eastAsia" w:ascii="宋体" w:hAnsi="宋体" w:eastAsia="宋体" w:cs="宋体"/>
          <w:color w:val="auto"/>
          <w:spacing w:val="8"/>
          <w:sz w:val="20"/>
          <w:szCs w:val="20"/>
          <w:highlight w:val="none"/>
          <w:u w:val="none" w:color="auto"/>
        </w:rPr>
        <w:t>。在采用新建公</w:t>
      </w:r>
      <w:r>
        <w:rPr>
          <w:rFonts w:hint="eastAsia" w:ascii="宋体" w:hAnsi="宋体" w:eastAsia="宋体" w:cs="宋体"/>
          <w:color w:val="auto"/>
          <w:spacing w:val="10"/>
          <w:sz w:val="20"/>
          <w:szCs w:val="20"/>
          <w:highlight w:val="none"/>
          <w:u w:val="none" w:color="auto"/>
        </w:rPr>
        <w:t>路项目完工业绩时，对于同公路等级改、扩建中的新建桥梁或隧道工程业绩也应认可。</w:t>
      </w:r>
    </w:p>
    <w:p>
      <w:pPr>
        <w:rPr>
          <w:color w:val="auto"/>
          <w:highlight w:val="none"/>
          <w:lang w:val="en-US" w:eastAsia="en-US"/>
        </w:rPr>
      </w:pPr>
      <w:r>
        <w:rPr>
          <w:color w:val="auto"/>
          <w:highlight w:val="none"/>
          <w:lang w:val="en-US" w:eastAsia="en-US"/>
        </w:rPr>
        <w:br w:type="page"/>
      </w:r>
    </w:p>
    <w:p>
      <w:pPr>
        <w:spacing w:before="91" w:line="219" w:lineRule="auto"/>
        <w:ind w:left="2122"/>
        <w:rPr>
          <w:rFonts w:ascii="宋体" w:hAnsi="宋体" w:eastAsia="宋体" w:cs="宋体"/>
          <w:color w:val="auto"/>
          <w:sz w:val="12"/>
          <w:szCs w:val="12"/>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附录</w:t>
      </w:r>
      <w:r>
        <w:rPr>
          <w:rFonts w:ascii="宋体" w:hAnsi="宋体" w:eastAsia="宋体" w:cs="宋体"/>
          <w:color w:val="auto"/>
          <w:spacing w:val="-46"/>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4</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资格审查条件(信誉最低要求)</w:t>
      </w:r>
    </w:p>
    <w:p>
      <w:pPr>
        <w:spacing w:before="117"/>
        <w:rPr>
          <w:color w:val="auto"/>
          <w:highlight w:val="none"/>
        </w:rPr>
      </w:pPr>
    </w:p>
    <w:p>
      <w:pPr>
        <w:spacing w:before="116"/>
        <w:rPr>
          <w:color w:val="auto"/>
          <w:highlight w:val="none"/>
        </w:rPr>
      </w:pPr>
    </w:p>
    <w:tbl>
      <w:tblPr>
        <w:tblStyle w:val="8"/>
        <w:tblW w:w="8944" w:type="dxa"/>
        <w:tblInd w:w="6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944"/>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03" w:hRule="atLeast"/>
        </w:trPr>
        <w:tc>
          <w:tcPr>
            <w:tcW w:w="8944" w:type="dxa"/>
            <w:tcBorders>
              <w:bottom w:val="single" w:color="000000" w:sz="2" w:space="0"/>
            </w:tcBorders>
            <w:vAlign w:val="top"/>
          </w:tcPr>
          <w:p>
            <w:pPr>
              <w:pStyle w:val="7"/>
              <w:spacing w:before="156" w:line="219" w:lineRule="auto"/>
              <w:ind w:left="3809"/>
              <w:rPr>
                <w:color w:val="auto"/>
                <w:highlight w:val="none"/>
              </w:rPr>
            </w:pPr>
            <w:r>
              <w:rPr>
                <w:color w:val="auto"/>
                <w:spacing w:val="-8"/>
                <w:highlight w:val="none"/>
                <w14:textOutline w14:w="4358" w14:cap="sq" w14:cmpd="sng">
                  <w14:solidFill>
                    <w14:srgbClr w14:val="000000"/>
                  </w14:solidFill>
                  <w14:prstDash w14:val="solid"/>
                  <w14:bevel/>
                </w14:textOutline>
              </w:rPr>
              <w:t>信</w:t>
            </w:r>
            <w:r>
              <w:rPr>
                <w:color w:val="auto"/>
                <w:spacing w:val="11"/>
                <w:highlight w:val="none"/>
              </w:rPr>
              <w:t xml:space="preserve"> </w:t>
            </w:r>
            <w:r>
              <w:rPr>
                <w:color w:val="auto"/>
                <w:spacing w:val="-8"/>
                <w:highlight w:val="none"/>
                <w14:textOutline w14:w="4358" w14:cap="sq" w14:cmpd="sng">
                  <w14:solidFill>
                    <w14:srgbClr w14:val="000000"/>
                  </w14:solidFill>
                  <w14:prstDash w14:val="solid"/>
                  <w14:bevel/>
                </w14:textOutline>
              </w:rPr>
              <w:t>誉</w:t>
            </w:r>
            <w:r>
              <w:rPr>
                <w:color w:val="auto"/>
                <w:spacing w:val="13"/>
                <w:highlight w:val="none"/>
              </w:rPr>
              <w:t xml:space="preserve"> </w:t>
            </w:r>
            <w:r>
              <w:rPr>
                <w:color w:val="auto"/>
                <w:spacing w:val="-8"/>
                <w:highlight w:val="none"/>
                <w14:textOutline w14:w="4358" w14:cap="sq" w14:cmpd="sng">
                  <w14:solidFill>
                    <w14:srgbClr w14:val="000000"/>
                  </w14:solidFill>
                  <w14:prstDash w14:val="solid"/>
                  <w14:bevel/>
                </w14:textOutline>
              </w:rPr>
              <w:t>要</w:t>
            </w:r>
            <w:r>
              <w:rPr>
                <w:color w:val="auto"/>
                <w:spacing w:val="11"/>
                <w:highlight w:val="none"/>
              </w:rPr>
              <w:t xml:space="preserve"> </w:t>
            </w:r>
            <w:r>
              <w:rPr>
                <w:color w:val="auto"/>
                <w:spacing w:val="-8"/>
                <w:highlight w:val="none"/>
                <w14:textOutline w14:w="4358" w14:cap="sq" w14:cmpd="sng">
                  <w14:solidFill>
                    <w14:srgbClr w14:val="000000"/>
                  </w14:solidFill>
                  <w14:prstDash w14:val="solid"/>
                  <w14:bevel/>
                </w14:textOutline>
              </w:rPr>
              <w:t>求</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916" w:hRule="atLeast"/>
        </w:trPr>
        <w:tc>
          <w:tcPr>
            <w:tcW w:w="8944" w:type="dxa"/>
            <w:tcBorders>
              <w:top w:val="single" w:color="000000" w:sz="2" w:space="0"/>
            </w:tcBorders>
            <w:vAlign w:val="top"/>
          </w:tcPr>
          <w:p>
            <w:pPr>
              <w:spacing w:line="479" w:lineRule="auto"/>
              <w:rPr>
                <w:rFonts w:ascii="Arial"/>
                <w:color w:val="auto"/>
                <w:sz w:val="21"/>
                <w:highlight w:val="none"/>
              </w:rPr>
            </w:pPr>
          </w:p>
          <w:p>
            <w:pPr>
              <w:pStyle w:val="7"/>
              <w:spacing w:before="184" w:line="466" w:lineRule="exact"/>
              <w:ind w:firstLine="420" w:firstLineChars="200"/>
              <w:rPr>
                <w:color w:val="auto"/>
                <w:position w:val="17"/>
                <w:sz w:val="21"/>
                <w:szCs w:val="21"/>
                <w:highlight w:val="none"/>
              </w:rPr>
            </w:pPr>
            <w:r>
              <w:rPr>
                <w:color w:val="auto"/>
                <w:position w:val="17"/>
                <w:sz w:val="21"/>
                <w:szCs w:val="21"/>
                <w:highlight w:val="none"/>
              </w:rPr>
              <w:t>在最新年度广东省公路工程从业单位（施工单位）信用评价（含无最新年度而上一年度有信用评价）中，信用等级未被评为D级；</w:t>
            </w:r>
          </w:p>
          <w:p>
            <w:pPr>
              <w:pStyle w:val="7"/>
              <w:spacing w:before="184" w:line="466" w:lineRule="exact"/>
              <w:ind w:firstLine="420" w:firstLineChars="200"/>
              <w:rPr>
                <w:color w:val="auto"/>
                <w:highlight w:val="none"/>
              </w:rPr>
            </w:pPr>
            <w:r>
              <w:rPr>
                <w:color w:val="auto"/>
                <w:position w:val="17"/>
                <w:sz w:val="21"/>
                <w:szCs w:val="21"/>
                <w:highlight w:val="none"/>
              </w:rPr>
              <w:t>初次进入广东省的投标人，在最新年度的全国公路从业单位（施工单位）信用评价结果中未被评为D级。</w:t>
            </w:r>
          </w:p>
        </w:tc>
      </w:tr>
    </w:tbl>
    <w:p>
      <w:pPr>
        <w:spacing w:line="256" w:lineRule="auto"/>
        <w:rPr>
          <w:rFonts w:ascii="Arial"/>
          <w:color w:val="auto"/>
          <w:sz w:val="21"/>
          <w:highlight w:val="none"/>
        </w:rPr>
      </w:pPr>
    </w:p>
    <w:p>
      <w:pPr>
        <w:spacing w:before="65" w:line="227" w:lineRule="auto"/>
        <w:ind w:left="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注：1、信用等级的确定原则遵遁投标人须知前附表10.2款的规定。</w:t>
      </w:r>
    </w:p>
    <w:p>
      <w:pPr>
        <w:spacing w:before="27" w:line="227" w:lineRule="auto"/>
        <w:ind w:left="42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2、投标人应根据第九章“投标文件格式”中“八、资格审查资料</w:t>
      </w:r>
      <w:r>
        <w:rPr>
          <w:rFonts w:ascii="宋体" w:hAnsi="宋体" w:eastAsia="宋体" w:cs="宋体"/>
          <w:color w:val="auto"/>
          <w:spacing w:val="8"/>
          <w:sz w:val="20"/>
          <w:szCs w:val="20"/>
          <w:highlight w:val="none"/>
        </w:rPr>
        <w:t>（五）投标人的信誉情况</w:t>
      </w:r>
    </w:p>
    <w:p>
      <w:pPr>
        <w:spacing w:before="24" w:line="228" w:lineRule="auto"/>
        <w:ind w:left="6"/>
        <w:rPr>
          <w:rFonts w:ascii="宋体" w:hAnsi="宋体" w:eastAsia="宋体" w:cs="宋体"/>
          <w:color w:val="auto"/>
          <w:spacing w:val="4"/>
          <w:sz w:val="20"/>
          <w:szCs w:val="20"/>
          <w:highlight w:val="none"/>
        </w:rPr>
      </w:pPr>
      <w:r>
        <w:rPr>
          <w:rFonts w:ascii="宋体" w:hAnsi="宋体" w:eastAsia="宋体" w:cs="宋体"/>
          <w:color w:val="auto"/>
          <w:spacing w:val="4"/>
          <w:sz w:val="20"/>
          <w:szCs w:val="20"/>
          <w:highlight w:val="none"/>
        </w:rPr>
        <w:t>表”填写情况说明。</w:t>
      </w:r>
    </w:p>
    <w:p>
      <w:pPr>
        <w:rPr>
          <w:rFonts w:ascii="宋体" w:hAnsi="宋体" w:eastAsia="宋体" w:cs="宋体"/>
          <w:color w:val="auto"/>
          <w:spacing w:val="4"/>
          <w:sz w:val="20"/>
          <w:szCs w:val="20"/>
          <w:highlight w:val="none"/>
        </w:rPr>
      </w:pPr>
      <w:r>
        <w:rPr>
          <w:rFonts w:ascii="宋体" w:hAnsi="宋体" w:eastAsia="宋体" w:cs="宋体"/>
          <w:color w:val="auto"/>
          <w:spacing w:val="4"/>
          <w:sz w:val="20"/>
          <w:szCs w:val="20"/>
          <w:highlight w:val="none"/>
        </w:rPr>
        <w:br w:type="page"/>
      </w:r>
    </w:p>
    <w:p>
      <w:pPr>
        <w:spacing w:before="91" w:line="219" w:lineRule="auto"/>
        <w:ind w:left="1138"/>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pPr>
    </w:p>
    <w:p>
      <w:pPr>
        <w:spacing w:before="91" w:line="219" w:lineRule="auto"/>
        <w:ind w:left="1138"/>
        <w:rPr>
          <w:rFonts w:ascii="宋体" w:hAnsi="宋体" w:eastAsia="宋体" w:cs="宋体"/>
          <w:color w:val="auto"/>
          <w:sz w:val="12"/>
          <w:szCs w:val="12"/>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附录</w:t>
      </w:r>
      <w:r>
        <w:rPr>
          <w:rFonts w:ascii="宋体" w:hAnsi="宋体" w:eastAsia="宋体" w:cs="宋体"/>
          <w:color w:val="auto"/>
          <w:spacing w:val="-45"/>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5</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资格审查条件(项目经理和项目总工最低要求)</w:t>
      </w:r>
    </w:p>
    <w:p>
      <w:pPr>
        <w:spacing w:line="295" w:lineRule="auto"/>
        <w:rPr>
          <w:rFonts w:ascii="Arial"/>
          <w:color w:val="auto"/>
          <w:sz w:val="21"/>
          <w:highlight w:val="none"/>
        </w:rPr>
      </w:pPr>
    </w:p>
    <w:p>
      <w:pPr>
        <w:spacing w:line="296" w:lineRule="auto"/>
        <w:rPr>
          <w:rFonts w:ascii="Arial"/>
          <w:color w:val="auto"/>
          <w:sz w:val="21"/>
          <w:highlight w:val="none"/>
        </w:rPr>
      </w:pPr>
    </w:p>
    <w:p>
      <w:pPr>
        <w:spacing w:line="146" w:lineRule="exact"/>
        <w:rPr>
          <w:color w:val="auto"/>
          <w:highlight w:val="none"/>
        </w:rPr>
      </w:pPr>
    </w:p>
    <w:tbl>
      <w:tblPr>
        <w:tblStyle w:val="8"/>
        <w:tblW w:w="9187" w:type="dxa"/>
        <w:tblInd w:w="59"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2252"/>
        <w:gridCol w:w="1070"/>
        <w:gridCol w:w="3355"/>
        <w:gridCol w:w="2510"/>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2252" w:type="dxa"/>
            <w:tcBorders>
              <w:tl2br w:val="nil"/>
              <w:tr2bl w:val="nil"/>
            </w:tcBorders>
            <w:vAlign w:val="top"/>
          </w:tcPr>
          <w:p>
            <w:pPr>
              <w:pStyle w:val="7"/>
              <w:spacing w:before="145" w:line="221" w:lineRule="auto"/>
              <w:ind w:left="76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人</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6"/>
                <w:sz w:val="21"/>
                <w:szCs w:val="21"/>
                <w:highlight w:val="none"/>
              </w:rPr>
              <w:t>员</w:t>
            </w:r>
          </w:p>
        </w:tc>
        <w:tc>
          <w:tcPr>
            <w:tcW w:w="1070" w:type="dxa"/>
            <w:tcBorders>
              <w:tl2br w:val="nil"/>
              <w:tr2bl w:val="nil"/>
            </w:tcBorders>
            <w:vAlign w:val="top"/>
          </w:tcPr>
          <w:p>
            <w:pPr>
              <w:pStyle w:val="7"/>
              <w:spacing w:before="146" w:line="219" w:lineRule="auto"/>
              <w:ind w:left="18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数量</w:t>
            </w:r>
          </w:p>
        </w:tc>
        <w:tc>
          <w:tcPr>
            <w:tcW w:w="3355" w:type="dxa"/>
            <w:tcBorders>
              <w:tl2br w:val="nil"/>
              <w:tr2bl w:val="nil"/>
            </w:tcBorders>
            <w:vAlign w:val="top"/>
          </w:tcPr>
          <w:p>
            <w:pPr>
              <w:pStyle w:val="7"/>
              <w:spacing w:before="146" w:line="219" w:lineRule="auto"/>
              <w:ind w:left="755"/>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资</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10"/>
                <w:sz w:val="21"/>
                <w:szCs w:val="21"/>
                <w:highlight w:val="none"/>
              </w:rPr>
              <w:t>格</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10"/>
                <w:sz w:val="21"/>
                <w:szCs w:val="21"/>
                <w:highlight w:val="none"/>
              </w:rPr>
              <w:t>要</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10"/>
                <w:sz w:val="21"/>
                <w:szCs w:val="21"/>
                <w:highlight w:val="none"/>
              </w:rPr>
              <w:t>求</w:t>
            </w:r>
          </w:p>
        </w:tc>
        <w:tc>
          <w:tcPr>
            <w:tcW w:w="2510" w:type="dxa"/>
            <w:tcBorders>
              <w:tl2br w:val="nil"/>
              <w:tr2bl w:val="nil"/>
            </w:tcBorders>
            <w:vAlign w:val="top"/>
          </w:tcPr>
          <w:p>
            <w:pPr>
              <w:pStyle w:val="7"/>
              <w:spacing w:before="146" w:line="220" w:lineRule="auto"/>
              <w:ind w:left="752"/>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在</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14"/>
                <w:sz w:val="21"/>
                <w:szCs w:val="21"/>
                <w:highlight w:val="none"/>
              </w:rPr>
              <w:t>岗</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14"/>
                <w:sz w:val="21"/>
                <w:szCs w:val="21"/>
                <w:highlight w:val="none"/>
              </w:rPr>
              <w:t>要</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14"/>
                <w:sz w:val="21"/>
                <w:szCs w:val="21"/>
                <w:highlight w:val="none"/>
              </w:rPr>
              <w:t>求</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996" w:hRule="atLeast"/>
        </w:trPr>
        <w:tc>
          <w:tcPr>
            <w:tcW w:w="2252" w:type="dxa"/>
            <w:tcBorders>
              <w:tl2br w:val="nil"/>
              <w:tr2bl w:val="nil"/>
            </w:tcBorders>
            <w:vAlign w:val="center"/>
          </w:tcPr>
          <w:p>
            <w:pPr>
              <w:pStyle w:val="7"/>
              <w:spacing w:before="145" w:line="22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项目经理</w:t>
            </w:r>
          </w:p>
        </w:tc>
        <w:tc>
          <w:tcPr>
            <w:tcW w:w="1070" w:type="dxa"/>
            <w:tcBorders>
              <w:tl2br w:val="nil"/>
              <w:tr2bl w:val="nil"/>
            </w:tcBorders>
            <w:vAlign w:val="center"/>
          </w:tcPr>
          <w:p>
            <w:pPr>
              <w:pStyle w:val="7"/>
              <w:spacing w:before="78" w:line="184"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355" w:type="dxa"/>
            <w:tcBorders>
              <w:tl2br w:val="nil"/>
              <w:tr2bl w:val="nil"/>
            </w:tcBorders>
            <w:vAlign w:val="center"/>
          </w:tcPr>
          <w:p>
            <w:pPr>
              <w:pStyle w:val="7"/>
              <w:spacing w:before="36" w:line="344" w:lineRule="auto"/>
              <w:ind w:left="113" w:right="100" w:firstLine="2"/>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工程师或以上职称，担任类似工程项目经理(或项目副经理或项目总工)岗位累计</w:t>
            </w:r>
            <w:r>
              <w:rPr>
                <w:rFonts w:hint="eastAsia"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个月，并持有住房和城乡建设部颁发的公路工程专业二级（或以上）建造师注册证书，具有交通主管部门颁发的有效安全生产“三类人员”B 类证书。</w:t>
            </w:r>
          </w:p>
        </w:tc>
        <w:tc>
          <w:tcPr>
            <w:tcW w:w="2510" w:type="dxa"/>
            <w:vMerge w:val="restart"/>
            <w:tcBorders>
              <w:tl2br w:val="nil"/>
              <w:tr2bl w:val="nil"/>
            </w:tcBorders>
            <w:vAlign w:val="center"/>
          </w:tcPr>
          <w:p>
            <w:pPr>
              <w:spacing w:line="254" w:lineRule="auto"/>
              <w:jc w:val="center"/>
              <w:rPr>
                <w:rFonts w:hint="eastAsia" w:ascii="宋体" w:hAnsi="宋体" w:eastAsia="宋体" w:cs="宋体"/>
                <w:color w:val="auto"/>
                <w:sz w:val="21"/>
                <w:szCs w:val="21"/>
                <w:highlight w:val="none"/>
              </w:rPr>
            </w:pPr>
          </w:p>
          <w:p>
            <w:pPr>
              <w:pStyle w:val="7"/>
              <w:spacing w:before="78" w:line="354" w:lineRule="auto"/>
              <w:ind w:left="118" w:right="97" w:firstLine="2"/>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无在岗项目（指目前未在</w:t>
            </w:r>
            <w:r>
              <w:rPr>
                <w:rFonts w:hint="eastAsia" w:ascii="宋体" w:hAnsi="宋体" w:eastAsia="宋体" w:cs="宋体"/>
                <w:color w:val="auto"/>
                <w:spacing w:val="-6"/>
                <w:sz w:val="21"/>
                <w:szCs w:val="21"/>
                <w:highlight w:val="none"/>
              </w:rPr>
              <w:t>其他项目上任职，或虽在</w:t>
            </w:r>
            <w:r>
              <w:rPr>
                <w:rFonts w:hint="eastAsia" w:ascii="宋体" w:hAnsi="宋体" w:eastAsia="宋体" w:cs="宋体"/>
                <w:color w:val="auto"/>
                <w:spacing w:val="-1"/>
                <w:sz w:val="21"/>
                <w:szCs w:val="21"/>
                <w:highlight w:val="none"/>
              </w:rPr>
              <w:t>其他项目上任职但本项目中标后能够从该项目</w:t>
            </w:r>
            <w:r>
              <w:rPr>
                <w:rFonts w:hint="eastAsia" w:ascii="宋体" w:hAnsi="宋体" w:eastAsia="宋体" w:cs="宋体"/>
                <w:color w:val="auto"/>
                <w:spacing w:val="-3"/>
                <w:sz w:val="21"/>
                <w:szCs w:val="21"/>
                <w:highlight w:val="none"/>
              </w:rPr>
              <w:t>撤离）</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2252" w:type="dxa"/>
            <w:tcBorders>
              <w:tl2br w:val="nil"/>
              <w:tr2bl w:val="nil"/>
            </w:tcBorders>
            <w:vAlign w:val="center"/>
          </w:tcPr>
          <w:p>
            <w:pPr>
              <w:pStyle w:val="7"/>
              <w:spacing w:before="78" w:line="220" w:lineRule="auto"/>
              <w:ind w:left="283"/>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项目总工</w:t>
            </w:r>
          </w:p>
        </w:tc>
        <w:tc>
          <w:tcPr>
            <w:tcW w:w="1070" w:type="dxa"/>
            <w:tcBorders>
              <w:tl2br w:val="nil"/>
              <w:tr2bl w:val="nil"/>
            </w:tcBorders>
            <w:vAlign w:val="center"/>
          </w:tcPr>
          <w:p>
            <w:pPr>
              <w:pStyle w:val="7"/>
              <w:spacing w:before="78" w:line="184"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3355" w:type="dxa"/>
            <w:tcBorders>
              <w:tl2br w:val="nil"/>
              <w:tr2bl w:val="nil"/>
            </w:tcBorders>
            <w:vAlign w:val="center"/>
          </w:tcPr>
          <w:p>
            <w:pPr>
              <w:pStyle w:val="7"/>
              <w:spacing w:before="50" w:line="354" w:lineRule="auto"/>
              <w:ind w:left="112" w:right="10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路桥相关专业中级或以上工程师，具有交通主管部门颁发的有效安全生产“三类人员”B类证书。</w:t>
            </w:r>
          </w:p>
        </w:tc>
        <w:tc>
          <w:tcPr>
            <w:tcW w:w="2510" w:type="dxa"/>
            <w:vMerge w:val="continue"/>
            <w:tcBorders>
              <w:tl2br w:val="nil"/>
              <w:tr2bl w:val="nil"/>
            </w:tcBorders>
            <w:vAlign w:val="center"/>
          </w:tcPr>
          <w:p>
            <w:pPr>
              <w:jc w:val="center"/>
              <w:rPr>
                <w:rFonts w:hint="eastAsia" w:ascii="宋体" w:hAnsi="宋体" w:eastAsia="宋体" w:cs="宋体"/>
                <w:color w:val="auto"/>
                <w:sz w:val="21"/>
                <w:szCs w:val="21"/>
                <w:highlight w:val="none"/>
              </w:rPr>
            </w:pPr>
          </w:p>
        </w:tc>
      </w:tr>
    </w:tbl>
    <w:p>
      <w:pPr>
        <w:spacing w:before="304" w:line="226" w:lineRule="auto"/>
        <w:ind w:left="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注：1、J类参照上述形式设置，并满足《广东省公路房建工程建设管理指南》人员管理的要求。</w:t>
      </w:r>
    </w:p>
    <w:p>
      <w:pPr>
        <w:spacing w:before="27"/>
        <w:ind w:left="13" w:right="89" w:firstLine="41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2、资格要求的人员建造师注册证书、安全生产“三类人员”B类证书均应在投标人所在单位，</w:t>
      </w:r>
      <w:r>
        <w:rPr>
          <w:rFonts w:ascii="宋体" w:hAnsi="宋体" w:eastAsia="宋体" w:cs="宋体"/>
          <w:color w:val="auto"/>
          <w:spacing w:val="6"/>
          <w:sz w:val="20"/>
          <w:szCs w:val="20"/>
          <w:highlight w:val="none"/>
        </w:rPr>
        <w:t>否则视为无效。</w:t>
      </w:r>
    </w:p>
    <w:p>
      <w:pPr>
        <w:spacing w:before="22" w:line="244" w:lineRule="auto"/>
        <w:ind w:left="9" w:firstLine="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3、主管技术工作指：担任过项目经理、项目副经理、总工程师、质检部门负责人、工程部门负责人。担任类似工程项目经理（或项目副经理或项目总工）岗位经验累</w:t>
      </w:r>
      <w:r>
        <w:rPr>
          <w:rFonts w:ascii="宋体" w:hAnsi="宋体" w:eastAsia="宋体" w:cs="宋体"/>
          <w:color w:val="auto"/>
          <w:spacing w:val="8"/>
          <w:sz w:val="20"/>
          <w:szCs w:val="20"/>
          <w:highlight w:val="none"/>
        </w:rPr>
        <w:t>计时间、主管类似工程技术</w:t>
      </w:r>
      <w:r>
        <w:rPr>
          <w:rFonts w:ascii="宋体" w:hAnsi="宋体" w:eastAsia="宋体" w:cs="宋体"/>
          <w:color w:val="auto"/>
          <w:spacing w:val="6"/>
          <w:sz w:val="20"/>
          <w:szCs w:val="20"/>
          <w:highlight w:val="none"/>
        </w:rPr>
        <w:t>工作岗位经验累计时间统计至月，计算时尾数如不少于15天的按1个月计，不足15天部分不计。</w:t>
      </w:r>
    </w:p>
    <w:p>
      <w:pPr>
        <w:spacing w:before="24" w:line="227" w:lineRule="auto"/>
        <w:ind w:left="4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4、投标人应根据招标文件第二章“投标人</w:t>
      </w:r>
      <w:r>
        <w:rPr>
          <w:rFonts w:ascii="宋体" w:hAnsi="宋体" w:eastAsia="宋体" w:cs="宋体"/>
          <w:color w:val="auto"/>
          <w:spacing w:val="7"/>
          <w:sz w:val="20"/>
          <w:szCs w:val="20"/>
          <w:highlight w:val="none"/>
        </w:rPr>
        <w:t>须知”第3.5.5项的要求附相关证明材料。</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Mzc4MTVkNDRlOGNhYzUwZTY3MjdhNDRhNzZlYjMifQ=="/>
    <w:docVar w:name="KSO_WPS_MARK_KEY" w:val="d075be4c-4f01-49b0-926d-bbb96f7b62f1"/>
  </w:docVars>
  <w:rsids>
    <w:rsidRoot w:val="16A53036"/>
    <w:rsid w:val="16A5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黑体" w:hAnsi="黑体" w:eastAsia="黑体" w:cs="黑体"/>
      <w:sz w:val="52"/>
      <w:szCs w:val="52"/>
      <w:lang w:val="en-US" w:eastAsia="en-US" w:bidi="ar-SA"/>
    </w:r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next w:val="1"/>
    <w:qFormat/>
    <w:uiPriority w:val="0"/>
    <w:pPr>
      <w:tabs>
        <w:tab w:val="center" w:pos="4153"/>
        <w:tab w:val="right" w:pos="8306"/>
      </w:tabs>
      <w:snapToGrid w:val="0"/>
      <w:jc w:val="left"/>
    </w:pPr>
    <w:rPr>
      <w:sz w:val="18"/>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Default"/>
    <w:next w:val="1"/>
    <w:qFormat/>
    <w:uiPriority w:val="0"/>
    <w:pPr>
      <w:widowControl w:val="0"/>
      <w:autoSpaceDE w:val="0"/>
      <w:autoSpaceDN w:val="0"/>
      <w:adjustRightInd w:val="0"/>
    </w:pPr>
    <w:rPr>
      <w:rFonts w:ascii="Arial" w:hAnsi="Arial"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1684</Words>
  <Characters>1807</Characters>
  <Lines>0</Lines>
  <Paragraphs>0</Paragraphs>
  <TotalTime>1</TotalTime>
  <ScaleCrop>false</ScaleCrop>
  <LinksUpToDate>false</LinksUpToDate>
  <CharactersWithSpaces>1895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2025-01-22T07:19:00Z</dcterms:created>
  <dc:creator>A</dc:creator>
  <cp:lastModifiedBy>A</cp:lastModifiedBy>
  <dcterms:modified xsi:type="dcterms:W3CDTF">2025-01-22T07:21:59Z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6F6FC25962534074967C0202814F7B6A_11</vt:lpwstr>
  </property>
</Properties>
</file>