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449" w:right="109"/>
        <w:rPr>
          <w:spacing w:val="81"/>
          <w:highlight w:val="none"/>
        </w:rPr>
      </w:pPr>
    </w:p>
    <w:p>
      <w:pPr>
        <w:pStyle w:val="2"/>
        <w:ind w:left="449" w:right="109"/>
        <w:rPr>
          <w:spacing w:val="81"/>
          <w:highlight w:val="none"/>
        </w:rPr>
      </w:pPr>
    </w:p>
    <w:p>
      <w:pPr>
        <w:pStyle w:val="2"/>
        <w:ind w:left="449" w:right="109"/>
        <w:rPr>
          <w:spacing w:val="81"/>
          <w:highlight w:val="none"/>
        </w:rPr>
      </w:pPr>
    </w:p>
    <w:p/>
    <w:p>
      <w:pPr>
        <w:pStyle w:val="2"/>
        <w:ind w:left="449" w:right="109"/>
        <w:rPr>
          <w:spacing w:val="81"/>
          <w:highlight w:val="none"/>
        </w:rPr>
      </w:pPr>
    </w:p>
    <w:p>
      <w:pPr>
        <w:pStyle w:val="2"/>
        <w:ind w:left="449" w:right="109"/>
        <w:rPr>
          <w:spacing w:val="81"/>
          <w:highlight w:val="none"/>
        </w:rPr>
      </w:pPr>
    </w:p>
    <w:p>
      <w:pPr>
        <w:pStyle w:val="2"/>
        <w:ind w:left="449" w:right="109"/>
        <w:rPr>
          <w:highlight w:val="none"/>
        </w:rPr>
      </w:pPr>
      <w:r>
        <w:rPr>
          <w:spacing w:val="81"/>
          <w:highlight w:val="none"/>
        </w:rPr>
        <w:t>第三</w:t>
      </w:r>
      <w:r>
        <w:rPr>
          <w:spacing w:val="69"/>
          <w:highlight w:val="none"/>
        </w:rPr>
        <w:t>章 评</w:t>
      </w:r>
      <w:r>
        <w:rPr>
          <w:spacing w:val="81"/>
          <w:highlight w:val="none"/>
        </w:rPr>
        <w:t>标办</w:t>
      </w:r>
      <w:r>
        <w:rPr>
          <w:spacing w:val="-10"/>
          <w:highlight w:val="none"/>
        </w:rPr>
        <w:t>法</w:t>
      </w:r>
    </w:p>
    <w:p>
      <w:pPr>
        <w:spacing w:after="0"/>
        <w:jc w:val="center"/>
        <w:rPr>
          <w:rFonts w:hint="eastAsia" w:eastAsiaTheme="minorEastAsia"/>
          <w:b/>
          <w:bCs/>
          <w:sz w:val="36"/>
          <w:szCs w:val="36"/>
          <w:highlight w:val="none"/>
          <w:lang w:eastAsia="zh-CN"/>
        </w:rPr>
        <w:sectPr>
          <w:footerReference r:id="rId3" w:type="default"/>
          <w:pgSz w:w="11900" w:h="16840"/>
          <w:pgMar w:top="1320" w:right="820" w:bottom="1120" w:left="1000" w:header="708" w:footer="921" w:gutter="0"/>
          <w:pgBorders>
            <w:top w:val="none" w:sz="0" w:space="0"/>
            <w:left w:val="none" w:sz="0" w:space="0"/>
            <w:bottom w:val="none" w:sz="0" w:space="0"/>
            <w:right w:val="none" w:sz="0" w:space="0"/>
          </w:pgBorders>
          <w:pgNumType w:fmt="numberInDash"/>
          <w:cols w:space="720" w:num="1"/>
        </w:sectPr>
      </w:pPr>
      <w:r>
        <w:rPr>
          <w:rFonts w:hint="eastAsia"/>
          <w:b/>
          <w:bCs/>
          <w:sz w:val="36"/>
          <w:szCs w:val="36"/>
          <w:highlight w:val="none"/>
          <w:lang w:eastAsia="zh-CN"/>
        </w:rPr>
        <w:t>（</w:t>
      </w:r>
      <w:r>
        <w:rPr>
          <w:rFonts w:hint="eastAsia"/>
          <w:b/>
          <w:bCs/>
          <w:sz w:val="36"/>
          <w:szCs w:val="36"/>
          <w:highlight w:val="none"/>
          <w:lang w:val="en-US" w:eastAsia="zh-CN"/>
        </w:rPr>
        <w:t>双信封的合理低价法</w:t>
      </w:r>
      <w:r>
        <w:rPr>
          <w:rFonts w:hint="eastAsia"/>
          <w:b/>
          <w:bCs/>
          <w:sz w:val="36"/>
          <w:szCs w:val="36"/>
          <w:highlight w:val="none"/>
          <w:lang w:eastAsia="zh-CN"/>
        </w:rPr>
        <w:t>）</w:t>
      </w:r>
    </w:p>
    <w:p>
      <w:pPr>
        <w:pStyle w:val="3"/>
        <w:spacing w:before="121"/>
        <w:ind w:left="771" w:right="0"/>
        <w:jc w:val="left"/>
        <w:rPr>
          <w:rFonts w:hint="eastAsia" w:ascii="宋体" w:hAnsi="宋体" w:eastAsia="宋体"/>
          <w:b w:val="0"/>
          <w:sz w:val="16"/>
          <w:highlight w:val="none"/>
        </w:rPr>
      </w:pPr>
      <w:r>
        <w:rPr>
          <w:spacing w:val="81"/>
          <w:highlight w:val="none"/>
        </w:rPr>
        <w:t>第三</w:t>
      </w:r>
      <w:r>
        <w:rPr>
          <w:spacing w:val="57"/>
          <w:highlight w:val="none"/>
        </w:rPr>
        <w:t>章 评</w:t>
      </w:r>
      <w:r>
        <w:rPr>
          <w:spacing w:val="81"/>
          <w:highlight w:val="none"/>
        </w:rPr>
        <w:t>标办法</w:t>
      </w:r>
      <w:r>
        <w:rPr>
          <w:highlight w:val="none"/>
        </w:rPr>
        <w:t>（</w:t>
      </w:r>
      <w:r>
        <w:rPr>
          <w:spacing w:val="19"/>
          <w:highlight w:val="none"/>
        </w:rPr>
        <w:t>双信</w:t>
      </w:r>
      <w:r>
        <w:rPr>
          <w:spacing w:val="81"/>
          <w:highlight w:val="none"/>
        </w:rPr>
        <w:t>封的合理低价法</w:t>
      </w:r>
      <w:r>
        <w:rPr>
          <w:highlight w:val="none"/>
        </w:rPr>
        <w:t>）</w:t>
      </w:r>
      <w:r>
        <w:rPr>
          <w:spacing w:val="-100"/>
          <w:highlight w:val="none"/>
        </w:rPr>
        <w:t xml:space="preserve"> </w:t>
      </w:r>
      <w:r>
        <w:rPr>
          <w:highlight w:val="none"/>
        </w:rPr>
        <w:fldChar w:fldCharType="begin"/>
      </w:r>
      <w:r>
        <w:rPr>
          <w:highlight w:val="none"/>
        </w:rPr>
        <w:instrText xml:space="preserve"> HYPERLINK \l "_bookmark154" </w:instrText>
      </w:r>
      <w:r>
        <w:rPr>
          <w:highlight w:val="none"/>
        </w:rPr>
        <w:fldChar w:fldCharType="separate"/>
      </w:r>
      <w:r>
        <w:rPr>
          <w:rFonts w:hint="eastAsia" w:ascii="宋体" w:hAnsi="宋体" w:eastAsia="宋体"/>
          <w:b w:val="0"/>
          <w:spacing w:val="-10"/>
          <w:position w:val="16"/>
          <w:sz w:val="16"/>
          <w:highlight w:val="none"/>
        </w:rPr>
        <w:t>①</w:t>
      </w:r>
      <w:r>
        <w:rPr>
          <w:rFonts w:hint="eastAsia" w:ascii="宋体" w:hAnsi="宋体" w:eastAsia="宋体"/>
          <w:b w:val="0"/>
          <w:spacing w:val="-10"/>
          <w:position w:val="16"/>
          <w:sz w:val="16"/>
          <w:highlight w:val="none"/>
        </w:rPr>
        <w:fldChar w:fldCharType="end"/>
      </w:r>
    </w:p>
    <w:p>
      <w:pPr>
        <w:pStyle w:val="4"/>
        <w:spacing w:before="3"/>
        <w:rPr>
          <w:sz w:val="34"/>
          <w:highlight w:val="none"/>
        </w:rPr>
      </w:pPr>
    </w:p>
    <w:p>
      <w:pPr>
        <w:spacing w:before="1"/>
        <w:ind w:left="415" w:right="0" w:firstLine="0"/>
        <w:jc w:val="center"/>
        <w:rPr>
          <w:b/>
          <w:sz w:val="28"/>
          <w:highlight w:val="none"/>
        </w:rPr>
      </w:pPr>
      <w:r>
        <w:rPr>
          <w:b/>
          <w:w w:val="95"/>
          <w:sz w:val="28"/>
          <w:highlight w:val="none"/>
        </w:rPr>
        <w:t>评标办法</w:t>
      </w:r>
      <w:r>
        <w:rPr>
          <w:b/>
          <w:spacing w:val="-4"/>
          <w:w w:val="95"/>
          <w:sz w:val="28"/>
          <w:highlight w:val="none"/>
        </w:rPr>
        <w:t>前附表</w:t>
      </w:r>
    </w:p>
    <w:tbl>
      <w:tblPr>
        <w:tblStyle w:val="9"/>
        <w:tblW w:w="9093" w:type="dxa"/>
        <w:tblInd w:w="4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1"/>
        <w:gridCol w:w="1131"/>
        <w:gridCol w:w="7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2" w:hRule="atLeast"/>
        </w:trPr>
        <w:tc>
          <w:tcPr>
            <w:tcW w:w="2042" w:type="dxa"/>
            <w:gridSpan w:val="2"/>
          </w:tcPr>
          <w:p>
            <w:pPr>
              <w:pStyle w:val="12"/>
              <w:spacing w:before="145"/>
              <w:ind w:left="706" w:right="694"/>
              <w:jc w:val="center"/>
              <w:rPr>
                <w:b/>
                <w:sz w:val="21"/>
                <w:highlight w:val="none"/>
              </w:rPr>
            </w:pPr>
            <w:r>
              <w:rPr>
                <w:b/>
                <w:w w:val="95"/>
                <w:sz w:val="21"/>
                <w:highlight w:val="none"/>
              </w:rPr>
              <w:t>条款</w:t>
            </w:r>
            <w:r>
              <w:rPr>
                <w:b/>
                <w:spacing w:val="-10"/>
                <w:w w:val="95"/>
                <w:sz w:val="21"/>
                <w:highlight w:val="none"/>
              </w:rPr>
              <w:t>号</w:t>
            </w:r>
          </w:p>
        </w:tc>
        <w:tc>
          <w:tcPr>
            <w:tcW w:w="7051" w:type="dxa"/>
          </w:tcPr>
          <w:p>
            <w:pPr>
              <w:pStyle w:val="12"/>
              <w:spacing w:before="145"/>
              <w:ind w:left="2610" w:right="2597"/>
              <w:jc w:val="center"/>
              <w:rPr>
                <w:b/>
                <w:sz w:val="21"/>
                <w:highlight w:val="none"/>
              </w:rPr>
            </w:pPr>
            <w:r>
              <w:rPr>
                <w:b/>
                <w:w w:val="95"/>
                <w:sz w:val="21"/>
                <w:highlight w:val="none"/>
              </w:rPr>
              <w:t>评审因素与评审标</w:t>
            </w:r>
            <w:r>
              <w:rPr>
                <w:b/>
                <w:spacing w:val="-10"/>
                <w:w w:val="95"/>
                <w:sz w:val="21"/>
                <w:highlight w:val="none"/>
              </w:rPr>
              <w:t>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4" w:hRule="atLeast"/>
        </w:trPr>
        <w:tc>
          <w:tcPr>
            <w:tcW w:w="911" w:type="dxa"/>
          </w:tcPr>
          <w:p>
            <w:pPr>
              <w:pStyle w:val="12"/>
              <w:rPr>
                <w:b/>
                <w:sz w:val="20"/>
                <w:highlight w:val="none"/>
              </w:rPr>
            </w:pPr>
          </w:p>
          <w:p>
            <w:pPr>
              <w:pStyle w:val="12"/>
              <w:rPr>
                <w:b/>
                <w:sz w:val="20"/>
                <w:highlight w:val="none"/>
              </w:rPr>
            </w:pPr>
          </w:p>
          <w:p>
            <w:pPr>
              <w:pStyle w:val="12"/>
              <w:rPr>
                <w:b/>
                <w:sz w:val="20"/>
                <w:highlight w:val="none"/>
              </w:rPr>
            </w:pPr>
          </w:p>
          <w:p>
            <w:pPr>
              <w:pStyle w:val="12"/>
              <w:rPr>
                <w:b/>
                <w:sz w:val="20"/>
                <w:highlight w:val="none"/>
              </w:rPr>
            </w:pPr>
          </w:p>
          <w:p>
            <w:pPr>
              <w:pStyle w:val="12"/>
              <w:rPr>
                <w:b/>
                <w:sz w:val="20"/>
                <w:highlight w:val="none"/>
              </w:rPr>
            </w:pPr>
          </w:p>
          <w:p>
            <w:pPr>
              <w:pStyle w:val="12"/>
              <w:rPr>
                <w:b/>
                <w:sz w:val="20"/>
                <w:highlight w:val="none"/>
              </w:rPr>
            </w:pPr>
          </w:p>
          <w:p>
            <w:pPr>
              <w:pStyle w:val="12"/>
              <w:rPr>
                <w:b/>
                <w:sz w:val="20"/>
                <w:highlight w:val="none"/>
              </w:rPr>
            </w:pPr>
          </w:p>
          <w:p>
            <w:pPr>
              <w:pStyle w:val="12"/>
              <w:rPr>
                <w:b/>
                <w:sz w:val="20"/>
                <w:highlight w:val="none"/>
              </w:rPr>
            </w:pPr>
          </w:p>
          <w:p>
            <w:pPr>
              <w:pStyle w:val="12"/>
              <w:spacing w:before="149"/>
              <w:ind w:left="7"/>
              <w:jc w:val="center"/>
              <w:rPr>
                <w:sz w:val="21"/>
                <w:highlight w:val="none"/>
              </w:rPr>
            </w:pPr>
            <w:r>
              <w:rPr>
                <w:w w:val="99"/>
                <w:sz w:val="21"/>
                <w:highlight w:val="none"/>
              </w:rPr>
              <w:t>1</w:t>
            </w:r>
          </w:p>
        </w:tc>
        <w:tc>
          <w:tcPr>
            <w:tcW w:w="1131" w:type="dxa"/>
          </w:tcPr>
          <w:p>
            <w:pPr>
              <w:pStyle w:val="12"/>
              <w:rPr>
                <w:b/>
                <w:sz w:val="20"/>
                <w:highlight w:val="none"/>
              </w:rPr>
            </w:pPr>
          </w:p>
          <w:p>
            <w:pPr>
              <w:pStyle w:val="12"/>
              <w:rPr>
                <w:b/>
                <w:sz w:val="20"/>
                <w:highlight w:val="none"/>
              </w:rPr>
            </w:pPr>
          </w:p>
          <w:p>
            <w:pPr>
              <w:pStyle w:val="12"/>
              <w:rPr>
                <w:b/>
                <w:sz w:val="20"/>
                <w:highlight w:val="none"/>
              </w:rPr>
            </w:pPr>
          </w:p>
          <w:p>
            <w:pPr>
              <w:pStyle w:val="12"/>
              <w:rPr>
                <w:b/>
                <w:sz w:val="20"/>
                <w:highlight w:val="none"/>
              </w:rPr>
            </w:pPr>
          </w:p>
          <w:p>
            <w:pPr>
              <w:pStyle w:val="12"/>
              <w:rPr>
                <w:b/>
                <w:sz w:val="20"/>
                <w:highlight w:val="none"/>
              </w:rPr>
            </w:pPr>
          </w:p>
          <w:p>
            <w:pPr>
              <w:pStyle w:val="12"/>
              <w:rPr>
                <w:b/>
                <w:sz w:val="20"/>
                <w:highlight w:val="none"/>
              </w:rPr>
            </w:pPr>
          </w:p>
          <w:p>
            <w:pPr>
              <w:pStyle w:val="12"/>
              <w:rPr>
                <w:b/>
                <w:sz w:val="20"/>
                <w:highlight w:val="none"/>
              </w:rPr>
            </w:pPr>
          </w:p>
          <w:p>
            <w:pPr>
              <w:pStyle w:val="12"/>
              <w:spacing w:before="8"/>
              <w:rPr>
                <w:b/>
                <w:sz w:val="15"/>
                <w:highlight w:val="none"/>
              </w:rPr>
            </w:pPr>
          </w:p>
          <w:p>
            <w:pPr>
              <w:pStyle w:val="12"/>
              <w:spacing w:before="1" w:line="364" w:lineRule="auto"/>
              <w:ind w:left="354" w:right="346"/>
              <w:rPr>
                <w:sz w:val="21"/>
                <w:highlight w:val="none"/>
              </w:rPr>
            </w:pPr>
            <w:r>
              <w:rPr>
                <w:spacing w:val="-6"/>
                <w:sz w:val="21"/>
                <w:highlight w:val="none"/>
              </w:rPr>
              <w:t>评标</w:t>
            </w:r>
            <w:r>
              <w:rPr>
                <w:spacing w:val="-5"/>
                <w:w w:val="95"/>
                <w:sz w:val="21"/>
                <w:highlight w:val="none"/>
              </w:rPr>
              <w:t>方法</w:t>
            </w:r>
          </w:p>
        </w:tc>
        <w:tc>
          <w:tcPr>
            <w:tcW w:w="7051" w:type="dxa"/>
          </w:tcPr>
          <w:p>
            <w:pPr>
              <w:pStyle w:val="12"/>
              <w:spacing w:before="1"/>
              <w:rPr>
                <w:b/>
                <w:sz w:val="28"/>
                <w:highlight w:val="none"/>
              </w:rPr>
            </w:pPr>
          </w:p>
          <w:p>
            <w:pPr>
              <w:pStyle w:val="12"/>
              <w:spacing w:line="364" w:lineRule="auto"/>
              <w:ind w:left="123" w:right="113" w:firstLine="360"/>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综合评分相等时，评标委员会依次按照以下优先顺序推荐中标候选人或确定中标人：</w:t>
            </w:r>
          </w:p>
          <w:p>
            <w:pPr>
              <w:pStyle w:val="12"/>
              <w:numPr>
                <w:ilvl w:val="0"/>
                <w:numId w:val="1"/>
              </w:numPr>
              <w:tabs>
                <w:tab w:val="left" w:pos="651"/>
              </w:tabs>
              <w:spacing w:before="0" w:after="0" w:line="267" w:lineRule="exact"/>
              <w:ind w:left="650" w:right="0" w:hanging="528"/>
              <w:jc w:val="left"/>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评标价低的优先；</w:t>
            </w:r>
          </w:p>
          <w:p>
            <w:pPr>
              <w:pStyle w:val="12"/>
              <w:numPr>
                <w:ilvl w:val="0"/>
                <w:numId w:val="1"/>
              </w:numPr>
              <w:tabs>
                <w:tab w:val="left" w:pos="651"/>
              </w:tabs>
              <w:spacing w:before="0" w:after="0" w:line="267" w:lineRule="exact"/>
              <w:ind w:left="650" w:right="0" w:hanging="528"/>
              <w:jc w:val="left"/>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按招标文件规定被认定为最新年度广东省公路工程从业单位信用评价等级较高的投标人优先②；</w:t>
            </w:r>
          </w:p>
          <w:p>
            <w:pPr>
              <w:pStyle w:val="12"/>
              <w:numPr>
                <w:ilvl w:val="0"/>
                <w:numId w:val="0"/>
              </w:numPr>
              <w:tabs>
                <w:tab w:val="left" w:pos="651"/>
              </w:tabs>
              <w:spacing w:before="0" w:after="0" w:line="267" w:lineRule="exact"/>
              <w:ind w:left="122" w:leftChars="0" w:right="0" w:rightChars="0"/>
              <w:jc w:val="left"/>
              <w:rPr>
                <w:rFonts w:hint="eastAsia" w:ascii="宋体" w:hAnsi="宋体" w:eastAsiaTheme="minorEastAsia" w:cstheme="minorBidi"/>
                <w:color w:val="auto"/>
                <w:kern w:val="2"/>
                <w:sz w:val="21"/>
                <w:szCs w:val="21"/>
                <w:highlight w:val="none"/>
                <w:lang w:val="en-US" w:eastAsia="zh-CN" w:bidi="ar-SA"/>
              </w:rPr>
            </w:pPr>
          </w:p>
          <w:p>
            <w:pPr>
              <w:pStyle w:val="12"/>
              <w:spacing w:line="364" w:lineRule="auto"/>
              <w:ind w:left="123" w:right="108"/>
              <w:jc w:val="both"/>
              <w:rPr>
                <w:rFonts w:hint="eastAsia" w:ascii="宋体" w:hAnsi="宋体" w:eastAsiaTheme="minorEastAsia" w:cstheme="minorBidi"/>
                <w:color w:val="auto"/>
                <w:kern w:val="2"/>
                <w:sz w:val="21"/>
                <w:szCs w:val="21"/>
                <w:highlight w:val="none"/>
                <w:lang w:val="en-US" w:eastAsia="zh-CN" w:bidi="ar-SA"/>
              </w:rPr>
            </w:pPr>
            <w:r>
              <w:rPr>
                <w:rFonts w:hint="eastAsia" w:asciiTheme="minorEastAsia" w:hAnsiTheme="minorEastAsia" w:eastAsiaTheme="minorEastAsia" w:cstheme="minorEastAsia"/>
                <w:w w:val="95"/>
                <w:sz w:val="21"/>
                <w:szCs w:val="21"/>
                <w:highlight w:val="none"/>
              </w:rPr>
              <w:t>【</w:t>
            </w:r>
            <w:r>
              <w:rPr>
                <w:rFonts w:hint="eastAsia" w:ascii="宋体" w:hAnsi="宋体" w:eastAsiaTheme="minorEastAsia" w:cstheme="minorBidi"/>
                <w:color w:val="auto"/>
                <w:kern w:val="2"/>
                <w:sz w:val="21"/>
                <w:szCs w:val="21"/>
                <w:highlight w:val="none"/>
                <w:lang w:val="en-US" w:eastAsia="zh-CN" w:bidi="ar-SA"/>
              </w:rPr>
              <w:t>采用如下的优先顺序：承诺使用的 AA 级投标人、不承诺使用的 AA 级投标人、承诺使用的 A 级投标人、不承诺使用的 A 级投标人、B 级投标人、未参评且被确定为 B 级投标人】</w:t>
            </w:r>
          </w:p>
          <w:p>
            <w:pPr>
              <w:pStyle w:val="12"/>
              <w:numPr>
                <w:ilvl w:val="0"/>
                <w:numId w:val="1"/>
              </w:numPr>
              <w:tabs>
                <w:tab w:val="left" w:pos="651"/>
              </w:tabs>
              <w:spacing w:before="0" w:after="0" w:line="267" w:lineRule="exact"/>
              <w:ind w:left="650" w:right="0" w:hanging="528"/>
              <w:jc w:val="left"/>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以投标人企业最新年度净资产较高的优先；</w:t>
            </w:r>
          </w:p>
          <w:p>
            <w:pPr>
              <w:pStyle w:val="12"/>
              <w:numPr>
                <w:ilvl w:val="0"/>
                <w:numId w:val="1"/>
              </w:numPr>
              <w:tabs>
                <w:tab w:val="left" w:pos="651"/>
              </w:tabs>
              <w:spacing w:before="134" w:after="0" w:line="240" w:lineRule="auto"/>
              <w:ind w:left="650" w:right="0" w:hanging="528"/>
              <w:jc w:val="left"/>
              <w:rPr>
                <w:sz w:val="21"/>
                <w:highlight w:val="none"/>
              </w:rPr>
            </w:pPr>
            <w:r>
              <w:rPr>
                <w:rFonts w:hint="eastAsia" w:ascii="宋体" w:hAnsi="宋体" w:eastAsiaTheme="minorEastAsia" w:cstheme="minorBidi"/>
                <w:color w:val="auto"/>
                <w:kern w:val="2"/>
                <w:sz w:val="21"/>
                <w:szCs w:val="21"/>
                <w:highlight w:val="none"/>
                <w:lang w:val="en-US" w:eastAsia="zh-CN" w:bidi="ar-SA"/>
              </w:rPr>
              <w:t>评标委员会视投标人情况综合比较，投票确定其名次。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6" w:hRule="atLeast"/>
        </w:trPr>
        <w:tc>
          <w:tcPr>
            <w:tcW w:w="911" w:type="dxa"/>
          </w:tcPr>
          <w:p>
            <w:pPr>
              <w:pStyle w:val="12"/>
              <w:rPr>
                <w:b/>
                <w:sz w:val="20"/>
                <w:highlight w:val="none"/>
              </w:rPr>
            </w:pPr>
          </w:p>
          <w:p>
            <w:pPr>
              <w:pStyle w:val="12"/>
              <w:rPr>
                <w:b/>
                <w:sz w:val="20"/>
                <w:highlight w:val="none"/>
              </w:rPr>
            </w:pPr>
          </w:p>
          <w:p>
            <w:pPr>
              <w:pStyle w:val="12"/>
              <w:rPr>
                <w:b/>
                <w:sz w:val="20"/>
                <w:highlight w:val="none"/>
              </w:rPr>
            </w:pPr>
          </w:p>
          <w:p>
            <w:pPr>
              <w:pStyle w:val="12"/>
              <w:rPr>
                <w:b/>
                <w:sz w:val="20"/>
                <w:highlight w:val="none"/>
              </w:rPr>
            </w:pPr>
          </w:p>
          <w:p>
            <w:pPr>
              <w:pStyle w:val="12"/>
              <w:rPr>
                <w:b/>
                <w:sz w:val="20"/>
                <w:highlight w:val="none"/>
              </w:rPr>
            </w:pPr>
          </w:p>
          <w:p>
            <w:pPr>
              <w:pStyle w:val="12"/>
              <w:rPr>
                <w:b/>
                <w:sz w:val="20"/>
                <w:highlight w:val="none"/>
              </w:rPr>
            </w:pPr>
          </w:p>
          <w:p>
            <w:pPr>
              <w:pStyle w:val="12"/>
              <w:spacing w:before="11"/>
              <w:rPr>
                <w:b/>
                <w:sz w:val="29"/>
                <w:highlight w:val="none"/>
              </w:rPr>
            </w:pPr>
          </w:p>
          <w:p>
            <w:pPr>
              <w:pStyle w:val="12"/>
              <w:ind w:left="243"/>
              <w:rPr>
                <w:sz w:val="21"/>
                <w:highlight w:val="none"/>
              </w:rPr>
            </w:pPr>
            <w:r>
              <w:rPr>
                <w:spacing w:val="-2"/>
                <w:sz w:val="21"/>
                <w:highlight w:val="none"/>
              </w:rPr>
              <w:t>2.1.1</w:t>
            </w:r>
          </w:p>
          <w:p>
            <w:pPr>
              <w:pStyle w:val="12"/>
              <w:spacing w:before="139"/>
              <w:ind w:left="243"/>
              <w:rPr>
                <w:sz w:val="21"/>
                <w:highlight w:val="none"/>
              </w:rPr>
            </w:pPr>
            <w:r>
              <w:rPr>
                <w:spacing w:val="-2"/>
                <w:sz w:val="21"/>
                <w:highlight w:val="none"/>
              </w:rPr>
              <w:t>2.1.3</w:t>
            </w:r>
          </w:p>
        </w:tc>
        <w:tc>
          <w:tcPr>
            <w:tcW w:w="1131" w:type="dxa"/>
          </w:tcPr>
          <w:p>
            <w:pPr>
              <w:pStyle w:val="12"/>
              <w:rPr>
                <w:b/>
                <w:sz w:val="20"/>
                <w:highlight w:val="none"/>
              </w:rPr>
            </w:pPr>
          </w:p>
          <w:p>
            <w:pPr>
              <w:pStyle w:val="12"/>
              <w:rPr>
                <w:b/>
                <w:sz w:val="20"/>
                <w:highlight w:val="none"/>
              </w:rPr>
            </w:pPr>
          </w:p>
          <w:p>
            <w:pPr>
              <w:pStyle w:val="12"/>
              <w:rPr>
                <w:b/>
                <w:sz w:val="20"/>
                <w:highlight w:val="none"/>
              </w:rPr>
            </w:pPr>
          </w:p>
          <w:p>
            <w:pPr>
              <w:pStyle w:val="12"/>
              <w:rPr>
                <w:b/>
                <w:sz w:val="20"/>
                <w:highlight w:val="none"/>
              </w:rPr>
            </w:pPr>
          </w:p>
          <w:p>
            <w:pPr>
              <w:pStyle w:val="12"/>
              <w:rPr>
                <w:b/>
                <w:sz w:val="20"/>
                <w:highlight w:val="none"/>
              </w:rPr>
            </w:pPr>
          </w:p>
          <w:p>
            <w:pPr>
              <w:pStyle w:val="12"/>
              <w:rPr>
                <w:b/>
                <w:sz w:val="20"/>
                <w:highlight w:val="none"/>
              </w:rPr>
            </w:pPr>
          </w:p>
          <w:p>
            <w:pPr>
              <w:pStyle w:val="12"/>
              <w:spacing w:before="179" w:line="364" w:lineRule="auto"/>
              <w:ind w:left="143" w:right="137"/>
              <w:jc w:val="both"/>
              <w:rPr>
                <w:sz w:val="21"/>
                <w:highlight w:val="none"/>
              </w:rPr>
            </w:pPr>
            <w:r>
              <w:rPr>
                <w:spacing w:val="-4"/>
                <w:sz w:val="21"/>
                <w:highlight w:val="none"/>
              </w:rPr>
              <w:t>形式评审与响应性评审标准</w:t>
            </w:r>
          </w:p>
        </w:tc>
        <w:tc>
          <w:tcPr>
            <w:tcW w:w="7051" w:type="dxa"/>
          </w:tcPr>
          <w:p>
            <w:pPr>
              <w:pStyle w:val="12"/>
              <w:rPr>
                <w:b/>
                <w:sz w:val="20"/>
                <w:highlight w:val="none"/>
              </w:rPr>
            </w:pPr>
          </w:p>
          <w:p>
            <w:pPr>
              <w:pStyle w:val="12"/>
              <w:spacing w:before="5"/>
              <w:rPr>
                <w:b/>
                <w:sz w:val="18"/>
                <w:highlight w:val="none"/>
              </w:rPr>
            </w:pPr>
          </w:p>
          <w:p>
            <w:pPr>
              <w:spacing w:line="360" w:lineRule="exact"/>
              <w:rPr>
                <w:rFonts w:hint="eastAsia" w:ascii="宋体" w:hAnsi="宋体"/>
                <w:b/>
                <w:color w:val="auto"/>
                <w:szCs w:val="21"/>
                <w:highlight w:val="none"/>
              </w:rPr>
            </w:pPr>
            <w:r>
              <w:rPr>
                <w:rFonts w:hint="eastAsia" w:ascii="宋体" w:hAnsi="宋体"/>
                <w:b/>
                <w:color w:val="auto"/>
                <w:szCs w:val="21"/>
                <w:highlight w:val="none"/>
              </w:rPr>
              <w:t>第一个信封（商务及技术文件）评审标准</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(1)投标文件按照招标文件规定的格式、内容填写，字迹清晰可辨：</w:t>
            </w:r>
          </w:p>
          <w:p>
            <w:pPr>
              <w:spacing w:line="360" w:lineRule="exact"/>
              <w:ind w:firstLine="390"/>
              <w:rPr>
                <w:rFonts w:ascii="宋体" w:hAnsi="宋体"/>
                <w:color w:val="auto"/>
                <w:szCs w:val="21"/>
                <w:highlight w:val="none"/>
              </w:rPr>
            </w:pPr>
            <w:r>
              <w:rPr>
                <w:rFonts w:ascii="宋体" w:hAnsi="宋体"/>
                <w:color w:val="auto"/>
                <w:szCs w:val="21"/>
                <w:highlight w:val="none"/>
              </w:rPr>
              <w:t>a.投标函按招标文件规定填报了</w:t>
            </w:r>
            <w:r>
              <w:rPr>
                <w:rFonts w:hint="eastAsia" w:ascii="宋体" w:hAnsi="宋体"/>
                <w:color w:val="auto"/>
                <w:szCs w:val="21"/>
                <w:highlight w:val="none"/>
              </w:rPr>
              <w:t>项目名称、标段号、补遗书编号（如有）、</w:t>
            </w:r>
            <w:r>
              <w:rPr>
                <w:rFonts w:ascii="宋体" w:hAnsi="宋体"/>
                <w:color w:val="auto"/>
                <w:szCs w:val="21"/>
                <w:highlight w:val="none"/>
              </w:rPr>
              <w:t>工期</w:t>
            </w:r>
            <w:r>
              <w:rPr>
                <w:rFonts w:hint="eastAsia" w:ascii="宋体" w:hAnsi="宋体"/>
                <w:color w:val="auto"/>
                <w:szCs w:val="21"/>
                <w:highlight w:val="none"/>
              </w:rPr>
              <w:t>、</w:t>
            </w:r>
            <w:r>
              <w:rPr>
                <w:rFonts w:ascii="宋体" w:hAnsi="宋体"/>
                <w:color w:val="auto"/>
                <w:szCs w:val="21"/>
                <w:highlight w:val="none"/>
              </w:rPr>
              <w:t>工程质量</w:t>
            </w:r>
            <w:r>
              <w:rPr>
                <w:rFonts w:hint="eastAsia" w:ascii="宋体" w:hAnsi="宋体"/>
                <w:color w:val="auto"/>
                <w:szCs w:val="21"/>
                <w:highlight w:val="none"/>
              </w:rPr>
              <w:t>要求及安全目标</w:t>
            </w:r>
            <w:r>
              <w:rPr>
                <w:rFonts w:ascii="宋体" w:hAnsi="宋体"/>
                <w:color w:val="auto"/>
                <w:szCs w:val="21"/>
                <w:highlight w:val="none"/>
              </w:rPr>
              <w:t>；</w:t>
            </w:r>
          </w:p>
          <w:p>
            <w:pPr>
              <w:spacing w:line="360" w:lineRule="exact"/>
              <w:ind w:firstLine="390"/>
              <w:rPr>
                <w:rFonts w:ascii="宋体" w:hAnsi="宋体"/>
                <w:color w:val="auto"/>
                <w:szCs w:val="21"/>
                <w:highlight w:val="none"/>
              </w:rPr>
            </w:pPr>
            <w:r>
              <w:rPr>
                <w:rFonts w:ascii="宋体" w:hAnsi="宋体"/>
                <w:color w:val="auto"/>
                <w:szCs w:val="21"/>
                <w:highlight w:val="none"/>
              </w:rPr>
              <w:t>b.投标函附录的所有数据均符合招标文件规定；</w:t>
            </w:r>
          </w:p>
          <w:p>
            <w:pPr>
              <w:spacing w:line="360" w:lineRule="exact"/>
              <w:ind w:firstLine="390"/>
              <w:rPr>
                <w:rFonts w:hint="eastAsia" w:ascii="宋体" w:hAnsi="宋体"/>
                <w:color w:val="auto"/>
                <w:szCs w:val="21"/>
                <w:highlight w:val="none"/>
              </w:rPr>
            </w:pPr>
            <w:r>
              <w:rPr>
                <w:rFonts w:hint="eastAsia" w:ascii="宋体" w:hAnsi="宋体"/>
                <w:color w:val="auto"/>
                <w:szCs w:val="21"/>
                <w:highlight w:val="none"/>
              </w:rPr>
              <w:t>c</w:t>
            </w:r>
            <w:r>
              <w:rPr>
                <w:rFonts w:ascii="宋体" w:hAnsi="宋体"/>
                <w:color w:val="auto"/>
                <w:szCs w:val="21"/>
                <w:highlight w:val="none"/>
              </w:rPr>
              <w:t>.</w:t>
            </w:r>
            <w:r>
              <w:rPr>
                <w:rFonts w:hint="eastAsia" w:ascii="宋体" w:hAnsi="宋体"/>
                <w:color w:val="auto"/>
                <w:szCs w:val="21"/>
                <w:highlight w:val="none"/>
              </w:rPr>
              <w:t>投标文件（第一个信封）组成齐全完整，份数符合规定，内容均按规定填写。</w:t>
            </w:r>
          </w:p>
          <w:p>
            <w:pPr>
              <w:spacing w:line="360" w:lineRule="exact"/>
              <w:ind w:left="-2" w:leftChars="-1" w:firstLine="420" w:firstLineChars="200"/>
              <w:rPr>
                <w:rFonts w:hint="eastAsia" w:ascii="宋体" w:hAnsi="宋体"/>
                <w:color w:val="auto"/>
                <w:szCs w:val="21"/>
                <w:highlight w:val="none"/>
              </w:rPr>
            </w:pPr>
            <w:r>
              <w:rPr>
                <w:rFonts w:ascii="宋体" w:hAnsi="宋体"/>
                <w:color w:val="auto"/>
                <w:szCs w:val="21"/>
                <w:highlight w:val="none"/>
              </w:rPr>
              <w:t>(2) 投标文件上法定代表人或其授权代理人的签字、投标人的单位章盖章齐全，符合招标文件</w:t>
            </w:r>
            <w:r>
              <w:rPr>
                <w:rFonts w:hint="eastAsia" w:ascii="宋体" w:hAnsi="宋体"/>
                <w:color w:val="auto"/>
                <w:szCs w:val="21"/>
                <w:highlight w:val="none"/>
              </w:rPr>
              <w:t>的</w:t>
            </w:r>
            <w:r>
              <w:rPr>
                <w:rFonts w:ascii="宋体" w:hAnsi="宋体"/>
                <w:color w:val="auto"/>
                <w:szCs w:val="21"/>
                <w:highlight w:val="none"/>
              </w:rPr>
              <w:t>规定。</w:t>
            </w:r>
          </w:p>
          <w:p>
            <w:pPr>
              <w:spacing w:line="36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(3) </w:t>
            </w:r>
            <w:r>
              <w:rPr>
                <w:rFonts w:hint="eastAsia" w:ascii="宋体" w:hAnsi="宋体"/>
                <w:color w:val="auto"/>
                <w:highlight w:val="none"/>
              </w:rPr>
              <w:t>投标人实质性资格响应：</w:t>
            </w:r>
            <w:r>
              <w:rPr>
                <w:rFonts w:ascii="宋体" w:hAnsi="宋体"/>
                <w:color w:val="auto"/>
                <w:szCs w:val="21"/>
                <w:highlight w:val="none"/>
              </w:rPr>
              <w:t xml:space="preserve"> </w:t>
            </w:r>
          </w:p>
          <w:p>
            <w:pPr>
              <w:spacing w:line="360" w:lineRule="exact"/>
              <w:ind w:firstLine="390"/>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投标人应提供相关部门的合法批件及企业法人营业执照和资质证书等证件的副本复印件；</w:t>
            </w:r>
            <w:r>
              <w:rPr>
                <w:rFonts w:ascii="宋体" w:hAnsi="宋体"/>
                <w:color w:val="auto"/>
                <w:szCs w:val="21"/>
                <w:highlight w:val="none"/>
              </w:rPr>
              <w:t>法人名称变更时，</w:t>
            </w:r>
            <w:r>
              <w:rPr>
                <w:rFonts w:hint="eastAsia" w:ascii="宋体" w:hAnsi="宋体"/>
                <w:color w:val="auto"/>
                <w:szCs w:val="21"/>
                <w:highlight w:val="none"/>
              </w:rPr>
              <w:t>还</w:t>
            </w:r>
            <w:r>
              <w:rPr>
                <w:rFonts w:ascii="宋体" w:hAnsi="宋体"/>
                <w:color w:val="auto"/>
                <w:szCs w:val="21"/>
                <w:highlight w:val="none"/>
              </w:rPr>
              <w:t>应提供变更记录复印件；</w:t>
            </w:r>
          </w:p>
          <w:p>
            <w:pPr>
              <w:snapToGrid w:val="0"/>
              <w:spacing w:line="360" w:lineRule="exact"/>
              <w:ind w:firstLine="420" w:firstLineChars="200"/>
              <w:rPr>
                <w:rFonts w:hint="eastAsia" w:ascii="宋体" w:hAnsi="宋体" w:cs="隶书"/>
                <w:color w:val="auto"/>
                <w:kern w:val="0"/>
                <w:szCs w:val="21"/>
                <w:highlight w:val="none"/>
              </w:rPr>
            </w:pPr>
            <w:r>
              <w:rPr>
                <w:rFonts w:ascii="宋体" w:hAnsi="宋体"/>
                <w:color w:val="auto"/>
                <w:szCs w:val="21"/>
                <w:highlight w:val="none"/>
              </w:rPr>
              <w:t>b.</w:t>
            </w:r>
            <w:r>
              <w:rPr>
                <w:rFonts w:hint="eastAsia" w:ascii="宋体" w:hAnsi="宋体" w:cs="隶书"/>
                <w:color w:val="auto"/>
                <w:kern w:val="0"/>
                <w:szCs w:val="21"/>
                <w:highlight w:val="none"/>
              </w:rPr>
              <w:t xml:space="preserve"> 投标人实质性资格满足资格后审条件的最低要求（资质、业绩、人员、信誉、财务等要求）。</w:t>
            </w:r>
          </w:p>
          <w:p>
            <w:pPr>
              <w:snapToGrid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c</w:t>
            </w:r>
            <w:r>
              <w:rPr>
                <w:rFonts w:ascii="宋体" w:hAnsi="宋体"/>
                <w:color w:val="auto"/>
                <w:szCs w:val="21"/>
                <w:highlight w:val="none"/>
              </w:rPr>
              <w:t>.</w:t>
            </w:r>
            <w:r>
              <w:rPr>
                <w:rFonts w:hint="eastAsia" w:ascii="宋体" w:hAnsi="宋体"/>
                <w:color w:val="auto"/>
                <w:szCs w:val="21"/>
                <w:highlight w:val="none"/>
              </w:rPr>
              <w:t>与所投标段的其他投标人不存在控股、管理关系或单位负责人为同一人的情况；与招标人也不存在利害关系并可能影响招标公正性。</w:t>
            </w:r>
          </w:p>
          <w:p>
            <w:pPr>
              <w:spacing w:line="360" w:lineRule="exact"/>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(4)投标人按照招标文件的规定提供了投标担保：</w:t>
            </w:r>
          </w:p>
          <w:p>
            <w:pPr>
              <w:spacing w:line="360" w:lineRule="exact"/>
              <w:ind w:firstLine="445" w:firstLineChars="212"/>
              <w:rPr>
                <w:rFonts w:ascii="宋体" w:hAnsi="宋体"/>
                <w:color w:val="auto"/>
                <w:szCs w:val="21"/>
                <w:highlight w:val="none"/>
              </w:rPr>
            </w:pPr>
            <w:r>
              <w:rPr>
                <w:rFonts w:ascii="宋体" w:hAnsi="宋体"/>
                <w:color w:val="auto"/>
                <w:szCs w:val="21"/>
                <w:highlight w:val="none"/>
              </w:rPr>
              <w:t>a.投标担保金额符合招标文件规定的金额</w:t>
            </w:r>
            <w:r>
              <w:rPr>
                <w:rFonts w:hint="eastAsia" w:ascii="宋体" w:hAnsi="宋体"/>
                <w:color w:val="auto"/>
                <w:szCs w:val="21"/>
                <w:highlight w:val="none"/>
              </w:rPr>
              <w:t>,且投标保证金有效期不少于投标有效期</w:t>
            </w:r>
            <w:r>
              <w:rPr>
                <w:rFonts w:ascii="宋体" w:hAnsi="宋体"/>
                <w:color w:val="auto"/>
                <w:szCs w:val="21"/>
                <w:highlight w:val="none"/>
              </w:rPr>
              <w:t>；</w:t>
            </w:r>
          </w:p>
          <w:p>
            <w:pPr>
              <w:spacing w:line="360" w:lineRule="exact"/>
              <w:ind w:firstLine="445" w:firstLineChars="212"/>
              <w:rPr>
                <w:rFonts w:hint="eastAsia" w:ascii="宋体" w:hAnsi="宋体"/>
                <w:color w:val="auto"/>
                <w:szCs w:val="21"/>
                <w:highlight w:val="none"/>
              </w:rPr>
            </w:pPr>
            <w:r>
              <w:rPr>
                <w:rFonts w:ascii="宋体" w:hAnsi="宋体"/>
                <w:color w:val="auto"/>
                <w:szCs w:val="21"/>
                <w:highlight w:val="none"/>
              </w:rPr>
              <w:t>b.</w:t>
            </w:r>
            <w:r>
              <w:rPr>
                <w:rFonts w:hint="eastAsia" w:ascii="宋体" w:hAnsi="宋体" w:cs="宋体"/>
                <w:color w:val="auto"/>
                <w:kern w:val="0"/>
                <w:szCs w:val="21"/>
                <w:highlight w:val="none"/>
              </w:rPr>
              <w:t xml:space="preserve"> </w:t>
            </w:r>
            <w:r>
              <w:rPr>
                <w:rFonts w:hint="eastAsia" w:ascii="宋体" w:hAnsi="宋体"/>
                <w:color w:val="auto"/>
                <w:szCs w:val="21"/>
                <w:highlight w:val="none"/>
              </w:rPr>
              <w:t>若</w:t>
            </w:r>
            <w:r>
              <w:rPr>
                <w:rFonts w:ascii="宋体" w:hAnsi="宋体"/>
                <w:color w:val="auto"/>
                <w:szCs w:val="21"/>
                <w:highlight w:val="none"/>
              </w:rPr>
              <w:t>投标担保金</w:t>
            </w:r>
            <w:r>
              <w:rPr>
                <w:rFonts w:hint="eastAsia" w:ascii="宋体" w:hAnsi="宋体"/>
                <w:color w:val="auto"/>
                <w:szCs w:val="21"/>
                <w:highlight w:val="none"/>
              </w:rPr>
              <w:t>采用现金或支票形式提交，投标人应在投标人须知3.4.1款规定的时间，将投标保证金由投标人的基本账户一次性汇入（或开给）招标人指定账户；</w:t>
            </w:r>
          </w:p>
          <w:p>
            <w:pPr>
              <w:spacing w:line="360" w:lineRule="exact"/>
              <w:ind w:firstLine="445" w:firstLineChars="212"/>
              <w:rPr>
                <w:rFonts w:ascii="宋体" w:hAnsi="宋体"/>
                <w:b/>
                <w:color w:val="auto"/>
                <w:szCs w:val="21"/>
                <w:highlight w:val="none"/>
              </w:rPr>
            </w:pPr>
            <w:r>
              <w:rPr>
                <w:rFonts w:ascii="宋体" w:hAnsi="宋体"/>
                <w:color w:val="auto"/>
                <w:szCs w:val="21"/>
                <w:highlight w:val="none"/>
              </w:rPr>
              <w:t>c.若投标担保金采用银行保函</w:t>
            </w:r>
            <w:r>
              <w:rPr>
                <w:rFonts w:hint="eastAsia" w:ascii="宋体" w:hAnsi="宋体"/>
                <w:color w:val="auto"/>
                <w:szCs w:val="21"/>
                <w:highlight w:val="none"/>
              </w:rPr>
              <w:t>形式提交</w:t>
            </w:r>
            <w:r>
              <w:rPr>
                <w:rFonts w:ascii="宋体" w:hAnsi="宋体"/>
                <w:color w:val="auto"/>
                <w:szCs w:val="21"/>
                <w:highlight w:val="none"/>
              </w:rPr>
              <w:t>，银行保函的格式、开具保函的银行均满足招标文件要求，</w:t>
            </w:r>
            <w:r>
              <w:rPr>
                <w:rFonts w:ascii="宋体" w:hAnsi="宋体"/>
                <w:b/>
                <w:color w:val="auto"/>
                <w:szCs w:val="21"/>
                <w:highlight w:val="none"/>
              </w:rPr>
              <w:t>且银行保函原件在</w:t>
            </w:r>
            <w:r>
              <w:rPr>
                <w:rFonts w:hint="eastAsia" w:ascii="宋体" w:hAnsi="宋体"/>
                <w:b/>
                <w:color w:val="auto"/>
                <w:szCs w:val="21"/>
                <w:highlight w:val="none"/>
              </w:rPr>
              <w:t>递交</w:t>
            </w:r>
            <w:r>
              <w:rPr>
                <w:rFonts w:ascii="宋体" w:hAnsi="宋体"/>
                <w:b/>
                <w:color w:val="auto"/>
                <w:szCs w:val="21"/>
                <w:highlight w:val="none"/>
              </w:rPr>
              <w:t>投标文件</w:t>
            </w:r>
            <w:r>
              <w:rPr>
                <w:rFonts w:hint="eastAsia" w:ascii="宋体" w:hAnsi="宋体"/>
                <w:b/>
                <w:color w:val="auto"/>
                <w:szCs w:val="21"/>
                <w:highlight w:val="none"/>
              </w:rPr>
              <w:t>时单独密封递交，其复印件装订在投标文件中</w:t>
            </w:r>
            <w:r>
              <w:rPr>
                <w:rFonts w:ascii="宋体" w:hAnsi="宋体"/>
                <w:b/>
                <w:color w:val="auto"/>
                <w:szCs w:val="21"/>
                <w:highlight w:val="none"/>
              </w:rPr>
              <w:t>。</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(5)投标人法定代表人授权委托代理人签署投标文件的，须提交授权委托书，且授权人和被授权人均在授权委托书上签名，未使用印章、签名章或其他电子制版签名。</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(6)投标人法定代表人若亲自签署投标文件的，提供了法定代表人身份证明，且法定代表人在法定代表人身份证明上签名，未使用印章、签名章或其他电子制版签名。</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7</w:t>
            </w:r>
            <w:r>
              <w:rPr>
                <w:rFonts w:ascii="宋体" w:hAnsi="宋体"/>
                <w:color w:val="auto"/>
                <w:szCs w:val="21"/>
                <w:highlight w:val="none"/>
              </w:rPr>
              <w:t>)投标人如有分包计划，应</w:t>
            </w:r>
            <w:r>
              <w:rPr>
                <w:rFonts w:hint="eastAsia" w:ascii="宋体" w:hAnsi="宋体"/>
                <w:color w:val="auto"/>
                <w:szCs w:val="21"/>
                <w:highlight w:val="none"/>
              </w:rPr>
              <w:t>符合招标文件第二章“投标人须知”第1.11款规定，且</w:t>
            </w:r>
            <w:r>
              <w:rPr>
                <w:rFonts w:ascii="宋体" w:hAnsi="宋体"/>
                <w:color w:val="auto"/>
                <w:szCs w:val="21"/>
                <w:highlight w:val="none"/>
              </w:rPr>
              <w:t>按第八章“投标文件格式”的要求填写“拟分包项目情况表”</w:t>
            </w:r>
            <w:r>
              <w:rPr>
                <w:rFonts w:hint="eastAsia" w:ascii="宋体" w:hAnsi="宋体"/>
                <w:color w:val="auto"/>
                <w:szCs w:val="21"/>
                <w:highlight w:val="none"/>
              </w:rPr>
              <w:t>。</w:t>
            </w:r>
          </w:p>
          <w:p>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同一标段的同一投标人没有提交两个以上不同的投标文件，但招标文件要求提交备选投标的除外。</w:t>
            </w:r>
          </w:p>
          <w:p>
            <w:pPr>
              <w:spacing w:line="360" w:lineRule="exact"/>
              <w:ind w:firstLine="315" w:firstLineChars="150"/>
              <w:rPr>
                <w:rFonts w:hint="eastAsia" w:ascii="宋体" w:hAnsi="宋体"/>
                <w:color w:val="auto"/>
                <w:szCs w:val="21"/>
                <w:highlight w:val="none"/>
              </w:rPr>
            </w:pPr>
            <w:r>
              <w:rPr>
                <w:rFonts w:hint="eastAsia" w:ascii="宋体" w:hAnsi="宋体"/>
                <w:color w:val="auto"/>
                <w:szCs w:val="21"/>
                <w:highlight w:val="none"/>
              </w:rPr>
              <w:t>（9）投标文件第一个信封（商务及技术文件）不得出现有关投标报价的内容。</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10</w:t>
            </w:r>
            <w:r>
              <w:rPr>
                <w:rFonts w:ascii="宋体" w:hAnsi="宋体"/>
                <w:color w:val="auto"/>
                <w:szCs w:val="21"/>
                <w:highlight w:val="none"/>
              </w:rPr>
              <w:t>)投标文件载明的招标项目完成期限未超过招标文件规定的时限</w:t>
            </w:r>
            <w:r>
              <w:rPr>
                <w:rFonts w:hint="eastAsia" w:ascii="宋体" w:hAnsi="宋体"/>
                <w:color w:val="auto"/>
                <w:szCs w:val="21"/>
                <w:highlight w:val="none"/>
              </w:rPr>
              <w:t>。</w:t>
            </w:r>
          </w:p>
          <w:p>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11</w:t>
            </w:r>
            <w:r>
              <w:rPr>
                <w:rFonts w:ascii="宋体" w:hAnsi="宋体"/>
                <w:color w:val="auto"/>
                <w:szCs w:val="21"/>
                <w:highlight w:val="none"/>
              </w:rPr>
              <w:t>)</w:t>
            </w:r>
            <w:r>
              <w:rPr>
                <w:rFonts w:hint="eastAsia" w:ascii="宋体" w:hAnsi="宋体"/>
                <w:color w:val="auto"/>
                <w:szCs w:val="21"/>
                <w:highlight w:val="none"/>
              </w:rPr>
              <w:t>投标文件对招标文件的实质性要求和条件作出响应。</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2</w:t>
            </w:r>
            <w:r>
              <w:rPr>
                <w:rFonts w:ascii="宋体" w:hAnsi="宋体"/>
                <w:color w:val="auto"/>
                <w:szCs w:val="21"/>
                <w:highlight w:val="none"/>
              </w:rPr>
              <w:t>)权利义务符合招标文件规定：</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a.投标人应接受招标文件规定的风险划分原则，未提出新的风险划分办法；</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b.投标人未增加发包人的责任范围，或减少投标人义务；</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c.投标人未提出不同的工程验收、计量、支付办法；</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d.投标人对合同纠纷、事故处理办法未提出异议；</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e.投标人在投标活动中无欺诈行为；</w:t>
            </w:r>
          </w:p>
          <w:p>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f.投标人未对合同条款有重要保留。</w:t>
            </w:r>
          </w:p>
          <w:p>
            <w:pPr>
              <w:pStyle w:val="12"/>
              <w:numPr>
                <w:ilvl w:val="0"/>
                <w:numId w:val="0"/>
              </w:numPr>
              <w:tabs>
                <w:tab w:val="left" w:pos="651"/>
              </w:tabs>
              <w:spacing w:before="119" w:after="0" w:line="364" w:lineRule="auto"/>
              <w:ind w:left="123" w:leftChars="0" w:right="113" w:rightChars="0"/>
              <w:jc w:val="left"/>
              <w:rPr>
                <w:sz w:val="21"/>
                <w:highlight w:val="none"/>
              </w:rPr>
            </w:pPr>
            <w:r>
              <w:rPr>
                <w:rFonts w:hint="eastAsia" w:ascii="宋体" w:hAnsi="宋体"/>
                <w:color w:val="auto"/>
                <w:highlight w:val="none"/>
              </w:rPr>
              <w:t>（13）</w:t>
            </w:r>
            <w:r>
              <w:rPr>
                <w:rFonts w:hint="eastAsia" w:ascii="宋体" w:hAnsi="宋体"/>
                <w:color w:val="auto"/>
                <w:szCs w:val="21"/>
                <w:highlight w:val="none"/>
              </w:rPr>
              <w:t>投标文件未附有招标人不能接受的条件。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6" w:hRule="atLeast"/>
        </w:trPr>
        <w:tc>
          <w:tcPr>
            <w:tcW w:w="911" w:type="dxa"/>
            <w:vAlign w:val="center"/>
          </w:tcPr>
          <w:p>
            <w:pPr>
              <w:spacing w:line="360" w:lineRule="exact"/>
              <w:jc w:val="center"/>
              <w:rPr>
                <w:rFonts w:ascii="宋体" w:hAnsi="宋体"/>
                <w:color w:val="auto"/>
                <w:szCs w:val="21"/>
                <w:highlight w:val="none"/>
              </w:rPr>
            </w:pPr>
            <w:r>
              <w:rPr>
                <w:rFonts w:ascii="宋体" w:hAnsi="宋体"/>
                <w:color w:val="auto"/>
                <w:szCs w:val="21"/>
                <w:highlight w:val="none"/>
              </w:rPr>
              <w:t>2.1.1</w:t>
            </w:r>
          </w:p>
          <w:p>
            <w:pPr>
              <w:spacing w:line="360" w:lineRule="exact"/>
              <w:jc w:val="center"/>
              <w:rPr>
                <w:spacing w:val="-2"/>
                <w:sz w:val="21"/>
                <w:highlight w:val="none"/>
              </w:rPr>
            </w:pPr>
            <w:r>
              <w:rPr>
                <w:rFonts w:ascii="宋体" w:hAnsi="宋体"/>
                <w:color w:val="auto"/>
                <w:szCs w:val="21"/>
                <w:highlight w:val="none"/>
              </w:rPr>
              <w:t>2.1.3</w:t>
            </w:r>
          </w:p>
        </w:tc>
        <w:tc>
          <w:tcPr>
            <w:tcW w:w="1131" w:type="dxa"/>
            <w:vAlign w:val="center"/>
          </w:tcPr>
          <w:p>
            <w:pPr>
              <w:spacing w:line="360" w:lineRule="exact"/>
              <w:jc w:val="center"/>
              <w:rPr>
                <w:spacing w:val="-4"/>
                <w:sz w:val="21"/>
                <w:highlight w:val="none"/>
              </w:rPr>
            </w:pPr>
            <w:r>
              <w:rPr>
                <w:rFonts w:ascii="宋体" w:hAnsi="宋体"/>
                <w:color w:val="auto"/>
                <w:szCs w:val="21"/>
                <w:highlight w:val="none"/>
              </w:rPr>
              <w:t>形式评审与响应性评审标准</w:t>
            </w:r>
          </w:p>
        </w:tc>
        <w:tc>
          <w:tcPr>
            <w:tcW w:w="7051" w:type="dxa"/>
            <w:vAlign w:val="center"/>
          </w:tcPr>
          <w:p>
            <w:pPr>
              <w:spacing w:line="360" w:lineRule="exact"/>
              <w:jc w:val="left"/>
              <w:rPr>
                <w:rFonts w:hint="eastAsia" w:ascii="宋体" w:hAnsi="宋体"/>
                <w:b/>
                <w:color w:val="auto"/>
                <w:szCs w:val="21"/>
                <w:highlight w:val="none"/>
              </w:rPr>
            </w:pPr>
            <w:r>
              <w:rPr>
                <w:rFonts w:hint="eastAsia" w:ascii="宋体" w:hAnsi="宋体"/>
                <w:b/>
                <w:color w:val="auto"/>
                <w:szCs w:val="21"/>
                <w:highlight w:val="none"/>
              </w:rPr>
              <w:t>第二信封（报价文件）评审标准：</w:t>
            </w:r>
          </w:p>
          <w:p>
            <w:pPr>
              <w:spacing w:line="360" w:lineRule="exact"/>
              <w:ind w:firstLine="39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投标文件按照招标文件规定的格式、内容填写，字迹清晰可辨：</w:t>
            </w:r>
          </w:p>
          <w:p>
            <w:pPr>
              <w:spacing w:line="360" w:lineRule="exact"/>
              <w:ind w:firstLine="390"/>
              <w:rPr>
                <w:rFonts w:ascii="宋体" w:hAnsi="宋体"/>
                <w:color w:val="auto"/>
                <w:szCs w:val="21"/>
                <w:highlight w:val="none"/>
              </w:rPr>
            </w:pPr>
            <w:r>
              <w:rPr>
                <w:rFonts w:ascii="宋体" w:hAnsi="宋体"/>
                <w:color w:val="auto"/>
                <w:szCs w:val="21"/>
                <w:highlight w:val="none"/>
              </w:rPr>
              <w:t>a.投标函按招标文件规定填报了</w:t>
            </w:r>
            <w:r>
              <w:rPr>
                <w:rFonts w:hint="eastAsia" w:ascii="宋体" w:hAnsi="宋体"/>
                <w:color w:val="auto"/>
                <w:szCs w:val="21"/>
                <w:highlight w:val="none"/>
              </w:rPr>
              <w:t>项目名称、标段号、补遗书编号（如有）、投标价（包括大写金额和小写金额）</w:t>
            </w:r>
            <w:r>
              <w:rPr>
                <w:rFonts w:ascii="宋体" w:hAnsi="宋体"/>
                <w:color w:val="auto"/>
                <w:szCs w:val="21"/>
                <w:highlight w:val="none"/>
              </w:rPr>
              <w:t>；</w:t>
            </w:r>
          </w:p>
          <w:p>
            <w:pPr>
              <w:spacing w:line="360" w:lineRule="exact"/>
              <w:ind w:firstLine="390"/>
              <w:rPr>
                <w:rFonts w:hint="eastAsia" w:ascii="宋体" w:hAnsi="宋体"/>
                <w:color w:val="auto"/>
                <w:szCs w:val="21"/>
                <w:highlight w:val="none"/>
              </w:rPr>
            </w:pPr>
            <w:r>
              <w:rPr>
                <w:rFonts w:ascii="宋体" w:hAnsi="宋体"/>
                <w:color w:val="auto"/>
                <w:szCs w:val="21"/>
                <w:highlight w:val="none"/>
              </w:rPr>
              <w:t>b.已标价工程量清单</w:t>
            </w:r>
            <w:r>
              <w:rPr>
                <w:rFonts w:hint="eastAsia" w:ascii="宋体" w:hAnsi="宋体"/>
                <w:color w:val="auto"/>
                <w:szCs w:val="21"/>
                <w:highlight w:val="none"/>
              </w:rPr>
              <w:t>及清单</w:t>
            </w:r>
            <w:r>
              <w:rPr>
                <w:rFonts w:ascii="宋体" w:hAnsi="宋体"/>
                <w:color w:val="auto"/>
                <w:szCs w:val="21"/>
                <w:highlight w:val="none"/>
              </w:rPr>
              <w:t>说明文字与招标文件规定一致，</w:t>
            </w:r>
            <w:r>
              <w:rPr>
                <w:rFonts w:hint="eastAsia" w:ascii="宋体" w:hAnsi="宋体"/>
                <w:color w:val="auto"/>
                <w:szCs w:val="21"/>
                <w:highlight w:val="none"/>
              </w:rPr>
              <w:t>未</w:t>
            </w:r>
            <w:r>
              <w:rPr>
                <w:rFonts w:ascii="宋体" w:hAnsi="宋体"/>
                <w:color w:val="auto"/>
                <w:szCs w:val="21"/>
                <w:highlight w:val="none"/>
              </w:rPr>
              <w:t>进行修改和删减；</w:t>
            </w:r>
          </w:p>
          <w:p>
            <w:pPr>
              <w:spacing w:line="360" w:lineRule="exact"/>
              <w:ind w:firstLine="390"/>
              <w:rPr>
                <w:rFonts w:hint="eastAsia" w:ascii="宋体" w:hAnsi="宋体"/>
                <w:color w:val="auto"/>
                <w:szCs w:val="21"/>
                <w:highlight w:val="none"/>
              </w:rPr>
            </w:pPr>
            <w:r>
              <w:rPr>
                <w:rFonts w:hint="eastAsia" w:ascii="宋体" w:hAnsi="宋体"/>
                <w:color w:val="auto"/>
                <w:szCs w:val="21"/>
                <w:highlight w:val="none"/>
              </w:rPr>
              <w:t>c.投标文件（第二信封）组成齐全完整，份数符合规定，内容按规定填写。</w:t>
            </w:r>
          </w:p>
          <w:p>
            <w:pPr>
              <w:spacing w:line="360" w:lineRule="exact"/>
              <w:ind w:firstLine="39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投标文件上法定代表人或其授权代理人的签字、投标人的单位章盖章齐全，符合招标文件</w:t>
            </w:r>
            <w:r>
              <w:rPr>
                <w:rFonts w:hint="eastAsia" w:ascii="宋体" w:hAnsi="宋体"/>
                <w:color w:val="auto"/>
                <w:szCs w:val="21"/>
                <w:highlight w:val="none"/>
              </w:rPr>
              <w:t>的</w:t>
            </w:r>
            <w:r>
              <w:rPr>
                <w:rFonts w:ascii="宋体" w:hAnsi="宋体"/>
                <w:color w:val="auto"/>
                <w:szCs w:val="21"/>
                <w:highlight w:val="none"/>
              </w:rPr>
              <w:t>规定</w:t>
            </w:r>
            <w:r>
              <w:rPr>
                <w:rFonts w:hint="eastAsia" w:ascii="宋体" w:hAnsi="宋体"/>
                <w:color w:val="auto"/>
                <w:szCs w:val="21"/>
                <w:highlight w:val="none"/>
              </w:rPr>
              <w:t>；</w:t>
            </w:r>
          </w:p>
          <w:p>
            <w:pPr>
              <w:spacing w:line="360" w:lineRule="exact"/>
              <w:ind w:firstLine="390"/>
              <w:rPr>
                <w:rFonts w:hint="eastAsia"/>
                <w:highlight w:val="none"/>
              </w:rPr>
            </w:pPr>
            <w:r>
              <w:rPr>
                <w:rFonts w:hint="eastAsia"/>
                <w:highlight w:val="none"/>
              </w:rPr>
              <w:t>（3）</w:t>
            </w:r>
            <w:r>
              <w:rPr>
                <w:rFonts w:hint="default" w:ascii="Times New Roman" w:hAnsi="Times New Roman"/>
                <w:color w:val="000000"/>
                <w:szCs w:val="24"/>
                <w:highlight w:val="none"/>
              </w:rPr>
              <w:t>投标报价中的报价未超过招标文件设定的</w:t>
            </w:r>
            <w:r>
              <w:rPr>
                <w:rFonts w:hint="default" w:ascii="Times New Roman" w:hAnsi="Times New Roman"/>
                <w:b w:val="0"/>
                <w:bCs w:val="0"/>
                <w:color w:val="000000"/>
                <w:szCs w:val="24"/>
                <w:highlight w:val="none"/>
              </w:rPr>
              <w:t>最</w:t>
            </w:r>
            <w:r>
              <w:rPr>
                <w:rFonts w:hint="default" w:ascii="Times New Roman" w:hAnsi="Times New Roman"/>
                <w:b w:val="0"/>
                <w:color w:val="000000"/>
                <w:szCs w:val="24"/>
                <w:highlight w:val="none"/>
              </w:rPr>
              <w:t>高投标限价</w:t>
            </w:r>
            <w:r>
              <w:rPr>
                <w:rFonts w:hint="default" w:ascii="Times New Roman" w:hAnsi="Times New Roman"/>
                <w:color w:val="000000"/>
                <w:szCs w:val="24"/>
                <w:highlight w:val="none"/>
              </w:rPr>
              <w:t>。</w:t>
            </w:r>
          </w:p>
          <w:p>
            <w:pPr>
              <w:spacing w:line="360" w:lineRule="exact"/>
              <w:ind w:firstLine="390"/>
              <w:rPr>
                <w:rFonts w:hint="eastAsia" w:ascii="宋体" w:hAnsi="宋体"/>
                <w:color w:val="auto"/>
                <w:szCs w:val="21"/>
                <w:highlight w:val="none"/>
              </w:rPr>
            </w:pPr>
            <w:r>
              <w:rPr>
                <w:rFonts w:hint="eastAsia" w:ascii="宋体" w:hAnsi="宋体"/>
                <w:color w:val="auto"/>
                <w:szCs w:val="21"/>
                <w:highlight w:val="none"/>
              </w:rPr>
              <w:t>（4）投标报价中报价的大写金额能够确定具体数值。</w:t>
            </w:r>
          </w:p>
          <w:p>
            <w:pPr>
              <w:spacing w:line="360" w:lineRule="exact"/>
              <w:ind w:firstLine="390"/>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投标人</w:t>
            </w:r>
            <w:r>
              <w:rPr>
                <w:rFonts w:hint="eastAsia" w:ascii="宋体" w:hAnsi="宋体"/>
                <w:color w:val="auto"/>
                <w:szCs w:val="21"/>
                <w:highlight w:val="none"/>
              </w:rPr>
              <w:t>须</w:t>
            </w:r>
            <w:r>
              <w:rPr>
                <w:rFonts w:ascii="宋体" w:hAnsi="宋体"/>
                <w:color w:val="auto"/>
                <w:szCs w:val="21"/>
                <w:highlight w:val="none"/>
              </w:rPr>
              <w:t>对</w:t>
            </w:r>
            <w:r>
              <w:rPr>
                <w:rFonts w:hint="eastAsia" w:ascii="宋体" w:hAnsi="宋体"/>
                <w:color w:val="auto"/>
                <w:szCs w:val="21"/>
                <w:highlight w:val="none"/>
              </w:rPr>
              <w:t>本项目提供独立的投标报价，同一标段的同一投标人仅可提交一个投标报价，但招标文件要求提交备选投标的除外。</w:t>
            </w:r>
          </w:p>
          <w:p>
            <w:pPr>
              <w:spacing w:line="360" w:lineRule="exact"/>
              <w:ind w:firstLine="390"/>
              <w:rPr>
                <w:rFonts w:hint="eastAsia"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投标人</w:t>
            </w:r>
            <w:r>
              <w:rPr>
                <w:rFonts w:hint="eastAsia" w:ascii="宋体" w:hAnsi="宋体"/>
                <w:color w:val="auto"/>
                <w:szCs w:val="21"/>
                <w:highlight w:val="none"/>
              </w:rPr>
              <w:t>必须严格按照</w:t>
            </w:r>
            <w:r>
              <w:rPr>
                <w:rFonts w:ascii="宋体" w:hAnsi="宋体"/>
                <w:color w:val="auto"/>
                <w:szCs w:val="21"/>
                <w:highlight w:val="none"/>
              </w:rPr>
              <w:t>工程量固化清单填写，填写完毕的工程量固化清单未对工程量固化清单电子文件中的数据、格式和运算定义进行修改</w:t>
            </w:r>
            <w:r>
              <w:rPr>
                <w:rFonts w:hint="eastAsia" w:ascii="宋体" w:hAnsi="宋体"/>
                <w:color w:val="auto"/>
                <w:szCs w:val="21"/>
                <w:highlight w:val="none"/>
              </w:rPr>
              <w:t>；工程量固化清单中的投标报价和投标函大写金额报价一致。</w:t>
            </w:r>
          </w:p>
          <w:p>
            <w:pPr>
              <w:spacing w:line="360" w:lineRule="exact"/>
              <w:ind w:firstLine="390" w:firstLineChars="0"/>
              <w:rPr>
                <w:rFonts w:hint="eastAsia" w:ascii="宋体" w:hAnsi="宋体"/>
                <w:color w:val="auto"/>
                <w:highlight w:val="none"/>
              </w:rPr>
            </w:pPr>
            <w:r>
              <w:rPr>
                <w:rFonts w:hint="eastAsia" w:ascii="宋体" w:hAnsi="宋体"/>
                <w:color w:val="auto"/>
                <w:szCs w:val="21"/>
                <w:highlight w:val="none"/>
              </w:rPr>
              <w:t>（7）投标人必须按招标人提供的具有防伪水印的固化工程量清单打印并装订在投标文件中。</w:t>
            </w:r>
            <w:r>
              <w:rPr>
                <w:rFonts w:ascii="宋体" w:hAnsi="宋体"/>
                <w:color w:val="auto"/>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6" w:hRule="atLeast"/>
        </w:trPr>
        <w:tc>
          <w:tcPr>
            <w:tcW w:w="911" w:type="dxa"/>
            <w:vAlign w:val="center"/>
          </w:tcPr>
          <w:p>
            <w:pPr>
              <w:spacing w:line="360" w:lineRule="exact"/>
              <w:jc w:val="center"/>
              <w:rPr>
                <w:spacing w:val="-2"/>
                <w:sz w:val="21"/>
                <w:highlight w:val="none"/>
              </w:rPr>
            </w:pPr>
            <w:r>
              <w:rPr>
                <w:rFonts w:ascii="宋体" w:hAnsi="宋体"/>
                <w:color w:val="auto"/>
                <w:szCs w:val="21"/>
                <w:highlight w:val="none"/>
              </w:rPr>
              <w:t>2.1.2</w:t>
            </w:r>
          </w:p>
        </w:tc>
        <w:tc>
          <w:tcPr>
            <w:tcW w:w="1131" w:type="dxa"/>
            <w:vAlign w:val="center"/>
          </w:tcPr>
          <w:p>
            <w:pPr>
              <w:spacing w:line="360" w:lineRule="exact"/>
              <w:jc w:val="center"/>
              <w:rPr>
                <w:spacing w:val="-4"/>
                <w:sz w:val="21"/>
                <w:highlight w:val="none"/>
              </w:rPr>
            </w:pPr>
            <w:r>
              <w:rPr>
                <w:rFonts w:ascii="宋体" w:hAnsi="宋体"/>
                <w:color w:val="auto"/>
                <w:szCs w:val="21"/>
                <w:highlight w:val="none"/>
              </w:rPr>
              <w:t>资格评审标准</w:t>
            </w:r>
          </w:p>
        </w:tc>
        <w:tc>
          <w:tcPr>
            <w:tcW w:w="7051" w:type="dxa"/>
            <w:vAlign w:val="center"/>
          </w:tcPr>
          <w:p>
            <w:pPr>
              <w:spacing w:line="360" w:lineRule="exact"/>
              <w:ind w:firstLine="39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投标人具备有效的营业执照</w:t>
            </w:r>
            <w:r>
              <w:rPr>
                <w:rFonts w:hint="eastAsia" w:ascii="宋体" w:hAnsi="宋体"/>
                <w:color w:val="auto"/>
                <w:highlight w:val="none"/>
              </w:rPr>
              <w:t>、</w:t>
            </w:r>
            <w:r>
              <w:rPr>
                <w:rFonts w:ascii="宋体" w:hAnsi="宋体"/>
                <w:color w:val="auto"/>
                <w:szCs w:val="21"/>
                <w:highlight w:val="none"/>
              </w:rPr>
              <w:t>资质证书</w:t>
            </w:r>
            <w:r>
              <w:rPr>
                <w:rFonts w:hint="eastAsia" w:ascii="宋体" w:hAnsi="宋体"/>
                <w:color w:val="auto"/>
                <w:szCs w:val="21"/>
                <w:highlight w:val="none"/>
              </w:rPr>
              <w:t>、</w:t>
            </w:r>
            <w:r>
              <w:rPr>
                <w:rFonts w:ascii="宋体" w:hAnsi="宋体"/>
                <w:color w:val="auto"/>
                <w:szCs w:val="21"/>
                <w:highlight w:val="none"/>
              </w:rPr>
              <w:t>安全生产许可证</w:t>
            </w:r>
            <w:r>
              <w:rPr>
                <w:rFonts w:hint="eastAsia" w:ascii="宋体" w:hAnsi="宋体"/>
                <w:color w:val="auto"/>
                <w:szCs w:val="21"/>
                <w:highlight w:val="none"/>
              </w:rPr>
              <w:t>和基本账户开户许可证</w:t>
            </w:r>
            <w:r>
              <w:rPr>
                <w:rFonts w:hint="eastAsia" w:ascii="隶书" w:hAnsi="隶书" w:eastAsia="隶书" w:cs="隶书"/>
                <w:i w:val="0"/>
                <w:iCs w:val="0"/>
                <w:color w:val="auto"/>
                <w:szCs w:val="21"/>
                <w:highlight w:val="none"/>
                <w:lang w:val="en-US" w:eastAsia="zh-CN"/>
              </w:rPr>
              <w:t>（</w:t>
            </w:r>
            <w:r>
              <w:rPr>
                <w:rFonts w:hint="eastAsia" w:ascii="宋体" w:hAnsi="宋体"/>
                <w:color w:val="auto"/>
                <w:szCs w:val="21"/>
                <w:highlight w:val="none"/>
                <w:lang w:val="en-US" w:eastAsia="zh-CN"/>
              </w:rPr>
              <w:t>如企业所在地已取消企业银行账户许可证而无法提供开户许可证，须附上银行出具的基本存款账户信息资料）</w:t>
            </w:r>
            <w:r>
              <w:rPr>
                <w:rFonts w:ascii="宋体" w:hAnsi="宋体"/>
                <w:color w:val="auto"/>
                <w:szCs w:val="21"/>
                <w:highlight w:val="none"/>
              </w:rPr>
              <w:t>；</w:t>
            </w:r>
          </w:p>
          <w:p>
            <w:pPr>
              <w:spacing w:line="360" w:lineRule="exact"/>
              <w:ind w:firstLine="39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投标人的资质等级符合招标文件规定；</w:t>
            </w:r>
          </w:p>
          <w:p>
            <w:pPr>
              <w:spacing w:line="360" w:lineRule="exact"/>
              <w:ind w:firstLine="39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投标人的财务状况符合招标文件规定；</w:t>
            </w:r>
          </w:p>
          <w:p>
            <w:pPr>
              <w:spacing w:line="360" w:lineRule="exact"/>
              <w:ind w:firstLine="39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投标人的类似项目业绩符合招标文件规定；</w:t>
            </w:r>
          </w:p>
          <w:p>
            <w:pPr>
              <w:spacing w:line="360" w:lineRule="exact"/>
              <w:ind w:firstLine="39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投标人的信誉符合招标文件规定；</w:t>
            </w:r>
          </w:p>
          <w:p>
            <w:pPr>
              <w:spacing w:line="360" w:lineRule="exact"/>
              <w:ind w:firstLine="390"/>
              <w:rPr>
                <w:rFonts w:ascii="宋体" w:hAnsi="宋体"/>
                <w:color w:val="auto"/>
                <w:szCs w:val="21"/>
                <w:highlight w:val="none"/>
              </w:rPr>
            </w:pPr>
            <w:r>
              <w:rPr>
                <w:rFonts w:hint="eastAsia" w:ascii="宋体" w:hAnsi="宋体"/>
                <w:color w:val="auto"/>
                <w:szCs w:val="21"/>
                <w:highlight w:val="none"/>
              </w:rPr>
              <w:t>（6）</w:t>
            </w:r>
            <w:r>
              <w:rPr>
                <w:rFonts w:hint="eastAsia" w:ascii="宋体" w:hAnsi="宋体"/>
                <w:b/>
                <w:bCs/>
                <w:color w:val="auto"/>
                <w:szCs w:val="21"/>
                <w:highlight w:val="none"/>
              </w:rPr>
              <w:t>投标人的项目经理和项目总工资格、在岗情况符合招标文件规定</w:t>
            </w:r>
            <w:r>
              <w:rPr>
                <w:rFonts w:hint="eastAsia" w:ascii="宋体" w:hAnsi="宋体"/>
                <w:b/>
                <w:bCs/>
                <w:color w:val="auto"/>
                <w:szCs w:val="21"/>
                <w:highlight w:val="none"/>
                <w:lang w:val="en-US" w:eastAsia="zh-CN"/>
              </w:rPr>
              <w:t>，并按规定在投标文件中签字确认；</w:t>
            </w:r>
          </w:p>
          <w:p>
            <w:pPr>
              <w:spacing w:line="360" w:lineRule="exact"/>
              <w:ind w:firstLine="39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投标人的其他要求</w:t>
            </w:r>
            <w:r>
              <w:rPr>
                <w:rFonts w:hint="eastAsia" w:ascii="宋体" w:hAnsi="宋体"/>
                <w:color w:val="auto"/>
                <w:szCs w:val="21"/>
                <w:highlight w:val="none"/>
              </w:rPr>
              <w:t>，如机械设备、材料等</w:t>
            </w:r>
            <w:r>
              <w:rPr>
                <w:rFonts w:ascii="宋体" w:hAnsi="宋体"/>
                <w:color w:val="auto"/>
                <w:szCs w:val="21"/>
                <w:highlight w:val="none"/>
              </w:rPr>
              <w:t>符合招标文件规定；</w:t>
            </w:r>
          </w:p>
          <w:p>
            <w:pPr>
              <w:spacing w:line="360" w:lineRule="exact"/>
              <w:ind w:firstLine="390"/>
              <w:rPr>
                <w:rFonts w:hint="eastAsia"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不存在第二章“投标人须知”第1.4.3项</w:t>
            </w:r>
            <w:r>
              <w:rPr>
                <w:rFonts w:hint="eastAsia" w:ascii="宋体" w:hAnsi="宋体"/>
                <w:color w:val="auto"/>
                <w:szCs w:val="21"/>
                <w:highlight w:val="none"/>
              </w:rPr>
              <w:t>或第1.4.4项</w:t>
            </w:r>
            <w:r>
              <w:rPr>
                <w:rFonts w:ascii="宋体" w:hAnsi="宋体"/>
                <w:color w:val="auto"/>
                <w:szCs w:val="21"/>
                <w:highlight w:val="none"/>
              </w:rPr>
              <w:t>规定的任何一种情形</w:t>
            </w:r>
            <w:r>
              <w:rPr>
                <w:rFonts w:hint="eastAsia" w:ascii="宋体" w:hAnsi="宋体"/>
                <w:color w:val="auto"/>
                <w:szCs w:val="21"/>
                <w:highlight w:val="none"/>
              </w:rPr>
              <w:t>。</w:t>
            </w:r>
            <w:r>
              <w:rPr>
                <w:rFonts w:ascii="宋体" w:hAnsi="宋体"/>
                <w:color w:val="auto"/>
                <w:szCs w:val="21"/>
                <w:highlight w:val="none"/>
              </w:rPr>
              <w:t xml:space="preserve"> </w:t>
            </w:r>
          </w:p>
          <w:p>
            <w:pPr>
              <w:spacing w:line="360" w:lineRule="exact"/>
              <w:ind w:firstLine="390" w:firstLineChars="0"/>
              <w:rPr>
                <w:rFonts w:hint="eastAsia" w:ascii="宋体" w:hAnsi="宋体"/>
                <w:color w:val="auto"/>
                <w:highlight w:val="none"/>
              </w:rPr>
            </w:pPr>
            <w:r>
              <w:rPr>
                <w:rFonts w:hint="eastAsia" w:ascii="宋体" w:hAnsi="宋体"/>
                <w:color w:val="auto"/>
                <w:szCs w:val="21"/>
                <w:highlight w:val="none"/>
              </w:rPr>
              <w:t>（9）投标人符合第二章</w:t>
            </w:r>
            <w:r>
              <w:rPr>
                <w:rFonts w:ascii="宋体" w:hAnsi="宋体"/>
                <w:color w:val="auto"/>
                <w:szCs w:val="21"/>
                <w:highlight w:val="none"/>
              </w:rPr>
              <w:t>“投标人须知”第1.4.</w:t>
            </w:r>
            <w:r>
              <w:rPr>
                <w:rFonts w:hint="eastAsia" w:ascii="宋体" w:hAnsi="宋体"/>
                <w:color w:val="auto"/>
                <w:szCs w:val="21"/>
                <w:highlight w:val="none"/>
              </w:rPr>
              <w:t>5</w:t>
            </w:r>
            <w:r>
              <w:rPr>
                <w:rFonts w:ascii="宋体" w:hAnsi="宋体"/>
                <w:color w:val="auto"/>
                <w:szCs w:val="21"/>
                <w:highlight w:val="none"/>
              </w:rPr>
              <w:t>项规定</w:t>
            </w:r>
            <w:r>
              <w:rPr>
                <w:rFonts w:hint="eastAsia" w:ascii="宋体" w:hAnsi="宋体"/>
                <w:color w:val="auto"/>
                <w:szCs w:val="21"/>
                <w:highlight w:val="none"/>
              </w:rPr>
              <w:t>。</w:t>
            </w:r>
          </w:p>
        </w:tc>
      </w:tr>
    </w:tbl>
    <w:p>
      <w:pPr>
        <w:pStyle w:val="4"/>
        <w:rPr>
          <w:b/>
          <w:sz w:val="20"/>
          <w:highlight w:val="none"/>
        </w:rPr>
      </w:pPr>
    </w:p>
    <w:p>
      <w:pPr>
        <w:pStyle w:val="4"/>
        <w:rPr>
          <w:b/>
          <w:sz w:val="20"/>
          <w:highlight w:val="none"/>
        </w:rPr>
      </w:pPr>
    </w:p>
    <w:p>
      <w:pPr>
        <w:pStyle w:val="4"/>
        <w:rPr>
          <w:b/>
          <w:sz w:val="20"/>
          <w:highlight w:val="none"/>
        </w:rPr>
      </w:pPr>
    </w:p>
    <w:p>
      <w:pPr>
        <w:pStyle w:val="4"/>
        <w:rPr>
          <w:b/>
          <w:sz w:val="20"/>
          <w:highlight w:val="none"/>
        </w:rPr>
      </w:pPr>
    </w:p>
    <w:p>
      <w:pPr>
        <w:pStyle w:val="4"/>
        <w:rPr>
          <w:b/>
          <w:sz w:val="20"/>
          <w:highlight w:val="none"/>
        </w:rPr>
      </w:pPr>
    </w:p>
    <w:p>
      <w:pPr>
        <w:pStyle w:val="4"/>
        <w:rPr>
          <w:b/>
          <w:sz w:val="20"/>
          <w:highlight w:val="none"/>
        </w:rPr>
      </w:pPr>
    </w:p>
    <w:p>
      <w:pPr>
        <w:pStyle w:val="4"/>
        <w:spacing w:before="11"/>
        <w:rPr>
          <w:b/>
          <w:sz w:val="20"/>
          <w:highlight w:val="none"/>
        </w:rPr>
      </w:pPr>
      <w:r>
        <w:rPr>
          <w:highlight w:val="none"/>
        </w:rPr>
        <mc:AlternateContent>
          <mc:Choice Requires="wps">
            <w:drawing>
              <wp:anchor distT="0" distB="0" distL="114300" distR="114300" simplePos="0" relativeHeight="251670528" behindDoc="1" locked="0" layoutInCell="1" allowOverlap="1">
                <wp:simplePos x="0" y="0"/>
                <wp:positionH relativeFrom="page">
                  <wp:posOffset>899160</wp:posOffset>
                </wp:positionH>
                <wp:positionV relativeFrom="paragraph">
                  <wp:posOffset>185420</wp:posOffset>
                </wp:positionV>
                <wp:extent cx="1828800" cy="1270"/>
                <wp:effectExtent l="0" t="0" r="0" b="0"/>
                <wp:wrapTopAndBottom/>
                <wp:docPr id="7" name="任意多边形 7"/>
                <wp:cNvGraphicFramePr/>
                <a:graphic xmlns:a="http://schemas.openxmlformats.org/drawingml/2006/main">
                  <a:graphicData uri="http://schemas.microsoft.com/office/word/2010/wordprocessingShape">
                    <wps:wsp>
                      <wps:cNvSpPr/>
                      <wps:spPr>
                        <a:xfrm>
                          <a:off x="0" y="0"/>
                          <a:ext cx="1828800" cy="1270"/>
                        </a:xfrm>
                        <a:custGeom>
                          <a:avLst/>
                          <a:gdLst/>
                          <a:ahLst/>
                          <a:cxnLst/>
                          <a:pathLst>
                            <a:path w="2880">
                              <a:moveTo>
                                <a:pt x="0" y="0"/>
                              </a:moveTo>
                              <a:lnTo>
                                <a:pt x="2880" y="0"/>
                              </a:lnTo>
                            </a:path>
                          </a:pathLst>
                        </a:custGeom>
                        <a:noFill/>
                        <a:ln w="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8pt;margin-top:14.6pt;height:0.1pt;width:144pt;mso-position-horizontal-relative:page;mso-wrap-distance-bottom:0pt;mso-wrap-distance-top:0pt;z-index:-251645952;mso-width-relative:page;mso-height-relative:page;" filled="f" stroked="t" coordsize="2880,1" o:gfxdata="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NYLzrUAAAACQEAAA8AAAAAAAAAAQAgAAAAIgAA&#10;AGRycy9kb3ducmV2LnhtbFBLAQIUABQAAAAIAIdO4kDulnW/DAIAADQEAAAOAAAAAAAAAAEAIAAA&#10;ACMBAABkcnMvZTJvRG9jLnhtbFBLBQYAAAAABgAGAFkBAAChBQAAAAA=&#10;" path="m0,0l2880,0e">
                <v:fill on="f" focussize="0,0"/>
                <v:stroke weight="0pt" color="#000000" joinstyle="round"/>
                <v:imagedata o:title=""/>
                <o:lock v:ext="edit" aspectratio="f"/>
                <w10:wrap type="topAndBottom"/>
              </v:shape>
            </w:pict>
          </mc:Fallback>
        </mc:AlternateContent>
      </w:r>
    </w:p>
    <w:p>
      <w:pPr>
        <w:spacing w:before="123"/>
        <w:ind w:left="415" w:right="0" w:firstLine="0"/>
        <w:jc w:val="left"/>
        <w:rPr>
          <w:sz w:val="18"/>
          <w:highlight w:val="none"/>
        </w:rPr>
      </w:pPr>
      <w:r>
        <w:rPr>
          <w:spacing w:val="-1"/>
          <w:sz w:val="18"/>
          <w:highlight w:val="none"/>
        </w:rPr>
        <w:t>①本评标办法适用于所有的标段类别。</w:t>
      </w:r>
    </w:p>
    <w:p>
      <w:pPr>
        <w:spacing w:before="2" w:line="242" w:lineRule="auto"/>
        <w:ind w:left="415" w:right="663" w:firstLine="0"/>
        <w:jc w:val="left"/>
        <w:rPr>
          <w:sz w:val="18"/>
          <w:highlight w:val="none"/>
        </w:rPr>
      </w:pPr>
      <w:r>
        <w:rPr>
          <w:spacing w:val="-4"/>
          <w:sz w:val="18"/>
          <w:highlight w:val="none"/>
        </w:rPr>
        <w:t xml:space="preserve">②若出现投标人须知前附表 </w:t>
      </w:r>
      <w:r>
        <w:rPr>
          <w:rFonts w:ascii="Times New Roman" w:hAnsi="Times New Roman" w:eastAsia="Times New Roman"/>
          <w:sz w:val="18"/>
          <w:highlight w:val="none"/>
        </w:rPr>
        <w:t>10.2.6</w:t>
      </w:r>
      <w:r>
        <w:rPr>
          <w:rFonts w:ascii="Times New Roman" w:hAnsi="Times New Roman" w:eastAsia="Times New Roman"/>
          <w:spacing w:val="-12"/>
          <w:sz w:val="18"/>
          <w:highlight w:val="none"/>
        </w:rPr>
        <w:t xml:space="preserve"> </w:t>
      </w:r>
      <w:r>
        <w:rPr>
          <w:sz w:val="18"/>
          <w:highlight w:val="none"/>
        </w:rPr>
        <w:t>项招标内容包含多个类别的情况，按该条款的原则计算最终信用等级得分，得分</w:t>
      </w:r>
      <w:r>
        <w:rPr>
          <w:spacing w:val="-2"/>
          <w:sz w:val="18"/>
          <w:highlight w:val="none"/>
        </w:rPr>
        <w:t>较高的优先。</w:t>
      </w:r>
    </w:p>
    <w:p>
      <w:pPr>
        <w:spacing w:after="0" w:line="242" w:lineRule="auto"/>
        <w:jc w:val="left"/>
        <w:rPr>
          <w:sz w:val="18"/>
          <w:highlight w:val="none"/>
        </w:rPr>
        <w:sectPr>
          <w:pgSz w:w="11900" w:h="16840"/>
          <w:pgMar w:top="1320" w:right="820" w:bottom="1120" w:left="1000" w:header="708" w:footer="921" w:gutter="0"/>
          <w:pgBorders>
            <w:top w:val="none" w:sz="0" w:space="0"/>
            <w:left w:val="none" w:sz="0" w:space="0"/>
            <w:bottom w:val="none" w:sz="0" w:space="0"/>
            <w:right w:val="none" w:sz="0" w:space="0"/>
          </w:pgBorders>
          <w:pgNumType w:fmt="numberInDash"/>
          <w:cols w:space="720" w:num="1"/>
        </w:sectPr>
      </w:pPr>
    </w:p>
    <w:tbl>
      <w:tblPr>
        <w:tblStyle w:val="9"/>
        <w:tblW w:w="9113" w:type="dxa"/>
        <w:tblInd w:w="4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1417"/>
        <w:gridCol w:w="6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871" w:type="dxa"/>
          </w:tcPr>
          <w:p>
            <w:pPr>
              <w:pStyle w:val="12"/>
              <w:spacing w:before="46"/>
              <w:ind w:left="119" w:right="110"/>
              <w:jc w:val="center"/>
              <w:rPr>
                <w:b/>
                <w:sz w:val="21"/>
                <w:highlight w:val="none"/>
              </w:rPr>
            </w:pPr>
            <w:r>
              <w:rPr>
                <w:b/>
                <w:w w:val="95"/>
                <w:sz w:val="21"/>
                <w:highlight w:val="none"/>
              </w:rPr>
              <w:t>条款</w:t>
            </w:r>
            <w:r>
              <w:rPr>
                <w:b/>
                <w:spacing w:val="-10"/>
                <w:w w:val="95"/>
                <w:sz w:val="21"/>
                <w:highlight w:val="none"/>
              </w:rPr>
              <w:t>号</w:t>
            </w:r>
          </w:p>
        </w:tc>
        <w:tc>
          <w:tcPr>
            <w:tcW w:w="1417" w:type="dxa"/>
          </w:tcPr>
          <w:p>
            <w:pPr>
              <w:pStyle w:val="12"/>
              <w:spacing w:before="46"/>
              <w:ind w:left="287"/>
              <w:rPr>
                <w:b/>
                <w:sz w:val="21"/>
                <w:highlight w:val="none"/>
              </w:rPr>
            </w:pPr>
            <w:r>
              <w:rPr>
                <w:b/>
                <w:w w:val="95"/>
                <w:sz w:val="21"/>
                <w:highlight w:val="none"/>
              </w:rPr>
              <w:t>条款内</w:t>
            </w:r>
            <w:r>
              <w:rPr>
                <w:b/>
                <w:spacing w:val="-10"/>
                <w:w w:val="95"/>
                <w:sz w:val="21"/>
                <w:highlight w:val="none"/>
              </w:rPr>
              <w:t>容</w:t>
            </w:r>
          </w:p>
        </w:tc>
        <w:tc>
          <w:tcPr>
            <w:tcW w:w="6825" w:type="dxa"/>
          </w:tcPr>
          <w:p>
            <w:pPr>
              <w:pStyle w:val="12"/>
              <w:spacing w:before="46"/>
              <w:ind w:left="2996" w:right="2986"/>
              <w:jc w:val="center"/>
              <w:rPr>
                <w:b/>
                <w:sz w:val="21"/>
                <w:highlight w:val="none"/>
              </w:rPr>
            </w:pPr>
            <w:r>
              <w:rPr>
                <w:b/>
                <w:w w:val="95"/>
                <w:sz w:val="21"/>
                <w:highlight w:val="none"/>
              </w:rPr>
              <w:t>编列内</w:t>
            </w:r>
            <w:r>
              <w:rPr>
                <w:b/>
                <w:spacing w:val="-10"/>
                <w:w w:val="95"/>
                <w:sz w:val="21"/>
                <w:highlight w:val="none"/>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871" w:type="dxa"/>
          </w:tcPr>
          <w:p>
            <w:pPr>
              <w:pStyle w:val="12"/>
              <w:spacing w:before="11"/>
              <w:rPr>
                <w:sz w:val="22"/>
                <w:highlight w:val="none"/>
              </w:rPr>
            </w:pPr>
          </w:p>
          <w:p>
            <w:pPr>
              <w:pStyle w:val="12"/>
              <w:ind w:left="118" w:right="110"/>
              <w:jc w:val="center"/>
              <w:rPr>
                <w:sz w:val="21"/>
                <w:highlight w:val="none"/>
              </w:rPr>
            </w:pPr>
            <w:r>
              <w:rPr>
                <w:spacing w:val="-2"/>
                <w:sz w:val="21"/>
                <w:highlight w:val="none"/>
              </w:rPr>
              <w:t>2.2.1</w:t>
            </w:r>
          </w:p>
        </w:tc>
        <w:tc>
          <w:tcPr>
            <w:tcW w:w="1417" w:type="dxa"/>
          </w:tcPr>
          <w:p>
            <w:pPr>
              <w:pStyle w:val="12"/>
              <w:spacing w:before="29"/>
              <w:ind w:left="155" w:right="149"/>
              <w:jc w:val="center"/>
              <w:rPr>
                <w:sz w:val="21"/>
                <w:highlight w:val="none"/>
              </w:rPr>
            </w:pPr>
            <w:r>
              <w:rPr>
                <w:spacing w:val="-3"/>
                <w:w w:val="95"/>
                <w:sz w:val="21"/>
                <w:highlight w:val="none"/>
              </w:rPr>
              <w:t>分值构成</w:t>
            </w:r>
          </w:p>
          <w:p>
            <w:pPr>
              <w:pStyle w:val="12"/>
              <w:spacing w:before="140"/>
              <w:ind w:left="156" w:right="149"/>
              <w:jc w:val="center"/>
              <w:rPr>
                <w:sz w:val="18"/>
                <w:highlight w:val="none"/>
              </w:rPr>
            </w:pPr>
            <w:r>
              <w:rPr>
                <w:spacing w:val="-12"/>
                <w:sz w:val="18"/>
                <w:highlight w:val="none"/>
              </w:rPr>
              <w:t xml:space="preserve">(总分 </w:t>
            </w:r>
            <w:r>
              <w:rPr>
                <w:spacing w:val="-2"/>
                <w:sz w:val="18"/>
                <w:highlight w:val="none"/>
              </w:rPr>
              <w:t>100</w:t>
            </w:r>
            <w:r>
              <w:rPr>
                <w:spacing w:val="-18"/>
                <w:sz w:val="18"/>
                <w:highlight w:val="none"/>
              </w:rPr>
              <w:t xml:space="preserve"> 分)</w:t>
            </w:r>
          </w:p>
        </w:tc>
        <w:tc>
          <w:tcPr>
            <w:tcW w:w="6825" w:type="dxa"/>
          </w:tcPr>
          <w:p>
            <w:pPr>
              <w:pStyle w:val="12"/>
              <w:ind w:left="123"/>
              <w:rPr>
                <w:sz w:val="21"/>
                <w:highlight w:val="none"/>
              </w:rPr>
            </w:pPr>
            <w:r>
              <w:rPr>
                <w:w w:val="95"/>
                <w:sz w:val="21"/>
                <w:highlight w:val="none"/>
              </w:rPr>
              <w:t>评标价：9</w:t>
            </w:r>
            <w:r>
              <w:rPr>
                <w:rFonts w:hint="eastAsia"/>
                <w:w w:val="95"/>
                <w:sz w:val="21"/>
                <w:highlight w:val="none"/>
                <w:lang w:val="en-US" w:eastAsia="zh-CN"/>
              </w:rPr>
              <w:t>0</w:t>
            </w:r>
            <w:r>
              <w:rPr>
                <w:spacing w:val="-6"/>
                <w:w w:val="95"/>
                <w:sz w:val="21"/>
                <w:highlight w:val="none"/>
              </w:rPr>
              <w:t xml:space="preserve"> 分</w:t>
            </w:r>
          </w:p>
          <w:p>
            <w:pPr>
              <w:pStyle w:val="12"/>
              <w:spacing w:before="139"/>
              <w:ind w:left="123"/>
              <w:rPr>
                <w:sz w:val="21"/>
                <w:highlight w:val="none"/>
              </w:rPr>
            </w:pPr>
            <w:r>
              <w:rPr>
                <w:w w:val="95"/>
                <w:sz w:val="21"/>
                <w:highlight w:val="none"/>
              </w:rPr>
              <w:t>其他因素：</w:t>
            </w:r>
            <w:r>
              <w:rPr>
                <w:rFonts w:hint="eastAsia"/>
                <w:w w:val="95"/>
                <w:sz w:val="21"/>
                <w:highlight w:val="none"/>
                <w:lang w:val="en-US" w:eastAsia="zh-CN"/>
              </w:rPr>
              <w:t>10</w:t>
            </w:r>
            <w:r>
              <w:rPr>
                <w:spacing w:val="-4"/>
                <w:sz w:val="21"/>
                <w:highlight w:val="none"/>
              </w:rPr>
              <w:t xml:space="preserve"> </w:t>
            </w:r>
            <w:r>
              <w:rPr>
                <w:spacing w:val="-10"/>
                <w:w w:val="95"/>
                <w:sz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05" w:hRule="atLeast"/>
        </w:trPr>
        <w:tc>
          <w:tcPr>
            <w:tcW w:w="871" w:type="dxa"/>
          </w:tcPr>
          <w:p>
            <w:pPr>
              <w:pStyle w:val="12"/>
              <w:rPr>
                <w:sz w:val="20"/>
                <w:highlight w:val="none"/>
              </w:rPr>
            </w:pPr>
          </w:p>
          <w:p>
            <w:pPr>
              <w:pStyle w:val="12"/>
              <w:rPr>
                <w:sz w:val="20"/>
                <w:highlight w:val="none"/>
              </w:rPr>
            </w:pPr>
          </w:p>
          <w:p>
            <w:pPr>
              <w:pStyle w:val="12"/>
              <w:rPr>
                <w:sz w:val="20"/>
                <w:highlight w:val="none"/>
              </w:rPr>
            </w:pPr>
          </w:p>
          <w:p>
            <w:pPr>
              <w:pStyle w:val="12"/>
              <w:rPr>
                <w:sz w:val="20"/>
                <w:highlight w:val="none"/>
              </w:rPr>
            </w:pPr>
          </w:p>
          <w:p>
            <w:pPr>
              <w:pStyle w:val="12"/>
              <w:rPr>
                <w:sz w:val="20"/>
                <w:highlight w:val="none"/>
              </w:rPr>
            </w:pPr>
          </w:p>
          <w:p>
            <w:pPr>
              <w:pStyle w:val="12"/>
              <w:rPr>
                <w:sz w:val="20"/>
                <w:highlight w:val="none"/>
              </w:rPr>
            </w:pPr>
          </w:p>
          <w:p>
            <w:pPr>
              <w:pStyle w:val="12"/>
              <w:rPr>
                <w:sz w:val="20"/>
                <w:highlight w:val="none"/>
              </w:rPr>
            </w:pPr>
          </w:p>
          <w:p>
            <w:pPr>
              <w:pStyle w:val="12"/>
              <w:rPr>
                <w:sz w:val="20"/>
                <w:highlight w:val="none"/>
              </w:rPr>
            </w:pPr>
          </w:p>
          <w:p>
            <w:pPr>
              <w:pStyle w:val="12"/>
              <w:rPr>
                <w:sz w:val="20"/>
                <w:highlight w:val="none"/>
              </w:rPr>
            </w:pPr>
          </w:p>
          <w:p>
            <w:pPr>
              <w:pStyle w:val="12"/>
              <w:rPr>
                <w:sz w:val="20"/>
                <w:highlight w:val="none"/>
              </w:rPr>
            </w:pPr>
          </w:p>
          <w:p>
            <w:pPr>
              <w:pStyle w:val="12"/>
              <w:rPr>
                <w:sz w:val="20"/>
                <w:highlight w:val="none"/>
              </w:rPr>
            </w:pPr>
          </w:p>
          <w:p>
            <w:pPr>
              <w:pStyle w:val="12"/>
              <w:rPr>
                <w:sz w:val="20"/>
                <w:highlight w:val="none"/>
              </w:rPr>
            </w:pPr>
          </w:p>
          <w:p>
            <w:pPr>
              <w:pStyle w:val="12"/>
              <w:rPr>
                <w:sz w:val="20"/>
                <w:highlight w:val="none"/>
              </w:rPr>
            </w:pPr>
          </w:p>
          <w:p>
            <w:pPr>
              <w:pStyle w:val="12"/>
              <w:rPr>
                <w:sz w:val="20"/>
                <w:highlight w:val="none"/>
              </w:rPr>
            </w:pPr>
          </w:p>
          <w:p>
            <w:pPr>
              <w:pStyle w:val="12"/>
              <w:rPr>
                <w:sz w:val="20"/>
                <w:highlight w:val="none"/>
              </w:rPr>
            </w:pPr>
          </w:p>
          <w:p>
            <w:pPr>
              <w:pStyle w:val="12"/>
              <w:rPr>
                <w:sz w:val="20"/>
                <w:highlight w:val="none"/>
              </w:rPr>
            </w:pPr>
          </w:p>
          <w:p>
            <w:pPr>
              <w:pStyle w:val="12"/>
              <w:rPr>
                <w:sz w:val="20"/>
                <w:highlight w:val="none"/>
              </w:rPr>
            </w:pPr>
          </w:p>
          <w:p>
            <w:pPr>
              <w:pStyle w:val="12"/>
              <w:rPr>
                <w:sz w:val="20"/>
                <w:highlight w:val="none"/>
              </w:rPr>
            </w:pPr>
          </w:p>
          <w:p>
            <w:pPr>
              <w:pStyle w:val="12"/>
              <w:rPr>
                <w:sz w:val="20"/>
                <w:highlight w:val="none"/>
              </w:rPr>
            </w:pPr>
          </w:p>
          <w:p>
            <w:pPr>
              <w:pStyle w:val="12"/>
              <w:rPr>
                <w:sz w:val="20"/>
                <w:highlight w:val="none"/>
              </w:rPr>
            </w:pPr>
          </w:p>
          <w:p>
            <w:pPr>
              <w:pStyle w:val="12"/>
              <w:spacing w:before="8"/>
              <w:rPr>
                <w:sz w:val="21"/>
                <w:highlight w:val="none"/>
              </w:rPr>
            </w:pPr>
          </w:p>
          <w:p>
            <w:pPr>
              <w:pStyle w:val="12"/>
              <w:ind w:left="119" w:right="109"/>
              <w:jc w:val="center"/>
              <w:rPr>
                <w:sz w:val="21"/>
                <w:highlight w:val="none"/>
              </w:rPr>
            </w:pPr>
            <w:r>
              <w:rPr>
                <w:spacing w:val="-2"/>
                <w:sz w:val="21"/>
                <w:highlight w:val="none"/>
              </w:rPr>
              <w:t>2.2.2</w:t>
            </w:r>
          </w:p>
        </w:tc>
        <w:tc>
          <w:tcPr>
            <w:tcW w:w="1417" w:type="dxa"/>
          </w:tcPr>
          <w:p>
            <w:pPr>
              <w:pStyle w:val="12"/>
              <w:rPr>
                <w:sz w:val="20"/>
                <w:highlight w:val="none"/>
              </w:rPr>
            </w:pPr>
          </w:p>
          <w:p>
            <w:pPr>
              <w:pStyle w:val="12"/>
              <w:rPr>
                <w:sz w:val="20"/>
                <w:highlight w:val="none"/>
              </w:rPr>
            </w:pPr>
          </w:p>
          <w:p>
            <w:pPr>
              <w:pStyle w:val="12"/>
              <w:rPr>
                <w:sz w:val="20"/>
                <w:highlight w:val="none"/>
              </w:rPr>
            </w:pPr>
          </w:p>
          <w:p>
            <w:pPr>
              <w:pStyle w:val="12"/>
              <w:rPr>
                <w:sz w:val="20"/>
                <w:highlight w:val="none"/>
              </w:rPr>
            </w:pPr>
          </w:p>
          <w:p>
            <w:pPr>
              <w:pStyle w:val="12"/>
              <w:rPr>
                <w:sz w:val="20"/>
                <w:highlight w:val="none"/>
              </w:rPr>
            </w:pPr>
          </w:p>
          <w:p>
            <w:pPr>
              <w:pStyle w:val="12"/>
              <w:rPr>
                <w:sz w:val="20"/>
                <w:highlight w:val="none"/>
              </w:rPr>
            </w:pPr>
          </w:p>
          <w:p>
            <w:pPr>
              <w:pStyle w:val="12"/>
              <w:rPr>
                <w:sz w:val="20"/>
                <w:highlight w:val="none"/>
              </w:rPr>
            </w:pPr>
          </w:p>
          <w:p>
            <w:pPr>
              <w:pStyle w:val="12"/>
              <w:rPr>
                <w:sz w:val="20"/>
                <w:highlight w:val="none"/>
              </w:rPr>
            </w:pPr>
          </w:p>
          <w:p>
            <w:pPr>
              <w:pStyle w:val="12"/>
              <w:rPr>
                <w:sz w:val="20"/>
                <w:highlight w:val="none"/>
              </w:rPr>
            </w:pPr>
          </w:p>
          <w:p>
            <w:pPr>
              <w:pStyle w:val="12"/>
              <w:rPr>
                <w:sz w:val="20"/>
                <w:highlight w:val="none"/>
              </w:rPr>
            </w:pPr>
          </w:p>
          <w:p>
            <w:pPr>
              <w:pStyle w:val="12"/>
              <w:rPr>
                <w:sz w:val="20"/>
                <w:highlight w:val="none"/>
              </w:rPr>
            </w:pPr>
          </w:p>
          <w:p>
            <w:pPr>
              <w:pStyle w:val="12"/>
              <w:rPr>
                <w:sz w:val="20"/>
                <w:highlight w:val="none"/>
              </w:rPr>
            </w:pPr>
          </w:p>
          <w:p>
            <w:pPr>
              <w:pStyle w:val="12"/>
              <w:rPr>
                <w:sz w:val="20"/>
                <w:highlight w:val="none"/>
              </w:rPr>
            </w:pPr>
          </w:p>
          <w:p>
            <w:pPr>
              <w:pStyle w:val="12"/>
              <w:rPr>
                <w:sz w:val="20"/>
                <w:highlight w:val="none"/>
              </w:rPr>
            </w:pPr>
          </w:p>
          <w:p>
            <w:pPr>
              <w:pStyle w:val="12"/>
              <w:rPr>
                <w:sz w:val="20"/>
                <w:highlight w:val="none"/>
              </w:rPr>
            </w:pPr>
          </w:p>
          <w:p>
            <w:pPr>
              <w:pStyle w:val="12"/>
              <w:rPr>
                <w:sz w:val="20"/>
                <w:highlight w:val="none"/>
              </w:rPr>
            </w:pPr>
          </w:p>
          <w:p>
            <w:pPr>
              <w:pStyle w:val="12"/>
              <w:rPr>
                <w:sz w:val="20"/>
                <w:highlight w:val="none"/>
              </w:rPr>
            </w:pPr>
          </w:p>
          <w:p>
            <w:pPr>
              <w:pStyle w:val="12"/>
              <w:rPr>
                <w:sz w:val="20"/>
                <w:highlight w:val="none"/>
              </w:rPr>
            </w:pPr>
          </w:p>
          <w:p>
            <w:pPr>
              <w:pStyle w:val="12"/>
              <w:rPr>
                <w:sz w:val="20"/>
                <w:highlight w:val="none"/>
              </w:rPr>
            </w:pPr>
          </w:p>
          <w:p>
            <w:pPr>
              <w:pStyle w:val="12"/>
              <w:spacing w:before="7"/>
              <w:rPr>
                <w:sz w:val="18"/>
                <w:highlight w:val="none"/>
              </w:rPr>
            </w:pPr>
          </w:p>
          <w:p>
            <w:pPr>
              <w:pStyle w:val="12"/>
              <w:spacing w:line="364" w:lineRule="auto"/>
              <w:ind w:left="287" w:right="173" w:hanging="106"/>
              <w:rPr>
                <w:sz w:val="21"/>
                <w:highlight w:val="none"/>
              </w:rPr>
            </w:pPr>
            <w:r>
              <w:rPr>
                <w:spacing w:val="-2"/>
                <w:sz w:val="21"/>
                <w:highlight w:val="none"/>
              </w:rPr>
              <w:t>评标基准价</w:t>
            </w:r>
            <w:r>
              <w:rPr>
                <w:spacing w:val="-4"/>
                <w:sz w:val="21"/>
                <w:highlight w:val="none"/>
              </w:rPr>
              <w:t>计算方法</w:t>
            </w:r>
          </w:p>
        </w:tc>
        <w:tc>
          <w:tcPr>
            <w:tcW w:w="6825" w:type="dxa"/>
          </w:tcPr>
          <w:p>
            <w:pPr>
              <w:pStyle w:val="12"/>
              <w:spacing w:before="1"/>
              <w:rPr>
                <w:sz w:val="16"/>
                <w:highlight w:val="none"/>
              </w:rPr>
            </w:pPr>
          </w:p>
          <w:p>
            <w:pPr>
              <w:spacing w:line="360" w:lineRule="exact"/>
              <w:rPr>
                <w:rFonts w:hint="eastAsia" w:ascii="宋体" w:hAnsi="宋体"/>
                <w:b/>
                <w:color w:val="auto"/>
                <w:szCs w:val="21"/>
                <w:highlight w:val="none"/>
              </w:rPr>
            </w:pPr>
            <w:r>
              <w:rPr>
                <w:rFonts w:hint="eastAsia" w:ascii="宋体" w:hAnsi="宋体"/>
                <w:b/>
                <w:color w:val="auto"/>
                <w:szCs w:val="21"/>
                <w:highlight w:val="none"/>
              </w:rPr>
              <w:t>评标基准价的计算：</w:t>
            </w:r>
          </w:p>
          <w:p>
            <w:pPr>
              <w:spacing w:line="36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在开标现场，招标人将当场计算并宣布评标基准价。</w:t>
            </w:r>
          </w:p>
          <w:p>
            <w:pPr>
              <w:spacing w:line="360" w:lineRule="exact"/>
              <w:rPr>
                <w:rFonts w:hint="eastAsia" w:ascii="宋体" w:hAnsi="宋体"/>
                <w:b/>
                <w:color w:val="auto"/>
                <w:szCs w:val="21"/>
                <w:highlight w:val="none"/>
              </w:rPr>
            </w:pPr>
            <w:r>
              <w:rPr>
                <w:rFonts w:hint="eastAsia" w:ascii="宋体" w:hAnsi="宋体"/>
                <w:b/>
                <w:color w:val="auto"/>
                <w:szCs w:val="21"/>
                <w:highlight w:val="none"/>
              </w:rPr>
              <w:t>(1) 评标价的确定：</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投标人评标价＝报价函文字报价</w:t>
            </w:r>
          </w:p>
          <w:p>
            <w:pPr>
              <w:spacing w:line="360" w:lineRule="exact"/>
              <w:rPr>
                <w:rFonts w:hint="eastAsia" w:ascii="宋体" w:hAnsi="宋体"/>
                <w:b/>
                <w:color w:val="auto"/>
                <w:kern w:val="0"/>
                <w:szCs w:val="21"/>
                <w:highlight w:val="none"/>
              </w:rPr>
            </w:pPr>
            <w:r>
              <w:rPr>
                <w:rFonts w:hint="eastAsia" w:ascii="宋体" w:hAnsi="宋体"/>
                <w:b/>
                <w:color w:val="auto"/>
                <w:kern w:val="0"/>
                <w:szCs w:val="21"/>
                <w:highlight w:val="none"/>
              </w:rPr>
              <w:t>(2) 最高评标限价的确定</w:t>
            </w:r>
          </w:p>
          <w:p>
            <w:pPr>
              <w:spacing w:line="360" w:lineRule="exact"/>
              <w:ind w:firstLine="430" w:firstLineChars="205"/>
              <w:rPr>
                <w:rFonts w:hint="eastAsia" w:ascii="宋体" w:hAnsi="宋体"/>
                <w:color w:val="auto"/>
                <w:kern w:val="0"/>
                <w:szCs w:val="21"/>
                <w:highlight w:val="none"/>
              </w:rPr>
            </w:pPr>
            <w:r>
              <w:rPr>
                <w:rFonts w:hint="eastAsia" w:ascii="宋体" w:hAnsi="宋体"/>
                <w:color w:val="auto"/>
                <w:kern w:val="0"/>
                <w:szCs w:val="21"/>
                <w:highlight w:val="none"/>
              </w:rPr>
              <w:t>招标人在施工图设计文件的基础上，根据本招标文件规定的条件和标准，自行编制或委托有相应资质单位编制预算价，经主管部门审核后确定的预算价为最高投标限价。</w:t>
            </w:r>
          </w:p>
          <w:p>
            <w:pPr>
              <w:pStyle w:val="12"/>
              <w:snapToGrid w:val="0"/>
              <w:spacing w:line="360" w:lineRule="atLeast"/>
              <w:ind w:left="108" w:right="93" w:firstLine="420"/>
              <w:rPr>
                <w:rFonts w:hint="eastAsia" w:ascii="宋体" w:hAnsi="宋体" w:cs="宋体"/>
                <w:b/>
                <w:bCs/>
                <w:snapToGrid w:val="0"/>
                <w:szCs w:val="21"/>
                <w:highlight w:val="none"/>
              </w:rPr>
            </w:pPr>
            <w:r>
              <w:rPr>
                <w:rFonts w:hint="eastAsia" w:ascii="宋体" w:hAnsi="宋体" w:cs="Times New Roman"/>
                <w:b/>
                <w:bCs/>
                <w:color w:val="auto"/>
                <w:kern w:val="0"/>
                <w:sz w:val="21"/>
                <w:szCs w:val="21"/>
                <w:highlight w:val="none"/>
                <w:lang w:val="en-US" w:eastAsia="zh-CN" w:bidi="ar-SA"/>
              </w:rPr>
              <w:t>标段最高投标限价（元）</w:t>
            </w:r>
            <w:r>
              <w:rPr>
                <w:rFonts w:hint="eastAsia" w:ascii="宋体" w:hAnsi="宋体" w:cs="宋体"/>
                <w:b/>
                <w:bCs/>
                <w:snapToGrid w:val="0"/>
                <w:szCs w:val="21"/>
                <w:highlight w:val="none"/>
              </w:rPr>
              <w:t>：</w:t>
            </w:r>
            <w:r>
              <w:rPr>
                <w:rFonts w:hint="eastAsia" w:ascii="宋体" w:hAnsi="宋体" w:cs="宋体"/>
                <w:b/>
                <w:bCs/>
                <w:snapToGrid w:val="0"/>
                <w:color w:val="auto"/>
                <w:szCs w:val="21"/>
                <w:highlight w:val="none"/>
                <w:lang w:val="en-US" w:eastAsia="zh-CN"/>
              </w:rPr>
              <w:t>12098537元</w:t>
            </w:r>
            <w:r>
              <w:rPr>
                <w:rFonts w:hint="eastAsia" w:ascii="宋体" w:hAnsi="宋体" w:cs="宋体"/>
                <w:b/>
                <w:bCs/>
                <w:snapToGrid w:val="0"/>
                <w:szCs w:val="21"/>
                <w:highlight w:val="none"/>
              </w:rPr>
              <w:t>；</w:t>
            </w:r>
          </w:p>
          <w:p>
            <w:pPr>
              <w:pStyle w:val="5"/>
              <w:rPr>
                <w:rFonts w:hint="eastAsia"/>
                <w:highlight w:val="none"/>
              </w:rPr>
            </w:pPr>
          </w:p>
          <w:p>
            <w:pPr>
              <w:snapToGrid w:val="0"/>
              <w:spacing w:line="360" w:lineRule="exact"/>
              <w:ind w:firstLine="422" w:firstLineChars="200"/>
              <w:rPr>
                <w:rFonts w:hint="default" w:ascii="宋体" w:hAnsi="宋体" w:eastAsia="宋体"/>
                <w:b/>
                <w:snapToGrid w:val="0"/>
                <w:color w:val="000000"/>
                <w:szCs w:val="21"/>
                <w:highlight w:val="none"/>
                <w:lang w:val="en-US" w:eastAsia="zh-CN"/>
              </w:rPr>
            </w:pPr>
            <w:r>
              <w:rPr>
                <w:rFonts w:hint="eastAsia" w:ascii="宋体" w:hAnsi="宋体"/>
                <w:b/>
                <w:snapToGrid w:val="0"/>
                <w:color w:val="000000"/>
                <w:szCs w:val="21"/>
                <w:highlight w:val="none"/>
              </w:rPr>
              <w:t>投标人报价不能超过</w:t>
            </w:r>
            <w:r>
              <w:rPr>
                <w:rFonts w:hint="eastAsia" w:ascii="宋体" w:hAnsi="宋体"/>
                <w:b/>
                <w:snapToGrid w:val="0"/>
                <w:color w:val="000000"/>
                <w:szCs w:val="21"/>
                <w:highlight w:val="none"/>
                <w:lang w:val="en-US" w:eastAsia="zh-CN"/>
              </w:rPr>
              <w:t>标段</w:t>
            </w:r>
            <w:r>
              <w:rPr>
                <w:rFonts w:hint="eastAsia" w:ascii="宋体" w:hAnsi="宋体"/>
                <w:b/>
                <w:color w:val="000000"/>
                <w:kern w:val="0"/>
                <w:szCs w:val="21"/>
                <w:highlight w:val="none"/>
              </w:rPr>
              <w:t>最高投标限价</w:t>
            </w:r>
            <w:r>
              <w:rPr>
                <w:rFonts w:hint="eastAsia" w:ascii="宋体" w:hAnsi="宋体"/>
                <w:b/>
                <w:color w:val="000000"/>
                <w:kern w:val="0"/>
                <w:szCs w:val="21"/>
                <w:highlight w:val="none"/>
                <w:lang w:eastAsia="zh-CN"/>
              </w:rPr>
              <w:t>，</w:t>
            </w:r>
            <w:r>
              <w:rPr>
                <w:rFonts w:hint="eastAsia" w:ascii="宋体" w:hAnsi="宋体"/>
                <w:b/>
                <w:snapToGrid w:val="0"/>
                <w:color w:val="000000"/>
                <w:szCs w:val="21"/>
                <w:highlight w:val="none"/>
              </w:rPr>
              <w:t>否则按否决其投标处理。</w:t>
            </w:r>
          </w:p>
          <w:p>
            <w:pPr>
              <w:spacing w:line="360" w:lineRule="exact"/>
              <w:ind w:firstLine="411" w:firstLineChars="196"/>
              <w:rPr>
                <w:rFonts w:hint="eastAsia" w:ascii="宋体" w:hAnsi="宋体"/>
                <w:color w:val="000000"/>
                <w:kern w:val="0"/>
                <w:szCs w:val="21"/>
                <w:highlight w:val="none"/>
              </w:rPr>
            </w:pPr>
            <w:r>
              <w:rPr>
                <w:rFonts w:hint="eastAsia" w:ascii="宋体" w:hAnsi="宋体"/>
                <w:color w:val="000000"/>
                <w:kern w:val="0"/>
                <w:szCs w:val="21"/>
                <w:highlight w:val="none"/>
              </w:rPr>
              <w:t>最高投标限价下浮率在开标前在开标现场采取摇珠方式确定。</w:t>
            </w:r>
          </w:p>
          <w:p>
            <w:pPr>
              <w:spacing w:line="360" w:lineRule="exact"/>
              <w:ind w:firstLine="411" w:firstLineChars="196"/>
              <w:rPr>
                <w:rFonts w:hint="eastAsia" w:ascii="宋体" w:hAnsi="宋体"/>
                <w:snapToGrid w:val="0"/>
                <w:color w:val="auto"/>
                <w:szCs w:val="21"/>
                <w:highlight w:val="none"/>
              </w:rPr>
            </w:pPr>
            <w:r>
              <w:rPr>
                <w:rFonts w:hint="eastAsia" w:ascii="宋体" w:hAnsi="宋体"/>
                <w:snapToGrid w:val="0"/>
                <w:color w:val="auto"/>
                <w:szCs w:val="21"/>
                <w:highlight w:val="none"/>
              </w:rPr>
              <w:t>摇珠操作办法如下：在下浮率</w:t>
            </w:r>
            <w:r>
              <w:rPr>
                <w:rFonts w:hint="eastAsia" w:ascii="宋体" w:hAnsi="宋体"/>
                <w:snapToGrid w:val="0"/>
                <w:color w:val="auto"/>
                <w:szCs w:val="21"/>
                <w:highlight w:val="none"/>
                <w:lang w:val="en-US" w:eastAsia="zh-CN"/>
              </w:rPr>
              <w:t>摇珠</w:t>
            </w:r>
            <w:r>
              <w:rPr>
                <w:rFonts w:hint="eastAsia" w:ascii="宋体" w:hAnsi="宋体"/>
                <w:snapToGrid w:val="0"/>
                <w:color w:val="auto"/>
                <w:szCs w:val="21"/>
                <w:highlight w:val="none"/>
              </w:rPr>
              <w:t>范围内，以0.1%为一档次增序确定摇珠号码，一共31个球</w:t>
            </w:r>
            <w:r>
              <w:rPr>
                <w:rFonts w:hint="eastAsia" w:ascii="宋体" w:hAnsi="宋体"/>
                <w:b/>
                <w:bCs/>
                <w:snapToGrid w:val="0"/>
                <w:color w:val="auto"/>
                <w:szCs w:val="21"/>
                <w:highlight w:val="none"/>
              </w:rPr>
              <w:t>，</w:t>
            </w:r>
            <w:r>
              <w:rPr>
                <w:rFonts w:hint="eastAsia" w:ascii="宋体" w:hAnsi="宋体"/>
                <w:snapToGrid w:val="0"/>
                <w:color w:val="auto"/>
                <w:szCs w:val="21"/>
                <w:highlight w:val="none"/>
              </w:rPr>
              <w:t>连续依次摇取三个球</w:t>
            </w:r>
            <w:r>
              <w:rPr>
                <w:rFonts w:hint="eastAsia" w:ascii="宋体" w:hAnsi="宋体"/>
                <w:snapToGrid w:val="0"/>
                <w:color w:val="auto"/>
                <w:szCs w:val="21"/>
                <w:highlight w:val="none"/>
                <w:lang w:eastAsia="zh-CN"/>
              </w:rPr>
              <w:t>（</w:t>
            </w:r>
            <w:r>
              <w:rPr>
                <w:rFonts w:hint="eastAsia" w:ascii="宋体" w:hAnsi="宋体"/>
                <w:snapToGrid w:val="0"/>
                <w:color w:val="auto"/>
                <w:szCs w:val="21"/>
                <w:highlight w:val="none"/>
                <w:lang w:val="en-US" w:eastAsia="zh-CN"/>
              </w:rPr>
              <w:t>摇出的球不放回</w:t>
            </w:r>
            <w:r>
              <w:rPr>
                <w:rFonts w:hint="eastAsia" w:ascii="宋体" w:hAnsi="宋体"/>
                <w:snapToGrid w:val="0"/>
                <w:color w:val="auto"/>
                <w:szCs w:val="21"/>
                <w:highlight w:val="none"/>
                <w:lang w:eastAsia="zh-CN"/>
              </w:rPr>
              <w:t>）</w:t>
            </w:r>
            <w:r>
              <w:rPr>
                <w:rFonts w:hint="eastAsia" w:ascii="宋体" w:hAnsi="宋体"/>
                <w:snapToGrid w:val="0"/>
                <w:color w:val="auto"/>
                <w:szCs w:val="21"/>
                <w:highlight w:val="none"/>
              </w:rPr>
              <w:t>，摇出号码对应的下浮率平均值即为本</w:t>
            </w:r>
            <w:r>
              <w:rPr>
                <w:rFonts w:hint="eastAsia" w:ascii="宋体" w:hAnsi="宋体"/>
                <w:snapToGrid w:val="0"/>
                <w:color w:val="auto"/>
                <w:szCs w:val="21"/>
                <w:highlight w:val="none"/>
                <w:lang w:val="en-US" w:eastAsia="zh-CN"/>
              </w:rPr>
              <w:t>标段</w:t>
            </w:r>
            <w:r>
              <w:rPr>
                <w:rFonts w:hint="eastAsia" w:ascii="宋体" w:hAnsi="宋体"/>
                <w:snapToGrid w:val="0"/>
                <w:color w:val="auto"/>
                <w:szCs w:val="21"/>
                <w:highlight w:val="none"/>
              </w:rPr>
              <w:t>的下浮率。</w:t>
            </w:r>
          </w:p>
          <w:p>
            <w:pPr>
              <w:snapToGrid w:val="0"/>
              <w:spacing w:line="360" w:lineRule="exact"/>
              <w:ind w:firstLine="422" w:firstLineChars="200"/>
              <w:rPr>
                <w:rFonts w:hint="eastAsia" w:ascii="宋体" w:hAnsi="宋体"/>
                <w:snapToGrid w:val="0"/>
                <w:color w:val="auto"/>
                <w:szCs w:val="21"/>
                <w:highlight w:val="none"/>
              </w:rPr>
            </w:pPr>
            <w:r>
              <w:rPr>
                <w:rFonts w:hint="eastAsia" w:ascii="宋体" w:hAnsi="宋体"/>
                <w:b/>
                <w:snapToGrid w:val="0"/>
                <w:color w:val="auto"/>
                <w:szCs w:val="21"/>
                <w:highlight w:val="none"/>
              </w:rPr>
              <w:t>（注：下浮率范围控制在</w:t>
            </w:r>
            <w:r>
              <w:rPr>
                <w:rFonts w:hint="eastAsia" w:ascii="宋体" w:hAnsi="宋体"/>
                <w:b/>
                <w:snapToGrid w:val="0"/>
                <w:color w:val="auto"/>
                <w:szCs w:val="21"/>
                <w:highlight w:val="none"/>
                <w:u w:val="single"/>
              </w:rPr>
              <w:t xml:space="preserve"> 3 %～ 6 %</w:t>
            </w:r>
            <w:r>
              <w:rPr>
                <w:rFonts w:hint="eastAsia" w:ascii="宋体" w:hAnsi="宋体"/>
                <w:b/>
                <w:snapToGrid w:val="0"/>
                <w:color w:val="auto"/>
                <w:szCs w:val="21"/>
                <w:highlight w:val="none"/>
              </w:rPr>
              <w:t>浮动区间，摇出三个下浮率的平均值四舍五入精确到</w:t>
            </w:r>
            <w:r>
              <w:rPr>
                <w:rFonts w:ascii="宋体" w:hAnsi="宋体"/>
                <w:b/>
                <w:snapToGrid w:val="0"/>
                <w:color w:val="auto"/>
                <w:szCs w:val="21"/>
                <w:highlight w:val="none"/>
              </w:rPr>
              <w:t>0.001</w:t>
            </w:r>
            <w:r>
              <w:rPr>
                <w:rFonts w:hint="eastAsia" w:ascii="宋体" w:hAnsi="宋体"/>
                <w:b/>
                <w:snapToGrid w:val="0"/>
                <w:color w:val="auto"/>
                <w:szCs w:val="21"/>
                <w:highlight w:val="none"/>
              </w:rPr>
              <w:t>％）</w:t>
            </w:r>
          </w:p>
          <w:p>
            <w:pPr>
              <w:snapToGrid w:val="0"/>
              <w:spacing w:line="360" w:lineRule="exact"/>
              <w:ind w:firstLine="422" w:firstLineChars="200"/>
              <w:rPr>
                <w:rFonts w:hint="eastAsia" w:ascii="宋体" w:hAnsi="宋体"/>
                <w:b/>
                <w:color w:val="auto"/>
                <w:kern w:val="0"/>
                <w:szCs w:val="21"/>
                <w:highlight w:val="none"/>
              </w:rPr>
            </w:pPr>
            <w:r>
              <w:rPr>
                <w:rFonts w:hint="eastAsia" w:ascii="宋体" w:hAnsi="宋体"/>
                <w:b/>
                <w:color w:val="auto"/>
                <w:kern w:val="0"/>
                <w:szCs w:val="21"/>
                <w:highlight w:val="none"/>
              </w:rPr>
              <w:t>最高评标限价＝最高投标限价×（1-下浮率）</w:t>
            </w:r>
          </w:p>
          <w:p>
            <w:pPr>
              <w:snapToGrid w:val="0"/>
              <w:spacing w:line="360" w:lineRule="exact"/>
              <w:rPr>
                <w:rFonts w:hint="eastAsia" w:ascii="宋体" w:hAnsi="宋体"/>
                <w:b/>
                <w:snapToGrid w:val="0"/>
                <w:color w:val="auto"/>
                <w:szCs w:val="21"/>
                <w:highlight w:val="none"/>
              </w:rPr>
            </w:pPr>
            <w:r>
              <w:rPr>
                <w:rFonts w:hint="eastAsia" w:ascii="宋体" w:hAnsi="宋体"/>
                <w:b/>
                <w:snapToGrid w:val="0"/>
                <w:color w:val="auto"/>
                <w:szCs w:val="21"/>
                <w:highlight w:val="none"/>
              </w:rPr>
              <w:t>（3）有效评标价的范围：</w:t>
            </w:r>
          </w:p>
          <w:p>
            <w:pPr>
              <w:snapToGrid w:val="0"/>
              <w:spacing w:line="360" w:lineRule="exact"/>
              <w:ind w:firstLine="420" w:firstLineChars="200"/>
              <w:rPr>
                <w:rFonts w:hint="eastAsia" w:ascii="宋体" w:hAnsi="宋体"/>
                <w:snapToGrid w:val="0"/>
                <w:color w:val="auto"/>
                <w:szCs w:val="21"/>
                <w:highlight w:val="none"/>
              </w:rPr>
            </w:pPr>
            <w:r>
              <w:rPr>
                <w:rFonts w:hint="eastAsia" w:ascii="宋体" w:hAnsi="宋体"/>
                <w:snapToGrid w:val="0"/>
                <w:color w:val="auto"/>
                <w:szCs w:val="21"/>
                <w:highlight w:val="none"/>
              </w:rPr>
              <w:t>有效评标价的范围：不大于最高评标限价的评标价为有效评标价。</w:t>
            </w:r>
          </w:p>
          <w:p>
            <w:pPr>
              <w:snapToGrid w:val="0"/>
              <w:spacing w:line="360" w:lineRule="exact"/>
              <w:ind w:firstLine="420" w:firstLineChars="200"/>
              <w:rPr>
                <w:rFonts w:hint="eastAsia" w:ascii="宋体" w:hAnsi="宋体"/>
                <w:snapToGrid w:val="0"/>
                <w:color w:val="auto"/>
                <w:szCs w:val="21"/>
                <w:highlight w:val="none"/>
              </w:rPr>
            </w:pPr>
            <w:r>
              <w:rPr>
                <w:rFonts w:hint="eastAsia" w:ascii="宋体" w:hAnsi="宋体"/>
                <w:snapToGrid w:val="0"/>
                <w:color w:val="auto"/>
                <w:szCs w:val="21"/>
                <w:highlight w:val="none"/>
              </w:rPr>
              <w:t>若大于最高评标限价的评标价，将否决其投标。</w:t>
            </w:r>
          </w:p>
          <w:p>
            <w:pPr>
              <w:pStyle w:val="5"/>
              <w:ind w:left="0" w:leftChars="0" w:firstLine="422" w:firstLineChars="200"/>
              <w:rPr>
                <w:rFonts w:hint="eastAsia" w:ascii="宋体" w:hAnsi="宋体"/>
                <w:b/>
                <w:bCs/>
                <w:snapToGrid w:val="0"/>
                <w:color w:val="auto"/>
                <w:szCs w:val="21"/>
                <w:highlight w:val="none"/>
                <w:lang w:eastAsia="zh-CN"/>
              </w:rPr>
            </w:pPr>
            <w:r>
              <w:rPr>
                <w:rFonts w:hint="eastAsia" w:ascii="宋体" w:hAnsi="宋体"/>
                <w:b/>
                <w:bCs/>
                <w:snapToGrid w:val="0"/>
                <w:color w:val="auto"/>
                <w:szCs w:val="21"/>
                <w:highlight w:val="none"/>
                <w:lang w:eastAsia="zh-CN"/>
              </w:rPr>
              <w:t>在</w:t>
            </w:r>
            <w:r>
              <w:rPr>
                <w:rFonts w:hint="eastAsia" w:ascii="宋体" w:hAnsi="宋体"/>
                <w:b/>
                <w:bCs/>
                <w:snapToGrid w:val="0"/>
                <w:color w:val="auto"/>
                <w:szCs w:val="21"/>
                <w:highlight w:val="none"/>
                <w:lang w:val="en-US" w:eastAsia="zh-CN"/>
              </w:rPr>
              <w:t>各个</w:t>
            </w:r>
            <w:r>
              <w:rPr>
                <w:rFonts w:hint="eastAsia" w:ascii="宋体" w:hAnsi="宋体"/>
                <w:b/>
                <w:bCs/>
                <w:snapToGrid w:val="0"/>
                <w:color w:val="auto"/>
                <w:szCs w:val="21"/>
                <w:highlight w:val="none"/>
                <w:lang w:eastAsia="zh-CN"/>
              </w:rPr>
              <w:t>标段中，如投标人的某一标段投标</w:t>
            </w:r>
            <w:r>
              <w:rPr>
                <w:rFonts w:hint="eastAsia" w:ascii="宋体" w:hAnsi="宋体"/>
                <w:b/>
                <w:bCs/>
                <w:snapToGrid w:val="0"/>
                <w:color w:val="auto"/>
                <w:szCs w:val="21"/>
                <w:highlight w:val="none"/>
                <w:lang w:val="en-US" w:eastAsia="zh-CN"/>
              </w:rPr>
              <w:t>报价</w:t>
            </w:r>
            <w:r>
              <w:rPr>
                <w:rFonts w:hint="eastAsia" w:ascii="宋体" w:hAnsi="宋体"/>
                <w:b/>
                <w:bCs/>
                <w:snapToGrid w:val="0"/>
                <w:color w:val="auto"/>
                <w:szCs w:val="21"/>
                <w:highlight w:val="none"/>
                <w:lang w:eastAsia="zh-CN"/>
              </w:rPr>
              <w:t>大于该标段最高评标限价的，否决其该标段的投标，但不影响其余标段投标。</w:t>
            </w:r>
          </w:p>
          <w:p>
            <w:pPr>
              <w:snapToGrid w:val="0"/>
              <w:spacing w:line="360" w:lineRule="exact"/>
              <w:rPr>
                <w:rFonts w:hint="eastAsia" w:ascii="宋体" w:hAnsi="宋体"/>
                <w:b/>
                <w:snapToGrid w:val="0"/>
                <w:color w:val="auto"/>
                <w:szCs w:val="21"/>
                <w:highlight w:val="none"/>
              </w:rPr>
            </w:pPr>
            <w:r>
              <w:rPr>
                <w:rFonts w:hint="eastAsia" w:ascii="宋体" w:hAnsi="宋体"/>
                <w:b/>
                <w:snapToGrid w:val="0"/>
                <w:color w:val="auto"/>
                <w:szCs w:val="21"/>
                <w:highlight w:val="none"/>
              </w:rPr>
              <w:t>（4）</w:t>
            </w:r>
            <w:r>
              <w:rPr>
                <w:rFonts w:ascii="宋体" w:hAnsi="宋体"/>
                <w:b/>
                <w:snapToGrid w:val="0"/>
                <w:color w:val="auto"/>
                <w:szCs w:val="21"/>
                <w:highlight w:val="none"/>
              </w:rPr>
              <w:t>评标基准价的确定</w:t>
            </w:r>
            <w:r>
              <w:rPr>
                <w:rFonts w:hint="eastAsia" w:ascii="宋体" w:hAnsi="宋体"/>
                <w:b/>
                <w:snapToGrid w:val="0"/>
                <w:color w:val="auto"/>
                <w:szCs w:val="21"/>
                <w:highlight w:val="none"/>
              </w:rPr>
              <w:t>：</w:t>
            </w:r>
          </w:p>
          <w:p>
            <w:pPr>
              <w:snapToGrid w:val="0"/>
              <w:spacing w:line="360" w:lineRule="exact"/>
              <w:ind w:firstLine="422" w:firstLineChars="200"/>
              <w:rPr>
                <w:rFonts w:hint="eastAsia" w:ascii="宋体" w:hAnsi="宋体"/>
                <w:b/>
                <w:snapToGrid w:val="0"/>
                <w:color w:val="auto"/>
                <w:szCs w:val="21"/>
                <w:highlight w:val="none"/>
              </w:rPr>
            </w:pPr>
            <w:r>
              <w:rPr>
                <w:rFonts w:hint="eastAsia" w:ascii="宋体" w:hAnsi="宋体"/>
                <w:b/>
                <w:snapToGrid w:val="0"/>
                <w:color w:val="auto"/>
                <w:szCs w:val="21"/>
                <w:highlight w:val="none"/>
              </w:rPr>
              <w:t>评标基准价=</w:t>
            </w:r>
            <w:r>
              <w:rPr>
                <w:rFonts w:hint="eastAsia" w:ascii="宋体" w:hAnsi="宋体"/>
                <w:b/>
                <w:color w:val="auto"/>
                <w:kern w:val="0"/>
                <w:szCs w:val="21"/>
                <w:highlight w:val="none"/>
              </w:rPr>
              <w:t>最高评标限价</w:t>
            </w:r>
            <w:r>
              <w:rPr>
                <w:rFonts w:hint="eastAsia" w:ascii="宋体" w:hAnsi="宋体"/>
                <w:b/>
                <w:snapToGrid w:val="0"/>
                <w:color w:val="auto"/>
                <w:szCs w:val="21"/>
                <w:highlight w:val="none"/>
              </w:rPr>
              <w:t>×0.98。</w:t>
            </w:r>
          </w:p>
          <w:p>
            <w:pPr>
              <w:spacing w:line="360" w:lineRule="exact"/>
              <w:ind w:firstLine="420" w:firstLineChars="200"/>
              <w:rPr>
                <w:rFonts w:hint="eastAsia" w:ascii="宋体" w:hAnsi="宋体"/>
                <w:color w:val="auto"/>
                <w:szCs w:val="21"/>
                <w:highlight w:val="none"/>
              </w:rPr>
            </w:pPr>
            <w:r>
              <w:rPr>
                <w:rFonts w:hint="eastAsia" w:ascii="宋体" w:hAnsi="宋体"/>
                <w:snapToGrid w:val="0"/>
                <w:color w:val="auto"/>
                <w:szCs w:val="21"/>
                <w:highlight w:val="none"/>
              </w:rPr>
              <w:t>备注：</w:t>
            </w:r>
            <w:r>
              <w:rPr>
                <w:rFonts w:hint="eastAsia" w:ascii="宋体" w:hAnsi="宋体"/>
                <w:color w:val="auto"/>
                <w:kern w:val="0"/>
                <w:szCs w:val="21"/>
                <w:highlight w:val="none"/>
              </w:rPr>
              <w:t>最高评标限价</w:t>
            </w:r>
            <w:r>
              <w:rPr>
                <w:rFonts w:hint="eastAsia" w:ascii="宋体" w:hAnsi="宋体"/>
                <w:color w:val="auto"/>
                <w:szCs w:val="21"/>
                <w:highlight w:val="none"/>
              </w:rPr>
              <w:t>、评标基准价D四舍五入精确至个位整数元。</w:t>
            </w:r>
          </w:p>
          <w:p>
            <w:pPr>
              <w:spacing w:line="360" w:lineRule="exact"/>
              <w:ind w:firstLine="413" w:firstLineChars="196"/>
              <w:rPr>
                <w:rFonts w:hint="eastAsia" w:ascii="宋体" w:hAnsi="宋体"/>
                <w:b/>
                <w:color w:val="auto"/>
                <w:szCs w:val="21"/>
                <w:highlight w:val="none"/>
              </w:rPr>
            </w:pPr>
          </w:p>
          <w:p>
            <w:pPr>
              <w:pStyle w:val="12"/>
              <w:spacing w:before="139" w:line="364" w:lineRule="auto"/>
              <w:ind w:left="123" w:right="113" w:firstLine="420"/>
              <w:rPr>
                <w:sz w:val="21"/>
                <w:highlight w:val="none"/>
              </w:rPr>
            </w:pPr>
            <w:r>
              <w:rPr>
                <w:rFonts w:hint="eastAsia" w:ascii="宋体" w:hAnsi="宋体"/>
                <w:b/>
                <w:color w:val="auto"/>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7" w:hRule="atLeast"/>
        </w:trPr>
        <w:tc>
          <w:tcPr>
            <w:tcW w:w="871" w:type="dxa"/>
            <w:vAlign w:val="center"/>
          </w:tcPr>
          <w:p>
            <w:pPr>
              <w:spacing w:line="360" w:lineRule="exact"/>
              <w:jc w:val="center"/>
              <w:rPr>
                <w:spacing w:val="-2"/>
                <w:sz w:val="21"/>
                <w:highlight w:val="none"/>
              </w:rPr>
            </w:pPr>
            <w:r>
              <w:rPr>
                <w:rFonts w:ascii="宋体" w:hAnsi="宋体"/>
                <w:color w:val="auto"/>
                <w:szCs w:val="21"/>
                <w:highlight w:val="none"/>
              </w:rPr>
              <w:t>2.2.3</w:t>
            </w:r>
          </w:p>
        </w:tc>
        <w:tc>
          <w:tcPr>
            <w:tcW w:w="1417" w:type="dxa"/>
            <w:vAlign w:val="center"/>
          </w:tcPr>
          <w:p>
            <w:pPr>
              <w:spacing w:line="360" w:lineRule="exact"/>
              <w:jc w:val="center"/>
              <w:rPr>
                <w:spacing w:val="-2"/>
                <w:sz w:val="21"/>
                <w:highlight w:val="none"/>
              </w:rPr>
            </w:pPr>
            <w:r>
              <w:rPr>
                <w:rFonts w:ascii="宋体" w:hAnsi="宋体"/>
                <w:color w:val="auto"/>
                <w:szCs w:val="21"/>
                <w:highlight w:val="none"/>
              </w:rPr>
              <w:t>评标价的偏差率计算公式</w:t>
            </w:r>
          </w:p>
        </w:tc>
        <w:tc>
          <w:tcPr>
            <w:tcW w:w="6825" w:type="dxa"/>
            <w:vAlign w:val="center"/>
          </w:tcPr>
          <w:p>
            <w:pPr>
              <w:spacing w:line="360" w:lineRule="exact"/>
              <w:rPr>
                <w:rFonts w:hint="eastAsia" w:ascii="宋体" w:hAnsi="宋体"/>
                <w:b/>
                <w:color w:val="auto"/>
                <w:szCs w:val="21"/>
                <w:highlight w:val="none"/>
              </w:rPr>
            </w:pPr>
            <w:r>
              <w:rPr>
                <w:rFonts w:ascii="宋体" w:hAnsi="宋体"/>
                <w:color w:val="auto"/>
                <w:szCs w:val="21"/>
                <w:highlight w:val="none"/>
              </w:rPr>
              <w:t>偏差率=100% ×(投标人评标价－评标基准价)/评标基准价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87" w:hRule="atLeast"/>
        </w:trPr>
        <w:tc>
          <w:tcPr>
            <w:tcW w:w="871" w:type="dxa"/>
            <w:vAlign w:val="center"/>
          </w:tcPr>
          <w:p>
            <w:pPr>
              <w:spacing w:line="400" w:lineRule="exact"/>
              <w:jc w:val="center"/>
              <w:rPr>
                <w:spacing w:val="-2"/>
                <w:sz w:val="21"/>
                <w:highlight w:val="none"/>
              </w:rPr>
            </w:pPr>
            <w:r>
              <w:rPr>
                <w:rFonts w:hint="eastAsia" w:ascii="宋体" w:hAnsi="宋体"/>
                <w:b/>
                <w:bCs/>
                <w:color w:val="auto"/>
                <w:szCs w:val="21"/>
                <w:highlight w:val="none"/>
              </w:rPr>
              <w:t>2.2.4（</w:t>
            </w:r>
            <w:r>
              <w:rPr>
                <w:rFonts w:hint="eastAsia" w:ascii="宋体" w:hAnsi="宋体"/>
                <w:b/>
                <w:bCs/>
                <w:color w:val="auto"/>
                <w:szCs w:val="21"/>
                <w:highlight w:val="none"/>
                <w:lang w:val="en-US" w:eastAsia="zh-CN"/>
              </w:rPr>
              <w:t>1</w:t>
            </w:r>
            <w:r>
              <w:rPr>
                <w:rFonts w:hint="eastAsia" w:ascii="宋体" w:hAnsi="宋体"/>
                <w:b/>
                <w:bCs/>
                <w:color w:val="auto"/>
                <w:szCs w:val="21"/>
                <w:highlight w:val="none"/>
              </w:rPr>
              <w:t>）</w:t>
            </w:r>
          </w:p>
        </w:tc>
        <w:tc>
          <w:tcPr>
            <w:tcW w:w="1417" w:type="dxa"/>
            <w:vAlign w:val="center"/>
          </w:tcPr>
          <w:p>
            <w:pPr>
              <w:spacing w:line="400" w:lineRule="exact"/>
              <w:jc w:val="center"/>
              <w:rPr>
                <w:spacing w:val="-2"/>
                <w:sz w:val="21"/>
                <w:highlight w:val="none"/>
              </w:rPr>
            </w:pPr>
            <w:r>
              <w:rPr>
                <w:rFonts w:hint="eastAsia" w:ascii="宋体" w:hAnsi="宋体"/>
                <w:b/>
                <w:bCs/>
                <w:color w:val="auto"/>
                <w:szCs w:val="21"/>
                <w:highlight w:val="none"/>
              </w:rPr>
              <w:t>评标价</w:t>
            </w:r>
          </w:p>
        </w:tc>
        <w:tc>
          <w:tcPr>
            <w:tcW w:w="6825" w:type="dxa"/>
            <w:vAlign w:val="center"/>
          </w:tcPr>
          <w:p>
            <w:pPr>
              <w:spacing w:line="400" w:lineRule="exact"/>
              <w:jc w:val="left"/>
              <w:rPr>
                <w:rFonts w:hint="eastAsia" w:ascii="宋体" w:hAnsi="宋体"/>
                <w:b/>
                <w:color w:val="auto"/>
                <w:highlight w:val="none"/>
              </w:rPr>
            </w:pPr>
            <w:r>
              <w:rPr>
                <w:rFonts w:hint="eastAsia" w:ascii="宋体" w:hAnsi="宋体"/>
                <w:b/>
                <w:color w:val="auto"/>
                <w:highlight w:val="none"/>
              </w:rPr>
              <w:t>满分：90分；</w:t>
            </w:r>
          </w:p>
          <w:p>
            <w:pPr>
              <w:spacing w:line="400" w:lineRule="exact"/>
              <w:jc w:val="left"/>
              <w:rPr>
                <w:rFonts w:hint="eastAsia" w:ascii="宋体" w:hAnsi="宋体"/>
                <w:b/>
                <w:color w:val="auto"/>
                <w:highlight w:val="none"/>
              </w:rPr>
            </w:pPr>
            <w:r>
              <w:rPr>
                <w:rFonts w:hint="eastAsia" w:ascii="宋体" w:hAnsi="宋体"/>
                <w:b/>
                <w:color w:val="auto"/>
                <w:highlight w:val="none"/>
              </w:rPr>
              <w:t>评标价得分计算公式示例：</w:t>
            </w:r>
          </w:p>
          <w:p>
            <w:pPr>
              <w:spacing w:line="400" w:lineRule="exact"/>
              <w:ind w:firstLine="420" w:firstLineChars="200"/>
              <w:jc w:val="left"/>
              <w:rPr>
                <w:rFonts w:ascii="宋体" w:hAnsi="宋体"/>
                <w:b/>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）如果投标人的评标价＞评标基准价，</w:t>
            </w:r>
            <w:r>
              <w:rPr>
                <w:rFonts w:hint="eastAsia" w:ascii="宋体" w:hAnsi="宋体"/>
                <w:b/>
                <w:color w:val="auto"/>
                <w:highlight w:val="none"/>
              </w:rPr>
              <w:t>则评标价得分＝</w:t>
            </w:r>
            <w:r>
              <w:rPr>
                <w:rFonts w:hint="eastAsia" w:ascii="宋体" w:hAnsi="宋体"/>
                <w:b/>
                <w:color w:val="auto"/>
                <w:highlight w:val="none"/>
                <w:u w:val="single"/>
              </w:rPr>
              <w:t xml:space="preserve"> 90 </w:t>
            </w:r>
            <w:r>
              <w:rPr>
                <w:rFonts w:hint="eastAsia" w:ascii="宋体" w:hAnsi="宋体"/>
                <w:b/>
                <w:color w:val="auto"/>
                <w:highlight w:val="none"/>
              </w:rPr>
              <w:t>－ 偏差率</w:t>
            </w:r>
            <w:r>
              <w:rPr>
                <w:rFonts w:ascii="宋体" w:hAnsi="宋体"/>
                <w:b/>
                <w:color w:val="auto"/>
                <w:highlight w:val="none"/>
              </w:rPr>
              <w:t>×100×</w:t>
            </w:r>
            <w:r>
              <w:rPr>
                <w:rFonts w:hint="eastAsia" w:ascii="宋体" w:hAnsi="宋体"/>
                <w:b/>
                <w:color w:val="auto"/>
                <w:highlight w:val="none"/>
              </w:rPr>
              <w:t>E ，E=1.5 ；</w:t>
            </w:r>
          </w:p>
          <w:p>
            <w:pPr>
              <w:spacing w:line="400" w:lineRule="exact"/>
              <w:ind w:firstLine="420" w:firstLineChars="200"/>
              <w:jc w:val="left"/>
              <w:rPr>
                <w:rFonts w:ascii="宋体" w:hAnsi="宋体"/>
                <w:b/>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）如果投标人的评标价</w:t>
            </w:r>
            <w:r>
              <w:rPr>
                <w:rFonts w:ascii="宋体" w:hAnsi="宋体"/>
                <w:color w:val="auto"/>
                <w:highlight w:val="none"/>
              </w:rPr>
              <w:t>≤</w:t>
            </w:r>
            <w:r>
              <w:rPr>
                <w:rFonts w:hint="eastAsia" w:ascii="宋体" w:hAnsi="宋体"/>
                <w:color w:val="auto"/>
                <w:highlight w:val="none"/>
              </w:rPr>
              <w:t>评标基准价，</w:t>
            </w:r>
            <w:r>
              <w:rPr>
                <w:rFonts w:hint="eastAsia" w:ascii="宋体" w:hAnsi="宋体"/>
                <w:b/>
                <w:color w:val="auto"/>
                <w:highlight w:val="none"/>
              </w:rPr>
              <w:t>则评标价得分＝</w:t>
            </w:r>
            <w:r>
              <w:rPr>
                <w:rFonts w:hint="eastAsia" w:ascii="宋体" w:hAnsi="宋体"/>
                <w:b/>
                <w:color w:val="auto"/>
                <w:highlight w:val="none"/>
                <w:u w:val="single"/>
              </w:rPr>
              <w:t xml:space="preserve"> 90 </w:t>
            </w:r>
            <w:r>
              <w:rPr>
                <w:rFonts w:hint="eastAsia" w:ascii="宋体" w:hAnsi="宋体"/>
                <w:b/>
                <w:color w:val="auto"/>
                <w:highlight w:val="none"/>
              </w:rPr>
              <w:t>＋ 偏差率</w:t>
            </w:r>
            <w:r>
              <w:rPr>
                <w:rFonts w:ascii="宋体" w:hAnsi="宋体"/>
                <w:b/>
                <w:color w:val="auto"/>
                <w:highlight w:val="none"/>
              </w:rPr>
              <w:t>×100×</w:t>
            </w:r>
            <w:r>
              <w:rPr>
                <w:rFonts w:hint="eastAsia" w:ascii="宋体" w:hAnsi="宋体"/>
                <w:b/>
                <w:color w:val="auto"/>
                <w:highlight w:val="none"/>
              </w:rPr>
              <w:t>E ，E=0.5 。</w:t>
            </w:r>
          </w:p>
          <w:p>
            <w:pPr>
              <w:pStyle w:val="5"/>
              <w:rPr>
                <w:rFonts w:hint="eastAsia" w:ascii="宋体" w:hAnsi="宋体"/>
                <w:b/>
                <w:color w:val="auto"/>
                <w:highlight w:val="none"/>
                <w:lang w:val="en-US" w:eastAsia="zh-CN"/>
              </w:rPr>
            </w:pPr>
            <w:r>
              <w:rPr>
                <w:rFonts w:hint="eastAsia" w:ascii="宋体" w:hAnsi="宋体"/>
                <w:b/>
                <w:color w:val="auto"/>
                <w:highlight w:val="none"/>
              </w:rPr>
              <w:t>注：评标价得分分值计算保留小数点后四位，小数点后第五位“四舍五入”。</w:t>
            </w:r>
          </w:p>
          <w:p>
            <w:pPr>
              <w:spacing w:line="360" w:lineRule="exact"/>
              <w:rPr>
                <w:rFonts w:hint="eastAsia" w:ascii="宋体" w:hAnsi="宋体"/>
                <w:b/>
                <w:color w:val="auto"/>
                <w:szCs w:val="21"/>
                <w:highlight w:val="none"/>
              </w:rPr>
            </w:pPr>
          </w:p>
        </w:tc>
      </w:tr>
    </w:tbl>
    <w:p>
      <w:pPr>
        <w:pStyle w:val="5"/>
        <w:widowControl w:val="0"/>
        <w:numPr>
          <w:ilvl w:val="0"/>
          <w:numId w:val="0"/>
        </w:numPr>
        <w:spacing w:after="120"/>
        <w:jc w:val="both"/>
        <w:rPr>
          <w:rFonts w:hint="default"/>
          <w:b/>
          <w:sz w:val="36"/>
          <w:highlight w:val="none"/>
          <w:lang w:val="en-US"/>
        </w:rPr>
      </w:pPr>
    </w:p>
    <w:p>
      <w:pPr>
        <w:pStyle w:val="5"/>
        <w:widowControl w:val="0"/>
        <w:numPr>
          <w:ilvl w:val="0"/>
          <w:numId w:val="0"/>
        </w:numPr>
        <w:spacing w:after="120"/>
        <w:jc w:val="both"/>
        <w:rPr>
          <w:rFonts w:hint="default" w:eastAsiaTheme="minorEastAsia"/>
          <w:b/>
          <w:sz w:val="36"/>
          <w:highlight w:val="none"/>
          <w:lang w:val="en-US" w:eastAsia="zh-CN"/>
        </w:rPr>
      </w:pPr>
    </w:p>
    <w:p>
      <w:pPr>
        <w:pStyle w:val="5"/>
        <w:widowControl w:val="0"/>
        <w:numPr>
          <w:ilvl w:val="0"/>
          <w:numId w:val="0"/>
        </w:numPr>
        <w:spacing w:after="120"/>
        <w:jc w:val="both"/>
        <w:rPr>
          <w:rFonts w:hint="default" w:eastAsiaTheme="minorEastAsia"/>
          <w:b/>
          <w:sz w:val="36"/>
          <w:highlight w:val="none"/>
          <w:lang w:val="en-US" w:eastAsia="zh-CN"/>
        </w:rPr>
      </w:pPr>
    </w:p>
    <w:p>
      <w:pPr>
        <w:pStyle w:val="5"/>
        <w:widowControl w:val="0"/>
        <w:numPr>
          <w:ilvl w:val="0"/>
          <w:numId w:val="0"/>
        </w:numPr>
        <w:spacing w:after="120"/>
        <w:jc w:val="both"/>
        <w:rPr>
          <w:rFonts w:hint="default" w:eastAsiaTheme="minorEastAsia"/>
          <w:b/>
          <w:sz w:val="36"/>
          <w:highlight w:val="none"/>
          <w:lang w:val="en-US" w:eastAsia="zh-CN"/>
        </w:rPr>
      </w:pPr>
    </w:p>
    <w:p>
      <w:pPr>
        <w:pStyle w:val="5"/>
        <w:widowControl w:val="0"/>
        <w:numPr>
          <w:ilvl w:val="0"/>
          <w:numId w:val="0"/>
        </w:numPr>
        <w:spacing w:after="120"/>
        <w:jc w:val="both"/>
        <w:rPr>
          <w:rFonts w:hint="default" w:eastAsiaTheme="minorEastAsia"/>
          <w:b/>
          <w:sz w:val="36"/>
          <w:highlight w:val="none"/>
          <w:lang w:val="en-US" w:eastAsia="zh-CN"/>
        </w:rPr>
      </w:pPr>
    </w:p>
    <w:p>
      <w:pPr>
        <w:pStyle w:val="5"/>
        <w:widowControl w:val="0"/>
        <w:numPr>
          <w:ilvl w:val="0"/>
          <w:numId w:val="0"/>
        </w:numPr>
        <w:spacing w:after="120"/>
        <w:jc w:val="both"/>
        <w:rPr>
          <w:rFonts w:hint="default" w:eastAsiaTheme="minorEastAsia"/>
          <w:b/>
          <w:sz w:val="36"/>
          <w:highlight w:val="none"/>
          <w:lang w:val="en-US" w:eastAsia="zh-CN"/>
        </w:rPr>
      </w:pPr>
    </w:p>
    <w:p>
      <w:pPr>
        <w:pStyle w:val="5"/>
        <w:widowControl w:val="0"/>
        <w:numPr>
          <w:ilvl w:val="0"/>
          <w:numId w:val="0"/>
        </w:numPr>
        <w:spacing w:after="120"/>
        <w:jc w:val="both"/>
        <w:rPr>
          <w:rFonts w:hint="default" w:eastAsiaTheme="minorEastAsia"/>
          <w:b/>
          <w:sz w:val="36"/>
          <w:highlight w:val="none"/>
          <w:lang w:val="en-US" w:eastAsia="zh-CN"/>
        </w:rPr>
      </w:pPr>
    </w:p>
    <w:p>
      <w:pPr>
        <w:pStyle w:val="5"/>
        <w:widowControl w:val="0"/>
        <w:numPr>
          <w:ilvl w:val="0"/>
          <w:numId w:val="0"/>
        </w:numPr>
        <w:spacing w:after="120"/>
        <w:jc w:val="both"/>
        <w:rPr>
          <w:rFonts w:hint="default" w:eastAsiaTheme="minorEastAsia"/>
          <w:b/>
          <w:sz w:val="36"/>
          <w:highlight w:val="none"/>
          <w:lang w:val="en-US" w:eastAsia="zh-CN"/>
        </w:rPr>
      </w:pPr>
    </w:p>
    <w:p>
      <w:pPr>
        <w:pStyle w:val="5"/>
        <w:widowControl w:val="0"/>
        <w:numPr>
          <w:ilvl w:val="0"/>
          <w:numId w:val="0"/>
        </w:numPr>
        <w:spacing w:after="120"/>
        <w:jc w:val="both"/>
        <w:rPr>
          <w:rFonts w:hint="default" w:eastAsiaTheme="minorEastAsia"/>
          <w:b/>
          <w:sz w:val="36"/>
          <w:highlight w:val="none"/>
          <w:lang w:val="en-US" w:eastAsia="zh-CN"/>
        </w:rPr>
      </w:pPr>
    </w:p>
    <w:tbl>
      <w:tblPr>
        <w:tblStyle w:val="10"/>
        <w:tblW w:w="9421"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815"/>
        <w:gridCol w:w="6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2848" w:type="dxa"/>
            <w:gridSpan w:val="2"/>
          </w:tcPr>
          <w:p>
            <w:pPr>
              <w:pStyle w:val="5"/>
              <w:widowControl w:val="0"/>
              <w:numPr>
                <w:ilvl w:val="0"/>
                <w:numId w:val="0"/>
              </w:numPr>
              <w:spacing w:after="120"/>
              <w:jc w:val="center"/>
              <w:rPr>
                <w:rFonts w:hint="eastAsia" w:ascii="宋体" w:hAnsi="宋体" w:eastAsia="宋体" w:cs="宋体"/>
                <w:b/>
                <w:sz w:val="21"/>
                <w:szCs w:val="21"/>
                <w:highlight w:val="none"/>
                <w:vertAlign w:val="baseline"/>
                <w:lang w:val="en-US" w:eastAsia="zh-CN"/>
              </w:rPr>
            </w:pPr>
            <w:r>
              <w:rPr>
                <w:rFonts w:hint="eastAsia" w:ascii="宋体" w:hAnsi="宋体" w:eastAsia="宋体" w:cs="宋体"/>
                <w:b/>
                <w:sz w:val="21"/>
                <w:szCs w:val="21"/>
                <w:highlight w:val="none"/>
                <w:vertAlign w:val="baseline"/>
                <w:lang w:val="en-US" w:eastAsia="zh-CN"/>
              </w:rPr>
              <w:t>条款号</w:t>
            </w:r>
          </w:p>
        </w:tc>
        <w:tc>
          <w:tcPr>
            <w:tcW w:w="6573" w:type="dxa"/>
          </w:tcPr>
          <w:p>
            <w:pPr>
              <w:pStyle w:val="5"/>
              <w:widowControl w:val="0"/>
              <w:numPr>
                <w:ilvl w:val="0"/>
                <w:numId w:val="0"/>
              </w:numPr>
              <w:spacing w:after="120"/>
              <w:jc w:val="center"/>
              <w:rPr>
                <w:rFonts w:hint="eastAsia" w:ascii="宋体" w:hAnsi="宋体" w:eastAsia="宋体" w:cs="宋体"/>
                <w:b/>
                <w:sz w:val="21"/>
                <w:szCs w:val="21"/>
                <w:highlight w:val="none"/>
                <w:vertAlign w:val="baseline"/>
                <w:lang w:val="en-US" w:eastAsia="zh-CN"/>
              </w:rPr>
            </w:pPr>
            <w:r>
              <w:rPr>
                <w:rFonts w:hint="eastAsia" w:ascii="宋体" w:hAnsi="宋体" w:eastAsia="宋体" w:cs="宋体"/>
                <w:b/>
                <w:sz w:val="21"/>
                <w:szCs w:val="21"/>
                <w:highlight w:val="none"/>
                <w:vertAlign w:val="baseline"/>
                <w:lang w:val="en-US" w:eastAsia="zh-CN"/>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57" w:hRule="atLeast"/>
        </w:trPr>
        <w:tc>
          <w:tcPr>
            <w:tcW w:w="1033" w:type="dxa"/>
            <w:vAlign w:val="center"/>
          </w:tcPr>
          <w:p>
            <w:pPr>
              <w:spacing w:line="400" w:lineRule="exact"/>
              <w:jc w:val="center"/>
              <w:rPr>
                <w:rFonts w:hint="eastAsia"/>
                <w:b/>
                <w:sz w:val="36"/>
                <w:highlight w:val="none"/>
                <w:vertAlign w:val="baseline"/>
                <w:lang w:val="en-US" w:eastAsia="zh-CN"/>
              </w:rPr>
            </w:pPr>
            <w:r>
              <w:rPr>
                <w:rFonts w:hint="eastAsia" w:ascii="宋体" w:hAnsi="宋体"/>
                <w:b/>
                <w:bCs/>
                <w:color w:val="auto"/>
                <w:szCs w:val="21"/>
                <w:highlight w:val="none"/>
              </w:rPr>
              <w:t>2.2.4（</w:t>
            </w:r>
            <w:r>
              <w:rPr>
                <w:rFonts w:hint="eastAsia" w:ascii="宋体" w:hAnsi="宋体"/>
                <w:b/>
                <w:bCs/>
                <w:color w:val="auto"/>
                <w:szCs w:val="21"/>
                <w:highlight w:val="none"/>
                <w:lang w:val="en-US" w:eastAsia="zh-CN"/>
              </w:rPr>
              <w:t>2</w:t>
            </w:r>
            <w:r>
              <w:rPr>
                <w:rFonts w:hint="eastAsia" w:ascii="宋体" w:hAnsi="宋体"/>
                <w:b/>
                <w:bCs/>
                <w:color w:val="auto"/>
                <w:szCs w:val="21"/>
                <w:highlight w:val="none"/>
              </w:rPr>
              <w:t>）</w:t>
            </w:r>
          </w:p>
        </w:tc>
        <w:tc>
          <w:tcPr>
            <w:tcW w:w="1815" w:type="dxa"/>
            <w:vAlign w:val="center"/>
          </w:tcPr>
          <w:p>
            <w:pPr>
              <w:spacing w:line="400" w:lineRule="exact"/>
              <w:jc w:val="center"/>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其他因素：</w:t>
            </w:r>
          </w:p>
          <w:p>
            <w:pPr>
              <w:spacing w:line="400" w:lineRule="exact"/>
              <w:jc w:val="center"/>
              <w:rPr>
                <w:rFonts w:hint="eastAsia"/>
                <w:b/>
                <w:sz w:val="36"/>
                <w:highlight w:val="none"/>
                <w:vertAlign w:val="baseline"/>
                <w:lang w:val="en-US" w:eastAsia="zh-CN"/>
              </w:rPr>
            </w:pPr>
            <w:r>
              <w:rPr>
                <w:rFonts w:hint="eastAsia" w:ascii="宋体" w:hAnsi="宋体"/>
                <w:b/>
                <w:bCs/>
                <w:color w:val="auto"/>
                <w:highlight w:val="none"/>
                <w:lang w:val="en-US" w:eastAsia="zh-CN"/>
              </w:rPr>
              <w:t>履约信誉情况</w:t>
            </w:r>
          </w:p>
        </w:tc>
        <w:tc>
          <w:tcPr>
            <w:tcW w:w="6573" w:type="dxa"/>
            <w:vAlign w:val="center"/>
          </w:tcPr>
          <w:p>
            <w:pPr>
              <w:spacing w:line="400" w:lineRule="exact"/>
              <w:jc w:val="left"/>
              <w:rPr>
                <w:rFonts w:hint="eastAsia" w:ascii="宋体" w:hAnsi="宋体"/>
                <w:b/>
                <w:color w:val="auto"/>
                <w:highlight w:val="none"/>
              </w:rPr>
            </w:pPr>
            <w:r>
              <w:rPr>
                <w:rFonts w:hint="eastAsia" w:ascii="宋体" w:hAnsi="宋体"/>
                <w:b/>
                <w:color w:val="auto"/>
                <w:highlight w:val="none"/>
              </w:rPr>
              <w:t>满分：10分</w:t>
            </w:r>
          </w:p>
          <w:p>
            <w:pPr>
              <w:spacing w:line="360" w:lineRule="exact"/>
              <w:ind w:firstLine="422" w:firstLineChars="200"/>
              <w:rPr>
                <w:b/>
                <w:bCs/>
                <w:color w:val="auto"/>
                <w:highlight w:val="none"/>
              </w:rPr>
            </w:pPr>
            <w:r>
              <w:rPr>
                <w:b/>
                <w:bCs/>
                <w:color w:val="auto"/>
                <w:highlight w:val="none"/>
              </w:rPr>
              <w:t>1</w:t>
            </w:r>
            <w:r>
              <w:rPr>
                <w:rFonts w:hint="eastAsia"/>
                <w:b/>
                <w:bCs/>
                <w:color w:val="auto"/>
                <w:highlight w:val="none"/>
              </w:rPr>
              <w:t>、信用等级：5</w:t>
            </w:r>
            <w:r>
              <w:rPr>
                <w:b/>
                <w:bCs/>
                <w:color w:val="auto"/>
                <w:highlight w:val="none"/>
              </w:rPr>
              <w:t xml:space="preserve"> </w:t>
            </w:r>
            <w:r>
              <w:rPr>
                <w:rFonts w:hint="eastAsia"/>
                <w:b/>
                <w:bCs/>
                <w:color w:val="auto"/>
                <w:highlight w:val="none"/>
              </w:rPr>
              <w:t>分</w:t>
            </w:r>
          </w:p>
          <w:p>
            <w:pPr>
              <w:spacing w:line="360" w:lineRule="exact"/>
              <w:ind w:left="-63" w:leftChars="-30" w:firstLine="420" w:firstLineChars="200"/>
              <w:rPr>
                <w:rFonts w:hint="eastAsia"/>
                <w:color w:val="auto"/>
                <w:highlight w:val="none"/>
              </w:rPr>
            </w:pPr>
            <w:r>
              <w:rPr>
                <w:color w:val="auto"/>
                <w:highlight w:val="none"/>
              </w:rPr>
              <w:t xml:space="preserve">AA </w:t>
            </w:r>
            <w:r>
              <w:rPr>
                <w:rFonts w:hint="eastAsia"/>
                <w:color w:val="auto"/>
                <w:highlight w:val="none"/>
              </w:rPr>
              <w:t>级得5分，</w:t>
            </w:r>
            <w:r>
              <w:rPr>
                <w:color w:val="auto"/>
                <w:highlight w:val="none"/>
              </w:rPr>
              <w:t xml:space="preserve">A </w:t>
            </w:r>
            <w:r>
              <w:rPr>
                <w:rFonts w:hint="eastAsia"/>
                <w:color w:val="auto"/>
                <w:highlight w:val="none"/>
              </w:rPr>
              <w:t>级得4.75分，</w:t>
            </w:r>
            <w:r>
              <w:rPr>
                <w:color w:val="auto"/>
                <w:highlight w:val="none"/>
              </w:rPr>
              <w:t xml:space="preserve">B </w:t>
            </w:r>
            <w:r>
              <w:rPr>
                <w:rFonts w:hint="eastAsia"/>
                <w:color w:val="auto"/>
                <w:highlight w:val="none"/>
              </w:rPr>
              <w:t>级得4.45 分，</w:t>
            </w:r>
            <w:r>
              <w:rPr>
                <w:color w:val="auto"/>
                <w:highlight w:val="none"/>
              </w:rPr>
              <w:t>C</w:t>
            </w:r>
            <w:r>
              <w:rPr>
                <w:rFonts w:hint="eastAsia"/>
                <w:color w:val="auto"/>
                <w:highlight w:val="none"/>
              </w:rPr>
              <w:t>级得3.65分。</w:t>
            </w:r>
          </w:p>
          <w:p>
            <w:pPr>
              <w:spacing w:line="360" w:lineRule="exact"/>
              <w:ind w:left="-63" w:leftChars="-30" w:firstLine="420" w:firstLineChars="200"/>
              <w:rPr>
                <w:rFonts w:hint="eastAsia"/>
                <w:color w:val="auto"/>
                <w:highlight w:val="none"/>
              </w:rPr>
            </w:pPr>
            <w:r>
              <w:rPr>
                <w:rFonts w:hint="eastAsia"/>
                <w:color w:val="auto"/>
                <w:highlight w:val="none"/>
              </w:rPr>
              <w:t>注：信用等级的确定原则遵循投标人须知前附表10.2款的规定。</w:t>
            </w:r>
          </w:p>
          <w:p>
            <w:pPr>
              <w:spacing w:line="360" w:lineRule="exact"/>
              <w:ind w:left="-63" w:leftChars="-30" w:firstLine="422" w:firstLineChars="200"/>
              <w:rPr>
                <w:rFonts w:hint="eastAsia"/>
                <w:b/>
                <w:bCs/>
                <w:color w:val="auto"/>
                <w:highlight w:val="none"/>
              </w:rPr>
            </w:pPr>
            <w:r>
              <w:rPr>
                <w:b/>
                <w:bCs/>
                <w:color w:val="auto"/>
                <w:highlight w:val="none"/>
              </w:rPr>
              <w:t>2</w:t>
            </w:r>
            <w:r>
              <w:rPr>
                <w:rFonts w:hint="eastAsia"/>
                <w:b/>
                <w:bCs/>
                <w:color w:val="auto"/>
                <w:highlight w:val="none"/>
              </w:rPr>
              <w:t>、履约信誉：5</w:t>
            </w:r>
            <w:r>
              <w:rPr>
                <w:b/>
                <w:bCs/>
                <w:color w:val="auto"/>
                <w:highlight w:val="none"/>
              </w:rPr>
              <w:t xml:space="preserve"> </w:t>
            </w:r>
            <w:r>
              <w:rPr>
                <w:rFonts w:hint="eastAsia"/>
                <w:b/>
                <w:bCs/>
                <w:color w:val="auto"/>
                <w:highlight w:val="none"/>
              </w:rPr>
              <w:t>分</w:t>
            </w:r>
          </w:p>
          <w:p>
            <w:pPr>
              <w:spacing w:line="360" w:lineRule="exact"/>
              <w:ind w:left="-63" w:leftChars="-30" w:firstLine="420" w:firstLineChars="200"/>
              <w:rPr>
                <w:color w:val="auto"/>
                <w:highlight w:val="none"/>
              </w:rPr>
            </w:pPr>
            <w:r>
              <w:rPr>
                <w:rFonts w:hint="eastAsia"/>
                <w:color w:val="auto"/>
                <w:highlight w:val="none"/>
              </w:rPr>
              <w:t>若没出现下述情形得满分5分。</w:t>
            </w:r>
          </w:p>
          <w:p>
            <w:pPr>
              <w:spacing w:line="360" w:lineRule="exact"/>
              <w:ind w:left="-63" w:leftChars="-30" w:firstLine="420" w:firstLineChars="200"/>
              <w:rPr>
                <w:color w:val="auto"/>
                <w:highlight w:val="none"/>
              </w:rPr>
            </w:pPr>
            <w:r>
              <w:rPr>
                <w:rFonts w:hint="eastAsia"/>
                <w:color w:val="auto"/>
                <w:highlight w:val="none"/>
              </w:rPr>
              <w:t>自</w:t>
            </w:r>
            <w:r>
              <w:rPr>
                <w:color w:val="auto"/>
                <w:highlight w:val="none"/>
              </w:rPr>
              <w:t>20</w:t>
            </w:r>
            <w:r>
              <w:rPr>
                <w:rFonts w:hint="eastAsia"/>
                <w:color w:val="auto"/>
                <w:highlight w:val="none"/>
              </w:rPr>
              <w:t>2</w:t>
            </w:r>
            <w:r>
              <w:rPr>
                <w:rFonts w:hint="eastAsia"/>
                <w:color w:val="auto"/>
                <w:highlight w:val="none"/>
                <w:lang w:val="en-US" w:eastAsia="zh-CN"/>
              </w:rPr>
              <w:t>1</w:t>
            </w:r>
            <w:r>
              <w:rPr>
                <w:rFonts w:hint="eastAsia"/>
                <w:color w:val="auto"/>
                <w:highlight w:val="none"/>
              </w:rPr>
              <w:t>年1</w:t>
            </w:r>
            <w:r>
              <w:rPr>
                <w:color w:val="auto"/>
                <w:highlight w:val="none"/>
              </w:rPr>
              <w:t xml:space="preserve"> </w:t>
            </w:r>
            <w:r>
              <w:rPr>
                <w:rFonts w:hint="eastAsia"/>
                <w:color w:val="auto"/>
                <w:highlight w:val="none"/>
              </w:rPr>
              <w:t>月</w:t>
            </w:r>
            <w:r>
              <w:rPr>
                <w:color w:val="auto"/>
                <w:highlight w:val="none"/>
              </w:rPr>
              <w:t xml:space="preserve">1 </w:t>
            </w:r>
            <w:r>
              <w:rPr>
                <w:rFonts w:hint="eastAsia"/>
                <w:color w:val="auto"/>
                <w:highlight w:val="none"/>
              </w:rPr>
              <w:t>日至今，因公路工程（含附属设施）质量、安全、履约或招标投标问题等原因被：</w:t>
            </w:r>
          </w:p>
          <w:p>
            <w:pPr>
              <w:spacing w:line="360" w:lineRule="exact"/>
              <w:ind w:left="-63" w:leftChars="-30" w:firstLine="315" w:firstLineChars="150"/>
              <w:rPr>
                <w:color w:val="auto"/>
                <w:highlight w:val="none"/>
              </w:rPr>
            </w:pPr>
            <w:r>
              <w:rPr>
                <w:rFonts w:hint="eastAsia"/>
                <w:color w:val="auto"/>
                <w:highlight w:val="none"/>
              </w:rPr>
              <w:t>（</w:t>
            </w:r>
            <w:r>
              <w:rPr>
                <w:color w:val="auto"/>
                <w:highlight w:val="none"/>
              </w:rPr>
              <w:t>1</w:t>
            </w:r>
            <w:r>
              <w:rPr>
                <w:rFonts w:hint="eastAsia"/>
                <w:color w:val="auto"/>
                <w:highlight w:val="none"/>
              </w:rPr>
              <w:t>）交通运输部通报批评的，扣5分/次；</w:t>
            </w:r>
          </w:p>
          <w:p>
            <w:pPr>
              <w:spacing w:line="360" w:lineRule="exact"/>
              <w:ind w:left="-63" w:leftChars="-30" w:firstLine="315" w:firstLineChars="150"/>
              <w:rPr>
                <w:color w:val="auto"/>
                <w:highlight w:val="none"/>
              </w:rPr>
            </w:pPr>
            <w:r>
              <w:rPr>
                <w:rFonts w:hint="eastAsia"/>
                <w:color w:val="auto"/>
                <w:highlight w:val="none"/>
              </w:rPr>
              <w:t>（</w:t>
            </w:r>
            <w:r>
              <w:rPr>
                <w:color w:val="auto"/>
                <w:highlight w:val="none"/>
              </w:rPr>
              <w:t>2</w:t>
            </w:r>
            <w:r>
              <w:rPr>
                <w:rFonts w:hint="eastAsia"/>
                <w:color w:val="auto"/>
                <w:highlight w:val="none"/>
              </w:rPr>
              <w:t>）广东省交通运输厅通报批评的，扣3分/次；</w:t>
            </w:r>
          </w:p>
          <w:p>
            <w:pPr>
              <w:spacing w:line="360" w:lineRule="exact"/>
              <w:ind w:firstLine="420" w:firstLineChars="200"/>
              <w:rPr>
                <w:rFonts w:hint="eastAsia"/>
                <w:color w:val="auto"/>
                <w:highlight w:val="none"/>
              </w:rPr>
            </w:pPr>
            <w:r>
              <w:rPr>
                <w:rFonts w:hint="eastAsia"/>
                <w:color w:val="auto"/>
                <w:highlight w:val="none"/>
              </w:rPr>
              <w:t>同一事项同时被多个部门通报批评或处罚只按最高的扣分计算</w:t>
            </w:r>
            <w:r>
              <w:rPr>
                <w:color w:val="auto"/>
                <w:highlight w:val="none"/>
              </w:rPr>
              <w:t xml:space="preserve">1 </w:t>
            </w:r>
            <w:r>
              <w:rPr>
                <w:rFonts w:hint="eastAsia"/>
                <w:color w:val="auto"/>
                <w:highlight w:val="none"/>
              </w:rPr>
              <w:t>次。如果扣完本项分值，可以从总分中扣除。</w:t>
            </w:r>
          </w:p>
          <w:p>
            <w:pPr>
              <w:pStyle w:val="5"/>
              <w:rPr>
                <w:rFonts w:hint="eastAsia" w:asciiTheme="minorHAnsi" w:hAnsiTheme="minorHAnsi" w:eastAsiaTheme="minorEastAsia" w:cstheme="minorBidi"/>
                <w:color w:val="auto"/>
                <w:kern w:val="2"/>
                <w:sz w:val="21"/>
                <w:szCs w:val="24"/>
                <w:highlight w:val="none"/>
                <w:lang w:val="en-US" w:eastAsia="zh-CN" w:bidi="ar-SA"/>
              </w:rPr>
            </w:pPr>
          </w:p>
          <w:p>
            <w:pPr>
              <w:pStyle w:val="5"/>
              <w:rPr>
                <w:rFonts w:hint="eastAsia" w:ascii="宋体" w:hAnsi="宋体" w:cs="宋体"/>
                <w:color w:val="auto"/>
                <w:kern w:val="0"/>
                <w:szCs w:val="21"/>
                <w:highlight w:val="none"/>
              </w:rPr>
            </w:pPr>
          </w:p>
          <w:p>
            <w:pPr>
              <w:pStyle w:val="5"/>
              <w:ind w:left="420" w:leftChars="200"/>
              <w:rPr>
                <w:rFonts w:hint="eastAsia"/>
                <w:b/>
                <w:sz w:val="36"/>
                <w:highlight w:val="none"/>
                <w:vertAlign w:val="baseline"/>
                <w:lang w:val="en-US" w:eastAsia="zh-CN"/>
              </w:rPr>
            </w:pPr>
          </w:p>
        </w:tc>
      </w:tr>
    </w:tbl>
    <w:tbl>
      <w:tblPr>
        <w:tblStyle w:val="9"/>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9427" w:type="dxa"/>
            <w:gridSpan w:val="2"/>
            <w:vAlign w:val="center"/>
          </w:tcPr>
          <w:p>
            <w:pPr>
              <w:spacing w:line="360" w:lineRule="exact"/>
              <w:jc w:val="center"/>
              <w:rPr>
                <w:rFonts w:hint="eastAsia" w:ascii="宋体" w:hAnsi="宋体"/>
                <w:b/>
                <w:color w:val="auto"/>
                <w:sz w:val="32"/>
                <w:szCs w:val="32"/>
                <w:highlight w:val="none"/>
              </w:rPr>
            </w:pPr>
            <w:r>
              <w:rPr>
                <w:rFonts w:ascii="宋体" w:hAnsi="宋体"/>
                <w:b/>
                <w:color w:val="auto"/>
                <w:sz w:val="32"/>
                <w:szCs w:val="32"/>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1029" w:type="dxa"/>
            <w:vAlign w:val="center"/>
          </w:tcPr>
          <w:p>
            <w:pPr>
              <w:spacing w:line="360" w:lineRule="exact"/>
              <w:jc w:val="center"/>
              <w:rPr>
                <w:rFonts w:hint="eastAsia" w:ascii="宋体" w:hAnsi="宋体"/>
                <w:b/>
                <w:color w:val="auto"/>
                <w:szCs w:val="21"/>
                <w:highlight w:val="none"/>
              </w:rPr>
            </w:pPr>
            <w:r>
              <w:rPr>
                <w:rFonts w:hint="eastAsia" w:ascii="宋体" w:hAnsi="宋体"/>
                <w:b/>
                <w:color w:val="auto"/>
                <w:szCs w:val="21"/>
                <w:highlight w:val="none"/>
              </w:rPr>
              <w:t>条款号</w:t>
            </w:r>
          </w:p>
        </w:tc>
        <w:tc>
          <w:tcPr>
            <w:tcW w:w="8398" w:type="dxa"/>
            <w:vAlign w:val="center"/>
          </w:tcPr>
          <w:p>
            <w:pPr>
              <w:spacing w:line="360" w:lineRule="exact"/>
              <w:jc w:val="center"/>
              <w:rPr>
                <w:rFonts w:hint="eastAsia" w:ascii="宋体" w:hAnsi="宋体"/>
                <w:b/>
                <w:color w:val="auto"/>
                <w:szCs w:val="21"/>
                <w:highlight w:val="none"/>
              </w:rPr>
            </w:pPr>
            <w:r>
              <w:rPr>
                <w:rFonts w:hint="eastAsia" w:ascii="宋体" w:hAnsi="宋体"/>
                <w:b/>
                <w:color w:val="auto"/>
                <w:szCs w:val="21"/>
                <w:highlight w:val="none"/>
              </w:rPr>
              <w:t>补充或修改的内容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jc w:val="center"/>
        </w:trPr>
        <w:tc>
          <w:tcPr>
            <w:tcW w:w="1029" w:type="dxa"/>
            <w:vAlign w:val="center"/>
          </w:tcPr>
          <w:p>
            <w:pPr>
              <w:spacing w:line="360" w:lineRule="exact"/>
              <w:jc w:val="center"/>
              <w:rPr>
                <w:rFonts w:hint="eastAsia" w:ascii="宋体" w:hAnsi="宋体"/>
                <w:b/>
                <w:color w:val="auto"/>
                <w:szCs w:val="21"/>
                <w:highlight w:val="none"/>
              </w:rPr>
            </w:pPr>
            <w:r>
              <w:rPr>
                <w:rFonts w:hint="eastAsia" w:ascii="宋体" w:hAnsi="宋体"/>
                <w:b/>
                <w:color w:val="auto"/>
                <w:szCs w:val="21"/>
                <w:highlight w:val="none"/>
              </w:rPr>
              <w:t>1</w:t>
            </w:r>
          </w:p>
        </w:tc>
        <w:tc>
          <w:tcPr>
            <w:tcW w:w="8398" w:type="dxa"/>
            <w:vAlign w:val="center"/>
          </w:tcPr>
          <w:p>
            <w:pPr>
              <w:spacing w:line="36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将评标办法范本原文第1条“评标方法”改为“评标方法及评标组织”，并且原文内容修改如下：</w:t>
            </w:r>
          </w:p>
          <w:p>
            <w:pPr>
              <w:spacing w:line="360" w:lineRule="exact"/>
              <w:rPr>
                <w:rFonts w:hint="eastAsia" w:ascii="宋体" w:hAnsi="宋体"/>
                <w:b/>
                <w:color w:val="auto"/>
                <w:szCs w:val="21"/>
                <w:highlight w:val="none"/>
              </w:rPr>
            </w:pPr>
            <w:r>
              <w:rPr>
                <w:rFonts w:hint="eastAsia" w:ascii="宋体" w:hAnsi="宋体"/>
                <w:b/>
                <w:color w:val="auto"/>
                <w:szCs w:val="21"/>
                <w:highlight w:val="none"/>
              </w:rPr>
              <w:t>1.1评标方法</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次评标采用双信封合理低价法。评标委员会对满足招标文件实质性要求的投标文件，按照本章第2.2款规定的评分标准进行打分，并按得分由高到低顺序推荐中标候选人，但投标报价低于其成本的除外。综合评分相等时，评标委员会应按照评标办法前附表规定的优先次序推荐中标候选人。</w:t>
            </w:r>
          </w:p>
          <w:p>
            <w:pPr>
              <w:spacing w:line="360" w:lineRule="exact"/>
              <w:rPr>
                <w:rFonts w:hint="eastAsia" w:ascii="宋体" w:hAnsi="宋体"/>
                <w:b/>
                <w:color w:val="auto"/>
                <w:szCs w:val="21"/>
                <w:highlight w:val="none"/>
              </w:rPr>
            </w:pPr>
            <w:r>
              <w:rPr>
                <w:rFonts w:hint="eastAsia" w:ascii="宋体" w:hAnsi="宋体"/>
                <w:b/>
                <w:color w:val="auto"/>
                <w:szCs w:val="21"/>
                <w:highlight w:val="none"/>
              </w:rPr>
              <w:t>1.2评标组织</w:t>
            </w:r>
          </w:p>
          <w:p>
            <w:pPr>
              <w:spacing w:line="360" w:lineRule="exact"/>
              <w:rPr>
                <w:rFonts w:hint="eastAsia" w:ascii="宋体" w:hAnsi="宋体"/>
                <w:b/>
                <w:color w:val="auto"/>
                <w:szCs w:val="21"/>
                <w:highlight w:val="none"/>
              </w:rPr>
            </w:pPr>
            <w:r>
              <w:rPr>
                <w:rFonts w:hint="eastAsia" w:ascii="宋体" w:hAnsi="宋体"/>
                <w:b/>
                <w:color w:val="auto"/>
                <w:szCs w:val="21"/>
                <w:highlight w:val="none"/>
              </w:rPr>
              <w:t>1.2.1协助工作组</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招标人可在评标工作开始前成立协助工作组，选派熟悉招标工作、政治素质高的人员组成，协助评标委员会工作。协助工作组人员的具体数量由招标人视评标工作量确定。</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招标人可以协助评标委员会开展下列工作并提供相关信息：</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）根据招标文件，编制评标使用的相应表格；</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）对投标报价进行算术性校核（如采用固化工程量清单，本步骤省略）；</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）以评标标准和方法为依据，列出投标文件相对于招标文件的所有偏差，并进行归类汇总；</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）查询公路建设市场信用信息管理系统，对投标人的资质、业绩、主要人员资历和目前在岗情况、信用等级进行核实。</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招标人不得对投标文件作出任何评价，不得故意遗漏或者片面摘录，不得在评标委员会对所有偏差定性之前透露存有偏差的投标人名称。</w:t>
            </w:r>
          </w:p>
          <w:p>
            <w:pPr>
              <w:spacing w:line="360" w:lineRule="exact"/>
              <w:rPr>
                <w:rFonts w:hint="eastAsia" w:ascii="宋体" w:hAnsi="宋体"/>
                <w:b/>
                <w:color w:val="auto"/>
                <w:szCs w:val="21"/>
                <w:highlight w:val="none"/>
              </w:rPr>
            </w:pPr>
            <w:r>
              <w:rPr>
                <w:rFonts w:hint="eastAsia" w:ascii="宋体" w:hAnsi="宋体"/>
                <w:b/>
                <w:color w:val="auto"/>
                <w:szCs w:val="21"/>
                <w:highlight w:val="none"/>
              </w:rPr>
              <w:t>1.2.2评标委员会</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评标委员会由招标人按国家、省等的有关规定依法组建，由招标人的代表和技术、经济专家组成。评标委员人数</w:t>
            </w:r>
            <w:r>
              <w:rPr>
                <w:rFonts w:ascii="宋体" w:hAnsi="宋体"/>
                <w:color w:val="auto"/>
                <w:szCs w:val="21"/>
                <w:highlight w:val="none"/>
              </w:rPr>
              <w:t>按投标人须知第6.1.1项执行</w:t>
            </w:r>
            <w:r>
              <w:rPr>
                <w:rFonts w:hint="eastAsia" w:ascii="宋体" w:hAnsi="宋体"/>
                <w:color w:val="auto"/>
                <w:szCs w:val="21"/>
                <w:highlight w:val="none"/>
              </w:rPr>
              <w:t>，评标委员会的主要工作内容包括：</w:t>
            </w:r>
          </w:p>
          <w:p>
            <w:pPr>
              <w:spacing w:line="360" w:lineRule="exact"/>
              <w:ind w:firstLine="323" w:firstLineChars="154"/>
              <w:rPr>
                <w:rFonts w:hint="eastAsia" w:ascii="宋体" w:hAnsi="宋体"/>
                <w:color w:val="auto"/>
                <w:szCs w:val="21"/>
                <w:highlight w:val="none"/>
              </w:rPr>
            </w:pPr>
            <w:r>
              <w:rPr>
                <w:rFonts w:hint="eastAsia" w:ascii="宋体" w:hAnsi="宋体"/>
                <w:color w:val="auto"/>
                <w:szCs w:val="21"/>
                <w:highlight w:val="none"/>
              </w:rPr>
              <w:t>（1）评标委员会开始评标工作之前，首先听取招标人、协助工作组关于工程情况和辅助工作的说明，并认真研读招标文件，获取评标所需的重要信息和数据；</w:t>
            </w:r>
          </w:p>
          <w:p>
            <w:pPr>
              <w:spacing w:line="360" w:lineRule="exact"/>
              <w:ind w:firstLine="323" w:firstLineChars="154"/>
              <w:rPr>
                <w:rFonts w:hint="eastAsia" w:ascii="宋体" w:hAnsi="宋体"/>
                <w:color w:val="auto"/>
                <w:szCs w:val="21"/>
                <w:highlight w:val="none"/>
              </w:rPr>
            </w:pPr>
            <w:r>
              <w:rPr>
                <w:rFonts w:hint="eastAsia" w:ascii="宋体" w:hAnsi="宋体"/>
                <w:color w:val="auto"/>
                <w:szCs w:val="21"/>
                <w:highlight w:val="none"/>
              </w:rPr>
              <w:t>（2）对协助工作组提供的评标工作用表和评标内容进行认真核查；</w:t>
            </w:r>
          </w:p>
          <w:p>
            <w:pPr>
              <w:spacing w:line="360" w:lineRule="exact"/>
              <w:ind w:firstLine="315" w:firstLineChars="150"/>
              <w:rPr>
                <w:rFonts w:hint="eastAsia" w:ascii="宋体" w:hAnsi="宋体"/>
                <w:color w:val="auto"/>
                <w:szCs w:val="21"/>
                <w:highlight w:val="none"/>
              </w:rPr>
            </w:pPr>
            <w:r>
              <w:rPr>
                <w:rFonts w:hint="eastAsia" w:ascii="宋体" w:hAnsi="宋体"/>
                <w:color w:val="auto"/>
                <w:szCs w:val="21"/>
                <w:highlight w:val="none"/>
              </w:rPr>
              <w:t>（3）按照以下</w:t>
            </w:r>
            <w:r>
              <w:rPr>
                <w:rFonts w:ascii="宋体" w:hAnsi="宋体"/>
                <w:color w:val="auto"/>
                <w:szCs w:val="21"/>
                <w:highlight w:val="none"/>
              </w:rPr>
              <w:t xml:space="preserve">1.3 </w:t>
            </w:r>
            <w:r>
              <w:rPr>
                <w:rFonts w:hint="eastAsia" w:ascii="宋体" w:hAnsi="宋体"/>
                <w:color w:val="auto"/>
                <w:szCs w:val="21"/>
                <w:highlight w:val="none"/>
              </w:rPr>
              <w:t>款程序进行各项评审工作。</w:t>
            </w:r>
          </w:p>
          <w:p>
            <w:pPr>
              <w:spacing w:line="360" w:lineRule="exact"/>
              <w:rPr>
                <w:rFonts w:hint="eastAsia" w:ascii="宋体" w:hAnsi="宋体"/>
                <w:b/>
                <w:color w:val="auto"/>
                <w:szCs w:val="21"/>
                <w:highlight w:val="none"/>
              </w:rPr>
            </w:pPr>
            <w:r>
              <w:rPr>
                <w:rFonts w:hint="eastAsia" w:ascii="宋体" w:hAnsi="宋体"/>
                <w:b/>
                <w:color w:val="auto"/>
                <w:szCs w:val="21"/>
                <w:highlight w:val="none"/>
              </w:rPr>
              <w:t>1.3评审工作程序</w:t>
            </w:r>
          </w:p>
          <w:p>
            <w:pPr>
              <w:spacing w:line="360" w:lineRule="exact"/>
              <w:rPr>
                <w:rFonts w:hint="eastAsia" w:ascii="宋体" w:hAnsi="宋体"/>
                <w:color w:val="auto"/>
                <w:szCs w:val="21"/>
                <w:highlight w:val="none"/>
              </w:rPr>
            </w:pPr>
            <w:r>
              <w:rPr>
                <w:rFonts w:hint="eastAsia" w:ascii="宋体" w:hAnsi="宋体"/>
                <w:color w:val="auto"/>
                <w:szCs w:val="21"/>
                <w:highlight w:val="none"/>
              </w:rPr>
              <w:t>（一）第一信封（商务文件和技术文件）：</w:t>
            </w:r>
          </w:p>
          <w:p>
            <w:pPr>
              <w:spacing w:line="360" w:lineRule="exact"/>
              <w:ind w:firstLine="323" w:firstLineChars="154"/>
              <w:rPr>
                <w:rFonts w:hint="eastAsia" w:ascii="宋体" w:hAnsi="宋体"/>
                <w:color w:val="auto"/>
                <w:szCs w:val="21"/>
                <w:highlight w:val="none"/>
              </w:rPr>
            </w:pPr>
            <w:r>
              <w:rPr>
                <w:rFonts w:hint="eastAsia" w:ascii="宋体" w:hAnsi="宋体"/>
                <w:color w:val="auto"/>
                <w:szCs w:val="21"/>
                <w:highlight w:val="none"/>
              </w:rPr>
              <w:t>（1）初步评审，包括形式评审与响应性评审、资格评审（适用于资格后审）；</w:t>
            </w:r>
          </w:p>
          <w:p>
            <w:pPr>
              <w:spacing w:line="360" w:lineRule="exact"/>
              <w:ind w:firstLine="323" w:firstLineChars="154"/>
              <w:rPr>
                <w:rFonts w:hint="eastAsia" w:ascii="宋体" w:hAnsi="宋体"/>
                <w:color w:val="auto"/>
                <w:szCs w:val="21"/>
                <w:highlight w:val="none"/>
              </w:rPr>
            </w:pPr>
            <w:r>
              <w:rPr>
                <w:rFonts w:hint="eastAsia" w:ascii="宋体" w:hAnsi="宋体"/>
                <w:color w:val="auto"/>
                <w:szCs w:val="21"/>
                <w:highlight w:val="none"/>
              </w:rPr>
              <w:t>（2）详细评审（评审打分）：评标委员会首先对通过初步评审的投标文件第一个信封（商务及技术文件）进行详细评审，</w:t>
            </w:r>
            <w:r>
              <w:rPr>
                <w:rFonts w:hint="eastAsia" w:ascii="宋体" w:cs="宋体"/>
                <w:color w:val="auto"/>
                <w:kern w:val="0"/>
                <w:sz w:val="22"/>
                <w:szCs w:val="22"/>
                <w:highlight w:val="none"/>
              </w:rPr>
              <w:t>对投标人的其他因素（信用等级、履约情况）得分评审与确认</w:t>
            </w:r>
            <w:r>
              <w:rPr>
                <w:rFonts w:hint="eastAsia" w:ascii="宋体" w:hAnsi="宋体"/>
                <w:color w:val="auto"/>
                <w:szCs w:val="21"/>
                <w:highlight w:val="none"/>
              </w:rPr>
              <w:t>。</w:t>
            </w:r>
          </w:p>
          <w:p>
            <w:pPr>
              <w:spacing w:line="360" w:lineRule="exact"/>
              <w:rPr>
                <w:rFonts w:hint="eastAsia" w:ascii="宋体" w:hAnsi="宋体"/>
                <w:color w:val="auto"/>
                <w:szCs w:val="21"/>
                <w:highlight w:val="none"/>
              </w:rPr>
            </w:pPr>
            <w:r>
              <w:rPr>
                <w:rFonts w:hint="eastAsia" w:ascii="宋体" w:hAnsi="宋体"/>
                <w:color w:val="auto"/>
                <w:szCs w:val="21"/>
                <w:highlight w:val="none"/>
              </w:rPr>
              <w:t>（二）第二信封（报价文件）：</w:t>
            </w:r>
          </w:p>
          <w:p>
            <w:pPr>
              <w:spacing w:line="400" w:lineRule="exact"/>
              <w:ind w:firstLine="210" w:firstLineChars="100"/>
              <w:rPr>
                <w:rFonts w:hint="eastAsia" w:ascii="宋体" w:hAnsi="宋体"/>
                <w:color w:val="auto"/>
                <w:szCs w:val="21"/>
                <w:highlight w:val="none"/>
              </w:rPr>
            </w:pPr>
            <w:r>
              <w:rPr>
                <w:rFonts w:hint="eastAsia" w:ascii="宋体" w:hAnsi="宋体"/>
                <w:color w:val="auto"/>
                <w:szCs w:val="21"/>
                <w:highlight w:val="none"/>
              </w:rPr>
              <w:t>1、初步评审：</w:t>
            </w:r>
          </w:p>
          <w:p>
            <w:pPr>
              <w:spacing w:line="400" w:lineRule="exact"/>
              <w:ind w:firstLine="210" w:firstLineChars="100"/>
              <w:rPr>
                <w:rFonts w:hint="eastAsia" w:ascii="宋体" w:hAnsi="宋体"/>
                <w:color w:val="auto"/>
                <w:szCs w:val="21"/>
                <w:highlight w:val="none"/>
              </w:rPr>
            </w:pPr>
            <w:r>
              <w:rPr>
                <w:rFonts w:hint="eastAsia" w:ascii="宋体" w:hAnsi="宋体"/>
                <w:color w:val="auto"/>
                <w:szCs w:val="21"/>
                <w:highlight w:val="none"/>
              </w:rPr>
              <w:t>（1）只有投标文件第一个信封通过详细评审的投标人才能继续参加第二信封报价文件的形式评审与响应性评审。</w:t>
            </w:r>
          </w:p>
          <w:p>
            <w:pPr>
              <w:spacing w:line="400" w:lineRule="exact"/>
              <w:ind w:firstLine="210" w:firstLineChars="100"/>
              <w:rPr>
                <w:rFonts w:hint="eastAsia" w:ascii="宋体" w:hAnsi="宋体"/>
                <w:color w:val="auto"/>
                <w:szCs w:val="21"/>
                <w:highlight w:val="none"/>
              </w:rPr>
            </w:pPr>
            <w:r>
              <w:rPr>
                <w:rFonts w:hint="eastAsia" w:ascii="宋体" w:hAnsi="宋体"/>
                <w:color w:val="auto"/>
                <w:szCs w:val="21"/>
                <w:highlight w:val="none"/>
              </w:rPr>
              <w:t>（2）报价算术性修正（如采用固化工程量清单，本步骤省略）；</w:t>
            </w:r>
          </w:p>
          <w:p>
            <w:pPr>
              <w:spacing w:line="400" w:lineRule="exact"/>
              <w:ind w:firstLine="210" w:firstLineChars="100"/>
              <w:rPr>
                <w:rFonts w:hint="eastAsia" w:ascii="宋体" w:hAnsi="宋体"/>
                <w:color w:val="auto"/>
                <w:szCs w:val="21"/>
                <w:highlight w:val="none"/>
              </w:rPr>
            </w:pPr>
            <w:r>
              <w:rPr>
                <w:rFonts w:hint="eastAsia" w:ascii="宋体" w:hAnsi="宋体"/>
                <w:color w:val="auto"/>
                <w:szCs w:val="21"/>
                <w:highlight w:val="none"/>
              </w:rPr>
              <w:t>2、详细评审：计算评标基准价、评标价得分及综合得分；</w:t>
            </w:r>
          </w:p>
          <w:p>
            <w:pPr>
              <w:spacing w:line="360" w:lineRule="exact"/>
              <w:ind w:firstLine="220" w:firstLineChars="105"/>
              <w:rPr>
                <w:rFonts w:ascii="宋体" w:hAnsi="宋体"/>
                <w:color w:val="auto"/>
                <w:szCs w:val="21"/>
                <w:highlight w:val="none"/>
              </w:rPr>
            </w:pPr>
            <w:r>
              <w:rPr>
                <w:rFonts w:hint="eastAsia" w:ascii="宋体" w:hAnsi="宋体"/>
                <w:color w:val="auto"/>
                <w:szCs w:val="21"/>
                <w:highlight w:val="none"/>
              </w:rPr>
              <w:t>（三）投标文件相关信息的核查。</w:t>
            </w:r>
          </w:p>
          <w:p>
            <w:pPr>
              <w:spacing w:line="360" w:lineRule="exact"/>
              <w:ind w:firstLine="220" w:firstLineChars="105"/>
              <w:rPr>
                <w:rFonts w:ascii="宋体" w:hAnsi="宋体"/>
                <w:color w:val="auto"/>
                <w:szCs w:val="21"/>
                <w:highlight w:val="none"/>
              </w:rPr>
            </w:pPr>
            <w:r>
              <w:rPr>
                <w:rFonts w:hint="eastAsia" w:ascii="宋体" w:hAnsi="宋体"/>
                <w:color w:val="auto"/>
                <w:szCs w:val="21"/>
                <w:highlight w:val="none"/>
              </w:rPr>
              <w:t>（四）投标文件的澄清和说明</w:t>
            </w:r>
            <w:r>
              <w:rPr>
                <w:rFonts w:ascii="宋体" w:hAnsi="宋体"/>
                <w:color w:val="auto"/>
                <w:szCs w:val="21"/>
                <w:highlight w:val="none"/>
              </w:rPr>
              <w:t>(</w:t>
            </w:r>
            <w:r>
              <w:rPr>
                <w:rFonts w:hint="eastAsia" w:ascii="宋体" w:hAnsi="宋体"/>
                <w:color w:val="auto"/>
                <w:szCs w:val="21"/>
                <w:highlight w:val="none"/>
              </w:rPr>
              <w:t>如有</w:t>
            </w:r>
            <w:r>
              <w:rPr>
                <w:rFonts w:ascii="宋体" w:hAnsi="宋体"/>
                <w:color w:val="auto"/>
                <w:szCs w:val="21"/>
                <w:highlight w:val="none"/>
              </w:rPr>
              <w:t>)</w:t>
            </w:r>
          </w:p>
          <w:p>
            <w:pPr>
              <w:spacing w:line="360" w:lineRule="exact"/>
              <w:ind w:firstLine="210" w:firstLineChars="100"/>
              <w:rPr>
                <w:rFonts w:hint="eastAsia" w:ascii="宋体" w:hAnsi="宋体"/>
                <w:b/>
                <w:color w:val="auto"/>
                <w:szCs w:val="21"/>
                <w:highlight w:val="none"/>
              </w:rPr>
            </w:pPr>
            <w:r>
              <w:rPr>
                <w:rFonts w:hint="eastAsia" w:ascii="宋体" w:hAnsi="宋体"/>
                <w:color w:val="auto"/>
                <w:szCs w:val="21"/>
                <w:highlight w:val="none"/>
              </w:rPr>
              <w:t>（五）按评标办法规定推荐中标候选人，编写评标报告。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1029" w:type="dxa"/>
            <w:vAlign w:val="center"/>
          </w:tcPr>
          <w:p>
            <w:pPr>
              <w:spacing w:line="360" w:lineRule="exact"/>
              <w:jc w:val="center"/>
              <w:rPr>
                <w:rFonts w:hint="eastAsia" w:ascii="宋体" w:hAnsi="宋体"/>
                <w:b/>
                <w:color w:val="auto"/>
                <w:szCs w:val="21"/>
                <w:highlight w:val="none"/>
              </w:rPr>
            </w:pPr>
            <w:r>
              <w:rPr>
                <w:rFonts w:hint="eastAsia" w:ascii="宋体" w:hAnsi="宋体"/>
                <w:b/>
                <w:color w:val="auto"/>
                <w:szCs w:val="21"/>
                <w:highlight w:val="none"/>
              </w:rPr>
              <w:t>2.2.1</w:t>
            </w:r>
          </w:p>
        </w:tc>
        <w:tc>
          <w:tcPr>
            <w:tcW w:w="8398" w:type="dxa"/>
            <w:vAlign w:val="top"/>
          </w:tcPr>
          <w:p>
            <w:pPr>
              <w:autoSpaceDE w:val="0"/>
              <w:autoSpaceDN w:val="0"/>
              <w:adjustRightInd w:val="0"/>
              <w:spacing w:line="360" w:lineRule="exact"/>
              <w:jc w:val="left"/>
              <w:rPr>
                <w:rFonts w:ascii="宋体" w:hAnsi="宋体"/>
                <w:b/>
                <w:color w:val="auto"/>
                <w:szCs w:val="21"/>
                <w:highlight w:val="none"/>
              </w:rPr>
            </w:pPr>
            <w:r>
              <w:rPr>
                <w:rFonts w:ascii="宋体" w:hAnsi="宋体"/>
                <w:b/>
                <w:color w:val="auto"/>
                <w:szCs w:val="21"/>
                <w:highlight w:val="none"/>
              </w:rPr>
              <w:t xml:space="preserve">2.2.1 </w:t>
            </w:r>
            <w:r>
              <w:rPr>
                <w:rFonts w:hint="eastAsia" w:ascii="宋体" w:hAnsi="宋体"/>
                <w:b/>
                <w:color w:val="auto"/>
                <w:szCs w:val="21"/>
                <w:highlight w:val="none"/>
              </w:rPr>
              <w:t>分值构成</w:t>
            </w:r>
          </w:p>
          <w:p>
            <w:pPr>
              <w:autoSpaceDE w:val="0"/>
              <w:autoSpaceDN w:val="0"/>
              <w:adjustRightInd w:val="0"/>
              <w:spacing w:line="360" w:lineRule="exact"/>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b/>
                <w:color w:val="auto"/>
                <w:highlight w:val="none"/>
              </w:rPr>
              <w:t>评标</w:t>
            </w:r>
            <w:r>
              <w:rPr>
                <w:rFonts w:hint="eastAsia" w:ascii="宋体" w:hAnsi="宋体"/>
                <w:b/>
                <w:color w:val="auto"/>
                <w:highlight w:val="none"/>
                <w:lang w:val="en-US" w:eastAsia="zh-CN"/>
              </w:rPr>
              <w:t>价</w:t>
            </w:r>
            <w:r>
              <w:rPr>
                <w:rFonts w:hint="eastAsia" w:ascii="宋体" w:hAnsi="宋体"/>
                <w:color w:val="auto"/>
                <w:szCs w:val="21"/>
                <w:highlight w:val="none"/>
              </w:rPr>
              <w:t>：见评标办法前附表。</w:t>
            </w:r>
          </w:p>
          <w:p>
            <w:pPr>
              <w:autoSpaceDE w:val="0"/>
              <w:autoSpaceDN w:val="0"/>
              <w:adjustRightInd w:val="0"/>
              <w:spacing w:line="360" w:lineRule="exact"/>
              <w:jc w:val="left"/>
              <w:rPr>
                <w:rFonts w:hint="eastAsia" w:ascii="宋体" w:hAnsi="宋体"/>
                <w:color w:val="auto"/>
                <w:szCs w:val="21"/>
                <w:highlight w:val="none"/>
              </w:rPr>
            </w:pPr>
            <w:r>
              <w:rPr>
                <w:rFonts w:hint="eastAsia" w:ascii="宋体" w:hAnsi="宋体"/>
                <w:color w:val="auto"/>
                <w:szCs w:val="21"/>
                <w:highlight w:val="none"/>
              </w:rPr>
              <w:t>（2）其他因素：见评标办法前附表。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1029" w:type="dxa"/>
            <w:vAlign w:val="center"/>
          </w:tcPr>
          <w:p>
            <w:pPr>
              <w:spacing w:line="360" w:lineRule="exact"/>
              <w:jc w:val="center"/>
              <w:rPr>
                <w:rFonts w:hint="eastAsia" w:ascii="宋体" w:hAnsi="宋体"/>
                <w:b/>
                <w:color w:val="auto"/>
                <w:szCs w:val="21"/>
                <w:highlight w:val="none"/>
              </w:rPr>
            </w:pPr>
            <w:r>
              <w:rPr>
                <w:rFonts w:hint="eastAsia" w:ascii="宋体" w:hAnsi="宋体"/>
                <w:b/>
                <w:color w:val="auto"/>
                <w:szCs w:val="21"/>
                <w:highlight w:val="none"/>
              </w:rPr>
              <w:t>2.2.4</w:t>
            </w:r>
          </w:p>
        </w:tc>
        <w:tc>
          <w:tcPr>
            <w:tcW w:w="8398" w:type="dxa"/>
            <w:vAlign w:val="top"/>
          </w:tcPr>
          <w:p>
            <w:pPr>
              <w:autoSpaceDE w:val="0"/>
              <w:autoSpaceDN w:val="0"/>
              <w:adjustRightInd w:val="0"/>
              <w:spacing w:line="360" w:lineRule="exact"/>
              <w:jc w:val="left"/>
              <w:rPr>
                <w:rFonts w:ascii="宋体" w:hAnsi="宋体"/>
                <w:b/>
                <w:color w:val="auto"/>
                <w:szCs w:val="21"/>
                <w:highlight w:val="none"/>
              </w:rPr>
            </w:pPr>
            <w:r>
              <w:rPr>
                <w:rFonts w:ascii="宋体" w:hAnsi="宋体"/>
                <w:b/>
                <w:color w:val="auto"/>
                <w:szCs w:val="21"/>
                <w:highlight w:val="none"/>
              </w:rPr>
              <w:t>2.2.</w:t>
            </w:r>
            <w:r>
              <w:rPr>
                <w:rFonts w:hint="eastAsia" w:ascii="宋体" w:hAnsi="宋体"/>
                <w:b/>
                <w:color w:val="auto"/>
                <w:szCs w:val="21"/>
                <w:highlight w:val="none"/>
              </w:rPr>
              <w:t>4</w:t>
            </w:r>
            <w:r>
              <w:rPr>
                <w:rFonts w:ascii="宋体" w:hAnsi="宋体"/>
                <w:b/>
                <w:color w:val="auto"/>
                <w:szCs w:val="21"/>
                <w:highlight w:val="none"/>
              </w:rPr>
              <w:t xml:space="preserve"> </w:t>
            </w:r>
            <w:r>
              <w:rPr>
                <w:rFonts w:hint="eastAsia" w:ascii="宋体" w:hAnsi="宋体"/>
                <w:b/>
                <w:color w:val="auto"/>
                <w:szCs w:val="21"/>
                <w:highlight w:val="none"/>
              </w:rPr>
              <w:t>分值构成</w:t>
            </w:r>
          </w:p>
          <w:p>
            <w:pPr>
              <w:autoSpaceDE w:val="0"/>
              <w:autoSpaceDN w:val="0"/>
              <w:adjustRightInd w:val="0"/>
              <w:spacing w:line="360" w:lineRule="exact"/>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b/>
                <w:color w:val="auto"/>
                <w:highlight w:val="none"/>
              </w:rPr>
              <w:t>评标</w:t>
            </w:r>
            <w:r>
              <w:rPr>
                <w:rFonts w:hint="eastAsia" w:ascii="宋体" w:hAnsi="宋体"/>
                <w:b/>
                <w:color w:val="auto"/>
                <w:highlight w:val="none"/>
                <w:lang w:val="en-US" w:eastAsia="zh-CN"/>
              </w:rPr>
              <w:t>价</w:t>
            </w:r>
            <w:r>
              <w:rPr>
                <w:rFonts w:hint="eastAsia" w:ascii="宋体" w:hAnsi="宋体"/>
                <w:color w:val="auto"/>
                <w:szCs w:val="21"/>
                <w:highlight w:val="none"/>
              </w:rPr>
              <w:t>评分标准：见评标办法前附表。</w:t>
            </w:r>
          </w:p>
          <w:p>
            <w:pPr>
              <w:autoSpaceDE w:val="0"/>
              <w:autoSpaceDN w:val="0"/>
              <w:adjustRightInd w:val="0"/>
              <w:spacing w:line="360" w:lineRule="exact"/>
              <w:jc w:val="left"/>
              <w:rPr>
                <w:rFonts w:hint="eastAsia" w:ascii="宋体" w:hAnsi="宋体"/>
                <w:color w:val="auto"/>
                <w:szCs w:val="21"/>
                <w:highlight w:val="none"/>
              </w:rPr>
            </w:pPr>
            <w:r>
              <w:rPr>
                <w:rFonts w:hint="eastAsia" w:ascii="宋体" w:hAnsi="宋体"/>
                <w:color w:val="auto"/>
                <w:szCs w:val="21"/>
                <w:highlight w:val="none"/>
              </w:rPr>
              <w:t>（2）其他因素评分标准：见评标办法前附表。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0" w:hRule="atLeast"/>
          <w:jc w:val="center"/>
        </w:trPr>
        <w:tc>
          <w:tcPr>
            <w:tcW w:w="1029" w:type="dxa"/>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3.2</w:t>
            </w:r>
          </w:p>
        </w:tc>
        <w:tc>
          <w:tcPr>
            <w:tcW w:w="8398" w:type="dxa"/>
            <w:vAlign w:val="top"/>
          </w:tcPr>
          <w:p>
            <w:pPr>
              <w:spacing w:line="360" w:lineRule="exact"/>
              <w:rPr>
                <w:rFonts w:hint="eastAsia" w:ascii="宋体" w:hAnsi="宋体"/>
                <w:b/>
                <w:color w:val="auto"/>
                <w:szCs w:val="21"/>
                <w:highlight w:val="none"/>
              </w:rPr>
            </w:pPr>
            <w:r>
              <w:rPr>
                <w:rFonts w:hint="eastAsia" w:ascii="宋体" w:hAnsi="宋体"/>
                <w:b/>
                <w:color w:val="auto"/>
                <w:szCs w:val="21"/>
                <w:highlight w:val="none"/>
              </w:rPr>
              <w:t>将评标办法范本原文第3.2款修改为：</w:t>
            </w:r>
          </w:p>
          <w:p>
            <w:pPr>
              <w:overflowPunct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第一个信封（商务及技术文件）评审结束后，招标人将按照第二章“投标人须知”</w:t>
            </w:r>
            <w:r>
              <w:rPr>
                <w:rFonts w:ascii="宋体" w:hAnsi="宋体"/>
                <w:color w:val="auto"/>
                <w:szCs w:val="21"/>
                <w:highlight w:val="none"/>
              </w:rPr>
              <w:t xml:space="preserve"> </w:t>
            </w:r>
            <w:r>
              <w:rPr>
                <w:rFonts w:hint="eastAsia" w:ascii="宋体" w:hAnsi="宋体"/>
                <w:color w:val="auto"/>
                <w:szCs w:val="21"/>
                <w:highlight w:val="none"/>
              </w:rPr>
              <w:t>第</w:t>
            </w:r>
            <w:r>
              <w:rPr>
                <w:rFonts w:ascii="宋体" w:hAnsi="宋体"/>
                <w:color w:val="auto"/>
                <w:szCs w:val="21"/>
                <w:highlight w:val="none"/>
              </w:rPr>
              <w:t xml:space="preserve"> 5.1 </w:t>
            </w:r>
            <w:r>
              <w:rPr>
                <w:rFonts w:hint="eastAsia" w:ascii="宋体" w:hAnsi="宋体"/>
                <w:color w:val="auto"/>
                <w:szCs w:val="21"/>
                <w:highlight w:val="none"/>
              </w:rPr>
              <w:t>款规定的时间和地点对通过投标文件第一个信封（商务及技术文件）评审的投标文件第二个信封（报价文件）进行开标。</w:t>
            </w:r>
          </w:p>
          <w:p>
            <w:pPr>
              <w:snapToGrid w:val="0"/>
              <w:spacing w:line="360" w:lineRule="exact"/>
              <w:ind w:firstLine="420" w:firstLineChars="200"/>
              <w:rPr>
                <w:rFonts w:ascii="宋体" w:hAnsi="宋体"/>
                <w:b/>
                <w:color w:val="auto"/>
                <w:szCs w:val="21"/>
                <w:highlight w:val="none"/>
              </w:rPr>
            </w:pPr>
            <w:r>
              <w:rPr>
                <w:rFonts w:hint="eastAsia" w:ascii="宋体" w:hAnsi="宋体"/>
                <w:color w:val="auto"/>
                <w:szCs w:val="21"/>
                <w:highlight w:val="none"/>
              </w:rPr>
              <w:t xml:space="preserve">只有通过第一个信封（商务及技术文件）评审的投标人才能继续参加第二信封（报价文件）的评审。对不通过第一个信封（商务及技术文件）评审的投标人的第二信封直接退回，不再开启内层信封。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1029" w:type="dxa"/>
            <w:vAlign w:val="center"/>
          </w:tcPr>
          <w:p>
            <w:pPr>
              <w:spacing w:line="360" w:lineRule="exact"/>
              <w:jc w:val="center"/>
              <w:rPr>
                <w:rFonts w:hint="eastAsia" w:ascii="宋体" w:hAnsi="宋体" w:eastAsia="宋体"/>
                <w:b/>
                <w:color w:val="auto"/>
                <w:szCs w:val="21"/>
                <w:highlight w:val="none"/>
                <w:lang w:val="en-US" w:eastAsia="zh-CN"/>
              </w:rPr>
            </w:pPr>
            <w:r>
              <w:rPr>
                <w:rFonts w:hint="eastAsia" w:ascii="宋体" w:hAnsi="宋体"/>
                <w:b/>
                <w:color w:val="auto"/>
                <w:szCs w:val="21"/>
                <w:highlight w:val="none"/>
              </w:rPr>
              <w:t>3.</w:t>
            </w:r>
            <w:r>
              <w:rPr>
                <w:rFonts w:hint="eastAsia" w:ascii="宋体" w:hAnsi="宋体"/>
                <w:b/>
                <w:color w:val="auto"/>
                <w:szCs w:val="21"/>
                <w:highlight w:val="none"/>
                <w:lang w:val="en-US" w:eastAsia="zh-CN"/>
              </w:rPr>
              <w:t>3</w:t>
            </w:r>
          </w:p>
        </w:tc>
        <w:tc>
          <w:tcPr>
            <w:tcW w:w="8398" w:type="dxa"/>
            <w:vAlign w:val="top"/>
          </w:tcPr>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本项目招标采用第二章“投标人须知”第3.2.1项（1）目规定的投标人按照招标人提供的工程量固化清单电子文件填写工程量清单，无须按照本章第 3.3.2 项和第 3.3.3 项的规定对投标报价进行修正，第 3.3.2 项至第 3.3.5 项内容不适用。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1029" w:type="dxa"/>
            <w:vAlign w:val="center"/>
          </w:tcPr>
          <w:p>
            <w:pPr>
              <w:spacing w:line="360" w:lineRule="exact"/>
              <w:jc w:val="center"/>
              <w:rPr>
                <w:rFonts w:hint="eastAsia" w:ascii="宋体" w:hAnsi="宋体"/>
                <w:b/>
                <w:color w:val="auto"/>
                <w:szCs w:val="21"/>
                <w:highlight w:val="none"/>
              </w:rPr>
            </w:pPr>
            <w:r>
              <w:rPr>
                <w:rFonts w:hint="eastAsia" w:ascii="宋体" w:hAnsi="宋体"/>
                <w:b/>
                <w:color w:val="auto"/>
                <w:szCs w:val="21"/>
                <w:highlight w:val="none"/>
              </w:rPr>
              <w:t>3.5.3</w:t>
            </w:r>
          </w:p>
        </w:tc>
        <w:tc>
          <w:tcPr>
            <w:tcW w:w="8398" w:type="dxa"/>
            <w:vAlign w:val="top"/>
          </w:tcPr>
          <w:p>
            <w:pPr>
              <w:spacing w:line="360" w:lineRule="exact"/>
              <w:rPr>
                <w:rFonts w:ascii="宋体" w:hAnsi="宋体"/>
                <w:b/>
                <w:color w:val="auto"/>
                <w:szCs w:val="21"/>
                <w:highlight w:val="none"/>
              </w:rPr>
            </w:pPr>
            <w:r>
              <w:rPr>
                <w:rFonts w:hint="eastAsia" w:ascii="宋体" w:hAnsi="宋体"/>
                <w:b/>
                <w:color w:val="auto"/>
                <w:szCs w:val="21"/>
                <w:highlight w:val="none"/>
              </w:rPr>
              <w:t>增加</w:t>
            </w:r>
            <w:r>
              <w:rPr>
                <w:rFonts w:ascii="宋体" w:hAnsi="宋体"/>
                <w:b/>
                <w:color w:val="auto"/>
                <w:szCs w:val="21"/>
                <w:highlight w:val="none"/>
              </w:rPr>
              <w:t>3.</w:t>
            </w:r>
            <w:r>
              <w:rPr>
                <w:rFonts w:hint="eastAsia" w:ascii="宋体" w:hAnsi="宋体"/>
                <w:b/>
                <w:color w:val="auto"/>
                <w:szCs w:val="21"/>
                <w:highlight w:val="none"/>
              </w:rPr>
              <w:t>5</w:t>
            </w:r>
            <w:r>
              <w:rPr>
                <w:rFonts w:ascii="宋体" w:hAnsi="宋体"/>
                <w:b/>
                <w:color w:val="auto"/>
                <w:szCs w:val="21"/>
                <w:highlight w:val="none"/>
              </w:rPr>
              <w:t xml:space="preserve">.3 </w:t>
            </w:r>
            <w:r>
              <w:rPr>
                <w:rFonts w:hint="eastAsia" w:ascii="宋体" w:hAnsi="宋体"/>
                <w:b/>
                <w:color w:val="auto"/>
                <w:szCs w:val="21"/>
                <w:highlight w:val="none"/>
              </w:rPr>
              <w:t>款：</w:t>
            </w:r>
          </w:p>
          <w:p>
            <w:pPr>
              <w:spacing w:line="360" w:lineRule="exact"/>
              <w:ind w:firstLine="420" w:firstLineChars="200"/>
              <w:rPr>
                <w:rFonts w:hint="eastAsia" w:ascii="宋体" w:hAnsi="宋体"/>
                <w:b/>
                <w:color w:val="auto"/>
                <w:szCs w:val="21"/>
                <w:highlight w:val="none"/>
              </w:rPr>
            </w:pPr>
            <w:r>
              <w:rPr>
                <w:rFonts w:ascii="宋体" w:hAnsi="宋体"/>
                <w:color w:val="auto"/>
                <w:szCs w:val="21"/>
                <w:highlight w:val="none"/>
              </w:rPr>
              <w:t>3.</w:t>
            </w:r>
            <w:r>
              <w:rPr>
                <w:rFonts w:hint="eastAsia" w:ascii="宋体" w:hAnsi="宋体"/>
                <w:color w:val="auto"/>
                <w:szCs w:val="21"/>
                <w:highlight w:val="none"/>
              </w:rPr>
              <w:t>5</w:t>
            </w:r>
            <w:r>
              <w:rPr>
                <w:rFonts w:ascii="宋体" w:hAnsi="宋体"/>
                <w:color w:val="auto"/>
                <w:szCs w:val="21"/>
                <w:highlight w:val="none"/>
              </w:rPr>
              <w:t xml:space="preserve">.3 </w:t>
            </w:r>
            <w:r>
              <w:rPr>
                <w:rFonts w:hint="eastAsia" w:ascii="宋体" w:hAnsi="宋体"/>
                <w:color w:val="auto"/>
                <w:szCs w:val="21"/>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投标人的违法行为由行政监督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1029" w:type="dxa"/>
            <w:vAlign w:val="center"/>
          </w:tcPr>
          <w:p>
            <w:pPr>
              <w:spacing w:line="360" w:lineRule="exact"/>
              <w:jc w:val="center"/>
              <w:rPr>
                <w:rFonts w:hint="eastAsia" w:ascii="宋体" w:hAnsi="宋体"/>
                <w:b/>
                <w:color w:val="auto"/>
                <w:szCs w:val="21"/>
                <w:highlight w:val="none"/>
              </w:rPr>
            </w:pPr>
            <w:r>
              <w:rPr>
                <w:rFonts w:hint="eastAsia" w:ascii="宋体" w:hAnsi="宋体"/>
                <w:b/>
                <w:color w:val="auto"/>
                <w:szCs w:val="21"/>
                <w:highlight w:val="none"/>
              </w:rPr>
              <w:t>3.6.1</w:t>
            </w:r>
          </w:p>
        </w:tc>
        <w:tc>
          <w:tcPr>
            <w:tcW w:w="8398" w:type="dxa"/>
            <w:vAlign w:val="top"/>
          </w:tcPr>
          <w:p>
            <w:pPr>
              <w:spacing w:line="360" w:lineRule="exact"/>
              <w:rPr>
                <w:rFonts w:ascii="宋体" w:hAnsi="宋体"/>
                <w:b/>
                <w:color w:val="auto"/>
                <w:szCs w:val="21"/>
                <w:highlight w:val="none"/>
              </w:rPr>
            </w:pPr>
            <w:r>
              <w:rPr>
                <w:rFonts w:hint="eastAsia" w:ascii="宋体" w:hAnsi="宋体"/>
                <w:b/>
                <w:color w:val="auto"/>
                <w:szCs w:val="21"/>
                <w:highlight w:val="none"/>
              </w:rPr>
              <w:t>将评标办法范本原文第</w:t>
            </w:r>
            <w:r>
              <w:rPr>
                <w:rFonts w:ascii="宋体" w:hAnsi="宋体"/>
                <w:b/>
                <w:color w:val="auto"/>
                <w:szCs w:val="21"/>
                <w:highlight w:val="none"/>
              </w:rPr>
              <w:t>3.</w:t>
            </w:r>
            <w:r>
              <w:rPr>
                <w:rFonts w:hint="eastAsia" w:ascii="宋体" w:hAnsi="宋体"/>
                <w:b/>
                <w:color w:val="auto"/>
                <w:szCs w:val="21"/>
                <w:highlight w:val="none"/>
              </w:rPr>
              <w:t>6</w:t>
            </w:r>
            <w:r>
              <w:rPr>
                <w:rFonts w:ascii="宋体" w:hAnsi="宋体"/>
                <w:b/>
                <w:color w:val="auto"/>
                <w:szCs w:val="21"/>
                <w:highlight w:val="none"/>
              </w:rPr>
              <w:t xml:space="preserve">.1 </w:t>
            </w:r>
            <w:r>
              <w:rPr>
                <w:rFonts w:hint="eastAsia" w:ascii="宋体" w:hAnsi="宋体"/>
                <w:b/>
                <w:color w:val="auto"/>
                <w:szCs w:val="21"/>
                <w:highlight w:val="none"/>
              </w:rPr>
              <w:t>项修改为：</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6</w:t>
            </w:r>
            <w:r>
              <w:rPr>
                <w:rFonts w:ascii="宋体" w:hAnsi="宋体"/>
                <w:color w:val="auto"/>
                <w:szCs w:val="21"/>
                <w:highlight w:val="none"/>
              </w:rPr>
              <w:t xml:space="preserve">.1 </w:t>
            </w:r>
            <w:r>
              <w:rPr>
                <w:rFonts w:hint="eastAsia" w:ascii="宋体" w:hAnsi="宋体"/>
                <w:color w:val="auto"/>
                <w:szCs w:val="21"/>
                <w:highlight w:val="none"/>
              </w:rPr>
              <w:t>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 xml:space="preserve">(1) </w:t>
            </w:r>
            <w:r>
              <w:rPr>
                <w:rFonts w:hint="eastAsia" w:ascii="宋体" w:hAnsi="宋体"/>
                <w:color w:val="auto"/>
                <w:szCs w:val="21"/>
                <w:highlight w:val="none"/>
              </w:rPr>
              <w:t>投标文件中的下列计算错误为细微偏差（采用固化工程量清单，则</w:t>
            </w:r>
            <w:r>
              <w:rPr>
                <w:rFonts w:ascii="宋体" w:hAnsi="宋体"/>
                <w:color w:val="auto"/>
                <w:szCs w:val="21"/>
                <w:highlight w:val="none"/>
              </w:rPr>
              <w:t>a</w:t>
            </w:r>
            <w:r>
              <w:rPr>
                <w:rFonts w:hint="eastAsia" w:ascii="宋体" w:hAnsi="宋体"/>
                <w:color w:val="auto"/>
                <w:szCs w:val="21"/>
                <w:highlight w:val="none"/>
              </w:rPr>
              <w:t>－</w:t>
            </w:r>
            <w:r>
              <w:rPr>
                <w:rFonts w:ascii="宋体" w:hAnsi="宋体"/>
                <w:color w:val="auto"/>
                <w:szCs w:val="21"/>
                <w:highlight w:val="none"/>
              </w:rPr>
              <w:t xml:space="preserve">d </w:t>
            </w:r>
            <w:r>
              <w:rPr>
                <w:rFonts w:hint="eastAsia" w:ascii="宋体" w:hAnsi="宋体"/>
                <w:color w:val="auto"/>
                <w:szCs w:val="21"/>
                <w:highlight w:val="none"/>
              </w:rPr>
              <w:t>步骤省略）：</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、在算术性复核中发现的算术性差错：</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、在招标人给定的工程量清单中漏报了某个工程细目的单价和合价；</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、在招标人给定的工程量清单中多报了某个工程细目的单价和合价或所报单价增加或减少了报价范围；</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、在招标人给定的工程量清单中修改了某些支付号的工程数量。</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）评标委员会对投标文件中的细微偏差按如下规定处理（采用固化工程量清单，则</w:t>
            </w:r>
            <w:r>
              <w:rPr>
                <w:rFonts w:ascii="宋体" w:hAnsi="宋体"/>
                <w:color w:val="auto"/>
                <w:szCs w:val="21"/>
                <w:highlight w:val="none"/>
              </w:rPr>
              <w:t>a</w:t>
            </w:r>
            <w:r>
              <w:rPr>
                <w:rFonts w:hint="eastAsia" w:ascii="宋体" w:hAnsi="宋体"/>
                <w:color w:val="auto"/>
                <w:szCs w:val="21"/>
                <w:highlight w:val="none"/>
              </w:rPr>
              <w:t>－</w:t>
            </w:r>
            <w:r>
              <w:rPr>
                <w:rFonts w:ascii="宋体" w:hAnsi="宋体"/>
                <w:color w:val="auto"/>
                <w:szCs w:val="21"/>
                <w:highlight w:val="none"/>
              </w:rPr>
              <w:t xml:space="preserve">d </w:t>
            </w:r>
            <w:r>
              <w:rPr>
                <w:rFonts w:hint="eastAsia" w:ascii="宋体" w:hAnsi="宋体"/>
                <w:color w:val="auto"/>
                <w:szCs w:val="21"/>
                <w:highlight w:val="none"/>
              </w:rPr>
              <w:t>步骤省略）：</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、按本评标办法的规定对算术性错误予以修正；</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、对于漏报的工程细目单价和合价或单价和合价减少的报价内容视为已含入其它工程细目的单价和合价之中；</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、在保证投标总价不变的前提下，对于多报的工程细目报价或工程细目报价中增加的部分报价从投标报价中予以扣除，并对其它细目作相应的平衡性调整；</w:t>
            </w:r>
          </w:p>
          <w:p>
            <w:pPr>
              <w:overflowPunct w:val="0"/>
              <w:spacing w:line="360" w:lineRule="exact"/>
              <w:ind w:firstLine="420" w:firstLineChars="200"/>
              <w:rPr>
                <w:rFonts w:hint="eastAsia" w:ascii="宋体" w:hAnsi="宋体"/>
                <w:b/>
                <w:color w:val="auto"/>
                <w:szCs w:val="21"/>
                <w:highlight w:val="none"/>
              </w:rPr>
            </w:pPr>
            <w:r>
              <w:rPr>
                <w:rFonts w:ascii="宋体" w:hAnsi="宋体"/>
                <w:color w:val="auto"/>
                <w:szCs w:val="21"/>
                <w:highlight w:val="none"/>
              </w:rPr>
              <w:t>d</w:t>
            </w:r>
            <w:r>
              <w:rPr>
                <w:rFonts w:hint="eastAsia" w:ascii="宋体" w:hAnsi="宋体"/>
                <w:color w:val="auto"/>
                <w:szCs w:val="21"/>
                <w:highlight w:val="none"/>
              </w:rPr>
              <w:t>、在保证投标总价不变的前提下，对与给定工程量清单数量不符的工程数量进行更正，并对其它细目作相应的平衡性调整；。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029" w:type="dxa"/>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3.8</w:t>
            </w:r>
          </w:p>
        </w:tc>
        <w:tc>
          <w:tcPr>
            <w:tcW w:w="8398" w:type="dxa"/>
            <w:vAlign w:val="top"/>
          </w:tcPr>
          <w:p>
            <w:pPr>
              <w:pStyle w:val="6"/>
              <w:adjustRightInd w:val="0"/>
              <w:snapToGrid w:val="0"/>
              <w:spacing w:line="360" w:lineRule="exact"/>
              <w:ind w:left="44" w:leftChars="21" w:firstLine="432" w:firstLineChars="206"/>
              <w:rPr>
                <w:rFonts w:hint="eastAsia"/>
                <w:color w:val="auto"/>
                <w:highlight w:val="none"/>
              </w:rPr>
            </w:pPr>
            <w:r>
              <w:rPr>
                <w:rFonts w:hint="eastAsia"/>
                <w:color w:val="auto"/>
                <w:highlight w:val="none"/>
              </w:rPr>
              <w:t>增加</w:t>
            </w:r>
            <w:r>
              <w:rPr>
                <w:color w:val="auto"/>
                <w:highlight w:val="none"/>
              </w:rPr>
              <w:t>3.</w:t>
            </w:r>
            <w:r>
              <w:rPr>
                <w:rFonts w:hint="eastAsia"/>
                <w:color w:val="auto"/>
                <w:highlight w:val="none"/>
              </w:rPr>
              <w:t>8</w:t>
            </w:r>
            <w:r>
              <w:rPr>
                <w:color w:val="auto"/>
                <w:highlight w:val="none"/>
              </w:rPr>
              <w:t xml:space="preserve">.3 </w:t>
            </w:r>
            <w:r>
              <w:rPr>
                <w:rFonts w:hint="eastAsia"/>
                <w:color w:val="auto"/>
                <w:highlight w:val="none"/>
              </w:rPr>
              <w:t>-3.8.</w:t>
            </w:r>
            <w:r>
              <w:rPr>
                <w:rFonts w:hint="eastAsia"/>
                <w:color w:val="auto"/>
                <w:highlight w:val="none"/>
                <w:lang w:val="en-US" w:eastAsia="zh-CN"/>
              </w:rPr>
              <w:t>9</w:t>
            </w:r>
            <w:r>
              <w:rPr>
                <w:rFonts w:hint="eastAsia"/>
                <w:color w:val="auto"/>
                <w:highlight w:val="none"/>
              </w:rPr>
              <w:t>款：</w:t>
            </w:r>
          </w:p>
          <w:p>
            <w:pPr>
              <w:pStyle w:val="6"/>
              <w:adjustRightInd w:val="0"/>
              <w:snapToGrid w:val="0"/>
              <w:spacing w:line="360" w:lineRule="exact"/>
              <w:ind w:left="44" w:leftChars="21" w:firstLine="432" w:firstLineChars="206"/>
              <w:rPr>
                <w:rFonts w:hint="eastAsia"/>
                <w:color w:val="auto"/>
                <w:highlight w:val="none"/>
              </w:rPr>
            </w:pPr>
            <w:r>
              <w:rPr>
                <w:rFonts w:hint="eastAsia"/>
                <w:color w:val="auto"/>
                <w:highlight w:val="none"/>
              </w:rPr>
              <w:t>3.8.3  通过第一信封商务文件和技术文件评审的投标人少于</w:t>
            </w:r>
            <w:r>
              <w:rPr>
                <w:color w:val="auto"/>
                <w:highlight w:val="none"/>
              </w:rPr>
              <w:t xml:space="preserve">3 </w:t>
            </w:r>
            <w:r>
              <w:rPr>
                <w:rFonts w:hint="eastAsia"/>
                <w:color w:val="auto"/>
                <w:highlight w:val="none"/>
              </w:rPr>
              <w:t>个的，评标委员会可以否决全部投标；未否决全部投标的，评标委员会应当在评标报告中阐明理由，招标人应当按照招标文件规定的程序进行第二信封报价文件开标，但评标委员会在进行报价文件评审时仍有权否决全部投标；评标委员会未在报价文件评审时否决全部投标的，应当在评标报告中阐明理由并推荐中标候选人。</w:t>
            </w:r>
          </w:p>
          <w:p>
            <w:pPr>
              <w:pStyle w:val="6"/>
              <w:snapToGrid w:val="0"/>
              <w:spacing w:line="360" w:lineRule="exact"/>
              <w:ind w:left="44" w:leftChars="21" w:firstLine="432" w:firstLineChars="206"/>
              <w:rPr>
                <w:rFonts w:hint="eastAsia"/>
                <w:color w:val="auto"/>
                <w:highlight w:val="none"/>
              </w:rPr>
            </w:pPr>
            <w:r>
              <w:rPr>
                <w:rFonts w:hint="eastAsia"/>
                <w:color w:val="auto"/>
                <w:highlight w:val="none"/>
              </w:rPr>
              <w:t>3.8.4 通过第一信封商务文件和技术文件评审的投标人在</w:t>
            </w:r>
            <w:r>
              <w:rPr>
                <w:color w:val="auto"/>
                <w:highlight w:val="none"/>
              </w:rPr>
              <w:t xml:space="preserve">3 </w:t>
            </w:r>
            <w:r>
              <w:rPr>
                <w:rFonts w:hint="eastAsia"/>
                <w:color w:val="auto"/>
                <w:highlight w:val="none"/>
              </w:rPr>
              <w:t>个及以上的，招标人应当按照招标文件规定的程序进行第二信封报价文件开标；在对报价文件进行评审后，有效投标不足</w:t>
            </w:r>
            <w:r>
              <w:rPr>
                <w:color w:val="auto"/>
                <w:highlight w:val="none"/>
              </w:rPr>
              <w:t xml:space="preserve">3 </w:t>
            </w:r>
            <w:r>
              <w:rPr>
                <w:rFonts w:hint="eastAsia"/>
                <w:color w:val="auto"/>
                <w:highlight w:val="none"/>
              </w:rPr>
              <w:t>个的，评标委员会可以否决全部投标。未否决全部投标的，评标委员会应当在评标报告中阐明理由并推荐中标候选人。</w:t>
            </w:r>
          </w:p>
          <w:p>
            <w:pPr>
              <w:pStyle w:val="6"/>
              <w:adjustRightInd w:val="0"/>
              <w:snapToGrid w:val="0"/>
              <w:spacing w:line="360" w:lineRule="exact"/>
              <w:ind w:left="44" w:leftChars="21" w:firstLine="432" w:firstLineChars="206"/>
              <w:rPr>
                <w:rFonts w:hint="eastAsia"/>
                <w:color w:val="auto"/>
                <w:highlight w:val="none"/>
              </w:rPr>
            </w:pPr>
            <w:r>
              <w:rPr>
                <w:rFonts w:hint="eastAsia"/>
                <w:color w:val="auto"/>
                <w:highlight w:val="none"/>
              </w:rPr>
              <w:t>3.8.5 如果发生无法确定推荐中标候选人的其它意外情况，由评标委员会研究处理，评标委员会有权决定本次招标无效，有权建议招标人重新招标。</w:t>
            </w:r>
          </w:p>
          <w:p>
            <w:pPr>
              <w:spacing w:line="360" w:lineRule="exact"/>
              <w:ind w:firstLine="420" w:firstLineChars="200"/>
              <w:rPr>
                <w:rFonts w:hint="eastAsia"/>
                <w:color w:val="auto"/>
                <w:highlight w:val="none"/>
              </w:rPr>
            </w:pPr>
            <w:r>
              <w:rPr>
                <w:rFonts w:hint="eastAsia"/>
                <w:color w:val="auto"/>
                <w:highlight w:val="none"/>
              </w:rPr>
              <w:t>3.8.6 如果推荐的中标候选人因公示被投诉并查证属实存在造假行为的，按否决其投标处理，且没收其投标保证金；</w:t>
            </w:r>
          </w:p>
          <w:p>
            <w:pPr>
              <w:spacing w:line="360" w:lineRule="exact"/>
              <w:ind w:firstLine="420" w:firstLineChars="200"/>
              <w:rPr>
                <w:rFonts w:hint="eastAsia"/>
                <w:color w:val="auto"/>
                <w:highlight w:val="none"/>
              </w:rPr>
            </w:pPr>
            <w:r>
              <w:rPr>
                <w:rFonts w:hint="eastAsia"/>
                <w:color w:val="auto"/>
                <w:highlight w:val="none"/>
              </w:rPr>
              <w:t>3.8.7 如果开标后至中标通知书发出前，中标候选人因违法、违规行为或重大质量、安全责任事故被国家住建部、交通运输部、广东省交通运输厅通报批评而取消投标资格或信用等级降低为D级等情况之一的，或有因行贿犯罪而被人民法院判决、裁定生效的行为，或投标人拟入本项目的项目经理有因行贿犯罪而被判刑的行为，则取消其中标资格，按否决其投标处理；</w:t>
            </w:r>
          </w:p>
          <w:p>
            <w:pPr>
              <w:spacing w:line="360" w:lineRule="exact"/>
              <w:ind w:firstLine="420" w:firstLineChars="200"/>
              <w:rPr>
                <w:rFonts w:hint="eastAsia"/>
                <w:color w:val="auto"/>
                <w:highlight w:val="none"/>
                <w:lang w:val="en-US" w:eastAsia="zh-CN"/>
              </w:rPr>
            </w:pPr>
            <w:r>
              <w:rPr>
                <w:rFonts w:hint="eastAsia"/>
                <w:color w:val="auto"/>
                <w:highlight w:val="none"/>
              </w:rPr>
              <w:t>3.</w:t>
            </w:r>
            <w:r>
              <w:rPr>
                <w:rFonts w:hint="eastAsia"/>
                <w:color w:val="auto"/>
                <w:highlight w:val="none"/>
                <w:lang w:val="en-US" w:eastAsia="zh-CN"/>
              </w:rPr>
              <w:t>8</w:t>
            </w:r>
            <w:r>
              <w:rPr>
                <w:rFonts w:hint="eastAsia"/>
                <w:color w:val="auto"/>
                <w:highlight w:val="none"/>
              </w:rPr>
              <w:t>.</w:t>
            </w:r>
            <w:r>
              <w:rPr>
                <w:rFonts w:hint="eastAsia"/>
                <w:color w:val="auto"/>
                <w:highlight w:val="none"/>
                <w:lang w:val="en-US" w:eastAsia="zh-CN"/>
              </w:rPr>
              <w:t>8</w:t>
            </w:r>
            <w:r>
              <w:rPr>
                <w:rFonts w:hint="eastAsia"/>
                <w:color w:val="auto"/>
                <w:highlight w:val="none"/>
              </w:rPr>
              <w:t xml:space="preserve"> </w:t>
            </w:r>
            <w:r>
              <w:rPr>
                <w:rFonts w:hint="eastAsia"/>
                <w:color w:val="auto"/>
                <w:highlight w:val="none"/>
                <w:lang w:val="en-US" w:eastAsia="zh-CN"/>
              </w:rPr>
              <w:t>同一投标人只允许中一个标段。如同一投标人在所投多个标段都被评为综合得分排名第一时，则该投标人为招标人投标限价最高的标段的第一中标候选人，其余标段则自动失去第一中标侯选人资格，但可作为第二或第三中标侯选人。</w:t>
            </w:r>
          </w:p>
          <w:p>
            <w:pPr>
              <w:spacing w:line="360" w:lineRule="exact"/>
              <w:ind w:firstLine="420" w:firstLineChars="200"/>
              <w:rPr>
                <w:rFonts w:hint="eastAsia"/>
                <w:color w:val="auto"/>
                <w:highlight w:val="none"/>
              </w:rPr>
            </w:pPr>
            <w:r>
              <w:rPr>
                <w:rFonts w:hint="eastAsia"/>
                <w:color w:val="auto"/>
                <w:highlight w:val="none"/>
              </w:rPr>
              <w:t>发生以上情况时，招标人按推荐中标候选人排名顺序依次确定中标人，或重新组织招标。</w:t>
            </w:r>
          </w:p>
          <w:p>
            <w:pPr>
              <w:spacing w:line="360" w:lineRule="exact"/>
              <w:ind w:firstLine="420" w:firstLineChars="200"/>
              <w:rPr>
                <w:rFonts w:hint="eastAsia"/>
                <w:color w:val="auto"/>
                <w:highlight w:val="none"/>
                <w:lang w:val="en-US" w:eastAsia="zh-CN"/>
              </w:rPr>
            </w:pPr>
            <w:r>
              <w:rPr>
                <w:rFonts w:hint="eastAsia"/>
                <w:color w:val="auto"/>
                <w:highlight w:val="none"/>
                <w:lang w:val="en-US" w:eastAsia="zh-CN"/>
              </w:rPr>
              <w:t>3.8.9 本招标文件规定的否决投标条款包含在以下条款：</w:t>
            </w:r>
          </w:p>
          <w:p>
            <w:pPr>
              <w:spacing w:line="360" w:lineRule="exact"/>
              <w:ind w:firstLine="420" w:firstLineChars="200"/>
              <w:rPr>
                <w:rFonts w:hint="eastAsia"/>
                <w:color w:val="auto"/>
                <w:highlight w:val="none"/>
                <w:lang w:val="en-US" w:eastAsia="zh-CN"/>
              </w:rPr>
            </w:pPr>
            <w:r>
              <w:rPr>
                <w:rFonts w:hint="eastAsia"/>
                <w:color w:val="auto"/>
                <w:highlight w:val="none"/>
                <w:lang w:val="en-US" w:eastAsia="zh-CN"/>
              </w:rPr>
              <w:t>（1）招标公告第3点 投标人资格要求；</w:t>
            </w:r>
          </w:p>
          <w:p>
            <w:pPr>
              <w:spacing w:line="360" w:lineRule="exact"/>
              <w:ind w:firstLine="420" w:firstLineChars="200"/>
              <w:rPr>
                <w:rFonts w:hint="eastAsia"/>
                <w:color w:val="auto"/>
                <w:highlight w:val="none"/>
                <w:lang w:val="en-US" w:eastAsia="zh-CN"/>
              </w:rPr>
            </w:pPr>
            <w:r>
              <w:rPr>
                <w:rFonts w:hint="eastAsia"/>
                <w:color w:val="auto"/>
                <w:highlight w:val="none"/>
                <w:lang w:val="en-US" w:eastAsia="zh-CN"/>
              </w:rPr>
              <w:t>（2）投标人须知1.4.3款、1.4.4款、1.4.5款、1.12款、3.2款、3.4款、3.5款、3.6款、10.4款、10.8款、10.9款；</w:t>
            </w:r>
          </w:p>
          <w:p>
            <w:pPr>
              <w:spacing w:line="360" w:lineRule="exact"/>
              <w:ind w:firstLine="420" w:firstLineChars="200"/>
              <w:rPr>
                <w:rFonts w:hint="eastAsia" w:ascii="宋体" w:hAnsi="宋体"/>
                <w:color w:val="auto"/>
                <w:szCs w:val="21"/>
                <w:highlight w:val="none"/>
              </w:rPr>
            </w:pPr>
            <w:r>
              <w:rPr>
                <w:rFonts w:hint="eastAsia"/>
                <w:color w:val="auto"/>
                <w:highlight w:val="none"/>
                <w:lang w:val="en-US" w:eastAsia="zh-CN"/>
              </w:rPr>
              <w:t>（3）本评标办法否决条款。</w:t>
            </w:r>
          </w:p>
          <w:p>
            <w:pPr>
              <w:pStyle w:val="5"/>
              <w:rPr>
                <w:rFonts w:hint="eastAsia" w:ascii="宋体" w:hAnsi="宋体"/>
                <w:color w:val="auto"/>
                <w:szCs w:val="21"/>
                <w:highlight w:val="none"/>
              </w:rPr>
            </w:pPr>
          </w:p>
        </w:tc>
      </w:tr>
    </w:tbl>
    <w:p>
      <w:pPr>
        <w:pStyle w:val="5"/>
        <w:widowControl w:val="0"/>
        <w:numPr>
          <w:ilvl w:val="0"/>
          <w:numId w:val="0"/>
        </w:numPr>
        <w:spacing w:after="120"/>
        <w:jc w:val="both"/>
        <w:rPr>
          <w:rFonts w:hint="default"/>
          <w:b/>
          <w:sz w:val="36"/>
          <w:highlight w:val="none"/>
          <w:lang w:val="en-US"/>
        </w:rPr>
      </w:pPr>
    </w:p>
    <w:p>
      <w:pPr>
        <w:pStyle w:val="5"/>
        <w:widowControl w:val="0"/>
        <w:numPr>
          <w:ilvl w:val="0"/>
          <w:numId w:val="0"/>
        </w:numPr>
        <w:spacing w:after="120"/>
        <w:jc w:val="both"/>
        <w:rPr>
          <w:rFonts w:hint="default"/>
          <w:b/>
          <w:sz w:val="36"/>
          <w:highlight w:val="none"/>
          <w:lang w:val="en-US"/>
        </w:rPr>
      </w:pPr>
    </w:p>
    <w:p>
      <w:pPr>
        <w:pStyle w:val="5"/>
        <w:widowControl w:val="0"/>
        <w:numPr>
          <w:ilvl w:val="0"/>
          <w:numId w:val="0"/>
        </w:numPr>
        <w:spacing w:after="120"/>
        <w:jc w:val="both"/>
        <w:rPr>
          <w:rFonts w:hint="default"/>
          <w:b/>
          <w:sz w:val="36"/>
          <w:highlight w:val="none"/>
          <w:lang w:val="en-US"/>
        </w:rPr>
      </w:pPr>
    </w:p>
    <w:p>
      <w:pPr>
        <w:pStyle w:val="5"/>
        <w:widowControl w:val="0"/>
        <w:numPr>
          <w:ilvl w:val="0"/>
          <w:numId w:val="0"/>
        </w:numPr>
        <w:spacing w:after="120"/>
        <w:jc w:val="both"/>
        <w:rPr>
          <w:rFonts w:hint="default"/>
          <w:b/>
          <w:sz w:val="36"/>
          <w:highlight w:val="none"/>
          <w:lang w:val="en-US"/>
        </w:rPr>
      </w:pPr>
    </w:p>
    <w:p>
      <w:pPr>
        <w:pStyle w:val="5"/>
        <w:widowControl w:val="0"/>
        <w:numPr>
          <w:ilvl w:val="0"/>
          <w:numId w:val="0"/>
        </w:numPr>
        <w:spacing w:after="120"/>
        <w:jc w:val="both"/>
        <w:rPr>
          <w:rFonts w:hint="default"/>
          <w:b/>
          <w:sz w:val="36"/>
          <w:highlight w:val="none"/>
          <w:lang w:val="en-US"/>
        </w:rPr>
      </w:pPr>
    </w:p>
    <w:p>
      <w:pPr>
        <w:pStyle w:val="5"/>
        <w:widowControl w:val="0"/>
        <w:numPr>
          <w:ilvl w:val="0"/>
          <w:numId w:val="0"/>
        </w:numPr>
        <w:spacing w:after="120"/>
        <w:jc w:val="both"/>
        <w:rPr>
          <w:rFonts w:hint="default"/>
          <w:b/>
          <w:sz w:val="36"/>
          <w:highlight w:val="none"/>
          <w:lang w:val="en-US"/>
        </w:rPr>
      </w:pPr>
    </w:p>
    <w:p>
      <w:pPr>
        <w:spacing w:before="300" w:after="300" w:line="360" w:lineRule="exact"/>
        <w:outlineLvl w:val="0"/>
        <w:rPr>
          <w:rFonts w:hint="eastAsia" w:ascii="宋体" w:hAnsi="宋体"/>
          <w:b/>
          <w:color w:val="auto"/>
          <w:kern w:val="44"/>
          <w:sz w:val="28"/>
          <w:szCs w:val="28"/>
          <w:highlight w:val="none"/>
        </w:rPr>
      </w:pPr>
      <w:bookmarkStart w:id="3" w:name="_GoBack"/>
      <w:bookmarkEnd w:id="3"/>
      <w:r>
        <w:rPr>
          <w:rFonts w:hint="eastAsia" w:ascii="宋体" w:hAnsi="宋体"/>
          <w:b/>
          <w:color w:val="auto"/>
          <w:kern w:val="44"/>
          <w:sz w:val="28"/>
          <w:szCs w:val="28"/>
          <w:highlight w:val="none"/>
        </w:rPr>
        <w:t>1. 评标方法</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本次评标采用合理低价法。评标委员会对满足招标文件实质性要求的投标文件，按照本章第</w:t>
      </w:r>
      <w:r>
        <w:rPr>
          <w:rFonts w:ascii="宋体" w:hAnsi="宋体"/>
          <w:color w:val="auto"/>
          <w:szCs w:val="21"/>
          <w:highlight w:val="none"/>
        </w:rPr>
        <w:t xml:space="preserve"> 2.2 </w:t>
      </w:r>
      <w:r>
        <w:rPr>
          <w:rFonts w:hint="eastAsia" w:ascii="宋体" w:hAnsi="宋体"/>
          <w:color w:val="auto"/>
          <w:szCs w:val="21"/>
          <w:highlight w:val="none"/>
        </w:rPr>
        <w:t>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spacing w:before="300" w:after="300" w:line="360" w:lineRule="exact"/>
        <w:outlineLvl w:val="0"/>
        <w:rPr>
          <w:rFonts w:ascii="宋体" w:hAnsi="宋体"/>
          <w:b/>
          <w:color w:val="auto"/>
          <w:kern w:val="44"/>
          <w:sz w:val="28"/>
          <w:szCs w:val="28"/>
          <w:highlight w:val="none"/>
        </w:rPr>
      </w:pPr>
      <w:r>
        <w:rPr>
          <w:rFonts w:ascii="宋体" w:hAnsi="宋体"/>
          <w:b/>
          <w:color w:val="auto"/>
          <w:kern w:val="44"/>
          <w:sz w:val="28"/>
          <w:szCs w:val="28"/>
          <w:highlight w:val="none"/>
        </w:rPr>
        <w:t>2. 评审标准</w:t>
      </w:r>
    </w:p>
    <w:p>
      <w:pPr>
        <w:spacing w:before="300" w:after="300" w:line="360" w:lineRule="exact"/>
        <w:outlineLvl w:val="0"/>
        <w:rPr>
          <w:rFonts w:ascii="宋体" w:hAnsi="宋体"/>
          <w:b/>
          <w:color w:val="auto"/>
          <w:kern w:val="44"/>
          <w:sz w:val="24"/>
          <w:highlight w:val="none"/>
        </w:rPr>
      </w:pPr>
      <w:r>
        <w:rPr>
          <w:rFonts w:ascii="宋体" w:hAnsi="宋体"/>
          <w:b/>
          <w:color w:val="auto"/>
          <w:kern w:val="44"/>
          <w:sz w:val="24"/>
          <w:highlight w:val="none"/>
        </w:rPr>
        <w:t>2.1 初步评审标准</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2.1.1 形式评审标准：见评标办法前附表。</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2.1.2 资格评审标准：见评标办法前附表</w:t>
      </w:r>
      <w:r>
        <w:rPr>
          <w:rFonts w:hint="eastAsia" w:ascii="宋体" w:hAnsi="宋体"/>
          <w:color w:val="auto"/>
          <w:szCs w:val="21"/>
          <w:highlight w:val="none"/>
        </w:rPr>
        <w:t>及</w:t>
      </w:r>
      <w:r>
        <w:rPr>
          <w:rFonts w:ascii="宋体" w:hAnsi="宋体"/>
          <w:color w:val="auto"/>
          <w:szCs w:val="21"/>
          <w:highlight w:val="none"/>
        </w:rPr>
        <w:t>第</w:t>
      </w:r>
      <w:r>
        <w:rPr>
          <w:rFonts w:hint="eastAsia" w:ascii="宋体" w:hAnsi="宋体"/>
          <w:color w:val="auto"/>
          <w:szCs w:val="21"/>
          <w:highlight w:val="none"/>
        </w:rPr>
        <w:t>二</w:t>
      </w:r>
      <w:r>
        <w:rPr>
          <w:rFonts w:ascii="宋体" w:hAnsi="宋体"/>
          <w:color w:val="auto"/>
          <w:szCs w:val="21"/>
          <w:highlight w:val="none"/>
        </w:rPr>
        <w:t>章“</w:t>
      </w:r>
      <w:r>
        <w:rPr>
          <w:rFonts w:hint="eastAsia" w:ascii="宋体" w:hAnsi="宋体"/>
          <w:color w:val="auto"/>
          <w:szCs w:val="21"/>
          <w:highlight w:val="none"/>
        </w:rPr>
        <w:t>投标人须知</w:t>
      </w:r>
      <w:r>
        <w:rPr>
          <w:rFonts w:ascii="宋体" w:hAnsi="宋体"/>
          <w:color w:val="auto"/>
          <w:szCs w:val="21"/>
          <w:highlight w:val="none"/>
        </w:rPr>
        <w:t>”</w:t>
      </w:r>
      <w:r>
        <w:rPr>
          <w:rFonts w:hint="eastAsia" w:ascii="宋体" w:hAnsi="宋体"/>
          <w:color w:val="auto"/>
          <w:szCs w:val="21"/>
          <w:highlight w:val="none"/>
        </w:rPr>
        <w:t>附录的资格</w:t>
      </w:r>
      <w:r>
        <w:rPr>
          <w:rFonts w:ascii="宋体" w:hAnsi="宋体"/>
          <w:color w:val="auto"/>
          <w:szCs w:val="21"/>
          <w:highlight w:val="none"/>
        </w:rPr>
        <w:t>审查</w:t>
      </w:r>
      <w:r>
        <w:rPr>
          <w:rFonts w:hint="eastAsia" w:ascii="宋体" w:hAnsi="宋体"/>
          <w:color w:val="auto"/>
          <w:szCs w:val="21"/>
          <w:highlight w:val="none"/>
        </w:rPr>
        <w:t>条件</w:t>
      </w:r>
      <w:r>
        <w:rPr>
          <w:rFonts w:ascii="宋体" w:hAnsi="宋体"/>
          <w:color w:val="auto"/>
          <w:szCs w:val="21"/>
          <w:highlight w:val="none"/>
        </w:rPr>
        <w:t>标准。</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2.1.3 响应性评审标准：见评标办法前附表。</w:t>
      </w:r>
    </w:p>
    <w:p>
      <w:pPr>
        <w:spacing w:before="300" w:after="300" w:line="360" w:lineRule="exact"/>
        <w:outlineLvl w:val="0"/>
        <w:rPr>
          <w:rFonts w:ascii="宋体" w:hAnsi="宋体"/>
          <w:b/>
          <w:color w:val="auto"/>
          <w:kern w:val="44"/>
          <w:sz w:val="24"/>
          <w:highlight w:val="none"/>
        </w:rPr>
      </w:pPr>
      <w:r>
        <w:rPr>
          <w:rFonts w:ascii="宋体" w:hAnsi="宋体"/>
          <w:b/>
          <w:color w:val="auto"/>
          <w:kern w:val="44"/>
          <w:sz w:val="24"/>
          <w:highlight w:val="none"/>
        </w:rPr>
        <w:t>2.2 分值构成与评分标准</w:t>
      </w:r>
    </w:p>
    <w:p>
      <w:pPr>
        <w:overflowPunct w:val="0"/>
        <w:spacing w:line="360" w:lineRule="exact"/>
        <w:ind w:firstLine="422" w:firstLineChars="200"/>
        <w:rPr>
          <w:rFonts w:ascii="宋体" w:hAnsi="宋体"/>
          <w:b/>
          <w:color w:val="auto"/>
          <w:szCs w:val="21"/>
          <w:highlight w:val="none"/>
        </w:rPr>
      </w:pPr>
      <w:r>
        <w:rPr>
          <w:rFonts w:ascii="宋体" w:hAnsi="宋体"/>
          <w:b/>
          <w:color w:val="auto"/>
          <w:szCs w:val="21"/>
          <w:highlight w:val="none"/>
        </w:rPr>
        <w:t>2.2.1 分值构成</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评标价</w:t>
      </w:r>
      <w:r>
        <w:rPr>
          <w:rFonts w:ascii="宋体" w:hAnsi="宋体"/>
          <w:color w:val="auto"/>
          <w:szCs w:val="21"/>
          <w:highlight w:val="none"/>
        </w:rPr>
        <w:t>：见评标办法前附表；</w:t>
      </w:r>
    </w:p>
    <w:p>
      <w:pPr>
        <w:overflowPunct w:val="0"/>
        <w:spacing w:line="360" w:lineRule="exact"/>
        <w:ind w:firstLine="422" w:firstLineChars="200"/>
        <w:rPr>
          <w:rFonts w:ascii="宋体" w:hAnsi="宋体"/>
          <w:b/>
          <w:color w:val="auto"/>
          <w:szCs w:val="21"/>
          <w:highlight w:val="none"/>
        </w:rPr>
      </w:pPr>
      <w:r>
        <w:rPr>
          <w:rFonts w:ascii="宋体" w:hAnsi="宋体"/>
          <w:b/>
          <w:color w:val="auto"/>
          <w:szCs w:val="21"/>
          <w:highlight w:val="none"/>
        </w:rPr>
        <w:t>2.2.2  评标基准价计算</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评标基准价计算方法：见评标办法前附表。</w:t>
      </w:r>
    </w:p>
    <w:p>
      <w:pPr>
        <w:overflowPunct w:val="0"/>
        <w:spacing w:line="360" w:lineRule="exact"/>
        <w:ind w:firstLine="422" w:firstLineChars="200"/>
        <w:rPr>
          <w:rFonts w:ascii="宋体" w:hAnsi="宋体"/>
          <w:b/>
          <w:color w:val="auto"/>
          <w:szCs w:val="21"/>
          <w:highlight w:val="none"/>
        </w:rPr>
      </w:pPr>
      <w:r>
        <w:rPr>
          <w:rFonts w:ascii="宋体" w:hAnsi="宋体"/>
          <w:b/>
          <w:color w:val="auto"/>
          <w:szCs w:val="21"/>
          <w:highlight w:val="none"/>
        </w:rPr>
        <w:t xml:space="preserve">2.2.3  </w:t>
      </w:r>
      <w:r>
        <w:rPr>
          <w:rFonts w:hint="eastAsia" w:ascii="宋体" w:hAnsi="宋体"/>
          <w:b/>
          <w:color w:val="auto"/>
          <w:szCs w:val="21"/>
          <w:highlight w:val="none"/>
        </w:rPr>
        <w:t>评标价</w:t>
      </w:r>
      <w:r>
        <w:rPr>
          <w:rFonts w:ascii="宋体" w:hAnsi="宋体"/>
          <w:b/>
          <w:color w:val="auto"/>
          <w:szCs w:val="21"/>
          <w:highlight w:val="none"/>
        </w:rPr>
        <w:t>的偏差率计算</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评标价</w:t>
      </w:r>
      <w:r>
        <w:rPr>
          <w:rFonts w:ascii="宋体" w:hAnsi="宋体"/>
          <w:color w:val="auto"/>
          <w:szCs w:val="21"/>
          <w:highlight w:val="none"/>
        </w:rPr>
        <w:t>的偏差率计算公式：见评标办法前附表。</w:t>
      </w:r>
    </w:p>
    <w:p>
      <w:pPr>
        <w:overflowPunct w:val="0"/>
        <w:spacing w:line="360" w:lineRule="exact"/>
        <w:ind w:firstLine="422" w:firstLineChars="200"/>
        <w:rPr>
          <w:rFonts w:ascii="宋体" w:hAnsi="宋体"/>
          <w:b/>
          <w:color w:val="auto"/>
          <w:szCs w:val="21"/>
          <w:highlight w:val="none"/>
        </w:rPr>
      </w:pPr>
      <w:r>
        <w:rPr>
          <w:rFonts w:ascii="宋体" w:hAnsi="宋体"/>
          <w:b/>
          <w:color w:val="auto"/>
          <w:szCs w:val="21"/>
          <w:highlight w:val="none"/>
        </w:rPr>
        <w:t>2.2.4  评分标准</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评标价</w:t>
      </w:r>
      <w:r>
        <w:rPr>
          <w:rFonts w:ascii="宋体" w:hAnsi="宋体"/>
          <w:color w:val="auto"/>
          <w:szCs w:val="21"/>
          <w:highlight w:val="none"/>
        </w:rPr>
        <w:t>评分标准：见评标办法前附表；</w:t>
      </w:r>
    </w:p>
    <w:p>
      <w:pPr>
        <w:spacing w:before="300" w:after="300" w:line="360" w:lineRule="exact"/>
        <w:outlineLvl w:val="0"/>
        <w:rPr>
          <w:rFonts w:ascii="宋体" w:hAnsi="宋体"/>
          <w:b/>
          <w:color w:val="auto"/>
          <w:kern w:val="44"/>
          <w:sz w:val="28"/>
          <w:szCs w:val="28"/>
          <w:highlight w:val="none"/>
        </w:rPr>
      </w:pPr>
      <w:r>
        <w:rPr>
          <w:rFonts w:ascii="宋体" w:hAnsi="宋体"/>
          <w:b/>
          <w:color w:val="auto"/>
          <w:kern w:val="44"/>
          <w:sz w:val="28"/>
          <w:szCs w:val="28"/>
          <w:highlight w:val="none"/>
        </w:rPr>
        <w:t>3. 评标程序</w:t>
      </w:r>
    </w:p>
    <w:p>
      <w:pPr>
        <w:spacing w:before="300" w:after="300" w:line="360" w:lineRule="exact"/>
        <w:outlineLvl w:val="0"/>
        <w:rPr>
          <w:rFonts w:ascii="宋体" w:hAnsi="宋体"/>
          <w:b/>
          <w:color w:val="auto"/>
          <w:kern w:val="44"/>
          <w:sz w:val="24"/>
          <w:highlight w:val="none"/>
        </w:rPr>
      </w:pPr>
      <w:r>
        <w:rPr>
          <w:rFonts w:ascii="宋体" w:hAnsi="宋体"/>
          <w:b/>
          <w:color w:val="auto"/>
          <w:kern w:val="44"/>
          <w:sz w:val="24"/>
          <w:highlight w:val="none"/>
        </w:rPr>
        <w:t xml:space="preserve">3.1 </w:t>
      </w:r>
      <w:r>
        <w:rPr>
          <w:rFonts w:hint="eastAsia" w:ascii="宋体" w:hAnsi="宋体"/>
          <w:b/>
          <w:color w:val="auto"/>
          <w:kern w:val="44"/>
          <w:sz w:val="24"/>
          <w:highlight w:val="none"/>
        </w:rPr>
        <w:t>第一个信封</w:t>
      </w:r>
      <w:r>
        <w:rPr>
          <w:rFonts w:ascii="宋体" w:hAnsi="宋体"/>
          <w:b/>
          <w:color w:val="auto"/>
          <w:kern w:val="44"/>
          <w:sz w:val="24"/>
          <w:highlight w:val="none"/>
        </w:rPr>
        <w:t>初步评审</w:t>
      </w:r>
    </w:p>
    <w:p>
      <w:pPr>
        <w:overflowPunct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3.1.1 评标委员会可以要求投标人提交第二章“投标人须知”第</w:t>
      </w:r>
      <w:r>
        <w:rPr>
          <w:rFonts w:ascii="宋体" w:hAnsi="宋体"/>
          <w:color w:val="auto"/>
          <w:szCs w:val="21"/>
          <w:highlight w:val="none"/>
        </w:rPr>
        <w:t xml:space="preserve"> 3.5.1 </w:t>
      </w:r>
      <w:r>
        <w:rPr>
          <w:rFonts w:hint="eastAsia" w:ascii="宋体" w:hAnsi="宋体"/>
          <w:color w:val="auto"/>
          <w:szCs w:val="21"/>
          <w:highlight w:val="none"/>
        </w:rPr>
        <w:t>项至第</w:t>
      </w:r>
      <w:r>
        <w:rPr>
          <w:rFonts w:ascii="宋体" w:hAnsi="宋体"/>
          <w:color w:val="auto"/>
          <w:szCs w:val="21"/>
          <w:highlight w:val="none"/>
        </w:rPr>
        <w:t xml:space="preserve"> 3.5.6 </w:t>
      </w:r>
      <w:r>
        <w:rPr>
          <w:rFonts w:hint="eastAsia" w:ascii="宋体" w:hAnsi="宋体"/>
          <w:color w:val="auto"/>
          <w:szCs w:val="21"/>
          <w:highlight w:val="none"/>
        </w:rPr>
        <w:t>项规定的有关证明和证件的原件，以便核验。评标委员会依据本章第</w:t>
      </w:r>
      <w:r>
        <w:rPr>
          <w:rFonts w:ascii="宋体" w:hAnsi="宋体"/>
          <w:color w:val="auto"/>
          <w:szCs w:val="21"/>
          <w:highlight w:val="none"/>
        </w:rPr>
        <w:t xml:space="preserve"> 2.1 </w:t>
      </w:r>
      <w:r>
        <w:rPr>
          <w:rFonts w:hint="eastAsia" w:ascii="宋体" w:hAnsi="宋体"/>
          <w:color w:val="auto"/>
          <w:szCs w:val="21"/>
          <w:highlight w:val="none"/>
        </w:rPr>
        <w:t>款规定的标准对投标文件第一个信封（商务及技术文件）进行初步评审。有一项不符合评审标准的，评标委员会应否决其投标。（适用于未进行资格预审的）</w:t>
      </w:r>
    </w:p>
    <w:p>
      <w:pPr>
        <w:spacing w:before="300" w:after="300" w:line="360" w:lineRule="exact"/>
        <w:outlineLvl w:val="0"/>
        <w:rPr>
          <w:rFonts w:ascii="宋体" w:hAnsi="宋体"/>
          <w:b/>
          <w:color w:val="auto"/>
          <w:kern w:val="44"/>
          <w:sz w:val="24"/>
          <w:highlight w:val="none"/>
        </w:rPr>
      </w:pPr>
      <w:r>
        <w:rPr>
          <w:rFonts w:hint="eastAsia" w:ascii="宋体" w:hAnsi="宋体"/>
          <w:b/>
          <w:color w:val="auto"/>
          <w:kern w:val="44"/>
          <w:sz w:val="24"/>
          <w:highlight w:val="none"/>
        </w:rPr>
        <w:t>3.2 第二个信封开标</w:t>
      </w:r>
    </w:p>
    <w:p>
      <w:pPr>
        <w:overflowPunct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第一个信封（商务及技术文件）评审结束后，招标人将按照第二章“投标人须知”</w:t>
      </w:r>
      <w:r>
        <w:rPr>
          <w:rFonts w:ascii="宋体" w:hAnsi="宋体"/>
          <w:color w:val="auto"/>
          <w:szCs w:val="21"/>
          <w:highlight w:val="none"/>
        </w:rPr>
        <w:t xml:space="preserve"> </w:t>
      </w:r>
      <w:r>
        <w:rPr>
          <w:rFonts w:hint="eastAsia" w:ascii="宋体" w:hAnsi="宋体"/>
          <w:color w:val="auto"/>
          <w:szCs w:val="21"/>
          <w:highlight w:val="none"/>
        </w:rPr>
        <w:t>第</w:t>
      </w:r>
      <w:r>
        <w:rPr>
          <w:rFonts w:ascii="宋体" w:hAnsi="宋体"/>
          <w:color w:val="auto"/>
          <w:szCs w:val="21"/>
          <w:highlight w:val="none"/>
        </w:rPr>
        <w:t xml:space="preserve"> 5.1 </w:t>
      </w:r>
      <w:r>
        <w:rPr>
          <w:rFonts w:hint="eastAsia" w:ascii="宋体" w:hAnsi="宋体"/>
          <w:color w:val="auto"/>
          <w:szCs w:val="21"/>
          <w:highlight w:val="none"/>
        </w:rPr>
        <w:t>款规定的时间和地点对通过投标文件第一个信封（商务及技术文件）评审的投标文件第二个信封（报价文件）进行开标。</w:t>
      </w:r>
    </w:p>
    <w:p>
      <w:pPr>
        <w:spacing w:before="300" w:after="300" w:line="360" w:lineRule="exact"/>
        <w:outlineLvl w:val="0"/>
        <w:rPr>
          <w:rFonts w:ascii="宋体" w:hAnsi="宋体"/>
          <w:b/>
          <w:color w:val="auto"/>
          <w:kern w:val="44"/>
          <w:sz w:val="24"/>
          <w:highlight w:val="none"/>
        </w:rPr>
      </w:pPr>
      <w:r>
        <w:rPr>
          <w:rFonts w:hint="eastAsia" w:ascii="宋体" w:hAnsi="宋体"/>
          <w:b/>
          <w:color w:val="auto"/>
          <w:kern w:val="44"/>
          <w:sz w:val="24"/>
          <w:highlight w:val="none"/>
        </w:rPr>
        <w:t>3.3第二个信封初步评审</w:t>
      </w:r>
    </w:p>
    <w:p>
      <w:pPr>
        <w:overflowPunct w:val="0"/>
        <w:spacing w:line="360" w:lineRule="exact"/>
        <w:ind w:firstLine="525" w:firstLineChars="250"/>
        <w:rPr>
          <w:rFonts w:hint="eastAsia" w:ascii="宋体" w:hAnsi="宋体"/>
          <w:color w:val="auto"/>
          <w:szCs w:val="21"/>
          <w:highlight w:val="none"/>
        </w:rPr>
      </w:pPr>
      <w:r>
        <w:rPr>
          <w:rFonts w:hint="eastAsia" w:ascii="宋体" w:hAnsi="宋体"/>
          <w:color w:val="auto"/>
          <w:szCs w:val="21"/>
          <w:highlight w:val="none"/>
        </w:rPr>
        <w:t>3.3.1 评标委员会依据本章第</w:t>
      </w:r>
      <w:r>
        <w:rPr>
          <w:rFonts w:ascii="宋体" w:hAnsi="宋体"/>
          <w:color w:val="auto"/>
          <w:szCs w:val="21"/>
          <w:highlight w:val="none"/>
        </w:rPr>
        <w:t xml:space="preserve"> 2.1.1 </w:t>
      </w:r>
      <w:r>
        <w:rPr>
          <w:rFonts w:hint="eastAsia" w:ascii="宋体" w:hAnsi="宋体"/>
          <w:color w:val="auto"/>
          <w:szCs w:val="21"/>
          <w:highlight w:val="none"/>
        </w:rPr>
        <w:t>项、第</w:t>
      </w:r>
      <w:r>
        <w:rPr>
          <w:rFonts w:ascii="宋体" w:hAnsi="宋体"/>
          <w:color w:val="auto"/>
          <w:szCs w:val="21"/>
          <w:highlight w:val="none"/>
        </w:rPr>
        <w:t xml:space="preserve"> 2.1.3 </w:t>
      </w:r>
      <w:r>
        <w:rPr>
          <w:rFonts w:hint="eastAsia" w:ascii="宋体" w:hAnsi="宋体"/>
          <w:color w:val="auto"/>
          <w:szCs w:val="21"/>
          <w:highlight w:val="none"/>
        </w:rPr>
        <w:t>项规定的评审标准对投标文件第二个信封（报价文件）进行初步评审。有一项不符合评审标准的，评标委员会应否决其投标。</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3.3.2 投标报价有算术错误的，评标委员会按以下原则对投标报价进行修正，修正的价格经投标人书面确认后具有约束力。投标人不接受修正价格的，评标委员会应否决其投标。</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）投标文件中的大写金额与小写金额不一致的，以大写金额为准；</w:t>
      </w:r>
    </w:p>
    <w:p>
      <w:pPr>
        <w:overflowPunct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）总价金额与依据单价计算出的结果不一致的，以单价金额为准修正总价，但单价金额小数点有明显错误的除外；</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）当单价与数量相乘不等于合价时，以单价计算为准，如果单价有明显的小数点位置差错，应以标出的合价为准，同时对单价予以修正；</w:t>
      </w:r>
    </w:p>
    <w:p>
      <w:pPr>
        <w:overflowPunct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）当各子目的合价累计不等于总价时，应以各子目合价累计数为准，修正总价。</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3.3.3 工程量清单中的投标报价有其他错误的，评标委员会按以下原则对投标报价进行修正，修正的价格经投标人书面确认后具有约束力。投标人不接受修正价格的，评标委员会应否决其投标。</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）在招标人给定的工程量清单中多报了某个工程子目的单价、合价或总额价，或所报单价、合价或总额价增加了报价范围，则从投标报价中扣除多报的工程子目报价或工程子目报价中增加了报价范围的部分报价。</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）当单价与数量的乘积与合价（金额）虽然一致，但投标人修改了该子目的工程数量，则其合价按招标人给定的工程数量乘以投标人所报单价予以修正。</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3.3.4 修正后的最终投标报价若超过最高投标限价（如有），评标委员会应否决其投标。</w:t>
      </w:r>
    </w:p>
    <w:p>
      <w:pPr>
        <w:overflowPunct w:val="0"/>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3.3.5 修正后的最终投标报价仅作为签订合同的一个依据，不参与评标价得分的计算。</w:t>
      </w:r>
    </w:p>
    <w:p>
      <w:pPr>
        <w:spacing w:before="300" w:after="300" w:line="360" w:lineRule="exact"/>
        <w:outlineLvl w:val="0"/>
        <w:rPr>
          <w:rFonts w:ascii="宋体" w:hAnsi="宋体"/>
          <w:b/>
          <w:color w:val="auto"/>
          <w:kern w:val="44"/>
          <w:sz w:val="24"/>
          <w:highlight w:val="none"/>
        </w:rPr>
      </w:pPr>
      <w:r>
        <w:rPr>
          <w:rFonts w:hint="eastAsia" w:ascii="宋体" w:hAnsi="宋体"/>
          <w:b/>
          <w:color w:val="auto"/>
          <w:kern w:val="44"/>
          <w:sz w:val="24"/>
          <w:highlight w:val="none"/>
        </w:rPr>
        <w:t>3.4 第二个信封详细评审</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3.4.1 评标委员会按本章第</w:t>
      </w:r>
      <w:r>
        <w:rPr>
          <w:rFonts w:ascii="宋体" w:hAnsi="宋体"/>
          <w:color w:val="auto"/>
          <w:szCs w:val="21"/>
          <w:highlight w:val="none"/>
        </w:rPr>
        <w:t xml:space="preserve"> 2.2.</w:t>
      </w:r>
      <w:r>
        <w:rPr>
          <w:rFonts w:hint="eastAsia" w:ascii="宋体" w:hAnsi="宋体"/>
          <w:color w:val="auto"/>
          <w:szCs w:val="21"/>
          <w:highlight w:val="none"/>
        </w:rPr>
        <w:t>款规定的量化因素和分值进行打分，并计算出综合评估得分（即评标价得分）。</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3.4.2投标人得分分值计算保留小数点后两位，小数点后第三位“四舍五入”。</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3.4.3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spacing w:before="300" w:after="300" w:line="360" w:lineRule="exact"/>
        <w:outlineLvl w:val="0"/>
        <w:rPr>
          <w:rFonts w:ascii="宋体" w:hAnsi="宋体"/>
          <w:b/>
          <w:color w:val="auto"/>
          <w:kern w:val="44"/>
          <w:sz w:val="24"/>
          <w:highlight w:val="none"/>
        </w:rPr>
      </w:pPr>
      <w:r>
        <w:rPr>
          <w:rFonts w:hint="eastAsia" w:ascii="宋体" w:hAnsi="宋体"/>
          <w:b/>
          <w:color w:val="auto"/>
          <w:kern w:val="44"/>
          <w:sz w:val="24"/>
          <w:highlight w:val="none"/>
        </w:rPr>
        <w:t>3.5投标文件相关信息的核查</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3.5.1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w:t>
      </w:r>
      <w:r>
        <w:rPr>
          <w:rFonts w:ascii="宋体" w:hAnsi="宋体"/>
          <w:color w:val="auto"/>
          <w:szCs w:val="21"/>
          <w:highlight w:val="none"/>
        </w:rPr>
        <w:t xml:space="preserve"> </w:t>
      </w:r>
      <w:r>
        <w:rPr>
          <w:rFonts w:hint="eastAsia" w:ascii="宋体" w:hAnsi="宋体"/>
          <w:color w:val="auto"/>
          <w:szCs w:val="21"/>
          <w:highlight w:val="none"/>
        </w:rPr>
        <w:t>评标委员会应否决其投标。</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3.5.2评标委员会应对在评标过程中发现的投标人与投标人之间、投标人与招标人之间存在的串通投标的情形进行评审和认定。投标人存在串通投标、弄虚作假、行贿等违法行为的，评标委员会应否决其投标。</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）有下列情形之一的，属于投标人相互串通投标：</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投标人之间协商投标报价等投标文件的实质性内容；</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投标人之间约定中标人；</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投标人之间约定部分投标人放弃投标或中标；</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属于同一集团、协会、商会等组织成员的投标人按照该组织要求协同投标；</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e.</w:t>
      </w:r>
      <w:r>
        <w:rPr>
          <w:rFonts w:hint="eastAsia" w:ascii="宋体" w:hAnsi="宋体"/>
          <w:color w:val="auto"/>
          <w:szCs w:val="21"/>
          <w:highlight w:val="none"/>
        </w:rPr>
        <w:t>投标人之间为谋取中标或排斥特定投标人而采取的其他联合行动。</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）有下列情形之一的，视为投标人相互串通投标：</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不同投标人的投标文件由同一单位或个人编制；</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不同投标人委托同一单位或个人办理投标事宜；</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不同投标人的投标文件载明的项目管理成员为同一人；</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不同投标人的投标文件异常一致或投标报价呈规律性差异；</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e.</w:t>
      </w:r>
      <w:r>
        <w:rPr>
          <w:rFonts w:hint="eastAsia" w:ascii="宋体" w:hAnsi="宋体"/>
          <w:color w:val="auto"/>
          <w:szCs w:val="21"/>
          <w:highlight w:val="none"/>
        </w:rPr>
        <w:t>不同投标人的投标文件相互混装；</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f.</w:t>
      </w:r>
      <w:r>
        <w:rPr>
          <w:rFonts w:hint="eastAsia" w:ascii="宋体" w:hAnsi="宋体"/>
          <w:color w:val="auto"/>
          <w:szCs w:val="21"/>
          <w:highlight w:val="none"/>
        </w:rPr>
        <w:t>不同投标人的投标保证金从同一单位或个人的账户转出。</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）有下列情形之一的，属于招标人与投标人串通投标：</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招标人在开标前开启投标文件并将有关信息泄露给其他投标人</w:t>
      </w:r>
      <w:r>
        <w:rPr>
          <w:rFonts w:ascii="宋体" w:hAnsi="宋体"/>
          <w:color w:val="auto"/>
          <w:szCs w:val="21"/>
          <w:highlight w:val="none"/>
        </w:rPr>
        <w:t>;</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招标人直接或间接向投标人泄露标底、评标委员会成员等信息；</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招标人明示或暗示投标人压低或抬高投标报价；</w:t>
      </w:r>
    </w:p>
    <w:p>
      <w:pPr>
        <w:overflowPunct w:val="0"/>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招标人授意投标人撤换、修改投标文件；</w:t>
      </w:r>
      <w:r>
        <w:rPr>
          <w:rFonts w:ascii="宋体" w:hAnsi="宋体"/>
          <w:color w:val="auto"/>
          <w:szCs w:val="21"/>
          <w:highlight w:val="none"/>
        </w:rPr>
        <w:t xml:space="preserve"> </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e.</w:t>
      </w:r>
      <w:r>
        <w:rPr>
          <w:rFonts w:hint="eastAsia" w:ascii="宋体" w:hAnsi="宋体"/>
          <w:color w:val="auto"/>
          <w:szCs w:val="21"/>
          <w:highlight w:val="none"/>
        </w:rPr>
        <w:t>招标人明示或暗示投标人为特定投标人中标提供方便；</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f.</w:t>
      </w:r>
      <w:r>
        <w:rPr>
          <w:rFonts w:hint="eastAsia" w:ascii="宋体" w:hAnsi="宋体"/>
          <w:color w:val="auto"/>
          <w:szCs w:val="21"/>
          <w:highlight w:val="none"/>
        </w:rPr>
        <w:t>招标人与投标人为谋求特定投标人中标而采取的其他串通行为。</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）投标人有下列情形之一的，属于弄虚作假的行为：</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使用通过受让或租借等方式获取的资格、资质证书投标；</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使用伪造、变造的许可证件；</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提供虚假的财务状况或业绩；</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提供虚假的项目负责人或主要技术人员简历、劳动关系证明；</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e.</w:t>
      </w:r>
      <w:r>
        <w:rPr>
          <w:rFonts w:hint="eastAsia" w:ascii="宋体" w:hAnsi="宋体"/>
          <w:color w:val="auto"/>
          <w:szCs w:val="21"/>
          <w:highlight w:val="none"/>
        </w:rPr>
        <w:t>提供虚假的信用状况；</w:t>
      </w:r>
    </w:p>
    <w:p>
      <w:pPr>
        <w:overflowPunct w:val="0"/>
        <w:spacing w:line="360" w:lineRule="exact"/>
        <w:ind w:firstLine="420" w:firstLineChars="200"/>
        <w:rPr>
          <w:rFonts w:ascii="宋体" w:hAnsi="宋体"/>
          <w:color w:val="auto"/>
          <w:szCs w:val="21"/>
          <w:highlight w:val="none"/>
        </w:rPr>
      </w:pPr>
      <w:r>
        <w:rPr>
          <w:rFonts w:ascii="宋体" w:hAnsi="宋体"/>
          <w:color w:val="auto"/>
          <w:szCs w:val="21"/>
          <w:highlight w:val="none"/>
        </w:rPr>
        <w:t>f.</w:t>
      </w:r>
      <w:r>
        <w:rPr>
          <w:rFonts w:hint="eastAsia" w:ascii="宋体" w:hAnsi="宋体"/>
          <w:color w:val="auto"/>
          <w:szCs w:val="21"/>
          <w:highlight w:val="none"/>
        </w:rPr>
        <w:t>其他弄虚作假的行为。</w:t>
      </w:r>
    </w:p>
    <w:p>
      <w:pPr>
        <w:spacing w:before="300" w:after="300" w:line="360" w:lineRule="exact"/>
        <w:outlineLvl w:val="0"/>
        <w:rPr>
          <w:rFonts w:ascii="宋体" w:hAnsi="宋体"/>
          <w:b/>
          <w:color w:val="auto"/>
          <w:kern w:val="44"/>
          <w:sz w:val="24"/>
          <w:highlight w:val="none"/>
        </w:rPr>
      </w:pPr>
      <w:bookmarkStart w:id="0" w:name="_bookmark105"/>
      <w:bookmarkEnd w:id="0"/>
      <w:r>
        <w:rPr>
          <w:rFonts w:hint="eastAsia" w:ascii="宋体" w:hAnsi="宋体"/>
          <w:b/>
          <w:color w:val="auto"/>
          <w:kern w:val="44"/>
          <w:sz w:val="24"/>
          <w:highlight w:val="none"/>
        </w:rPr>
        <w:t>3.6 投标文件的澄清和说明</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3.6.1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3.6.2澄清和说明不得超出投标文件的范围或改变投标文件的实质性内容（算术性错误的修正除外）。投标人的书面澄清、说明属于投标文件的组成部分。</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3.6.3评标委员会不得暗示或诱导投标人作出澄清、说明，对投标人提交的澄清、说明有疑问的，可以要求投标人进一步澄清或说明，直至满足评标委员会的要求。</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3.6.4凡超出招标文件规定的或给发包人带来未曾要求的利益的变化、偏差或其他因素在评标时不予考虑。</w:t>
      </w:r>
    </w:p>
    <w:p>
      <w:pPr>
        <w:spacing w:before="300" w:after="300" w:line="360" w:lineRule="exact"/>
        <w:outlineLvl w:val="0"/>
        <w:rPr>
          <w:rFonts w:ascii="宋体" w:hAnsi="宋体"/>
          <w:b/>
          <w:color w:val="auto"/>
          <w:kern w:val="44"/>
          <w:sz w:val="24"/>
          <w:highlight w:val="none"/>
        </w:rPr>
      </w:pPr>
      <w:bookmarkStart w:id="1" w:name="_bookmark106"/>
      <w:bookmarkEnd w:id="1"/>
      <w:r>
        <w:rPr>
          <w:rFonts w:hint="eastAsia" w:ascii="宋体" w:hAnsi="宋体"/>
          <w:b/>
          <w:color w:val="auto"/>
          <w:kern w:val="44"/>
          <w:sz w:val="24"/>
          <w:highlight w:val="none"/>
        </w:rPr>
        <w:t>3.7 不得否决投标的情形</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投标文件存在第二章“投标人须知”第</w:t>
      </w:r>
      <w:r>
        <w:rPr>
          <w:rFonts w:ascii="宋体" w:hAnsi="宋体"/>
          <w:color w:val="auto"/>
          <w:szCs w:val="21"/>
          <w:highlight w:val="none"/>
        </w:rPr>
        <w:t xml:space="preserve"> 1.12.3 </w:t>
      </w:r>
      <w:r>
        <w:rPr>
          <w:rFonts w:hint="eastAsia" w:ascii="宋体" w:hAnsi="宋体"/>
          <w:color w:val="auto"/>
          <w:szCs w:val="21"/>
          <w:highlight w:val="none"/>
        </w:rPr>
        <w:t>项所列情形的，均视为细微偏差，评标委员会不得否决投标人的投标，应按照第二章“投标人须知”第</w:t>
      </w:r>
      <w:r>
        <w:rPr>
          <w:rFonts w:ascii="宋体" w:hAnsi="宋体"/>
          <w:color w:val="auto"/>
          <w:szCs w:val="21"/>
          <w:highlight w:val="none"/>
        </w:rPr>
        <w:t xml:space="preserve"> 1.12.4  </w:t>
      </w:r>
      <w:r>
        <w:rPr>
          <w:rFonts w:hint="eastAsia" w:ascii="宋体" w:hAnsi="宋体"/>
          <w:color w:val="auto"/>
          <w:szCs w:val="21"/>
          <w:highlight w:val="none"/>
        </w:rPr>
        <w:t>项规定的原则处理。</w:t>
      </w:r>
    </w:p>
    <w:p>
      <w:pPr>
        <w:spacing w:before="300" w:after="300" w:line="360" w:lineRule="exact"/>
        <w:outlineLvl w:val="0"/>
        <w:rPr>
          <w:rFonts w:ascii="宋体" w:hAnsi="宋体"/>
          <w:b/>
          <w:color w:val="auto"/>
          <w:kern w:val="44"/>
          <w:sz w:val="24"/>
          <w:highlight w:val="none"/>
        </w:rPr>
      </w:pPr>
      <w:bookmarkStart w:id="2" w:name="_bookmark107"/>
      <w:bookmarkEnd w:id="2"/>
      <w:r>
        <w:rPr>
          <w:rFonts w:hint="eastAsia" w:ascii="宋体" w:hAnsi="宋体"/>
          <w:b/>
          <w:color w:val="auto"/>
          <w:kern w:val="44"/>
          <w:sz w:val="24"/>
          <w:highlight w:val="none"/>
        </w:rPr>
        <w:t>3.8 评标结果</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3.8.1除第二章“投标人须知”前附表授权直接确定中标人外，评标委员会按照得分由高到低的顺序推荐中标候选人，并标明排序。</w:t>
      </w:r>
    </w:p>
    <w:p>
      <w:pPr>
        <w:overflowPunct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3.8.2评标委员会完成评标后，应向招标人提交书面评标报告。</w:t>
      </w:r>
    </w:p>
    <w:p>
      <w:pPr>
        <w:pStyle w:val="5"/>
        <w:widowControl w:val="0"/>
        <w:numPr>
          <w:ilvl w:val="0"/>
          <w:numId w:val="0"/>
        </w:numPr>
        <w:spacing w:after="120"/>
        <w:jc w:val="both"/>
        <w:rPr>
          <w:rFonts w:hint="default"/>
          <w:b/>
          <w:sz w:val="36"/>
          <w:highlight w:val="none"/>
          <w:lang w:val="en-US"/>
        </w:rPr>
      </w:pPr>
    </w:p>
    <w:p>
      <w:pPr>
        <w:pStyle w:val="5"/>
        <w:widowControl w:val="0"/>
        <w:numPr>
          <w:ilvl w:val="0"/>
          <w:numId w:val="0"/>
        </w:numPr>
        <w:spacing w:after="120"/>
        <w:jc w:val="both"/>
        <w:rPr>
          <w:rFonts w:hint="default"/>
          <w:b/>
          <w:sz w:val="36"/>
          <w:highlight w:val="none"/>
          <w:lang w:val="en-US"/>
        </w:rPr>
      </w:pPr>
    </w:p>
    <w:p>
      <w:pPr>
        <w:pStyle w:val="5"/>
        <w:widowControl w:val="0"/>
        <w:numPr>
          <w:ilvl w:val="0"/>
          <w:numId w:val="0"/>
        </w:numPr>
        <w:spacing w:after="120"/>
        <w:jc w:val="both"/>
        <w:rPr>
          <w:rFonts w:hint="default"/>
          <w:b/>
          <w:sz w:val="36"/>
          <w:highlight w:val="none"/>
          <w:lang w:val="en-US"/>
        </w:rPr>
      </w:pPr>
    </w:p>
    <w:p>
      <w:pPr>
        <w:pStyle w:val="5"/>
        <w:widowControl w:val="0"/>
        <w:numPr>
          <w:ilvl w:val="0"/>
          <w:numId w:val="0"/>
        </w:numPr>
        <w:spacing w:after="120"/>
        <w:jc w:val="both"/>
        <w:rPr>
          <w:rFonts w:hint="default"/>
          <w:b/>
          <w:sz w:val="36"/>
          <w:highlight w:val="none"/>
          <w:lang w:val="en-US"/>
        </w:rPr>
      </w:pPr>
    </w:p>
    <w:p/>
    <w:sectPr>
      <w:pgSz w:w="11906" w:h="16838"/>
      <w:pgMar w:top="1327" w:right="839" w:bottom="1100" w:left="10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Times New Roman"/>
    <w:panose1 w:val="00000000000000000000"/>
    <w:charset w:val="00"/>
    <w:family w:val="auto"/>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0273B"/>
    <w:multiLevelType w:val="multilevel"/>
    <w:tmpl w:val="1450273B"/>
    <w:lvl w:ilvl="0" w:tentative="0">
      <w:start w:val="1"/>
      <w:numFmt w:val="decimal"/>
      <w:lvlText w:val="（%1）"/>
      <w:lvlJc w:val="left"/>
      <w:pPr>
        <w:ind w:left="650" w:hanging="527"/>
        <w:jc w:val="left"/>
      </w:pPr>
      <w:rPr>
        <w:rFonts w:hint="default" w:ascii="宋体" w:hAnsi="宋体" w:eastAsia="宋体" w:cs="宋体"/>
        <w:b w:val="0"/>
        <w:bCs w:val="0"/>
        <w:i w:val="0"/>
        <w:iCs w:val="0"/>
        <w:spacing w:val="-1"/>
        <w:w w:val="99"/>
        <w:sz w:val="19"/>
        <w:szCs w:val="19"/>
        <w:lang w:val="en-US" w:eastAsia="zh-CN" w:bidi="ar-SA"/>
      </w:rPr>
    </w:lvl>
    <w:lvl w:ilvl="1" w:tentative="0">
      <w:start w:val="0"/>
      <w:numFmt w:val="bullet"/>
      <w:lvlText w:val="•"/>
      <w:lvlJc w:val="left"/>
      <w:pPr>
        <w:ind w:left="1298" w:hanging="527"/>
      </w:pPr>
      <w:rPr>
        <w:rFonts w:hint="default"/>
        <w:lang w:val="en-US" w:eastAsia="zh-CN" w:bidi="ar-SA"/>
      </w:rPr>
    </w:lvl>
    <w:lvl w:ilvl="2" w:tentative="0">
      <w:start w:val="0"/>
      <w:numFmt w:val="bullet"/>
      <w:lvlText w:val="•"/>
      <w:lvlJc w:val="left"/>
      <w:pPr>
        <w:ind w:left="1936" w:hanging="527"/>
      </w:pPr>
      <w:rPr>
        <w:rFonts w:hint="default"/>
        <w:lang w:val="en-US" w:eastAsia="zh-CN" w:bidi="ar-SA"/>
      </w:rPr>
    </w:lvl>
    <w:lvl w:ilvl="3" w:tentative="0">
      <w:start w:val="0"/>
      <w:numFmt w:val="bullet"/>
      <w:lvlText w:val="•"/>
      <w:lvlJc w:val="left"/>
      <w:pPr>
        <w:ind w:left="2574" w:hanging="527"/>
      </w:pPr>
      <w:rPr>
        <w:rFonts w:hint="default"/>
        <w:lang w:val="en-US" w:eastAsia="zh-CN" w:bidi="ar-SA"/>
      </w:rPr>
    </w:lvl>
    <w:lvl w:ilvl="4" w:tentative="0">
      <w:start w:val="0"/>
      <w:numFmt w:val="bullet"/>
      <w:lvlText w:val="•"/>
      <w:lvlJc w:val="left"/>
      <w:pPr>
        <w:ind w:left="3212" w:hanging="527"/>
      </w:pPr>
      <w:rPr>
        <w:rFonts w:hint="default"/>
        <w:lang w:val="en-US" w:eastAsia="zh-CN" w:bidi="ar-SA"/>
      </w:rPr>
    </w:lvl>
    <w:lvl w:ilvl="5" w:tentative="0">
      <w:start w:val="0"/>
      <w:numFmt w:val="bullet"/>
      <w:lvlText w:val="•"/>
      <w:lvlJc w:val="left"/>
      <w:pPr>
        <w:ind w:left="3850" w:hanging="527"/>
      </w:pPr>
      <w:rPr>
        <w:rFonts w:hint="default"/>
        <w:lang w:val="en-US" w:eastAsia="zh-CN" w:bidi="ar-SA"/>
      </w:rPr>
    </w:lvl>
    <w:lvl w:ilvl="6" w:tentative="0">
      <w:start w:val="0"/>
      <w:numFmt w:val="bullet"/>
      <w:lvlText w:val="•"/>
      <w:lvlJc w:val="left"/>
      <w:pPr>
        <w:ind w:left="4488" w:hanging="527"/>
      </w:pPr>
      <w:rPr>
        <w:rFonts w:hint="default"/>
        <w:lang w:val="en-US" w:eastAsia="zh-CN" w:bidi="ar-SA"/>
      </w:rPr>
    </w:lvl>
    <w:lvl w:ilvl="7" w:tentative="0">
      <w:start w:val="0"/>
      <w:numFmt w:val="bullet"/>
      <w:lvlText w:val="•"/>
      <w:lvlJc w:val="left"/>
      <w:pPr>
        <w:ind w:left="5126" w:hanging="527"/>
      </w:pPr>
      <w:rPr>
        <w:rFonts w:hint="default"/>
        <w:lang w:val="en-US" w:eastAsia="zh-CN" w:bidi="ar-SA"/>
      </w:rPr>
    </w:lvl>
    <w:lvl w:ilvl="8" w:tentative="0">
      <w:start w:val="0"/>
      <w:numFmt w:val="bullet"/>
      <w:lvlText w:val="•"/>
      <w:lvlJc w:val="left"/>
      <w:pPr>
        <w:ind w:left="5764" w:hanging="527"/>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A14DCF"/>
    <w:rsid w:val="029436B4"/>
    <w:rsid w:val="2C9C1325"/>
    <w:rsid w:val="3E787CD3"/>
    <w:rsid w:val="45A14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1"/>
    <w:pPr>
      <w:spacing w:before="28"/>
      <w:ind w:left="581" w:right="628"/>
      <w:jc w:val="center"/>
      <w:outlineLvl w:val="3"/>
    </w:pPr>
    <w:rPr>
      <w:rFonts w:ascii="黑体" w:hAnsi="黑体" w:eastAsia="黑体" w:cs="黑体"/>
      <w:b/>
      <w:bCs/>
      <w:sz w:val="52"/>
      <w:szCs w:val="52"/>
      <w:lang w:val="en-US" w:eastAsia="zh-CN" w:bidi="ar-SA"/>
    </w:rPr>
  </w:style>
  <w:style w:type="paragraph" w:styleId="3">
    <w:name w:val="heading 6"/>
    <w:basedOn w:val="1"/>
    <w:next w:val="1"/>
    <w:qFormat/>
    <w:uiPriority w:val="1"/>
    <w:pPr>
      <w:spacing w:before="82"/>
      <w:ind w:left="449" w:right="745"/>
      <w:jc w:val="center"/>
      <w:outlineLvl w:val="6"/>
    </w:pPr>
    <w:rPr>
      <w:rFonts w:ascii="黑体" w:hAnsi="黑体" w:eastAsia="黑体" w:cs="黑体"/>
      <w:b/>
      <w:bCs/>
      <w:sz w:val="36"/>
      <w:szCs w:val="36"/>
      <w:lang w:val="en-US" w:eastAsia="zh-CN" w:bidi="ar-SA"/>
    </w:rPr>
  </w:style>
  <w:style w:type="character" w:default="1" w:styleId="11">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lang w:val="en-US" w:eastAsia="zh-CN" w:bidi="ar-SA"/>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szCs w:val="20"/>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Table Paragraph"/>
    <w:basedOn w:val="1"/>
    <w:qFormat/>
    <w:uiPriority w:val="0"/>
    <w:pPr>
      <w:autoSpaceDE w:val="0"/>
      <w:autoSpaceDN w:val="0"/>
      <w:jc w:val="left"/>
    </w:pPr>
    <w:rPr>
      <w:rFonts w:ascii="Noto Sans CJK JP Regular" w:hAnsi="Noto Sans CJK JP Regular" w:cs="Noto Sans CJK JP Regular"/>
      <w:kern w:val="0"/>
      <w:sz w:val="22"/>
      <w:szCs w:val="22"/>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2025-01-08T10:28:00Z</dcterms:created>
  <dc:creator>Lenovo</dc:creator>
  <cp:lastModifiedBy>Lenovo</cp:lastModifiedBy>
  <dcterms:modified xsi:type="dcterms:W3CDTF">2025-01-20T08:43:14Z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