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6A3A6">
      <w:pPr>
        <w:wordWrap w:val="0"/>
        <w:snapToGrid w:val="0"/>
        <w:spacing w:after="240" w:line="360" w:lineRule="auto"/>
        <w:jc w:val="center"/>
        <w:rPr>
          <w:rFonts w:hint="default" w:ascii="宋体" w:hAnsi="宋体"/>
          <w:b/>
          <w:color w:val="auto"/>
          <w:sz w:val="48"/>
          <w:szCs w:val="48"/>
          <w:highlight w:val="none"/>
          <w:lang w:val="en-US"/>
        </w:rPr>
      </w:pPr>
      <w:r>
        <w:rPr>
          <w:rFonts w:hint="eastAsia" w:ascii="宋体" w:hAnsi="宋体"/>
          <w:b/>
          <w:color w:val="auto"/>
          <w:sz w:val="52"/>
          <w:szCs w:val="52"/>
          <w:highlight w:val="none"/>
          <w:lang w:eastAsia="zh-CN"/>
        </w:rPr>
        <w:t>广州市南沙区第一人民医院综合病房楼新建工</w:t>
      </w:r>
      <w:bookmarkStart w:id="1" w:name="_GoBack"/>
      <w:bookmarkEnd w:id="1"/>
      <w:r>
        <w:rPr>
          <w:rFonts w:hint="eastAsia" w:ascii="宋体" w:hAnsi="宋体"/>
          <w:b/>
          <w:color w:val="auto"/>
          <w:sz w:val="52"/>
          <w:szCs w:val="52"/>
          <w:highlight w:val="none"/>
          <w:lang w:eastAsia="zh-CN"/>
        </w:rPr>
        <w:t>程勘察</w:t>
      </w:r>
    </w:p>
    <w:p w14:paraId="108C967A">
      <w:pPr>
        <w:wordWrap w:val="0"/>
        <w:snapToGrid w:val="0"/>
        <w:spacing w:line="360" w:lineRule="auto"/>
        <w:jc w:val="center"/>
        <w:rPr>
          <w:rFonts w:ascii="宋体" w:hAnsi="宋体"/>
          <w:color w:val="auto"/>
          <w:sz w:val="28"/>
          <w:szCs w:val="28"/>
          <w:highlight w:val="none"/>
        </w:rPr>
      </w:pPr>
    </w:p>
    <w:p w14:paraId="5162E2F9">
      <w:pPr>
        <w:wordWrap w:val="0"/>
        <w:snapToGrid w:val="0"/>
        <w:spacing w:line="360" w:lineRule="auto"/>
        <w:jc w:val="center"/>
        <w:rPr>
          <w:rFonts w:ascii="宋体" w:hAnsi="宋体"/>
          <w:color w:val="auto"/>
          <w:sz w:val="28"/>
          <w:szCs w:val="28"/>
          <w:highlight w:val="none"/>
        </w:rPr>
      </w:pPr>
    </w:p>
    <w:p w14:paraId="7BC89F90">
      <w:pPr>
        <w:wordWrap w:val="0"/>
        <w:snapToGrid w:val="0"/>
        <w:spacing w:line="360" w:lineRule="auto"/>
        <w:jc w:val="center"/>
        <w:rPr>
          <w:rFonts w:ascii="宋体" w:hAnsi="宋体"/>
          <w:color w:val="auto"/>
          <w:sz w:val="28"/>
          <w:szCs w:val="28"/>
          <w:highlight w:val="none"/>
        </w:rPr>
      </w:pPr>
    </w:p>
    <w:p w14:paraId="1FAF329E">
      <w:pPr>
        <w:wordWrap w:val="0"/>
        <w:snapToGrid w:val="0"/>
        <w:spacing w:line="360" w:lineRule="auto"/>
        <w:jc w:val="center"/>
        <w:rPr>
          <w:rFonts w:ascii="宋体" w:hAnsi="宋体"/>
          <w:color w:val="auto"/>
          <w:sz w:val="28"/>
          <w:szCs w:val="28"/>
          <w:highlight w:val="none"/>
        </w:rPr>
      </w:pPr>
    </w:p>
    <w:p w14:paraId="68D7C88E">
      <w:pPr>
        <w:wordWrap w:val="0"/>
        <w:snapToGrid w:val="0"/>
        <w:spacing w:line="360" w:lineRule="auto"/>
        <w:jc w:val="center"/>
        <w:rPr>
          <w:rFonts w:ascii="宋体" w:hAnsi="宋体"/>
          <w:color w:val="auto"/>
          <w:sz w:val="28"/>
          <w:szCs w:val="28"/>
          <w:highlight w:val="none"/>
        </w:rPr>
      </w:pPr>
    </w:p>
    <w:p w14:paraId="5477D5C6">
      <w:pPr>
        <w:wordWrap w:val="0"/>
        <w:snapToGrid w:val="0"/>
        <w:spacing w:line="360" w:lineRule="auto"/>
        <w:jc w:val="center"/>
        <w:rPr>
          <w:rFonts w:ascii="宋体" w:hAnsi="宋体"/>
          <w:color w:val="auto"/>
          <w:sz w:val="28"/>
          <w:szCs w:val="28"/>
          <w:highlight w:val="none"/>
        </w:rPr>
      </w:pPr>
    </w:p>
    <w:p w14:paraId="1CEB0675">
      <w:pPr>
        <w:wordWrap w:val="0"/>
        <w:snapToGrid w:val="0"/>
        <w:spacing w:line="360" w:lineRule="auto"/>
        <w:jc w:val="center"/>
        <w:rPr>
          <w:rFonts w:ascii="宋体" w:hAnsi="宋体"/>
          <w:color w:val="auto"/>
          <w:sz w:val="28"/>
          <w:szCs w:val="28"/>
          <w:highlight w:val="none"/>
        </w:rPr>
      </w:pPr>
    </w:p>
    <w:p w14:paraId="55F9FED5">
      <w:pPr>
        <w:wordWrap w:val="0"/>
        <w:snapToGrid w:val="0"/>
        <w:spacing w:line="360" w:lineRule="auto"/>
        <w:jc w:val="center"/>
        <w:rPr>
          <w:rFonts w:ascii="宋体" w:hAnsi="宋体"/>
          <w:color w:val="auto"/>
          <w:sz w:val="28"/>
          <w:szCs w:val="28"/>
          <w:highlight w:val="none"/>
        </w:rPr>
      </w:pPr>
    </w:p>
    <w:p w14:paraId="18114F79">
      <w:pPr>
        <w:wordWrap w:val="0"/>
        <w:snapToGrid w:val="0"/>
        <w:jc w:val="center"/>
        <w:rPr>
          <w:rFonts w:hint="eastAsia" w:ascii="宋体" w:hAnsi="宋体" w:eastAsia="宋体"/>
          <w:b/>
          <w:color w:val="auto"/>
          <w:sz w:val="96"/>
          <w:szCs w:val="56"/>
          <w:highlight w:val="none"/>
          <w:lang w:eastAsia="zh-CN"/>
        </w:rPr>
      </w:pPr>
      <w:r>
        <w:rPr>
          <w:rFonts w:hint="eastAsia" w:ascii="宋体" w:hAnsi="宋体"/>
          <w:b/>
          <w:color w:val="auto"/>
          <w:sz w:val="96"/>
          <w:szCs w:val="56"/>
          <w:highlight w:val="none"/>
        </w:rPr>
        <w:t>招标</w:t>
      </w:r>
      <w:r>
        <w:rPr>
          <w:rFonts w:hint="eastAsia" w:ascii="宋体" w:hAnsi="宋体"/>
          <w:b/>
          <w:color w:val="auto"/>
          <w:sz w:val="96"/>
          <w:szCs w:val="56"/>
          <w:highlight w:val="none"/>
          <w:lang w:val="en-US" w:eastAsia="zh-CN"/>
        </w:rPr>
        <w:t>公告</w:t>
      </w:r>
    </w:p>
    <w:p w14:paraId="23B6498D">
      <w:pPr>
        <w:wordWrap w:val="0"/>
        <w:snapToGrid w:val="0"/>
        <w:spacing w:line="360" w:lineRule="auto"/>
        <w:jc w:val="center"/>
        <w:rPr>
          <w:rFonts w:ascii="宋体" w:hAnsi="宋体"/>
          <w:color w:val="auto"/>
          <w:sz w:val="28"/>
          <w:szCs w:val="28"/>
          <w:highlight w:val="none"/>
        </w:rPr>
      </w:pPr>
    </w:p>
    <w:p w14:paraId="5AF3DBFD">
      <w:pPr>
        <w:wordWrap w:val="0"/>
        <w:snapToGrid w:val="0"/>
        <w:spacing w:line="360" w:lineRule="auto"/>
        <w:jc w:val="center"/>
        <w:rPr>
          <w:rFonts w:ascii="宋体" w:hAnsi="宋体"/>
          <w:color w:val="auto"/>
          <w:sz w:val="28"/>
          <w:szCs w:val="28"/>
          <w:highlight w:val="none"/>
        </w:rPr>
      </w:pPr>
    </w:p>
    <w:p w14:paraId="4543401F">
      <w:pPr>
        <w:wordWrap w:val="0"/>
        <w:snapToGrid w:val="0"/>
        <w:spacing w:line="360" w:lineRule="auto"/>
        <w:jc w:val="center"/>
        <w:rPr>
          <w:rFonts w:ascii="宋体" w:hAnsi="宋体"/>
          <w:color w:val="auto"/>
          <w:sz w:val="28"/>
          <w:szCs w:val="28"/>
          <w:highlight w:val="none"/>
        </w:rPr>
      </w:pPr>
    </w:p>
    <w:p w14:paraId="2643A3D1">
      <w:pPr>
        <w:wordWrap w:val="0"/>
        <w:snapToGrid w:val="0"/>
        <w:spacing w:line="360" w:lineRule="auto"/>
        <w:jc w:val="center"/>
        <w:rPr>
          <w:rFonts w:ascii="宋体" w:hAnsi="宋体"/>
          <w:color w:val="auto"/>
          <w:sz w:val="28"/>
          <w:szCs w:val="28"/>
          <w:highlight w:val="none"/>
        </w:rPr>
      </w:pPr>
    </w:p>
    <w:p w14:paraId="5C4F4BC5">
      <w:pPr>
        <w:wordWrap w:val="0"/>
        <w:snapToGrid w:val="0"/>
        <w:spacing w:line="360" w:lineRule="auto"/>
        <w:jc w:val="center"/>
        <w:rPr>
          <w:rFonts w:ascii="宋体" w:hAnsi="宋体"/>
          <w:color w:val="auto"/>
          <w:sz w:val="28"/>
          <w:szCs w:val="28"/>
          <w:highlight w:val="none"/>
        </w:rPr>
      </w:pPr>
    </w:p>
    <w:p w14:paraId="58F956AF">
      <w:pPr>
        <w:wordWrap w:val="0"/>
        <w:snapToGrid w:val="0"/>
        <w:spacing w:line="360" w:lineRule="auto"/>
        <w:jc w:val="center"/>
        <w:rPr>
          <w:rFonts w:ascii="宋体" w:hAnsi="宋体"/>
          <w:color w:val="auto"/>
          <w:sz w:val="28"/>
          <w:szCs w:val="28"/>
          <w:highlight w:val="none"/>
        </w:rPr>
      </w:pPr>
    </w:p>
    <w:p w14:paraId="02A69327">
      <w:pPr>
        <w:ind w:firstLine="1079" w:firstLineChars="336"/>
        <w:rPr>
          <w:rFonts w:hint="eastAsia" w:ascii="宋体" w:hAnsi="宋体"/>
          <w:b/>
          <w:color w:val="auto"/>
          <w:sz w:val="32"/>
          <w:szCs w:val="32"/>
          <w:highlight w:val="none"/>
          <w:u w:val="single"/>
        </w:rPr>
      </w:pPr>
      <w:r>
        <w:rPr>
          <w:rFonts w:hint="eastAsia" w:ascii="宋体" w:hAnsi="宋体"/>
          <w:b/>
          <w:color w:val="auto"/>
          <w:sz w:val="32"/>
          <w:szCs w:val="32"/>
          <w:highlight w:val="none"/>
        </w:rPr>
        <w:t>招标单位：</w:t>
      </w:r>
      <w:r>
        <w:rPr>
          <w:rFonts w:hint="eastAsia" w:ascii="宋体" w:hAnsi="宋体"/>
          <w:b/>
          <w:color w:val="auto"/>
          <w:sz w:val="32"/>
          <w:szCs w:val="32"/>
          <w:highlight w:val="none"/>
          <w:u w:val="single"/>
        </w:rPr>
        <w:t>广州市南沙区建设中心</w:t>
      </w:r>
    </w:p>
    <w:p w14:paraId="5B3393B2">
      <w:pPr>
        <w:ind w:firstLine="1041" w:firstLineChars="324"/>
        <w:rPr>
          <w:rFonts w:hint="eastAsia" w:ascii="宋体" w:hAnsi="宋体" w:eastAsia="宋体" w:cs="宋体"/>
          <w:b/>
          <w:sz w:val="32"/>
          <w:szCs w:val="32"/>
          <w:highlight w:val="none"/>
        </w:rPr>
      </w:pPr>
      <w:r>
        <w:rPr>
          <w:rFonts w:hint="eastAsia" w:ascii="宋体" w:hAnsi="宋体" w:eastAsia="宋体" w:cs="宋体"/>
          <w:b/>
          <w:sz w:val="32"/>
          <w:szCs w:val="32"/>
          <w:highlight w:val="none"/>
        </w:rPr>
        <w:t>项目建设管理单位：</w:t>
      </w:r>
      <w:r>
        <w:rPr>
          <w:rFonts w:hint="eastAsia" w:ascii="宋体" w:hAnsi="宋体" w:eastAsia="宋体" w:cs="宋体"/>
          <w:b/>
          <w:sz w:val="32"/>
          <w:szCs w:val="32"/>
          <w:highlight w:val="none"/>
          <w:u w:val="single"/>
        </w:rPr>
        <w:t>广州南沙建设管理有限公司</w:t>
      </w:r>
    </w:p>
    <w:p w14:paraId="34B59505">
      <w:pPr>
        <w:ind w:firstLine="1079" w:firstLineChars="336"/>
        <w:rPr>
          <w:rFonts w:hint="eastAsia" w:ascii="宋体" w:hAnsi="宋体"/>
          <w:b/>
          <w:color w:val="auto"/>
          <w:sz w:val="32"/>
          <w:szCs w:val="32"/>
          <w:highlight w:val="none"/>
          <w:u w:val="single"/>
          <w:lang w:eastAsia="zh-CN"/>
        </w:rPr>
      </w:pPr>
      <w:r>
        <w:rPr>
          <w:rFonts w:hint="eastAsia" w:ascii="宋体" w:hAnsi="宋体"/>
          <w:b/>
          <w:color w:val="auto"/>
          <w:sz w:val="32"/>
          <w:szCs w:val="32"/>
          <w:highlight w:val="none"/>
        </w:rPr>
        <w:t>招标代理机构：</w:t>
      </w:r>
      <w:r>
        <w:rPr>
          <w:rFonts w:hint="eastAsia" w:ascii="宋体" w:hAnsi="宋体"/>
          <w:b/>
          <w:color w:val="auto"/>
          <w:sz w:val="32"/>
          <w:szCs w:val="32"/>
          <w:highlight w:val="none"/>
          <w:u w:val="single"/>
          <w:lang w:eastAsia="zh-CN"/>
        </w:rPr>
        <w:t>广东粤能工程管理有限公司</w:t>
      </w:r>
    </w:p>
    <w:p w14:paraId="7335E584">
      <w:pPr>
        <w:ind w:firstLine="1079" w:firstLineChars="336"/>
        <w:rPr>
          <w:rFonts w:hint="eastAsia" w:ascii="宋体" w:hAnsi="宋体"/>
          <w:b/>
          <w:color w:val="auto"/>
          <w:sz w:val="32"/>
          <w:szCs w:val="32"/>
          <w:highlight w:val="none"/>
        </w:rPr>
      </w:pPr>
      <w:r>
        <w:rPr>
          <w:rFonts w:hint="eastAsia" w:ascii="宋体" w:hAnsi="宋体"/>
          <w:b/>
          <w:color w:val="auto"/>
          <w:sz w:val="32"/>
          <w:szCs w:val="32"/>
          <w:highlight w:val="none"/>
        </w:rPr>
        <w:t>日        期：</w:t>
      </w:r>
      <w:r>
        <w:rPr>
          <w:rFonts w:hint="eastAsia" w:ascii="宋体" w:hAnsi="宋体"/>
          <w:b/>
          <w:color w:val="auto"/>
          <w:sz w:val="32"/>
          <w:szCs w:val="32"/>
          <w:highlight w:val="none"/>
          <w:u w:val="single"/>
        </w:rPr>
        <w:t>202</w:t>
      </w:r>
      <w:r>
        <w:rPr>
          <w:rFonts w:hint="eastAsia" w:ascii="宋体" w:hAnsi="宋体"/>
          <w:b/>
          <w:color w:val="auto"/>
          <w:sz w:val="32"/>
          <w:szCs w:val="32"/>
          <w:highlight w:val="none"/>
          <w:u w:val="single"/>
          <w:lang w:val="en-US" w:eastAsia="zh-CN"/>
        </w:rPr>
        <w:t>5</w:t>
      </w:r>
      <w:r>
        <w:rPr>
          <w:rFonts w:hint="eastAsia" w:ascii="宋体" w:hAnsi="宋体"/>
          <w:b/>
          <w:color w:val="auto"/>
          <w:sz w:val="32"/>
          <w:szCs w:val="32"/>
          <w:highlight w:val="none"/>
        </w:rPr>
        <w:t>年</w:t>
      </w:r>
      <w:r>
        <w:rPr>
          <w:rFonts w:hint="eastAsia" w:ascii="宋体" w:hAnsi="宋体"/>
          <w:b/>
          <w:color w:val="auto"/>
          <w:sz w:val="32"/>
          <w:szCs w:val="32"/>
          <w:highlight w:val="none"/>
          <w:u w:val="single"/>
          <w:lang w:val="en-US" w:eastAsia="zh-CN"/>
        </w:rPr>
        <w:t>1</w:t>
      </w:r>
      <w:r>
        <w:rPr>
          <w:rFonts w:hint="eastAsia" w:ascii="宋体" w:hAnsi="宋体"/>
          <w:b/>
          <w:color w:val="auto"/>
          <w:sz w:val="32"/>
          <w:szCs w:val="32"/>
          <w:highlight w:val="none"/>
        </w:rPr>
        <w:t>月</w:t>
      </w:r>
    </w:p>
    <w:p w14:paraId="475B0C03">
      <w:pPr>
        <w:wordWrap w:val="0"/>
        <w:snapToGrid w:val="0"/>
        <w:spacing w:line="360" w:lineRule="auto"/>
        <w:ind w:firstLine="1687" w:firstLineChars="525"/>
        <w:rPr>
          <w:rFonts w:hint="eastAsia" w:ascii="宋体" w:hAnsi="宋体" w:cs="宋体"/>
          <w:b/>
          <w:bCs/>
          <w:color w:val="auto"/>
          <w:sz w:val="32"/>
          <w:szCs w:val="36"/>
          <w:highlight w:val="none"/>
        </w:rPr>
      </w:pPr>
    </w:p>
    <w:p w14:paraId="28B853F8">
      <w:pPr>
        <w:wordWrap w:val="0"/>
        <w:spacing w:line="360" w:lineRule="auto"/>
        <w:ind w:firstLine="964" w:firstLineChars="300"/>
        <w:rPr>
          <w:rFonts w:ascii="宋体" w:hAnsi="宋体" w:cs="宋体"/>
          <w:b/>
          <w:color w:val="auto"/>
          <w:sz w:val="32"/>
          <w:szCs w:val="32"/>
          <w:highlight w:val="none"/>
        </w:rPr>
      </w:pPr>
    </w:p>
    <w:p w14:paraId="706875EB">
      <w:pPr>
        <w:wordWrap w:val="0"/>
        <w:spacing w:line="360" w:lineRule="auto"/>
        <w:ind w:firstLine="816"/>
        <w:jc w:val="center"/>
        <w:rPr>
          <w:rFonts w:ascii="宋体" w:hAnsi="宋体" w:cs="宋体"/>
          <w:b/>
          <w:color w:val="auto"/>
          <w:sz w:val="40"/>
          <w:szCs w:val="40"/>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pgNumType w:start="1"/>
          <w:cols w:space="720" w:num="1"/>
          <w:titlePg/>
          <w:docGrid w:type="lines" w:linePitch="312" w:charSpace="0"/>
        </w:sectPr>
      </w:pPr>
    </w:p>
    <w:p w14:paraId="6BD5D85B">
      <w:pPr>
        <w:wordWrap w:val="0"/>
        <w:spacing w:line="360" w:lineRule="auto"/>
        <w:ind w:firstLine="0"/>
        <w:jc w:val="center"/>
        <w:rPr>
          <w:rFonts w:ascii="宋体" w:hAnsi="宋体" w:cs="宋体"/>
          <w:b/>
          <w:color w:val="auto"/>
          <w:sz w:val="32"/>
          <w:szCs w:val="32"/>
          <w:highlight w:val="none"/>
        </w:rPr>
      </w:pPr>
      <w:r>
        <w:rPr>
          <w:rFonts w:hint="eastAsia" w:ascii="宋体" w:hAnsi="宋体" w:cs="宋体"/>
          <w:b/>
          <w:color w:val="auto"/>
          <w:sz w:val="32"/>
          <w:szCs w:val="32"/>
          <w:highlight w:val="none"/>
        </w:rPr>
        <w:t>广州市南沙区第一人民医院综合病房楼新建工程勘察招标公告</w:t>
      </w:r>
    </w:p>
    <w:p w14:paraId="078C9809">
      <w:pPr>
        <w:pStyle w:val="19"/>
        <w:wordWrap w:val="0"/>
        <w:snapToGrid w:val="0"/>
        <w:spacing w:line="360" w:lineRule="auto"/>
        <w:ind w:firstLine="420" w:firstLineChars="200"/>
        <w:rPr>
          <w:rFonts w:hint="eastAsia" w:ascii="宋体" w:hAnsi="宋体" w:eastAsia="宋体" w:cs="宋体"/>
          <w:color w:val="auto"/>
          <w:sz w:val="21"/>
          <w:szCs w:val="21"/>
          <w:highlight w:val="none"/>
        </w:rPr>
      </w:pPr>
    </w:p>
    <w:p w14:paraId="7E504051">
      <w:pPr>
        <w:widowControl/>
        <w:numPr>
          <w:ilvl w:val="0"/>
          <w:numId w:val="1"/>
        </w:numPr>
        <w:tabs>
          <w:tab w:val="left" w:pos="760"/>
        </w:tabs>
        <w:wordWrap w:val="0"/>
        <w:adjustRightInd w:val="0"/>
        <w:snapToGrid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招标条件</w:t>
      </w:r>
    </w:p>
    <w:p w14:paraId="25383D91">
      <w:pPr>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本招标项目</w:t>
      </w:r>
      <w:r>
        <w:rPr>
          <w:rFonts w:hint="eastAsia" w:ascii="宋体" w:hAnsi="宋体" w:eastAsia="宋体" w:cs="宋体"/>
          <w:color w:val="auto"/>
          <w:sz w:val="21"/>
          <w:szCs w:val="21"/>
          <w:highlight w:val="none"/>
          <w:u w:val="single"/>
          <w:lang w:eastAsia="zh-CN"/>
        </w:rPr>
        <w:t>广州市南沙区第一人民医院综合病房楼新建工程</w:t>
      </w:r>
      <w:r>
        <w:rPr>
          <w:rFonts w:hint="eastAsia" w:ascii="宋体" w:hAnsi="宋体" w:eastAsia="宋体" w:cs="宋体"/>
          <w:color w:val="auto"/>
          <w:sz w:val="21"/>
          <w:szCs w:val="21"/>
          <w:highlight w:val="none"/>
        </w:rPr>
        <w:t>已由</w:t>
      </w:r>
      <w:r>
        <w:rPr>
          <w:rFonts w:hint="eastAsia" w:ascii="宋体" w:hAnsi="宋体" w:cs="宋体"/>
          <w:color w:val="auto"/>
          <w:sz w:val="21"/>
          <w:szCs w:val="21"/>
          <w:highlight w:val="none"/>
          <w:u w:val="single"/>
          <w:lang w:eastAsia="zh-CN"/>
        </w:rPr>
        <w:t>广州市南沙区</w:t>
      </w:r>
      <w:r>
        <w:rPr>
          <w:rFonts w:hint="eastAsia" w:ascii="宋体" w:hAnsi="宋体" w:eastAsia="宋体" w:cs="宋体"/>
          <w:color w:val="auto"/>
          <w:sz w:val="21"/>
          <w:szCs w:val="21"/>
          <w:highlight w:val="none"/>
          <w:u w:val="single"/>
        </w:rPr>
        <w:t>发展和改革</w:t>
      </w:r>
      <w:r>
        <w:rPr>
          <w:rFonts w:hint="eastAsia" w:ascii="宋体" w:hAnsi="宋体" w:cs="宋体"/>
          <w:color w:val="auto"/>
          <w:sz w:val="21"/>
          <w:szCs w:val="21"/>
          <w:highlight w:val="none"/>
          <w:u w:val="single"/>
          <w:lang w:eastAsia="zh-CN"/>
        </w:rPr>
        <w:t>局</w:t>
      </w:r>
      <w:r>
        <w:rPr>
          <w:rFonts w:hint="eastAsia" w:ascii="宋体" w:hAnsi="宋体" w:eastAsia="宋体" w:cs="宋体"/>
          <w:color w:val="auto"/>
          <w:sz w:val="21"/>
          <w:szCs w:val="21"/>
          <w:highlight w:val="none"/>
        </w:rPr>
        <w:t>以</w:t>
      </w:r>
      <w:r>
        <w:rPr>
          <w:rFonts w:hint="eastAsia" w:ascii="宋体" w:hAnsi="宋体" w:cs="宋体"/>
          <w:color w:val="auto"/>
          <w:sz w:val="21"/>
          <w:szCs w:val="21"/>
          <w:highlight w:val="none"/>
          <w:u w:val="single"/>
          <w:lang w:eastAsia="zh-CN"/>
        </w:rPr>
        <w:t>穗南</w:t>
      </w:r>
      <w:r>
        <w:rPr>
          <w:rFonts w:hint="eastAsia" w:ascii="宋体" w:hAnsi="宋体" w:eastAsia="宋体" w:cs="宋体"/>
          <w:color w:val="auto"/>
          <w:sz w:val="21"/>
          <w:szCs w:val="21"/>
          <w:highlight w:val="none"/>
          <w:u w:val="single"/>
        </w:rPr>
        <w:t>发改</w:t>
      </w:r>
      <w:r>
        <w:rPr>
          <w:rFonts w:hint="eastAsia" w:ascii="宋体" w:hAnsi="宋体" w:cs="宋体"/>
          <w:color w:val="auto"/>
          <w:sz w:val="21"/>
          <w:szCs w:val="21"/>
          <w:highlight w:val="none"/>
          <w:u w:val="single"/>
          <w:lang w:eastAsia="zh-CN"/>
        </w:rPr>
        <w:t>项目</w:t>
      </w:r>
      <w:r>
        <w:rPr>
          <w:rFonts w:hint="eastAsia" w:ascii="宋体" w:hAnsi="宋体" w:eastAsia="宋体" w:cs="宋体"/>
          <w:color w:val="auto"/>
          <w:sz w:val="21"/>
          <w:szCs w:val="21"/>
          <w:highlight w:val="none"/>
          <w:u w:val="single"/>
        </w:rPr>
        <w:t>〔20</w:t>
      </w:r>
      <w:r>
        <w:rPr>
          <w:rFonts w:hint="eastAsia" w:ascii="宋体" w:hAnsi="宋体" w:cs="宋体"/>
          <w:color w:val="auto"/>
          <w:sz w:val="21"/>
          <w:szCs w:val="21"/>
          <w:highlight w:val="none"/>
          <w:u w:val="single"/>
          <w:lang w:val="en-US" w:eastAsia="zh-CN"/>
        </w:rPr>
        <w:t>18</w:t>
      </w:r>
      <w:r>
        <w:rPr>
          <w:rFonts w:hint="default"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38</w:t>
      </w:r>
      <w:r>
        <w:rPr>
          <w:rFonts w:hint="eastAsia" w:ascii="宋体" w:hAnsi="宋体" w:eastAsia="宋体" w:cs="宋体"/>
          <w:color w:val="auto"/>
          <w:sz w:val="21"/>
          <w:szCs w:val="21"/>
          <w:highlight w:val="none"/>
          <w:u w:val="single"/>
        </w:rPr>
        <w:t>号（广东省投资项目代码：2</w:t>
      </w:r>
      <w:r>
        <w:rPr>
          <w:rFonts w:hint="eastAsia" w:ascii="宋体" w:hAnsi="宋体" w:cs="宋体"/>
          <w:color w:val="auto"/>
          <w:sz w:val="21"/>
          <w:szCs w:val="21"/>
          <w:highlight w:val="none"/>
          <w:u w:val="single"/>
          <w:lang w:eastAsia="zh-CN"/>
        </w:rPr>
        <w:t>0</w:t>
      </w:r>
      <w:r>
        <w:rPr>
          <w:rFonts w:hint="eastAsia" w:ascii="宋体" w:hAnsi="宋体" w:cs="宋体"/>
          <w:color w:val="auto"/>
          <w:sz w:val="21"/>
          <w:szCs w:val="21"/>
          <w:highlight w:val="none"/>
          <w:u w:val="single"/>
          <w:lang w:val="en-US" w:eastAsia="zh-CN"/>
        </w:rPr>
        <w:t>18</w:t>
      </w:r>
      <w:r>
        <w:rPr>
          <w:rFonts w:hint="eastAsia" w:ascii="宋体" w:hAnsi="宋体" w:eastAsia="宋体" w:cs="宋体"/>
          <w:color w:val="auto"/>
          <w:sz w:val="21"/>
          <w:szCs w:val="21"/>
          <w:highlight w:val="none"/>
          <w:u w:val="single"/>
        </w:rPr>
        <w:t>-440</w:t>
      </w:r>
      <w:r>
        <w:rPr>
          <w:rFonts w:hint="eastAsia" w:ascii="宋体" w:hAnsi="宋体" w:cs="宋体"/>
          <w:color w:val="auto"/>
          <w:sz w:val="21"/>
          <w:szCs w:val="21"/>
          <w:highlight w:val="none"/>
          <w:u w:val="single"/>
          <w:lang w:eastAsia="zh-CN"/>
        </w:rPr>
        <w:t>1</w:t>
      </w:r>
      <w:r>
        <w:rPr>
          <w:rFonts w:hint="eastAsia" w:ascii="宋体" w:hAnsi="宋体"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eastAsia="zh-CN"/>
        </w:rPr>
        <w:t>4</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-01-</w:t>
      </w:r>
      <w:r>
        <w:rPr>
          <w:rFonts w:hint="eastAsia" w:ascii="宋体" w:hAnsi="宋体" w:cs="宋体"/>
          <w:color w:val="auto"/>
          <w:sz w:val="21"/>
          <w:szCs w:val="21"/>
          <w:highlight w:val="none"/>
          <w:u w:val="single"/>
          <w:lang w:eastAsia="zh-CN"/>
        </w:rPr>
        <w:t>8</w:t>
      </w:r>
      <w:r>
        <w:rPr>
          <w:rFonts w:hint="eastAsia" w:ascii="宋体" w:hAnsi="宋体" w:cs="宋体"/>
          <w:color w:val="auto"/>
          <w:sz w:val="21"/>
          <w:szCs w:val="21"/>
          <w:highlight w:val="none"/>
          <w:u w:val="single"/>
          <w:lang w:val="en-US" w:eastAsia="zh-CN"/>
        </w:rPr>
        <w:t>21647</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批准建设，项目业主为</w:t>
      </w:r>
      <w:r>
        <w:rPr>
          <w:rFonts w:hint="eastAsia" w:ascii="宋体" w:hAnsi="宋体"/>
          <w:color w:val="auto"/>
          <w:highlight w:val="none"/>
          <w:u w:val="single"/>
        </w:rPr>
        <w:t>广州市南沙区建设中心</w:t>
      </w:r>
      <w:r>
        <w:rPr>
          <w:rFonts w:hint="eastAsia" w:ascii="宋体" w:hAnsi="宋体" w:eastAsia="宋体" w:cs="宋体"/>
          <w:color w:val="auto"/>
          <w:sz w:val="21"/>
          <w:szCs w:val="21"/>
          <w:highlight w:val="none"/>
        </w:rPr>
        <w:t>，项目资金来源为</w:t>
      </w:r>
      <w:r>
        <w:rPr>
          <w:rFonts w:hint="eastAsia" w:ascii="宋体" w:hAnsi="宋体" w:eastAsia="宋体" w:cs="宋体"/>
          <w:color w:val="auto"/>
          <w:sz w:val="21"/>
          <w:szCs w:val="21"/>
          <w:highlight w:val="none"/>
          <w:u w:val="single"/>
        </w:rPr>
        <w:t>财政资金</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rPr>
        <w:t>出资比例为</w:t>
      </w:r>
      <w:r>
        <w:rPr>
          <w:rFonts w:hint="eastAsia" w:ascii="宋体" w:hAnsi="宋体" w:eastAsia="宋体" w:cs="宋体"/>
          <w:color w:val="auto"/>
          <w:sz w:val="21"/>
          <w:szCs w:val="21"/>
          <w:highlight w:val="none"/>
          <w:u w:val="single"/>
        </w:rPr>
        <w:t>100%</w:t>
      </w:r>
      <w:r>
        <w:rPr>
          <w:rFonts w:hint="eastAsia" w:ascii="宋体" w:hAnsi="宋体" w:eastAsia="宋体" w:cs="宋体"/>
          <w:color w:val="auto"/>
          <w:sz w:val="21"/>
          <w:szCs w:val="21"/>
          <w:highlight w:val="none"/>
        </w:rPr>
        <w:t>。招标人为</w:t>
      </w:r>
      <w:r>
        <w:rPr>
          <w:rFonts w:hint="eastAsia" w:ascii="宋体" w:hAnsi="宋体"/>
          <w:color w:val="auto"/>
          <w:highlight w:val="none"/>
          <w:u w:val="single"/>
        </w:rPr>
        <w:t>广州市南沙区建设中心</w:t>
      </w:r>
      <w:r>
        <w:rPr>
          <w:rFonts w:hint="eastAsia" w:ascii="宋体" w:hAnsi="宋体" w:eastAsia="宋体" w:cs="宋体"/>
          <w:color w:val="auto"/>
          <w:sz w:val="21"/>
          <w:szCs w:val="21"/>
          <w:highlight w:val="none"/>
        </w:rPr>
        <w:t>。项目已具备招标条件，现对该项目的</w:t>
      </w:r>
      <w:r>
        <w:rPr>
          <w:rFonts w:hint="eastAsia" w:ascii="宋体" w:hAnsi="宋体" w:eastAsia="宋体" w:cs="宋体"/>
          <w:color w:val="auto"/>
          <w:sz w:val="21"/>
          <w:szCs w:val="21"/>
          <w:highlight w:val="none"/>
          <w:u w:val="single"/>
        </w:rPr>
        <w:t>勘察</w:t>
      </w:r>
      <w:r>
        <w:rPr>
          <w:rFonts w:hint="eastAsia" w:ascii="宋体" w:hAnsi="宋体" w:eastAsia="宋体" w:cs="宋体"/>
          <w:color w:val="auto"/>
          <w:sz w:val="21"/>
          <w:szCs w:val="21"/>
          <w:highlight w:val="none"/>
        </w:rPr>
        <w:t>进行公开招标。</w:t>
      </w:r>
    </w:p>
    <w:p w14:paraId="0096A93D">
      <w:pPr>
        <w:wordWrap w:val="0"/>
        <w:adjustRightInd w:val="0"/>
        <w:snapToGrid w:val="0"/>
        <w:spacing w:line="360" w:lineRule="auto"/>
        <w:ind w:firstLine="420" w:firstLineChars="200"/>
        <w:rPr>
          <w:rFonts w:hint="eastAsia" w:ascii="宋体" w:hAnsi="宋体" w:eastAsia="宋体" w:cs="宋体"/>
          <w:color w:val="auto"/>
          <w:sz w:val="21"/>
          <w:szCs w:val="21"/>
          <w:highlight w:val="none"/>
        </w:rPr>
      </w:pPr>
    </w:p>
    <w:p w14:paraId="2FB2FD16">
      <w:pPr>
        <w:widowControl/>
        <w:numPr>
          <w:ilvl w:val="0"/>
          <w:numId w:val="1"/>
        </w:numPr>
        <w:tabs>
          <w:tab w:val="left" w:pos="760"/>
        </w:tabs>
        <w:wordWrap w:val="0"/>
        <w:adjustRightInd w:val="0"/>
        <w:snapToGrid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项目概况与招标范围</w:t>
      </w:r>
    </w:p>
    <w:p w14:paraId="05C0FE43">
      <w:pPr>
        <w:wordWrap w:val="0"/>
        <w:autoSpaceDE w:val="0"/>
        <w:autoSpaceDN w:val="0"/>
        <w:adjustRightInd w:val="0"/>
        <w:snapToGrid w:val="0"/>
        <w:spacing w:before="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招标项目概况</w:t>
      </w:r>
    </w:p>
    <w:p w14:paraId="16BFAF92">
      <w:pPr>
        <w:wordWrap w:val="0"/>
        <w:autoSpaceDE w:val="0"/>
        <w:autoSpaceDN w:val="0"/>
        <w:adjustRightInd w:val="0"/>
        <w:snapToGrid w:val="0"/>
        <w:spacing w:before="0" w:line="360" w:lineRule="auto"/>
        <w:ind w:firstLine="420" w:firstLineChars="200"/>
        <w:jc w:val="left"/>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2.1.1 </w:t>
      </w:r>
      <w:r>
        <w:rPr>
          <w:rFonts w:hint="eastAsia" w:ascii="宋体" w:hAnsi="宋体" w:eastAsia="宋体" w:cs="宋体"/>
          <w:color w:val="auto"/>
          <w:sz w:val="21"/>
          <w:szCs w:val="21"/>
          <w:highlight w:val="none"/>
          <w:lang w:val="en-US" w:eastAsia="zh-CN"/>
        </w:rPr>
        <w:t>招标项目</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lang w:eastAsia="zh-CN"/>
        </w:rPr>
        <w:t>广州市南沙区第一人民医院综合病房楼新建工程勘察</w:t>
      </w:r>
    </w:p>
    <w:p w14:paraId="2B67B3CD">
      <w:pPr>
        <w:wordWrap w:val="0"/>
        <w:adjustRightInd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2.1.2 工程</w:t>
      </w:r>
      <w:r>
        <w:rPr>
          <w:rFonts w:hint="eastAsia" w:ascii="宋体" w:hAnsi="宋体" w:eastAsia="宋体" w:cs="宋体"/>
          <w:color w:val="auto"/>
          <w:sz w:val="21"/>
          <w:szCs w:val="21"/>
          <w:highlight w:val="none"/>
          <w:lang w:val="en-US" w:eastAsia="zh-CN"/>
        </w:rPr>
        <w:t>建设地点</w:t>
      </w:r>
      <w:r>
        <w:rPr>
          <w:rFonts w:hint="eastAsia" w:ascii="宋体" w:hAnsi="宋体" w:eastAsia="宋体" w:cs="宋体"/>
          <w:color w:val="auto"/>
          <w:sz w:val="21"/>
          <w:szCs w:val="21"/>
          <w:highlight w:val="none"/>
        </w:rPr>
        <w:t>：</w:t>
      </w:r>
      <w:r>
        <w:rPr>
          <w:rFonts w:hint="eastAsia" w:ascii="宋体" w:hAnsi="宋体"/>
          <w:color w:val="auto"/>
          <w:highlight w:val="none"/>
          <w:u w:val="single"/>
        </w:rPr>
        <w:t>广州市南沙区</w:t>
      </w:r>
      <w:r>
        <w:rPr>
          <w:rFonts w:hint="eastAsia" w:ascii="宋体" w:hAnsi="宋体" w:eastAsia="宋体" w:cs="宋体"/>
          <w:color w:val="auto"/>
          <w:sz w:val="21"/>
          <w:szCs w:val="21"/>
          <w:highlight w:val="none"/>
          <w:u w:val="single"/>
          <w:lang w:eastAsia="zh-CN"/>
        </w:rPr>
        <w:t>。</w:t>
      </w:r>
    </w:p>
    <w:p w14:paraId="1C89EF10">
      <w:pPr>
        <w:wordWrap w:val="0"/>
        <w:adjustRightInd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2.1.3 工程建设规模：</w:t>
      </w:r>
      <w:r>
        <w:rPr>
          <w:rFonts w:hint="eastAsia" w:ascii="宋体" w:hAnsi="宋体" w:eastAsia="宋体"/>
          <w:color w:val="auto"/>
          <w:highlight w:val="none"/>
          <w:u w:val="single"/>
          <w:lang w:eastAsia="zh-CN"/>
        </w:rPr>
        <w:t>项目拆除旧住院楼、部分门诊楼、体检中心和放射科，建筑面积约8069平方米；新建一栋16层高的综合病房楼，建筑面积约35880平方米，新建绿化场地面积约3000平方米，新建广场停车场道路面积约4248平方米。主要建设内容包括：建筑、电气、给排水、消防等工程</w:t>
      </w:r>
      <w:r>
        <w:rPr>
          <w:rFonts w:hint="eastAsia" w:ascii="宋体" w:hAnsi="宋体" w:eastAsia="宋体" w:cs="宋体"/>
          <w:color w:val="auto"/>
          <w:sz w:val="21"/>
          <w:szCs w:val="21"/>
          <w:highlight w:val="none"/>
          <w:u w:val="single"/>
        </w:rPr>
        <w:t>。</w:t>
      </w:r>
    </w:p>
    <w:p w14:paraId="76F09B96">
      <w:pPr>
        <w:wordWrap w:val="0"/>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2.1.4 资金来源：</w:t>
      </w:r>
      <w:r>
        <w:rPr>
          <w:rFonts w:hint="eastAsia" w:ascii="宋体" w:hAnsi="宋体" w:eastAsia="宋体" w:cs="宋体"/>
          <w:color w:val="auto"/>
          <w:sz w:val="21"/>
          <w:szCs w:val="21"/>
          <w:highlight w:val="none"/>
          <w:u w:val="single"/>
        </w:rPr>
        <w:t>财政资金。</w:t>
      </w:r>
    </w:p>
    <w:p w14:paraId="1DACBA34">
      <w:pPr>
        <w:wordWrap w:val="0"/>
        <w:adjustRightInd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2.1.5投资总额：</w:t>
      </w:r>
      <w:r>
        <w:rPr>
          <w:rFonts w:hint="eastAsia" w:ascii="宋体" w:hAnsi="宋体" w:eastAsia="宋体"/>
          <w:color w:val="auto"/>
          <w:highlight w:val="none"/>
          <w:u w:val="single"/>
          <w:lang w:eastAsia="zh-CN"/>
        </w:rPr>
        <w:t>项目估算投资及资金来源.项目估算总投资26925.31万元以内，其中工程建设费用22740.18万元，工程建设其他费用2902.98万元，预备费1282.16万元</w:t>
      </w:r>
      <w:r>
        <w:rPr>
          <w:rFonts w:hint="eastAsia" w:ascii="宋体" w:hAnsi="宋体" w:eastAsia="宋体" w:cs="宋体"/>
          <w:color w:val="auto"/>
          <w:sz w:val="21"/>
          <w:szCs w:val="21"/>
          <w:highlight w:val="none"/>
          <w:u w:val="single"/>
        </w:rPr>
        <w:t>。</w:t>
      </w:r>
    </w:p>
    <w:p w14:paraId="237796B9">
      <w:pPr>
        <w:wordWrap w:val="0"/>
        <w:adjustRightInd w:val="0"/>
        <w:snapToGrid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2.1.6标段划分：</w:t>
      </w:r>
      <w:r>
        <w:rPr>
          <w:rFonts w:hint="eastAsia" w:ascii="宋体" w:hAnsi="宋体" w:eastAsia="宋体" w:cs="宋体"/>
          <w:color w:val="auto"/>
          <w:sz w:val="21"/>
          <w:szCs w:val="21"/>
          <w:highlight w:val="none"/>
          <w:u w:val="single"/>
        </w:rPr>
        <w:t>本项目设1个标段。</w:t>
      </w:r>
    </w:p>
    <w:p w14:paraId="1414B967">
      <w:pPr>
        <w:wordWrap w:val="0"/>
        <w:adjustRightInd w:val="0"/>
        <w:snapToGrid w:val="0"/>
        <w:spacing w:line="360" w:lineRule="auto"/>
        <w:ind w:left="0" w:leftChars="0" w:firstLine="420" w:firstLineChars="20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2.2 招标范围及招标内容：</w:t>
      </w:r>
      <w:r>
        <w:rPr>
          <w:rFonts w:hint="eastAsia" w:ascii="宋体" w:hAnsi="宋体" w:eastAsia="宋体" w:cs="宋体"/>
          <w:color w:val="auto"/>
          <w:sz w:val="21"/>
          <w:szCs w:val="21"/>
          <w:highlight w:val="none"/>
          <w:u w:val="single"/>
        </w:rPr>
        <w:t>包括但不限于</w:t>
      </w:r>
      <w:r>
        <w:rPr>
          <w:rFonts w:hint="eastAsia" w:ascii="宋体" w:hAnsi="宋体" w:cs="宋体"/>
          <w:color w:val="auto"/>
          <w:sz w:val="21"/>
          <w:szCs w:val="21"/>
          <w:highlight w:val="none"/>
          <w:u w:val="single"/>
          <w:lang w:val="en-US" w:eastAsia="zh-CN"/>
        </w:rPr>
        <w:t>以下</w:t>
      </w:r>
      <w:r>
        <w:rPr>
          <w:rFonts w:hint="eastAsia" w:ascii="宋体" w:hAnsi="宋体" w:eastAsia="宋体" w:cs="宋体"/>
          <w:color w:val="auto"/>
          <w:sz w:val="21"/>
          <w:szCs w:val="21"/>
          <w:highlight w:val="none"/>
          <w:u w:val="single"/>
        </w:rPr>
        <w:t>工作</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详细勘察</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因设计需要</w:t>
      </w:r>
      <w:r>
        <w:rPr>
          <w:rFonts w:hint="eastAsia" w:ascii="宋体" w:hAnsi="宋体" w:cs="宋体"/>
          <w:color w:val="auto"/>
          <w:sz w:val="21"/>
          <w:szCs w:val="21"/>
          <w:highlight w:val="none"/>
          <w:u w:val="single"/>
          <w:lang w:val="en-US" w:eastAsia="zh-CN"/>
        </w:rPr>
        <w:t>的</w:t>
      </w:r>
      <w:r>
        <w:rPr>
          <w:rFonts w:hint="eastAsia" w:ascii="宋体" w:hAnsi="宋体" w:eastAsia="宋体" w:cs="宋体"/>
          <w:color w:val="auto"/>
          <w:sz w:val="21"/>
          <w:szCs w:val="21"/>
          <w:highlight w:val="none"/>
          <w:u w:val="single"/>
        </w:rPr>
        <w:t>超前钻</w:t>
      </w:r>
      <w:r>
        <w:rPr>
          <w:rFonts w:hint="eastAsia" w:ascii="宋体" w:hAnsi="宋体" w:cs="宋体"/>
          <w:color w:val="auto"/>
          <w:sz w:val="21"/>
          <w:szCs w:val="21"/>
          <w:highlight w:val="none"/>
          <w:u w:val="single"/>
          <w:lang w:val="en-US" w:eastAsia="zh-CN"/>
        </w:rPr>
        <w:t>勘察</w:t>
      </w:r>
      <w:r>
        <w:rPr>
          <w:rFonts w:hint="eastAsia" w:ascii="宋体" w:hAnsi="宋体" w:eastAsia="宋体" w:cs="宋体"/>
          <w:color w:val="auto"/>
          <w:sz w:val="21"/>
          <w:szCs w:val="21"/>
          <w:highlight w:val="none"/>
          <w:u w:val="single"/>
        </w:rPr>
        <w:t>（不含施工）等</w:t>
      </w:r>
      <w:r>
        <w:rPr>
          <w:rFonts w:hint="eastAsia" w:ascii="宋体" w:hAnsi="宋体" w:cs="宋体"/>
          <w:color w:val="auto"/>
          <w:sz w:val="21"/>
          <w:szCs w:val="21"/>
          <w:highlight w:val="none"/>
          <w:u w:val="single"/>
          <w:lang w:val="en-US" w:eastAsia="zh-CN"/>
        </w:rPr>
        <w:t>工程勘察</w:t>
      </w:r>
      <w:r>
        <w:rPr>
          <w:rFonts w:hint="eastAsia" w:ascii="宋体" w:hAnsi="宋体" w:eastAsia="宋体" w:cs="宋体"/>
          <w:color w:val="auto"/>
          <w:sz w:val="21"/>
          <w:szCs w:val="21"/>
          <w:highlight w:val="none"/>
          <w:u w:val="single"/>
        </w:rPr>
        <w:t>工作</w:t>
      </w:r>
      <w:r>
        <w:rPr>
          <w:rFonts w:hint="eastAsia" w:ascii="宋体" w:hAnsi="宋体" w:eastAsia="宋体" w:cs="宋体"/>
          <w:color w:val="auto"/>
          <w:sz w:val="21"/>
          <w:szCs w:val="21"/>
          <w:highlight w:val="none"/>
          <w:u w:val="single"/>
          <w:lang w:val="en-US" w:eastAsia="zh-CN"/>
        </w:rPr>
        <w:t>。具体详见勘察任务书</w:t>
      </w:r>
      <w:r>
        <w:rPr>
          <w:rFonts w:hint="eastAsia" w:ascii="宋体" w:hAnsi="宋体" w:cs="宋体"/>
          <w:color w:val="auto"/>
          <w:sz w:val="21"/>
          <w:szCs w:val="21"/>
          <w:highlight w:val="none"/>
          <w:u w:val="single"/>
          <w:lang w:val="en-US" w:eastAsia="zh-CN"/>
        </w:rPr>
        <w:t>（如有）</w:t>
      </w:r>
      <w:r>
        <w:rPr>
          <w:rFonts w:hint="eastAsia" w:ascii="宋体" w:hAnsi="宋体" w:cs="宋体"/>
          <w:color w:val="auto"/>
          <w:sz w:val="21"/>
          <w:szCs w:val="21"/>
          <w:highlight w:val="none"/>
          <w:u w:val="single"/>
          <w:lang w:val="en-US" w:eastAsia="zh-CN"/>
        </w:rPr>
        <w:t>，最终以建设单位要求为准实施勘察工作</w:t>
      </w:r>
      <w:r>
        <w:rPr>
          <w:rFonts w:hint="eastAsia" w:ascii="宋体" w:hAnsi="宋体" w:eastAsia="宋体" w:cs="宋体"/>
          <w:color w:val="auto"/>
          <w:sz w:val="21"/>
          <w:szCs w:val="21"/>
          <w:highlight w:val="none"/>
          <w:u w:val="single"/>
          <w:lang w:val="en-US" w:eastAsia="zh-CN"/>
        </w:rPr>
        <w:t>。</w:t>
      </w:r>
    </w:p>
    <w:p w14:paraId="5E466776">
      <w:pPr>
        <w:wordWrap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2.3 </w:t>
      </w:r>
      <w:r>
        <w:rPr>
          <w:rFonts w:hint="eastAsia" w:ascii="宋体" w:hAnsi="宋体" w:cs="宋体"/>
          <w:color w:val="auto"/>
          <w:sz w:val="21"/>
          <w:szCs w:val="21"/>
          <w:highlight w:val="none"/>
          <w:lang w:eastAsia="zh-CN"/>
        </w:rPr>
        <w:t>质量标准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勘察质量须满足国家相关规范和合同要求（具体详见勘察任务书</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如有</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和勘察合同。）</w:t>
      </w:r>
    </w:p>
    <w:p w14:paraId="6FB15769">
      <w:pPr>
        <w:wordWrap w:val="0"/>
        <w:adjustRightInd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2.4 勘察服务期</w:t>
      </w:r>
      <w:r>
        <w:rPr>
          <w:rFonts w:hint="eastAsia" w:ascii="宋体" w:hAnsi="宋体" w:eastAsia="宋体" w:cs="宋体"/>
          <w:color w:val="auto"/>
          <w:sz w:val="21"/>
          <w:szCs w:val="21"/>
          <w:highlight w:val="none"/>
          <w:u w:val="single"/>
        </w:rPr>
        <w:t>（含外业和内业，出正式版勘察报告）：收到发包人发出详细勘察或超前钻的进场通知后，均在</w:t>
      </w:r>
      <w:r>
        <w:rPr>
          <w:rFonts w:hint="eastAsia" w:ascii="宋体" w:hAnsi="宋体" w:cs="宋体"/>
          <w:color w:val="auto"/>
          <w:sz w:val="21"/>
          <w:szCs w:val="21"/>
          <w:highlight w:val="none"/>
          <w:u w:val="single"/>
          <w:lang w:val="en-US" w:eastAsia="zh-CN"/>
        </w:rPr>
        <w:t>45</w:t>
      </w:r>
      <w:r>
        <w:rPr>
          <w:rFonts w:hint="eastAsia" w:ascii="宋体" w:hAnsi="宋体" w:eastAsia="宋体" w:cs="宋体"/>
          <w:color w:val="auto"/>
          <w:sz w:val="21"/>
          <w:szCs w:val="21"/>
          <w:highlight w:val="none"/>
          <w:u w:val="single"/>
        </w:rPr>
        <w:t>日历天内提交勘察成果文件</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若有需要中标人须实时定期提供勘察数据成果</w:t>
      </w:r>
      <w:r>
        <w:rPr>
          <w:rFonts w:hint="eastAsia" w:ascii="宋体" w:hAnsi="宋体" w:eastAsia="宋体" w:cs="宋体"/>
          <w:color w:val="auto"/>
          <w:sz w:val="21"/>
          <w:szCs w:val="21"/>
          <w:highlight w:val="none"/>
          <w:u w:val="single"/>
        </w:rPr>
        <w:t>。具体进场时间以发包人书面通知为准，工程延期不调整费用。</w:t>
      </w:r>
    </w:p>
    <w:p w14:paraId="2999797A">
      <w:pPr>
        <w:wordWrap w:val="0"/>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2.5 本项目最高投标限价为：</w:t>
      </w:r>
      <w:r>
        <w:rPr>
          <w:rFonts w:hint="eastAsia" w:ascii="宋体" w:hAnsi="宋体" w:cs="宋体"/>
          <w:color w:val="auto"/>
          <w:sz w:val="21"/>
          <w:szCs w:val="21"/>
          <w:highlight w:val="none"/>
          <w:u w:val="single"/>
          <w:lang w:val="en-US" w:eastAsia="zh-CN"/>
        </w:rPr>
        <w:t>732345.81</w:t>
      </w:r>
      <w:r>
        <w:rPr>
          <w:rFonts w:hint="eastAsia" w:ascii="宋体" w:hAnsi="宋体" w:eastAsia="宋体" w:cs="宋体"/>
          <w:color w:val="auto"/>
          <w:sz w:val="21"/>
          <w:szCs w:val="21"/>
          <w:highlight w:val="none"/>
          <w:u w:val="single"/>
        </w:rPr>
        <w:t>元。</w:t>
      </w:r>
    </w:p>
    <w:p w14:paraId="37A3F7B9">
      <w:pPr>
        <w:wordWrap w:val="0"/>
        <w:adjustRightInd w:val="0"/>
        <w:snapToGrid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注：其中工程量清单的综合单价限价详见招标文件第五章《</w:t>
      </w:r>
      <w:r>
        <w:rPr>
          <w:rFonts w:hint="eastAsia" w:ascii="宋体" w:hAnsi="宋体" w:cs="宋体"/>
          <w:color w:val="auto"/>
          <w:sz w:val="21"/>
          <w:szCs w:val="21"/>
          <w:highlight w:val="none"/>
          <w:lang w:val="en-US" w:eastAsia="zh-CN"/>
        </w:rPr>
        <w:t>勘察</w:t>
      </w:r>
      <w:r>
        <w:rPr>
          <w:rFonts w:hint="eastAsia" w:ascii="宋体" w:hAnsi="宋体" w:eastAsia="宋体" w:cs="宋体"/>
          <w:color w:val="auto"/>
          <w:sz w:val="21"/>
          <w:szCs w:val="21"/>
          <w:highlight w:val="none"/>
          <w:lang w:val="en-US" w:eastAsia="zh-CN"/>
        </w:rPr>
        <w:t>清单》。</w:t>
      </w:r>
    </w:p>
    <w:p w14:paraId="7F4502C2">
      <w:pPr>
        <w:wordWrap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投标人在总价及工程量清单综合单价的最高投标限价以内（含本数）自行填报，超出相应最高投标限价的报价作废标处理。</w:t>
      </w:r>
      <w:r>
        <w:rPr>
          <w:rFonts w:hint="eastAsia" w:ascii="宋体" w:hAnsi="宋体" w:eastAsia="宋体" w:cs="宋体"/>
          <w:color w:val="auto"/>
          <w:sz w:val="21"/>
          <w:szCs w:val="21"/>
          <w:highlight w:val="none"/>
        </w:rPr>
        <w:t>。</w:t>
      </w:r>
    </w:p>
    <w:p w14:paraId="2D520ACA">
      <w:pPr>
        <w:pStyle w:val="19"/>
        <w:wordWrap w:val="0"/>
        <w:snapToGrid w:val="0"/>
        <w:spacing w:line="360" w:lineRule="auto"/>
        <w:ind w:firstLine="420" w:firstLineChars="200"/>
        <w:rPr>
          <w:rFonts w:hint="eastAsia" w:ascii="宋体" w:hAnsi="宋体" w:eastAsia="宋体" w:cs="宋体"/>
          <w:color w:val="auto"/>
          <w:sz w:val="21"/>
          <w:szCs w:val="21"/>
          <w:highlight w:val="none"/>
        </w:rPr>
      </w:pPr>
    </w:p>
    <w:p w14:paraId="095A2282">
      <w:pPr>
        <w:widowControl/>
        <w:numPr>
          <w:ilvl w:val="0"/>
          <w:numId w:val="1"/>
        </w:numPr>
        <w:tabs>
          <w:tab w:val="left" w:pos="760"/>
        </w:tabs>
        <w:wordWrap w:val="0"/>
        <w:adjustRightInd w:val="0"/>
        <w:snapToGrid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投标人资格要求</w:t>
      </w:r>
    </w:p>
    <w:p w14:paraId="06CB042A">
      <w:pPr>
        <w:wordWrap w:val="0"/>
        <w:autoSpaceDE w:val="0"/>
        <w:autoSpaceDN w:val="0"/>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3.1 </w:t>
      </w:r>
      <w:r>
        <w:rPr>
          <w:rFonts w:hint="eastAsia" w:ascii="宋体" w:hAnsi="宋体" w:eastAsia="宋体" w:cs="宋体"/>
          <w:color w:val="auto"/>
          <w:kern w:val="0"/>
          <w:sz w:val="21"/>
          <w:szCs w:val="21"/>
          <w:highlight w:val="none"/>
        </w:rPr>
        <w:t>投标人参加投标的意思表达清楚，投标人代表被授权有效。</w:t>
      </w:r>
    </w:p>
    <w:p w14:paraId="37F9ED5A">
      <w:pPr>
        <w:wordWrap w:val="0"/>
        <w:autoSpaceDE w:val="0"/>
        <w:autoSpaceDN w:val="0"/>
        <w:adjustRightInd w:val="0"/>
        <w:snapToGrid w:val="0"/>
        <w:spacing w:line="360" w:lineRule="auto"/>
        <w:ind w:firstLine="420" w:firstLineChars="20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3.2 投标人均具有独立法人资格，持有有效的工商行政管理部门核发的法人营业执照，按国家法律经营。</w:t>
      </w:r>
      <w:r>
        <w:rPr>
          <w:rFonts w:hint="eastAsia" w:ascii="宋体" w:hAnsi="宋体" w:eastAsia="宋体" w:cs="宋体"/>
          <w:color w:val="auto"/>
          <w:kern w:val="0"/>
          <w:sz w:val="21"/>
          <w:szCs w:val="21"/>
          <w:highlight w:val="none"/>
          <w:u w:val="single"/>
        </w:rPr>
        <w:t>香港企业提供在香港进行商业登记的证明文书。</w:t>
      </w:r>
    </w:p>
    <w:p w14:paraId="52986EB3">
      <w:pPr>
        <w:wordWrap w:val="0"/>
        <w:autoSpaceDE w:val="0"/>
        <w:autoSpaceDN w:val="0"/>
        <w:adjustRightInd w:val="0"/>
        <w:snapToGrid w:val="0"/>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3.3 投标人</w:t>
      </w:r>
      <w:r>
        <w:rPr>
          <w:rFonts w:hint="eastAsia" w:ascii="宋体" w:hAnsi="宋体" w:eastAsia="宋体" w:cs="宋体"/>
          <w:color w:val="auto"/>
          <w:kern w:val="0"/>
          <w:sz w:val="21"/>
          <w:szCs w:val="21"/>
          <w:highlight w:val="none"/>
          <w:u w:val="none"/>
        </w:rPr>
        <w:t>与招标人</w:t>
      </w:r>
      <w:r>
        <w:rPr>
          <w:rFonts w:hint="eastAsia" w:ascii="宋体" w:hAnsi="宋体" w:eastAsia="宋体" w:cs="宋体"/>
          <w:color w:val="auto"/>
          <w:kern w:val="0"/>
          <w:sz w:val="21"/>
          <w:szCs w:val="21"/>
          <w:highlight w:val="none"/>
        </w:rPr>
        <w:t>在过去3年内无合同履约纠纷，没有不得参加投标的情形</w:t>
      </w:r>
      <w:r>
        <w:rPr>
          <w:rFonts w:hint="eastAsia" w:ascii="宋体" w:hAnsi="宋体" w:eastAsia="宋体" w:cs="宋体"/>
          <w:color w:val="auto"/>
          <w:kern w:val="0"/>
          <w:sz w:val="21"/>
          <w:szCs w:val="21"/>
          <w:highlight w:val="none"/>
          <w:lang w:eastAsia="zh-CN"/>
        </w:rPr>
        <w:t>。</w:t>
      </w:r>
    </w:p>
    <w:p w14:paraId="26C96951">
      <w:pPr>
        <w:autoSpaceDE w:val="0"/>
        <w:autoSpaceDN w:val="0"/>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[注释] 合同履约纠纷是指招标人过去3年内曾与投标人签订合同，并且对投标人不满意。不得参加投标的情形详见招标文件第二章投标人须知第1.4.</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条。</w:t>
      </w:r>
    </w:p>
    <w:p w14:paraId="3F996FEE">
      <w:pPr>
        <w:wordWrap w:val="0"/>
        <w:autoSpaceDE w:val="0"/>
        <w:autoSpaceDN w:val="0"/>
        <w:adjustRightInd w:val="0"/>
        <w:snapToGrid w:val="0"/>
        <w:spacing w:line="360" w:lineRule="auto"/>
        <w:ind w:firstLine="420" w:firstLineChars="200"/>
        <w:rPr>
          <w:rFonts w:hint="eastAsia" w:ascii="宋体" w:hAnsi="宋体" w:eastAsia="宋体" w:cs="宋体"/>
          <w:color w:val="auto"/>
          <w:spacing w:val="9"/>
          <w:kern w:val="0"/>
          <w:sz w:val="21"/>
          <w:szCs w:val="21"/>
          <w:highlight w:val="none"/>
          <w:u w:val="single"/>
        </w:rPr>
      </w:pPr>
      <w:r>
        <w:rPr>
          <w:rFonts w:hint="eastAsia" w:ascii="宋体" w:hAnsi="宋体" w:eastAsia="宋体" w:cs="宋体"/>
          <w:color w:val="auto"/>
          <w:kern w:val="0"/>
          <w:sz w:val="21"/>
          <w:szCs w:val="21"/>
          <w:highlight w:val="none"/>
        </w:rPr>
        <w:t xml:space="preserve">3.4 </w:t>
      </w:r>
      <w:r>
        <w:rPr>
          <w:rFonts w:hint="eastAsia" w:ascii="宋体" w:hAnsi="宋体" w:eastAsia="宋体" w:cs="宋体"/>
          <w:color w:val="auto"/>
          <w:spacing w:val="9"/>
          <w:kern w:val="0"/>
          <w:sz w:val="21"/>
          <w:szCs w:val="21"/>
          <w:highlight w:val="none"/>
        </w:rPr>
        <w:t>投标人须具备</w:t>
      </w:r>
      <w:r>
        <w:rPr>
          <w:rFonts w:hint="eastAsia" w:ascii="宋体" w:hAnsi="宋体" w:eastAsia="宋体" w:cs="宋体"/>
          <w:color w:val="auto"/>
          <w:spacing w:val="9"/>
          <w:kern w:val="0"/>
          <w:sz w:val="21"/>
          <w:szCs w:val="21"/>
          <w:highlight w:val="none"/>
          <w:u w:val="single"/>
        </w:rPr>
        <w:t>建设行政主管部门颁发的</w:t>
      </w:r>
      <w:r>
        <w:rPr>
          <w:rFonts w:hint="eastAsia" w:ascii="宋体" w:hAnsi="宋体" w:eastAsia="宋体" w:cs="宋体"/>
          <w:color w:val="auto"/>
          <w:spacing w:val="9"/>
          <w:kern w:val="0"/>
          <w:sz w:val="21"/>
          <w:szCs w:val="21"/>
          <w:highlight w:val="none"/>
          <w:u w:val="single"/>
          <w:lang w:val="en-US" w:eastAsia="zh-CN"/>
        </w:rPr>
        <w:t>有效期内的</w:t>
      </w:r>
      <w:r>
        <w:rPr>
          <w:rFonts w:hint="eastAsia" w:ascii="宋体" w:hAnsi="宋体" w:eastAsia="宋体" w:cs="宋体"/>
          <w:color w:val="auto"/>
          <w:spacing w:val="9"/>
          <w:kern w:val="0"/>
          <w:sz w:val="21"/>
          <w:szCs w:val="21"/>
          <w:highlight w:val="none"/>
          <w:u w:val="single"/>
        </w:rPr>
        <w:t>工程勘察综合甲级资质</w:t>
      </w:r>
      <w:r>
        <w:rPr>
          <w:rFonts w:hint="eastAsia" w:ascii="宋体" w:hAnsi="宋体" w:eastAsia="宋体" w:cs="宋体"/>
          <w:color w:val="auto"/>
          <w:spacing w:val="9"/>
          <w:kern w:val="0"/>
          <w:sz w:val="21"/>
          <w:szCs w:val="21"/>
          <w:highlight w:val="none"/>
          <w:u w:val="single"/>
          <w:lang w:val="en-US" w:eastAsia="zh-CN"/>
        </w:rPr>
        <w:t>或</w:t>
      </w:r>
      <w:r>
        <w:rPr>
          <w:rFonts w:hint="eastAsia" w:ascii="宋体" w:hAnsi="宋体" w:eastAsia="宋体" w:cs="宋体"/>
          <w:color w:val="auto"/>
          <w:spacing w:val="9"/>
          <w:kern w:val="0"/>
          <w:sz w:val="21"/>
          <w:szCs w:val="21"/>
          <w:highlight w:val="none"/>
          <w:u w:val="single"/>
        </w:rPr>
        <w:t>工程勘察专业类（岩土工程）甲级资质</w:t>
      </w:r>
      <w:r>
        <w:rPr>
          <w:rFonts w:hint="eastAsia" w:ascii="宋体" w:hAnsi="宋体" w:cs="宋体"/>
          <w:color w:val="auto"/>
          <w:spacing w:val="9"/>
          <w:kern w:val="0"/>
          <w:sz w:val="21"/>
          <w:szCs w:val="21"/>
          <w:highlight w:val="none"/>
          <w:u w:val="single"/>
          <w:lang w:val="en-US" w:eastAsia="zh-CN"/>
        </w:rPr>
        <w:t>或</w:t>
      </w:r>
      <w:r>
        <w:rPr>
          <w:rFonts w:hint="eastAsia" w:ascii="宋体" w:hAnsi="宋体" w:eastAsia="宋体" w:cs="宋体"/>
          <w:color w:val="auto"/>
          <w:spacing w:val="9"/>
          <w:kern w:val="0"/>
          <w:sz w:val="21"/>
          <w:szCs w:val="21"/>
          <w:highlight w:val="none"/>
          <w:u w:val="single"/>
        </w:rPr>
        <w:t>工程勘察专业类（岩土工程（分项</w:t>
      </w:r>
      <w:r>
        <w:rPr>
          <w:rFonts w:hint="eastAsia" w:ascii="宋体" w:hAnsi="宋体" w:eastAsia="宋体" w:cs="宋体"/>
          <w:color w:val="auto"/>
          <w:spacing w:val="9"/>
          <w:kern w:val="0"/>
          <w:sz w:val="21"/>
          <w:szCs w:val="21"/>
          <w:highlight w:val="none"/>
          <w:u w:val="single"/>
          <w:lang w:eastAsia="zh-CN"/>
        </w:rPr>
        <w:t>：</w:t>
      </w:r>
      <w:r>
        <w:rPr>
          <w:rFonts w:hint="eastAsia" w:ascii="宋体" w:hAnsi="宋体" w:eastAsia="宋体" w:cs="宋体"/>
          <w:color w:val="auto"/>
          <w:spacing w:val="9"/>
          <w:kern w:val="0"/>
          <w:sz w:val="21"/>
          <w:szCs w:val="21"/>
          <w:highlight w:val="none"/>
          <w:u w:val="single"/>
        </w:rPr>
        <w:t>岩土工程勘察））甲级资质。</w:t>
      </w:r>
    </w:p>
    <w:p w14:paraId="2D45BD78">
      <w:pPr>
        <w:wordWrap w:val="0"/>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注：（1）国内申请人具体资质要求按照《建设工程勘察设计资质管理规定》（建设部令第160号）、《工程勘察资质分级标准》（建设[2001]22号）、《工程勘察、工程设计资质分级标准补充规定》（建设〔2001〕178号）、《建设工程勘察设计资质管理规定实施意见》（建市[2007]202号）、《工程勘察资质标准》（建市[2013]9号）填写</w:t>
      </w:r>
      <w:r>
        <w:rPr>
          <w:rFonts w:hint="eastAsia" w:ascii="宋体" w:hAnsi="宋体" w:eastAsia="宋体" w:cs="宋体"/>
          <w:color w:val="auto"/>
          <w:kern w:val="0"/>
          <w:sz w:val="21"/>
          <w:szCs w:val="21"/>
          <w:highlight w:val="none"/>
          <w:lang w:eastAsia="zh-CN"/>
        </w:rPr>
        <w:t>。</w:t>
      </w:r>
    </w:p>
    <w:p w14:paraId="5E395B47">
      <w:pPr>
        <w:wordWrap w:val="0"/>
        <w:adjustRightInd w:val="0"/>
        <w:snapToGrid w:val="0"/>
        <w:spacing w:line="360" w:lineRule="auto"/>
        <w:ind w:firstLine="420" w:firstLineChars="200"/>
        <w:jc w:val="left"/>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rPr>
        <w:t>（2）工程勘察企业资质证书有效期按《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住房城乡建设部办公厅关于做好有关建设工程企业资质证书换领和延续工作的通知》（建办市〔2023〕47号）等相关规定执行。根据上述文件的要求，投标人需办理企业资</w:t>
      </w:r>
      <w:r>
        <w:rPr>
          <w:rFonts w:hint="eastAsia" w:ascii="宋体" w:hAnsi="宋体" w:eastAsia="宋体" w:cs="宋体"/>
          <w:color w:val="auto"/>
          <w:kern w:val="0"/>
          <w:sz w:val="21"/>
          <w:szCs w:val="21"/>
          <w:highlight w:val="none"/>
          <w:u w:val="none"/>
        </w:rPr>
        <w:t>质有效期延续的，应当按照相关规定及时办理。</w:t>
      </w:r>
    </w:p>
    <w:p w14:paraId="3BBB64C3">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（3）</w:t>
      </w:r>
      <w:r>
        <w:rPr>
          <w:rFonts w:hint="eastAsia" w:ascii="宋体" w:hAnsi="宋体" w:eastAsia="宋体" w:cs="宋体"/>
          <w:color w:val="auto"/>
          <w:sz w:val="21"/>
          <w:szCs w:val="21"/>
          <w:highlight w:val="none"/>
          <w:u w:val="none"/>
        </w:rPr>
        <w:t>香港企业独立参加投标的，须在广东省住房和城乡建设主管部门备案且备案的业务范围应符合本招标项目对工程勘察资质的要求</w:t>
      </w:r>
      <w:r>
        <w:rPr>
          <w:rFonts w:hint="eastAsia" w:ascii="宋体" w:hAnsi="宋体" w:eastAsia="宋体" w:cs="宋体"/>
          <w:color w:val="auto"/>
          <w:kern w:val="0"/>
          <w:sz w:val="21"/>
          <w:szCs w:val="21"/>
          <w:highlight w:val="none"/>
          <w:u w:val="none"/>
        </w:rPr>
        <w:t>。</w:t>
      </w:r>
    </w:p>
    <w:p w14:paraId="7F7A4094">
      <w:pPr>
        <w:wordWrap w:val="0"/>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香港企业备案的业务范围依据《广东省住房和城乡建设厅关于印发香港工程建设咨询企业和专业人士在粤港澳大湾区内地城市开业执业试点管理暂行办法的通知》（粤建规范〔2020〕1号，详见链接：</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"http://zfcxjst.gd.gov.cn/xxgk/wjtz/content/post_3137220.html）确定。香港企业须提供满足招标文件要求的相应资质证书及备案证明资料扫描件。"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0"/>
          <w:sz w:val="21"/>
          <w:szCs w:val="21"/>
          <w:highlight w:val="none"/>
        </w:rPr>
        <w:t>http://zfcxjst.gd.gov.cn/xxgk/wjtz/content/post_3137220.html）确定。香港企业须提供满足招标文件要求的相应资质证书及备案证明资料扫描件。</w:t>
      </w:r>
      <w:r>
        <w:rPr>
          <w:rFonts w:hint="eastAsia" w:ascii="宋体" w:hAnsi="宋体" w:eastAsia="宋体" w:cs="宋体"/>
          <w:color w:val="auto"/>
          <w:kern w:val="0"/>
          <w:sz w:val="21"/>
          <w:szCs w:val="21"/>
          <w:highlight w:val="none"/>
        </w:rPr>
        <w:fldChar w:fldCharType="end"/>
      </w:r>
    </w:p>
    <w:p w14:paraId="5E0944D3">
      <w:pPr>
        <w:wordWrap w:val="0"/>
        <w:autoSpaceDE w:val="0"/>
        <w:autoSpaceDN w:val="0"/>
        <w:adjustRightInd w:val="0"/>
        <w:snapToGrid w:val="0"/>
        <w:spacing w:line="360" w:lineRule="auto"/>
        <w:ind w:firstLine="448" w:firstLineChars="200"/>
        <w:rPr>
          <w:rFonts w:hint="eastAsia" w:ascii="宋体" w:hAnsi="宋体" w:eastAsia="宋体" w:cs="宋体"/>
          <w:color w:val="auto"/>
          <w:spacing w:val="7"/>
          <w:kern w:val="0"/>
          <w:sz w:val="21"/>
          <w:szCs w:val="21"/>
          <w:highlight w:val="none"/>
        </w:rPr>
      </w:pPr>
      <w:r>
        <w:rPr>
          <w:rFonts w:hint="eastAsia" w:ascii="宋体" w:hAnsi="宋体" w:eastAsia="宋体" w:cs="宋体"/>
          <w:color w:val="auto"/>
          <w:spacing w:val="7"/>
          <w:kern w:val="0"/>
          <w:sz w:val="21"/>
          <w:szCs w:val="21"/>
          <w:highlight w:val="none"/>
        </w:rPr>
        <w:t>3.6</w:t>
      </w:r>
      <w:r>
        <w:rPr>
          <w:rFonts w:hint="eastAsia" w:ascii="宋体" w:hAnsi="宋体" w:cs="宋体"/>
          <w:color w:val="auto"/>
          <w:spacing w:val="7"/>
          <w:kern w:val="0"/>
          <w:sz w:val="21"/>
          <w:szCs w:val="21"/>
          <w:highlight w:val="none"/>
          <w:lang w:val="en-US" w:eastAsia="zh-CN"/>
        </w:rPr>
        <w:t xml:space="preserve"> </w:t>
      </w:r>
      <w:r>
        <w:rPr>
          <w:rFonts w:hint="eastAsia" w:ascii="宋体" w:hAnsi="宋体" w:eastAsia="宋体" w:cs="宋体"/>
          <w:color w:val="auto"/>
          <w:spacing w:val="7"/>
          <w:kern w:val="0"/>
          <w:sz w:val="21"/>
          <w:szCs w:val="21"/>
          <w:highlight w:val="none"/>
        </w:rPr>
        <w:t>投标人已在广州市住建行业信用管理平台建立企业信用档案，拟委派的项目负责人须是本企业信用档案中的在册人员。（信用档案办理详见《广州市住建行业信用管理平台勘察企业信息录入办理指引》http://zfcj.gz.gov.cn/zwgk/zsdwxxgkzl/gzsjzyglfwzx/bszy/content/post_8077254.html</w:t>
      </w:r>
      <w:r>
        <w:rPr>
          <w:rFonts w:hint="eastAsia" w:ascii="宋体" w:hAnsi="宋体" w:eastAsia="宋体" w:cs="宋体"/>
          <w:color w:val="auto"/>
          <w:spacing w:val="7"/>
          <w:kern w:val="0"/>
          <w:sz w:val="21"/>
          <w:szCs w:val="21"/>
          <w:highlight w:val="none"/>
          <w:lang w:eastAsia="zh-CN"/>
        </w:rPr>
        <w:t>）</w:t>
      </w:r>
      <w:r>
        <w:rPr>
          <w:rFonts w:hint="eastAsia" w:ascii="宋体" w:hAnsi="宋体" w:eastAsia="宋体" w:cs="宋体"/>
          <w:color w:val="auto"/>
          <w:spacing w:val="7"/>
          <w:kern w:val="0"/>
          <w:sz w:val="21"/>
          <w:szCs w:val="21"/>
          <w:highlight w:val="none"/>
        </w:rPr>
        <w:t>。</w:t>
      </w:r>
    </w:p>
    <w:p w14:paraId="065B2410">
      <w:pPr>
        <w:wordWrap w:val="0"/>
        <w:adjustRightInd w:val="0"/>
        <w:snapToGrid w:val="0"/>
        <w:spacing w:line="360" w:lineRule="auto"/>
        <w:ind w:firstLine="448"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pacing w:val="7"/>
          <w:kern w:val="0"/>
          <w:sz w:val="21"/>
          <w:szCs w:val="21"/>
          <w:highlight w:val="none"/>
          <w:u w:val="none"/>
        </w:rPr>
        <w:t>3.7</w:t>
      </w:r>
      <w:r>
        <w:rPr>
          <w:rFonts w:hint="eastAsia" w:ascii="宋体" w:hAnsi="宋体" w:eastAsia="宋体" w:cs="宋体"/>
          <w:color w:val="auto"/>
          <w:sz w:val="21"/>
          <w:szCs w:val="21"/>
          <w:highlight w:val="none"/>
          <w:u w:val="none"/>
        </w:rPr>
        <w:t>本次招标</w:t>
      </w:r>
      <w:r>
        <w:rPr>
          <w:rFonts w:hint="eastAsia" w:ascii="宋体" w:hAnsi="宋体" w:eastAsia="宋体" w:cs="宋体"/>
          <w:color w:val="auto"/>
          <w:sz w:val="21"/>
          <w:szCs w:val="21"/>
          <w:highlight w:val="none"/>
          <w:u w:val="none"/>
          <w:lang w:val="en-US" w:eastAsia="zh-CN"/>
        </w:rPr>
        <w:t>不</w:t>
      </w:r>
      <w:r>
        <w:rPr>
          <w:rFonts w:hint="eastAsia" w:ascii="宋体" w:hAnsi="宋体" w:eastAsia="宋体" w:cs="宋体"/>
          <w:color w:val="auto"/>
          <w:sz w:val="21"/>
          <w:szCs w:val="21"/>
          <w:highlight w:val="none"/>
          <w:u w:val="none"/>
        </w:rPr>
        <w:t>接受联合体投标。</w:t>
      </w:r>
    </w:p>
    <w:p w14:paraId="287F75F9">
      <w:pPr>
        <w:wordWrap w:val="0"/>
        <w:adjustRightInd w:val="0"/>
        <w:snapToGrid w:val="0"/>
        <w:spacing w:line="360" w:lineRule="auto"/>
        <w:ind w:firstLine="448" w:firstLineChars="200"/>
        <w:rPr>
          <w:rFonts w:hint="eastAsia" w:ascii="宋体" w:hAnsi="宋体" w:eastAsia="宋体" w:cs="宋体"/>
          <w:color w:val="auto"/>
          <w:spacing w:val="7"/>
          <w:kern w:val="0"/>
          <w:sz w:val="21"/>
          <w:szCs w:val="21"/>
          <w:highlight w:val="none"/>
          <w:u w:val="none"/>
        </w:rPr>
      </w:pPr>
      <w:r>
        <w:rPr>
          <w:rFonts w:hint="eastAsia" w:ascii="宋体" w:hAnsi="宋体" w:eastAsia="宋体" w:cs="宋体"/>
          <w:color w:val="auto"/>
          <w:spacing w:val="7"/>
          <w:kern w:val="0"/>
          <w:sz w:val="21"/>
          <w:szCs w:val="21"/>
          <w:highlight w:val="none"/>
          <w:u w:val="none"/>
        </w:rPr>
        <w:t>3.</w:t>
      </w:r>
      <w:r>
        <w:rPr>
          <w:rFonts w:hint="eastAsia" w:ascii="宋体" w:hAnsi="宋体" w:eastAsia="宋体" w:cs="宋体"/>
          <w:color w:val="auto"/>
          <w:spacing w:val="7"/>
          <w:kern w:val="0"/>
          <w:sz w:val="21"/>
          <w:szCs w:val="21"/>
          <w:highlight w:val="none"/>
          <w:u w:val="none"/>
          <w:lang w:val="en-US" w:eastAsia="zh-CN"/>
        </w:rPr>
        <w:t>8</w:t>
      </w:r>
      <w:r>
        <w:rPr>
          <w:rFonts w:hint="eastAsia" w:ascii="宋体" w:hAnsi="宋体" w:eastAsia="宋体" w:cs="宋体"/>
          <w:color w:val="auto"/>
          <w:spacing w:val="7"/>
          <w:kern w:val="0"/>
          <w:sz w:val="21"/>
          <w:szCs w:val="21"/>
          <w:highlight w:val="none"/>
          <w:u w:val="none"/>
        </w:rPr>
        <w:t>投标人委派的项目负责人须具备注册土木工程师（岩土）注册证书或备案的业务范围相当于注册土木工程师（岩土）的香港专业人士资格。</w:t>
      </w:r>
    </w:p>
    <w:p w14:paraId="17C7BD38">
      <w:pPr>
        <w:wordWrap w:val="0"/>
        <w:autoSpaceDE w:val="0"/>
        <w:autoSpaceDN w:val="0"/>
        <w:adjustRightInd w:val="0"/>
        <w:snapToGrid w:val="0"/>
        <w:spacing w:line="360" w:lineRule="auto"/>
        <w:ind w:firstLine="448" w:firstLineChars="200"/>
        <w:rPr>
          <w:rFonts w:hint="eastAsia" w:ascii="宋体" w:hAnsi="宋体" w:eastAsia="宋体" w:cs="宋体"/>
          <w:color w:val="auto"/>
          <w:spacing w:val="7"/>
          <w:kern w:val="0"/>
          <w:sz w:val="21"/>
          <w:szCs w:val="21"/>
          <w:highlight w:val="none"/>
        </w:rPr>
      </w:pPr>
      <w:r>
        <w:rPr>
          <w:rFonts w:hint="eastAsia" w:ascii="宋体" w:hAnsi="宋体" w:eastAsia="宋体" w:cs="宋体"/>
          <w:color w:val="auto"/>
          <w:spacing w:val="7"/>
          <w:kern w:val="0"/>
          <w:sz w:val="21"/>
          <w:szCs w:val="21"/>
          <w:highlight w:val="none"/>
        </w:rPr>
        <w:t>注：香港专业人士的备案业务范围依据《广东省住房和城乡建设厅关于印发香港工程建设咨询企业和专业人士在粤港澳大湾区内地城市开业执业试点管理暂行办法的通知》（粤建规范〔2021〕1号）确定）。香港专业人士须提供满足招标文件要求的相应执业证书及备案证明资料扫描件。</w:t>
      </w:r>
    </w:p>
    <w:p w14:paraId="16A6BE3B">
      <w:pPr>
        <w:wordWrap w:val="0"/>
        <w:adjustRightInd w:val="0"/>
        <w:snapToGrid w:val="0"/>
        <w:spacing w:line="360" w:lineRule="auto"/>
        <w:ind w:firstLine="420" w:firstLineChars="200"/>
        <w:rPr>
          <w:rFonts w:hint="eastAsia" w:ascii="宋体" w:hAnsi="宋体" w:eastAsia="宋体" w:cs="宋体"/>
          <w:color w:val="auto"/>
          <w:sz w:val="21"/>
          <w:szCs w:val="21"/>
          <w:highlight w:val="none"/>
          <w:u w:val="none"/>
          <w:lang w:bidi="ar"/>
        </w:rPr>
      </w:pPr>
      <w:r>
        <w:rPr>
          <w:rFonts w:hint="eastAsia" w:ascii="宋体" w:hAnsi="宋体" w:eastAsia="宋体" w:cs="宋体"/>
          <w:color w:val="auto"/>
          <w:sz w:val="21"/>
          <w:szCs w:val="21"/>
          <w:highlight w:val="none"/>
          <w:u w:val="none"/>
        </w:rPr>
        <w:t>3.</w:t>
      </w:r>
      <w:r>
        <w:rPr>
          <w:rFonts w:hint="eastAsia" w:ascii="宋体" w:hAnsi="宋体" w:eastAsia="宋体" w:cs="宋体"/>
          <w:color w:val="auto"/>
          <w:sz w:val="21"/>
          <w:szCs w:val="21"/>
          <w:highlight w:val="none"/>
          <w:u w:val="none"/>
          <w:lang w:val="en-US" w:eastAsia="zh-CN"/>
        </w:rPr>
        <w:t>9</w:t>
      </w:r>
      <w:r>
        <w:rPr>
          <w:rFonts w:hint="eastAsia" w:ascii="宋体" w:hAnsi="宋体" w:eastAsia="宋体" w:cs="宋体"/>
          <w:color w:val="auto"/>
          <w:sz w:val="21"/>
          <w:szCs w:val="21"/>
          <w:highlight w:val="none"/>
          <w:u w:val="none"/>
          <w:lang w:bidi="ar"/>
        </w:rPr>
        <w:t>投标人没有招标文件第二章第1.4.3项规定的任何一种情形（根据《投标人声明》进行评审），投标人须按《投标人声明》规定的格式填写并加盖投标人</w:t>
      </w:r>
      <w:r>
        <w:rPr>
          <w:rFonts w:hint="eastAsia" w:ascii="宋体" w:hAnsi="宋体" w:eastAsia="宋体" w:cs="宋体"/>
          <w:color w:val="auto"/>
          <w:sz w:val="21"/>
          <w:szCs w:val="21"/>
          <w:highlight w:val="none"/>
          <w:u w:val="none"/>
          <w:lang w:val="en-US" w:eastAsia="zh-CN" w:bidi="ar"/>
        </w:rPr>
        <w:t>电子印</w:t>
      </w:r>
      <w:r>
        <w:rPr>
          <w:rFonts w:hint="eastAsia" w:ascii="宋体" w:hAnsi="宋体" w:eastAsia="宋体" w:cs="宋体"/>
          <w:color w:val="auto"/>
          <w:sz w:val="21"/>
          <w:szCs w:val="21"/>
          <w:highlight w:val="none"/>
          <w:u w:val="none"/>
          <w:lang w:bidi="ar"/>
        </w:rPr>
        <w:t>章）。</w:t>
      </w:r>
    </w:p>
    <w:p w14:paraId="288E1233">
      <w:pPr>
        <w:wordWrap w:val="0"/>
        <w:autoSpaceDE w:val="0"/>
        <w:autoSpaceDN w:val="0"/>
        <w:adjustRightInd w:val="0"/>
        <w:snapToGrid w:val="0"/>
        <w:spacing w:line="360" w:lineRule="auto"/>
        <w:ind w:firstLine="448" w:firstLineChars="200"/>
        <w:rPr>
          <w:rFonts w:hint="eastAsia" w:ascii="宋体" w:hAnsi="宋体" w:eastAsia="宋体" w:cs="宋体"/>
          <w:color w:val="auto"/>
          <w:spacing w:val="7"/>
          <w:kern w:val="0"/>
          <w:sz w:val="21"/>
          <w:szCs w:val="21"/>
          <w:highlight w:val="none"/>
        </w:rPr>
      </w:pPr>
      <w:r>
        <w:rPr>
          <w:rFonts w:hint="eastAsia" w:ascii="宋体" w:hAnsi="宋体" w:eastAsia="宋体" w:cs="宋体"/>
          <w:color w:val="auto"/>
          <w:spacing w:val="7"/>
          <w:kern w:val="0"/>
          <w:sz w:val="21"/>
          <w:szCs w:val="21"/>
          <w:highlight w:val="none"/>
        </w:rPr>
        <w:t>3.1</w:t>
      </w:r>
      <w:r>
        <w:rPr>
          <w:rFonts w:hint="eastAsia" w:ascii="宋体" w:hAnsi="宋体" w:eastAsia="宋体" w:cs="宋体"/>
          <w:color w:val="auto"/>
          <w:spacing w:val="7"/>
          <w:kern w:val="0"/>
          <w:sz w:val="21"/>
          <w:szCs w:val="21"/>
          <w:highlight w:val="none"/>
          <w:lang w:val="en-US" w:eastAsia="zh-CN"/>
        </w:rPr>
        <w:t>0</w:t>
      </w:r>
      <w:r>
        <w:rPr>
          <w:rFonts w:hint="eastAsia" w:ascii="宋体" w:hAnsi="宋体" w:eastAsia="宋体" w:cs="宋体"/>
          <w:color w:val="auto"/>
          <w:spacing w:val="7"/>
          <w:kern w:val="0"/>
          <w:sz w:val="21"/>
          <w:szCs w:val="21"/>
          <w:highlight w:val="none"/>
        </w:rPr>
        <w:t>信誉要求：</w:t>
      </w:r>
      <w:r>
        <w:rPr>
          <w:rFonts w:hint="eastAsia" w:ascii="宋体" w:hAnsi="宋体" w:eastAsia="宋体" w:cs="宋体"/>
          <w:color w:val="auto"/>
          <w:spacing w:val="7"/>
          <w:kern w:val="0"/>
          <w:sz w:val="21"/>
          <w:szCs w:val="21"/>
          <w:highlight w:val="none"/>
          <w:lang w:bidi="ar"/>
        </w:rPr>
        <w:t>未被列入拖欠农民工工资失信联合惩戒对象名单</w:t>
      </w:r>
      <w:r>
        <w:rPr>
          <w:rFonts w:hint="eastAsia" w:ascii="宋体" w:hAnsi="宋体" w:eastAsia="宋体" w:cs="宋体"/>
          <w:color w:val="auto"/>
          <w:spacing w:val="7"/>
          <w:kern w:val="0"/>
          <w:sz w:val="21"/>
          <w:szCs w:val="21"/>
          <w:highlight w:val="none"/>
        </w:rPr>
        <w:t>。（按广州交易集团有限公司（广州公共资源交易中心）交易系统比对结果进行评审。）</w:t>
      </w:r>
      <w:r>
        <w:rPr>
          <w:rFonts w:hint="eastAsia" w:ascii="宋体" w:hAnsi="宋体"/>
          <w:color w:val="auto"/>
          <w:highlight w:val="none"/>
          <w:u w:val="none"/>
        </w:rPr>
        <w:t>未处于被招标人拒绝投标的限制期内（名单详见招标公告附件</w:t>
      </w:r>
      <w:r>
        <w:rPr>
          <w:rFonts w:hint="eastAsia" w:ascii="宋体" w:hAnsi="宋体"/>
          <w:color w:val="auto"/>
          <w:highlight w:val="none"/>
          <w:u w:val="none"/>
          <w:lang w:eastAsia="zh-CN"/>
        </w:rPr>
        <w:t>2</w:t>
      </w:r>
      <w:r>
        <w:rPr>
          <w:rFonts w:hint="eastAsia" w:ascii="宋体" w:hAnsi="宋体"/>
          <w:color w:val="auto"/>
          <w:highlight w:val="none"/>
          <w:u w:val="none"/>
        </w:rPr>
        <w:t>，若有更新，以招标人在投标截止日期前发布的最新文件为准）。</w:t>
      </w:r>
    </w:p>
    <w:p w14:paraId="31C7E76B">
      <w:pPr>
        <w:wordWrap w:val="0"/>
        <w:adjustRightInd w:val="0"/>
        <w:snapToGrid w:val="0"/>
        <w:spacing w:line="360" w:lineRule="auto"/>
        <w:ind w:firstLine="420" w:firstLineChars="200"/>
        <w:rPr>
          <w:rFonts w:hint="eastAsia" w:ascii="宋体" w:hAnsi="宋体" w:eastAsia="宋体" w:cs="宋体"/>
          <w:color w:val="auto"/>
          <w:sz w:val="21"/>
          <w:szCs w:val="21"/>
          <w:highlight w:val="none"/>
          <w:u w:val="single"/>
        </w:rPr>
      </w:pPr>
    </w:p>
    <w:p w14:paraId="33A6464C">
      <w:pPr>
        <w:widowControl/>
        <w:numPr>
          <w:ilvl w:val="0"/>
          <w:numId w:val="1"/>
        </w:numPr>
        <w:tabs>
          <w:tab w:val="left" w:pos="760"/>
        </w:tabs>
        <w:wordWrap w:val="0"/>
        <w:adjustRightInd w:val="0"/>
        <w:snapToGrid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招标文件的获取及资格审查</w:t>
      </w:r>
    </w:p>
    <w:p w14:paraId="5AD5A142">
      <w:pPr>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.1招标公告发布时间（含本日）：</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分至</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分。（北京时间，下同）</w:t>
      </w:r>
    </w:p>
    <w:p w14:paraId="75556D04">
      <w:pPr>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注：发布招标公告的时间为招标公告发出之日起至递交投标文件截止时间止。</w:t>
      </w:r>
    </w:p>
    <w:p w14:paraId="0CD5E294">
      <w:pPr>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凡有意参加投标者，请登录广州交易集团有限公司（广州公共资源交易中心）网站（http//www.gzggzy.cn）下载电子招标文件。</w:t>
      </w:r>
    </w:p>
    <w:p w14:paraId="7A8ADABA">
      <w:pPr>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 本项目采用资格后审方式。</w:t>
      </w:r>
    </w:p>
    <w:p w14:paraId="3C4B3AA9">
      <w:pPr>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投标人通过广州交易集团有限公司（广州公共资源交易中心）交易平台递交电子投标文件。投标人应在递交投标文件截止时间前，登录广州交易集团有限公司（广州公共资源交易中心）网站办理网上投标登记手续。操作详见广州交易集团有限公司（广州公共资源交易中心）网站（网址：http://www.gzggzy.cn）。</w:t>
      </w:r>
    </w:p>
    <w:p w14:paraId="0E499661">
      <w:pPr>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.3 招标公告网上发布时，同时发布招标文件等相关资料。招标公告发布之日起计算编制投标文件时间，编制投标文件的时间不得少于20天。如招标人需发布补充公告的，以最后发布的补充公告的时间起计算编制投标文件时间，并需在补充公告中明确说明。</w:t>
      </w:r>
    </w:p>
    <w:p w14:paraId="25C3BDB2">
      <w:pPr>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 递交投标文件截止时间与开标时间是否有变化，请密切留意招标答疑中的相关信息。递交投标文件截止时间后，开标时间因故推迟的，相关评标信息仍以原递交投标文件截止时间的信息为准。</w:t>
      </w:r>
    </w:p>
    <w:p w14:paraId="655C8405">
      <w:pPr>
        <w:pStyle w:val="3"/>
        <w:wordWrap w:val="0"/>
        <w:adjustRightInd w:val="0"/>
        <w:snapToGrid w:val="0"/>
        <w:spacing w:line="360" w:lineRule="auto"/>
        <w:ind w:firstLine="480"/>
        <w:rPr>
          <w:rFonts w:hint="eastAsia" w:ascii="宋体" w:hAnsi="宋体" w:eastAsia="宋体" w:cs="宋体"/>
          <w:color w:val="auto"/>
          <w:sz w:val="21"/>
          <w:szCs w:val="21"/>
          <w:highlight w:val="none"/>
          <w:lang w:eastAsia="zh-CN"/>
        </w:rPr>
      </w:pPr>
    </w:p>
    <w:p w14:paraId="0EA6ED67">
      <w:pPr>
        <w:widowControl/>
        <w:numPr>
          <w:ilvl w:val="0"/>
          <w:numId w:val="1"/>
        </w:numPr>
        <w:tabs>
          <w:tab w:val="left" w:pos="760"/>
        </w:tabs>
        <w:wordWrap w:val="0"/>
        <w:adjustRightInd w:val="0"/>
        <w:snapToGrid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投标文件的递交、递交</w:t>
      </w:r>
      <w:r>
        <w:rPr>
          <w:rFonts w:hint="eastAsia" w:ascii="宋体" w:hAnsi="宋体" w:eastAsia="宋体" w:cs="宋体"/>
          <w:b/>
          <w:color w:val="auto"/>
          <w:sz w:val="21"/>
          <w:szCs w:val="21"/>
          <w:highlight w:val="none"/>
          <w:lang w:eastAsia="zh-CN"/>
        </w:rPr>
        <w:t>电子光盘备用（投标）、</w:t>
      </w:r>
      <w:r>
        <w:rPr>
          <w:rFonts w:hint="eastAsia" w:ascii="宋体" w:hAnsi="宋体" w:eastAsia="宋体" w:cs="宋体"/>
          <w:b/>
          <w:color w:val="auto"/>
          <w:sz w:val="21"/>
          <w:szCs w:val="21"/>
          <w:highlight w:val="none"/>
        </w:rPr>
        <w:t>开标时间</w:t>
      </w:r>
    </w:p>
    <w:p w14:paraId="3864FF5A">
      <w:pPr>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 投标文件递交的截止时间（投标截止时间，下同）为</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分，投标人应在截止时间前通过广州交易集团有限公司（广州公共资源交易中心）网站（网址：http://www.gzggzy.cn）递交电子投标文件。</w:t>
      </w:r>
    </w:p>
    <w:p w14:paraId="3D840808">
      <w:pPr>
        <w:pStyle w:val="3"/>
        <w:wordWrap w:val="0"/>
        <w:adjustRightInd w:val="0"/>
        <w:snapToGrid w:val="0"/>
        <w:spacing w:line="360" w:lineRule="auto"/>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.2 投标人应在递交投标文件截止时间前，登录广州交易集团有限公司（广州公共资源交易中心）网站办理网上投标登记手续。操作详见广州交易集团有限公司（广州公共资源交易中心）网站（网址：http://www.gzggzy.cn）。</w:t>
      </w:r>
    </w:p>
    <w:p w14:paraId="61AF7B35">
      <w:pPr>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w:t>
      </w:r>
      <w:bookmarkStart w:id="0" w:name="_Hlk106940116"/>
      <w:r>
        <w:rPr>
          <w:rFonts w:hint="eastAsia" w:ascii="宋体" w:hAnsi="宋体" w:eastAsia="宋体" w:cs="宋体"/>
          <w:color w:val="auto"/>
          <w:sz w:val="21"/>
          <w:szCs w:val="21"/>
          <w:highlight w:val="none"/>
        </w:rPr>
        <w:t>递交</w:t>
      </w:r>
      <w:bookmarkEnd w:id="0"/>
      <w:r>
        <w:rPr>
          <w:rFonts w:hint="eastAsia" w:ascii="宋体" w:hAnsi="宋体" w:eastAsia="宋体" w:cs="宋体"/>
          <w:color w:val="auto"/>
          <w:sz w:val="21"/>
          <w:szCs w:val="21"/>
          <w:highlight w:val="none"/>
          <w:lang w:eastAsia="zh-CN"/>
        </w:rPr>
        <w:t>电子光盘备用（投标）</w:t>
      </w:r>
      <w:r>
        <w:rPr>
          <w:rFonts w:hint="eastAsia" w:ascii="宋体" w:hAnsi="宋体" w:eastAsia="宋体" w:cs="宋体"/>
          <w:color w:val="auto"/>
          <w:sz w:val="21"/>
          <w:szCs w:val="21"/>
          <w:highlight w:val="none"/>
        </w:rPr>
        <w:t>的规定：</w:t>
      </w:r>
    </w:p>
    <w:p w14:paraId="07AC81CF">
      <w:pPr>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时间为</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分至</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分；地点：</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cs="宋体"/>
          <w:color w:val="auto"/>
          <w:sz w:val="21"/>
          <w:szCs w:val="21"/>
          <w:highlight w:val="none"/>
          <w:u w:val="single"/>
          <w:lang w:val="en-US" w:eastAsia="zh-CN"/>
        </w:rPr>
        <w:t>南沙交易部</w:t>
      </w:r>
      <w:r>
        <w:rPr>
          <w:rFonts w:hint="eastAsia" w:ascii="宋体" w:hAnsi="宋体" w:eastAsia="宋体" w:cs="宋体"/>
          <w:color w:val="auto"/>
          <w:sz w:val="21"/>
          <w:szCs w:val="21"/>
          <w:highlight w:val="none"/>
          <w:u w:val="single"/>
          <w:lang w:val="en-US" w:eastAsia="zh-CN"/>
        </w:rPr>
        <w:t>指定</w:t>
      </w:r>
      <w:r>
        <w:rPr>
          <w:rFonts w:hint="eastAsia" w:ascii="宋体" w:hAnsi="宋体" w:eastAsia="宋体" w:cs="宋体"/>
          <w:color w:val="auto"/>
          <w:sz w:val="21"/>
          <w:szCs w:val="21"/>
          <w:highlight w:val="none"/>
          <w:u w:val="single"/>
        </w:rPr>
        <w:t>开标室</w:t>
      </w:r>
      <w:r>
        <w:rPr>
          <w:rFonts w:hint="eastAsia" w:ascii="宋体" w:hAnsi="宋体" w:eastAsia="宋体" w:cs="宋体"/>
          <w:color w:val="auto"/>
          <w:sz w:val="21"/>
          <w:szCs w:val="21"/>
          <w:highlight w:val="none"/>
        </w:rPr>
        <w:t>,具体安排请投标人自行登陆“http://www.gzggzy.cn/xmcxjsgc/index.jhtml”进行查询。（投标人应在投标截止时间前，凭法定代表人证明书原件、法定代表人授权委托证明书原件（非法定代表人办理手续时提供）、本人身份证原件到达开标室递交</w:t>
      </w:r>
      <w:r>
        <w:rPr>
          <w:rFonts w:hint="eastAsia" w:ascii="宋体" w:hAnsi="宋体" w:eastAsia="宋体" w:cs="宋体"/>
          <w:color w:val="auto"/>
          <w:sz w:val="21"/>
          <w:szCs w:val="21"/>
          <w:highlight w:val="none"/>
          <w:lang w:eastAsia="zh-CN"/>
        </w:rPr>
        <w:t>电子光盘备用（投标）</w:t>
      </w:r>
      <w:r>
        <w:rPr>
          <w:rFonts w:hint="eastAsia" w:ascii="宋体" w:hAnsi="宋体" w:eastAsia="宋体" w:cs="宋体"/>
          <w:color w:val="auto"/>
          <w:sz w:val="21"/>
          <w:szCs w:val="21"/>
          <w:highlight w:val="none"/>
        </w:rPr>
        <w:t>。电子光盘需按规定封装。投标人在将数据刻录到光盘之后，投标前自行检查文件是否可以读取。）</w:t>
      </w:r>
    </w:p>
    <w:p w14:paraId="1F449FFA">
      <w:pPr>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.4逾期送达的投标文件，电子招标投标交易平台将予以拒收。</w:t>
      </w:r>
    </w:p>
    <w:p w14:paraId="72CF5D14">
      <w:pPr>
        <w:wordWrap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.5开标时间：</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分。地点：</w:t>
      </w:r>
      <w:r>
        <w:rPr>
          <w:rFonts w:hint="eastAsia" w:ascii="宋体" w:hAnsi="宋体" w:eastAsia="宋体" w:cs="宋体"/>
          <w:color w:val="auto"/>
          <w:sz w:val="21"/>
          <w:szCs w:val="21"/>
          <w:highlight w:val="none"/>
          <w:u w:val="single"/>
        </w:rPr>
        <w:t>广州交易集团有限公司</w:t>
      </w:r>
      <w:r>
        <w:rPr>
          <w:rFonts w:hint="eastAsia" w:ascii="宋体" w:hAnsi="宋体" w:cs="宋体"/>
          <w:color w:val="auto"/>
          <w:sz w:val="21"/>
          <w:szCs w:val="21"/>
          <w:highlight w:val="none"/>
          <w:u w:val="single"/>
          <w:lang w:val="en-US" w:eastAsia="zh-CN"/>
        </w:rPr>
        <w:t>南沙交易部</w:t>
      </w:r>
      <w:r>
        <w:rPr>
          <w:rFonts w:hint="eastAsia" w:ascii="宋体" w:hAnsi="宋体" w:eastAsia="宋体" w:cs="宋体"/>
          <w:color w:val="auto"/>
          <w:sz w:val="21"/>
          <w:szCs w:val="21"/>
          <w:highlight w:val="none"/>
          <w:u w:val="single"/>
        </w:rPr>
        <w:t>（广州公共资源交易中心）</w:t>
      </w:r>
      <w:r>
        <w:rPr>
          <w:rFonts w:hint="eastAsia" w:ascii="宋体" w:hAnsi="宋体" w:eastAsia="宋体" w:cs="宋体"/>
          <w:color w:val="auto"/>
          <w:sz w:val="21"/>
          <w:szCs w:val="21"/>
          <w:highlight w:val="none"/>
          <w:u w:val="single"/>
          <w:lang w:val="en-US" w:eastAsia="zh-CN"/>
        </w:rPr>
        <w:t>指定</w:t>
      </w:r>
      <w:r>
        <w:rPr>
          <w:rFonts w:hint="eastAsia" w:ascii="宋体" w:hAnsi="宋体" w:eastAsia="宋体" w:cs="宋体"/>
          <w:color w:val="auto"/>
          <w:sz w:val="21"/>
          <w:szCs w:val="21"/>
          <w:highlight w:val="none"/>
          <w:u w:val="single"/>
        </w:rPr>
        <w:t>开标室</w:t>
      </w:r>
      <w:r>
        <w:rPr>
          <w:rFonts w:hint="eastAsia" w:ascii="宋体" w:hAnsi="宋体" w:eastAsia="宋体" w:cs="宋体"/>
          <w:color w:val="auto"/>
          <w:sz w:val="21"/>
          <w:szCs w:val="21"/>
          <w:highlight w:val="none"/>
        </w:rPr>
        <w:t>,具体安排请投标人自行登陆“http://www.gzggzy.cn/xmcxjsgc/index.jhtml”进行查询。</w:t>
      </w:r>
    </w:p>
    <w:p w14:paraId="41B52AE0">
      <w:pPr>
        <w:pStyle w:val="3"/>
        <w:wordWrap w:val="0"/>
        <w:adjustRightInd w:val="0"/>
        <w:snapToGrid w:val="0"/>
        <w:spacing w:line="360" w:lineRule="auto"/>
        <w:ind w:firstLine="480"/>
        <w:rPr>
          <w:rFonts w:hint="eastAsia" w:ascii="宋体" w:hAnsi="宋体" w:eastAsia="宋体" w:cs="宋体"/>
          <w:color w:val="auto"/>
          <w:sz w:val="21"/>
          <w:szCs w:val="21"/>
          <w:highlight w:val="none"/>
          <w:lang w:eastAsia="zh-CN"/>
        </w:rPr>
      </w:pPr>
    </w:p>
    <w:p w14:paraId="758AA9BC">
      <w:pPr>
        <w:widowControl/>
        <w:numPr>
          <w:ilvl w:val="0"/>
          <w:numId w:val="1"/>
        </w:numPr>
        <w:tabs>
          <w:tab w:val="left" w:pos="760"/>
        </w:tabs>
        <w:wordWrap w:val="0"/>
        <w:adjustRightInd w:val="0"/>
        <w:snapToGrid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发布公告的媒介</w:t>
      </w:r>
    </w:p>
    <w:p w14:paraId="71860F3B">
      <w:pPr>
        <w:widowControl/>
        <w:tabs>
          <w:tab w:val="left" w:pos="760"/>
        </w:tabs>
        <w:wordWrap w:val="0"/>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次招标公告同时在广州交易集团有限公司（广州公共资源交易中心）网（网址：http://www.gzggzy.cn）、广东省招标投标监管网（网址：http://zbtb.gd.gov.cn）和中国招标投标公共服务平台（网址：http://www.cebpubservice.com/）上发布。本公告的修改、补充，在广州交易集团有限公司（广州公共资源交易中心）网发布。</w:t>
      </w:r>
    </w:p>
    <w:p w14:paraId="2AC65264">
      <w:pPr>
        <w:widowControl/>
        <w:tabs>
          <w:tab w:val="left" w:pos="760"/>
        </w:tabs>
        <w:wordWrap w:val="0"/>
        <w:adjustRightInd w:val="0"/>
        <w:snapToGrid w:val="0"/>
        <w:spacing w:line="360" w:lineRule="auto"/>
        <w:ind w:firstLine="420" w:firstLineChars="200"/>
        <w:rPr>
          <w:rFonts w:hint="eastAsia" w:ascii="宋体" w:hAnsi="宋体" w:eastAsia="宋体" w:cs="宋体"/>
          <w:bCs/>
          <w:color w:val="auto"/>
          <w:sz w:val="21"/>
          <w:szCs w:val="21"/>
          <w:highlight w:val="none"/>
        </w:rPr>
      </w:pPr>
    </w:p>
    <w:p w14:paraId="1F13D1AB">
      <w:pPr>
        <w:widowControl/>
        <w:numPr>
          <w:ilvl w:val="0"/>
          <w:numId w:val="1"/>
        </w:numPr>
        <w:tabs>
          <w:tab w:val="left" w:pos="760"/>
        </w:tabs>
        <w:wordWrap w:val="0"/>
        <w:adjustRightInd w:val="0"/>
        <w:snapToGrid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其他事项</w:t>
      </w:r>
    </w:p>
    <w:p w14:paraId="76608665">
      <w:pPr>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.1 投标人可通过</w:t>
      </w:r>
      <w:r>
        <w:rPr>
          <w:rFonts w:hint="eastAsia" w:ascii="宋体" w:hAnsi="宋体" w:cs="宋体"/>
          <w:color w:val="auto"/>
          <w:sz w:val="21"/>
          <w:szCs w:val="21"/>
          <w:highlight w:val="none"/>
          <w:u w:val="single"/>
          <w:lang w:val="en-US" w:eastAsia="zh-CN"/>
        </w:rPr>
        <w:t>网络地图</w:t>
      </w:r>
      <w:r>
        <w:rPr>
          <w:rFonts w:hint="eastAsia" w:ascii="宋体" w:hAnsi="宋体" w:eastAsia="宋体" w:cs="宋体"/>
          <w:color w:val="auto"/>
          <w:sz w:val="21"/>
          <w:szCs w:val="21"/>
          <w:highlight w:val="none"/>
        </w:rPr>
        <w:t>观察本项目的周边环境。</w:t>
      </w:r>
    </w:p>
    <w:p w14:paraId="5E1BB1A6">
      <w:pPr>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 项目的其他情况在勘察任务书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如有</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中详细介绍。本公告为招标文件的组成部分，更详细的信息以招标文件为准。</w:t>
      </w:r>
    </w:p>
    <w:p w14:paraId="64BB7DF0">
      <w:pPr>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 潜在投标人或利害关系人对本招标公告及招标文件有异议的，应当在投标截止时间10日前向招标人书面提出。</w:t>
      </w:r>
    </w:p>
    <w:p w14:paraId="22677613">
      <w:pPr>
        <w:adjustRightInd w:val="0"/>
        <w:snapToGrid w:val="0"/>
        <w:spacing w:line="360" w:lineRule="auto"/>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异议受理部门：</w:t>
      </w:r>
      <w:r>
        <w:rPr>
          <w:rFonts w:hint="eastAsia" w:ascii="宋体" w:hAnsi="宋体"/>
          <w:color w:val="auto"/>
          <w:highlight w:val="none"/>
          <w:u w:val="single"/>
        </w:rPr>
        <w:t>广州市南沙区建设中心</w:t>
      </w:r>
    </w:p>
    <w:p w14:paraId="042DB1A7">
      <w:pPr>
        <w:adjustRightInd w:val="0"/>
        <w:snapToGrid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异议受理电话：</w:t>
      </w:r>
      <w:r>
        <w:rPr>
          <w:rFonts w:ascii="宋体" w:hAnsi="宋体"/>
          <w:color w:val="auto"/>
          <w:highlight w:val="none"/>
          <w:u w:val="single"/>
        </w:rPr>
        <w:t>020-39910657</w:t>
      </w:r>
    </w:p>
    <w:p w14:paraId="28501255">
      <w:pPr>
        <w:adjustRightInd w:val="0"/>
        <w:snapToGrid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color w:val="auto"/>
          <w:highlight w:val="none"/>
          <w:u w:val="single"/>
        </w:rPr>
        <w:t>广州市南沙区进港大道466号之二传媒大厦7楼</w:t>
      </w:r>
    </w:p>
    <w:p w14:paraId="789D65B9">
      <w:pPr>
        <w:adjustRightInd w:val="0"/>
        <w:snapToGrid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01C87F46">
      <w:pPr>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.5 特别提示：投标人在本项目招标人的工程项目中存在下列行为的，将被拒绝</w:t>
      </w:r>
      <w:r>
        <w:rPr>
          <w:rFonts w:hint="eastAsia" w:ascii="宋体" w:hAnsi="宋体" w:eastAsia="宋体" w:cs="宋体"/>
          <w:color w:val="auto"/>
          <w:sz w:val="21"/>
          <w:szCs w:val="21"/>
          <w:highlight w:val="none"/>
          <w:u w:val="single"/>
        </w:rPr>
        <w:t>一年内</w:t>
      </w:r>
      <w:r>
        <w:rPr>
          <w:rFonts w:hint="eastAsia" w:ascii="宋体" w:hAnsi="宋体" w:eastAsia="宋体" w:cs="宋体"/>
          <w:color w:val="auto"/>
          <w:sz w:val="21"/>
          <w:szCs w:val="21"/>
          <w:highlight w:val="none"/>
        </w:rPr>
        <w:t>参与我单位后续工程投标：（注：拒绝投标时限自招标人发出通知之日起计）</w:t>
      </w:r>
    </w:p>
    <w:p w14:paraId="0F116978">
      <w:pPr>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1.将中标工程转包或者违法分包的；</w:t>
      </w:r>
    </w:p>
    <w:p w14:paraId="456EE544">
      <w:pPr>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2.在中标工程中不执行质量、安全生产相关规定的，造成质量或安全事故的；</w:t>
      </w:r>
    </w:p>
    <w:p w14:paraId="1C7E57C6">
      <w:pPr>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3.存在围标或串标情形的；</w:t>
      </w:r>
    </w:p>
    <w:p w14:paraId="219E3995">
      <w:pPr>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4.在投标文件中提供虚假材料的；</w:t>
      </w:r>
    </w:p>
    <w:p w14:paraId="2FB21DFA">
      <w:pPr>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5.存在行贿情形的；</w:t>
      </w:r>
    </w:p>
    <w:p w14:paraId="72F35981">
      <w:pPr>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.存在因过错行为被生效法律文书认定承担违约或侵权责任的。</w:t>
      </w:r>
    </w:p>
    <w:p w14:paraId="73FF67A7">
      <w:pPr>
        <w:wordWrap w:val="0"/>
        <w:adjustRightInd w:val="0"/>
        <w:snapToGrid w:val="0"/>
        <w:spacing w:line="360" w:lineRule="auto"/>
        <w:ind w:firstLine="420" w:firstLineChars="200"/>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.6 前期服务机构名称：</w:t>
      </w:r>
      <w:r>
        <w:rPr>
          <w:rFonts w:hint="eastAsia" w:ascii="宋体" w:hAnsi="宋体"/>
          <w:color w:val="auto"/>
          <w:highlight w:val="none"/>
          <w:u w:val="single"/>
          <w:lang w:val="en-US" w:eastAsia="zh-CN"/>
        </w:rPr>
        <w:t>（1）广东达安项目管理股份有限公司为可行性研究报告编制单位。（2）广东省建筑设计研究院为项目建议书编制单位</w:t>
      </w:r>
    </w:p>
    <w:p w14:paraId="34BE0CD0">
      <w:pPr>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注：如果前期服务机构参加本次投标，应将本公告发布前最终完成的工作成果（含电子文件）在发布招标公告的同时提供给所有投标人参考，否则前期参与的服务机构中标无效。</w:t>
      </w:r>
    </w:p>
    <w:p w14:paraId="151E0820">
      <w:pPr>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.7 本项目采用资格后审方式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评标委员会负责对投标人的资格进行审查，评标时只对通过资格审查的投标人进行下一阶段的评审。满足资格审查合格条件或通过初步评审的投标申请人不足3名时为招标失败。招标人分析招标失败原因，修正招标方案，重新组织招标。</w:t>
      </w:r>
    </w:p>
    <w:p w14:paraId="764F79C9">
      <w:pPr>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.8 现场考察：</w:t>
      </w:r>
    </w:p>
    <w:p w14:paraId="40BA8859">
      <w:pPr>
        <w:wordWrap w:val="0"/>
        <w:autoSpaceDE w:val="0"/>
        <w:autoSpaceDN w:val="0"/>
        <w:adjustRightInd w:val="0"/>
        <w:snapToGrid w:val="0"/>
        <w:spacing w:before="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时间：不安排统一考察，由投标人自行考察。</w:t>
      </w:r>
    </w:p>
    <w:p w14:paraId="42C6A495">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地点：不安排统一考察，由投标人自行考察。</w:t>
      </w:r>
    </w:p>
    <w:p w14:paraId="08D89A69">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lang w:val="en-US" w:eastAsia="zh-CN"/>
        </w:rPr>
        <w:t>7.9</w:t>
      </w:r>
      <w:r>
        <w:rPr>
          <w:rFonts w:hint="eastAsia" w:ascii="宋体" w:hAnsi="宋体"/>
          <w:color w:val="auto"/>
          <w:highlight w:val="none"/>
          <w:u w:val="single"/>
        </w:rPr>
        <w:t xml:space="preserve"> 各投标单位递交投标资料参与投标，均视为接受及认同</w:t>
      </w:r>
      <w:r>
        <w:rPr>
          <w:rFonts w:hint="eastAsia" w:ascii="宋体" w:hAnsi="宋体"/>
          <w:color w:val="auto"/>
          <w:highlight w:val="none"/>
          <w:u w:val="single"/>
          <w:lang w:val="en-US" w:eastAsia="zh-CN"/>
        </w:rPr>
        <w:t>本项目</w:t>
      </w:r>
      <w:r>
        <w:rPr>
          <w:rFonts w:hint="eastAsia" w:ascii="宋体" w:hAnsi="宋体"/>
          <w:color w:val="auto"/>
          <w:highlight w:val="none"/>
          <w:u w:val="single"/>
        </w:rPr>
        <w:t>招标合同及招标人（广州市南沙区建设中心）制发的各项相关建设管理办法。如中标人不按合同履约及未遵守招标人（广州市南沙区建设中心）制发的各项相关建设管理办法，招标人有权依据相关管理办法要求中标人承担相应责任，中标人应无条件接受。</w:t>
      </w:r>
    </w:p>
    <w:p w14:paraId="7C56A22B">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lang w:val="en-US" w:eastAsia="zh-CN"/>
        </w:rPr>
        <w:t>7.10</w:t>
      </w:r>
      <w:r>
        <w:rPr>
          <w:rFonts w:hint="eastAsia" w:ascii="宋体" w:hAnsi="宋体"/>
          <w:color w:val="auto"/>
          <w:highlight w:val="none"/>
          <w:u w:val="single"/>
        </w:rPr>
        <w:t xml:space="preserve"> 关于异议及投诉：在招投标过程中，投标人（中标人）被异议（投诉）且经查实异议（投诉）情况属实的，或招标人收到异议（投诉）经查实属无有效法律法规依据的恶意异议（投诉）的，相关责任单位（过错方）自愿停止参与招标人（广州市南沙区建设中心）后续工程招投标活动一年。同时，招标人将提请建设行政主管部门，并按《中华人民共和国招标投标法实施条例》、《工程建设项目招标投标活动投诉处理办法》等严肃处理，同时将记录到招标人的诚信评价系统。</w:t>
      </w:r>
    </w:p>
    <w:p w14:paraId="6E86FAA9">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lang w:val="en-US" w:eastAsia="zh-CN"/>
        </w:rPr>
        <w:t>7.11</w:t>
      </w:r>
      <w:r>
        <w:rPr>
          <w:rFonts w:hint="eastAsia" w:ascii="宋体" w:hAnsi="宋体"/>
          <w:color w:val="auto"/>
          <w:highlight w:val="none"/>
          <w:u w:val="single"/>
        </w:rPr>
        <w:t>投标人如在本项目中存在串通投标、弄虚作假、行贿情形的，中标无效，行政监督部门将对其违法行为进行政处罚并通报。该投标人将被招标人列入黑名单并限制其参与招标人后续项目的投标。</w:t>
      </w:r>
    </w:p>
    <w:p w14:paraId="28593CEE">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lang w:val="en-US" w:eastAsia="zh-CN"/>
        </w:rPr>
        <w:t>7.12</w:t>
      </w:r>
      <w:r>
        <w:rPr>
          <w:rFonts w:hint="eastAsia" w:ascii="宋体" w:hAnsi="宋体"/>
          <w:color w:val="auto"/>
          <w:highlight w:val="none"/>
          <w:u w:val="single"/>
        </w:rPr>
        <w:t>投标人如在本项目中存在串通投标、弄虚作假、行贿情形且在评标、定标过程中未被发现的，该投标不改变本项目评标、定标结果排序，其中标无效。招标人按照《中华人民共和国招标投标法实施条例》第五十五条的规定依次确定中标人或重新招标。</w:t>
      </w:r>
    </w:p>
    <w:p w14:paraId="487A75E7">
      <w:pPr>
        <w:wordWrap w:val="0"/>
        <w:autoSpaceDE w:val="0"/>
        <w:autoSpaceDN w:val="0"/>
        <w:adjustRightInd w:val="0"/>
        <w:snapToGrid w:val="0"/>
        <w:spacing w:before="0"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u w:val="single"/>
          <w:lang w:val="en-US" w:eastAsia="zh-CN"/>
        </w:rPr>
        <w:t xml:space="preserve">7.13 </w:t>
      </w:r>
      <w:r>
        <w:rPr>
          <w:rFonts w:hint="eastAsia" w:ascii="宋体" w:hAnsi="宋体"/>
          <w:color w:val="auto"/>
          <w:highlight w:val="none"/>
          <w:u w:val="single"/>
        </w:rPr>
        <w:t>中标人不得向他人转让中标项目，也不得将中标项目肢解后分别向他人转让。中标人按照合同约定或者经招标人同意，可以将中标项目的部分非主体、非关键性工作分包给他人完成。接受分包的人应当具备相应的资格条件，并不得再次分包。中标人应当就分包项目向招标人负责，接受分包的人就分包项目承担连带责任。</w:t>
      </w:r>
    </w:p>
    <w:p w14:paraId="3DCB75C2">
      <w:pPr>
        <w:wordWrap w:val="0"/>
        <w:autoSpaceDE w:val="0"/>
        <w:autoSpaceDN w:val="0"/>
        <w:adjustRightInd w:val="0"/>
        <w:snapToGrid w:val="0"/>
        <w:spacing w:before="0" w:line="360" w:lineRule="auto"/>
        <w:ind w:firstLine="420" w:firstLineChars="200"/>
        <w:jc w:val="left"/>
        <w:rPr>
          <w:rFonts w:hint="default" w:ascii="宋体" w:hAnsi="宋体" w:eastAsia="宋体" w:cs="宋体"/>
          <w:color w:val="auto"/>
          <w:sz w:val="21"/>
          <w:szCs w:val="21"/>
          <w:highlight w:val="none"/>
          <w:u w:val="single"/>
          <w:lang w:val="en-US" w:eastAsia="zh-CN"/>
        </w:rPr>
      </w:pPr>
      <w:r>
        <w:rPr>
          <w:rFonts w:hint="eastAsia" w:ascii="宋体" w:hAnsi="宋体"/>
          <w:color w:val="auto"/>
          <w:highlight w:val="none"/>
          <w:u w:val="single"/>
          <w:lang w:val="en-US" w:eastAsia="zh-CN"/>
        </w:rPr>
        <w:t>7.14 对放弃中标资格的投标单位，列入《南沙开发区（区）建设中心拒绝投标单位名单》，视情节严重程度，暂停其6-12个月内参与招标人组织实施项目的投标资格。</w:t>
      </w:r>
    </w:p>
    <w:p w14:paraId="2FB72FA6">
      <w:pPr>
        <w:pStyle w:val="3"/>
        <w:wordWrap w:val="0"/>
        <w:adjustRightInd w:val="0"/>
        <w:snapToGrid w:val="0"/>
        <w:spacing w:line="360" w:lineRule="auto"/>
        <w:ind w:firstLine="480"/>
        <w:rPr>
          <w:rFonts w:hint="eastAsia" w:ascii="宋体" w:hAnsi="宋体" w:eastAsia="宋体" w:cs="宋体"/>
          <w:color w:val="auto"/>
          <w:sz w:val="21"/>
          <w:szCs w:val="21"/>
          <w:highlight w:val="none"/>
          <w:lang w:eastAsia="zh-CN"/>
        </w:rPr>
      </w:pPr>
    </w:p>
    <w:p w14:paraId="3C2A496B">
      <w:pPr>
        <w:widowControl/>
        <w:numPr>
          <w:ilvl w:val="0"/>
          <w:numId w:val="1"/>
        </w:numPr>
        <w:tabs>
          <w:tab w:val="left" w:pos="760"/>
        </w:tabs>
        <w:wordWrap w:val="0"/>
        <w:adjustRightInd w:val="0"/>
        <w:snapToGrid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联系方式 </w:t>
      </w:r>
    </w:p>
    <w:p w14:paraId="56489F25">
      <w:pPr>
        <w:tabs>
          <w:tab w:val="left" w:pos="4120"/>
        </w:tabs>
        <w:wordWrap w:val="0"/>
        <w:spacing w:before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 w:val="0"/>
          <w:bCs/>
          <w:color w:val="auto"/>
          <w:sz w:val="21"/>
          <w:szCs w:val="21"/>
          <w:highlight w:val="none"/>
        </w:rPr>
        <w:t>招标人</w:t>
      </w:r>
      <w:r>
        <w:rPr>
          <w:rFonts w:hint="eastAsia" w:ascii="宋体" w:hAnsi="宋体" w:eastAsia="宋体" w:cs="宋体"/>
          <w:b w:val="0"/>
          <w:bCs/>
          <w:color w:val="auto"/>
          <w:sz w:val="21"/>
          <w:szCs w:val="21"/>
          <w:highlight w:val="none"/>
          <w:lang w:eastAsia="zh-CN"/>
        </w:rPr>
        <w:t>：</w:t>
      </w:r>
      <w:r>
        <w:rPr>
          <w:rFonts w:hint="eastAsia" w:ascii="宋体" w:hAnsi="宋体"/>
          <w:color w:val="auto"/>
          <w:highlight w:val="none"/>
          <w:u w:val="single"/>
        </w:rPr>
        <w:t>广州市南沙区建设中心</w:t>
      </w:r>
    </w:p>
    <w:p w14:paraId="76339042">
      <w:pPr>
        <w:tabs>
          <w:tab w:val="left" w:pos="4120"/>
        </w:tabs>
        <w:wordWrap w:val="0"/>
        <w:spacing w:before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邮政编码、地址：</w:t>
      </w:r>
      <w:r>
        <w:rPr>
          <w:rFonts w:hint="eastAsia" w:ascii="宋体" w:hAnsi="宋体" w:eastAsia="宋体" w:cs="宋体"/>
          <w:color w:val="auto"/>
          <w:sz w:val="21"/>
          <w:szCs w:val="21"/>
          <w:highlight w:val="none"/>
          <w:u w:val="single"/>
        </w:rPr>
        <w:t>510000、</w:t>
      </w:r>
      <w:r>
        <w:rPr>
          <w:rFonts w:hint="eastAsia" w:ascii="宋体" w:hAnsi="宋体"/>
          <w:color w:val="auto"/>
          <w:szCs w:val="21"/>
          <w:highlight w:val="none"/>
          <w:u w:val="single"/>
        </w:rPr>
        <w:t>广州市南沙区进港大道466号之二传媒大厦7楼</w:t>
      </w:r>
    </w:p>
    <w:p w14:paraId="157372FC">
      <w:pPr>
        <w:tabs>
          <w:tab w:val="left" w:pos="4120"/>
        </w:tabs>
        <w:wordWrap w:val="0"/>
        <w:spacing w:beforeLines="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联系人、电话（手机）号码：</w:t>
      </w:r>
      <w:r>
        <w:rPr>
          <w:rFonts w:hint="eastAsia" w:ascii="宋体" w:hAnsi="宋体"/>
          <w:color w:val="auto"/>
          <w:szCs w:val="21"/>
          <w:highlight w:val="none"/>
          <w:u w:val="single"/>
        </w:rPr>
        <w:t>020-39910657</w:t>
      </w:r>
    </w:p>
    <w:p w14:paraId="7940CC7B">
      <w:pPr>
        <w:tabs>
          <w:tab w:val="left" w:pos="4120"/>
        </w:tabs>
        <w:wordWrap w:val="0"/>
        <w:spacing w:before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传真号码：</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w:t>
      </w:r>
      <w:r>
        <w:rPr>
          <w:rFonts w:hint="eastAsia" w:ascii="宋体" w:hAnsi="宋体" w:eastAsia="宋体" w:cs="宋体"/>
          <w:bCs/>
          <w:color w:val="auto"/>
          <w:sz w:val="21"/>
          <w:szCs w:val="21"/>
          <w:highlight w:val="none"/>
          <w:u w:val="single"/>
        </w:rPr>
        <w:t xml:space="preserve"> </w:t>
      </w:r>
    </w:p>
    <w:p w14:paraId="4A8BB617">
      <w:pPr>
        <w:tabs>
          <w:tab w:val="left" w:pos="4120"/>
        </w:tabs>
        <w:wordWrap w:val="0"/>
        <w:spacing w:beforeLines="0"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电子邮箱：</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w:t>
      </w:r>
      <w:r>
        <w:rPr>
          <w:rFonts w:hint="eastAsia" w:ascii="宋体" w:hAnsi="宋体" w:eastAsia="宋体" w:cs="宋体"/>
          <w:bCs/>
          <w:color w:val="auto"/>
          <w:sz w:val="21"/>
          <w:szCs w:val="21"/>
          <w:highlight w:val="none"/>
          <w:u w:val="single"/>
        </w:rPr>
        <w:t xml:space="preserve"> </w:t>
      </w:r>
    </w:p>
    <w:p w14:paraId="033DA9A3">
      <w:pPr>
        <w:tabs>
          <w:tab w:val="left" w:pos="4120"/>
        </w:tabs>
        <w:wordWrap w:val="0"/>
        <w:spacing w:beforeLines="0" w:line="360" w:lineRule="auto"/>
        <w:ind w:firstLine="420" w:firstLineChars="200"/>
        <w:rPr>
          <w:rFonts w:hint="eastAsia" w:ascii="宋体" w:hAnsi="宋体" w:eastAsia="宋体" w:cs="宋体"/>
          <w:bCs/>
          <w:color w:val="auto"/>
          <w:sz w:val="21"/>
          <w:szCs w:val="21"/>
          <w:highlight w:val="none"/>
          <w:u w:val="single"/>
        </w:rPr>
      </w:pPr>
    </w:p>
    <w:p w14:paraId="3FE50B0A">
      <w:pPr>
        <w:tabs>
          <w:tab w:val="left" w:pos="4120"/>
        </w:tabs>
        <w:wordWrap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 w:val="0"/>
          <w:bCs/>
          <w:color w:val="auto"/>
          <w:sz w:val="21"/>
          <w:szCs w:val="21"/>
          <w:highlight w:val="none"/>
        </w:rPr>
        <w:t>招标代理机构</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广东粤能工程管理有限公司</w:t>
      </w:r>
    </w:p>
    <w:p w14:paraId="2FE083A9">
      <w:pPr>
        <w:tabs>
          <w:tab w:val="left" w:pos="4120"/>
        </w:tabs>
        <w:wordWrap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邮政编码、地址：</w:t>
      </w:r>
      <w:r>
        <w:rPr>
          <w:rFonts w:hint="eastAsia" w:ascii="宋体" w:hAnsi="宋体" w:eastAsia="宋体" w:cs="宋体"/>
          <w:color w:val="auto"/>
          <w:sz w:val="21"/>
          <w:szCs w:val="21"/>
          <w:highlight w:val="none"/>
          <w:u w:val="single"/>
        </w:rPr>
        <w:t>5100</w:t>
      </w:r>
      <w:r>
        <w:rPr>
          <w:rFonts w:hint="eastAsia" w:ascii="宋体" w:hAnsi="宋体" w:eastAsia="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rPr>
        <w:t>、广州市天河区华观路明旭街1号万科智慧商业广场B1-2栋4楼402室</w:t>
      </w:r>
    </w:p>
    <w:p w14:paraId="5F80F3D5">
      <w:pPr>
        <w:tabs>
          <w:tab w:val="left" w:pos="4120"/>
        </w:tabs>
        <w:wordWrap w:val="0"/>
        <w:spacing w:line="360" w:lineRule="auto"/>
        <w:ind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bCs/>
          <w:color w:val="auto"/>
          <w:sz w:val="21"/>
          <w:szCs w:val="21"/>
          <w:highlight w:val="none"/>
        </w:rPr>
        <w:t>联系人、电话（手机）号码：</w:t>
      </w:r>
      <w:r>
        <w:rPr>
          <w:rFonts w:hint="eastAsia" w:ascii="宋体" w:hAnsi="宋体" w:eastAsia="宋体" w:cs="Times New Roman"/>
          <w:color w:val="auto"/>
          <w:sz w:val="21"/>
          <w:szCs w:val="21"/>
          <w:highlight w:val="none"/>
          <w:u w:val="single"/>
          <w:lang w:val="en-US" w:eastAsia="zh-CN"/>
        </w:rPr>
        <w:t>梁</w:t>
      </w:r>
      <w:r>
        <w:rPr>
          <w:rFonts w:hint="eastAsia" w:ascii="宋体" w:hAnsi="宋体" w:eastAsia="宋体" w:cs="Times New Roman"/>
          <w:color w:val="auto"/>
          <w:sz w:val="21"/>
          <w:szCs w:val="21"/>
          <w:highlight w:val="none"/>
          <w:u w:val="single"/>
        </w:rPr>
        <w:t>工</w:t>
      </w:r>
      <w:r>
        <w:rPr>
          <w:rFonts w:hint="eastAsia" w:ascii="宋体" w:hAnsi="宋体" w:eastAsia="宋体"/>
          <w:color w:val="auto"/>
          <w:szCs w:val="21"/>
          <w:highlight w:val="none"/>
          <w:u w:val="single"/>
        </w:rPr>
        <w:t>，</w:t>
      </w:r>
      <w:r>
        <w:rPr>
          <w:rFonts w:hint="eastAsia" w:ascii="宋体" w:hAnsi="宋体" w:eastAsia="宋体"/>
          <w:color w:val="auto"/>
          <w:szCs w:val="21"/>
          <w:highlight w:val="none"/>
          <w:u w:val="single"/>
          <w:lang w:eastAsia="zh-CN"/>
        </w:rPr>
        <w:t>13326499314</w:t>
      </w:r>
    </w:p>
    <w:p w14:paraId="73E85891">
      <w:pPr>
        <w:tabs>
          <w:tab w:val="left" w:pos="4120"/>
        </w:tabs>
        <w:wordWrap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传真号码：</w:t>
      </w:r>
      <w:r>
        <w:rPr>
          <w:rFonts w:hint="eastAsia" w:ascii="宋体" w:hAnsi="宋体" w:eastAsia="宋体" w:cs="宋体"/>
          <w:bCs/>
          <w:color w:val="auto"/>
          <w:sz w:val="21"/>
          <w:szCs w:val="21"/>
          <w:highlight w:val="none"/>
          <w:u w:val="single"/>
        </w:rPr>
        <w:t>020-38731486</w:t>
      </w:r>
    </w:p>
    <w:p w14:paraId="67A367CD">
      <w:pPr>
        <w:tabs>
          <w:tab w:val="left" w:pos="4120"/>
        </w:tabs>
        <w:wordWrap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电子邮箱：</w:t>
      </w:r>
      <w:r>
        <w:rPr>
          <w:rFonts w:hint="eastAsia" w:ascii="宋体" w:hAnsi="宋体" w:eastAsia="宋体" w:cs="宋体"/>
          <w:bCs/>
          <w:color w:val="auto"/>
          <w:sz w:val="21"/>
          <w:szCs w:val="21"/>
          <w:highlight w:val="none"/>
          <w:u w:val="single"/>
        </w:rPr>
        <w:t>gdynjlzb@126.com</w:t>
      </w:r>
    </w:p>
    <w:p w14:paraId="2EE129D1">
      <w:pPr>
        <w:tabs>
          <w:tab w:val="left" w:pos="4120"/>
        </w:tabs>
        <w:wordWrap w:val="0"/>
        <w:spacing w:line="360" w:lineRule="auto"/>
        <w:ind w:firstLine="420" w:firstLineChars="200"/>
        <w:rPr>
          <w:rFonts w:hint="eastAsia" w:ascii="宋体" w:hAnsi="宋体" w:eastAsia="宋体" w:cs="宋体"/>
          <w:bCs/>
          <w:color w:val="auto"/>
          <w:sz w:val="21"/>
          <w:szCs w:val="21"/>
          <w:highlight w:val="none"/>
        </w:rPr>
      </w:pPr>
    </w:p>
    <w:p w14:paraId="1D228D2C">
      <w:pPr>
        <w:tabs>
          <w:tab w:val="left" w:pos="4120"/>
        </w:tabs>
        <w:wordWrap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 w:val="0"/>
          <w:bCs/>
          <w:color w:val="auto"/>
          <w:sz w:val="21"/>
          <w:szCs w:val="21"/>
          <w:highlight w:val="none"/>
        </w:rPr>
        <w:t>交易服务机构</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u w:val="single"/>
        </w:rPr>
        <w:t>广州交易集团有限公司（广州公共资源交易中心）</w:t>
      </w:r>
      <w:r>
        <w:rPr>
          <w:color w:val="auto"/>
          <w:highlight w:val="none"/>
          <w:u w:val="single"/>
        </w:rPr>
        <w:t>南沙交易部</w:t>
      </w:r>
    </w:p>
    <w:p w14:paraId="4DE3A9EA">
      <w:pPr>
        <w:tabs>
          <w:tab w:val="left" w:pos="4120"/>
        </w:tabs>
        <w:wordWrap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邮政编码、地址：</w:t>
      </w:r>
      <w:r>
        <w:rPr>
          <w:rFonts w:hint="eastAsia" w:ascii="宋体" w:hAnsi="宋体" w:eastAsia="宋体" w:cs="宋体"/>
          <w:bCs/>
          <w:color w:val="auto"/>
          <w:sz w:val="21"/>
          <w:szCs w:val="21"/>
          <w:highlight w:val="none"/>
          <w:u w:val="single"/>
        </w:rPr>
        <w:t>510</w:t>
      </w:r>
      <w:r>
        <w:rPr>
          <w:rFonts w:hint="eastAsia" w:ascii="宋体" w:hAnsi="宋体" w:cs="宋体"/>
          <w:bCs/>
          <w:color w:val="auto"/>
          <w:sz w:val="21"/>
          <w:szCs w:val="21"/>
          <w:highlight w:val="none"/>
          <w:u w:val="single"/>
          <w:lang w:val="en-US" w:eastAsia="zh-CN"/>
        </w:rPr>
        <w:t>000</w:t>
      </w:r>
      <w:r>
        <w:rPr>
          <w:rFonts w:hint="eastAsia" w:ascii="宋体" w:hAnsi="宋体" w:eastAsia="宋体" w:cs="宋体"/>
          <w:bCs/>
          <w:color w:val="auto"/>
          <w:sz w:val="21"/>
          <w:szCs w:val="21"/>
          <w:highlight w:val="none"/>
          <w:u w:val="single"/>
        </w:rPr>
        <w:t>、</w:t>
      </w:r>
      <w:r>
        <w:rPr>
          <w:rFonts w:hint="eastAsia"/>
          <w:color w:val="auto"/>
          <w:highlight w:val="none"/>
          <w:u w:val="single"/>
        </w:rPr>
        <w:t>广州市南沙区环市大道中成汇街2号南沙城商务楼A栋2楼</w:t>
      </w:r>
    </w:p>
    <w:p w14:paraId="1DCB65F0">
      <w:pPr>
        <w:tabs>
          <w:tab w:val="left" w:pos="4120"/>
        </w:tabs>
        <w:wordWrap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电话（手机）号码：</w:t>
      </w:r>
      <w:r>
        <w:rPr>
          <w:rFonts w:hint="eastAsia" w:ascii="宋体" w:hAnsi="宋体" w:cs="宋体"/>
          <w:bCs/>
          <w:color w:val="auto"/>
          <w:szCs w:val="21"/>
          <w:highlight w:val="none"/>
          <w:u w:val="single"/>
        </w:rPr>
        <w:t>020-28667461</w:t>
      </w:r>
    </w:p>
    <w:p w14:paraId="7F50B11B">
      <w:pPr>
        <w:tabs>
          <w:tab w:val="left" w:pos="4120"/>
        </w:tabs>
        <w:wordWrap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传真号码：</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w:t>
      </w:r>
      <w:r>
        <w:rPr>
          <w:rFonts w:hint="eastAsia" w:ascii="宋体" w:hAnsi="宋体" w:eastAsia="宋体" w:cs="宋体"/>
          <w:bCs/>
          <w:color w:val="auto"/>
          <w:sz w:val="21"/>
          <w:szCs w:val="21"/>
          <w:highlight w:val="none"/>
          <w:u w:val="single"/>
        </w:rPr>
        <w:t xml:space="preserve"> </w:t>
      </w:r>
    </w:p>
    <w:p w14:paraId="33C272BC">
      <w:pPr>
        <w:tabs>
          <w:tab w:val="left" w:pos="4120"/>
        </w:tabs>
        <w:wordWrap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网址：</w:t>
      </w:r>
      <w:r>
        <w:rPr>
          <w:rFonts w:hint="eastAsia" w:ascii="宋体" w:hAnsi="宋体" w:eastAsia="宋体" w:cs="宋体"/>
          <w:bCs/>
          <w:color w:val="auto"/>
          <w:sz w:val="21"/>
          <w:szCs w:val="21"/>
          <w:highlight w:val="none"/>
          <w:u w:val="single"/>
        </w:rPr>
        <w:t>http://www.gzggzy.cn</w:t>
      </w:r>
    </w:p>
    <w:p w14:paraId="57C5700F">
      <w:pPr>
        <w:tabs>
          <w:tab w:val="left" w:pos="4120"/>
        </w:tabs>
        <w:wordWrap w:val="0"/>
        <w:spacing w:line="360" w:lineRule="auto"/>
        <w:ind w:firstLine="420" w:firstLineChars="200"/>
        <w:rPr>
          <w:rFonts w:hint="eastAsia" w:ascii="宋体" w:hAnsi="宋体" w:eastAsia="宋体" w:cs="宋体"/>
          <w:b w:val="0"/>
          <w:bCs/>
          <w:color w:val="auto"/>
          <w:sz w:val="21"/>
          <w:szCs w:val="21"/>
          <w:highlight w:val="none"/>
        </w:rPr>
      </w:pPr>
    </w:p>
    <w:p w14:paraId="1C77D43F">
      <w:pPr>
        <w:tabs>
          <w:tab w:val="left" w:pos="4120"/>
        </w:tabs>
        <w:wordWrap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b w:val="0"/>
          <w:bCs/>
          <w:color w:val="auto"/>
          <w:sz w:val="21"/>
          <w:szCs w:val="21"/>
          <w:highlight w:val="none"/>
        </w:rPr>
        <w:t>招标</w:t>
      </w:r>
      <w:r>
        <w:rPr>
          <w:rFonts w:hint="eastAsia" w:ascii="宋体" w:hAnsi="宋体" w:eastAsia="宋体" w:cs="宋体"/>
          <w:b w:val="0"/>
          <w:bCs/>
          <w:color w:val="auto"/>
          <w:sz w:val="21"/>
          <w:szCs w:val="21"/>
          <w:highlight w:val="none"/>
          <w:lang w:val="en-US" w:eastAsia="zh-CN"/>
        </w:rPr>
        <w:t>监督</w:t>
      </w:r>
      <w:r>
        <w:rPr>
          <w:rFonts w:hint="eastAsia" w:ascii="宋体" w:hAnsi="宋体" w:eastAsia="宋体" w:cs="宋体"/>
          <w:b w:val="0"/>
          <w:bCs/>
          <w:color w:val="auto"/>
          <w:sz w:val="21"/>
          <w:szCs w:val="21"/>
          <w:highlight w:val="none"/>
        </w:rPr>
        <w:t>机构</w:t>
      </w:r>
      <w:r>
        <w:rPr>
          <w:rFonts w:hint="eastAsia" w:ascii="宋体" w:hAnsi="宋体" w:eastAsia="宋体" w:cs="宋体"/>
          <w:b w:val="0"/>
          <w:bCs/>
          <w:color w:val="auto"/>
          <w:sz w:val="21"/>
          <w:szCs w:val="21"/>
          <w:highlight w:val="none"/>
          <w:lang w:eastAsia="zh-CN"/>
        </w:rPr>
        <w:t>：</w:t>
      </w:r>
      <w:r>
        <w:rPr>
          <w:rFonts w:hint="eastAsia" w:ascii="宋体" w:hAnsi="宋体"/>
          <w:color w:val="auto"/>
          <w:szCs w:val="21"/>
          <w:highlight w:val="none"/>
          <w:u w:val="single"/>
        </w:rPr>
        <w:t>广州市南沙区住房和城乡建设局</w:t>
      </w:r>
    </w:p>
    <w:p w14:paraId="01DD384F">
      <w:pPr>
        <w:tabs>
          <w:tab w:val="left" w:pos="4120"/>
        </w:tabs>
        <w:wordWrap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邮政编码、地址：</w:t>
      </w:r>
      <w:r>
        <w:rPr>
          <w:rFonts w:ascii="宋体" w:hAnsi="宋体"/>
          <w:color w:val="auto"/>
          <w:szCs w:val="21"/>
          <w:highlight w:val="none"/>
          <w:u w:val="single"/>
        </w:rPr>
        <w:t>510635</w:t>
      </w:r>
      <w:r>
        <w:rPr>
          <w:rFonts w:hint="eastAsia" w:ascii="宋体" w:hAnsi="宋体"/>
          <w:color w:val="auto"/>
          <w:szCs w:val="21"/>
          <w:highlight w:val="none"/>
          <w:u w:val="single"/>
        </w:rPr>
        <w:t>广州市南沙区凤凰大道1号E栋3楼</w:t>
      </w:r>
    </w:p>
    <w:p w14:paraId="0644F0D6">
      <w:pPr>
        <w:tabs>
          <w:tab w:val="left" w:pos="4120"/>
        </w:tabs>
        <w:wordWrap w:val="0"/>
        <w:spacing w:line="360" w:lineRule="auto"/>
        <w:ind w:firstLine="420" w:firstLineChars="200"/>
        <w:rPr>
          <w:rFonts w:hint="default" w:ascii="宋体" w:hAnsi="宋体" w:eastAsia="宋体" w:cs="宋体"/>
          <w:color w:val="auto"/>
          <w:sz w:val="21"/>
          <w:szCs w:val="21"/>
          <w:highlight w:val="none"/>
          <w:u w:val="single"/>
          <w:lang w:val="en-US" w:eastAsia="zh-CN"/>
        </w:rPr>
      </w:pPr>
      <w:r>
        <w:rPr>
          <w:rFonts w:hint="eastAsia" w:ascii="宋体" w:hAnsi="宋体" w:eastAsia="宋体" w:cs="宋体"/>
          <w:bCs/>
          <w:color w:val="auto"/>
          <w:sz w:val="21"/>
          <w:szCs w:val="21"/>
          <w:highlight w:val="none"/>
        </w:rPr>
        <w:t>电话（手机）号码：</w:t>
      </w:r>
      <w:r>
        <w:rPr>
          <w:rFonts w:hint="eastAsia" w:ascii="宋体" w:hAnsi="宋体"/>
          <w:color w:val="auto"/>
          <w:szCs w:val="21"/>
          <w:highlight w:val="none"/>
          <w:u w:val="single"/>
        </w:rPr>
        <w:t>020-39910647</w:t>
      </w:r>
    </w:p>
    <w:p w14:paraId="0EF5C7E2">
      <w:pPr>
        <w:tabs>
          <w:tab w:val="left" w:pos="4120"/>
        </w:tabs>
        <w:wordWrap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传真号码：</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w:t>
      </w:r>
      <w:r>
        <w:rPr>
          <w:rFonts w:hint="eastAsia" w:ascii="宋体" w:hAnsi="宋体" w:eastAsia="宋体" w:cs="宋体"/>
          <w:bCs/>
          <w:color w:val="auto"/>
          <w:sz w:val="21"/>
          <w:szCs w:val="21"/>
          <w:highlight w:val="none"/>
          <w:u w:val="single"/>
        </w:rPr>
        <w:t xml:space="preserve"> </w:t>
      </w:r>
    </w:p>
    <w:p w14:paraId="64C331B3">
      <w:pPr>
        <w:tabs>
          <w:tab w:val="left" w:pos="4120"/>
        </w:tabs>
        <w:wordWrap w:val="0"/>
        <w:spacing w:line="360" w:lineRule="auto"/>
        <w:ind w:left="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网址：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lang w:eastAsia="zh-CN"/>
        </w:rPr>
        <w:tab/>
      </w:r>
      <w:r>
        <w:rPr>
          <w:rFonts w:hint="eastAsia" w:ascii="宋体" w:hAnsi="宋体" w:eastAsia="宋体" w:cs="宋体"/>
          <w:bCs/>
          <w:color w:val="auto"/>
          <w:sz w:val="21"/>
          <w:szCs w:val="21"/>
          <w:highlight w:val="none"/>
        </w:rPr>
        <w:br w:type="page"/>
      </w:r>
    </w:p>
    <w:p w14:paraId="1498D330">
      <w:pPr>
        <w:wordWrap w:val="0"/>
        <w:adjustRightInd w:val="0"/>
        <w:snapToGrid w:val="0"/>
        <w:spacing w:line="360" w:lineRule="auto"/>
        <w:ind w:firstLine="0" w:firstLineChars="0"/>
        <w:jc w:val="left"/>
        <w:rPr>
          <w:rFonts w:ascii="宋体" w:hAnsi="宋体"/>
          <w:b/>
          <w:color w:val="auto"/>
          <w:sz w:val="24"/>
          <w:szCs w:val="24"/>
          <w:highlight w:val="none"/>
        </w:rPr>
      </w:pPr>
      <w:r>
        <w:rPr>
          <w:rFonts w:hint="eastAsia" w:ascii="宋体" w:hAnsi="宋体"/>
          <w:b/>
          <w:color w:val="auto"/>
          <w:sz w:val="24"/>
          <w:szCs w:val="24"/>
          <w:highlight w:val="none"/>
        </w:rPr>
        <w:t>附件</w:t>
      </w:r>
      <w:r>
        <w:rPr>
          <w:rFonts w:hint="eastAsia" w:ascii="宋体" w:hAnsi="宋体"/>
          <w:b/>
          <w:color w:val="auto"/>
          <w:sz w:val="24"/>
          <w:szCs w:val="24"/>
          <w:highlight w:val="none"/>
          <w:lang w:val="en-US" w:eastAsia="zh-CN"/>
        </w:rPr>
        <w:t>1</w:t>
      </w:r>
      <w:r>
        <w:rPr>
          <w:rFonts w:hint="eastAsia" w:ascii="宋体" w:hAnsi="宋体"/>
          <w:b/>
          <w:color w:val="auto"/>
          <w:sz w:val="24"/>
          <w:szCs w:val="24"/>
          <w:highlight w:val="none"/>
        </w:rPr>
        <w:t>：</w:t>
      </w:r>
    </w:p>
    <w:p w14:paraId="4C986FAD">
      <w:pPr>
        <w:wordWrap w:val="0"/>
        <w:adjustRightInd w:val="0"/>
        <w:snapToGrid w:val="0"/>
        <w:spacing w:line="360" w:lineRule="auto"/>
        <w:ind w:firstLine="0" w:firstLineChars="0"/>
        <w:jc w:val="center"/>
        <w:rPr>
          <w:rFonts w:ascii="宋体" w:hAnsi="宋体"/>
          <w:b/>
          <w:bCs/>
          <w:color w:val="auto"/>
          <w:sz w:val="32"/>
          <w:szCs w:val="32"/>
          <w:highlight w:val="none"/>
        </w:rPr>
      </w:pPr>
      <w:r>
        <w:rPr>
          <w:rFonts w:hint="eastAsia" w:ascii="宋体" w:hAnsi="宋体"/>
          <w:b/>
          <w:bCs/>
          <w:color w:val="auto"/>
          <w:sz w:val="32"/>
          <w:szCs w:val="32"/>
          <w:highlight w:val="none"/>
        </w:rPr>
        <w:t>投标人声明</w:t>
      </w:r>
    </w:p>
    <w:p w14:paraId="1E544303">
      <w:pPr>
        <w:pStyle w:val="20"/>
        <w:wordWrap w:val="0"/>
        <w:adjustRightInd w:val="0"/>
        <w:snapToGrid w:val="0"/>
        <w:ind w:firstLine="0" w:firstLineChars="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本招标项目招标人及招标监管机构：</w:t>
      </w:r>
    </w:p>
    <w:p w14:paraId="413DF6EA">
      <w:pPr>
        <w:pStyle w:val="20"/>
        <w:wordWrap w:val="0"/>
        <w:adjustRightInd w:val="0"/>
        <w:snapToGrid w:val="0"/>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本公司就参加</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投标工作，作出郑重声明：</w:t>
      </w:r>
    </w:p>
    <w:p w14:paraId="4527EFE4">
      <w:pPr>
        <w:pStyle w:val="20"/>
        <w:wordWrap w:val="0"/>
        <w:adjustRightInd w:val="0"/>
        <w:snapToGrid w:val="0"/>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一、本公司保证投标文件及其后提供的一切材料都是真实的。如我司成为本项目中标候选人，我司同意并授权招标人将我司投标文件商务部分文件的人员、业绩、奖项等资料进行公开。</w:t>
      </w:r>
    </w:p>
    <w:p w14:paraId="213F4FF2">
      <w:pPr>
        <w:pStyle w:val="20"/>
        <w:wordWrap w:val="0"/>
        <w:adjustRightInd w:val="0"/>
        <w:snapToGrid w:val="0"/>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二、本公司保证不与其他单位围标、串标，不出让投标资格，不向招标人或评标委员会成员行贿。</w:t>
      </w:r>
    </w:p>
    <w:p w14:paraId="2959E25D">
      <w:pPr>
        <w:pStyle w:val="20"/>
        <w:wordWrap w:val="0"/>
        <w:adjustRightInd w:val="0"/>
        <w:snapToGrid w:val="0"/>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三、本公司不存在招标文件第二章投标人须知第</w:t>
      </w:r>
      <w:r>
        <w:rPr>
          <w:rFonts w:ascii="宋体" w:hAnsi="宋体" w:eastAsia="宋体"/>
          <w:color w:val="auto"/>
          <w:sz w:val="21"/>
          <w:szCs w:val="21"/>
          <w:highlight w:val="none"/>
        </w:rPr>
        <w:t>1.4.3</w:t>
      </w:r>
      <w:r>
        <w:rPr>
          <w:rFonts w:hint="eastAsia" w:ascii="宋体" w:hAnsi="宋体" w:eastAsia="宋体"/>
          <w:color w:val="auto"/>
          <w:sz w:val="21"/>
          <w:szCs w:val="21"/>
          <w:highlight w:val="none"/>
        </w:rPr>
        <w:t>项所规定的任何一种情形。没有处于被本地建设行政主管部门取消投标资格的处罚期内。与招标人过去</w:t>
      </w:r>
      <w:r>
        <w:rPr>
          <w:rFonts w:ascii="宋体" w:hAnsi="宋体" w:eastAsia="宋体"/>
          <w:color w:val="auto"/>
          <w:sz w:val="21"/>
          <w:szCs w:val="21"/>
          <w:highlight w:val="none"/>
        </w:rPr>
        <w:t>3</w:t>
      </w:r>
      <w:r>
        <w:rPr>
          <w:rFonts w:hint="eastAsia" w:ascii="宋体" w:hAnsi="宋体" w:eastAsia="宋体"/>
          <w:color w:val="auto"/>
          <w:sz w:val="21"/>
          <w:szCs w:val="21"/>
          <w:highlight w:val="none"/>
        </w:rPr>
        <w:t>年内无合同履约纠纷。</w:t>
      </w:r>
    </w:p>
    <w:p w14:paraId="2321E433">
      <w:pPr>
        <w:pStyle w:val="20"/>
        <w:wordWrap w:val="0"/>
        <w:adjustRightInd w:val="0"/>
        <w:snapToGrid w:val="0"/>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四、本公司及其有隶属关系的机构，没有参加本项目招标文件的编写工作；本公司与本次招标的招标代理机构没有隶属关系或其他利害关系；</w:t>
      </w:r>
    </w:p>
    <w:p w14:paraId="4EED9785">
      <w:pPr>
        <w:pStyle w:val="20"/>
        <w:wordWrap w:val="0"/>
        <w:adjustRightInd w:val="0"/>
        <w:snapToGrid w:val="0"/>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五、本公司承诺，中标后严格执行安全生产相关管理规定。我单位已充分了解本项目的投资规模、建设内容、建设标准及相关风险，如中标，我单位保证按照招标文件规定的投资控制要求、</w:t>
      </w:r>
      <w:r>
        <w:rPr>
          <w:rFonts w:hint="eastAsia" w:ascii="宋体" w:hAnsi="宋体" w:eastAsia="宋体"/>
          <w:color w:val="auto"/>
          <w:sz w:val="21"/>
          <w:szCs w:val="21"/>
          <w:highlight w:val="none"/>
          <w:lang w:eastAsia="zh-CN"/>
        </w:rPr>
        <w:t>质量标准</w:t>
      </w:r>
      <w:r>
        <w:rPr>
          <w:rFonts w:hint="eastAsia" w:ascii="宋体" w:hAnsi="宋体" w:eastAsia="宋体"/>
          <w:color w:val="auto"/>
          <w:sz w:val="21"/>
          <w:szCs w:val="21"/>
          <w:highlight w:val="none"/>
        </w:rPr>
        <w:t>、工期要求完成勘察工作。</w:t>
      </w:r>
    </w:p>
    <w:p w14:paraId="6A6EE6E9">
      <w:pPr>
        <w:pStyle w:val="20"/>
        <w:wordWrap w:val="0"/>
        <w:adjustRightInd w:val="0"/>
        <w:snapToGrid w:val="0"/>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六、与本公司单位负责人为同一人或者与本公司存在控股、管理关系的其他单位包括：</w:t>
      </w:r>
      <w:r>
        <w:rPr>
          <w:rFonts w:ascii="宋体" w:hAnsi="宋体" w:eastAsia="宋体"/>
          <w:b/>
          <w:color w:val="auto"/>
          <w:sz w:val="21"/>
          <w:szCs w:val="21"/>
          <w:highlight w:val="none"/>
          <w:u w:val="single"/>
        </w:rPr>
        <w:t xml:space="preserve">     </w:t>
      </w:r>
      <w:r>
        <w:rPr>
          <w:rFonts w:hint="eastAsia" w:ascii="宋体" w:hAnsi="宋体" w:eastAsia="宋体"/>
          <w:b/>
          <w:color w:val="auto"/>
          <w:sz w:val="21"/>
          <w:szCs w:val="21"/>
          <w:highlight w:val="none"/>
        </w:rPr>
        <w:t>。（注：本条由投标人如实填写，如有，应列出全部满足招标公告资质要求的相关单位的名称；如无，则填写</w:t>
      </w:r>
      <w:r>
        <w:rPr>
          <w:rFonts w:ascii="宋体" w:hAnsi="宋体" w:eastAsia="宋体"/>
          <w:b/>
          <w:color w:val="auto"/>
          <w:sz w:val="21"/>
          <w:szCs w:val="21"/>
          <w:highlight w:val="none"/>
        </w:rPr>
        <w:t>“</w:t>
      </w:r>
      <w:r>
        <w:rPr>
          <w:rFonts w:hint="eastAsia" w:ascii="宋体" w:hAnsi="宋体" w:eastAsia="宋体"/>
          <w:b/>
          <w:color w:val="auto"/>
          <w:sz w:val="21"/>
          <w:szCs w:val="21"/>
          <w:highlight w:val="none"/>
        </w:rPr>
        <w:t>无</w:t>
      </w:r>
      <w:r>
        <w:rPr>
          <w:rFonts w:ascii="宋体" w:hAnsi="宋体" w:eastAsia="宋体"/>
          <w:b/>
          <w:color w:val="auto"/>
          <w:sz w:val="21"/>
          <w:szCs w:val="21"/>
          <w:highlight w:val="none"/>
        </w:rPr>
        <w:t>”</w:t>
      </w:r>
      <w:r>
        <w:rPr>
          <w:rFonts w:hint="eastAsia" w:ascii="宋体" w:hAnsi="宋体" w:eastAsia="宋体"/>
          <w:b/>
          <w:color w:val="auto"/>
          <w:sz w:val="21"/>
          <w:szCs w:val="21"/>
          <w:highlight w:val="none"/>
        </w:rPr>
        <w:t>。）</w:t>
      </w:r>
    </w:p>
    <w:p w14:paraId="220BA3AC">
      <w:pPr>
        <w:pStyle w:val="20"/>
        <w:wordWrap w:val="0"/>
        <w:adjustRightInd w:val="0"/>
        <w:snapToGrid w:val="0"/>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七、本公司已经对投标时拟投入本项目的管理团队和专业技术人员进行了自查，保证拟投入的所有人员都是本单位正式人员，都在本单位缴纳社保，不存在持证人注册单位与实际工作单位不符、买卖租借（专业）资格（注册）证书等</w:t>
      </w:r>
      <w:r>
        <w:rPr>
          <w:rFonts w:ascii="宋体" w:hAnsi="宋体" w:eastAsia="宋体"/>
          <w:color w:val="auto"/>
          <w:sz w:val="21"/>
          <w:szCs w:val="21"/>
          <w:highlight w:val="none"/>
        </w:rPr>
        <w:t>“</w:t>
      </w:r>
      <w:r>
        <w:rPr>
          <w:rFonts w:hint="eastAsia" w:ascii="宋体" w:hAnsi="宋体" w:eastAsia="宋体"/>
          <w:color w:val="auto"/>
          <w:sz w:val="21"/>
          <w:szCs w:val="21"/>
          <w:highlight w:val="none"/>
        </w:rPr>
        <w:t>挂证</w:t>
      </w:r>
      <w:r>
        <w:rPr>
          <w:rFonts w:ascii="宋体" w:hAnsi="宋体" w:eastAsia="宋体"/>
          <w:color w:val="auto"/>
          <w:sz w:val="21"/>
          <w:szCs w:val="21"/>
          <w:highlight w:val="none"/>
        </w:rPr>
        <w:t>”</w:t>
      </w:r>
      <w:r>
        <w:rPr>
          <w:rFonts w:hint="eastAsia" w:ascii="宋体" w:hAnsi="宋体" w:eastAsia="宋体"/>
          <w:color w:val="auto"/>
          <w:sz w:val="21"/>
          <w:szCs w:val="21"/>
          <w:highlight w:val="none"/>
        </w:rPr>
        <w:t>违法违规行为。</w:t>
      </w:r>
    </w:p>
    <w:p w14:paraId="41540F3E">
      <w:pPr>
        <w:pStyle w:val="20"/>
        <w:wordWrap w:val="0"/>
        <w:adjustRightInd w:val="0"/>
        <w:snapToGrid w:val="0"/>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八、本公司违反上述保证，或本声明陈述与事实不符，经查实，本公司愿意接受公开通报，记录不良行为，承担由此带来的法律后果。其中，本声明陈述与事实不符的，属于弄虚作假骗取中标，将依法接受监管部门的处罚。</w:t>
      </w:r>
    </w:p>
    <w:p w14:paraId="4776D4ED">
      <w:pPr>
        <w:pStyle w:val="20"/>
        <w:wordWrap w:val="0"/>
        <w:adjustRightInd w:val="0"/>
        <w:snapToGrid w:val="0"/>
        <w:ind w:firstLine="420" w:firstLineChars="2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特此声明。</w:t>
      </w:r>
    </w:p>
    <w:p w14:paraId="32627B02">
      <w:pPr>
        <w:pStyle w:val="20"/>
        <w:wordWrap w:val="0"/>
        <w:adjustRightInd w:val="0"/>
        <w:snapToGrid w:val="0"/>
        <w:ind w:firstLine="420" w:firstLineChars="200"/>
        <w:rPr>
          <w:rFonts w:hint="eastAsia" w:ascii="宋体" w:hAnsi="宋体" w:eastAsia="宋体"/>
          <w:b w:val="0"/>
          <w:bCs w:val="0"/>
          <w:color w:val="auto"/>
          <w:sz w:val="21"/>
          <w:szCs w:val="21"/>
          <w:highlight w:val="none"/>
        </w:rPr>
      </w:pPr>
    </w:p>
    <w:p w14:paraId="6CE3C671">
      <w:pPr>
        <w:pStyle w:val="5"/>
        <w:kinsoku w:val="0"/>
        <w:wordWrap w:val="0"/>
        <w:overflowPunct w:val="0"/>
        <w:adjustRightInd w:val="0"/>
        <w:snapToGrid w:val="0"/>
        <w:spacing w:line="360" w:lineRule="auto"/>
        <w:ind w:left="0" w:firstLine="420" w:firstLineChars="200"/>
        <w:jc w:val="right"/>
        <w:rPr>
          <w:b w:val="0"/>
          <w:color w:val="auto"/>
          <w:sz w:val="21"/>
          <w:szCs w:val="21"/>
          <w:highlight w:val="none"/>
          <w:lang w:eastAsia="zh-CN"/>
        </w:rPr>
      </w:pPr>
      <w:r>
        <w:rPr>
          <w:rFonts w:hint="eastAsia"/>
          <w:b w:val="0"/>
          <w:color w:val="auto"/>
          <w:sz w:val="21"/>
          <w:szCs w:val="21"/>
          <w:highlight w:val="none"/>
          <w:lang w:eastAsia="zh-CN"/>
        </w:rPr>
        <w:t>投标</w:t>
      </w:r>
      <w:r>
        <w:rPr>
          <w:rFonts w:hint="eastAsia"/>
          <w:b w:val="0"/>
          <w:color w:val="auto"/>
          <w:spacing w:val="-2"/>
          <w:sz w:val="21"/>
          <w:szCs w:val="21"/>
          <w:highlight w:val="none"/>
          <w:lang w:eastAsia="zh-CN"/>
        </w:rPr>
        <w:t>人：</w:t>
      </w:r>
      <w:r>
        <w:rPr>
          <w:rFonts w:hint="eastAsia"/>
          <w:b w:val="0"/>
          <w:color w:val="auto"/>
          <w:spacing w:val="-2"/>
          <w:sz w:val="21"/>
          <w:szCs w:val="21"/>
          <w:highlight w:val="none"/>
          <w:u w:val="single"/>
          <w:lang w:eastAsia="zh-CN"/>
        </w:rPr>
        <w:t xml:space="preserve">   </w:t>
      </w:r>
      <w:r>
        <w:rPr>
          <w:b w:val="0"/>
          <w:color w:val="auto"/>
          <w:spacing w:val="-2"/>
          <w:sz w:val="21"/>
          <w:szCs w:val="21"/>
          <w:highlight w:val="none"/>
          <w:u w:val="single"/>
          <w:lang w:eastAsia="zh-CN"/>
        </w:rPr>
        <w:t xml:space="preserve">  </w:t>
      </w:r>
      <w:r>
        <w:rPr>
          <w:rFonts w:hint="eastAsia"/>
          <w:b w:val="0"/>
          <w:color w:val="auto"/>
          <w:spacing w:val="-2"/>
          <w:sz w:val="21"/>
          <w:szCs w:val="21"/>
          <w:highlight w:val="none"/>
          <w:u w:val="single"/>
          <w:lang w:eastAsia="zh-CN"/>
        </w:rPr>
        <w:t xml:space="preserve"> </w:t>
      </w:r>
      <w:r>
        <w:rPr>
          <w:b w:val="0"/>
          <w:color w:val="auto"/>
          <w:spacing w:val="-2"/>
          <w:sz w:val="21"/>
          <w:szCs w:val="21"/>
          <w:highlight w:val="none"/>
          <w:u w:val="single"/>
          <w:lang w:eastAsia="zh-CN"/>
        </w:rPr>
        <w:t xml:space="preserve">    </w:t>
      </w:r>
      <w:r>
        <w:rPr>
          <w:rFonts w:hint="eastAsia"/>
          <w:b w:val="0"/>
          <w:color w:val="auto"/>
          <w:spacing w:val="-2"/>
          <w:sz w:val="21"/>
          <w:szCs w:val="21"/>
          <w:highlight w:val="none"/>
          <w:u w:val="single"/>
          <w:lang w:eastAsia="zh-CN"/>
        </w:rPr>
        <w:t xml:space="preserve">  </w:t>
      </w:r>
      <w:r>
        <w:rPr>
          <w:rFonts w:hint="eastAsia"/>
          <w:b w:val="0"/>
          <w:color w:val="auto"/>
          <w:spacing w:val="-1"/>
          <w:sz w:val="21"/>
          <w:szCs w:val="21"/>
          <w:highlight w:val="none"/>
          <w:lang w:eastAsia="zh-CN"/>
        </w:rPr>
        <w:t>（盖单位章）</w:t>
      </w:r>
    </w:p>
    <w:p w14:paraId="1B5A18B6">
      <w:pPr>
        <w:wordWrap w:val="0"/>
        <w:adjustRightInd w:val="0"/>
        <w:snapToGrid w:val="0"/>
        <w:spacing w:line="360" w:lineRule="auto"/>
        <w:ind w:firstLine="420" w:firstLineChars="200"/>
        <w:jc w:val="right"/>
        <w:rPr>
          <w:rFonts w:ascii="宋体" w:hAnsi="宋体"/>
          <w:b w:val="0"/>
          <w:bCs w:val="0"/>
          <w:color w:val="auto"/>
          <w:sz w:val="21"/>
          <w:szCs w:val="21"/>
          <w:highlight w:val="none"/>
        </w:rPr>
      </w:pPr>
      <w:r>
        <w:rPr>
          <w:rFonts w:hint="eastAsia" w:ascii="宋体" w:hAnsi="宋体"/>
          <w:b w:val="0"/>
          <w:bCs w:val="0"/>
          <w:color w:val="auto"/>
          <w:sz w:val="21"/>
          <w:szCs w:val="21"/>
          <w:highlight w:val="none"/>
        </w:rPr>
        <w:t>法定代表人或其委托代理人：</w:t>
      </w:r>
      <w:r>
        <w:rPr>
          <w:rFonts w:hint="eastAsia" w:ascii="宋体" w:hAnsi="宋体"/>
          <w:b w:val="0"/>
          <w:bCs w:val="0"/>
          <w:color w:val="auto"/>
          <w:sz w:val="21"/>
          <w:szCs w:val="21"/>
          <w:highlight w:val="none"/>
          <w:u w:val="single"/>
        </w:rPr>
        <w:t xml:space="preserve">    </w:t>
      </w:r>
      <w:r>
        <w:rPr>
          <w:rFonts w:ascii="宋体" w:hAnsi="宋体"/>
          <w:b w:val="0"/>
          <w:bCs w:val="0"/>
          <w:color w:val="auto"/>
          <w:sz w:val="21"/>
          <w:szCs w:val="21"/>
          <w:highlight w:val="none"/>
          <w:u w:val="single"/>
        </w:rPr>
        <w:t xml:space="preserve">    </w:t>
      </w:r>
      <w:r>
        <w:rPr>
          <w:rFonts w:hint="eastAsia" w:ascii="宋体" w:hAnsi="宋体"/>
          <w:b w:val="0"/>
          <w:bCs w:val="0"/>
          <w:color w:val="auto"/>
          <w:sz w:val="21"/>
          <w:szCs w:val="21"/>
          <w:highlight w:val="none"/>
          <w:u w:val="single"/>
        </w:rPr>
        <w:t xml:space="preserve"> </w:t>
      </w:r>
      <w:r>
        <w:rPr>
          <w:rFonts w:hint="eastAsia" w:ascii="宋体" w:hAnsi="宋体"/>
          <w:b w:val="0"/>
          <w:bCs w:val="0"/>
          <w:color w:val="auto"/>
          <w:sz w:val="21"/>
          <w:szCs w:val="21"/>
          <w:highlight w:val="none"/>
        </w:rPr>
        <w:t>（签字或盖章）</w:t>
      </w:r>
    </w:p>
    <w:p w14:paraId="73235285">
      <w:pPr>
        <w:pStyle w:val="20"/>
        <w:adjustRightInd w:val="0"/>
        <w:snapToGrid w:val="0"/>
        <w:ind w:firstLine="420" w:firstLineChars="200"/>
        <w:jc w:val="right"/>
        <w:rPr>
          <w:rFonts w:hint="eastAsia" w:ascii="宋体" w:hAnsi="宋体" w:eastAsia="宋体"/>
          <w:b w:val="0"/>
          <w:color w:val="auto"/>
          <w:sz w:val="21"/>
          <w:szCs w:val="21"/>
          <w:highlight w:val="none"/>
          <w:lang w:val="en-US" w:eastAsia="zh-CN"/>
        </w:rPr>
      </w:pPr>
      <w:r>
        <w:rPr>
          <w:rFonts w:hint="eastAsia" w:ascii="宋体" w:hAnsi="宋体" w:eastAsia="宋体"/>
          <w:b w:val="0"/>
          <w:color w:val="auto"/>
          <w:sz w:val="21"/>
          <w:szCs w:val="21"/>
          <w:highlight w:val="none"/>
          <w:u w:val="single"/>
        </w:rPr>
        <w:t xml:space="preserve"> </w:t>
      </w:r>
      <w:r>
        <w:rPr>
          <w:rFonts w:ascii="宋体" w:hAnsi="宋体" w:eastAsia="宋体"/>
          <w:b w:val="0"/>
          <w:color w:val="auto"/>
          <w:sz w:val="21"/>
          <w:szCs w:val="21"/>
          <w:highlight w:val="none"/>
          <w:u w:val="single"/>
        </w:rPr>
        <w:t xml:space="preserve">     </w:t>
      </w:r>
      <w:r>
        <w:rPr>
          <w:rFonts w:hint="eastAsia" w:ascii="宋体" w:hAnsi="宋体" w:eastAsia="宋体"/>
          <w:b w:val="0"/>
          <w:color w:val="auto"/>
          <w:sz w:val="21"/>
          <w:szCs w:val="21"/>
          <w:highlight w:val="none"/>
        </w:rPr>
        <w:t>年</w:t>
      </w:r>
      <w:r>
        <w:rPr>
          <w:rFonts w:ascii="宋体" w:hAnsi="宋体" w:eastAsia="宋体"/>
          <w:b w:val="0"/>
          <w:color w:val="auto"/>
          <w:sz w:val="21"/>
          <w:szCs w:val="21"/>
          <w:highlight w:val="none"/>
          <w:u w:val="single"/>
        </w:rPr>
        <w:t xml:space="preserve">   </w:t>
      </w:r>
      <w:r>
        <w:rPr>
          <w:rFonts w:hint="eastAsia" w:ascii="宋体" w:hAnsi="宋体" w:eastAsia="宋体"/>
          <w:b w:val="0"/>
          <w:color w:val="auto"/>
          <w:sz w:val="21"/>
          <w:szCs w:val="21"/>
          <w:highlight w:val="none"/>
        </w:rPr>
        <w:t>月</w:t>
      </w:r>
      <w:r>
        <w:rPr>
          <w:rFonts w:hint="eastAsia" w:ascii="宋体" w:hAnsi="宋体" w:eastAsia="宋体"/>
          <w:b w:val="0"/>
          <w:color w:val="auto"/>
          <w:sz w:val="21"/>
          <w:szCs w:val="21"/>
          <w:highlight w:val="none"/>
          <w:u w:val="single"/>
          <w:lang w:eastAsia="zh-CN"/>
        </w:rPr>
        <w:t xml:space="preserve"> </w:t>
      </w:r>
      <w:r>
        <w:rPr>
          <w:rFonts w:hint="eastAsia" w:ascii="宋体" w:hAnsi="宋体" w:eastAsia="宋体"/>
          <w:b w:val="0"/>
          <w:color w:val="auto"/>
          <w:sz w:val="21"/>
          <w:szCs w:val="21"/>
          <w:highlight w:val="none"/>
          <w:u w:val="single"/>
          <w:lang w:val="en-US" w:eastAsia="zh-CN"/>
        </w:rPr>
        <w:t xml:space="preserve"> </w:t>
      </w:r>
      <w:r>
        <w:rPr>
          <w:rFonts w:ascii="宋体" w:hAnsi="宋体" w:eastAsia="宋体"/>
          <w:b w:val="0"/>
          <w:color w:val="auto"/>
          <w:sz w:val="21"/>
          <w:szCs w:val="21"/>
          <w:highlight w:val="none"/>
          <w:u w:val="single"/>
        </w:rPr>
        <w:t xml:space="preserve"> </w:t>
      </w:r>
      <w:r>
        <w:rPr>
          <w:rFonts w:hint="eastAsia" w:ascii="宋体" w:hAnsi="宋体" w:eastAsia="宋体"/>
          <w:b w:val="0"/>
          <w:color w:val="auto"/>
          <w:sz w:val="21"/>
          <w:szCs w:val="21"/>
          <w:highlight w:val="none"/>
        </w:rPr>
        <w:t>日</w:t>
      </w:r>
      <w:r>
        <w:rPr>
          <w:rFonts w:hint="eastAsia" w:ascii="宋体" w:hAnsi="宋体" w:eastAsia="宋体"/>
          <w:b w:val="0"/>
          <w:color w:val="auto"/>
          <w:sz w:val="21"/>
          <w:szCs w:val="21"/>
          <w:highlight w:val="none"/>
          <w:lang w:val="en-US" w:eastAsia="zh-CN"/>
        </w:rPr>
        <w:t xml:space="preserve">    </w:t>
      </w:r>
    </w:p>
    <w:p w14:paraId="1A30C5E5">
      <w:pPr>
        <w:pStyle w:val="20"/>
        <w:adjustRightInd w:val="0"/>
        <w:snapToGrid w:val="0"/>
        <w:ind w:firstLine="420" w:firstLineChars="200"/>
        <w:jc w:val="right"/>
        <w:rPr>
          <w:rFonts w:hint="eastAsia" w:ascii="宋体" w:hAnsi="宋体" w:eastAsia="宋体"/>
          <w:b w:val="0"/>
          <w:color w:val="auto"/>
          <w:sz w:val="21"/>
          <w:szCs w:val="21"/>
          <w:highlight w:val="none"/>
          <w:lang w:val="en-US" w:eastAsia="zh-CN"/>
        </w:rPr>
      </w:pPr>
    </w:p>
    <w:p w14:paraId="0054EC76">
      <w:pPr>
        <w:wordWrap/>
        <w:adjustRightInd/>
        <w:snapToGrid/>
        <w:spacing w:line="240" w:lineRule="auto"/>
        <w:ind w:firstLine="0" w:firstLineChars="0"/>
        <w:jc w:val="left"/>
        <w:rPr>
          <w:rFonts w:hint="eastAsia" w:ascii="宋体" w:hAnsi="宋体"/>
          <w:b/>
          <w:color w:val="auto"/>
          <w:sz w:val="24"/>
          <w:szCs w:val="24"/>
          <w:highlight w:val="none"/>
        </w:rPr>
      </w:pPr>
      <w:r>
        <w:rPr>
          <w:rFonts w:hint="eastAsia" w:ascii="宋体" w:hAnsi="宋体"/>
          <w:b/>
          <w:color w:val="auto"/>
          <w:sz w:val="24"/>
          <w:szCs w:val="24"/>
          <w:highlight w:val="none"/>
        </w:rPr>
        <w:br w:type="page"/>
      </w:r>
    </w:p>
    <w:p w14:paraId="1CE7A929">
      <w:pPr>
        <w:wordWrap w:val="0"/>
        <w:adjustRightInd w:val="0"/>
        <w:snapToGrid w:val="0"/>
        <w:spacing w:line="360" w:lineRule="auto"/>
        <w:ind w:firstLine="0" w:firstLineChars="0"/>
        <w:jc w:val="left"/>
        <w:rPr>
          <w:rFonts w:ascii="宋体" w:hAnsi="宋体"/>
          <w:b/>
          <w:color w:val="auto"/>
          <w:sz w:val="24"/>
          <w:szCs w:val="24"/>
          <w:highlight w:val="none"/>
        </w:rPr>
      </w:pPr>
      <w:r>
        <w:rPr>
          <w:rFonts w:hint="eastAsia" w:ascii="宋体" w:hAnsi="宋体"/>
          <w:b/>
          <w:color w:val="auto"/>
          <w:sz w:val="24"/>
          <w:szCs w:val="24"/>
          <w:highlight w:val="none"/>
        </w:rPr>
        <w:t>附件</w:t>
      </w:r>
      <w:r>
        <w:rPr>
          <w:rFonts w:hint="eastAsia" w:ascii="宋体" w:hAnsi="宋体"/>
          <w:b/>
          <w:color w:val="auto"/>
          <w:sz w:val="24"/>
          <w:szCs w:val="24"/>
          <w:highlight w:val="none"/>
          <w:lang w:val="en-US" w:eastAsia="zh-CN"/>
        </w:rPr>
        <w:t>2</w:t>
      </w:r>
      <w:r>
        <w:rPr>
          <w:rFonts w:hint="eastAsia" w:ascii="宋体" w:hAnsi="宋体"/>
          <w:b/>
          <w:color w:val="auto"/>
          <w:sz w:val="24"/>
          <w:szCs w:val="24"/>
          <w:highlight w:val="none"/>
        </w:rPr>
        <w:t>：</w:t>
      </w:r>
    </w:p>
    <w:p w14:paraId="50C25DCA">
      <w:pPr>
        <w:wordWrap w:val="0"/>
        <w:adjustRightInd w:val="0"/>
        <w:snapToGrid w:val="0"/>
        <w:spacing w:line="360" w:lineRule="auto"/>
        <w:ind w:firstLine="0" w:firstLineChars="0"/>
        <w:jc w:val="left"/>
        <w:rPr>
          <w:rFonts w:hint="eastAsia" w:ascii="宋体" w:hAnsi="宋体"/>
          <w:b/>
          <w:color w:val="auto"/>
          <w:sz w:val="24"/>
          <w:szCs w:val="24"/>
          <w:highlight w:val="none"/>
        </w:rPr>
      </w:pPr>
      <w:r>
        <w:rPr>
          <w:color w:val="auto"/>
          <w:highlight w:val="none"/>
        </w:rPr>
        <w:drawing>
          <wp:inline distT="0" distB="0" distL="114300" distR="114300">
            <wp:extent cx="5727700" cy="8093075"/>
            <wp:effectExtent l="0" t="0" r="0" b="9525"/>
            <wp:docPr id="2" name="图片 1" descr="南沙开发区（区）建设中心拒绝投标单位名单（建设项目投标资格）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南沙开发区（区）建设中心拒绝投标单位名单（建设项目投标资格）_00"/>
                    <pic:cNvPicPr>
                      <a:picLocks noChangeAspect="1"/>
                    </pic:cNvPicPr>
                  </pic:nvPicPr>
                  <pic:blipFill>
                    <a:blip r:embed="rId10"/>
                    <a:stretch>
                      <a:fillRect/>
                    </a:stretch>
                  </pic:blipFill>
                  <pic:spPr>
                    <a:xfrm>
                      <a:off x="0" y="0"/>
                      <a:ext cx="5727700" cy="8093075"/>
                    </a:xfrm>
                    <a:prstGeom prst="rect">
                      <a:avLst/>
                    </a:prstGeom>
                    <a:noFill/>
                    <a:ln>
                      <a:noFill/>
                    </a:ln>
                  </pic:spPr>
                </pic:pic>
              </a:graphicData>
            </a:graphic>
          </wp:inline>
        </w:drawing>
      </w:r>
    </w:p>
    <w:p w14:paraId="60E8728A">
      <w:pPr>
        <w:pStyle w:val="20"/>
        <w:adjustRightInd w:val="0"/>
        <w:snapToGrid w:val="0"/>
        <w:ind w:firstLine="420" w:firstLineChars="200"/>
        <w:jc w:val="right"/>
        <w:rPr>
          <w:rFonts w:hint="eastAsia" w:ascii="宋体" w:hAnsi="宋体" w:eastAsia="宋体"/>
          <w:b w:val="0"/>
          <w:color w:val="auto"/>
          <w:sz w:val="21"/>
          <w:szCs w:val="21"/>
          <w:highlight w:val="none"/>
          <w:lang w:val="en-US" w:eastAsia="zh-CN"/>
        </w:rPr>
      </w:pPr>
    </w:p>
    <w:sectPr>
      <w:footerReference r:id="rId8"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249C1">
    <w:pPr>
      <w:pStyle w:val="9"/>
      <w:jc w:val="center"/>
    </w:pPr>
  </w:p>
  <w:p w14:paraId="3E81C635">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2F929">
    <w:pPr>
      <w:pStyle w:val="9"/>
      <w:framePr w:wrap="around" w:vAnchor="text" w:hAnchor="margin" w:xAlign="right" w:y="1"/>
      <w:rPr>
        <w:rStyle w:val="16"/>
      </w:rPr>
    </w:pPr>
    <w:r>
      <w:fldChar w:fldCharType="begin"/>
    </w:r>
    <w:r>
      <w:rPr>
        <w:rStyle w:val="16"/>
      </w:rPr>
      <w:instrText xml:space="preserve">PAGE  </w:instrText>
    </w:r>
    <w:r>
      <w:fldChar w:fldCharType="end"/>
    </w:r>
  </w:p>
  <w:p w14:paraId="03A86081">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83B80">
    <w:pPr>
      <w:pStyle w:val="9"/>
      <w:jc w:val="center"/>
    </w:pPr>
  </w:p>
  <w:p w14:paraId="4D45A8ED">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B5565">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B911E5">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Kr20Y5AgAAcQQAAA4AAABkcnMvZTJvRG9jLnhtbK1UzY7TMBC+I/EO&#10;lu80aRFL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6hgr0jScYSKlvvRohW7b&#10;nXluTXkETWf6SfGWrxuUsmE+3DGH0UD5eDzhFkslDVKas0VJbdzXf53HeHQMXkpajFpBNV4WJfKD&#10;RicBGAbDDcZ2MPRe3RjMLpqDWpKJCy7IwaycUV/wopYxB1xMc2QqaBjMm9CPO14kF8tlCtpb1+zq&#10;/gLm0LKw0feWxzRRKm+X+wBpk+JRoF4VdCpuMImpZ+dXE0f9z32Kevx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FKr20Y5AgAAcQQAAA4AAAAAAAAAAQAgAAAAHwEAAGRycy9lMm9Eb2Mu&#10;eG1sUEsFBgAAAAAGAAYAWQEAAMoFAAAAAA==&#10;">
              <v:fill on="f" focussize="0,0"/>
              <v:stroke on="f" weight="0.5pt"/>
              <v:imagedata o:title=""/>
              <o:lock v:ext="edit" aspectratio="f"/>
              <v:textbox inset="0mm,0mm,0mm,0mm" style="mso-fit-shape-to-text:t;">
                <w:txbxContent>
                  <w:p w14:paraId="1EB911E5">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68E3C">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DDB16">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ind w:left="0" w:firstLine="0"/>
      </w:pPr>
      <w:rPr>
        <w:rFonts w:hint="eastAsia"/>
      </w:rPr>
    </w:lvl>
    <w:lvl w:ilvl="1" w:tentative="0">
      <w:start w:val="1"/>
      <w:numFmt w:val="bullet"/>
      <w:lvlText w:val=""/>
      <w:lvlJc w:val="left"/>
      <w:pPr>
        <w:ind w:left="0" w:firstLine="0"/>
      </w:pPr>
      <w:rPr>
        <w:rFonts w:hint="eastAsia"/>
      </w:rPr>
    </w:lvl>
    <w:lvl w:ilvl="2" w:tentative="0">
      <w:start w:val="1"/>
      <w:numFmt w:val="bullet"/>
      <w:lvlText w:val=""/>
      <w:lvlJc w:val="left"/>
      <w:pPr>
        <w:ind w:left="0" w:firstLine="0"/>
      </w:pPr>
      <w:rPr>
        <w:rFonts w:hint="eastAsia"/>
      </w:rPr>
    </w:lvl>
    <w:lvl w:ilvl="3" w:tentative="0">
      <w:start w:val="1"/>
      <w:numFmt w:val="bullet"/>
      <w:lvlText w:val=""/>
      <w:lvlJc w:val="left"/>
      <w:pPr>
        <w:ind w:left="0" w:firstLine="0"/>
      </w:pPr>
      <w:rPr>
        <w:rFonts w:hint="eastAsia"/>
      </w:rPr>
    </w:lvl>
    <w:lvl w:ilvl="4" w:tentative="0">
      <w:start w:val="1"/>
      <w:numFmt w:val="bullet"/>
      <w:lvlText w:val=""/>
      <w:lvlJc w:val="left"/>
      <w:pPr>
        <w:ind w:left="0" w:firstLine="0"/>
      </w:pPr>
      <w:rPr>
        <w:rFonts w:hint="eastAsia"/>
      </w:rPr>
    </w:lvl>
    <w:lvl w:ilvl="5" w:tentative="0">
      <w:start w:val="1"/>
      <w:numFmt w:val="bullet"/>
      <w:lvlText w:val=""/>
      <w:lvlJc w:val="left"/>
      <w:pPr>
        <w:ind w:left="0" w:firstLine="0"/>
      </w:pPr>
      <w:rPr>
        <w:rFonts w:hint="eastAsia"/>
      </w:rPr>
    </w:lvl>
    <w:lvl w:ilvl="6" w:tentative="0">
      <w:start w:val="1"/>
      <w:numFmt w:val="bullet"/>
      <w:lvlText w:val=""/>
      <w:lvlJc w:val="left"/>
      <w:pPr>
        <w:ind w:left="0" w:firstLine="0"/>
      </w:pPr>
      <w:rPr>
        <w:rFonts w:hint="eastAsia"/>
      </w:rPr>
    </w:lvl>
    <w:lvl w:ilvl="7" w:tentative="0">
      <w:start w:val="1"/>
      <w:numFmt w:val="bullet"/>
      <w:lvlText w:val=""/>
      <w:lvlJc w:val="left"/>
      <w:pPr>
        <w:ind w:left="0" w:firstLine="0"/>
      </w:pPr>
      <w:rPr>
        <w:rFonts w:hint="eastAsia"/>
      </w:rPr>
    </w:lvl>
    <w:lvl w:ilvl="8" w:tentative="0">
      <w:start w:val="1"/>
      <w:numFmt w:val="bullet"/>
      <w:lvlText w:val=""/>
      <w:lvlJc w:val="left"/>
      <w:pPr>
        <w:ind w:left="0" w:firstLine="0"/>
      </w:pPr>
      <w:rPr>
        <w:rFonts w:hint="eastAsia"/>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0MDM3YTkzYzliYWFlZTFiZDczYmM5Zjk3N2ZlZjcifQ=="/>
  </w:docVars>
  <w:rsids>
    <w:rsidRoot w:val="72812A4F"/>
    <w:rsid w:val="00086DC0"/>
    <w:rsid w:val="000E5808"/>
    <w:rsid w:val="00116411"/>
    <w:rsid w:val="001812B9"/>
    <w:rsid w:val="002220C4"/>
    <w:rsid w:val="00300CED"/>
    <w:rsid w:val="003256F0"/>
    <w:rsid w:val="00376EDF"/>
    <w:rsid w:val="003C08F2"/>
    <w:rsid w:val="003C2961"/>
    <w:rsid w:val="00430811"/>
    <w:rsid w:val="004671DA"/>
    <w:rsid w:val="00474608"/>
    <w:rsid w:val="004E4F1D"/>
    <w:rsid w:val="0053705D"/>
    <w:rsid w:val="00710723"/>
    <w:rsid w:val="00717D15"/>
    <w:rsid w:val="00741458"/>
    <w:rsid w:val="007E6754"/>
    <w:rsid w:val="00887E4C"/>
    <w:rsid w:val="009A071C"/>
    <w:rsid w:val="009C03AE"/>
    <w:rsid w:val="009E360B"/>
    <w:rsid w:val="00B20753"/>
    <w:rsid w:val="00BA5B4D"/>
    <w:rsid w:val="00D113D6"/>
    <w:rsid w:val="00D601F5"/>
    <w:rsid w:val="00DA0E53"/>
    <w:rsid w:val="00DB27CF"/>
    <w:rsid w:val="00DD0509"/>
    <w:rsid w:val="00DD6A25"/>
    <w:rsid w:val="00E211E3"/>
    <w:rsid w:val="00E61665"/>
    <w:rsid w:val="00E628CE"/>
    <w:rsid w:val="00E87CD4"/>
    <w:rsid w:val="01251E99"/>
    <w:rsid w:val="03257C46"/>
    <w:rsid w:val="03DC7F4D"/>
    <w:rsid w:val="06FC2DC7"/>
    <w:rsid w:val="06FF163B"/>
    <w:rsid w:val="07997759"/>
    <w:rsid w:val="085C15D8"/>
    <w:rsid w:val="09750C0F"/>
    <w:rsid w:val="0DA1250E"/>
    <w:rsid w:val="0DA4373A"/>
    <w:rsid w:val="0DE21921"/>
    <w:rsid w:val="0F260528"/>
    <w:rsid w:val="0F301000"/>
    <w:rsid w:val="10E01064"/>
    <w:rsid w:val="11572420"/>
    <w:rsid w:val="118B7221"/>
    <w:rsid w:val="12417C91"/>
    <w:rsid w:val="16321CA0"/>
    <w:rsid w:val="16B1534A"/>
    <w:rsid w:val="180B5DCF"/>
    <w:rsid w:val="18B3568B"/>
    <w:rsid w:val="197D4421"/>
    <w:rsid w:val="1ACD77C8"/>
    <w:rsid w:val="1B7673C7"/>
    <w:rsid w:val="1C4034F7"/>
    <w:rsid w:val="1D1940BE"/>
    <w:rsid w:val="1D3369BF"/>
    <w:rsid w:val="1D88396D"/>
    <w:rsid w:val="1D9874C9"/>
    <w:rsid w:val="1E204E7C"/>
    <w:rsid w:val="1E905236"/>
    <w:rsid w:val="1F52099A"/>
    <w:rsid w:val="1FD9384E"/>
    <w:rsid w:val="21604585"/>
    <w:rsid w:val="2184648F"/>
    <w:rsid w:val="234B4A63"/>
    <w:rsid w:val="23586B84"/>
    <w:rsid w:val="239376FE"/>
    <w:rsid w:val="27223D2C"/>
    <w:rsid w:val="28687DE8"/>
    <w:rsid w:val="28A24D3E"/>
    <w:rsid w:val="290C1785"/>
    <w:rsid w:val="29D11DFC"/>
    <w:rsid w:val="2BA2368E"/>
    <w:rsid w:val="2C7907D6"/>
    <w:rsid w:val="2CD710AC"/>
    <w:rsid w:val="2D0B5263"/>
    <w:rsid w:val="2D410C84"/>
    <w:rsid w:val="2FB5502A"/>
    <w:rsid w:val="315B54D8"/>
    <w:rsid w:val="3373755A"/>
    <w:rsid w:val="34BD1EC6"/>
    <w:rsid w:val="356E45E1"/>
    <w:rsid w:val="37985456"/>
    <w:rsid w:val="386A550B"/>
    <w:rsid w:val="38865584"/>
    <w:rsid w:val="3A092B2A"/>
    <w:rsid w:val="3B543A11"/>
    <w:rsid w:val="3C221E37"/>
    <w:rsid w:val="3DC94AAA"/>
    <w:rsid w:val="3EA94CAA"/>
    <w:rsid w:val="406227B1"/>
    <w:rsid w:val="42927B60"/>
    <w:rsid w:val="4403190F"/>
    <w:rsid w:val="46C55DCC"/>
    <w:rsid w:val="481A1285"/>
    <w:rsid w:val="48B1057E"/>
    <w:rsid w:val="48CA7271"/>
    <w:rsid w:val="49813612"/>
    <w:rsid w:val="49F37360"/>
    <w:rsid w:val="4A6D5CCC"/>
    <w:rsid w:val="4B954413"/>
    <w:rsid w:val="4C950986"/>
    <w:rsid w:val="4E605066"/>
    <w:rsid w:val="4E81721E"/>
    <w:rsid w:val="4F824AB9"/>
    <w:rsid w:val="4FC326FC"/>
    <w:rsid w:val="4FFD65C4"/>
    <w:rsid w:val="507827A2"/>
    <w:rsid w:val="5093272F"/>
    <w:rsid w:val="511A6F97"/>
    <w:rsid w:val="512E03B6"/>
    <w:rsid w:val="519D1AEE"/>
    <w:rsid w:val="51D830B6"/>
    <w:rsid w:val="522462FB"/>
    <w:rsid w:val="533B59BF"/>
    <w:rsid w:val="54977258"/>
    <w:rsid w:val="55036C4E"/>
    <w:rsid w:val="559B6709"/>
    <w:rsid w:val="55CA4F5D"/>
    <w:rsid w:val="569702BA"/>
    <w:rsid w:val="575E405D"/>
    <w:rsid w:val="58036818"/>
    <w:rsid w:val="59A859A9"/>
    <w:rsid w:val="5C12559D"/>
    <w:rsid w:val="5C502193"/>
    <w:rsid w:val="5C5228C1"/>
    <w:rsid w:val="5EE369BF"/>
    <w:rsid w:val="60D551BC"/>
    <w:rsid w:val="62B8455A"/>
    <w:rsid w:val="644D16E1"/>
    <w:rsid w:val="64BC6281"/>
    <w:rsid w:val="65A43583"/>
    <w:rsid w:val="65C87F67"/>
    <w:rsid w:val="680B78E9"/>
    <w:rsid w:val="68D67EF7"/>
    <w:rsid w:val="6A083105"/>
    <w:rsid w:val="6CE4695B"/>
    <w:rsid w:val="6D4D71AC"/>
    <w:rsid w:val="704D18C4"/>
    <w:rsid w:val="70A41737"/>
    <w:rsid w:val="72812A4F"/>
    <w:rsid w:val="73217071"/>
    <w:rsid w:val="73B057E9"/>
    <w:rsid w:val="74415DF2"/>
    <w:rsid w:val="76CC293A"/>
    <w:rsid w:val="76E048E4"/>
    <w:rsid w:val="77456673"/>
    <w:rsid w:val="775063F6"/>
    <w:rsid w:val="783D41F3"/>
    <w:rsid w:val="78610B7D"/>
    <w:rsid w:val="78994A9D"/>
    <w:rsid w:val="790074D7"/>
    <w:rsid w:val="798C36FE"/>
    <w:rsid w:val="7A5910FC"/>
    <w:rsid w:val="7D7D498E"/>
    <w:rsid w:val="7DBB2BEB"/>
    <w:rsid w:val="7E0043A5"/>
    <w:rsid w:val="7E6014FE"/>
    <w:rsid w:val="7EBC27B2"/>
    <w:rsid w:val="7EDC1B88"/>
    <w:rsid w:val="7FC84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99"/>
    <w:pPr>
      <w:ind w:left="3"/>
      <w:jc w:val="left"/>
      <w:outlineLvl w:val="1"/>
    </w:pPr>
    <w:rPr>
      <w:rFonts w:ascii="宋体" w:hAnsi="宋体"/>
      <w:kern w:val="0"/>
      <w:sz w:val="44"/>
      <w:szCs w:val="44"/>
      <w:lang w:eastAsia="en-US"/>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99"/>
    <w:pPr>
      <w:ind w:firstLine="420" w:firstLineChars="200"/>
      <w:jc w:val="left"/>
    </w:pPr>
    <w:rPr>
      <w:rFonts w:ascii="Times New Roman" w:hAnsi="Times New Roman" w:eastAsia="Calibri"/>
      <w:kern w:val="0"/>
      <w:sz w:val="22"/>
      <w:lang w:eastAsia="en-US"/>
    </w:rPr>
  </w:style>
  <w:style w:type="paragraph" w:styleId="4">
    <w:name w:val="annotation text"/>
    <w:basedOn w:val="1"/>
    <w:autoRedefine/>
    <w:qFormat/>
    <w:uiPriority w:val="0"/>
    <w:pPr>
      <w:jc w:val="left"/>
    </w:pPr>
  </w:style>
  <w:style w:type="paragraph" w:styleId="5">
    <w:name w:val="Body Text"/>
    <w:basedOn w:val="1"/>
    <w:next w:val="1"/>
    <w:autoRedefine/>
    <w:qFormat/>
    <w:uiPriority w:val="0"/>
    <w:pPr>
      <w:ind w:left="100"/>
      <w:jc w:val="left"/>
    </w:pPr>
    <w:rPr>
      <w:rFonts w:ascii="宋体" w:hAnsi="宋体"/>
      <w:kern w:val="0"/>
      <w:szCs w:val="21"/>
      <w:lang w:eastAsia="en-US"/>
    </w:rPr>
  </w:style>
  <w:style w:type="paragraph" w:styleId="6">
    <w:name w:val="Body Text Indent"/>
    <w:basedOn w:val="1"/>
    <w:next w:val="7"/>
    <w:autoRedefine/>
    <w:qFormat/>
    <w:uiPriority w:val="0"/>
    <w:pPr>
      <w:spacing w:line="360" w:lineRule="auto"/>
      <w:ind w:firstLine="560" w:firstLineChars="200"/>
    </w:pPr>
    <w:rPr>
      <w:rFonts w:ascii="Times New Roman" w:hAnsi="Times New Roman"/>
      <w:sz w:val="24"/>
    </w:rPr>
  </w:style>
  <w:style w:type="paragraph" w:styleId="7">
    <w:name w:val="envelope return"/>
    <w:basedOn w:val="1"/>
    <w:autoRedefine/>
    <w:qFormat/>
    <w:uiPriority w:val="0"/>
    <w:pPr>
      <w:snapToGrid w:val="0"/>
    </w:pPr>
    <w:rPr>
      <w:rFonts w:ascii="Arial" w:hAnsi="Arial"/>
      <w:szCs w:val="24"/>
    </w:rPr>
  </w:style>
  <w:style w:type="paragraph" w:styleId="8">
    <w:name w:val="Plain Text"/>
    <w:basedOn w:val="1"/>
    <w:next w:val="1"/>
    <w:link w:val="21"/>
    <w:autoRedefine/>
    <w:unhideWhenUsed/>
    <w:qFormat/>
    <w:uiPriority w:val="0"/>
    <w:rPr>
      <w:rFonts w:ascii="宋体" w:hAnsi="Courier New"/>
      <w:sz w:val="24"/>
    </w:rPr>
  </w:style>
  <w:style w:type="paragraph" w:styleId="9">
    <w:name w:val="footer"/>
    <w:basedOn w:val="1"/>
    <w:autoRedefine/>
    <w:unhideWhenUsed/>
    <w:qFormat/>
    <w:uiPriority w:val="99"/>
    <w:pPr>
      <w:tabs>
        <w:tab w:val="center" w:pos="4153"/>
        <w:tab w:val="right" w:pos="8306"/>
      </w:tabs>
      <w:snapToGrid w:val="0"/>
      <w:jc w:val="left"/>
    </w:pPr>
    <w:rPr>
      <w:kern w:val="0"/>
      <w:sz w:val="18"/>
      <w:szCs w:val="18"/>
    </w:rPr>
  </w:style>
  <w:style w:type="paragraph" w:styleId="10">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qFormat/>
    <w:uiPriority w:val="0"/>
    <w:rPr>
      <w:sz w:val="24"/>
    </w:rPr>
  </w:style>
  <w:style w:type="paragraph" w:styleId="12">
    <w:name w:val="Body Text First Indent"/>
    <w:basedOn w:val="5"/>
    <w:autoRedefine/>
    <w:unhideWhenUsed/>
    <w:qFormat/>
    <w:uiPriority w:val="0"/>
    <w:pPr>
      <w:widowControl/>
      <w:ind w:firstLine="420" w:firstLineChars="100"/>
    </w:pPr>
    <w:rPr>
      <w:rFonts w:ascii="Times New Roman" w:hAnsi="Times New Roman"/>
      <w:sz w:val="20"/>
      <w:szCs w:val="20"/>
    </w:rPr>
  </w:style>
  <w:style w:type="paragraph" w:styleId="13">
    <w:name w:val="Body Text First Indent 2"/>
    <w:basedOn w:val="6"/>
    <w:autoRedefine/>
    <w:qFormat/>
    <w:uiPriority w:val="0"/>
    <w:pPr>
      <w:spacing w:after="120" w:line="240" w:lineRule="auto"/>
      <w:ind w:left="200" w:leftChars="200" w:firstLine="200"/>
    </w:pPr>
    <w:rPr>
      <w:rFonts w:ascii="Calibri" w:hAnsi="Calibri"/>
      <w:sz w:val="21"/>
      <w:szCs w:val="24"/>
    </w:rPr>
  </w:style>
  <w:style w:type="character" w:styleId="16">
    <w:name w:val="page number"/>
    <w:autoRedefine/>
    <w:qFormat/>
    <w:uiPriority w:val="0"/>
    <w:rPr>
      <w:rFonts w:ascii="Times New Roman" w:hAnsi="Times New Roman" w:eastAsia="宋体" w:cs="Times New Roman"/>
    </w:rPr>
  </w:style>
  <w:style w:type="character" w:styleId="17">
    <w:name w:val="Hyperlink"/>
    <w:autoRedefine/>
    <w:qFormat/>
    <w:uiPriority w:val="99"/>
    <w:rPr>
      <w:color w:val="0000FF"/>
      <w:u w:val="single"/>
    </w:rPr>
  </w:style>
  <w:style w:type="character" w:styleId="18">
    <w:name w:val="annotation reference"/>
    <w:basedOn w:val="15"/>
    <w:qFormat/>
    <w:uiPriority w:val="0"/>
    <w:rPr>
      <w:sz w:val="21"/>
      <w:szCs w:val="21"/>
    </w:rPr>
  </w:style>
  <w:style w:type="paragraph" w:customStyle="1" w:styleId="1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0">
    <w:name w:val="公文正文"/>
    <w:autoRedefine/>
    <w:qFormat/>
    <w:uiPriority w:val="0"/>
    <w:pPr>
      <w:widowControl w:val="0"/>
      <w:spacing w:line="360" w:lineRule="auto"/>
      <w:ind w:firstLine="629"/>
      <w:jc w:val="both"/>
    </w:pPr>
    <w:rPr>
      <w:rFonts w:ascii="仿宋_GB2312" w:hAnsi="Calisto MT" w:eastAsia="仿宋_GB2312" w:cs="Calibri"/>
      <w:color w:val="000000"/>
      <w:sz w:val="32"/>
      <w:lang w:val="en-US" w:eastAsia="zh-CN" w:bidi="ar-SA"/>
    </w:rPr>
  </w:style>
  <w:style w:type="character" w:customStyle="1" w:styleId="21">
    <w:name w:val="纯文本 字符"/>
    <w:link w:val="8"/>
    <w:qFormat/>
    <w:locked/>
    <w:uiPriority w:val="0"/>
    <w:rPr>
      <w:rFonts w:ascii="宋体" w:hAnsi="Courier New" w:eastAsia="宋体" w:cs="Times New Roman"/>
      <w:kern w:val="2"/>
      <w:sz w:val="24"/>
      <w:szCs w:val="22"/>
    </w:rPr>
  </w:style>
  <w:style w:type="paragraph" w:customStyle="1" w:styleId="22">
    <w:name w:val="修订1"/>
    <w:hidden/>
    <w:semiHidden/>
    <w:qFormat/>
    <w:uiPriority w:val="99"/>
    <w:rPr>
      <w:rFonts w:ascii="Calibri" w:hAnsi="Calibri" w:eastAsia="宋体" w:cs="Times New Roman"/>
      <w:kern w:val="2"/>
      <w:sz w:val="21"/>
      <w:szCs w:val="22"/>
      <w:lang w:val="en-US" w:eastAsia="zh-CN" w:bidi="ar-SA"/>
    </w:rPr>
  </w:style>
  <w:style w:type="paragraph" w:customStyle="1" w:styleId="23">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hgy</Company>
  <Pages>10</Pages>
  <Words>6544</Words>
  <Characters>7488</Characters>
  <Lines>41</Lines>
  <Paragraphs>11</Paragraphs>
  <TotalTime>1</TotalTime>
  <ScaleCrop>false</ScaleCrop>
  <LinksUpToDate>false</LinksUpToDate>
  <CharactersWithSpaces>7663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2024-05-16T00:30:00Z</dcterms:created>
  <dc:creator>ni</dc:creator>
  <cp:lastModifiedBy>WPS_1650870852</cp:lastModifiedBy>
  <cp:lastPrinted>2024-05-16T08:31:00Z</cp:lastPrinted>
  <dcterms:modified xsi:type="dcterms:W3CDTF">2025-01-20T10:33:59Z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D2252B8679074F61B29F619088E249D0_13</vt:lpwstr>
  </property>
  <property fmtid="{D5CDD505-2E9C-101B-9397-08002B2CF9AE}" pid="4" name="KSOTemplateDocerSaveRecord">
    <vt:lpwstr>eyJoZGlkIjoiOTc0MWNhOTlmODJjYTM3ZmNhODViN2Q5OTFmMTE1OGEiLCJ1c2VySWQiOiIxMzYzNzgzNTU1In0=</vt:lpwstr>
  </property>
</Properties>
</file>