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DE5530">
      <w:pPr>
        <w:spacing w:line="360" w:lineRule="auto"/>
        <w:jc w:val="center"/>
        <w:rPr>
          <w:rFonts w:hint="eastAsia" w:ascii="华文中宋" w:hAnsi="华文中宋" w:eastAsia="华文中宋"/>
          <w:bCs/>
          <w:sz w:val="44"/>
          <w:szCs w:val="32"/>
        </w:rPr>
      </w:pPr>
      <w:r>
        <w:rPr>
          <w:rFonts w:hint="eastAsia" w:ascii="华文中宋" w:hAnsi="华文中宋" w:eastAsia="华文中宋"/>
          <w:bCs/>
          <w:sz w:val="44"/>
          <w:szCs w:val="32"/>
        </w:rPr>
        <w:t>金华街西华路微改造项目</w:t>
      </w:r>
    </w:p>
    <w:p w14:paraId="778420E5">
      <w:pPr>
        <w:spacing w:line="360" w:lineRule="auto"/>
        <w:jc w:val="center"/>
        <w:rPr>
          <w:rFonts w:hint="eastAsia" w:ascii="华文中宋" w:hAnsi="华文中宋" w:eastAsia="华文中宋"/>
          <w:bCs/>
          <w:sz w:val="44"/>
          <w:szCs w:val="32"/>
        </w:rPr>
      </w:pPr>
      <w:r>
        <w:rPr>
          <w:rFonts w:hint="eastAsia" w:ascii="华文中宋" w:hAnsi="华文中宋" w:eastAsia="华文中宋"/>
          <w:bCs/>
          <w:sz w:val="44"/>
          <w:szCs w:val="32"/>
        </w:rPr>
        <w:t>勘察设计任务书</w:t>
      </w:r>
    </w:p>
    <w:p w14:paraId="22EEED33">
      <w:pPr>
        <w:adjustRightInd w:val="0"/>
        <w:spacing w:line="360" w:lineRule="auto"/>
        <w:ind w:firstLine="880" w:firstLineChars="200"/>
        <w:jc w:val="center"/>
        <w:textAlignment w:val="baseline"/>
        <w:rPr>
          <w:rFonts w:eastAsia="黑体"/>
          <w:sz w:val="44"/>
          <w:szCs w:val="44"/>
        </w:rPr>
      </w:pPr>
    </w:p>
    <w:p w14:paraId="430E88AE">
      <w:pPr>
        <w:numPr>
          <w:ilvl w:val="0"/>
          <w:numId w:val="3"/>
        </w:numPr>
        <w:spacing w:line="360" w:lineRule="auto"/>
        <w:ind w:firstLine="562" w:firstLineChars="200"/>
        <w:rPr>
          <w:rFonts w:hint="eastAsia" w:ascii="宋体" w:hAnsi="宋体"/>
          <w:b/>
        </w:rPr>
      </w:pPr>
      <w:r>
        <w:rPr>
          <w:rFonts w:hint="eastAsia" w:ascii="宋体" w:hAnsi="宋体"/>
          <w:b/>
        </w:rPr>
        <w:t>项目背景</w:t>
      </w:r>
    </w:p>
    <w:p w14:paraId="1E2905D5">
      <w:pPr>
        <w:spacing w:line="360" w:lineRule="auto"/>
        <w:ind w:firstLine="560" w:firstLineChars="200"/>
        <w:rPr>
          <w:rFonts w:hint="eastAsia" w:ascii="宋体" w:hAnsi="宋体"/>
        </w:rPr>
      </w:pPr>
      <w:r>
        <w:rPr>
          <w:rFonts w:hint="eastAsia" w:ascii="宋体" w:hAnsi="宋体"/>
        </w:rPr>
        <w:t>广州市作为国家历史文化名城，自古以来是人类居住的聚集之地，而社区作为许多人承载家园记忆的地方，已经是广州市文化的一种印记。然而，许多位于城市核心区的社区由于建设年代较为久远、建筑陈旧、设施老化、管理落后等的问题，如今却成为了城市发展的阻力。为此，必需对城市核心区的老旧社区进行优化，对硬件设施进行改造，才能使其撑起文化传承的重任。</w:t>
      </w:r>
    </w:p>
    <w:p w14:paraId="26D17447">
      <w:pPr>
        <w:spacing w:line="360" w:lineRule="auto"/>
        <w:ind w:firstLine="560" w:firstLineChars="200"/>
        <w:rPr>
          <w:rFonts w:hint="eastAsia" w:ascii="宋体" w:hAnsi="宋体"/>
        </w:rPr>
      </w:pPr>
      <w:r>
        <w:rPr>
          <w:rFonts w:hint="eastAsia" w:ascii="宋体" w:hAnsi="宋体"/>
        </w:rPr>
        <w:t>2018 年10 月24 日，习近平总书记在广州市荔湾区西关历史文化街区永庆坊，强调城市规划和建设要高度重视历史文化保护，不急功近利，不大拆大建。要突出地方特色，注重人居环境改善，更多采用微改造这种“绣花”功夫，注重文明传承、文化延续，让城市留下记忆，让人们记住乡愁。</w:t>
      </w:r>
    </w:p>
    <w:p w14:paraId="4C668E9A">
      <w:pPr>
        <w:spacing w:line="360" w:lineRule="auto"/>
        <w:ind w:firstLine="560" w:firstLineChars="200"/>
        <w:rPr>
          <w:rFonts w:hint="eastAsia" w:ascii="宋体" w:hAnsi="宋体"/>
        </w:rPr>
      </w:pPr>
      <w:r>
        <w:rPr>
          <w:rFonts w:hint="eastAsia" w:ascii="宋体" w:hAnsi="宋体"/>
        </w:rPr>
        <w:t>2022 年1 月7 日，广州市委书记林克庆、市长郭永航在调研荔湾区时强调， “坚定千年城市文化自信，倍加珍惜2200 多年来积淀的文化养分，倍加珍惜千年商都的美誉，倍加珍惜历史文化名城的荣光，做到敬畏历史、敬畏文化、敬畏生态，做好城市建设‘精’和‘细’的文章”。</w:t>
      </w:r>
    </w:p>
    <w:p w14:paraId="764EEA84">
      <w:pPr>
        <w:spacing w:line="360" w:lineRule="auto"/>
        <w:ind w:firstLine="560" w:firstLineChars="200"/>
        <w:rPr>
          <w:rFonts w:hint="eastAsia" w:ascii="宋体" w:hAnsi="宋体"/>
        </w:rPr>
      </w:pPr>
      <w:r>
        <w:rPr>
          <w:rFonts w:hint="eastAsia" w:ascii="宋体" w:hAnsi="宋体"/>
        </w:rPr>
        <w:t>针对城市内老旧社区存在的各项问题，从国家到地方均出台政策措施促进城市内部更新发展。2015 年12 月召开的中央城市工作会议提出，我国城市发展已进入新的发展时期，要提高城市发展的宜居性，加强城市修补，有序推进老旧住宅小区综合整治。广州市委十届九次全会强调规划引领、推进城市有序更新，要求改善社区人居环境，重点推进老旧社区微改造，完善排水、线网、消防等公共设施，改造老旧房屋，推行物业管理，有效解决居住环境脏乱、社会治安较差等问题，提高群众满意度。《广州市城市更新办法》（广州市人民政府令第134号）明确提出城市更新方式包括全面改造和微改造方式，微改造主要适用于建成区中对城市整体格局影响不大，但现状用地功能与周边发展存在矛盾、用地效率低、人居环境差的地块。</w:t>
      </w:r>
    </w:p>
    <w:p w14:paraId="4C87B493">
      <w:pPr>
        <w:spacing w:line="360" w:lineRule="auto"/>
        <w:ind w:firstLine="560" w:firstLineChars="200"/>
        <w:rPr>
          <w:rFonts w:hint="eastAsia" w:ascii="宋体" w:hAnsi="宋体"/>
        </w:rPr>
      </w:pPr>
      <w:r>
        <w:rPr>
          <w:rFonts w:hint="eastAsia" w:ascii="宋体" w:hAnsi="宋体"/>
        </w:rPr>
        <w:t>荔湾区作为广州市的旧城区，非常重视老旧社区改造的问题。</w:t>
      </w:r>
    </w:p>
    <w:p w14:paraId="63E46BA5">
      <w:pPr>
        <w:spacing w:line="360" w:lineRule="auto"/>
        <w:ind w:firstLine="560" w:firstLineChars="200"/>
        <w:rPr>
          <w:rFonts w:hint="eastAsia" w:ascii="宋体" w:hAnsi="宋体"/>
        </w:rPr>
      </w:pPr>
      <w:r>
        <w:rPr>
          <w:rFonts w:hint="eastAsia" w:ascii="宋体" w:hAnsi="宋体"/>
        </w:rPr>
        <w:t>结合国家、广州市和荔湾区对于城市更新改造的规定，以及相关工作计划、文件的要求，为了进一步推进广州市区内的老旧社区进行更新改造，需要通过对社区内建筑活化、资源整合、外观整饰、业态提升等手段，为老旧社区重新注入活力，从而提升居民幸福感。根据《广州市城市更新办法》（市政府令第134号）、《广州市老旧小区微改造实施方案》（穗更新字【2016】81 号）的要求，改变过去以全面改造（拆除重建）为主的改造方式，探索“微改造”模式，将其作为与全面改造并重的城市更新方式。</w:t>
      </w:r>
    </w:p>
    <w:p w14:paraId="4D028A4F">
      <w:pPr>
        <w:spacing w:line="360" w:lineRule="auto"/>
        <w:ind w:firstLine="560" w:firstLineChars="200"/>
        <w:rPr>
          <w:rFonts w:hint="eastAsia" w:ascii="宋体" w:hAnsi="宋体"/>
        </w:rPr>
      </w:pPr>
      <w:r>
        <w:rPr>
          <w:rFonts w:hint="eastAsia" w:ascii="宋体" w:hAnsi="宋体"/>
        </w:rPr>
        <w:t>广州市人民政府已正式印发《广州市老旧小区改造工作实施方案》，要求精准实施有序推进，至2021 年12 月完成2000 年底前建成老旧小区改造需求的摸查工作，基本建立老旧小区数据库；到2025 年底基本完成2000 年底前建成的需要改造的老旧小区任务。</w:t>
      </w:r>
    </w:p>
    <w:p w14:paraId="22279DE1">
      <w:pPr>
        <w:spacing w:line="360" w:lineRule="auto"/>
        <w:ind w:firstLine="560" w:firstLineChars="200"/>
        <w:rPr>
          <w:rFonts w:ascii="宋体" w:hAnsi="宋体"/>
        </w:rPr>
      </w:pPr>
      <w:r>
        <w:rPr>
          <w:rFonts w:hint="eastAsia" w:ascii="宋体" w:hAnsi="宋体"/>
        </w:rPr>
        <w:t>根据《荔湾广州市荔湾区老旧小区改造规划（2021-2025）》要求，2021-2025年期间，荔湾区计划对2000 年前建设或建设品质较差设施相对不完善的，迫切改造的社区进行改造，主要针对三线下地、消防、外墙整治等基础类项目进行改造。</w:t>
      </w:r>
    </w:p>
    <w:p w14:paraId="3E1CCC86">
      <w:pPr>
        <w:spacing w:line="360" w:lineRule="auto"/>
        <w:ind w:firstLine="560" w:firstLineChars="200"/>
        <w:rPr>
          <w:rFonts w:hint="eastAsia" w:ascii="宋体" w:hAnsi="宋体"/>
        </w:rPr>
      </w:pPr>
      <w:r>
        <w:rPr>
          <w:rFonts w:hint="eastAsia" w:ascii="宋体" w:hAnsi="宋体"/>
        </w:rPr>
        <w:t>《中华人民共和国国民经济和社会发展第十四个五年规划和2035年远景目标纲要》明确提出实施城市更新行动，改造提升老旧小区、老旧厂区、老旧街区和城中村等存量片区功能。省、市层面也一直在不断完善顶层设计，建立健全老旧小区改造制度框架、政策体系和工作机制。《广州市住房和城乡建设局关于印发广州市老旧小区改造内容及标准指引的通知》（2021.4）：明确了四类（基础类、完善类、提升类、统筹类）改造内容包含的建设项目及建设标准。</w:t>
      </w:r>
    </w:p>
    <w:p w14:paraId="4919C564">
      <w:pPr>
        <w:spacing w:line="360" w:lineRule="auto"/>
        <w:ind w:firstLine="562" w:firstLineChars="200"/>
        <w:rPr>
          <w:rFonts w:hint="eastAsia" w:ascii="宋体" w:hAnsi="宋体"/>
          <w:b/>
        </w:rPr>
      </w:pPr>
      <w:r>
        <w:rPr>
          <w:rFonts w:hint="eastAsia" w:ascii="宋体" w:hAnsi="宋体"/>
          <w:b/>
        </w:rPr>
        <w:t>二</w:t>
      </w:r>
      <w:r>
        <w:rPr>
          <w:rFonts w:ascii="宋体" w:hAnsi="宋体"/>
          <w:b/>
        </w:rPr>
        <w:t>、</w:t>
      </w:r>
      <w:r>
        <w:rPr>
          <w:rFonts w:hint="eastAsia" w:ascii="宋体" w:hAnsi="宋体"/>
          <w:b/>
        </w:rPr>
        <w:t>设计目标</w:t>
      </w:r>
    </w:p>
    <w:p w14:paraId="3C3CAB74">
      <w:pPr>
        <w:spacing w:line="360" w:lineRule="auto"/>
        <w:ind w:firstLine="560" w:firstLineChars="200"/>
        <w:rPr>
          <w:rFonts w:hint="eastAsia" w:ascii="宋体" w:hAnsi="宋体"/>
          <w:szCs w:val="21"/>
        </w:rPr>
      </w:pPr>
      <w:r>
        <w:rPr>
          <w:rFonts w:hint="eastAsia" w:ascii="宋体" w:hAnsi="宋体"/>
          <w:szCs w:val="21"/>
        </w:rPr>
        <w:t>通过改造，使小区更安全、舒适、宜居，提升居民生活质量，使公共设施完善、绿化景观优美、道路平整宽敞等。通过外立面整治、公共空间优化等措施，提升小区整体形象。针对小区内设施老旧、功能不完善等问题，进行设施更新和功能优化，如增设停车位、建设休闲活动场所等，提高小区的综合服务能力，增强小区功能性。通过改造工程，加强居民之间的交流与互动，增进邻里关系，营造和谐的社区氛围。推动城市更新：老旧小区改造是城市更新的重要组成部分，通过改造提升城市形象，推动城市发展和经济增长，实现工程质量和效果的可持续性，能够长期为居民提供良好的居住环境。</w:t>
      </w:r>
    </w:p>
    <w:p w14:paraId="7E8A4EB0">
      <w:pPr>
        <w:spacing w:line="360" w:lineRule="auto"/>
        <w:ind w:firstLine="560" w:firstLineChars="200"/>
        <w:rPr>
          <w:rFonts w:hint="eastAsia" w:ascii="宋体" w:hAnsi="宋体"/>
          <w:b/>
        </w:rPr>
      </w:pPr>
      <w:r>
        <w:rPr>
          <w:rFonts w:hint="eastAsia" w:ascii="宋体" w:hAnsi="宋体"/>
        </w:rPr>
        <w:t>三</w:t>
      </w:r>
      <w:r>
        <w:rPr>
          <w:rFonts w:ascii="宋体" w:hAnsi="宋体"/>
          <w:b/>
        </w:rPr>
        <w:t>、</w:t>
      </w:r>
      <w:r>
        <w:rPr>
          <w:rFonts w:hint="eastAsia" w:ascii="宋体" w:hAnsi="宋体"/>
          <w:b/>
        </w:rPr>
        <w:t>设计范围</w:t>
      </w:r>
    </w:p>
    <w:p w14:paraId="395A79F1">
      <w:pPr>
        <w:numPr>
          <w:ilvl w:val="0"/>
          <w:numId w:val="4"/>
        </w:numPr>
      </w:pPr>
      <w:r>
        <w:rPr>
          <w:rFonts w:hint="eastAsia"/>
          <w:b/>
          <w:bCs/>
        </w:rPr>
        <w:t>本次工作范围：</w:t>
      </w:r>
      <w:r>
        <w:rPr>
          <w:rFonts w:hint="eastAsia"/>
        </w:rPr>
        <w:t xml:space="preserve"> 项目位于广州市荔湾区金花街小梅社区、吉祥社区、蟠虬社区、桃源社区范围内，东起光复北路，西至荔湾路，南起芦荻街，北至西华路。（详见附图1）。</w:t>
      </w:r>
    </w:p>
    <w:p w14:paraId="2A2A6493">
      <w:pPr>
        <w:numPr>
          <w:ilvl w:val="0"/>
          <w:numId w:val="4"/>
        </w:numPr>
      </w:pPr>
      <w:r>
        <w:rPr>
          <w:rFonts w:hint="eastAsia"/>
          <w:b/>
          <w:bCs/>
        </w:rPr>
        <w:t>工作内容：</w:t>
      </w:r>
      <w:r>
        <w:rPr>
          <w:rFonts w:hint="eastAsia"/>
        </w:rPr>
        <w:t>完成本项目的勘察设计工作（包括但不限于投标阶段的方案设计，中标后进行工程勘察[工程测量、工程物探（含管线探测）、地形实测（含1:500现状地形图实测）]、岩土勘察、</w:t>
      </w:r>
      <w:r>
        <w:rPr>
          <w:rFonts w:hint="eastAsia"/>
          <w:lang w:val="en-US" w:eastAsia="zh-CN"/>
        </w:rPr>
        <w:t>建筑</w:t>
      </w:r>
      <w:r>
        <w:rPr>
          <w:rFonts w:hint="eastAsia"/>
        </w:rPr>
        <w:t>立面测量、方案及初步设计深化、投资概算、施工图设计、施工图预算、造价变更、竣工图编制等后续所有勘察设计和现场驻场服务工作）。</w:t>
      </w:r>
    </w:p>
    <w:p w14:paraId="7625D91D">
      <w:pPr>
        <w:pStyle w:val="2"/>
        <w:ind w:left="0" w:leftChars="0"/>
      </w:pPr>
      <w:r>
        <w:drawing>
          <wp:inline distT="0" distB="0" distL="0" distR="0">
            <wp:extent cx="5274310" cy="3274060"/>
            <wp:effectExtent l="0" t="0" r="2540" b="2540"/>
            <wp:docPr id="688127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2701" name="图片 1"/>
                    <pic:cNvPicPr>
                      <a:picLocks noChangeAspect="1"/>
                    </pic:cNvPicPr>
                  </pic:nvPicPr>
                  <pic:blipFill>
                    <a:blip r:embed="rId5"/>
                    <a:stretch>
                      <a:fillRect/>
                    </a:stretch>
                  </pic:blipFill>
                  <pic:spPr>
                    <a:xfrm>
                      <a:off x="0" y="0"/>
                      <a:ext cx="5274310" cy="3274060"/>
                    </a:xfrm>
                    <a:prstGeom prst="rect">
                      <a:avLst/>
                    </a:prstGeom>
                  </pic:spPr>
                </pic:pic>
              </a:graphicData>
            </a:graphic>
          </wp:inline>
        </w:drawing>
      </w:r>
    </w:p>
    <w:p w14:paraId="3B41C59E">
      <w:pPr>
        <w:spacing w:line="360" w:lineRule="auto"/>
        <w:ind w:left="480" w:firstLine="480" w:firstLineChars="200"/>
        <w:jc w:val="center"/>
      </w:pPr>
      <w:r>
        <w:rPr>
          <w:rFonts w:hint="eastAsia"/>
          <w:sz w:val="24"/>
        </w:rPr>
        <w:t>图</w:t>
      </w:r>
      <w:r>
        <w:rPr>
          <w:sz w:val="24"/>
        </w:rPr>
        <w:t xml:space="preserve">1 </w:t>
      </w:r>
      <w:r>
        <w:rPr>
          <w:rFonts w:hint="eastAsia"/>
          <w:sz w:val="24"/>
        </w:rPr>
        <w:t>改造范围示意</w:t>
      </w:r>
    </w:p>
    <w:p w14:paraId="7317ACA3">
      <w:pPr>
        <w:numPr>
          <w:ilvl w:val="0"/>
          <w:numId w:val="4"/>
        </w:numPr>
      </w:pPr>
      <w:r>
        <w:rPr>
          <w:rFonts w:hint="eastAsia" w:ascii="宋体" w:hAnsi="宋体"/>
          <w:b/>
          <w:bCs/>
        </w:rPr>
        <w:t>设计内容包括：</w:t>
      </w:r>
    </w:p>
    <w:p w14:paraId="1C466E09">
      <w:pPr>
        <w:spacing w:line="360" w:lineRule="auto"/>
        <w:ind w:firstLine="560" w:firstLineChars="200"/>
        <w:rPr>
          <w:rFonts w:hint="eastAsia" w:ascii="宋体" w:hAnsi="宋体"/>
        </w:rPr>
      </w:pPr>
      <w:r>
        <w:rPr>
          <w:rFonts w:hint="eastAsia" w:ascii="宋体" w:hAnsi="宋体"/>
        </w:rPr>
        <w:t>主</w:t>
      </w:r>
      <w:bookmarkStart w:id="0" w:name="_GoBack"/>
      <w:bookmarkEnd w:id="0"/>
      <w:r>
        <w:rPr>
          <w:rFonts w:hint="eastAsia" w:ascii="宋体" w:hAnsi="宋体"/>
        </w:rPr>
        <w:t>要改造内容包括建筑房屋本体部分的楼道修缮及照明、外墙治理、三线整治、适老化设施改造、屋面防水、楼栋消防设施改造等，以及公共空间部分的三线整治、道路修缮、无障碍设施、绿化完善、监控系统改造等。</w:t>
      </w:r>
    </w:p>
    <w:p w14:paraId="0D58638D">
      <w:pPr>
        <w:pStyle w:val="2"/>
        <w:ind w:left="560"/>
      </w:pPr>
    </w:p>
    <w:p w14:paraId="54F806DE">
      <w:pPr>
        <w:spacing w:line="360" w:lineRule="auto"/>
        <w:ind w:firstLine="562" w:firstLineChars="200"/>
        <w:rPr>
          <w:rFonts w:hint="eastAsia" w:ascii="宋体" w:hAnsi="宋体"/>
          <w:b/>
        </w:rPr>
      </w:pPr>
      <w:r>
        <w:rPr>
          <w:rFonts w:hint="eastAsia" w:ascii="宋体" w:hAnsi="宋体"/>
          <w:b/>
        </w:rPr>
        <w:t>四、工作原则</w:t>
      </w:r>
    </w:p>
    <w:p w14:paraId="001B4A6C">
      <w:pPr>
        <w:spacing w:line="360" w:lineRule="auto"/>
        <w:ind w:firstLine="560" w:firstLineChars="200"/>
        <w:rPr>
          <w:rFonts w:hint="eastAsia" w:ascii="宋体" w:hAnsi="宋体"/>
        </w:rPr>
      </w:pPr>
      <w:r>
        <w:rPr>
          <w:rFonts w:hint="eastAsia" w:ascii="宋体" w:hAnsi="宋体"/>
        </w:rPr>
        <w:t>针对建筑本体需提升、街巷环境需优化、市政设施需规整的现状，</w:t>
      </w:r>
    </w:p>
    <w:p w14:paraId="08D7C29B">
      <w:pPr>
        <w:spacing w:line="360" w:lineRule="auto"/>
        <w:rPr>
          <w:rFonts w:hint="eastAsia" w:ascii="宋体" w:hAnsi="宋体"/>
        </w:rPr>
      </w:pPr>
      <w:r>
        <w:rPr>
          <w:rFonts w:ascii="宋体" w:hAnsi="宋体"/>
        </w:rPr>
        <w:t>坚持</w:t>
      </w:r>
      <w:r>
        <w:rPr>
          <w:rFonts w:hint="eastAsia" w:ascii="宋体" w:hAnsi="宋体"/>
        </w:rPr>
        <w:t>文化、科技、健康三大原则，</w:t>
      </w:r>
      <w:r>
        <w:rPr>
          <w:rFonts w:ascii="宋体" w:hAnsi="宋体"/>
        </w:rPr>
        <w:t>系统推进老旧小区微改造，开展城市修补，完善小区功能，改善人居环境，</w:t>
      </w:r>
      <w:r>
        <w:rPr>
          <w:rFonts w:hint="eastAsia" w:ascii="宋体" w:hAnsi="宋体"/>
        </w:rPr>
        <w:t>同时促进提升历史文化显示度，</w:t>
      </w:r>
      <w:r>
        <w:rPr>
          <w:rFonts w:ascii="宋体" w:hAnsi="宋体"/>
        </w:rPr>
        <w:t>营造干净整洁平安有序的城市环境，</w:t>
      </w:r>
      <w:r>
        <w:rPr>
          <w:rFonts w:hint="eastAsia" w:ascii="宋体" w:hAnsi="宋体"/>
        </w:rPr>
        <w:t>创造“乐业、宜居、宜游”</w:t>
      </w:r>
    </w:p>
    <w:p w14:paraId="4A2C43F2">
      <w:pPr>
        <w:spacing w:line="360" w:lineRule="auto"/>
        <w:rPr>
          <w:rFonts w:hint="eastAsia" w:ascii="宋体" w:hAnsi="宋体"/>
        </w:rPr>
      </w:pPr>
      <w:r>
        <w:rPr>
          <w:rFonts w:ascii="宋体" w:hAnsi="宋体"/>
        </w:rPr>
        <w:t>的</w:t>
      </w:r>
      <w:r>
        <w:rPr>
          <w:rFonts w:hint="eastAsia" w:ascii="宋体" w:hAnsi="宋体"/>
          <w:lang w:val="en-US" w:eastAsia="zh-CN"/>
        </w:rPr>
        <w:t>金花街</w:t>
      </w:r>
      <w:r>
        <w:rPr>
          <w:rFonts w:hint="eastAsia" w:ascii="宋体" w:hAnsi="宋体"/>
        </w:rPr>
        <w:t>空间环境</w:t>
      </w:r>
      <w:r>
        <w:rPr>
          <w:rFonts w:ascii="宋体" w:hAnsi="宋体"/>
        </w:rPr>
        <w:t>，让更多老旧小区居民共享改革发展成果</w:t>
      </w:r>
      <w:r>
        <w:rPr>
          <w:rFonts w:hint="eastAsia" w:ascii="宋体" w:hAnsi="宋体"/>
        </w:rPr>
        <w:t>。</w:t>
      </w:r>
    </w:p>
    <w:p w14:paraId="1F3777D4">
      <w:pPr>
        <w:spacing w:line="360" w:lineRule="auto"/>
        <w:ind w:firstLine="560" w:firstLineChars="200"/>
        <w:rPr>
          <w:rFonts w:hint="eastAsia" w:ascii="宋体" w:hAnsi="宋体"/>
        </w:rPr>
      </w:pPr>
      <w:r>
        <w:rPr>
          <w:rFonts w:ascii="宋体" w:hAnsi="宋体"/>
        </w:rPr>
        <w:t>以低碳绿色环保、地方特色、公众参与、保护城市历史文脉、可持续发展理念为指导，老旧小区微改造实施方案编制应注重增进公众利益和人民福祉，提升基础设施与公共服务设施建设，改善社区人居环境，加快推进老旧小区更新步伐。</w:t>
      </w:r>
    </w:p>
    <w:p w14:paraId="2DFCBC7C">
      <w:pPr>
        <w:spacing w:line="360" w:lineRule="auto"/>
        <w:ind w:firstLine="560" w:firstLineChars="200"/>
        <w:rPr>
          <w:rFonts w:hint="eastAsia" w:ascii="宋体" w:hAnsi="宋体"/>
        </w:rPr>
      </w:pPr>
      <w:r>
        <w:rPr>
          <w:rFonts w:hint="eastAsia" w:ascii="宋体" w:hAnsi="宋体"/>
        </w:rPr>
        <w:t>1.</w:t>
      </w:r>
      <w:r>
        <w:rPr>
          <w:rFonts w:ascii="宋体" w:hAnsi="宋体"/>
        </w:rPr>
        <w:t>政府主导，社会参与。坚持政府在老旧小区微改造中的主导作用，强化统筹协调力度，加大财政资金投入；搭建社区居民议事平台，发动小小区居民积极参与；建立多方共同参与机制，合力推进更新改造。</w:t>
      </w:r>
    </w:p>
    <w:p w14:paraId="53D7AAED">
      <w:pPr>
        <w:spacing w:line="360" w:lineRule="auto"/>
        <w:ind w:firstLine="560" w:firstLineChars="200"/>
        <w:rPr>
          <w:rFonts w:hint="eastAsia" w:ascii="宋体" w:hAnsi="宋体"/>
        </w:rPr>
      </w:pPr>
      <w:r>
        <w:rPr>
          <w:rFonts w:hint="eastAsia" w:ascii="宋体" w:hAnsi="宋体"/>
        </w:rPr>
        <w:t>2.</w:t>
      </w:r>
      <w:r>
        <w:rPr>
          <w:rFonts w:ascii="宋体" w:hAnsi="宋体"/>
        </w:rPr>
        <w:t>因地制宜，分类实施。坚持立足实际，统筹兼顾，结合老旧小区建筑年代、街区肌理、居民意愿、文化、特色产业等因素，采取完善基础、置换功能、产城融合等改造方式，分门别类，突出重点，先易后难，有序推进。</w:t>
      </w:r>
    </w:p>
    <w:p w14:paraId="13C523B0">
      <w:pPr>
        <w:spacing w:line="360" w:lineRule="auto"/>
        <w:ind w:firstLine="560" w:firstLineChars="200"/>
        <w:rPr>
          <w:rFonts w:hint="eastAsia" w:ascii="宋体" w:hAnsi="宋体"/>
        </w:rPr>
      </w:pPr>
      <w:r>
        <w:rPr>
          <w:rFonts w:hint="eastAsia" w:ascii="宋体" w:hAnsi="宋体"/>
        </w:rPr>
        <w:t>3.</w:t>
      </w:r>
      <w:r>
        <w:rPr>
          <w:rFonts w:ascii="宋体" w:hAnsi="宋体"/>
        </w:rPr>
        <w:t>连接联通，便民利民。坚持以点带面，串点成线，在提升公共空间的基础上，促进连接联通社区医疗、教育、交通、商业服务网点等重要节点；以居民生活便利为导向，构建社区15分钟便民利民生活圈；促进社区与山脉、水脉、文脉连接联通，打造宜居宜业宜游广州。</w:t>
      </w:r>
    </w:p>
    <w:p w14:paraId="0CF6C566">
      <w:pPr>
        <w:spacing w:line="360" w:lineRule="auto"/>
        <w:ind w:firstLine="560" w:firstLineChars="200"/>
        <w:rPr>
          <w:rFonts w:hint="eastAsia" w:ascii="宋体" w:hAnsi="宋体"/>
        </w:rPr>
      </w:pPr>
      <w:r>
        <w:rPr>
          <w:rFonts w:hint="eastAsia" w:ascii="宋体" w:hAnsi="宋体"/>
        </w:rPr>
        <w:t>4.</w:t>
      </w:r>
      <w:r>
        <w:rPr>
          <w:rFonts w:ascii="宋体" w:hAnsi="宋体"/>
        </w:rPr>
        <w:t>建管并重，标本兼治。坚持老旧小区微改造与建立老旧小区长效管养机制并重，引导老旧小区建立自治组织，加强社区自治、社会管理，实现老旧小区自治管理和设施设备长效管养，巩固微改造成果。</w:t>
      </w:r>
    </w:p>
    <w:p w14:paraId="7C53B9EA">
      <w:pPr>
        <w:spacing w:before="312" w:beforeLines="100" w:line="360" w:lineRule="auto"/>
        <w:rPr>
          <w:rFonts w:hint="eastAsia" w:ascii="宋体" w:hAnsi="宋体"/>
          <w:b/>
        </w:rPr>
      </w:pPr>
      <w:r>
        <w:rPr>
          <w:rFonts w:hint="eastAsia" w:ascii="宋体" w:hAnsi="宋体"/>
          <w:b/>
        </w:rPr>
        <w:t>五、设计要求及技术任务</w:t>
      </w:r>
    </w:p>
    <w:p w14:paraId="331049BC">
      <w:pPr>
        <w:rPr>
          <w:rFonts w:hint="eastAsia"/>
        </w:rPr>
      </w:pPr>
      <w:r>
        <w:rPr>
          <w:rFonts w:hint="eastAsia"/>
        </w:rPr>
        <w:t xml:space="preserve">  1.整体规划：从整体出发，确定改造目标和规划范围，全面调研和分析旧城区的历史背景、现状和问题，明确改造方向和重点。同时，充分考虑居民需求和意见，制定符合居民利益的规划方案。</w:t>
      </w:r>
    </w:p>
    <w:p w14:paraId="12E9715D">
      <w:pPr>
        <w:rPr>
          <w:rFonts w:hint="eastAsia"/>
        </w:rPr>
      </w:pPr>
      <w:r>
        <w:rPr>
          <w:rFonts w:hint="eastAsia"/>
        </w:rPr>
        <w:t xml:space="preserve">  2.历史文化保护与利用：注重保护和利用历史文化资源，尊重和保护历史建筑和遗址，进行修复和复原，使其与新建筑和环境相衔接。同时，利用历史文化资源打造旅游景点或文化创意产业基地，增加城市文化魅力和经济效益。</w:t>
      </w:r>
    </w:p>
    <w:p w14:paraId="20AEBBE1">
      <w:pPr>
        <w:rPr>
          <w:rFonts w:hint="eastAsia"/>
        </w:rPr>
      </w:pPr>
      <w:r>
        <w:rPr>
          <w:rFonts w:hint="eastAsia"/>
        </w:rPr>
        <w:t xml:space="preserve">  3.人文关怀和社区建设：创造符合人居环境的城市空间和社区设施，打造便利的交通网络和舒适的公共空间。注重居民居住品质和生活体验，提供多样化公共服务设施，如健身场所、文化活动中心、社区图书馆等。鼓励居民参与旧城改造的决策和管理，增加归属感和共同责任感。</w:t>
      </w:r>
    </w:p>
    <w:p w14:paraId="6A6A57F7">
      <w:pPr>
        <w:rPr>
          <w:rFonts w:hint="eastAsia"/>
        </w:rPr>
      </w:pPr>
      <w:r>
        <w:rPr>
          <w:rFonts w:hint="eastAsia"/>
        </w:rPr>
        <w:t xml:space="preserve">  4.可持续发展和环境保护：从能源、水资源、废物处理等角度考虑城市可持续发展和环保要求。采用新技术和新材料，提高建筑能源利用效率，鼓励绿色出行和低碳生活方式，减少环境污染和资源浪费。保护旧城区自然景观和生物多样性。</w:t>
      </w:r>
    </w:p>
    <w:p w14:paraId="0CBD8589">
      <w:pPr>
        <w:rPr>
          <w:rFonts w:hint="eastAsia"/>
        </w:rPr>
      </w:pPr>
      <w:r>
        <w:rPr>
          <w:rFonts w:hint="eastAsia"/>
        </w:rPr>
        <w:t xml:space="preserve">  5.因地制宜，弘扬地方文化：注重对旧城区内物质文化遗产的保护，结合当地风格特征，统一住宅建筑形式，保留原有历史特征，形成整体风貌。同时，利用合理材料和创新设计建造具有现代化气息的建筑，实现现代与历史的呼应，凸显城市文化底蕴。</w:t>
      </w:r>
    </w:p>
    <w:p w14:paraId="5DB89456">
      <w:pPr>
        <w:rPr>
          <w:rFonts w:hint="eastAsia"/>
        </w:rPr>
      </w:pPr>
      <w:r>
        <w:rPr>
          <w:rFonts w:hint="eastAsia"/>
        </w:rPr>
        <w:t xml:space="preserve">  6.合理空间布局：通过建筑布局设计形成大型外部空间，为居民提供功能多样的居住空间，营造优质居住环境。对于全面改造区域，合理改建或拆除周围建筑及建筑群，重新规划设计的建筑风格、布局与体量要与自然环境协调。</w:t>
      </w:r>
    </w:p>
    <w:p w14:paraId="0D1F9098">
      <w:pPr>
        <w:rPr>
          <w:rFonts w:hint="eastAsia"/>
        </w:rPr>
      </w:pPr>
      <w:r>
        <w:rPr>
          <w:rFonts w:hint="eastAsia"/>
        </w:rPr>
        <w:t xml:space="preserve">  7.尊重自然，和谐与共：遵守人与自然和谐共处的原则，使用新型环保材料，减少能源消耗，充分利用自然环境和外部环境，因地制宜。</w:t>
      </w:r>
    </w:p>
    <w:p w14:paraId="0EFAD989">
      <w:pPr>
        <w:rPr>
          <w:rFonts w:hint="eastAsia"/>
        </w:rPr>
      </w:pPr>
      <w:r>
        <w:rPr>
          <w:rFonts w:hint="eastAsia"/>
        </w:rPr>
        <w:t xml:space="preserve">  8.注重相关配套服务设施建设：完善和建设相关配套服务设施，如道路交通、市政供水排水管网等，提高居民生活和居住质量。</w:t>
      </w:r>
    </w:p>
    <w:p w14:paraId="487806BB">
      <w:pPr>
        <w:rPr>
          <w:rFonts w:hint="eastAsia"/>
        </w:rPr>
      </w:pPr>
      <w:r>
        <w:rPr>
          <w:rFonts w:hint="eastAsia"/>
        </w:rPr>
        <w:t xml:space="preserve">  9.绿地合理规划：留足绿色植被与绿化面积区域，设置隔离绿化带，增加绿化面积。在历史文化区域增设生态保护区，绿地形状、图案等风格设计要与文物古建相映衬。</w:t>
      </w:r>
    </w:p>
    <w:p w14:paraId="193B9C9F">
      <w:pPr>
        <w:spacing w:line="360" w:lineRule="auto"/>
        <w:ind w:firstLine="560" w:firstLineChars="200"/>
      </w:pPr>
      <w:r>
        <w:rPr>
          <w:rFonts w:hint="eastAsia"/>
        </w:rPr>
        <w:t>六、设计工期要求</w:t>
      </w:r>
    </w:p>
    <w:p w14:paraId="1EF432F1">
      <w:pPr>
        <w:spacing w:line="360" w:lineRule="auto"/>
        <w:ind w:firstLine="560" w:firstLineChars="200"/>
      </w:pPr>
      <w:r>
        <w:rPr>
          <w:rFonts w:hint="eastAsia"/>
        </w:rPr>
        <w:t>按合同节点要求。</w:t>
      </w:r>
    </w:p>
    <w:p w14:paraId="1952FD5A">
      <w:pPr>
        <w:spacing w:line="360" w:lineRule="auto"/>
        <w:ind w:firstLine="562" w:firstLineChars="200"/>
        <w:rPr>
          <w:rFonts w:hint="eastAsia" w:ascii="宋体" w:hAnsi="宋体"/>
          <w:b/>
        </w:rPr>
      </w:pPr>
      <w:r>
        <w:rPr>
          <w:rFonts w:hint="eastAsia" w:ascii="宋体" w:hAnsi="宋体"/>
          <w:b/>
        </w:rPr>
        <w:t>六</w:t>
      </w:r>
      <w:r>
        <w:rPr>
          <w:rFonts w:ascii="宋体" w:hAnsi="宋体"/>
          <w:b/>
        </w:rPr>
        <w:t>、</w:t>
      </w:r>
      <w:r>
        <w:rPr>
          <w:rFonts w:hint="eastAsia" w:ascii="宋体" w:hAnsi="宋体"/>
          <w:b/>
        </w:rPr>
        <w:t>设计成果及深度要求（包含但不限于）</w:t>
      </w:r>
    </w:p>
    <w:p w14:paraId="1FCE2935">
      <w:pPr>
        <w:spacing w:line="360" w:lineRule="auto"/>
        <w:ind w:firstLine="562" w:firstLineChars="200"/>
        <w:rPr>
          <w:rFonts w:hint="eastAsia" w:ascii="宋体" w:hAnsi="宋体"/>
          <w:b/>
        </w:rPr>
      </w:pPr>
      <w:r>
        <w:rPr>
          <w:rFonts w:hint="eastAsia" w:ascii="宋体" w:hAnsi="宋体"/>
          <w:b/>
        </w:rPr>
        <w:t>1）方案设计阶段</w:t>
      </w:r>
    </w:p>
    <w:p w14:paraId="430FA2FB">
      <w:pPr>
        <w:spacing w:line="360" w:lineRule="auto"/>
        <w:ind w:firstLine="560" w:firstLineChars="200"/>
        <w:rPr>
          <w:rFonts w:hint="eastAsia" w:ascii="宋体" w:hAnsi="宋体"/>
        </w:rPr>
      </w:pPr>
      <w:r>
        <w:rPr>
          <w:rFonts w:hint="eastAsia" w:ascii="宋体" w:hAnsi="宋体"/>
        </w:rPr>
        <w:t>1、现状分析图</w:t>
      </w:r>
    </w:p>
    <w:p w14:paraId="74B80B63">
      <w:pPr>
        <w:spacing w:line="360" w:lineRule="auto"/>
        <w:ind w:firstLine="560" w:firstLineChars="200"/>
        <w:rPr>
          <w:rFonts w:hint="eastAsia" w:ascii="宋体" w:hAnsi="宋体"/>
        </w:rPr>
      </w:pPr>
      <w:r>
        <w:rPr>
          <w:rFonts w:hint="eastAsia" w:ascii="宋体" w:hAnsi="宋体"/>
        </w:rPr>
        <w:t>2、彩色总体平面图</w:t>
      </w:r>
    </w:p>
    <w:p w14:paraId="09ED24DB">
      <w:pPr>
        <w:spacing w:line="360" w:lineRule="auto"/>
        <w:ind w:firstLine="560" w:firstLineChars="200"/>
        <w:rPr>
          <w:rFonts w:hint="eastAsia" w:ascii="宋体" w:hAnsi="宋体"/>
        </w:rPr>
      </w:pPr>
      <w:r>
        <w:rPr>
          <w:rFonts w:hint="eastAsia" w:ascii="宋体" w:hAnsi="宋体"/>
        </w:rPr>
        <w:t>3、交通组织图（表达节点、场地的关系）</w:t>
      </w:r>
    </w:p>
    <w:p w14:paraId="69AB9895">
      <w:pPr>
        <w:pStyle w:val="2"/>
        <w:ind w:left="560"/>
      </w:pPr>
      <w:r>
        <w:rPr>
          <w:rFonts w:hint="eastAsia" w:ascii="宋体" w:hAnsi="宋体"/>
        </w:rPr>
        <w:t>4、建筑楼内公共部分整饰效果图</w:t>
      </w:r>
    </w:p>
    <w:p w14:paraId="770980B7">
      <w:pPr>
        <w:spacing w:line="360" w:lineRule="auto"/>
        <w:ind w:firstLine="560" w:firstLineChars="200"/>
        <w:rPr>
          <w:rFonts w:hint="eastAsia" w:ascii="宋体" w:hAnsi="宋体"/>
        </w:rPr>
      </w:pPr>
      <w:r>
        <w:rPr>
          <w:rFonts w:hint="eastAsia" w:ascii="宋体" w:hAnsi="宋体"/>
        </w:rPr>
        <w:t>5、重要景观节点总平面图及效果图</w:t>
      </w:r>
    </w:p>
    <w:p w14:paraId="429BDE99">
      <w:pPr>
        <w:spacing w:line="360" w:lineRule="auto"/>
        <w:ind w:firstLine="560" w:firstLineChars="200"/>
        <w:rPr>
          <w:rFonts w:hint="eastAsia" w:ascii="宋体" w:hAnsi="宋体"/>
        </w:rPr>
      </w:pPr>
      <w:r>
        <w:rPr>
          <w:rFonts w:hint="eastAsia" w:ascii="宋体" w:hAnsi="宋体"/>
        </w:rPr>
        <w:t>6、铺装、装修、照明、运动器具、标识、公共与市政服务设施等设计意向图</w:t>
      </w:r>
    </w:p>
    <w:p w14:paraId="70B75FA2">
      <w:pPr>
        <w:spacing w:line="360" w:lineRule="auto"/>
        <w:ind w:firstLine="560" w:firstLineChars="200"/>
        <w:rPr>
          <w:rFonts w:hint="eastAsia" w:ascii="宋体" w:hAnsi="宋体"/>
        </w:rPr>
      </w:pPr>
      <w:r>
        <w:rPr>
          <w:rFonts w:hint="eastAsia" w:ascii="宋体" w:hAnsi="宋体"/>
        </w:rPr>
        <w:t>7、重要局部透视图</w:t>
      </w:r>
    </w:p>
    <w:p w14:paraId="45DCB1B4">
      <w:pPr>
        <w:spacing w:line="360" w:lineRule="auto"/>
        <w:ind w:firstLine="560" w:firstLineChars="200"/>
        <w:rPr>
          <w:rFonts w:hint="eastAsia" w:ascii="宋体" w:hAnsi="宋体"/>
        </w:rPr>
      </w:pPr>
      <w:r>
        <w:rPr>
          <w:rFonts w:hint="eastAsia" w:ascii="宋体" w:hAnsi="宋体"/>
        </w:rPr>
        <w:t>9、设计说明书</w:t>
      </w:r>
    </w:p>
    <w:p w14:paraId="3E9A16F0">
      <w:pPr>
        <w:spacing w:line="360" w:lineRule="auto"/>
        <w:ind w:firstLine="562" w:firstLineChars="200"/>
        <w:rPr>
          <w:rFonts w:hint="eastAsia" w:ascii="宋体" w:hAnsi="宋体"/>
          <w:b/>
        </w:rPr>
      </w:pPr>
      <w:r>
        <w:rPr>
          <w:rFonts w:hint="eastAsia" w:ascii="宋体" w:hAnsi="宋体"/>
          <w:b/>
        </w:rPr>
        <w:t>2）初步设计阶段</w:t>
      </w:r>
    </w:p>
    <w:p w14:paraId="386ED925">
      <w:pPr>
        <w:spacing w:line="360" w:lineRule="auto"/>
        <w:ind w:firstLine="560" w:firstLineChars="200"/>
        <w:rPr>
          <w:rFonts w:hint="eastAsia" w:ascii="宋体" w:hAnsi="宋体"/>
        </w:rPr>
      </w:pPr>
      <w:r>
        <w:rPr>
          <w:rFonts w:hint="eastAsia" w:ascii="宋体" w:hAnsi="宋体"/>
        </w:rPr>
        <w:t>1、方案深化平面图</w:t>
      </w:r>
    </w:p>
    <w:p w14:paraId="0F8D1FC2">
      <w:pPr>
        <w:spacing w:line="360" w:lineRule="auto"/>
        <w:ind w:firstLine="560" w:firstLineChars="200"/>
        <w:rPr>
          <w:rFonts w:hint="eastAsia" w:ascii="宋体" w:hAnsi="宋体"/>
        </w:rPr>
      </w:pPr>
      <w:r>
        <w:rPr>
          <w:rFonts w:hint="eastAsia" w:ascii="宋体" w:hAnsi="宋体"/>
        </w:rPr>
        <w:t>2、主要剖面图</w:t>
      </w:r>
    </w:p>
    <w:p w14:paraId="34081B9C">
      <w:pPr>
        <w:spacing w:line="360" w:lineRule="auto"/>
        <w:ind w:firstLine="560" w:firstLineChars="200"/>
        <w:rPr>
          <w:rFonts w:hint="eastAsia" w:ascii="宋体" w:hAnsi="宋体"/>
        </w:rPr>
      </w:pPr>
      <w:r>
        <w:rPr>
          <w:rFonts w:hint="eastAsia" w:ascii="宋体" w:hAnsi="宋体"/>
        </w:rPr>
        <w:t>3、定位总图、尺寸总图、标高总图</w:t>
      </w:r>
    </w:p>
    <w:p w14:paraId="36180A1C">
      <w:pPr>
        <w:spacing w:line="360" w:lineRule="auto"/>
        <w:ind w:firstLine="560" w:firstLineChars="200"/>
        <w:rPr>
          <w:rFonts w:hint="eastAsia" w:ascii="宋体" w:hAnsi="宋体"/>
        </w:rPr>
      </w:pPr>
      <w:r>
        <w:rPr>
          <w:rFonts w:hint="eastAsia" w:ascii="宋体" w:hAnsi="宋体"/>
        </w:rPr>
        <w:t>4、场地铺装平面总图</w:t>
      </w:r>
    </w:p>
    <w:p w14:paraId="5348B73A">
      <w:pPr>
        <w:spacing w:line="360" w:lineRule="auto"/>
        <w:ind w:firstLine="560" w:firstLineChars="200"/>
        <w:rPr>
          <w:rFonts w:hint="eastAsia" w:ascii="宋体" w:hAnsi="宋体"/>
        </w:rPr>
      </w:pPr>
      <w:r>
        <w:rPr>
          <w:rFonts w:hint="eastAsia" w:ascii="宋体" w:hAnsi="宋体"/>
        </w:rPr>
        <w:t>5、道路工程图纸、给排水工程图纸、照明工程图纸、立面</w:t>
      </w:r>
      <w:r>
        <w:rPr>
          <w:rFonts w:ascii="宋体" w:hAnsi="宋体"/>
        </w:rPr>
        <w:t>工程图纸</w:t>
      </w:r>
      <w:r>
        <w:rPr>
          <w:rFonts w:hint="eastAsia" w:ascii="宋体" w:hAnsi="宋体"/>
        </w:rPr>
        <w:t>、</w:t>
      </w:r>
      <w:r>
        <w:rPr>
          <w:rFonts w:ascii="宋体" w:hAnsi="宋体"/>
        </w:rPr>
        <w:t>天面工程图纸</w:t>
      </w:r>
      <w:r>
        <w:rPr>
          <w:rFonts w:hint="eastAsia" w:ascii="宋体" w:hAnsi="宋体"/>
        </w:rPr>
        <w:t>、景观绿化工程图纸、建筑工程图纸、结构工程图纸</w:t>
      </w:r>
    </w:p>
    <w:p w14:paraId="27AA0ADB">
      <w:pPr>
        <w:spacing w:line="360" w:lineRule="auto"/>
        <w:ind w:firstLine="560" w:firstLineChars="200"/>
        <w:rPr>
          <w:rFonts w:hint="eastAsia" w:ascii="宋体" w:hAnsi="宋体"/>
        </w:rPr>
      </w:pPr>
      <w:r>
        <w:rPr>
          <w:rFonts w:hint="eastAsia" w:ascii="宋体" w:hAnsi="宋体"/>
        </w:rPr>
        <w:t>6、主要材料及成品示意图</w:t>
      </w:r>
    </w:p>
    <w:p w14:paraId="416F44C8">
      <w:pPr>
        <w:spacing w:line="360" w:lineRule="auto"/>
        <w:ind w:firstLine="560" w:firstLineChars="200"/>
        <w:rPr>
          <w:rFonts w:hint="eastAsia" w:ascii="宋体" w:hAnsi="宋体"/>
        </w:rPr>
      </w:pPr>
      <w:r>
        <w:rPr>
          <w:rFonts w:hint="eastAsia" w:ascii="宋体" w:hAnsi="宋体"/>
        </w:rPr>
        <w:t>7、绿化总图、绿化苗木表</w:t>
      </w:r>
    </w:p>
    <w:p w14:paraId="64AE8299">
      <w:pPr>
        <w:spacing w:line="360" w:lineRule="auto"/>
        <w:ind w:firstLine="560" w:firstLineChars="200"/>
        <w:rPr>
          <w:rFonts w:hint="eastAsia" w:ascii="宋体" w:hAnsi="宋体"/>
        </w:rPr>
      </w:pPr>
      <w:r>
        <w:rPr>
          <w:rFonts w:hint="eastAsia" w:ascii="宋体" w:hAnsi="宋体"/>
        </w:rPr>
        <w:t>8、初步设计概算</w:t>
      </w:r>
    </w:p>
    <w:p w14:paraId="15D50E89">
      <w:pPr>
        <w:spacing w:line="360" w:lineRule="auto"/>
        <w:ind w:firstLine="560" w:firstLineChars="200"/>
        <w:rPr>
          <w:rFonts w:hint="eastAsia" w:ascii="宋体" w:hAnsi="宋体"/>
        </w:rPr>
      </w:pPr>
      <w:r>
        <w:rPr>
          <w:rFonts w:hint="eastAsia" w:ascii="宋体" w:hAnsi="宋体"/>
        </w:rPr>
        <w:t>9、勘察设计成果文件（测量、物探等）</w:t>
      </w:r>
    </w:p>
    <w:p w14:paraId="299B6747">
      <w:pPr>
        <w:spacing w:line="360" w:lineRule="auto"/>
        <w:ind w:firstLine="560" w:firstLineChars="200"/>
        <w:rPr>
          <w:rFonts w:hint="eastAsia" w:ascii="宋体" w:hAnsi="宋体"/>
        </w:rPr>
      </w:pPr>
      <w:r>
        <w:rPr>
          <w:rFonts w:hint="eastAsia" w:ascii="宋体" w:hAnsi="宋体"/>
        </w:rPr>
        <w:t>1</w:t>
      </w:r>
      <w:r>
        <w:rPr>
          <w:rFonts w:ascii="宋体" w:hAnsi="宋体"/>
        </w:rPr>
        <w:t>0</w:t>
      </w:r>
      <w:r>
        <w:rPr>
          <w:rFonts w:hint="eastAsia" w:ascii="宋体" w:hAnsi="宋体"/>
        </w:rPr>
        <w:t>、建筑立面修缮改造方案；</w:t>
      </w:r>
    </w:p>
    <w:p w14:paraId="49D5C989">
      <w:pPr>
        <w:spacing w:line="360" w:lineRule="auto"/>
        <w:ind w:firstLine="562" w:firstLineChars="200"/>
        <w:rPr>
          <w:rFonts w:hint="eastAsia" w:ascii="宋体" w:hAnsi="宋体"/>
          <w:b/>
        </w:rPr>
      </w:pPr>
      <w:r>
        <w:rPr>
          <w:rFonts w:hint="eastAsia" w:ascii="宋体" w:hAnsi="宋体"/>
          <w:b/>
        </w:rPr>
        <w:t>3）施工图设计阶段</w:t>
      </w:r>
    </w:p>
    <w:p w14:paraId="29A17632">
      <w:pPr>
        <w:spacing w:line="360" w:lineRule="auto"/>
        <w:ind w:firstLine="560" w:firstLineChars="200"/>
        <w:rPr>
          <w:rFonts w:hint="eastAsia" w:ascii="宋体" w:hAnsi="宋体"/>
        </w:rPr>
      </w:pPr>
      <w:r>
        <w:rPr>
          <w:rFonts w:hint="eastAsia" w:ascii="宋体" w:hAnsi="宋体"/>
        </w:rPr>
        <w:t>1、社区微改造工程总说明、绿化设计说明、小区内道路设计总说明、给排水设计说明、景观照明说明、</w:t>
      </w:r>
      <w:r>
        <w:rPr>
          <w:rFonts w:ascii="宋体" w:hAnsi="宋体"/>
        </w:rPr>
        <w:t>建筑立面</w:t>
      </w:r>
      <w:r>
        <w:rPr>
          <w:rFonts w:hint="eastAsia" w:ascii="宋体" w:hAnsi="宋体"/>
        </w:rPr>
        <w:t>修缮设计</w:t>
      </w:r>
      <w:r>
        <w:rPr>
          <w:rFonts w:ascii="宋体" w:hAnsi="宋体"/>
        </w:rPr>
        <w:t>说明</w:t>
      </w:r>
      <w:r>
        <w:rPr>
          <w:rFonts w:hint="eastAsia" w:ascii="宋体" w:hAnsi="宋体"/>
        </w:rPr>
        <w:t>、</w:t>
      </w:r>
      <w:r>
        <w:rPr>
          <w:rFonts w:ascii="宋体" w:hAnsi="宋体"/>
        </w:rPr>
        <w:t>建筑天面设计说明</w:t>
      </w:r>
      <w:r>
        <w:rPr>
          <w:rFonts w:hint="eastAsia" w:ascii="宋体" w:hAnsi="宋体"/>
        </w:rPr>
        <w:t>、电气设计说明</w:t>
      </w:r>
    </w:p>
    <w:p w14:paraId="32402572">
      <w:pPr>
        <w:spacing w:line="360" w:lineRule="auto"/>
        <w:ind w:firstLine="560" w:firstLineChars="200"/>
        <w:rPr>
          <w:rFonts w:hint="eastAsia" w:ascii="宋体" w:hAnsi="宋体"/>
        </w:rPr>
      </w:pPr>
      <w:r>
        <w:rPr>
          <w:rFonts w:hint="eastAsia" w:ascii="宋体" w:hAnsi="宋体"/>
        </w:rPr>
        <w:t>2、总体平面图</w:t>
      </w:r>
    </w:p>
    <w:p w14:paraId="61E9529D">
      <w:pPr>
        <w:spacing w:line="360" w:lineRule="auto"/>
        <w:ind w:firstLine="560" w:firstLineChars="200"/>
        <w:rPr>
          <w:rFonts w:hint="eastAsia" w:ascii="宋体" w:hAnsi="宋体"/>
        </w:rPr>
      </w:pPr>
      <w:r>
        <w:rPr>
          <w:rFonts w:hint="eastAsia" w:ascii="宋体" w:hAnsi="宋体"/>
        </w:rPr>
        <w:t>3、详图索引总图</w:t>
      </w:r>
    </w:p>
    <w:p w14:paraId="4F1346D2">
      <w:pPr>
        <w:spacing w:line="360" w:lineRule="auto"/>
        <w:ind w:firstLine="560" w:firstLineChars="200"/>
        <w:rPr>
          <w:rFonts w:hint="eastAsia" w:ascii="宋体" w:hAnsi="宋体"/>
        </w:rPr>
      </w:pPr>
      <w:r>
        <w:rPr>
          <w:rFonts w:hint="eastAsia" w:ascii="宋体" w:hAnsi="宋体"/>
        </w:rPr>
        <w:t>4、定位总图、尺寸总图、标高总图、铺装总图、道路总图、给排水总图</w:t>
      </w:r>
    </w:p>
    <w:p w14:paraId="3190D4CF">
      <w:pPr>
        <w:spacing w:line="360" w:lineRule="auto"/>
        <w:ind w:firstLine="560" w:firstLineChars="200"/>
        <w:rPr>
          <w:rFonts w:hint="eastAsia" w:ascii="宋体" w:hAnsi="宋体"/>
        </w:rPr>
      </w:pPr>
      <w:r>
        <w:rPr>
          <w:rFonts w:hint="eastAsia" w:ascii="宋体" w:hAnsi="宋体"/>
        </w:rPr>
        <w:t>5、主要剖面、立面图</w:t>
      </w:r>
    </w:p>
    <w:p w14:paraId="1C40DFF8">
      <w:pPr>
        <w:pStyle w:val="2"/>
        <w:ind w:left="560"/>
      </w:pPr>
      <w:r>
        <w:rPr>
          <w:rFonts w:hint="eastAsia" w:ascii="宋体" w:hAnsi="宋体"/>
        </w:rPr>
        <w:t>6、楼内公共部分修缮性装修图</w:t>
      </w:r>
    </w:p>
    <w:p w14:paraId="7FDCED9A">
      <w:pPr>
        <w:spacing w:line="360" w:lineRule="auto"/>
        <w:ind w:firstLine="560" w:firstLineChars="200"/>
        <w:rPr>
          <w:rFonts w:hint="eastAsia" w:ascii="宋体" w:hAnsi="宋体"/>
        </w:rPr>
      </w:pPr>
      <w:r>
        <w:rPr>
          <w:rFonts w:hint="eastAsia" w:ascii="宋体" w:hAnsi="宋体"/>
        </w:rPr>
        <w:t>7、公共及园建大样图、铺装大样图、道路大样图、交通工程大样图、排水及照明大样图、</w:t>
      </w:r>
      <w:r>
        <w:rPr>
          <w:rFonts w:ascii="宋体" w:hAnsi="宋体"/>
        </w:rPr>
        <w:t>建筑立面大样图</w:t>
      </w:r>
      <w:r>
        <w:rPr>
          <w:rFonts w:hint="eastAsia" w:ascii="宋体" w:hAnsi="宋体"/>
        </w:rPr>
        <w:t>、</w:t>
      </w:r>
      <w:r>
        <w:rPr>
          <w:rFonts w:ascii="宋体" w:hAnsi="宋体"/>
        </w:rPr>
        <w:t>建筑天</w:t>
      </w:r>
      <w:r>
        <w:rPr>
          <w:rFonts w:hint="eastAsia" w:ascii="宋体" w:hAnsi="宋体"/>
        </w:rPr>
        <w:t>面</w:t>
      </w:r>
      <w:r>
        <w:rPr>
          <w:rFonts w:ascii="宋体" w:hAnsi="宋体"/>
        </w:rPr>
        <w:t>大样图</w:t>
      </w:r>
    </w:p>
    <w:p w14:paraId="59943C35">
      <w:pPr>
        <w:spacing w:line="360" w:lineRule="auto"/>
        <w:ind w:firstLine="560" w:firstLineChars="200"/>
        <w:rPr>
          <w:rFonts w:hint="eastAsia" w:ascii="宋体" w:hAnsi="宋体"/>
        </w:rPr>
      </w:pPr>
      <w:r>
        <w:rPr>
          <w:rFonts w:hint="eastAsia" w:ascii="宋体" w:hAnsi="宋体"/>
        </w:rPr>
        <w:t>8、主要材料及成品示意图</w:t>
      </w:r>
    </w:p>
    <w:p w14:paraId="26D6A27C">
      <w:pPr>
        <w:spacing w:line="360" w:lineRule="auto"/>
        <w:ind w:firstLine="560" w:firstLineChars="200"/>
        <w:rPr>
          <w:rFonts w:hint="eastAsia" w:ascii="宋体" w:hAnsi="宋体"/>
        </w:rPr>
      </w:pPr>
      <w:r>
        <w:rPr>
          <w:rFonts w:hint="eastAsia" w:ascii="宋体" w:hAnsi="宋体"/>
        </w:rPr>
        <w:t>9、公共照明总图</w:t>
      </w:r>
    </w:p>
    <w:p w14:paraId="132431BC">
      <w:pPr>
        <w:spacing w:line="360" w:lineRule="auto"/>
        <w:ind w:firstLine="560" w:firstLineChars="200"/>
        <w:rPr>
          <w:rFonts w:hint="eastAsia" w:ascii="宋体" w:hAnsi="宋体"/>
        </w:rPr>
      </w:pPr>
      <w:r>
        <w:rPr>
          <w:rFonts w:hint="eastAsia" w:ascii="宋体" w:hAnsi="宋体"/>
        </w:rPr>
        <w:t>10、0</w:t>
      </w:r>
      <w:r>
        <w:rPr>
          <w:rFonts w:ascii="宋体" w:hAnsi="宋体"/>
        </w:rPr>
        <w:t>.4kV</w:t>
      </w:r>
      <w:r>
        <w:rPr>
          <w:rFonts w:hint="eastAsia" w:ascii="宋体" w:hAnsi="宋体"/>
        </w:rPr>
        <w:t>架空线下地图或遮档整饰图</w:t>
      </w:r>
    </w:p>
    <w:p w14:paraId="6E94C619">
      <w:pPr>
        <w:spacing w:line="360" w:lineRule="auto"/>
        <w:ind w:firstLine="560" w:firstLineChars="200"/>
        <w:rPr>
          <w:rFonts w:hint="eastAsia" w:ascii="宋体" w:hAnsi="宋体"/>
        </w:rPr>
      </w:pPr>
      <w:r>
        <w:rPr>
          <w:rFonts w:hint="eastAsia" w:ascii="宋体" w:hAnsi="宋体"/>
        </w:rPr>
        <w:t>11、弱电下地图或遮档整饰图</w:t>
      </w:r>
    </w:p>
    <w:p w14:paraId="5C808DE3">
      <w:pPr>
        <w:spacing w:line="360" w:lineRule="auto"/>
        <w:ind w:firstLine="560" w:firstLineChars="200"/>
        <w:rPr>
          <w:rFonts w:hint="eastAsia" w:ascii="宋体" w:hAnsi="宋体"/>
        </w:rPr>
      </w:pPr>
      <w:r>
        <w:rPr>
          <w:rFonts w:hint="eastAsia" w:ascii="宋体" w:hAnsi="宋体"/>
        </w:rPr>
        <w:t>12、文物建筑建控范围内报建资料</w:t>
      </w:r>
    </w:p>
    <w:p w14:paraId="4AD03161">
      <w:pPr>
        <w:spacing w:line="360" w:lineRule="auto"/>
        <w:ind w:firstLine="560" w:firstLineChars="200"/>
        <w:rPr>
          <w:rFonts w:hint="eastAsia" w:ascii="宋体" w:hAnsi="宋体"/>
        </w:rPr>
      </w:pPr>
      <w:r>
        <w:rPr>
          <w:rFonts w:hint="eastAsia" w:ascii="宋体" w:hAnsi="宋体"/>
        </w:rPr>
        <w:t>13、历史街区规划报批资料</w:t>
      </w:r>
    </w:p>
    <w:p w14:paraId="30033001">
      <w:pPr>
        <w:spacing w:line="360" w:lineRule="auto"/>
        <w:ind w:firstLine="562" w:firstLineChars="200"/>
        <w:rPr>
          <w:rFonts w:hint="eastAsia" w:ascii="宋体" w:hAnsi="宋体"/>
          <w:b/>
        </w:rPr>
      </w:pPr>
      <w:r>
        <w:rPr>
          <w:rFonts w:hint="eastAsia" w:ascii="宋体" w:hAnsi="宋体"/>
          <w:b/>
        </w:rPr>
        <w:t>4）其他要求</w:t>
      </w:r>
    </w:p>
    <w:p w14:paraId="05556112">
      <w:pPr>
        <w:spacing w:line="360" w:lineRule="auto"/>
        <w:ind w:firstLine="560" w:firstLineChars="200"/>
        <w:rPr>
          <w:rFonts w:hint="eastAsia" w:ascii="宋体" w:hAnsi="宋体"/>
        </w:rPr>
      </w:pPr>
      <w:r>
        <w:rPr>
          <w:rFonts w:hint="eastAsia" w:ascii="宋体" w:hAnsi="宋体"/>
        </w:rPr>
        <w:t>1、设计成果纸质版文件按合同有关规定提交。</w:t>
      </w:r>
    </w:p>
    <w:p w14:paraId="7C58BA52">
      <w:pPr>
        <w:spacing w:line="360" w:lineRule="auto"/>
        <w:ind w:firstLine="560" w:firstLineChars="200"/>
        <w:rPr>
          <w:rFonts w:ascii="宋体" w:hAnsi="宋体"/>
        </w:rPr>
      </w:pPr>
      <w:r>
        <w:rPr>
          <w:rFonts w:hint="eastAsia" w:ascii="宋体" w:hAnsi="宋体"/>
        </w:rPr>
        <w:t>2、设计成果电子版文件按合同有关规定提交，文本文件采用Microsoft office2003或以上的格式文件，图形文件采用DWG格式文件和JPG格式。</w:t>
      </w:r>
    </w:p>
    <w:p w14:paraId="0125C3A9">
      <w:pPr>
        <w:spacing w:line="360" w:lineRule="auto"/>
        <w:ind w:firstLine="562" w:firstLineChars="200"/>
        <w:rPr>
          <w:rFonts w:hint="eastAsia" w:ascii="宋体" w:hAnsi="宋体"/>
        </w:rPr>
      </w:pPr>
      <w:r>
        <w:rPr>
          <w:rFonts w:hint="eastAsia" w:ascii="宋体" w:hAnsi="宋体"/>
          <w:b/>
          <w:bCs/>
        </w:rPr>
        <w:t>七、</w:t>
      </w:r>
      <w:r>
        <w:rPr>
          <w:rFonts w:hint="eastAsia" w:ascii="黑体" w:hAnsi="黑体" w:eastAsia="黑体"/>
          <w:bCs/>
          <w:kern w:val="0"/>
          <w:szCs w:val="32"/>
        </w:rPr>
        <w:t>设计人员组织管理</w:t>
      </w:r>
    </w:p>
    <w:p w14:paraId="20CFE49E">
      <w:pPr>
        <w:spacing w:line="360" w:lineRule="auto"/>
        <w:ind w:firstLine="560" w:firstLineChars="200"/>
        <w:rPr>
          <w:rFonts w:hint="eastAsia" w:ascii="宋体" w:hAnsi="宋体"/>
        </w:rPr>
      </w:pPr>
      <w:r>
        <w:rPr>
          <w:rFonts w:hint="eastAsia" w:ascii="宋体" w:hAnsi="宋体"/>
        </w:rPr>
        <w:t>1、为便于甲方与乙方及时沟通及协调，以保证乙方的设计成果文件能更好地体现甲方的建设意图，乙方应根据甲方的要求，分阶段在指定的地点投入本合同约定的专业人员、设备及设施，实施本合同工程的设计工作。</w:t>
      </w:r>
    </w:p>
    <w:p w14:paraId="62823A0B">
      <w:pPr>
        <w:spacing w:line="360" w:lineRule="auto"/>
        <w:ind w:firstLine="560" w:firstLineChars="200"/>
        <w:rPr>
          <w:rFonts w:hint="eastAsia" w:ascii="宋体" w:hAnsi="宋体"/>
        </w:rPr>
      </w:pPr>
      <w:r>
        <w:rPr>
          <w:rFonts w:hint="eastAsia" w:ascii="宋体" w:hAnsi="宋体"/>
        </w:rPr>
        <w:t>乙方应根据项目设计任务及工期要求建立项目组。有关设计人员要求详见本项目招标文件第五章发包人要求。</w:t>
      </w:r>
    </w:p>
    <w:p w14:paraId="38F9A9A0">
      <w:pPr>
        <w:spacing w:line="360" w:lineRule="auto"/>
        <w:ind w:firstLine="560" w:firstLineChars="200"/>
        <w:rPr>
          <w:rFonts w:hint="eastAsia" w:ascii="宋体" w:hAnsi="宋体"/>
        </w:rPr>
      </w:pPr>
      <w:r>
        <w:rPr>
          <w:rFonts w:hint="eastAsia" w:ascii="宋体" w:hAnsi="宋体"/>
        </w:rPr>
        <w:t>2、在设计高峰或项目承建单位认为有必要时，设计方必须集中力量确保设计进度。</w:t>
      </w:r>
    </w:p>
    <w:p w14:paraId="5CED3764">
      <w:pPr>
        <w:spacing w:line="360" w:lineRule="auto"/>
        <w:ind w:firstLine="560" w:firstLineChars="200"/>
        <w:rPr>
          <w:rFonts w:hint="eastAsia" w:ascii="宋体" w:hAnsi="宋体"/>
        </w:rPr>
      </w:pPr>
      <w:r>
        <w:rPr>
          <w:rFonts w:hint="eastAsia" w:ascii="宋体" w:hAnsi="宋体"/>
        </w:rPr>
        <w:t>3、设计单位在明确分工各负其责的基础上，按照招标文件所列要求承诺为本项目合同约定项目指定的设计总负责人、各专业设计负责人、各专业设计人、报建协调人，并向建设管理单位出具相应的授权文件。</w:t>
      </w:r>
    </w:p>
    <w:p w14:paraId="1372D01F">
      <w:pPr>
        <w:spacing w:line="360" w:lineRule="auto"/>
        <w:ind w:firstLine="560" w:firstLineChars="200"/>
        <w:rPr>
          <w:rFonts w:hint="eastAsia" w:ascii="宋体" w:hAnsi="宋体"/>
        </w:rPr>
      </w:pPr>
      <w:r>
        <w:rPr>
          <w:rFonts w:hint="eastAsia" w:ascii="宋体" w:hAnsi="宋体"/>
        </w:rPr>
        <w:t>4、项目设计总负责人，各专业设计负责人应能够胜任所承担任务的设计、组织、计划、协调工作。</w:t>
      </w:r>
    </w:p>
    <w:p w14:paraId="36A6F21B">
      <w:pPr>
        <w:spacing w:line="360" w:lineRule="auto"/>
        <w:ind w:firstLine="560" w:firstLineChars="200"/>
        <w:rPr>
          <w:rFonts w:hint="eastAsia" w:ascii="宋体" w:hAnsi="宋体"/>
        </w:rPr>
      </w:pPr>
      <w:r>
        <w:rPr>
          <w:rFonts w:hint="eastAsia" w:ascii="宋体" w:hAnsi="宋体"/>
        </w:rPr>
        <w:t>5、须报送项目设计总负责人、各专业设计负责人、其他参与设计工作的人员姓名、年龄、学历、专业、职称、职务、相关经历和主要技术成果以及在本合同约定项目中负责的设计任务等资料。</w:t>
      </w:r>
    </w:p>
    <w:p w14:paraId="3DA2BC2B">
      <w:pPr>
        <w:spacing w:line="360" w:lineRule="auto"/>
        <w:ind w:firstLine="560" w:firstLineChars="200"/>
        <w:rPr>
          <w:rFonts w:hint="eastAsia" w:ascii="宋体" w:hAnsi="宋体"/>
        </w:rPr>
      </w:pPr>
      <w:r>
        <w:rPr>
          <w:rFonts w:hint="eastAsia" w:ascii="宋体" w:hAnsi="宋体"/>
        </w:rPr>
        <w:t>6、设计单位的设计人员数量、专业水平、专业配套等达不到设计所需时，需更换及补充设计人员；未能在指定时间内及时更换和补充的，将视为违约行为, 项目承建单位将根据项目设计(咨询)单位综合考评办法予以相应的处罚。</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1361256"/>
      <w:docPartObj>
        <w:docPartGallery w:val="AutoText"/>
      </w:docPartObj>
    </w:sdtPr>
    <w:sdtContent>
      <w:p w14:paraId="0D5361B4">
        <w:pPr>
          <w:pStyle w:val="6"/>
          <w:jc w:val="center"/>
        </w:pPr>
        <w:r>
          <w:fldChar w:fldCharType="begin"/>
        </w:r>
        <w:r>
          <w:instrText xml:space="preserve">PAGE   \* MERGEFORMAT</w:instrText>
        </w:r>
        <w:r>
          <w:fldChar w:fldCharType="separate"/>
        </w:r>
        <w:r>
          <w:rPr>
            <w:lang w:val="zh-CN"/>
          </w:rPr>
          <w:t>2</w:t>
        </w:r>
        <w:r>
          <w:fldChar w:fldCharType="end"/>
        </w:r>
      </w:p>
    </w:sdtContent>
  </w:sdt>
  <w:p w14:paraId="66106DA4">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ABAE6D"/>
    <w:multiLevelType w:val="singleLevel"/>
    <w:tmpl w:val="C1ABAE6D"/>
    <w:lvl w:ilvl="0" w:tentative="0">
      <w:start w:val="1"/>
      <w:numFmt w:val="decimal"/>
      <w:lvlText w:val="%1."/>
      <w:lvlJc w:val="left"/>
      <w:pPr>
        <w:tabs>
          <w:tab w:val="left" w:pos="312"/>
        </w:tabs>
      </w:pPr>
    </w:lvl>
  </w:abstractNum>
  <w:abstractNum w:abstractNumId="1">
    <w:nsid w:val="04E542F8"/>
    <w:multiLevelType w:val="singleLevel"/>
    <w:tmpl w:val="04E542F8"/>
    <w:lvl w:ilvl="0" w:tentative="0">
      <w:start w:val="1"/>
      <w:numFmt w:val="chineseCounting"/>
      <w:suff w:val="nothing"/>
      <w:lvlText w:val="%1、"/>
      <w:lvlJc w:val="left"/>
      <w:rPr>
        <w:rFonts w:hint="eastAsia"/>
      </w:rPr>
    </w:lvl>
  </w:abstractNum>
  <w:abstractNum w:abstractNumId="2">
    <w:nsid w:val="1918561C"/>
    <w:multiLevelType w:val="multilevel"/>
    <w:tmpl w:val="1918561C"/>
    <w:lvl w:ilvl="0" w:tentative="0">
      <w:start w:val="1"/>
      <w:numFmt w:val="chineseCountingThousand"/>
      <w:pStyle w:val="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4511ECD"/>
    <w:multiLevelType w:val="multilevel"/>
    <w:tmpl w:val="74511ECD"/>
    <w:lvl w:ilvl="0" w:tentative="0">
      <w:start w:val="1"/>
      <w:numFmt w:val="chineseCountingThousand"/>
      <w:pStyle w:val="4"/>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04"/>
    <w:rsid w:val="00012ED2"/>
    <w:rsid w:val="00013809"/>
    <w:rsid w:val="00027363"/>
    <w:rsid w:val="00033D95"/>
    <w:rsid w:val="00040B80"/>
    <w:rsid w:val="000506AE"/>
    <w:rsid w:val="000518C3"/>
    <w:rsid w:val="00053C85"/>
    <w:rsid w:val="00053F0D"/>
    <w:rsid w:val="0005477F"/>
    <w:rsid w:val="00097E69"/>
    <w:rsid w:val="000A031F"/>
    <w:rsid w:val="000A6283"/>
    <w:rsid w:val="000E1C74"/>
    <w:rsid w:val="000E65F3"/>
    <w:rsid w:val="000E74F9"/>
    <w:rsid w:val="000E784F"/>
    <w:rsid w:val="000F017E"/>
    <w:rsid w:val="000F4480"/>
    <w:rsid w:val="000F6ED8"/>
    <w:rsid w:val="00112CFC"/>
    <w:rsid w:val="00123E7E"/>
    <w:rsid w:val="0013277C"/>
    <w:rsid w:val="00134DF3"/>
    <w:rsid w:val="00137D23"/>
    <w:rsid w:val="001429D0"/>
    <w:rsid w:val="001438AF"/>
    <w:rsid w:val="0015532D"/>
    <w:rsid w:val="00161D4C"/>
    <w:rsid w:val="001711E6"/>
    <w:rsid w:val="00173995"/>
    <w:rsid w:val="001768F1"/>
    <w:rsid w:val="00180100"/>
    <w:rsid w:val="00185A8E"/>
    <w:rsid w:val="00196116"/>
    <w:rsid w:val="001A1DEA"/>
    <w:rsid w:val="001B2054"/>
    <w:rsid w:val="001B411E"/>
    <w:rsid w:val="001C1CA5"/>
    <w:rsid w:val="001C58D9"/>
    <w:rsid w:val="001C6610"/>
    <w:rsid w:val="001E16DF"/>
    <w:rsid w:val="001E6657"/>
    <w:rsid w:val="0020364A"/>
    <w:rsid w:val="00223D4C"/>
    <w:rsid w:val="00235894"/>
    <w:rsid w:val="00236C9B"/>
    <w:rsid w:val="00240506"/>
    <w:rsid w:val="0024280C"/>
    <w:rsid w:val="00267276"/>
    <w:rsid w:val="0026799C"/>
    <w:rsid w:val="00275413"/>
    <w:rsid w:val="00276071"/>
    <w:rsid w:val="00277BB8"/>
    <w:rsid w:val="0028058F"/>
    <w:rsid w:val="00290BFD"/>
    <w:rsid w:val="00297A3C"/>
    <w:rsid w:val="002A68E1"/>
    <w:rsid w:val="002B0D21"/>
    <w:rsid w:val="002B3A3B"/>
    <w:rsid w:val="002C4218"/>
    <w:rsid w:val="002C64CF"/>
    <w:rsid w:val="002C7505"/>
    <w:rsid w:val="002D5B66"/>
    <w:rsid w:val="002D679C"/>
    <w:rsid w:val="002E2DD3"/>
    <w:rsid w:val="003000EF"/>
    <w:rsid w:val="003016C1"/>
    <w:rsid w:val="00301718"/>
    <w:rsid w:val="00303948"/>
    <w:rsid w:val="00312007"/>
    <w:rsid w:val="00313891"/>
    <w:rsid w:val="00324C53"/>
    <w:rsid w:val="00330564"/>
    <w:rsid w:val="00332ACF"/>
    <w:rsid w:val="00334C02"/>
    <w:rsid w:val="00341A9A"/>
    <w:rsid w:val="00342544"/>
    <w:rsid w:val="00342876"/>
    <w:rsid w:val="003440F1"/>
    <w:rsid w:val="003546A2"/>
    <w:rsid w:val="003604A5"/>
    <w:rsid w:val="00367740"/>
    <w:rsid w:val="00374EDF"/>
    <w:rsid w:val="00375771"/>
    <w:rsid w:val="00382611"/>
    <w:rsid w:val="0038784D"/>
    <w:rsid w:val="003A0F10"/>
    <w:rsid w:val="003A7013"/>
    <w:rsid w:val="003A7D1D"/>
    <w:rsid w:val="003B06F9"/>
    <w:rsid w:val="003B390E"/>
    <w:rsid w:val="003B4C44"/>
    <w:rsid w:val="003C1120"/>
    <w:rsid w:val="003C5CD0"/>
    <w:rsid w:val="003D24EC"/>
    <w:rsid w:val="003D37E9"/>
    <w:rsid w:val="003E7AE5"/>
    <w:rsid w:val="003F5537"/>
    <w:rsid w:val="003F7FC3"/>
    <w:rsid w:val="004106DE"/>
    <w:rsid w:val="00411B56"/>
    <w:rsid w:val="00423AD0"/>
    <w:rsid w:val="00425DCF"/>
    <w:rsid w:val="00430641"/>
    <w:rsid w:val="0044211B"/>
    <w:rsid w:val="00461ABD"/>
    <w:rsid w:val="00471244"/>
    <w:rsid w:val="00490E5C"/>
    <w:rsid w:val="00496EC3"/>
    <w:rsid w:val="004A10F1"/>
    <w:rsid w:val="004D526C"/>
    <w:rsid w:val="004E4F7E"/>
    <w:rsid w:val="004F4608"/>
    <w:rsid w:val="00502CE7"/>
    <w:rsid w:val="005043C8"/>
    <w:rsid w:val="005048C6"/>
    <w:rsid w:val="00521CB0"/>
    <w:rsid w:val="00527BA6"/>
    <w:rsid w:val="0053092E"/>
    <w:rsid w:val="00533A98"/>
    <w:rsid w:val="00540792"/>
    <w:rsid w:val="0056646E"/>
    <w:rsid w:val="005722E1"/>
    <w:rsid w:val="00576CDE"/>
    <w:rsid w:val="005822F9"/>
    <w:rsid w:val="00584225"/>
    <w:rsid w:val="005923D9"/>
    <w:rsid w:val="00596298"/>
    <w:rsid w:val="005A68C6"/>
    <w:rsid w:val="005B0391"/>
    <w:rsid w:val="005B1B58"/>
    <w:rsid w:val="005B7EFF"/>
    <w:rsid w:val="005D534E"/>
    <w:rsid w:val="005D64A3"/>
    <w:rsid w:val="005E0EA3"/>
    <w:rsid w:val="005E4B7C"/>
    <w:rsid w:val="005F048D"/>
    <w:rsid w:val="006074D0"/>
    <w:rsid w:val="0061458D"/>
    <w:rsid w:val="00621413"/>
    <w:rsid w:val="006240AF"/>
    <w:rsid w:val="00626E87"/>
    <w:rsid w:val="0063420F"/>
    <w:rsid w:val="00640601"/>
    <w:rsid w:val="00645C1B"/>
    <w:rsid w:val="00655FD3"/>
    <w:rsid w:val="006677A5"/>
    <w:rsid w:val="00682408"/>
    <w:rsid w:val="006862AC"/>
    <w:rsid w:val="00692BE8"/>
    <w:rsid w:val="006939C3"/>
    <w:rsid w:val="006B3EB5"/>
    <w:rsid w:val="006B7FEF"/>
    <w:rsid w:val="006D6483"/>
    <w:rsid w:val="006F01BB"/>
    <w:rsid w:val="006F5142"/>
    <w:rsid w:val="00702A68"/>
    <w:rsid w:val="007103CD"/>
    <w:rsid w:val="00734A8F"/>
    <w:rsid w:val="0074029D"/>
    <w:rsid w:val="0074114B"/>
    <w:rsid w:val="00747398"/>
    <w:rsid w:val="007551E6"/>
    <w:rsid w:val="00757F7A"/>
    <w:rsid w:val="00765122"/>
    <w:rsid w:val="0077119F"/>
    <w:rsid w:val="007863EA"/>
    <w:rsid w:val="007A2AD7"/>
    <w:rsid w:val="007A5E4A"/>
    <w:rsid w:val="007B66F1"/>
    <w:rsid w:val="007C3888"/>
    <w:rsid w:val="007C49E7"/>
    <w:rsid w:val="007C5330"/>
    <w:rsid w:val="007C7C75"/>
    <w:rsid w:val="007D796D"/>
    <w:rsid w:val="00825F88"/>
    <w:rsid w:val="00837477"/>
    <w:rsid w:val="0085573B"/>
    <w:rsid w:val="008A3A76"/>
    <w:rsid w:val="008B3AD3"/>
    <w:rsid w:val="008C08BA"/>
    <w:rsid w:val="008C5CD0"/>
    <w:rsid w:val="008D4384"/>
    <w:rsid w:val="008E6C6E"/>
    <w:rsid w:val="008F3679"/>
    <w:rsid w:val="008F72C5"/>
    <w:rsid w:val="00900F33"/>
    <w:rsid w:val="00901817"/>
    <w:rsid w:val="00904F5B"/>
    <w:rsid w:val="00914357"/>
    <w:rsid w:val="00914998"/>
    <w:rsid w:val="00915DF9"/>
    <w:rsid w:val="009432EC"/>
    <w:rsid w:val="00961913"/>
    <w:rsid w:val="0096407D"/>
    <w:rsid w:val="00964D43"/>
    <w:rsid w:val="00975235"/>
    <w:rsid w:val="00990158"/>
    <w:rsid w:val="009A070A"/>
    <w:rsid w:val="009A2608"/>
    <w:rsid w:val="009A5369"/>
    <w:rsid w:val="009A69C9"/>
    <w:rsid w:val="009B088F"/>
    <w:rsid w:val="009B2070"/>
    <w:rsid w:val="009B533E"/>
    <w:rsid w:val="009C23F4"/>
    <w:rsid w:val="009D335A"/>
    <w:rsid w:val="009E1AB3"/>
    <w:rsid w:val="009E208F"/>
    <w:rsid w:val="009E29EA"/>
    <w:rsid w:val="00A03DB2"/>
    <w:rsid w:val="00A60E5B"/>
    <w:rsid w:val="00A618E5"/>
    <w:rsid w:val="00A632F2"/>
    <w:rsid w:val="00A700D9"/>
    <w:rsid w:val="00A86235"/>
    <w:rsid w:val="00A86DA8"/>
    <w:rsid w:val="00A87BAE"/>
    <w:rsid w:val="00AA255C"/>
    <w:rsid w:val="00AA718A"/>
    <w:rsid w:val="00AB6E2B"/>
    <w:rsid w:val="00AC5E14"/>
    <w:rsid w:val="00AE656B"/>
    <w:rsid w:val="00AF6870"/>
    <w:rsid w:val="00AF69D8"/>
    <w:rsid w:val="00AF7371"/>
    <w:rsid w:val="00B04374"/>
    <w:rsid w:val="00B107D3"/>
    <w:rsid w:val="00B13624"/>
    <w:rsid w:val="00B1569B"/>
    <w:rsid w:val="00B1700D"/>
    <w:rsid w:val="00B23D0C"/>
    <w:rsid w:val="00B24C79"/>
    <w:rsid w:val="00B24DDB"/>
    <w:rsid w:val="00B60B1B"/>
    <w:rsid w:val="00B627DA"/>
    <w:rsid w:val="00B75404"/>
    <w:rsid w:val="00B802C3"/>
    <w:rsid w:val="00B8427E"/>
    <w:rsid w:val="00B92223"/>
    <w:rsid w:val="00BA3246"/>
    <w:rsid w:val="00BA52ED"/>
    <w:rsid w:val="00BA5E5F"/>
    <w:rsid w:val="00BB09BF"/>
    <w:rsid w:val="00BB21C8"/>
    <w:rsid w:val="00BB3D9B"/>
    <w:rsid w:val="00BC0C76"/>
    <w:rsid w:val="00BC29B5"/>
    <w:rsid w:val="00BE4A00"/>
    <w:rsid w:val="00C029ED"/>
    <w:rsid w:val="00C1154A"/>
    <w:rsid w:val="00C16556"/>
    <w:rsid w:val="00C24AE4"/>
    <w:rsid w:val="00C41222"/>
    <w:rsid w:val="00C47016"/>
    <w:rsid w:val="00C60C34"/>
    <w:rsid w:val="00C73D6D"/>
    <w:rsid w:val="00C74AF2"/>
    <w:rsid w:val="00C8333A"/>
    <w:rsid w:val="00C96603"/>
    <w:rsid w:val="00CA0DDD"/>
    <w:rsid w:val="00CC266A"/>
    <w:rsid w:val="00CD0AE1"/>
    <w:rsid w:val="00CD2F5B"/>
    <w:rsid w:val="00CD6256"/>
    <w:rsid w:val="00D021A2"/>
    <w:rsid w:val="00D0381D"/>
    <w:rsid w:val="00D03A15"/>
    <w:rsid w:val="00D07E70"/>
    <w:rsid w:val="00D23F0F"/>
    <w:rsid w:val="00D24BA1"/>
    <w:rsid w:val="00D25B51"/>
    <w:rsid w:val="00D31349"/>
    <w:rsid w:val="00D47333"/>
    <w:rsid w:val="00D503D8"/>
    <w:rsid w:val="00D8690F"/>
    <w:rsid w:val="00D904D8"/>
    <w:rsid w:val="00D92DB3"/>
    <w:rsid w:val="00DA1B94"/>
    <w:rsid w:val="00DA786F"/>
    <w:rsid w:val="00DC3E96"/>
    <w:rsid w:val="00DD04CE"/>
    <w:rsid w:val="00DE0637"/>
    <w:rsid w:val="00DE3752"/>
    <w:rsid w:val="00DF17C2"/>
    <w:rsid w:val="00E20A69"/>
    <w:rsid w:val="00E2306B"/>
    <w:rsid w:val="00E25DA1"/>
    <w:rsid w:val="00E419F5"/>
    <w:rsid w:val="00E5157A"/>
    <w:rsid w:val="00E56A77"/>
    <w:rsid w:val="00E73501"/>
    <w:rsid w:val="00E7455D"/>
    <w:rsid w:val="00E902D5"/>
    <w:rsid w:val="00EA0B84"/>
    <w:rsid w:val="00ED560F"/>
    <w:rsid w:val="00ED5D57"/>
    <w:rsid w:val="00EE641B"/>
    <w:rsid w:val="00EF2282"/>
    <w:rsid w:val="00EF3FB3"/>
    <w:rsid w:val="00EF41B4"/>
    <w:rsid w:val="00F019AD"/>
    <w:rsid w:val="00F02A2A"/>
    <w:rsid w:val="00F046E1"/>
    <w:rsid w:val="00F147D2"/>
    <w:rsid w:val="00F328E4"/>
    <w:rsid w:val="00F3524D"/>
    <w:rsid w:val="00F42C93"/>
    <w:rsid w:val="00F442C9"/>
    <w:rsid w:val="00F527A0"/>
    <w:rsid w:val="00F57FD0"/>
    <w:rsid w:val="00F602C5"/>
    <w:rsid w:val="00F62E22"/>
    <w:rsid w:val="00F64A1E"/>
    <w:rsid w:val="00F64B33"/>
    <w:rsid w:val="00F70351"/>
    <w:rsid w:val="00F84435"/>
    <w:rsid w:val="00F87986"/>
    <w:rsid w:val="00F909D5"/>
    <w:rsid w:val="00F93BA4"/>
    <w:rsid w:val="00F94DE4"/>
    <w:rsid w:val="00FC40F3"/>
    <w:rsid w:val="00FE17E2"/>
    <w:rsid w:val="00FE2CA8"/>
    <w:rsid w:val="00FE7370"/>
    <w:rsid w:val="00FF33C0"/>
    <w:rsid w:val="00FF4259"/>
    <w:rsid w:val="0A44522A"/>
    <w:rsid w:val="0F9C3998"/>
    <w:rsid w:val="18EB73C9"/>
    <w:rsid w:val="19BC5986"/>
    <w:rsid w:val="271E2221"/>
    <w:rsid w:val="2DA41B3F"/>
    <w:rsid w:val="32D338CB"/>
    <w:rsid w:val="3D3E04C6"/>
    <w:rsid w:val="42303C26"/>
    <w:rsid w:val="42CD4026"/>
    <w:rsid w:val="49F363FD"/>
    <w:rsid w:val="5040697E"/>
    <w:rsid w:val="5A454B9F"/>
    <w:rsid w:val="616C3DAB"/>
    <w:rsid w:val="644B7698"/>
    <w:rsid w:val="73387C0F"/>
    <w:rsid w:val="7A2D1151"/>
    <w:rsid w:val="7E8E0A1E"/>
    <w:rsid w:val="7FF632E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 w:cs="Times New Roman"/>
      <w:kern w:val="2"/>
      <w:sz w:val="28"/>
      <w:szCs w:val="24"/>
      <w:lang w:val="en-US" w:eastAsia="zh-CN" w:bidi="ar-SA"/>
    </w:rPr>
  </w:style>
  <w:style w:type="paragraph" w:styleId="3">
    <w:name w:val="heading 1"/>
    <w:basedOn w:val="1"/>
    <w:next w:val="1"/>
    <w:link w:val="17"/>
    <w:qFormat/>
    <w:uiPriority w:val="9"/>
    <w:pPr>
      <w:keepNext/>
      <w:keepLines/>
      <w:numPr>
        <w:ilvl w:val="0"/>
        <w:numId w:val="1"/>
      </w:numPr>
      <w:spacing w:after="120" w:line="578" w:lineRule="auto"/>
      <w:outlineLvl w:val="0"/>
    </w:pPr>
    <w:rPr>
      <w:rFonts w:eastAsia="黑体"/>
      <w:bCs/>
      <w:kern w:val="44"/>
      <w:sz w:val="30"/>
      <w:szCs w:val="44"/>
    </w:rPr>
  </w:style>
  <w:style w:type="paragraph" w:styleId="4">
    <w:name w:val="heading 2"/>
    <w:basedOn w:val="1"/>
    <w:next w:val="1"/>
    <w:link w:val="18"/>
    <w:unhideWhenUsed/>
    <w:qFormat/>
    <w:uiPriority w:val="9"/>
    <w:pPr>
      <w:keepNext/>
      <w:keepLines/>
      <w:numPr>
        <w:ilvl w:val="0"/>
        <w:numId w:val="2"/>
      </w:numPr>
      <w:spacing w:after="120"/>
      <w:outlineLvl w:val="1"/>
    </w:pPr>
    <w:rPr>
      <w:rFonts w:asciiTheme="majorHAnsi" w:hAnsiTheme="majorHAnsi" w:cstheme="majorBidi"/>
      <w:b/>
      <w:bCs/>
      <w:szCs w:val="32"/>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unhideWhenUsed/>
    <w:qFormat/>
    <w:uiPriority w:val="39"/>
    <w:pPr>
      <w:ind w:left="420" w:leftChars="200"/>
    </w:pPr>
  </w:style>
  <w:style w:type="paragraph" w:styleId="5">
    <w:name w:val="Balloon Text"/>
    <w:basedOn w:val="1"/>
    <w:link w:val="21"/>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22"/>
    <w:rPr>
      <w:b/>
      <w:bCs/>
    </w:rPr>
  </w:style>
  <w:style w:type="character" w:styleId="13">
    <w:name w:val="Hyperlink"/>
    <w:unhideWhenUsed/>
    <w:qFormat/>
    <w:uiPriority w:val="99"/>
    <w:rPr>
      <w:color w:val="000000"/>
      <w:u w:val="none"/>
    </w:rPr>
  </w:style>
  <w:style w:type="character" w:customStyle="1" w:styleId="14">
    <w:name w:val="页眉 字符"/>
    <w:basedOn w:val="11"/>
    <w:link w:val="7"/>
    <w:qFormat/>
    <w:uiPriority w:val="99"/>
    <w:rPr>
      <w:sz w:val="18"/>
      <w:szCs w:val="18"/>
    </w:rPr>
  </w:style>
  <w:style w:type="character" w:customStyle="1" w:styleId="15">
    <w:name w:val="页脚 字符"/>
    <w:basedOn w:val="11"/>
    <w:link w:val="6"/>
    <w:qFormat/>
    <w:uiPriority w:val="99"/>
    <w:rPr>
      <w:sz w:val="18"/>
      <w:szCs w:val="18"/>
    </w:rPr>
  </w:style>
  <w:style w:type="paragraph" w:styleId="16">
    <w:name w:val="List Paragraph"/>
    <w:basedOn w:val="1"/>
    <w:qFormat/>
    <w:uiPriority w:val="34"/>
    <w:pPr>
      <w:ind w:firstLine="420" w:firstLineChars="200"/>
    </w:pPr>
  </w:style>
  <w:style w:type="character" w:customStyle="1" w:styleId="17">
    <w:name w:val="标题 1 字符"/>
    <w:basedOn w:val="11"/>
    <w:link w:val="3"/>
    <w:qFormat/>
    <w:uiPriority w:val="9"/>
    <w:rPr>
      <w:rFonts w:ascii="Times New Roman" w:hAnsi="Times New Roman" w:eastAsia="黑体" w:cs="Times New Roman"/>
      <w:bCs/>
      <w:kern w:val="44"/>
      <w:sz w:val="30"/>
      <w:szCs w:val="44"/>
    </w:rPr>
  </w:style>
  <w:style w:type="character" w:customStyle="1" w:styleId="18">
    <w:name w:val="标题 2 字符"/>
    <w:basedOn w:val="11"/>
    <w:link w:val="4"/>
    <w:qFormat/>
    <w:uiPriority w:val="9"/>
    <w:rPr>
      <w:rFonts w:eastAsia="仿宋" w:asciiTheme="majorHAnsi" w:hAnsiTheme="majorHAnsi" w:cstheme="majorBidi"/>
      <w:b/>
      <w:bCs/>
      <w:sz w:val="28"/>
      <w:szCs w:val="32"/>
    </w:rPr>
  </w:style>
  <w:style w:type="paragraph" w:customStyle="1" w:styleId="19">
    <w:name w:val="表"/>
    <w:basedOn w:val="1"/>
    <w:link w:val="20"/>
    <w:qFormat/>
    <w:uiPriority w:val="0"/>
  </w:style>
  <w:style w:type="character" w:customStyle="1" w:styleId="20">
    <w:name w:val="表 Char"/>
    <w:basedOn w:val="11"/>
    <w:link w:val="19"/>
    <w:qFormat/>
    <w:uiPriority w:val="0"/>
    <w:rPr>
      <w:rFonts w:ascii="Times New Roman" w:hAnsi="Times New Roman" w:eastAsia="仿宋" w:cs="Times New Roman"/>
      <w:sz w:val="28"/>
      <w:szCs w:val="24"/>
    </w:rPr>
  </w:style>
  <w:style w:type="character" w:customStyle="1" w:styleId="21">
    <w:name w:val="批注框文本 字符"/>
    <w:basedOn w:val="11"/>
    <w:link w:val="5"/>
    <w:semiHidden/>
    <w:qFormat/>
    <w:uiPriority w:val="99"/>
    <w:rPr>
      <w:rFonts w:ascii="Times New Roman" w:hAnsi="Times New Roman" w:eastAsia="仿宋" w:cs="Times New Roman"/>
      <w:sz w:val="18"/>
      <w:szCs w:val="18"/>
    </w:rPr>
  </w:style>
  <w:style w:type="paragraph" w:customStyle="1" w:styleId="22">
    <w:name w:val="正文+文字"/>
    <w:basedOn w:val="1"/>
    <w:qFormat/>
    <w:uiPriority w:val="99"/>
    <w:pPr>
      <w:spacing w:line="360" w:lineRule="auto"/>
      <w:ind w:firstLine="200" w:firstLineChars="200"/>
    </w:pPr>
    <w:rPr>
      <w:rFonts w:eastAsia="宋体"/>
      <w:sz w:val="24"/>
    </w:rPr>
  </w:style>
  <w:style w:type="paragraph" w:customStyle="1" w:styleId="23">
    <w:name w:val="正文缩进1"/>
    <w:basedOn w:val="1"/>
    <w:qFormat/>
    <w:uiPriority w:val="0"/>
    <w:pPr>
      <w:ind w:firstLine="420" w:firstLineChars="200"/>
    </w:pPr>
    <w:rPr>
      <w:rFonts w:ascii="Calibri" w:hAnsi="Calibri" w:eastAsia="宋体"/>
      <w:szCs w:val="22"/>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6246B-6370-4945-8C79-095C7F6A906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Pages>
  <Words>4706</Words>
  <Characters>4817</Characters>
  <Lines>35</Lines>
  <Paragraphs>9</Paragraphs>
  <TotalTime>44</TotalTime>
  <ScaleCrop>false</ScaleCrop>
  <LinksUpToDate>false</LinksUpToDate>
  <CharactersWithSpaces>4856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2024-12-11T05:03:00Z</dcterms:created>
  <dc:creator>冯倚天</dc:creator>
  <cp:lastModifiedBy>秋枫</cp:lastModifiedBy>
  <cp:lastPrinted>2021-06-03T01:44:00Z</cp:lastPrinted>
  <dcterms:modified xsi:type="dcterms:W3CDTF">2024-12-12T15:04:40Z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1D4EAEB2B4D74C0B965354C2CF510F2C</vt:lpwstr>
  </property>
</Properties>
</file>