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52CC64">
      <w:pPr>
        <w:kinsoku/>
        <w:spacing w:before="114" w:line="223" w:lineRule="auto"/>
        <w:rPr>
          <w:rFonts w:hint="eastAsia" w:asciiTheme="minorEastAsia" w:hAnsiTheme="minorEastAsia" w:eastAsiaTheme="minorEastAsia" w:cstheme="minorEastAsia"/>
          <w:color w:val="auto"/>
          <w:sz w:val="35"/>
          <w:szCs w:val="35"/>
          <w:highlight w:val="none"/>
        </w:rPr>
      </w:pPr>
      <w:r>
        <w:rPr>
          <w:rFonts w:hint="eastAsia" w:asciiTheme="minorEastAsia" w:hAnsiTheme="minorEastAsia" w:eastAsiaTheme="minorEastAsia" w:cstheme="minorEastAsia"/>
          <w:b/>
          <w:bCs/>
          <w:color w:val="auto"/>
          <w:spacing w:val="7"/>
          <w:sz w:val="29"/>
          <w:szCs w:val="29"/>
          <w:highlight w:val="none"/>
          <w:lang w:val="en-US" w:eastAsia="zh-CN"/>
        </w:rPr>
        <w:t>附件2</w:t>
      </w:r>
      <w:r>
        <w:rPr>
          <w:rFonts w:hint="eastAsia" w:asciiTheme="minorEastAsia" w:hAnsiTheme="minorEastAsia" w:eastAsiaTheme="minorEastAsia" w:cstheme="minorEastAsia"/>
          <w:b/>
          <w:bCs/>
          <w:color w:val="auto"/>
          <w:spacing w:val="7"/>
          <w:sz w:val="29"/>
          <w:szCs w:val="29"/>
          <w:highlight w:val="none"/>
        </w:rPr>
        <w:t xml:space="preserve">  </w:t>
      </w:r>
      <w:r>
        <w:rPr>
          <w:rFonts w:hint="eastAsia" w:asciiTheme="minorEastAsia" w:hAnsiTheme="minorEastAsia" w:eastAsiaTheme="minorEastAsia" w:cstheme="minorEastAsia"/>
          <w:b/>
          <w:bCs/>
          <w:color w:val="auto"/>
          <w:spacing w:val="7"/>
          <w:sz w:val="29"/>
          <w:szCs w:val="29"/>
          <w:highlight w:val="none"/>
          <w:lang w:val="en-US" w:eastAsia="zh-CN"/>
        </w:rPr>
        <w:t xml:space="preserve">      </w:t>
      </w:r>
      <w:r>
        <w:rPr>
          <w:rFonts w:hint="eastAsia" w:asciiTheme="minorEastAsia" w:hAnsiTheme="minorEastAsia" w:eastAsiaTheme="minorEastAsia" w:cstheme="minorEastAsia"/>
          <w:b/>
          <w:bCs/>
          <w:color w:val="auto"/>
          <w:spacing w:val="7"/>
          <w:sz w:val="29"/>
          <w:szCs w:val="29"/>
          <w:highlight w:val="none"/>
        </w:rPr>
        <w:t>评标办法（</w:t>
      </w:r>
      <w:r>
        <w:rPr>
          <w:rFonts w:hint="eastAsia" w:asciiTheme="minorEastAsia" w:hAnsiTheme="minorEastAsia" w:eastAsiaTheme="minorEastAsia" w:cstheme="minorEastAsia"/>
          <w:b/>
          <w:bCs/>
          <w:color w:val="auto"/>
          <w:spacing w:val="7"/>
          <w:sz w:val="29"/>
          <w:szCs w:val="29"/>
          <w:highlight w:val="none"/>
          <w:lang w:val="en-US" w:eastAsia="zh-CN"/>
        </w:rPr>
        <w:t>双信封的</w:t>
      </w:r>
      <w:r>
        <w:rPr>
          <w:rFonts w:hint="eastAsia" w:asciiTheme="minorEastAsia" w:hAnsiTheme="minorEastAsia" w:eastAsiaTheme="minorEastAsia" w:cstheme="minorEastAsia"/>
          <w:b/>
          <w:bCs/>
          <w:color w:val="auto"/>
          <w:spacing w:val="7"/>
          <w:sz w:val="29"/>
          <w:szCs w:val="29"/>
          <w:highlight w:val="none"/>
        </w:rPr>
        <w:t>综合评估法）</w:t>
      </w:r>
    </w:p>
    <w:p w14:paraId="7CF59C43">
      <w:pPr>
        <w:kinsoku/>
        <w:spacing w:before="75" w:line="222" w:lineRule="auto"/>
        <w:ind w:firstLine="122"/>
        <w:rPr>
          <w:rFonts w:hint="eastAsia"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7"/>
          <w:sz w:val="23"/>
          <w:szCs w:val="23"/>
          <w:highlight w:val="none"/>
        </w:rPr>
        <w:t>评标办法前附表：</w:t>
      </w:r>
    </w:p>
    <w:tbl>
      <w:tblPr>
        <w:tblStyle w:val="6"/>
        <w:tblW w:w="874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6"/>
        <w:gridCol w:w="192"/>
        <w:gridCol w:w="12"/>
        <w:gridCol w:w="641"/>
        <w:gridCol w:w="714"/>
        <w:gridCol w:w="157"/>
        <w:gridCol w:w="608"/>
        <w:gridCol w:w="1003"/>
        <w:gridCol w:w="761"/>
        <w:gridCol w:w="3851"/>
      </w:tblGrid>
      <w:tr w14:paraId="241C85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2522" w:type="dxa"/>
            <w:gridSpan w:val="6"/>
          </w:tcPr>
          <w:p w14:paraId="5240588A">
            <w:pPr>
              <w:kinsoku/>
              <w:spacing w:before="40" w:line="360" w:lineRule="auto"/>
              <w:ind w:firstLine="91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7"/>
                <w:highlight w:val="none"/>
                <w14:textOutline w14:w="4356" w14:cap="sq" w14:cmpd="sng" w14:algn="ctr">
                  <w14:solidFill>
                    <w14:srgbClr w14:val="000000"/>
                  </w14:solidFill>
                  <w14:prstDash w14:val="solid"/>
                  <w14:bevel/>
                </w14:textOutline>
              </w:rPr>
              <w:t>条款号</w:t>
            </w:r>
          </w:p>
        </w:tc>
        <w:tc>
          <w:tcPr>
            <w:tcW w:w="6223" w:type="dxa"/>
            <w:gridSpan w:val="4"/>
          </w:tcPr>
          <w:p w14:paraId="083A6CD4">
            <w:pPr>
              <w:kinsoku/>
              <w:spacing w:before="40" w:line="360" w:lineRule="auto"/>
              <w:ind w:firstLine="1927"/>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9"/>
                <w:highlight w:val="none"/>
                <w14:textOutline w14:w="4356" w14:cap="sq" w14:cmpd="sng" w14:algn="ctr">
                  <w14:solidFill>
                    <w14:srgbClr w14:val="000000"/>
                  </w14:solidFill>
                  <w14:prstDash w14:val="solid"/>
                  <w14:bevel/>
                </w14:textOutline>
              </w:rPr>
              <w:t>评审因素与评审标准</w:t>
            </w:r>
          </w:p>
        </w:tc>
      </w:tr>
      <w:tr w14:paraId="0220E1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04" w:hRule="atLeast"/>
        </w:trPr>
        <w:tc>
          <w:tcPr>
            <w:tcW w:w="1010" w:type="dxa"/>
            <w:gridSpan w:val="3"/>
          </w:tcPr>
          <w:p w14:paraId="6123066F">
            <w:pPr>
              <w:kinsoku/>
              <w:spacing w:line="360" w:lineRule="auto"/>
              <w:rPr>
                <w:rFonts w:hint="eastAsia" w:asciiTheme="minorEastAsia" w:hAnsiTheme="minorEastAsia" w:eastAsiaTheme="minorEastAsia" w:cstheme="minorEastAsia"/>
                <w:color w:val="auto"/>
                <w:highlight w:val="none"/>
              </w:rPr>
            </w:pPr>
          </w:p>
          <w:p w14:paraId="1C8ED2C9">
            <w:pPr>
              <w:kinsoku/>
              <w:spacing w:line="360" w:lineRule="auto"/>
              <w:rPr>
                <w:rFonts w:hint="eastAsia" w:asciiTheme="minorEastAsia" w:hAnsiTheme="minorEastAsia" w:eastAsiaTheme="minorEastAsia" w:cstheme="minorEastAsia"/>
                <w:color w:val="auto"/>
                <w:highlight w:val="none"/>
              </w:rPr>
            </w:pPr>
          </w:p>
          <w:p w14:paraId="2D01DDD7">
            <w:pPr>
              <w:kinsoku/>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w:t>
            </w:r>
          </w:p>
        </w:tc>
        <w:tc>
          <w:tcPr>
            <w:tcW w:w="1512" w:type="dxa"/>
            <w:gridSpan w:val="3"/>
          </w:tcPr>
          <w:p w14:paraId="721B5FAD">
            <w:pPr>
              <w:kinsoku/>
              <w:spacing w:line="360" w:lineRule="auto"/>
              <w:rPr>
                <w:rFonts w:hint="eastAsia" w:asciiTheme="minorEastAsia" w:hAnsiTheme="minorEastAsia" w:eastAsiaTheme="minorEastAsia" w:cstheme="minorEastAsia"/>
                <w:color w:val="auto"/>
                <w:highlight w:val="none"/>
              </w:rPr>
            </w:pPr>
          </w:p>
          <w:p w14:paraId="791CC14D">
            <w:pPr>
              <w:kinsoku/>
              <w:spacing w:line="360" w:lineRule="auto"/>
              <w:rPr>
                <w:rFonts w:hint="eastAsia" w:asciiTheme="minorEastAsia" w:hAnsiTheme="minorEastAsia" w:eastAsiaTheme="minorEastAsia" w:cstheme="minorEastAsia"/>
                <w:color w:val="auto"/>
                <w:highlight w:val="none"/>
              </w:rPr>
            </w:pPr>
          </w:p>
          <w:p w14:paraId="7F7DCFC2">
            <w:pPr>
              <w:kinsoku/>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评标方法</w:t>
            </w:r>
          </w:p>
        </w:tc>
        <w:tc>
          <w:tcPr>
            <w:tcW w:w="6223" w:type="dxa"/>
            <w:gridSpan w:val="4"/>
          </w:tcPr>
          <w:p w14:paraId="24CC3FA0">
            <w:pPr>
              <w:kinsoku/>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综合评分相等时，评标委员会依次按照以下优先顺序推荐中标候选人或确定中标人：</w:t>
            </w:r>
          </w:p>
          <w:p w14:paraId="5FBC7854">
            <w:pPr>
              <w:kinsoku/>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w:t>
            </w:r>
            <w:r>
              <w:rPr>
                <w:rFonts w:hint="eastAsia" w:cs="宋体"/>
                <w:b/>
                <w:color w:val="auto"/>
                <w:szCs w:val="21"/>
                <w:highlight w:val="none"/>
              </w:rPr>
              <w:t>投标</w:t>
            </w:r>
            <w:r>
              <w:rPr>
                <w:rFonts w:hint="eastAsia" w:cs="宋体"/>
                <w:b/>
                <w:color w:val="auto"/>
                <w:szCs w:val="21"/>
                <w:highlight w:val="none"/>
                <w:lang w:eastAsia="zh-CN"/>
              </w:rPr>
              <w:t>合同单价折扣系数</w:t>
            </w:r>
            <w:r>
              <w:rPr>
                <w:rFonts w:hint="eastAsia" w:cs="宋体"/>
                <w:b/>
                <w:color w:val="auto"/>
                <w:szCs w:val="21"/>
                <w:highlight w:val="none"/>
              </w:rPr>
              <w:t>低</w:t>
            </w:r>
            <w:r>
              <w:rPr>
                <w:rFonts w:hint="eastAsia" w:asciiTheme="minorEastAsia" w:hAnsiTheme="minorEastAsia" w:eastAsiaTheme="minorEastAsia" w:cstheme="minorEastAsia"/>
                <w:color w:val="auto"/>
                <w:highlight w:val="none"/>
              </w:rPr>
              <w:t>的投标人优先；</w:t>
            </w:r>
          </w:p>
          <w:p w14:paraId="2FE53381">
            <w:pPr>
              <w:kinsoku/>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（2）商务和技术得分较高的投标人优先；</w:t>
            </w:r>
          </w:p>
          <w:p w14:paraId="6501BDAB">
            <w:pPr>
              <w:kinsoku/>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（3）评标委员会视投标人情况综合比较，投票确定其名次。</w:t>
            </w:r>
          </w:p>
        </w:tc>
      </w:tr>
      <w:tr w14:paraId="565645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80" w:hRule="atLeast"/>
        </w:trPr>
        <w:tc>
          <w:tcPr>
            <w:tcW w:w="1010" w:type="dxa"/>
            <w:gridSpan w:val="3"/>
          </w:tcPr>
          <w:p w14:paraId="09C9DB57">
            <w:pPr>
              <w:kinsoku/>
              <w:spacing w:line="360" w:lineRule="auto"/>
              <w:rPr>
                <w:rFonts w:hint="eastAsia" w:asciiTheme="minorEastAsia" w:hAnsiTheme="minorEastAsia" w:eastAsiaTheme="minorEastAsia" w:cstheme="minorEastAsia"/>
                <w:color w:val="auto"/>
                <w:highlight w:val="none"/>
              </w:rPr>
            </w:pPr>
          </w:p>
          <w:p w14:paraId="17D9F8E8">
            <w:pPr>
              <w:kinsoku/>
              <w:spacing w:line="360" w:lineRule="auto"/>
              <w:rPr>
                <w:rFonts w:hint="eastAsia" w:asciiTheme="minorEastAsia" w:hAnsiTheme="minorEastAsia" w:eastAsiaTheme="minorEastAsia" w:cstheme="minorEastAsia"/>
                <w:color w:val="auto"/>
                <w:highlight w:val="none"/>
              </w:rPr>
            </w:pPr>
          </w:p>
          <w:p w14:paraId="47BD966D">
            <w:pPr>
              <w:kinsoku/>
              <w:spacing w:line="360" w:lineRule="auto"/>
              <w:rPr>
                <w:rFonts w:hint="eastAsia" w:asciiTheme="minorEastAsia" w:hAnsiTheme="minorEastAsia" w:eastAsiaTheme="minorEastAsia" w:cstheme="minorEastAsia"/>
                <w:color w:val="auto"/>
                <w:highlight w:val="none"/>
              </w:rPr>
            </w:pPr>
          </w:p>
          <w:p w14:paraId="1B19CC45">
            <w:pPr>
              <w:kinsoku/>
              <w:spacing w:line="360" w:lineRule="auto"/>
              <w:rPr>
                <w:rFonts w:hint="eastAsia" w:asciiTheme="minorEastAsia" w:hAnsiTheme="minorEastAsia" w:eastAsiaTheme="minorEastAsia" w:cstheme="minorEastAsia"/>
                <w:color w:val="auto"/>
                <w:highlight w:val="none"/>
              </w:rPr>
            </w:pPr>
          </w:p>
          <w:p w14:paraId="5F1E3F0E">
            <w:pPr>
              <w:kinsoku/>
              <w:spacing w:line="360" w:lineRule="auto"/>
              <w:rPr>
                <w:rFonts w:hint="eastAsia" w:asciiTheme="minorEastAsia" w:hAnsiTheme="minorEastAsia" w:eastAsiaTheme="minorEastAsia" w:cstheme="minorEastAsia"/>
                <w:color w:val="auto"/>
                <w:highlight w:val="none"/>
              </w:rPr>
            </w:pPr>
          </w:p>
          <w:p w14:paraId="34CA2EF9">
            <w:pPr>
              <w:kinsoku/>
              <w:spacing w:line="360" w:lineRule="auto"/>
              <w:rPr>
                <w:rFonts w:hint="eastAsia" w:asciiTheme="minorEastAsia" w:hAnsiTheme="minorEastAsia" w:eastAsiaTheme="minorEastAsia" w:cstheme="minorEastAsia"/>
                <w:color w:val="auto"/>
                <w:highlight w:val="none"/>
              </w:rPr>
            </w:pPr>
          </w:p>
          <w:p w14:paraId="3F15BB89">
            <w:pPr>
              <w:kinsoku/>
              <w:spacing w:line="360" w:lineRule="auto"/>
              <w:rPr>
                <w:rFonts w:hint="eastAsia" w:asciiTheme="minorEastAsia" w:hAnsiTheme="minorEastAsia" w:eastAsiaTheme="minorEastAsia" w:cstheme="minorEastAsia"/>
                <w:color w:val="auto"/>
                <w:highlight w:val="none"/>
              </w:rPr>
            </w:pPr>
          </w:p>
          <w:p w14:paraId="54D89924">
            <w:pPr>
              <w:kinsoku/>
              <w:spacing w:line="360" w:lineRule="auto"/>
              <w:rPr>
                <w:rFonts w:hint="eastAsia" w:asciiTheme="minorEastAsia" w:hAnsiTheme="minorEastAsia" w:eastAsiaTheme="minorEastAsia" w:cstheme="minorEastAsia"/>
                <w:color w:val="auto"/>
                <w:highlight w:val="none"/>
              </w:rPr>
            </w:pPr>
          </w:p>
          <w:p w14:paraId="40F163F3">
            <w:pPr>
              <w:kinsoku/>
              <w:spacing w:line="360" w:lineRule="auto"/>
              <w:rPr>
                <w:rFonts w:hint="eastAsia" w:asciiTheme="minorEastAsia" w:hAnsiTheme="minorEastAsia" w:eastAsiaTheme="minorEastAsia" w:cstheme="minorEastAsia"/>
                <w:color w:val="auto"/>
                <w:highlight w:val="none"/>
              </w:rPr>
            </w:pPr>
          </w:p>
          <w:p w14:paraId="7E997D4F">
            <w:pPr>
              <w:kinsoku/>
              <w:spacing w:line="360" w:lineRule="auto"/>
              <w:rPr>
                <w:rFonts w:hint="eastAsia" w:asciiTheme="minorEastAsia" w:hAnsiTheme="minorEastAsia" w:eastAsiaTheme="minorEastAsia" w:cstheme="minorEastAsia"/>
                <w:color w:val="auto"/>
                <w:highlight w:val="none"/>
              </w:rPr>
            </w:pPr>
          </w:p>
          <w:p w14:paraId="2782559C">
            <w:pPr>
              <w:kinsoku/>
              <w:spacing w:line="360" w:lineRule="auto"/>
              <w:rPr>
                <w:rFonts w:hint="eastAsia" w:asciiTheme="minorEastAsia" w:hAnsiTheme="minorEastAsia" w:eastAsiaTheme="minorEastAsia" w:cstheme="minorEastAsia"/>
                <w:color w:val="auto"/>
                <w:highlight w:val="none"/>
              </w:rPr>
            </w:pPr>
          </w:p>
          <w:p w14:paraId="4C279A43">
            <w:pPr>
              <w:kinsoku/>
              <w:spacing w:line="360" w:lineRule="auto"/>
              <w:rPr>
                <w:rFonts w:hint="eastAsia" w:asciiTheme="minorEastAsia" w:hAnsiTheme="minorEastAsia" w:eastAsiaTheme="minorEastAsia" w:cstheme="minorEastAsia"/>
                <w:color w:val="auto"/>
                <w:highlight w:val="none"/>
              </w:rPr>
            </w:pPr>
          </w:p>
          <w:p w14:paraId="0452941D">
            <w:pPr>
              <w:kinsoku/>
              <w:spacing w:line="360" w:lineRule="auto"/>
              <w:rPr>
                <w:rFonts w:hint="eastAsia" w:asciiTheme="minorEastAsia" w:hAnsiTheme="minorEastAsia" w:eastAsiaTheme="minorEastAsia" w:cstheme="minorEastAsia"/>
                <w:color w:val="auto"/>
                <w:highlight w:val="none"/>
              </w:rPr>
            </w:pPr>
          </w:p>
          <w:p w14:paraId="65D10510">
            <w:pPr>
              <w:kinsoku/>
              <w:spacing w:line="360" w:lineRule="auto"/>
              <w:rPr>
                <w:rFonts w:hint="eastAsia" w:asciiTheme="minorEastAsia" w:hAnsiTheme="minorEastAsia" w:eastAsiaTheme="minorEastAsia" w:cstheme="minorEastAsia"/>
                <w:color w:val="auto"/>
                <w:highlight w:val="none"/>
              </w:rPr>
            </w:pPr>
          </w:p>
          <w:p w14:paraId="18E9B7CC">
            <w:pPr>
              <w:kinsoku/>
              <w:spacing w:line="360" w:lineRule="auto"/>
              <w:rPr>
                <w:rFonts w:hint="eastAsia" w:asciiTheme="minorEastAsia" w:hAnsiTheme="minorEastAsia" w:eastAsiaTheme="minorEastAsia" w:cstheme="minorEastAsia"/>
                <w:color w:val="auto"/>
                <w:highlight w:val="none"/>
              </w:rPr>
            </w:pPr>
          </w:p>
          <w:p w14:paraId="52DC6B1B">
            <w:pPr>
              <w:kinsoku/>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2.1.1</w:t>
            </w:r>
          </w:p>
          <w:p w14:paraId="22055C4C">
            <w:pPr>
              <w:kinsoku/>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2.1.3</w:t>
            </w:r>
          </w:p>
        </w:tc>
        <w:tc>
          <w:tcPr>
            <w:tcW w:w="1512" w:type="dxa"/>
            <w:gridSpan w:val="3"/>
          </w:tcPr>
          <w:p w14:paraId="15A5B173">
            <w:pPr>
              <w:kinsoku/>
              <w:spacing w:line="360" w:lineRule="auto"/>
              <w:rPr>
                <w:rFonts w:hint="eastAsia" w:asciiTheme="minorEastAsia" w:hAnsiTheme="minorEastAsia" w:eastAsiaTheme="minorEastAsia" w:cstheme="minorEastAsia"/>
                <w:color w:val="auto"/>
                <w:highlight w:val="none"/>
              </w:rPr>
            </w:pPr>
          </w:p>
          <w:p w14:paraId="44EA8CEE">
            <w:pPr>
              <w:kinsoku/>
              <w:spacing w:line="360" w:lineRule="auto"/>
              <w:rPr>
                <w:rFonts w:hint="eastAsia" w:asciiTheme="minorEastAsia" w:hAnsiTheme="minorEastAsia" w:eastAsiaTheme="minorEastAsia" w:cstheme="minorEastAsia"/>
                <w:color w:val="auto"/>
                <w:highlight w:val="none"/>
              </w:rPr>
            </w:pPr>
          </w:p>
          <w:p w14:paraId="7E5901FB">
            <w:pPr>
              <w:kinsoku/>
              <w:spacing w:line="360" w:lineRule="auto"/>
              <w:rPr>
                <w:rFonts w:hint="eastAsia" w:asciiTheme="minorEastAsia" w:hAnsiTheme="minorEastAsia" w:eastAsiaTheme="minorEastAsia" w:cstheme="minorEastAsia"/>
                <w:color w:val="auto"/>
                <w:highlight w:val="none"/>
              </w:rPr>
            </w:pPr>
          </w:p>
          <w:p w14:paraId="1AE89DB1">
            <w:pPr>
              <w:kinsoku/>
              <w:spacing w:line="360" w:lineRule="auto"/>
              <w:rPr>
                <w:rFonts w:hint="eastAsia" w:asciiTheme="minorEastAsia" w:hAnsiTheme="minorEastAsia" w:eastAsiaTheme="minorEastAsia" w:cstheme="minorEastAsia"/>
                <w:color w:val="auto"/>
                <w:highlight w:val="none"/>
              </w:rPr>
            </w:pPr>
          </w:p>
          <w:p w14:paraId="18C63829">
            <w:pPr>
              <w:kinsoku/>
              <w:spacing w:line="360" w:lineRule="auto"/>
              <w:rPr>
                <w:rFonts w:hint="eastAsia" w:asciiTheme="minorEastAsia" w:hAnsiTheme="minorEastAsia" w:eastAsiaTheme="minorEastAsia" w:cstheme="minorEastAsia"/>
                <w:color w:val="auto"/>
                <w:highlight w:val="none"/>
              </w:rPr>
            </w:pPr>
          </w:p>
          <w:p w14:paraId="5A546F10">
            <w:pPr>
              <w:kinsoku/>
              <w:spacing w:line="360" w:lineRule="auto"/>
              <w:rPr>
                <w:rFonts w:hint="eastAsia" w:asciiTheme="minorEastAsia" w:hAnsiTheme="minorEastAsia" w:eastAsiaTheme="minorEastAsia" w:cstheme="minorEastAsia"/>
                <w:color w:val="auto"/>
                <w:highlight w:val="none"/>
              </w:rPr>
            </w:pPr>
          </w:p>
          <w:p w14:paraId="37E07F0D">
            <w:pPr>
              <w:kinsoku/>
              <w:spacing w:line="360" w:lineRule="auto"/>
              <w:rPr>
                <w:rFonts w:hint="eastAsia" w:asciiTheme="minorEastAsia" w:hAnsiTheme="minorEastAsia" w:eastAsiaTheme="minorEastAsia" w:cstheme="minorEastAsia"/>
                <w:color w:val="auto"/>
                <w:highlight w:val="none"/>
              </w:rPr>
            </w:pPr>
          </w:p>
          <w:p w14:paraId="312351A4">
            <w:pPr>
              <w:kinsoku/>
              <w:spacing w:line="360" w:lineRule="auto"/>
              <w:rPr>
                <w:rFonts w:hint="eastAsia" w:asciiTheme="minorEastAsia" w:hAnsiTheme="minorEastAsia" w:eastAsiaTheme="minorEastAsia" w:cstheme="minorEastAsia"/>
                <w:color w:val="auto"/>
                <w:highlight w:val="none"/>
              </w:rPr>
            </w:pPr>
          </w:p>
          <w:p w14:paraId="261E2986">
            <w:pPr>
              <w:kinsoku/>
              <w:spacing w:line="360" w:lineRule="auto"/>
              <w:rPr>
                <w:rFonts w:hint="eastAsia" w:asciiTheme="minorEastAsia" w:hAnsiTheme="minorEastAsia" w:eastAsiaTheme="minorEastAsia" w:cstheme="minorEastAsia"/>
                <w:color w:val="auto"/>
                <w:highlight w:val="none"/>
              </w:rPr>
            </w:pPr>
          </w:p>
          <w:p w14:paraId="66548087">
            <w:pPr>
              <w:kinsoku/>
              <w:spacing w:line="360" w:lineRule="auto"/>
              <w:rPr>
                <w:rFonts w:hint="eastAsia" w:asciiTheme="minorEastAsia" w:hAnsiTheme="minorEastAsia" w:eastAsiaTheme="minorEastAsia" w:cstheme="minorEastAsia"/>
                <w:color w:val="auto"/>
                <w:highlight w:val="none"/>
              </w:rPr>
            </w:pPr>
          </w:p>
          <w:p w14:paraId="10422F77">
            <w:pPr>
              <w:kinsoku/>
              <w:spacing w:line="360" w:lineRule="auto"/>
              <w:rPr>
                <w:rFonts w:hint="eastAsia" w:asciiTheme="minorEastAsia" w:hAnsiTheme="minorEastAsia" w:eastAsiaTheme="minorEastAsia" w:cstheme="minorEastAsia"/>
                <w:color w:val="auto"/>
                <w:highlight w:val="none"/>
              </w:rPr>
            </w:pPr>
          </w:p>
          <w:p w14:paraId="66907506">
            <w:pPr>
              <w:kinsoku/>
              <w:spacing w:line="360" w:lineRule="auto"/>
              <w:rPr>
                <w:rFonts w:hint="eastAsia" w:asciiTheme="minorEastAsia" w:hAnsiTheme="minorEastAsia" w:eastAsiaTheme="minorEastAsia" w:cstheme="minorEastAsia"/>
                <w:color w:val="auto"/>
                <w:highlight w:val="none"/>
              </w:rPr>
            </w:pPr>
          </w:p>
          <w:p w14:paraId="39F43A15">
            <w:pPr>
              <w:kinsoku/>
              <w:spacing w:line="360" w:lineRule="auto"/>
              <w:rPr>
                <w:rFonts w:hint="eastAsia" w:asciiTheme="minorEastAsia" w:hAnsiTheme="minorEastAsia" w:eastAsiaTheme="minorEastAsia" w:cstheme="minorEastAsia"/>
                <w:color w:val="auto"/>
                <w:highlight w:val="none"/>
              </w:rPr>
            </w:pPr>
          </w:p>
          <w:p w14:paraId="509934A8">
            <w:pPr>
              <w:kinsoku/>
              <w:spacing w:line="360" w:lineRule="auto"/>
              <w:rPr>
                <w:rFonts w:hint="eastAsia" w:asciiTheme="minorEastAsia" w:hAnsiTheme="minorEastAsia" w:eastAsiaTheme="minorEastAsia" w:cstheme="minorEastAsia"/>
                <w:color w:val="auto"/>
                <w:highlight w:val="none"/>
              </w:rPr>
            </w:pPr>
          </w:p>
          <w:p w14:paraId="65D6C322">
            <w:pPr>
              <w:kinsoku/>
              <w:spacing w:line="360" w:lineRule="auto"/>
              <w:rPr>
                <w:rFonts w:hint="eastAsia" w:asciiTheme="minorEastAsia" w:hAnsiTheme="minorEastAsia" w:eastAsiaTheme="minorEastAsia" w:cstheme="minorEastAsia"/>
                <w:color w:val="auto"/>
                <w:highlight w:val="none"/>
              </w:rPr>
            </w:pPr>
          </w:p>
          <w:p w14:paraId="732F1C52">
            <w:pPr>
              <w:kinsoku/>
              <w:spacing w:line="360" w:lineRule="auto"/>
              <w:rPr>
                <w:rFonts w:hint="eastAsia" w:asciiTheme="minorEastAsia" w:hAnsiTheme="minorEastAsia" w:eastAsiaTheme="minorEastAsia" w:cstheme="minorEastAsia"/>
                <w:color w:val="auto"/>
                <w:highlight w:val="none"/>
              </w:rPr>
            </w:pPr>
          </w:p>
          <w:p w14:paraId="7FAE543E">
            <w:pPr>
              <w:kinsoku/>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形式评审与响 应性评审标准</w:t>
            </w:r>
          </w:p>
        </w:tc>
        <w:tc>
          <w:tcPr>
            <w:tcW w:w="6223" w:type="dxa"/>
            <w:gridSpan w:val="4"/>
          </w:tcPr>
          <w:p w14:paraId="2B2DC5EF">
            <w:pPr>
              <w:kinsoku/>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highlight w:val="none"/>
              </w:rPr>
              <w:t>第一个信封（商务及技术文件）评审标准：</w:t>
            </w:r>
          </w:p>
          <w:p w14:paraId="5CFDB3AB">
            <w:pPr>
              <w:kinsoku/>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（1）投标文件按照招标文件规定的格式、内容填写，字迹清晰可辨：</w:t>
            </w:r>
          </w:p>
          <w:p w14:paraId="1204B3F6">
            <w:pPr>
              <w:kinsoku/>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a.投标函按招标文件规定填报了项目名称、补遗书编号（如有）、</w:t>
            </w:r>
            <w:r>
              <w:rPr>
                <w:rFonts w:hint="eastAsia" w:asciiTheme="minorEastAsia" w:hAnsiTheme="minorEastAsia" w:eastAsiaTheme="minorEastAsia" w:cstheme="minorEastAsia"/>
                <w:color w:val="auto"/>
                <w:highlight w:val="none"/>
                <w:lang w:eastAsia="zh-CN"/>
              </w:rPr>
              <w:t>合同期限</w:t>
            </w:r>
            <w:r>
              <w:rPr>
                <w:rFonts w:hint="eastAsia" w:asciiTheme="minorEastAsia" w:hAnsiTheme="minorEastAsia" w:eastAsiaTheme="minorEastAsia" w:cstheme="minorEastAsia"/>
                <w:color w:val="auto"/>
                <w:highlight w:val="none"/>
              </w:rPr>
              <w:t>、质量要求及安全目标；</w:t>
            </w:r>
          </w:p>
          <w:p w14:paraId="551CF363">
            <w:pPr>
              <w:kinsoku/>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b.投标文件组成齐全完整，内容均按规定填写。</w:t>
            </w:r>
          </w:p>
          <w:p w14:paraId="02E92D16">
            <w:pPr>
              <w:kinsoku/>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（2）投标文件上法定代表人或其委托代理人的签字、投标人的单位章盖章齐全，符合招标文件规定。</w:t>
            </w:r>
          </w:p>
          <w:p w14:paraId="5B813113">
            <w:pPr>
              <w:kinsoku/>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（3）投标人按照招标文件的规定提供了投标保证金：</w:t>
            </w:r>
          </w:p>
          <w:p w14:paraId="1225ACF7">
            <w:pPr>
              <w:kinsoku/>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a.投标保证金金额符合招标文件规定的金额，且投标保证金有效期不少于投标有效期；</w:t>
            </w:r>
          </w:p>
          <w:p w14:paraId="35CADEF5">
            <w:pPr>
              <w:kinsoku/>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b.若投标保证金采用现金或支票形式提交，投标人应在投标人须知前附表3.4.1款规定的时间，将投标保证金由投标人的基本账户转入招标人指定账户；</w:t>
            </w:r>
          </w:p>
          <w:p w14:paraId="64FA61FF">
            <w:pPr>
              <w:kinsoku/>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c.若投标保证金采用银行保函形式提交，银行保函的格式、开具保函的银行均满足招标文件要求，银行保函原件在递交投标文件时单独密封递交，其复印件装订在投标文件中。</w:t>
            </w:r>
          </w:p>
          <w:p w14:paraId="361BDDED">
            <w:pPr>
              <w:kinsoku/>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（4）投标人法定代表人授权委托代理人签署投标文件的，须提交授权委托书，且授权人和被授权人均在授权委托书上签名，未使用印章、签名章或其他电子制版签名代替。</w:t>
            </w:r>
          </w:p>
          <w:p w14:paraId="479A8276">
            <w:pPr>
              <w:kinsoku/>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（5）投标人法定代表人亲自签署投标文件的，提供了法定代表人身份证明，且法定代表人在法定代表人身份证明上签名，未使用印章、签名章或其他电子制版签名代替。</w:t>
            </w:r>
          </w:p>
          <w:p w14:paraId="21700FBA">
            <w:pPr>
              <w:kinsoku/>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（6）投标人未以联合体形式参与投标。</w:t>
            </w:r>
          </w:p>
          <w:p w14:paraId="1D94C7CA">
            <w:pPr>
              <w:kinsoku/>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（7）同一投标人未提交两个以上不同的投标文件，但招标文件要求提交备选投标的除外。</w:t>
            </w:r>
          </w:p>
          <w:p w14:paraId="2604EC97">
            <w:pPr>
              <w:kinsoku/>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（8）投标文件中未出现有关投标报价的内容。</w:t>
            </w:r>
          </w:p>
          <w:p w14:paraId="36216C1A">
            <w:pPr>
              <w:kinsoku/>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（9）投标文件载明的招标项目完成期限未超过招标文件规定的时限。</w:t>
            </w:r>
          </w:p>
          <w:p w14:paraId="54FC53D6">
            <w:pPr>
              <w:kinsoku/>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（10）投标文件对招标文件的实质性要求和条件作出响应。</w:t>
            </w:r>
          </w:p>
          <w:p w14:paraId="5B2200A4">
            <w:pPr>
              <w:kinsoku/>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（11）权利义务符合招标文件规定：</w:t>
            </w:r>
          </w:p>
          <w:p w14:paraId="3E671D09">
            <w:pPr>
              <w:kinsoku/>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a.投标人应接受招标文件规定的风险划分原则，未提出新的 风险划分办法；</w:t>
            </w:r>
          </w:p>
          <w:p w14:paraId="2BA74137">
            <w:pPr>
              <w:kinsoku/>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b.投标人未增加发包人的责任范围，或减少投标人义务； </w:t>
            </w:r>
          </w:p>
          <w:p w14:paraId="48193A8B">
            <w:pPr>
              <w:kinsoku/>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c.投标人未提出不同的支付办法；</w:t>
            </w:r>
          </w:p>
          <w:p w14:paraId="36BE2D9F">
            <w:pPr>
              <w:kinsoku/>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d.投标人对合同纠纷、事故处理办法未提出异议； </w:t>
            </w:r>
          </w:p>
          <w:p w14:paraId="3669BE9C">
            <w:pPr>
              <w:kinsoku/>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e.投标人在投标活动中无欺诈行为；</w:t>
            </w:r>
          </w:p>
          <w:p w14:paraId="30BEFFD4">
            <w:pPr>
              <w:kinsoku/>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f.投标人未对合同条款有重要保留。</w:t>
            </w:r>
          </w:p>
          <w:p w14:paraId="61467F70">
            <w:pPr>
              <w:kinsoku/>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（11）投标文件正、副本份数符合招标文件第二章“ 投标人须知”第 3.7.4 项规定。</w:t>
            </w:r>
          </w:p>
          <w:p w14:paraId="125206CB">
            <w:pPr>
              <w:kinsoku/>
              <w:spacing w:line="360" w:lineRule="auto"/>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第二个信封（报价文件）评审标准：</w:t>
            </w:r>
          </w:p>
          <w:p w14:paraId="4977F800">
            <w:pPr>
              <w:kinsoku/>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（1）投标文件按照招标文件规定的格式、内容填写，字迹清晰可辨，内容齐全完整：</w:t>
            </w:r>
          </w:p>
          <w:p w14:paraId="0774CA6B">
            <w:pPr>
              <w:kinsoku/>
              <w:spacing w:line="360" w:lineRule="auto"/>
              <w:rPr>
                <w:rFonts w:hint="eastAsia" w:asciiTheme="minorEastAsia" w:hAnsiTheme="minorEastAsia" w:eastAsiaTheme="minorEastAsia" w:cstheme="minorEastAsia"/>
                <w:strike/>
                <w:color w:val="auto"/>
                <w:highlight w:val="none"/>
              </w:rPr>
            </w:pPr>
            <w:r>
              <w:rPr>
                <w:rFonts w:hint="eastAsia" w:asciiTheme="minorEastAsia" w:hAnsiTheme="minorEastAsia" w:eastAsiaTheme="minorEastAsia" w:cstheme="minorEastAsia"/>
                <w:color w:val="auto"/>
                <w:highlight w:val="none"/>
              </w:rPr>
              <w:t>a.投标函按招标文件规定填报了项目名称、补遗书编号（如有）、投标合同单价折扣系数；</w:t>
            </w:r>
          </w:p>
          <w:p w14:paraId="6F12DDBE">
            <w:pPr>
              <w:kinsoku/>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b.投标文件组成齐全完整，内容均按规定填写。</w:t>
            </w:r>
          </w:p>
          <w:p w14:paraId="5FFE1CBC">
            <w:pPr>
              <w:kinsoku/>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（2）投标文件上法定代表人或其委托代理人的签字、投标人的单位章盖章齐全，符合招标文件规定。</w:t>
            </w:r>
          </w:p>
          <w:p w14:paraId="58719494">
            <w:pPr>
              <w:pStyle w:val="7"/>
              <w:kinsoku/>
              <w:spacing w:line="360" w:lineRule="auto"/>
              <w:ind w:left="0"/>
              <w:rPr>
                <w:rFonts w:hint="eastAsia"/>
                <w:color w:val="auto"/>
                <w:highlight w:val="none"/>
              </w:rPr>
            </w:pPr>
            <w:r>
              <w:rPr>
                <w:rFonts w:hint="eastAsia" w:asciiTheme="minorEastAsia" w:hAnsiTheme="minorEastAsia" w:eastAsiaTheme="minorEastAsia" w:cstheme="minorEastAsia"/>
                <w:color w:val="auto"/>
                <w:highlight w:val="none"/>
              </w:rPr>
              <w:t>（3）</w:t>
            </w:r>
            <w:r>
              <w:rPr>
                <w:rFonts w:hint="eastAsia"/>
                <w:color w:val="auto"/>
                <w:highlight w:val="none"/>
              </w:rPr>
              <w:t>在投标函上填写了投标合同单价折扣系数，投标合同单价折扣系数不高于招标人公布的最高投标合同单价折扣系数，且填写的合同单价折扣系数唯一。</w:t>
            </w:r>
          </w:p>
          <w:p w14:paraId="2B0355E6">
            <w:pPr>
              <w:pStyle w:val="7"/>
              <w:kinsoku/>
              <w:spacing w:line="360" w:lineRule="auto"/>
              <w:ind w:left="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highlight w:val="none"/>
                <w:lang w:val="en-US" w:eastAsia="zh-CN"/>
              </w:rPr>
              <w:t>4</w:t>
            </w:r>
            <w:r>
              <w:rPr>
                <w:rFonts w:hint="eastAsia" w:asciiTheme="minorEastAsia" w:hAnsiTheme="minorEastAsia" w:eastAsiaTheme="minorEastAsia" w:cstheme="minorEastAsia"/>
                <w:color w:val="auto"/>
                <w:highlight w:val="none"/>
              </w:rPr>
              <w:t>）同一投标人未提交两个以上不同的投标报价，但招标文件要求提交备选投标的除外。</w:t>
            </w:r>
          </w:p>
          <w:p w14:paraId="6DD5D0E2">
            <w:pPr>
              <w:kinsoku/>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highlight w:val="none"/>
                <w:lang w:val="en-US" w:eastAsia="zh-CN"/>
              </w:rPr>
              <w:t>5</w:t>
            </w:r>
            <w:r>
              <w:rPr>
                <w:rFonts w:hint="eastAsia" w:asciiTheme="minorEastAsia" w:hAnsiTheme="minorEastAsia" w:eastAsiaTheme="minorEastAsia" w:cstheme="minorEastAsia"/>
                <w:color w:val="auto"/>
                <w:highlight w:val="none"/>
              </w:rPr>
              <w:t>）投标文件正、副本份数符合招标文件第二章“投标人须知”第 3.7.4 项规定。</w:t>
            </w:r>
          </w:p>
        </w:tc>
      </w:tr>
      <w:tr w14:paraId="4F190D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47" w:hRule="atLeast"/>
        </w:trPr>
        <w:tc>
          <w:tcPr>
            <w:tcW w:w="1010" w:type="dxa"/>
            <w:gridSpan w:val="3"/>
          </w:tcPr>
          <w:p w14:paraId="0C4366F0">
            <w:pPr>
              <w:kinsoku/>
              <w:spacing w:line="360" w:lineRule="auto"/>
              <w:rPr>
                <w:rFonts w:hint="eastAsia" w:asciiTheme="minorEastAsia" w:hAnsiTheme="minorEastAsia" w:eastAsiaTheme="minorEastAsia" w:cstheme="minorEastAsia"/>
                <w:color w:val="auto"/>
                <w:highlight w:val="none"/>
              </w:rPr>
            </w:pPr>
          </w:p>
          <w:p w14:paraId="76E66330">
            <w:pPr>
              <w:kinsoku/>
              <w:spacing w:line="360" w:lineRule="auto"/>
              <w:rPr>
                <w:rFonts w:hint="eastAsia" w:asciiTheme="minorEastAsia" w:hAnsiTheme="minorEastAsia" w:eastAsiaTheme="minorEastAsia" w:cstheme="minorEastAsia"/>
                <w:color w:val="auto"/>
                <w:highlight w:val="none"/>
              </w:rPr>
            </w:pPr>
          </w:p>
          <w:p w14:paraId="362D4EF3">
            <w:pPr>
              <w:kinsoku/>
              <w:spacing w:line="360" w:lineRule="auto"/>
              <w:rPr>
                <w:rFonts w:hint="eastAsia" w:asciiTheme="minorEastAsia" w:hAnsiTheme="minorEastAsia" w:eastAsiaTheme="minorEastAsia" w:cstheme="minorEastAsia"/>
                <w:color w:val="auto"/>
                <w:highlight w:val="none"/>
              </w:rPr>
            </w:pPr>
          </w:p>
          <w:p w14:paraId="301B1AC5">
            <w:pPr>
              <w:kinsoku/>
              <w:spacing w:before="66" w:line="360" w:lineRule="auto"/>
              <w:ind w:firstLine="268"/>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3"/>
                <w:highlight w:val="none"/>
              </w:rPr>
              <w:t>2.</w:t>
            </w:r>
            <w:r>
              <w:rPr>
                <w:rFonts w:hint="eastAsia" w:asciiTheme="minorEastAsia" w:hAnsiTheme="minorEastAsia" w:eastAsiaTheme="minorEastAsia" w:cstheme="minorEastAsia"/>
                <w:color w:val="auto"/>
                <w:spacing w:val="-28"/>
                <w:highlight w:val="none"/>
              </w:rPr>
              <w:t xml:space="preserve"> </w:t>
            </w:r>
            <w:r>
              <w:rPr>
                <w:rFonts w:hint="eastAsia" w:asciiTheme="minorEastAsia" w:hAnsiTheme="minorEastAsia" w:eastAsiaTheme="minorEastAsia" w:cstheme="minorEastAsia"/>
                <w:color w:val="auto"/>
                <w:spacing w:val="-3"/>
                <w:highlight w:val="none"/>
              </w:rPr>
              <w:t>1.2</w:t>
            </w:r>
          </w:p>
        </w:tc>
        <w:tc>
          <w:tcPr>
            <w:tcW w:w="1512" w:type="dxa"/>
            <w:gridSpan w:val="3"/>
          </w:tcPr>
          <w:p w14:paraId="1238AE14">
            <w:pPr>
              <w:kinsoku/>
              <w:spacing w:line="360" w:lineRule="auto"/>
              <w:rPr>
                <w:rFonts w:hint="eastAsia" w:asciiTheme="minorEastAsia" w:hAnsiTheme="minorEastAsia" w:eastAsiaTheme="minorEastAsia" w:cstheme="minorEastAsia"/>
                <w:color w:val="auto"/>
                <w:highlight w:val="none"/>
              </w:rPr>
            </w:pPr>
          </w:p>
          <w:p w14:paraId="597F39CA">
            <w:pPr>
              <w:kinsoku/>
              <w:spacing w:line="360" w:lineRule="auto"/>
              <w:rPr>
                <w:rFonts w:hint="eastAsia" w:asciiTheme="minorEastAsia" w:hAnsiTheme="minorEastAsia" w:eastAsiaTheme="minorEastAsia" w:cstheme="minorEastAsia"/>
                <w:color w:val="auto"/>
                <w:highlight w:val="none"/>
              </w:rPr>
            </w:pPr>
          </w:p>
          <w:p w14:paraId="192127E6">
            <w:pPr>
              <w:kinsoku/>
              <w:spacing w:line="360" w:lineRule="auto"/>
              <w:rPr>
                <w:rFonts w:hint="eastAsia" w:asciiTheme="minorEastAsia" w:hAnsiTheme="minorEastAsia" w:eastAsiaTheme="minorEastAsia" w:cstheme="minorEastAsia"/>
                <w:color w:val="auto"/>
                <w:highlight w:val="none"/>
              </w:rPr>
            </w:pPr>
          </w:p>
          <w:p w14:paraId="542B283C">
            <w:pPr>
              <w:kinsoku/>
              <w:spacing w:before="65" w:line="360" w:lineRule="auto"/>
              <w:ind w:firstLine="138"/>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6"/>
                <w:highlight w:val="none"/>
              </w:rPr>
              <w:t>资格评审标准</w:t>
            </w:r>
          </w:p>
        </w:tc>
        <w:tc>
          <w:tcPr>
            <w:tcW w:w="6223" w:type="dxa"/>
            <w:gridSpan w:val="4"/>
          </w:tcPr>
          <w:p w14:paraId="593C37B4">
            <w:pPr>
              <w:numPr>
                <w:ilvl w:val="0"/>
                <w:numId w:val="1"/>
              </w:numPr>
              <w:kinsoku/>
              <w:spacing w:before="103" w:line="360" w:lineRule="auto"/>
              <w:ind w:left="210" w:leftChars="0" w:right="38" w:firstLineChars="0"/>
              <w:rPr>
                <w:rFonts w:hint="eastAsia" w:asciiTheme="minorEastAsia" w:hAnsiTheme="minorEastAsia" w:eastAsiaTheme="minorEastAsia" w:cstheme="minorEastAsia"/>
                <w:color w:val="auto"/>
                <w:spacing w:val="-6"/>
                <w:highlight w:val="none"/>
              </w:rPr>
            </w:pPr>
            <w:r>
              <w:rPr>
                <w:rFonts w:hint="eastAsia" w:asciiTheme="minorEastAsia" w:hAnsiTheme="minorEastAsia" w:eastAsiaTheme="minorEastAsia" w:cstheme="minorEastAsia"/>
                <w:color w:val="auto"/>
                <w:spacing w:val="-3"/>
                <w:highlight w:val="none"/>
              </w:rPr>
              <w:t>投标人具备有效的营业执照、</w:t>
            </w:r>
            <w:r>
              <w:rPr>
                <w:rFonts w:hint="eastAsia" w:asciiTheme="minorEastAsia" w:hAnsiTheme="minorEastAsia" w:eastAsiaTheme="minorEastAsia" w:cstheme="minorEastAsia"/>
                <w:color w:val="auto"/>
                <w:spacing w:val="11"/>
                <w:highlight w:val="none"/>
              </w:rPr>
              <w:t>资质证书和基本账户开户许可证</w:t>
            </w:r>
            <w:r>
              <w:rPr>
                <w:rFonts w:hint="eastAsia" w:asciiTheme="minorEastAsia" w:hAnsiTheme="minorEastAsia" w:eastAsiaTheme="minorEastAsia" w:cstheme="minorEastAsia"/>
                <w:color w:val="auto"/>
                <w:spacing w:val="-49"/>
                <w:highlight w:val="none"/>
              </w:rPr>
              <w:t>（（</w:t>
            </w:r>
            <w:r>
              <w:rPr>
                <w:rFonts w:hint="eastAsia" w:asciiTheme="minorEastAsia" w:hAnsiTheme="minorEastAsia" w:eastAsiaTheme="minorEastAsia" w:cstheme="minorEastAsia"/>
                <w:color w:val="auto"/>
                <w:highlight w:val="none"/>
              </w:rPr>
              <w:t>如</w:t>
            </w:r>
            <w:r>
              <w:rPr>
                <w:rFonts w:hint="eastAsia" w:asciiTheme="minorEastAsia" w:hAnsiTheme="minorEastAsia" w:eastAsiaTheme="minorEastAsia" w:cstheme="minorEastAsia"/>
                <w:color w:val="auto"/>
                <w:spacing w:val="11"/>
                <w:highlight w:val="none"/>
              </w:rPr>
              <w:t>企业所在地已取消企业银</w:t>
            </w:r>
            <w:r>
              <w:rPr>
                <w:rFonts w:hint="eastAsia" w:asciiTheme="minorEastAsia" w:hAnsiTheme="minorEastAsia" w:eastAsiaTheme="minorEastAsia" w:cstheme="minorEastAsia"/>
                <w:color w:val="auto"/>
                <w:spacing w:val="6"/>
                <w:highlight w:val="none"/>
              </w:rPr>
              <w:t>行账户许可而无法提供开户许可证的，则需附上开户银行盖章的“基本存款账户信息”或“人民银行账户管理系统查询的基本账</w:t>
            </w:r>
            <w:r>
              <w:rPr>
                <w:rFonts w:hint="eastAsia" w:asciiTheme="minorEastAsia" w:hAnsiTheme="minorEastAsia" w:eastAsiaTheme="minorEastAsia" w:cstheme="minorEastAsia"/>
                <w:color w:val="auto"/>
                <w:spacing w:val="-6"/>
                <w:highlight w:val="none"/>
              </w:rPr>
              <w:t>户信息截图”）</w:t>
            </w:r>
            <w:r>
              <w:rPr>
                <w:rFonts w:hint="eastAsia" w:asciiTheme="minorEastAsia" w:hAnsiTheme="minorEastAsia" w:eastAsiaTheme="minorEastAsia" w:cstheme="minorEastAsia"/>
                <w:color w:val="auto"/>
                <w:spacing w:val="20"/>
                <w:highlight w:val="none"/>
              </w:rPr>
              <w:t xml:space="preserve"> </w:t>
            </w:r>
            <w:r>
              <w:rPr>
                <w:rFonts w:hint="eastAsia" w:asciiTheme="minorEastAsia" w:hAnsiTheme="minorEastAsia" w:eastAsiaTheme="minorEastAsia" w:cstheme="minorEastAsia"/>
                <w:color w:val="auto"/>
                <w:spacing w:val="-6"/>
                <w:highlight w:val="none"/>
              </w:rPr>
              <w:t>。</w:t>
            </w:r>
          </w:p>
          <w:p w14:paraId="64B3FC75">
            <w:pPr>
              <w:kinsoku/>
              <w:spacing w:before="103" w:line="360" w:lineRule="auto"/>
              <w:ind w:right="38"/>
              <w:rPr>
                <w:rFonts w:hint="eastAsia" w:asciiTheme="minorEastAsia" w:hAnsiTheme="minorEastAsia" w:eastAsiaTheme="minorEastAsia" w:cstheme="minorEastAsia"/>
                <w:color w:val="auto"/>
                <w:spacing w:val="6"/>
                <w:highlight w:val="none"/>
              </w:rPr>
            </w:pPr>
            <w:r>
              <w:rPr>
                <w:rFonts w:hint="eastAsia" w:asciiTheme="minorEastAsia" w:hAnsiTheme="minorEastAsia" w:eastAsiaTheme="minorEastAsia" w:cstheme="minorEastAsia"/>
                <w:color w:val="auto"/>
                <w:spacing w:val="6"/>
                <w:highlight w:val="none"/>
              </w:rPr>
              <w:t>（2）投标人的资质等级符合招标文件规定。</w:t>
            </w:r>
          </w:p>
          <w:p w14:paraId="21114A6A">
            <w:pPr>
              <w:kinsoku/>
              <w:spacing w:before="100"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7"/>
                <w:highlight w:val="none"/>
              </w:rPr>
              <w:t>（3）投标人的类似项目业绩符合招标文件规定。</w:t>
            </w:r>
          </w:p>
          <w:p w14:paraId="2D6269B9">
            <w:pPr>
              <w:kinsoku/>
              <w:spacing w:before="94"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6"/>
                <w:highlight w:val="none"/>
              </w:rPr>
              <w:t>（4）投标人的信誉符合招标文件规定。</w:t>
            </w:r>
          </w:p>
          <w:p w14:paraId="3595E225">
            <w:pPr>
              <w:kinsoku/>
              <w:spacing w:before="95"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7"/>
                <w:highlight w:val="none"/>
              </w:rPr>
              <w:t>（5）投标人的主要人员资格符合招标文件规定。</w:t>
            </w:r>
          </w:p>
          <w:p w14:paraId="665533AC">
            <w:pPr>
              <w:kinsoku/>
              <w:spacing w:before="96"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6"/>
                <w:highlight w:val="none"/>
              </w:rPr>
              <w:t>（6）投标人的其他要求符合招标文件规定。</w:t>
            </w:r>
          </w:p>
          <w:p w14:paraId="0375E139">
            <w:pPr>
              <w:kinsoku/>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2"/>
                <w:highlight w:val="none"/>
              </w:rPr>
              <w:t>（7）投标人不存在第二章“投标人须知”第</w:t>
            </w:r>
            <w:r>
              <w:rPr>
                <w:rFonts w:hint="eastAsia" w:asciiTheme="minorEastAsia" w:hAnsiTheme="minorEastAsia" w:eastAsiaTheme="minorEastAsia" w:cstheme="minorEastAsia"/>
                <w:color w:val="auto"/>
                <w:spacing w:val="-27"/>
                <w:highlight w:val="none"/>
              </w:rPr>
              <w:t xml:space="preserve"> </w:t>
            </w:r>
            <w:r>
              <w:rPr>
                <w:rFonts w:hint="eastAsia" w:asciiTheme="minorEastAsia" w:hAnsiTheme="minorEastAsia" w:eastAsiaTheme="minorEastAsia" w:cstheme="minorEastAsia"/>
                <w:color w:val="auto"/>
                <w:spacing w:val="2"/>
                <w:highlight w:val="none"/>
              </w:rPr>
              <w:t>1.4.3</w:t>
            </w:r>
            <w:r>
              <w:rPr>
                <w:rFonts w:hint="eastAsia" w:asciiTheme="minorEastAsia" w:hAnsiTheme="minorEastAsia" w:eastAsiaTheme="minorEastAsia" w:cstheme="minorEastAsia"/>
                <w:color w:val="auto"/>
                <w:spacing w:val="8"/>
                <w:highlight w:val="none"/>
              </w:rPr>
              <w:t xml:space="preserve"> </w:t>
            </w:r>
            <w:r>
              <w:rPr>
                <w:rFonts w:hint="eastAsia" w:asciiTheme="minorEastAsia" w:hAnsiTheme="minorEastAsia" w:eastAsiaTheme="minorEastAsia" w:cstheme="minorEastAsia"/>
                <w:color w:val="auto"/>
                <w:spacing w:val="2"/>
                <w:highlight w:val="none"/>
              </w:rPr>
              <w:t>项或第</w:t>
            </w:r>
            <w:r>
              <w:rPr>
                <w:rFonts w:hint="eastAsia" w:asciiTheme="minorEastAsia" w:hAnsiTheme="minorEastAsia" w:eastAsiaTheme="minorEastAsia" w:cstheme="minorEastAsia"/>
                <w:color w:val="auto"/>
                <w:spacing w:val="-26"/>
                <w:highlight w:val="none"/>
              </w:rPr>
              <w:t xml:space="preserve"> </w:t>
            </w:r>
            <w:r>
              <w:rPr>
                <w:rFonts w:hint="eastAsia" w:asciiTheme="minorEastAsia" w:hAnsiTheme="minorEastAsia" w:eastAsiaTheme="minorEastAsia" w:cstheme="minorEastAsia"/>
                <w:color w:val="auto"/>
                <w:spacing w:val="2"/>
                <w:highlight w:val="none"/>
              </w:rPr>
              <w:t>1.4.4</w:t>
            </w:r>
            <w:r>
              <w:rPr>
                <w:rFonts w:hint="eastAsia" w:asciiTheme="minorEastAsia" w:hAnsiTheme="minorEastAsia" w:eastAsiaTheme="minorEastAsia" w:cstheme="minorEastAsia"/>
                <w:color w:val="auto"/>
                <w:w w:val="101"/>
                <w:highlight w:val="none"/>
              </w:rPr>
              <w:t xml:space="preserve"> </w:t>
            </w:r>
            <w:r>
              <w:rPr>
                <w:rFonts w:hint="eastAsia" w:asciiTheme="minorEastAsia" w:hAnsiTheme="minorEastAsia" w:eastAsiaTheme="minorEastAsia" w:cstheme="minorEastAsia"/>
                <w:color w:val="auto"/>
                <w:spacing w:val="8"/>
                <w:highlight w:val="none"/>
              </w:rPr>
              <w:t>项规定的任何一种情形。</w:t>
            </w:r>
          </w:p>
        </w:tc>
      </w:tr>
      <w:tr w14:paraId="4474A6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39" w:hRule="atLeast"/>
        </w:trPr>
        <w:tc>
          <w:tcPr>
            <w:tcW w:w="1010" w:type="dxa"/>
            <w:gridSpan w:val="3"/>
          </w:tcPr>
          <w:p w14:paraId="65FAF6C4">
            <w:pPr>
              <w:kinsoku/>
              <w:spacing w:line="360" w:lineRule="auto"/>
              <w:rPr>
                <w:rFonts w:hint="eastAsia" w:asciiTheme="minorEastAsia" w:hAnsiTheme="minorEastAsia" w:eastAsiaTheme="minorEastAsia" w:cstheme="minorEastAsia"/>
                <w:color w:val="auto"/>
                <w:highlight w:val="none"/>
              </w:rPr>
            </w:pPr>
          </w:p>
          <w:p w14:paraId="7CE9D994">
            <w:pPr>
              <w:kinsoku/>
              <w:spacing w:line="360" w:lineRule="auto"/>
              <w:rPr>
                <w:rFonts w:hint="eastAsia" w:asciiTheme="minorEastAsia" w:hAnsiTheme="minorEastAsia" w:eastAsiaTheme="minorEastAsia" w:cstheme="minorEastAsia"/>
                <w:color w:val="auto"/>
                <w:highlight w:val="none"/>
              </w:rPr>
            </w:pPr>
          </w:p>
          <w:p w14:paraId="7DD9E01E">
            <w:pPr>
              <w:kinsoku/>
              <w:spacing w:line="360" w:lineRule="auto"/>
              <w:rPr>
                <w:rFonts w:hint="eastAsia" w:asciiTheme="minorEastAsia" w:hAnsiTheme="minorEastAsia" w:eastAsiaTheme="minorEastAsia" w:cstheme="minorEastAsia"/>
                <w:color w:val="auto"/>
                <w:highlight w:val="none"/>
              </w:rPr>
            </w:pPr>
          </w:p>
          <w:p w14:paraId="3ACDC84D">
            <w:pPr>
              <w:kinsoku/>
              <w:spacing w:line="360" w:lineRule="auto"/>
              <w:rPr>
                <w:rFonts w:hint="eastAsia" w:asciiTheme="minorEastAsia" w:hAnsiTheme="minorEastAsia" w:eastAsiaTheme="minorEastAsia" w:cstheme="minorEastAsia"/>
                <w:color w:val="auto"/>
                <w:highlight w:val="none"/>
              </w:rPr>
            </w:pPr>
          </w:p>
          <w:p w14:paraId="26A91619">
            <w:pPr>
              <w:kinsoku/>
              <w:spacing w:line="360" w:lineRule="auto"/>
              <w:rPr>
                <w:rFonts w:hint="eastAsia" w:asciiTheme="minorEastAsia" w:hAnsiTheme="minorEastAsia" w:eastAsiaTheme="minorEastAsia" w:cstheme="minorEastAsia"/>
                <w:color w:val="auto"/>
                <w:highlight w:val="none"/>
              </w:rPr>
            </w:pPr>
          </w:p>
          <w:p w14:paraId="3550EA85">
            <w:pPr>
              <w:kinsoku/>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2.2.1</w:t>
            </w:r>
          </w:p>
        </w:tc>
        <w:tc>
          <w:tcPr>
            <w:tcW w:w="1512" w:type="dxa"/>
            <w:gridSpan w:val="3"/>
          </w:tcPr>
          <w:p w14:paraId="0879A9F7">
            <w:pPr>
              <w:kinsoku/>
              <w:spacing w:line="360" w:lineRule="auto"/>
              <w:rPr>
                <w:rFonts w:hint="eastAsia" w:asciiTheme="minorEastAsia" w:hAnsiTheme="minorEastAsia" w:eastAsiaTheme="minorEastAsia" w:cstheme="minorEastAsia"/>
                <w:color w:val="auto"/>
                <w:highlight w:val="none"/>
              </w:rPr>
            </w:pPr>
          </w:p>
          <w:p w14:paraId="519841E6">
            <w:pPr>
              <w:kinsoku/>
              <w:spacing w:line="360" w:lineRule="auto"/>
              <w:rPr>
                <w:rFonts w:hint="eastAsia" w:asciiTheme="minorEastAsia" w:hAnsiTheme="minorEastAsia" w:eastAsiaTheme="minorEastAsia" w:cstheme="minorEastAsia"/>
                <w:color w:val="auto"/>
                <w:highlight w:val="none"/>
              </w:rPr>
            </w:pPr>
          </w:p>
          <w:p w14:paraId="0B9FD1CF">
            <w:pPr>
              <w:kinsoku/>
              <w:spacing w:line="360" w:lineRule="auto"/>
              <w:rPr>
                <w:rFonts w:hint="eastAsia" w:asciiTheme="minorEastAsia" w:hAnsiTheme="minorEastAsia" w:eastAsiaTheme="minorEastAsia" w:cstheme="minorEastAsia"/>
                <w:color w:val="auto"/>
                <w:highlight w:val="none"/>
              </w:rPr>
            </w:pPr>
          </w:p>
          <w:p w14:paraId="2966F046">
            <w:pPr>
              <w:kinsoku/>
              <w:spacing w:line="360" w:lineRule="auto"/>
              <w:rPr>
                <w:rFonts w:hint="eastAsia" w:asciiTheme="minorEastAsia" w:hAnsiTheme="minorEastAsia" w:eastAsiaTheme="minorEastAsia" w:cstheme="minorEastAsia"/>
                <w:color w:val="auto"/>
                <w:highlight w:val="none"/>
              </w:rPr>
            </w:pPr>
          </w:p>
          <w:p w14:paraId="5D885A4B">
            <w:pPr>
              <w:kinsoku/>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分值构成    （总分100 分）</w:t>
            </w:r>
          </w:p>
        </w:tc>
        <w:tc>
          <w:tcPr>
            <w:tcW w:w="6223" w:type="dxa"/>
            <w:gridSpan w:val="4"/>
          </w:tcPr>
          <w:p w14:paraId="0C8275D7">
            <w:pPr>
              <w:kinsoku/>
              <w:spacing w:line="360" w:lineRule="auto"/>
              <w:rPr>
                <w:rFonts w:hint="eastAsia" w:asciiTheme="minorEastAsia" w:hAnsiTheme="minorEastAsia" w:eastAsiaTheme="minorEastAsia" w:cstheme="minorEastAsia"/>
                <w:color w:val="auto"/>
                <w:highlight w:val="none"/>
              </w:rPr>
            </w:pPr>
          </w:p>
          <w:p w14:paraId="42808D54">
            <w:pPr>
              <w:kinsoku/>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第一个信封（商务及技术文件）评分分值构成：</w:t>
            </w:r>
          </w:p>
          <w:p w14:paraId="0B1318E9">
            <w:pPr>
              <w:kinsoku/>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技术建议书：</w:t>
            </w:r>
            <w:r>
              <w:rPr>
                <w:rFonts w:hint="eastAsia" w:asciiTheme="minorEastAsia" w:hAnsiTheme="minorEastAsia" w:eastAsiaTheme="minorEastAsia" w:cstheme="minorEastAsia"/>
                <w:color w:val="auto"/>
                <w:highlight w:val="none"/>
                <w:u w:val="single"/>
              </w:rPr>
              <w:t xml:space="preserve"> 25  </w:t>
            </w:r>
            <w:r>
              <w:rPr>
                <w:rFonts w:hint="eastAsia" w:asciiTheme="minorEastAsia" w:hAnsiTheme="minorEastAsia" w:eastAsiaTheme="minorEastAsia" w:cstheme="minorEastAsia"/>
                <w:color w:val="auto"/>
                <w:highlight w:val="none"/>
              </w:rPr>
              <w:t>分</w:t>
            </w:r>
          </w:p>
          <w:p w14:paraId="12E77316">
            <w:pPr>
              <w:kinsoku/>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拟投入本项目主要人员：</w:t>
            </w:r>
            <w:r>
              <w:rPr>
                <w:rFonts w:hint="eastAsia" w:asciiTheme="minorEastAsia" w:hAnsiTheme="minorEastAsia" w:eastAsiaTheme="minorEastAsia" w:cstheme="minorEastAsia"/>
                <w:color w:val="auto"/>
                <w:highlight w:val="none"/>
                <w:u w:val="single"/>
              </w:rPr>
              <w:t xml:space="preserve">  25 </w:t>
            </w:r>
            <w:r>
              <w:rPr>
                <w:rFonts w:hint="eastAsia" w:asciiTheme="minorEastAsia" w:hAnsiTheme="minorEastAsia" w:eastAsiaTheme="minorEastAsia" w:cstheme="minorEastAsia"/>
                <w:color w:val="auto"/>
                <w:highlight w:val="none"/>
              </w:rPr>
              <w:t>分</w:t>
            </w:r>
          </w:p>
          <w:p w14:paraId="1A5B0726">
            <w:pPr>
              <w:kinsoku/>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业绩：</w:t>
            </w:r>
            <w:r>
              <w:rPr>
                <w:rFonts w:hint="eastAsia" w:asciiTheme="minorEastAsia" w:hAnsiTheme="minorEastAsia" w:eastAsiaTheme="minorEastAsia" w:cstheme="minorEastAsia"/>
                <w:color w:val="auto"/>
                <w:highlight w:val="none"/>
                <w:u w:val="single"/>
              </w:rPr>
              <w:t xml:space="preserve"> 25  </w:t>
            </w:r>
            <w:r>
              <w:rPr>
                <w:rFonts w:hint="eastAsia" w:asciiTheme="minorEastAsia" w:hAnsiTheme="minorEastAsia" w:eastAsiaTheme="minorEastAsia" w:cstheme="minorEastAsia"/>
                <w:color w:val="auto"/>
                <w:highlight w:val="none"/>
              </w:rPr>
              <w:t>分</w:t>
            </w:r>
          </w:p>
          <w:p w14:paraId="3317B6A9">
            <w:pPr>
              <w:kinsoku/>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技术能力：</w:t>
            </w:r>
            <w:r>
              <w:rPr>
                <w:rFonts w:hint="eastAsia" w:asciiTheme="minorEastAsia" w:hAnsiTheme="minorEastAsia" w:eastAsiaTheme="minorEastAsia" w:cstheme="minorEastAsia"/>
                <w:color w:val="auto"/>
                <w:highlight w:val="none"/>
                <w:u w:val="single"/>
              </w:rPr>
              <w:t xml:space="preserve"> 5 </w:t>
            </w:r>
            <w:r>
              <w:rPr>
                <w:rFonts w:hint="eastAsia" w:asciiTheme="minorEastAsia" w:hAnsiTheme="minorEastAsia" w:eastAsiaTheme="minorEastAsia" w:cstheme="minorEastAsia"/>
                <w:color w:val="auto"/>
                <w:highlight w:val="none"/>
              </w:rPr>
              <w:t>分</w:t>
            </w:r>
          </w:p>
          <w:p w14:paraId="3A1865B5">
            <w:pPr>
              <w:kinsoku/>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履约信誉：</w:t>
            </w:r>
            <w:r>
              <w:rPr>
                <w:rFonts w:hint="eastAsia" w:asciiTheme="minorEastAsia" w:hAnsiTheme="minorEastAsia" w:eastAsiaTheme="minorEastAsia" w:cstheme="minorEastAsia"/>
                <w:color w:val="auto"/>
                <w:highlight w:val="none"/>
                <w:u w:val="single"/>
              </w:rPr>
              <w:t xml:space="preserve"> 10 </w:t>
            </w:r>
            <w:r>
              <w:rPr>
                <w:rFonts w:hint="eastAsia" w:asciiTheme="minorEastAsia" w:hAnsiTheme="minorEastAsia" w:eastAsiaTheme="minorEastAsia" w:cstheme="minorEastAsia"/>
                <w:color w:val="auto"/>
                <w:highlight w:val="none"/>
              </w:rPr>
              <w:t>分</w:t>
            </w:r>
          </w:p>
          <w:p w14:paraId="65FA9D15">
            <w:pPr>
              <w:kinsoku/>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第二个信封（报价文件）评分分值构成：</w:t>
            </w:r>
          </w:p>
          <w:p w14:paraId="3146FAD5">
            <w:pPr>
              <w:kinsoku/>
              <w:spacing w:line="360" w:lineRule="auto"/>
              <w:rPr>
                <w:rFonts w:hint="eastAsia" w:asciiTheme="minorEastAsia" w:hAnsiTheme="minorEastAsia" w:eastAsiaTheme="minorEastAsia" w:cstheme="minorEastAsia"/>
                <w:color w:val="auto"/>
                <w:highlight w:val="none"/>
              </w:rPr>
            </w:pPr>
            <w:r>
              <w:rPr>
                <w:rFonts w:hint="eastAsia" w:ascii="宋体" w:hAnsi="宋体" w:cs="宋体"/>
                <w:color w:val="auto"/>
                <w:highlight w:val="none"/>
              </w:rPr>
              <w:t>评标合同单价折扣系数</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highlight w:val="none"/>
                <w:u w:val="single"/>
              </w:rPr>
              <w:t xml:space="preserve">  10  </w:t>
            </w:r>
            <w:r>
              <w:rPr>
                <w:rFonts w:hint="eastAsia" w:asciiTheme="minorEastAsia" w:hAnsiTheme="minorEastAsia" w:eastAsiaTheme="minorEastAsia" w:cstheme="minorEastAsia"/>
                <w:color w:val="auto"/>
                <w:highlight w:val="none"/>
              </w:rPr>
              <w:t>分</w:t>
            </w:r>
          </w:p>
        </w:tc>
      </w:tr>
      <w:tr w14:paraId="438C89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07" w:hRule="atLeast"/>
        </w:trPr>
        <w:tc>
          <w:tcPr>
            <w:tcW w:w="998" w:type="dxa"/>
            <w:gridSpan w:val="2"/>
          </w:tcPr>
          <w:p w14:paraId="534DFC4D">
            <w:pPr>
              <w:kinsoku/>
              <w:spacing w:line="360" w:lineRule="auto"/>
              <w:rPr>
                <w:rFonts w:hint="eastAsia" w:asciiTheme="minorEastAsia" w:hAnsiTheme="minorEastAsia" w:eastAsiaTheme="minorEastAsia" w:cstheme="minorEastAsia"/>
                <w:color w:val="auto"/>
                <w:highlight w:val="none"/>
              </w:rPr>
            </w:pPr>
          </w:p>
          <w:p w14:paraId="74C532BD">
            <w:pPr>
              <w:kinsoku/>
              <w:spacing w:line="360" w:lineRule="auto"/>
              <w:rPr>
                <w:rFonts w:hint="eastAsia" w:asciiTheme="minorEastAsia" w:hAnsiTheme="minorEastAsia" w:eastAsiaTheme="minorEastAsia" w:cstheme="minorEastAsia"/>
                <w:color w:val="auto"/>
                <w:highlight w:val="none"/>
              </w:rPr>
            </w:pPr>
          </w:p>
          <w:p w14:paraId="30468E90">
            <w:pPr>
              <w:kinsoku/>
              <w:spacing w:line="360" w:lineRule="auto"/>
              <w:rPr>
                <w:rFonts w:hint="eastAsia" w:asciiTheme="minorEastAsia" w:hAnsiTheme="minorEastAsia" w:eastAsiaTheme="minorEastAsia" w:cstheme="minorEastAsia"/>
                <w:color w:val="auto"/>
                <w:highlight w:val="none"/>
              </w:rPr>
            </w:pPr>
          </w:p>
          <w:p w14:paraId="02641737">
            <w:pPr>
              <w:kinsoku/>
              <w:spacing w:line="360" w:lineRule="auto"/>
              <w:rPr>
                <w:rFonts w:hint="eastAsia" w:asciiTheme="minorEastAsia" w:hAnsiTheme="minorEastAsia" w:eastAsiaTheme="minorEastAsia" w:cstheme="minorEastAsia"/>
                <w:color w:val="auto"/>
                <w:highlight w:val="none"/>
              </w:rPr>
            </w:pPr>
          </w:p>
          <w:p w14:paraId="6C927308">
            <w:pPr>
              <w:kinsoku/>
              <w:spacing w:line="360" w:lineRule="auto"/>
              <w:rPr>
                <w:rFonts w:hint="eastAsia" w:asciiTheme="minorEastAsia" w:hAnsiTheme="minorEastAsia" w:eastAsiaTheme="minorEastAsia" w:cstheme="minorEastAsia"/>
                <w:color w:val="auto"/>
                <w:highlight w:val="none"/>
              </w:rPr>
            </w:pPr>
          </w:p>
          <w:p w14:paraId="7706F225">
            <w:pPr>
              <w:kinsoku/>
              <w:spacing w:line="360" w:lineRule="auto"/>
              <w:rPr>
                <w:rFonts w:hint="eastAsia" w:asciiTheme="minorEastAsia" w:hAnsiTheme="minorEastAsia" w:eastAsiaTheme="minorEastAsia" w:cstheme="minorEastAsia"/>
                <w:color w:val="auto"/>
                <w:highlight w:val="none"/>
              </w:rPr>
            </w:pPr>
          </w:p>
          <w:p w14:paraId="1F7A56F8">
            <w:pPr>
              <w:kinsoku/>
              <w:spacing w:line="360" w:lineRule="auto"/>
              <w:rPr>
                <w:rFonts w:hint="eastAsia" w:asciiTheme="minorEastAsia" w:hAnsiTheme="minorEastAsia" w:eastAsiaTheme="minorEastAsia" w:cstheme="minorEastAsia"/>
                <w:color w:val="auto"/>
                <w:highlight w:val="none"/>
              </w:rPr>
            </w:pPr>
          </w:p>
          <w:p w14:paraId="1C70AC77">
            <w:pPr>
              <w:kinsoku/>
              <w:spacing w:line="360" w:lineRule="auto"/>
              <w:rPr>
                <w:rFonts w:hint="eastAsia" w:asciiTheme="minorEastAsia" w:hAnsiTheme="minorEastAsia" w:eastAsiaTheme="minorEastAsia" w:cstheme="minorEastAsia"/>
                <w:color w:val="auto"/>
                <w:highlight w:val="none"/>
              </w:rPr>
            </w:pPr>
          </w:p>
          <w:p w14:paraId="2A344A4A">
            <w:pPr>
              <w:kinsoku/>
              <w:spacing w:line="360" w:lineRule="auto"/>
              <w:rPr>
                <w:rFonts w:hint="eastAsia" w:asciiTheme="minorEastAsia" w:hAnsiTheme="minorEastAsia" w:eastAsiaTheme="minorEastAsia" w:cstheme="minorEastAsia"/>
                <w:color w:val="auto"/>
                <w:highlight w:val="none"/>
              </w:rPr>
            </w:pPr>
          </w:p>
          <w:p w14:paraId="68954152">
            <w:pPr>
              <w:kinsoku/>
              <w:spacing w:line="360" w:lineRule="auto"/>
              <w:rPr>
                <w:rFonts w:hint="eastAsia" w:asciiTheme="minorEastAsia" w:hAnsiTheme="minorEastAsia" w:eastAsiaTheme="minorEastAsia" w:cstheme="minorEastAsia"/>
                <w:color w:val="auto"/>
                <w:highlight w:val="none"/>
              </w:rPr>
            </w:pPr>
          </w:p>
          <w:p w14:paraId="0B05A0BD">
            <w:pPr>
              <w:kinsoku/>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2.2.2</w:t>
            </w:r>
          </w:p>
        </w:tc>
        <w:tc>
          <w:tcPr>
            <w:tcW w:w="1524" w:type="dxa"/>
            <w:gridSpan w:val="4"/>
          </w:tcPr>
          <w:p w14:paraId="59688ABF">
            <w:pPr>
              <w:kinsoku/>
              <w:spacing w:line="360" w:lineRule="auto"/>
              <w:rPr>
                <w:rFonts w:hint="eastAsia" w:asciiTheme="minorEastAsia" w:hAnsiTheme="minorEastAsia" w:eastAsiaTheme="minorEastAsia" w:cstheme="minorEastAsia"/>
                <w:color w:val="auto"/>
                <w:highlight w:val="none"/>
              </w:rPr>
            </w:pPr>
          </w:p>
          <w:p w14:paraId="66491FFD">
            <w:pPr>
              <w:kinsoku/>
              <w:spacing w:line="360" w:lineRule="auto"/>
              <w:rPr>
                <w:rFonts w:hint="eastAsia" w:asciiTheme="minorEastAsia" w:hAnsiTheme="minorEastAsia" w:eastAsiaTheme="minorEastAsia" w:cstheme="minorEastAsia"/>
                <w:color w:val="auto"/>
                <w:highlight w:val="none"/>
              </w:rPr>
            </w:pPr>
          </w:p>
          <w:p w14:paraId="73344333">
            <w:pPr>
              <w:kinsoku/>
              <w:spacing w:line="360" w:lineRule="auto"/>
              <w:rPr>
                <w:rFonts w:hint="eastAsia" w:asciiTheme="minorEastAsia" w:hAnsiTheme="minorEastAsia" w:eastAsiaTheme="minorEastAsia" w:cstheme="minorEastAsia"/>
                <w:color w:val="auto"/>
                <w:highlight w:val="none"/>
              </w:rPr>
            </w:pPr>
          </w:p>
          <w:p w14:paraId="113DA611">
            <w:pPr>
              <w:kinsoku/>
              <w:spacing w:line="360" w:lineRule="auto"/>
              <w:rPr>
                <w:rFonts w:hint="eastAsia" w:asciiTheme="minorEastAsia" w:hAnsiTheme="minorEastAsia" w:eastAsiaTheme="minorEastAsia" w:cstheme="minorEastAsia"/>
                <w:color w:val="auto"/>
                <w:highlight w:val="none"/>
              </w:rPr>
            </w:pPr>
          </w:p>
          <w:p w14:paraId="6975433F">
            <w:pPr>
              <w:kinsoku/>
              <w:spacing w:line="360" w:lineRule="auto"/>
              <w:rPr>
                <w:rFonts w:hint="eastAsia" w:asciiTheme="minorEastAsia" w:hAnsiTheme="minorEastAsia" w:eastAsiaTheme="minorEastAsia" w:cstheme="minorEastAsia"/>
                <w:color w:val="auto"/>
                <w:highlight w:val="none"/>
              </w:rPr>
            </w:pPr>
          </w:p>
          <w:p w14:paraId="459E9BCD">
            <w:pPr>
              <w:kinsoku/>
              <w:spacing w:line="360" w:lineRule="auto"/>
              <w:rPr>
                <w:rFonts w:hint="eastAsia" w:asciiTheme="minorEastAsia" w:hAnsiTheme="minorEastAsia" w:eastAsiaTheme="minorEastAsia" w:cstheme="minorEastAsia"/>
                <w:color w:val="auto"/>
                <w:highlight w:val="none"/>
              </w:rPr>
            </w:pPr>
          </w:p>
          <w:p w14:paraId="78CECC4A">
            <w:pPr>
              <w:kinsoku/>
              <w:spacing w:line="360" w:lineRule="auto"/>
              <w:rPr>
                <w:rFonts w:hint="eastAsia" w:asciiTheme="minorEastAsia" w:hAnsiTheme="minorEastAsia" w:eastAsiaTheme="minorEastAsia" w:cstheme="minorEastAsia"/>
                <w:color w:val="auto"/>
                <w:highlight w:val="none"/>
              </w:rPr>
            </w:pPr>
          </w:p>
          <w:p w14:paraId="3FD8BD12">
            <w:pPr>
              <w:kinsoku/>
              <w:spacing w:line="360" w:lineRule="auto"/>
              <w:rPr>
                <w:rFonts w:hint="eastAsia" w:asciiTheme="minorEastAsia" w:hAnsiTheme="minorEastAsia" w:eastAsiaTheme="minorEastAsia" w:cstheme="minorEastAsia"/>
                <w:color w:val="auto"/>
                <w:highlight w:val="none"/>
              </w:rPr>
            </w:pPr>
          </w:p>
          <w:p w14:paraId="74FF1855">
            <w:pPr>
              <w:kinsoku/>
              <w:spacing w:line="360" w:lineRule="auto"/>
              <w:rPr>
                <w:rFonts w:hint="eastAsia" w:asciiTheme="minorEastAsia" w:hAnsiTheme="minorEastAsia" w:eastAsiaTheme="minorEastAsia" w:cstheme="minorEastAsia"/>
                <w:color w:val="auto"/>
                <w:highlight w:val="none"/>
              </w:rPr>
            </w:pPr>
          </w:p>
          <w:p w14:paraId="334E9204">
            <w:pPr>
              <w:kinsoku/>
              <w:spacing w:line="360" w:lineRule="auto"/>
              <w:rPr>
                <w:rFonts w:hint="eastAsia" w:asciiTheme="minorEastAsia" w:hAnsiTheme="minorEastAsia" w:eastAsiaTheme="minorEastAsia" w:cstheme="minorEastAsia"/>
                <w:color w:val="auto"/>
                <w:highlight w:val="none"/>
              </w:rPr>
            </w:pPr>
          </w:p>
          <w:p w14:paraId="68AA78EC">
            <w:pPr>
              <w:kinsoku/>
              <w:spacing w:line="360" w:lineRule="auto"/>
              <w:rPr>
                <w:rFonts w:hint="eastAsia" w:asciiTheme="minorEastAsia" w:hAnsiTheme="minorEastAsia" w:eastAsiaTheme="minorEastAsia" w:cstheme="minorEastAsia"/>
                <w:color w:val="auto"/>
                <w:highlight w:val="none"/>
              </w:rPr>
            </w:pPr>
            <w:r>
              <w:rPr>
                <w:rFonts w:hint="eastAsia" w:ascii="宋体" w:hAnsi="宋体" w:cs="宋体"/>
                <w:b/>
                <w:color w:val="auto"/>
                <w:highlight w:val="none"/>
              </w:rPr>
              <w:t>评标基准合同单价折扣系数计 算方法</w:t>
            </w:r>
          </w:p>
        </w:tc>
        <w:tc>
          <w:tcPr>
            <w:tcW w:w="6223" w:type="dxa"/>
            <w:gridSpan w:val="4"/>
          </w:tcPr>
          <w:p w14:paraId="7A19C051">
            <w:pPr>
              <w:kinsoku/>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评标基准合同单价折扣系数的计算：</w:t>
            </w:r>
          </w:p>
          <w:p w14:paraId="4435C3EA">
            <w:pPr>
              <w:kinsoku/>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在开标现场，招标人将当场计算并宣布评标基准合同单价折扣系数。</w:t>
            </w:r>
          </w:p>
          <w:p w14:paraId="3C0EFF8F">
            <w:pPr>
              <w:kinsoku/>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评标合同单价折扣系数的确定：</w:t>
            </w:r>
          </w:p>
          <w:p w14:paraId="6B25C88C">
            <w:pPr>
              <w:kinsoku/>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评标合同单价折扣系数＝投标函投标合同单价折扣系数</w:t>
            </w:r>
          </w:p>
          <w:p w14:paraId="1BFFBB0C">
            <w:pPr>
              <w:kinsoku/>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最高评标合同单价折扣系数的计算：</w:t>
            </w:r>
          </w:p>
          <w:p w14:paraId="58AC0872">
            <w:pPr>
              <w:kinsoku/>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①最高投标合同单价折扣系数下浮率的确定</w:t>
            </w:r>
          </w:p>
          <w:p w14:paraId="22A58543">
            <w:pPr>
              <w:kinsoku/>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下浮率在开标前在开标现场采取摇珠方式确定。摇珠操作办法如下：在下浮率区间差值不小于3个百分点的摇珠范围内，以0.1%为一档次增序确定摇珠号码，不少于31个球，每个标段各依次摇出3个球(摇出的珠不放回)，</w:t>
            </w:r>
          </w:p>
          <w:p w14:paraId="1D6558B3">
            <w:pPr>
              <w:kinsoku/>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摇出3个球对应的下浮率的平均值即为本标段招标的下浮率（注：下浮率摇珠浮动区间</w:t>
            </w:r>
            <w:r>
              <w:rPr>
                <w:rFonts w:hint="eastAsia" w:asciiTheme="minorEastAsia" w:hAnsiTheme="minorEastAsia" w:eastAsiaTheme="minorEastAsia" w:cstheme="minorEastAsia"/>
                <w:color w:val="auto"/>
                <w:highlight w:val="none"/>
                <w:u w:val="single"/>
                <w:lang w:eastAsia="zh-CN"/>
              </w:rPr>
              <w:t>*</w:t>
            </w:r>
            <w:r>
              <w:rPr>
                <w:rFonts w:hint="eastAsia" w:asciiTheme="minorEastAsia" w:hAnsiTheme="minorEastAsia" w:eastAsiaTheme="minorEastAsia" w:cstheme="minorEastAsia"/>
                <w:color w:val="auto"/>
                <w:highlight w:val="none"/>
                <w:u w:val="single"/>
              </w:rPr>
              <w:t>%～</w:t>
            </w:r>
            <w:r>
              <w:rPr>
                <w:rFonts w:hint="eastAsia" w:asciiTheme="minorEastAsia" w:hAnsiTheme="minorEastAsia" w:eastAsiaTheme="minorEastAsia" w:cstheme="minorEastAsia"/>
                <w:color w:val="auto"/>
                <w:highlight w:val="none"/>
                <w:u w:val="single"/>
                <w:lang w:eastAsia="zh-CN"/>
              </w:rPr>
              <w:t>*</w:t>
            </w:r>
            <w:r>
              <w:rPr>
                <w:rFonts w:hint="eastAsia" w:asciiTheme="minorEastAsia" w:hAnsiTheme="minorEastAsia" w:eastAsiaTheme="minorEastAsia" w:cstheme="minorEastAsia"/>
                <w:color w:val="auto"/>
                <w:highlight w:val="none"/>
                <w:u w:val="single"/>
              </w:rPr>
              <w:t>%</w:t>
            </w:r>
            <w:r>
              <w:rPr>
                <w:rFonts w:hint="eastAsia" w:asciiTheme="minorEastAsia" w:hAnsiTheme="minorEastAsia" w:eastAsiaTheme="minorEastAsia" w:cstheme="minorEastAsia"/>
                <w:color w:val="auto"/>
                <w:highlight w:val="none"/>
              </w:rPr>
              <w:t>（含界值），摇出3个下浮率的平均值四舍五入取整到0.001％）。下浮率摇珠浮动区间</w:t>
            </w:r>
            <w:r>
              <w:rPr>
                <w:rFonts w:hint="eastAsia" w:asciiTheme="minorEastAsia" w:hAnsiTheme="minorEastAsia" w:eastAsiaTheme="minorEastAsia" w:cstheme="minorEastAsia"/>
                <w:b/>
                <w:bCs/>
                <w:color w:val="auto"/>
                <w:sz w:val="21"/>
                <w:szCs w:val="21"/>
                <w:highlight w:val="none"/>
              </w:rPr>
              <w:t>以补遗书形式发布，发布时间在投标截止时间15天前。</w:t>
            </w:r>
          </w:p>
          <w:p w14:paraId="56ACD83E">
            <w:pPr>
              <w:kinsoku/>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②最高评标合同单价折扣系数=最高投标合同单价折扣系数×（1-下浮率）</w:t>
            </w:r>
          </w:p>
          <w:p w14:paraId="08A88D05">
            <w:pPr>
              <w:kinsoku/>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有效评标合同单价折扣系数范围：不大于最高评标合同单价折扣系数的评标合同单价折扣系数为有效评标合同单价折扣系数。若大于最高评标合同单价折扣系数的评标合同单价折扣系数，其评标合同单价折扣系数得分为 0 分。</w:t>
            </w:r>
          </w:p>
          <w:p w14:paraId="27490FF9">
            <w:pPr>
              <w:kinsoku/>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评标基准合同单价折扣系数的确定：</w:t>
            </w:r>
          </w:p>
          <w:p w14:paraId="6F79D8CA">
            <w:pPr>
              <w:kinsoku/>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将最高评标合同单价折扣系数下浮 2%，作为评标基准合同单价折扣系数。</w:t>
            </w:r>
          </w:p>
          <w:p w14:paraId="66B72320">
            <w:pPr>
              <w:kinsoku/>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在评标过程中，评标委员会应对招标人计算的评标基准合同单价折扣系数进行复核，存在计算错误的应予以修正并在评标报告中作出说明。除此之外，评标基准合同单价折扣系数在整个评标期间保持不变，不随任何因素发生变化。 </w:t>
            </w:r>
          </w:p>
          <w:p w14:paraId="6DEDD6DA">
            <w:pPr>
              <w:kinsoku/>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注：最高评标合同单价折扣系数、评标基准合同单价折扣系数均四舍五入保留至小数点后四位。</w:t>
            </w:r>
          </w:p>
        </w:tc>
      </w:tr>
      <w:tr w14:paraId="1AAC70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25" w:hRule="atLeast"/>
        </w:trPr>
        <w:tc>
          <w:tcPr>
            <w:tcW w:w="998" w:type="dxa"/>
            <w:gridSpan w:val="2"/>
          </w:tcPr>
          <w:p w14:paraId="6418B4CD">
            <w:pPr>
              <w:kinsoku/>
              <w:spacing w:line="360" w:lineRule="auto"/>
              <w:rPr>
                <w:rFonts w:hint="eastAsia" w:asciiTheme="minorEastAsia" w:hAnsiTheme="minorEastAsia" w:eastAsiaTheme="minorEastAsia" w:cstheme="minorEastAsia"/>
                <w:color w:val="auto"/>
                <w:highlight w:val="none"/>
              </w:rPr>
            </w:pPr>
          </w:p>
          <w:p w14:paraId="6F642838">
            <w:pPr>
              <w:kinsoku/>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2.2.3</w:t>
            </w:r>
          </w:p>
        </w:tc>
        <w:tc>
          <w:tcPr>
            <w:tcW w:w="1524" w:type="dxa"/>
            <w:gridSpan w:val="4"/>
            <w:vAlign w:val="center"/>
          </w:tcPr>
          <w:p w14:paraId="3F1B2EBE">
            <w:pPr>
              <w:kinsoku/>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评标合同单价折扣系数的偏差率计算公式</w:t>
            </w:r>
          </w:p>
        </w:tc>
        <w:tc>
          <w:tcPr>
            <w:tcW w:w="6223" w:type="dxa"/>
            <w:gridSpan w:val="4"/>
            <w:vAlign w:val="center"/>
          </w:tcPr>
          <w:p w14:paraId="16141560">
            <w:pPr>
              <w:kinsoku/>
              <w:spacing w:line="360" w:lineRule="auto"/>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偏差率=100% ×（投标人评标合同单价折扣系数－评标基准合同单价折扣系数）/评标基准合同单价折扣系数</w:t>
            </w:r>
          </w:p>
        </w:tc>
      </w:tr>
      <w:tr w14:paraId="69AD40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 w:hRule="atLeast"/>
        </w:trPr>
        <w:tc>
          <w:tcPr>
            <w:tcW w:w="4894" w:type="dxa"/>
            <w:gridSpan w:val="9"/>
            <w:tcBorders>
              <w:bottom w:val="single" w:color="auto" w:sz="4" w:space="0"/>
            </w:tcBorders>
          </w:tcPr>
          <w:p w14:paraId="4B03B9CC">
            <w:pPr>
              <w:kinsoku/>
              <w:spacing w:line="360" w:lineRule="auto"/>
              <w:jc w:val="center"/>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评审因素与评分值</w:t>
            </w:r>
          </w:p>
        </w:tc>
        <w:tc>
          <w:tcPr>
            <w:tcW w:w="3851" w:type="dxa"/>
            <w:vMerge w:val="restart"/>
            <w:tcBorders>
              <w:bottom w:val="single" w:color="auto" w:sz="4" w:space="0"/>
              <w:right w:val="single" w:color="auto" w:sz="4" w:space="0"/>
            </w:tcBorders>
          </w:tcPr>
          <w:p w14:paraId="6D0E54FC">
            <w:pPr>
              <w:kinsoku/>
              <w:spacing w:line="360" w:lineRule="auto"/>
              <w:jc w:val="center"/>
              <w:rPr>
                <w:rFonts w:hint="eastAsia" w:asciiTheme="minorEastAsia" w:hAnsiTheme="minorEastAsia" w:eastAsiaTheme="minorEastAsia" w:cstheme="minorEastAsia"/>
                <w:b/>
                <w:bCs/>
                <w:color w:val="auto"/>
                <w:highlight w:val="none"/>
              </w:rPr>
            </w:pPr>
          </w:p>
          <w:p w14:paraId="192FCB2F">
            <w:pPr>
              <w:kinsoku/>
              <w:spacing w:line="360" w:lineRule="auto"/>
              <w:jc w:val="center"/>
              <w:rPr>
                <w:rFonts w:hint="eastAsia" w:asciiTheme="minorEastAsia" w:hAnsiTheme="minorEastAsia" w:eastAsiaTheme="minorEastAsia" w:cstheme="minorEastAsia"/>
                <w:b/>
                <w:bCs/>
                <w:color w:val="auto"/>
                <w:highlight w:val="none"/>
              </w:rPr>
            </w:pPr>
          </w:p>
          <w:p w14:paraId="00914D20">
            <w:pPr>
              <w:kinsoku/>
              <w:spacing w:line="360" w:lineRule="auto"/>
              <w:jc w:val="center"/>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评分标准</w:t>
            </w:r>
          </w:p>
        </w:tc>
      </w:tr>
      <w:tr w14:paraId="544A91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8" w:hRule="atLeast"/>
        </w:trPr>
        <w:tc>
          <w:tcPr>
            <w:tcW w:w="806" w:type="dxa"/>
            <w:tcBorders>
              <w:top w:val="single" w:color="auto" w:sz="4" w:space="0"/>
              <w:left w:val="single" w:color="auto" w:sz="4" w:space="0"/>
              <w:bottom w:val="single" w:color="auto" w:sz="4" w:space="0"/>
              <w:right w:val="single" w:color="auto" w:sz="4" w:space="0"/>
            </w:tcBorders>
          </w:tcPr>
          <w:p w14:paraId="26B31DA6">
            <w:pPr>
              <w:kinsoku/>
              <w:spacing w:line="360" w:lineRule="auto"/>
              <w:jc w:val="center"/>
              <w:rPr>
                <w:rFonts w:hint="eastAsia" w:asciiTheme="minorEastAsia" w:hAnsiTheme="minorEastAsia" w:eastAsiaTheme="minorEastAsia" w:cstheme="minorEastAsia"/>
                <w:b/>
                <w:bCs/>
                <w:color w:val="auto"/>
                <w:highlight w:val="none"/>
              </w:rPr>
            </w:pPr>
          </w:p>
          <w:p w14:paraId="4BF0B9DE">
            <w:pPr>
              <w:kinsoku/>
              <w:spacing w:line="360" w:lineRule="auto"/>
              <w:jc w:val="center"/>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条款</w:t>
            </w:r>
          </w:p>
          <w:p w14:paraId="75C09B4E">
            <w:pPr>
              <w:kinsoku/>
              <w:spacing w:line="360" w:lineRule="auto"/>
              <w:jc w:val="center"/>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号</w:t>
            </w:r>
          </w:p>
        </w:tc>
        <w:tc>
          <w:tcPr>
            <w:tcW w:w="845" w:type="dxa"/>
            <w:gridSpan w:val="3"/>
            <w:tcBorders>
              <w:top w:val="single" w:color="auto" w:sz="4" w:space="0"/>
              <w:left w:val="single" w:color="auto" w:sz="4" w:space="0"/>
              <w:bottom w:val="single" w:color="auto" w:sz="4" w:space="0"/>
              <w:right w:val="single" w:color="auto" w:sz="4" w:space="0"/>
            </w:tcBorders>
          </w:tcPr>
          <w:p w14:paraId="0FD77694">
            <w:pPr>
              <w:kinsoku/>
              <w:spacing w:line="360" w:lineRule="auto"/>
              <w:jc w:val="center"/>
              <w:rPr>
                <w:rFonts w:hint="eastAsia" w:asciiTheme="minorEastAsia" w:hAnsiTheme="minorEastAsia" w:eastAsiaTheme="minorEastAsia" w:cstheme="minorEastAsia"/>
                <w:b/>
                <w:bCs/>
                <w:color w:val="auto"/>
                <w:highlight w:val="none"/>
              </w:rPr>
            </w:pPr>
          </w:p>
          <w:p w14:paraId="31599FD4">
            <w:pPr>
              <w:kinsoku/>
              <w:spacing w:line="360" w:lineRule="auto"/>
              <w:jc w:val="center"/>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评审</w:t>
            </w:r>
          </w:p>
          <w:p w14:paraId="49F4EDC6">
            <w:pPr>
              <w:kinsoku/>
              <w:spacing w:line="360" w:lineRule="auto"/>
              <w:jc w:val="center"/>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因素</w:t>
            </w:r>
          </w:p>
        </w:tc>
        <w:tc>
          <w:tcPr>
            <w:tcW w:w="714" w:type="dxa"/>
            <w:tcBorders>
              <w:top w:val="single" w:color="auto" w:sz="4" w:space="0"/>
              <w:left w:val="single" w:color="auto" w:sz="4" w:space="0"/>
              <w:bottom w:val="single" w:color="auto" w:sz="4" w:space="0"/>
              <w:right w:val="single" w:color="auto" w:sz="4" w:space="0"/>
            </w:tcBorders>
          </w:tcPr>
          <w:p w14:paraId="3D5DBAA5">
            <w:pPr>
              <w:kinsoku/>
              <w:spacing w:line="360" w:lineRule="auto"/>
              <w:jc w:val="center"/>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评分</w:t>
            </w:r>
          </w:p>
          <w:p w14:paraId="23B011A9">
            <w:pPr>
              <w:kinsoku/>
              <w:spacing w:line="360" w:lineRule="auto"/>
              <w:jc w:val="center"/>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因素</w:t>
            </w:r>
          </w:p>
          <w:p w14:paraId="3980EAFC">
            <w:pPr>
              <w:kinsoku/>
              <w:spacing w:line="360" w:lineRule="auto"/>
              <w:jc w:val="center"/>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权重</w:t>
            </w:r>
          </w:p>
          <w:p w14:paraId="0F561A93">
            <w:pPr>
              <w:kinsoku/>
              <w:spacing w:line="360" w:lineRule="auto"/>
              <w:jc w:val="center"/>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分值</w:t>
            </w:r>
          </w:p>
        </w:tc>
        <w:tc>
          <w:tcPr>
            <w:tcW w:w="1768" w:type="dxa"/>
            <w:gridSpan w:val="3"/>
            <w:tcBorders>
              <w:top w:val="single" w:color="auto" w:sz="4" w:space="0"/>
              <w:left w:val="single" w:color="auto" w:sz="4" w:space="0"/>
              <w:bottom w:val="single" w:color="auto" w:sz="4" w:space="0"/>
              <w:right w:val="single" w:color="auto" w:sz="4" w:space="0"/>
            </w:tcBorders>
          </w:tcPr>
          <w:p w14:paraId="056F1EDD">
            <w:pPr>
              <w:kinsoku/>
              <w:spacing w:line="360" w:lineRule="auto"/>
              <w:jc w:val="center"/>
              <w:rPr>
                <w:rFonts w:hint="eastAsia" w:asciiTheme="minorEastAsia" w:hAnsiTheme="minorEastAsia" w:eastAsiaTheme="minorEastAsia" w:cstheme="minorEastAsia"/>
                <w:b/>
                <w:bCs/>
                <w:color w:val="auto"/>
                <w:highlight w:val="none"/>
              </w:rPr>
            </w:pPr>
          </w:p>
          <w:p w14:paraId="1375B115">
            <w:pPr>
              <w:kinsoku/>
              <w:spacing w:line="360" w:lineRule="auto"/>
              <w:jc w:val="center"/>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各评审因素细分 项</w:t>
            </w:r>
          </w:p>
        </w:tc>
        <w:tc>
          <w:tcPr>
            <w:tcW w:w="761" w:type="dxa"/>
            <w:tcBorders>
              <w:top w:val="single" w:color="auto" w:sz="4" w:space="0"/>
              <w:left w:val="single" w:color="auto" w:sz="4" w:space="0"/>
              <w:bottom w:val="single" w:color="auto" w:sz="4" w:space="0"/>
              <w:right w:val="single" w:color="auto" w:sz="4" w:space="0"/>
            </w:tcBorders>
          </w:tcPr>
          <w:p w14:paraId="0C50532E">
            <w:pPr>
              <w:kinsoku/>
              <w:spacing w:line="360" w:lineRule="auto"/>
              <w:jc w:val="center"/>
              <w:rPr>
                <w:rFonts w:hint="eastAsia" w:asciiTheme="minorEastAsia" w:hAnsiTheme="minorEastAsia" w:eastAsiaTheme="minorEastAsia" w:cstheme="minorEastAsia"/>
                <w:b/>
                <w:bCs/>
                <w:color w:val="auto"/>
                <w:highlight w:val="none"/>
              </w:rPr>
            </w:pPr>
          </w:p>
          <w:p w14:paraId="5300B049">
            <w:pPr>
              <w:kinsoku/>
              <w:spacing w:line="360" w:lineRule="auto"/>
              <w:jc w:val="center"/>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分值</w:t>
            </w:r>
          </w:p>
        </w:tc>
        <w:tc>
          <w:tcPr>
            <w:tcW w:w="3851" w:type="dxa"/>
            <w:vMerge w:val="continue"/>
            <w:tcBorders>
              <w:top w:val="single" w:color="auto" w:sz="4" w:space="0"/>
              <w:left w:val="single" w:color="auto" w:sz="4" w:space="0"/>
              <w:bottom w:val="single" w:color="auto" w:sz="4" w:space="0"/>
              <w:right w:val="single" w:color="auto" w:sz="4" w:space="0"/>
            </w:tcBorders>
          </w:tcPr>
          <w:p w14:paraId="3477AE37">
            <w:pPr>
              <w:kinsoku/>
              <w:spacing w:line="360" w:lineRule="auto"/>
              <w:jc w:val="center"/>
              <w:rPr>
                <w:rFonts w:hint="eastAsia" w:asciiTheme="minorEastAsia" w:hAnsiTheme="minorEastAsia" w:eastAsiaTheme="minorEastAsia" w:cstheme="minorEastAsia"/>
                <w:b/>
                <w:bCs/>
                <w:color w:val="auto"/>
                <w:highlight w:val="none"/>
              </w:rPr>
            </w:pPr>
          </w:p>
        </w:tc>
      </w:tr>
      <w:tr w14:paraId="1483A1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3" w:hRule="atLeast"/>
        </w:trPr>
        <w:tc>
          <w:tcPr>
            <w:tcW w:w="806" w:type="dxa"/>
            <w:vMerge w:val="restart"/>
            <w:tcBorders>
              <w:top w:val="single" w:color="auto" w:sz="4" w:space="0"/>
              <w:left w:val="single" w:color="auto" w:sz="4" w:space="0"/>
              <w:bottom w:val="single" w:color="auto" w:sz="4" w:space="0"/>
              <w:right w:val="single" w:color="auto" w:sz="4" w:space="0"/>
            </w:tcBorders>
            <w:vAlign w:val="center"/>
          </w:tcPr>
          <w:p w14:paraId="43433C59">
            <w:pPr>
              <w:kinsoku/>
              <w:spacing w:line="360" w:lineRule="auto"/>
              <w:jc w:val="center"/>
              <w:rPr>
                <w:rFonts w:hint="eastAsia" w:asciiTheme="minorEastAsia" w:hAnsiTheme="minorEastAsia" w:eastAsiaTheme="minorEastAsia" w:cstheme="minorEastAsia"/>
                <w:color w:val="auto"/>
                <w:highlight w:val="none"/>
              </w:rPr>
            </w:pPr>
          </w:p>
          <w:p w14:paraId="6B16E8E3">
            <w:pPr>
              <w:kinsoku/>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2.2.4 (1)</w:t>
            </w:r>
          </w:p>
        </w:tc>
        <w:tc>
          <w:tcPr>
            <w:tcW w:w="845" w:type="dxa"/>
            <w:gridSpan w:val="3"/>
            <w:vMerge w:val="restart"/>
            <w:tcBorders>
              <w:top w:val="single" w:color="auto" w:sz="4" w:space="0"/>
              <w:left w:val="single" w:color="auto" w:sz="4" w:space="0"/>
              <w:bottom w:val="single" w:color="auto" w:sz="4" w:space="0"/>
              <w:right w:val="single" w:color="auto" w:sz="4" w:space="0"/>
            </w:tcBorders>
            <w:vAlign w:val="center"/>
          </w:tcPr>
          <w:p w14:paraId="02D84837">
            <w:pPr>
              <w:kinsoku/>
              <w:spacing w:line="360" w:lineRule="auto"/>
              <w:jc w:val="center"/>
              <w:rPr>
                <w:rFonts w:hint="eastAsia" w:asciiTheme="minorEastAsia" w:hAnsiTheme="minorEastAsia" w:eastAsiaTheme="minorEastAsia" w:cstheme="minorEastAsia"/>
                <w:color w:val="auto"/>
                <w:highlight w:val="none"/>
              </w:rPr>
            </w:pPr>
          </w:p>
          <w:p w14:paraId="45A3DB9B">
            <w:pPr>
              <w:kinsoku/>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技术建议书</w:t>
            </w:r>
          </w:p>
        </w:tc>
        <w:tc>
          <w:tcPr>
            <w:tcW w:w="714" w:type="dxa"/>
            <w:vMerge w:val="restart"/>
            <w:tcBorders>
              <w:top w:val="single" w:color="auto" w:sz="4" w:space="0"/>
              <w:left w:val="single" w:color="auto" w:sz="4" w:space="0"/>
              <w:bottom w:val="single" w:color="auto" w:sz="4" w:space="0"/>
              <w:right w:val="single" w:color="auto" w:sz="4" w:space="0"/>
            </w:tcBorders>
            <w:vAlign w:val="center"/>
          </w:tcPr>
          <w:p w14:paraId="3F05C3C5">
            <w:pPr>
              <w:kinsoku/>
              <w:spacing w:line="360" w:lineRule="auto"/>
              <w:jc w:val="center"/>
              <w:rPr>
                <w:rFonts w:hint="eastAsia" w:asciiTheme="minorEastAsia" w:hAnsiTheme="minorEastAsia" w:eastAsiaTheme="minorEastAsia" w:cstheme="minorEastAsia"/>
                <w:color w:val="auto"/>
                <w:highlight w:val="none"/>
              </w:rPr>
            </w:pPr>
          </w:p>
          <w:p w14:paraId="2DB0F0CC">
            <w:pPr>
              <w:kinsoku/>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25分</w:t>
            </w:r>
          </w:p>
        </w:tc>
        <w:tc>
          <w:tcPr>
            <w:tcW w:w="176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02A49545">
            <w:pPr>
              <w:kinsoku/>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监测需求分析（满分5分）</w:t>
            </w:r>
          </w:p>
        </w:tc>
        <w:tc>
          <w:tcPr>
            <w:tcW w:w="761" w:type="dxa"/>
            <w:tcBorders>
              <w:top w:val="single" w:color="auto" w:sz="4" w:space="0"/>
              <w:left w:val="single" w:color="auto" w:sz="4" w:space="0"/>
              <w:bottom w:val="single" w:color="auto" w:sz="4" w:space="0"/>
              <w:right w:val="single" w:color="auto" w:sz="4" w:space="0"/>
            </w:tcBorders>
            <w:shd w:val="clear" w:color="auto" w:fill="auto"/>
            <w:vAlign w:val="center"/>
          </w:tcPr>
          <w:p w14:paraId="77650390">
            <w:pPr>
              <w:kinsoku/>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5分</w:t>
            </w:r>
          </w:p>
        </w:tc>
        <w:tc>
          <w:tcPr>
            <w:tcW w:w="3851" w:type="dxa"/>
            <w:tcBorders>
              <w:top w:val="single" w:color="auto" w:sz="4" w:space="0"/>
              <w:left w:val="single" w:color="auto" w:sz="4" w:space="0"/>
              <w:bottom w:val="single" w:color="auto" w:sz="4" w:space="0"/>
              <w:right w:val="single" w:color="auto" w:sz="4" w:space="0"/>
            </w:tcBorders>
            <w:shd w:val="clear" w:color="auto" w:fill="auto"/>
            <w:vAlign w:val="top"/>
          </w:tcPr>
          <w:p w14:paraId="16FA7272">
            <w:pPr>
              <w:kinsoku/>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对行业主管部门的工作要求把握准确，总体工作思路清晰，对结构物运行风险分析透彻，监测需求具有很强的针对性，一般得3分，较好得3-4分，好得4-5分。</w:t>
            </w:r>
          </w:p>
        </w:tc>
      </w:tr>
      <w:tr w14:paraId="0A2EFE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806" w:type="dxa"/>
            <w:vMerge w:val="continue"/>
            <w:tcBorders>
              <w:top w:val="single" w:color="auto" w:sz="4" w:space="0"/>
              <w:left w:val="single" w:color="auto" w:sz="4" w:space="0"/>
              <w:bottom w:val="single" w:color="auto" w:sz="4" w:space="0"/>
              <w:right w:val="single" w:color="auto" w:sz="4" w:space="0"/>
            </w:tcBorders>
          </w:tcPr>
          <w:p w14:paraId="25B2F8A0">
            <w:pPr>
              <w:kinsoku/>
              <w:spacing w:line="360" w:lineRule="auto"/>
              <w:rPr>
                <w:rFonts w:hint="eastAsia" w:asciiTheme="minorEastAsia" w:hAnsiTheme="minorEastAsia" w:eastAsiaTheme="minorEastAsia" w:cstheme="minorEastAsia"/>
                <w:color w:val="auto"/>
                <w:highlight w:val="none"/>
              </w:rPr>
            </w:pPr>
          </w:p>
        </w:tc>
        <w:tc>
          <w:tcPr>
            <w:tcW w:w="845" w:type="dxa"/>
            <w:gridSpan w:val="3"/>
            <w:vMerge w:val="continue"/>
            <w:tcBorders>
              <w:top w:val="single" w:color="auto" w:sz="4" w:space="0"/>
              <w:left w:val="single" w:color="auto" w:sz="4" w:space="0"/>
              <w:bottom w:val="single" w:color="auto" w:sz="4" w:space="0"/>
              <w:right w:val="single" w:color="auto" w:sz="4" w:space="0"/>
            </w:tcBorders>
          </w:tcPr>
          <w:p w14:paraId="248F27DF">
            <w:pPr>
              <w:kinsoku/>
              <w:spacing w:line="360" w:lineRule="auto"/>
              <w:rPr>
                <w:rFonts w:hint="eastAsia" w:asciiTheme="minorEastAsia" w:hAnsiTheme="minorEastAsia" w:eastAsiaTheme="minorEastAsia" w:cstheme="minorEastAsia"/>
                <w:color w:val="auto"/>
                <w:highlight w:val="none"/>
              </w:rPr>
            </w:pPr>
          </w:p>
        </w:tc>
        <w:tc>
          <w:tcPr>
            <w:tcW w:w="714" w:type="dxa"/>
            <w:vMerge w:val="continue"/>
            <w:tcBorders>
              <w:top w:val="single" w:color="auto" w:sz="4" w:space="0"/>
              <w:left w:val="single" w:color="auto" w:sz="4" w:space="0"/>
              <w:bottom w:val="single" w:color="auto" w:sz="4" w:space="0"/>
              <w:right w:val="single" w:color="auto" w:sz="4" w:space="0"/>
            </w:tcBorders>
          </w:tcPr>
          <w:p w14:paraId="505CD786">
            <w:pPr>
              <w:kinsoku/>
              <w:spacing w:line="360" w:lineRule="auto"/>
              <w:rPr>
                <w:rFonts w:hint="eastAsia" w:asciiTheme="minorEastAsia" w:hAnsiTheme="minorEastAsia" w:eastAsiaTheme="minorEastAsia" w:cstheme="minorEastAsia"/>
                <w:color w:val="auto"/>
                <w:highlight w:val="none"/>
              </w:rPr>
            </w:pPr>
          </w:p>
        </w:tc>
        <w:tc>
          <w:tcPr>
            <w:tcW w:w="176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393F809">
            <w:pPr>
              <w:kinsoku/>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监测技术方案（满分5分）</w:t>
            </w:r>
          </w:p>
        </w:tc>
        <w:tc>
          <w:tcPr>
            <w:tcW w:w="761" w:type="dxa"/>
            <w:tcBorders>
              <w:top w:val="single" w:color="auto" w:sz="4" w:space="0"/>
              <w:left w:val="single" w:color="auto" w:sz="4" w:space="0"/>
              <w:bottom w:val="single" w:color="auto" w:sz="4" w:space="0"/>
              <w:right w:val="single" w:color="auto" w:sz="4" w:space="0"/>
            </w:tcBorders>
            <w:shd w:val="clear" w:color="auto" w:fill="auto"/>
            <w:vAlign w:val="center"/>
          </w:tcPr>
          <w:p w14:paraId="24EB5414">
            <w:pPr>
              <w:kinsoku/>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5分</w:t>
            </w:r>
          </w:p>
        </w:tc>
        <w:tc>
          <w:tcPr>
            <w:tcW w:w="3851" w:type="dxa"/>
            <w:tcBorders>
              <w:top w:val="single" w:color="auto" w:sz="4" w:space="0"/>
              <w:left w:val="single" w:color="auto" w:sz="4" w:space="0"/>
              <w:bottom w:val="single" w:color="auto" w:sz="4" w:space="0"/>
              <w:right w:val="single" w:color="auto" w:sz="4" w:space="0"/>
            </w:tcBorders>
            <w:shd w:val="clear" w:color="auto" w:fill="auto"/>
            <w:vAlign w:val="top"/>
          </w:tcPr>
          <w:p w14:paraId="2F1C64BD">
            <w:pPr>
              <w:kinsoku/>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监测技术方案内容全面，方案详实，可行性好，一般得3分，较好得3-4分，好得4-5分。</w:t>
            </w:r>
          </w:p>
        </w:tc>
      </w:tr>
      <w:tr w14:paraId="751DCF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7" w:hRule="atLeast"/>
        </w:trPr>
        <w:tc>
          <w:tcPr>
            <w:tcW w:w="806" w:type="dxa"/>
            <w:vMerge w:val="continue"/>
            <w:tcBorders>
              <w:top w:val="nil"/>
              <w:left w:val="single" w:color="auto" w:sz="4" w:space="0"/>
              <w:bottom w:val="nil"/>
            </w:tcBorders>
          </w:tcPr>
          <w:p w14:paraId="3C7A3EA1">
            <w:pPr>
              <w:kinsoku/>
              <w:spacing w:line="360" w:lineRule="auto"/>
              <w:rPr>
                <w:rFonts w:hint="eastAsia" w:asciiTheme="minorEastAsia" w:hAnsiTheme="minorEastAsia" w:eastAsiaTheme="minorEastAsia" w:cstheme="minorEastAsia"/>
                <w:color w:val="auto"/>
                <w:highlight w:val="none"/>
              </w:rPr>
            </w:pPr>
          </w:p>
        </w:tc>
        <w:tc>
          <w:tcPr>
            <w:tcW w:w="845" w:type="dxa"/>
            <w:gridSpan w:val="3"/>
            <w:vMerge w:val="continue"/>
            <w:tcBorders>
              <w:top w:val="nil"/>
              <w:bottom w:val="nil"/>
            </w:tcBorders>
          </w:tcPr>
          <w:p w14:paraId="737DC641">
            <w:pPr>
              <w:kinsoku/>
              <w:spacing w:line="360" w:lineRule="auto"/>
              <w:rPr>
                <w:rFonts w:hint="eastAsia" w:asciiTheme="minorEastAsia" w:hAnsiTheme="minorEastAsia" w:eastAsiaTheme="minorEastAsia" w:cstheme="minorEastAsia"/>
                <w:color w:val="auto"/>
                <w:highlight w:val="none"/>
              </w:rPr>
            </w:pPr>
          </w:p>
        </w:tc>
        <w:tc>
          <w:tcPr>
            <w:tcW w:w="714" w:type="dxa"/>
            <w:vMerge w:val="continue"/>
            <w:tcBorders>
              <w:top w:val="nil"/>
              <w:bottom w:val="nil"/>
            </w:tcBorders>
          </w:tcPr>
          <w:p w14:paraId="3A465189">
            <w:pPr>
              <w:kinsoku/>
              <w:spacing w:line="360" w:lineRule="auto"/>
              <w:rPr>
                <w:rFonts w:hint="eastAsia" w:asciiTheme="minorEastAsia" w:hAnsiTheme="minorEastAsia" w:eastAsiaTheme="minorEastAsia" w:cstheme="minorEastAsia"/>
                <w:color w:val="auto"/>
                <w:highlight w:val="none"/>
              </w:rPr>
            </w:pPr>
          </w:p>
        </w:tc>
        <w:tc>
          <w:tcPr>
            <w:tcW w:w="1768" w:type="dxa"/>
            <w:gridSpan w:val="3"/>
            <w:shd w:val="clear" w:color="auto" w:fill="auto"/>
            <w:vAlign w:val="center"/>
          </w:tcPr>
          <w:p w14:paraId="1B378032">
            <w:pPr>
              <w:kinsoku/>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监测实施方案（满分5分）</w:t>
            </w:r>
          </w:p>
        </w:tc>
        <w:tc>
          <w:tcPr>
            <w:tcW w:w="761" w:type="dxa"/>
            <w:shd w:val="clear" w:color="auto" w:fill="auto"/>
            <w:vAlign w:val="center"/>
          </w:tcPr>
          <w:p w14:paraId="5E2B3048">
            <w:pPr>
              <w:kinsoku/>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5分</w:t>
            </w:r>
          </w:p>
        </w:tc>
        <w:tc>
          <w:tcPr>
            <w:tcW w:w="3851" w:type="dxa"/>
            <w:shd w:val="clear" w:color="auto" w:fill="auto"/>
            <w:vAlign w:val="top"/>
          </w:tcPr>
          <w:p w14:paraId="4A112DDB">
            <w:pPr>
              <w:kinsoku/>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交通组织方案科学可行，进度控制方案保障有力，硬件安装方案规范可靠，一般得3分，较好得3-4分，好得4-5分。</w:t>
            </w:r>
          </w:p>
        </w:tc>
      </w:tr>
      <w:tr w14:paraId="0B7A82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6" w:hRule="atLeast"/>
        </w:trPr>
        <w:tc>
          <w:tcPr>
            <w:tcW w:w="806" w:type="dxa"/>
            <w:vMerge w:val="continue"/>
            <w:tcBorders>
              <w:top w:val="nil"/>
              <w:left w:val="single" w:color="auto" w:sz="4" w:space="0"/>
              <w:bottom w:val="nil"/>
            </w:tcBorders>
          </w:tcPr>
          <w:p w14:paraId="17FCEBCA">
            <w:pPr>
              <w:kinsoku/>
              <w:spacing w:line="360" w:lineRule="auto"/>
              <w:rPr>
                <w:rFonts w:hint="eastAsia" w:asciiTheme="minorEastAsia" w:hAnsiTheme="minorEastAsia" w:eastAsiaTheme="minorEastAsia" w:cstheme="minorEastAsia"/>
                <w:color w:val="auto"/>
                <w:highlight w:val="none"/>
              </w:rPr>
            </w:pPr>
          </w:p>
        </w:tc>
        <w:tc>
          <w:tcPr>
            <w:tcW w:w="845" w:type="dxa"/>
            <w:gridSpan w:val="3"/>
            <w:vMerge w:val="continue"/>
            <w:tcBorders>
              <w:top w:val="nil"/>
              <w:bottom w:val="nil"/>
            </w:tcBorders>
          </w:tcPr>
          <w:p w14:paraId="36A2A42D">
            <w:pPr>
              <w:kinsoku/>
              <w:spacing w:line="360" w:lineRule="auto"/>
              <w:rPr>
                <w:rFonts w:hint="eastAsia" w:asciiTheme="minorEastAsia" w:hAnsiTheme="minorEastAsia" w:eastAsiaTheme="minorEastAsia" w:cstheme="minorEastAsia"/>
                <w:color w:val="auto"/>
                <w:highlight w:val="none"/>
              </w:rPr>
            </w:pPr>
          </w:p>
        </w:tc>
        <w:tc>
          <w:tcPr>
            <w:tcW w:w="714" w:type="dxa"/>
            <w:vMerge w:val="continue"/>
            <w:tcBorders>
              <w:top w:val="nil"/>
              <w:bottom w:val="nil"/>
            </w:tcBorders>
          </w:tcPr>
          <w:p w14:paraId="04407420">
            <w:pPr>
              <w:kinsoku/>
              <w:spacing w:line="360" w:lineRule="auto"/>
              <w:rPr>
                <w:rFonts w:hint="eastAsia" w:asciiTheme="minorEastAsia" w:hAnsiTheme="minorEastAsia" w:eastAsiaTheme="minorEastAsia" w:cstheme="minorEastAsia"/>
                <w:color w:val="auto"/>
                <w:highlight w:val="none"/>
              </w:rPr>
            </w:pPr>
          </w:p>
        </w:tc>
        <w:tc>
          <w:tcPr>
            <w:tcW w:w="1768" w:type="dxa"/>
            <w:gridSpan w:val="3"/>
            <w:shd w:val="clear" w:color="auto" w:fill="auto"/>
            <w:vAlign w:val="center"/>
          </w:tcPr>
          <w:p w14:paraId="3249CACB">
            <w:pPr>
              <w:kinsoku/>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系统维护方案（满分5分）</w:t>
            </w:r>
          </w:p>
        </w:tc>
        <w:tc>
          <w:tcPr>
            <w:tcW w:w="761" w:type="dxa"/>
            <w:shd w:val="clear" w:color="auto" w:fill="auto"/>
            <w:vAlign w:val="center"/>
          </w:tcPr>
          <w:p w14:paraId="63E7D2BA">
            <w:pPr>
              <w:kinsoku/>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5分</w:t>
            </w:r>
          </w:p>
        </w:tc>
        <w:tc>
          <w:tcPr>
            <w:tcW w:w="3851" w:type="dxa"/>
            <w:shd w:val="clear" w:color="auto" w:fill="auto"/>
            <w:vAlign w:val="top"/>
          </w:tcPr>
          <w:p w14:paraId="35F661ED">
            <w:pPr>
              <w:kinsoku/>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系统维护及值班值守制度完善、</w:t>
            </w:r>
            <w:r>
              <w:rPr>
                <w:rFonts w:hint="eastAsia" w:asciiTheme="minorEastAsia" w:hAnsiTheme="minorEastAsia" w:eastAsiaTheme="minorEastAsia" w:cstheme="minorEastAsia"/>
                <w:color w:val="auto"/>
                <w:highlight w:val="none"/>
                <w:lang w:val="en-US" w:eastAsia="zh-CN"/>
              </w:rPr>
              <w:t>预警机制清晰</w:t>
            </w:r>
            <w:r>
              <w:rPr>
                <w:rFonts w:hint="eastAsia" w:asciiTheme="minorEastAsia" w:hAnsiTheme="minorEastAsia" w:eastAsiaTheme="minorEastAsia" w:cstheme="minorEastAsia"/>
                <w:color w:val="auto"/>
                <w:highlight w:val="none"/>
              </w:rPr>
              <w:t>、维护记录表格全面，一般得3分，较好得3-4分，好得4-5分。</w:t>
            </w:r>
          </w:p>
        </w:tc>
      </w:tr>
      <w:tr w14:paraId="0393DD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0" w:hRule="atLeast"/>
        </w:trPr>
        <w:tc>
          <w:tcPr>
            <w:tcW w:w="806" w:type="dxa"/>
            <w:vMerge w:val="continue"/>
            <w:tcBorders>
              <w:top w:val="nil"/>
              <w:left w:val="single" w:color="auto" w:sz="4" w:space="0"/>
            </w:tcBorders>
          </w:tcPr>
          <w:p w14:paraId="3B47C98C">
            <w:pPr>
              <w:kinsoku/>
              <w:spacing w:line="360" w:lineRule="auto"/>
              <w:rPr>
                <w:rFonts w:hint="eastAsia" w:asciiTheme="minorEastAsia" w:hAnsiTheme="minorEastAsia" w:eastAsiaTheme="minorEastAsia" w:cstheme="minorEastAsia"/>
                <w:color w:val="auto"/>
                <w:highlight w:val="none"/>
              </w:rPr>
            </w:pPr>
          </w:p>
        </w:tc>
        <w:tc>
          <w:tcPr>
            <w:tcW w:w="845" w:type="dxa"/>
            <w:gridSpan w:val="3"/>
            <w:vMerge w:val="continue"/>
            <w:tcBorders>
              <w:top w:val="nil"/>
            </w:tcBorders>
          </w:tcPr>
          <w:p w14:paraId="0CBAECDB">
            <w:pPr>
              <w:kinsoku/>
              <w:spacing w:line="360" w:lineRule="auto"/>
              <w:rPr>
                <w:rFonts w:hint="eastAsia" w:asciiTheme="minorEastAsia" w:hAnsiTheme="minorEastAsia" w:eastAsiaTheme="minorEastAsia" w:cstheme="minorEastAsia"/>
                <w:color w:val="auto"/>
                <w:highlight w:val="none"/>
              </w:rPr>
            </w:pPr>
          </w:p>
        </w:tc>
        <w:tc>
          <w:tcPr>
            <w:tcW w:w="714" w:type="dxa"/>
            <w:vMerge w:val="continue"/>
            <w:tcBorders>
              <w:top w:val="nil"/>
            </w:tcBorders>
          </w:tcPr>
          <w:p w14:paraId="370D9981">
            <w:pPr>
              <w:kinsoku/>
              <w:spacing w:line="360" w:lineRule="auto"/>
              <w:rPr>
                <w:rFonts w:hint="eastAsia" w:asciiTheme="minorEastAsia" w:hAnsiTheme="minorEastAsia" w:eastAsiaTheme="minorEastAsia" w:cstheme="minorEastAsia"/>
                <w:color w:val="auto"/>
                <w:highlight w:val="none"/>
              </w:rPr>
            </w:pPr>
          </w:p>
        </w:tc>
        <w:tc>
          <w:tcPr>
            <w:tcW w:w="1768" w:type="dxa"/>
            <w:gridSpan w:val="3"/>
            <w:shd w:val="clear" w:color="auto" w:fill="auto"/>
            <w:vAlign w:val="center"/>
          </w:tcPr>
          <w:p w14:paraId="6DFDACCA">
            <w:pPr>
              <w:kinsoku/>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其他合理化建议（满分5分）</w:t>
            </w:r>
          </w:p>
        </w:tc>
        <w:tc>
          <w:tcPr>
            <w:tcW w:w="761" w:type="dxa"/>
            <w:shd w:val="clear" w:color="auto" w:fill="auto"/>
            <w:vAlign w:val="center"/>
          </w:tcPr>
          <w:p w14:paraId="06DC15DD">
            <w:pPr>
              <w:kinsoku/>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5分</w:t>
            </w:r>
          </w:p>
        </w:tc>
        <w:tc>
          <w:tcPr>
            <w:tcW w:w="3851" w:type="dxa"/>
            <w:shd w:val="clear" w:color="auto" w:fill="auto"/>
            <w:vAlign w:val="top"/>
          </w:tcPr>
          <w:p w14:paraId="3C750682">
            <w:pPr>
              <w:kinsoku/>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合理化建议明确具体，对设计、实施有十分重要的指导和借鉴意义，一般得3分，较好得3-4分，好得 4-5分。</w:t>
            </w:r>
          </w:p>
        </w:tc>
      </w:tr>
      <w:tr w14:paraId="7C483A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trPr>
        <w:tc>
          <w:tcPr>
            <w:tcW w:w="806" w:type="dxa"/>
            <w:vAlign w:val="center"/>
          </w:tcPr>
          <w:p w14:paraId="6BFB04D1">
            <w:pPr>
              <w:kinsoku/>
              <w:spacing w:line="360" w:lineRule="auto"/>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2.2.4 (2)</w:t>
            </w:r>
          </w:p>
        </w:tc>
        <w:tc>
          <w:tcPr>
            <w:tcW w:w="845" w:type="dxa"/>
            <w:gridSpan w:val="3"/>
            <w:vAlign w:val="center"/>
          </w:tcPr>
          <w:p w14:paraId="0B0ACBC0">
            <w:pPr>
              <w:kinsoku/>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项目</w:t>
            </w:r>
          </w:p>
          <w:p w14:paraId="17B8F8B6">
            <w:pPr>
              <w:kinsoku/>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负责人</w:t>
            </w:r>
          </w:p>
        </w:tc>
        <w:tc>
          <w:tcPr>
            <w:tcW w:w="714" w:type="dxa"/>
            <w:vAlign w:val="center"/>
          </w:tcPr>
          <w:p w14:paraId="287D70C7">
            <w:pPr>
              <w:kinsoku/>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25分</w:t>
            </w:r>
          </w:p>
        </w:tc>
        <w:tc>
          <w:tcPr>
            <w:tcW w:w="6380" w:type="dxa"/>
            <w:gridSpan w:val="5"/>
            <w:vAlign w:val="center"/>
          </w:tcPr>
          <w:p w14:paraId="36C97A34">
            <w:pPr>
              <w:kinsoku/>
              <w:spacing w:line="360" w:lineRule="auto"/>
              <w:ind w:firstLine="210" w:firstLineChars="100"/>
              <w:rPr>
                <w:rFonts w:eastAsia="宋体"/>
                <w:color w:val="auto"/>
                <w:highlight w:val="none"/>
              </w:rPr>
            </w:pPr>
            <w:r>
              <w:rPr>
                <w:rFonts w:hint="eastAsia"/>
                <w:color w:val="auto"/>
                <w:highlight w:val="none"/>
              </w:rPr>
              <w:t>满足资格审查最低要求的得基本分25分：</w:t>
            </w:r>
          </w:p>
        </w:tc>
      </w:tr>
      <w:tr w14:paraId="7DCB73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3" w:hRule="atLeast"/>
        </w:trPr>
        <w:tc>
          <w:tcPr>
            <w:tcW w:w="806" w:type="dxa"/>
          </w:tcPr>
          <w:p w14:paraId="0DA804AF">
            <w:pPr>
              <w:kinsoku/>
              <w:spacing w:line="360" w:lineRule="auto"/>
              <w:rPr>
                <w:rFonts w:hint="eastAsia" w:asciiTheme="minorEastAsia" w:hAnsiTheme="minorEastAsia" w:eastAsiaTheme="minorEastAsia" w:cstheme="minorEastAsia"/>
                <w:color w:val="auto"/>
                <w:highlight w:val="none"/>
              </w:rPr>
            </w:pPr>
          </w:p>
          <w:p w14:paraId="238EFEC9">
            <w:pPr>
              <w:kinsoku/>
              <w:spacing w:line="360" w:lineRule="auto"/>
              <w:rPr>
                <w:rFonts w:hint="eastAsia" w:asciiTheme="minorEastAsia" w:hAnsiTheme="minorEastAsia" w:eastAsiaTheme="minorEastAsia" w:cstheme="minorEastAsia"/>
                <w:color w:val="auto"/>
                <w:highlight w:val="none"/>
              </w:rPr>
            </w:pPr>
          </w:p>
          <w:p w14:paraId="73201D39">
            <w:pPr>
              <w:kinsoku/>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2.2.4</w:t>
            </w:r>
          </w:p>
          <w:p w14:paraId="5A91C6B2">
            <w:pPr>
              <w:kinsoku/>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w:t>
            </w:r>
          </w:p>
        </w:tc>
        <w:tc>
          <w:tcPr>
            <w:tcW w:w="845" w:type="dxa"/>
            <w:gridSpan w:val="3"/>
          </w:tcPr>
          <w:p w14:paraId="6983E42F">
            <w:pPr>
              <w:kinsoku/>
              <w:spacing w:line="360" w:lineRule="auto"/>
              <w:rPr>
                <w:rFonts w:hint="eastAsia" w:asciiTheme="minorEastAsia" w:hAnsiTheme="minorEastAsia" w:eastAsiaTheme="minorEastAsia" w:cstheme="minorEastAsia"/>
                <w:color w:val="auto"/>
                <w:highlight w:val="none"/>
              </w:rPr>
            </w:pPr>
          </w:p>
          <w:p w14:paraId="675CEB16">
            <w:pPr>
              <w:kinsoku/>
              <w:spacing w:line="360" w:lineRule="auto"/>
              <w:rPr>
                <w:rFonts w:hint="eastAsia" w:asciiTheme="minorEastAsia" w:hAnsiTheme="minorEastAsia" w:eastAsiaTheme="minorEastAsia" w:cstheme="minorEastAsia"/>
                <w:color w:val="auto"/>
                <w:highlight w:val="none"/>
              </w:rPr>
            </w:pPr>
          </w:p>
          <w:p w14:paraId="79813706">
            <w:pPr>
              <w:kinsoku/>
              <w:spacing w:line="360" w:lineRule="auto"/>
              <w:rPr>
                <w:rFonts w:hint="eastAsia" w:asciiTheme="minorEastAsia" w:hAnsiTheme="minorEastAsia" w:eastAsiaTheme="minorEastAsia" w:cstheme="minorEastAsia"/>
                <w:color w:val="auto"/>
                <w:highlight w:val="none"/>
              </w:rPr>
            </w:pPr>
            <w:r>
              <w:rPr>
                <w:rFonts w:hint="eastAsia" w:ascii="宋体" w:hAnsi="宋体" w:cs="宋体"/>
                <w:color w:val="auto"/>
                <w:szCs w:val="21"/>
                <w:highlight w:val="none"/>
              </w:rPr>
              <w:t>评标</w:t>
            </w:r>
            <w:r>
              <w:rPr>
                <w:rFonts w:hint="eastAsia" w:ascii="宋体" w:hAnsi="宋体" w:cs="宋体"/>
                <w:color w:val="auto"/>
                <w:szCs w:val="21"/>
                <w:highlight w:val="none"/>
                <w:lang w:eastAsia="zh-CN"/>
              </w:rPr>
              <w:t>合同单价折扣系数</w:t>
            </w:r>
            <w:r>
              <w:rPr>
                <w:rFonts w:hint="eastAsia" w:ascii="宋体" w:hAnsi="宋体" w:cs="宋体"/>
                <w:color w:val="auto"/>
                <w:szCs w:val="21"/>
                <w:highlight w:val="none"/>
              </w:rPr>
              <w:t>得分</w:t>
            </w:r>
          </w:p>
        </w:tc>
        <w:tc>
          <w:tcPr>
            <w:tcW w:w="714" w:type="dxa"/>
          </w:tcPr>
          <w:p w14:paraId="0C70C172">
            <w:pPr>
              <w:kinsoku/>
              <w:spacing w:line="360" w:lineRule="auto"/>
              <w:rPr>
                <w:rFonts w:hint="eastAsia" w:asciiTheme="minorEastAsia" w:hAnsiTheme="minorEastAsia" w:eastAsiaTheme="minorEastAsia" w:cstheme="minorEastAsia"/>
                <w:color w:val="auto"/>
                <w:highlight w:val="none"/>
              </w:rPr>
            </w:pPr>
          </w:p>
          <w:p w14:paraId="626DF8DD">
            <w:pPr>
              <w:kinsoku/>
              <w:spacing w:line="360" w:lineRule="auto"/>
              <w:rPr>
                <w:rFonts w:hint="eastAsia" w:asciiTheme="minorEastAsia" w:hAnsiTheme="minorEastAsia" w:eastAsiaTheme="minorEastAsia" w:cstheme="minorEastAsia"/>
                <w:color w:val="auto"/>
                <w:highlight w:val="none"/>
              </w:rPr>
            </w:pPr>
          </w:p>
          <w:p w14:paraId="67012EF8">
            <w:pPr>
              <w:kinsoku/>
              <w:spacing w:line="360" w:lineRule="auto"/>
              <w:rPr>
                <w:rFonts w:hint="eastAsia" w:asciiTheme="minorEastAsia" w:hAnsiTheme="minorEastAsia" w:eastAsiaTheme="minorEastAsia" w:cstheme="minorEastAsia"/>
                <w:color w:val="auto"/>
                <w:highlight w:val="none"/>
              </w:rPr>
            </w:pPr>
          </w:p>
          <w:p w14:paraId="1DE1C8B8">
            <w:pPr>
              <w:kinsoku/>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10分</w:t>
            </w:r>
          </w:p>
        </w:tc>
        <w:tc>
          <w:tcPr>
            <w:tcW w:w="6380" w:type="dxa"/>
            <w:gridSpan w:val="5"/>
          </w:tcPr>
          <w:p w14:paraId="669C7DFB">
            <w:pPr>
              <w:kinsoku/>
              <w:spacing w:line="360" w:lineRule="auto"/>
              <w:rPr>
                <w:rFonts w:hint="eastAsia" w:asciiTheme="minorEastAsia" w:hAnsiTheme="minorEastAsia" w:eastAsiaTheme="minorEastAsia" w:cstheme="minorEastAsia"/>
                <w:color w:val="auto"/>
                <w:highlight w:val="none"/>
              </w:rPr>
            </w:pPr>
            <w:r>
              <w:rPr>
                <w:rFonts w:hint="eastAsia" w:ascii="宋体" w:hAnsi="宋体" w:cs="宋体"/>
                <w:color w:val="auto"/>
                <w:szCs w:val="21"/>
                <w:highlight w:val="none"/>
              </w:rPr>
              <w:t>评标</w:t>
            </w:r>
            <w:r>
              <w:rPr>
                <w:rFonts w:hint="eastAsia" w:ascii="宋体" w:hAnsi="宋体" w:cs="宋体"/>
                <w:color w:val="auto"/>
                <w:szCs w:val="21"/>
                <w:highlight w:val="none"/>
                <w:lang w:eastAsia="zh-CN"/>
              </w:rPr>
              <w:t>合同单价折扣系数</w:t>
            </w:r>
            <w:r>
              <w:rPr>
                <w:rFonts w:hint="eastAsia" w:asciiTheme="minorEastAsia" w:hAnsiTheme="minorEastAsia" w:eastAsiaTheme="minorEastAsia" w:cstheme="minorEastAsia"/>
                <w:color w:val="auto"/>
                <w:highlight w:val="none"/>
              </w:rPr>
              <w:t>得分计算公式示例：</w:t>
            </w:r>
          </w:p>
          <w:p w14:paraId="1F62B222">
            <w:pPr>
              <w:kinsoku/>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 ）</w:t>
            </w:r>
            <w:r>
              <w:rPr>
                <w:rFonts w:hint="eastAsia" w:ascii="宋体" w:hAnsi="宋体" w:cs="宋体"/>
                <w:color w:val="auto"/>
                <w:szCs w:val="21"/>
                <w:highlight w:val="none"/>
              </w:rPr>
              <w:t>如果投标人的评标</w:t>
            </w:r>
            <w:r>
              <w:rPr>
                <w:rFonts w:hint="eastAsia" w:ascii="宋体" w:hAnsi="宋体" w:cs="宋体"/>
                <w:color w:val="auto"/>
                <w:szCs w:val="21"/>
                <w:highlight w:val="none"/>
                <w:lang w:eastAsia="zh-CN"/>
              </w:rPr>
              <w:t>合同单价折扣系数</w:t>
            </w:r>
            <w:r>
              <w:rPr>
                <w:rFonts w:hint="eastAsia" w:ascii="宋体" w:hAnsi="宋体" w:cs="宋体"/>
                <w:color w:val="auto"/>
                <w:szCs w:val="21"/>
                <w:highlight w:val="none"/>
              </w:rPr>
              <w:t>&gt;</w:t>
            </w:r>
            <w:r>
              <w:rPr>
                <w:rFonts w:hint="eastAsia" w:ascii="宋体" w:hAnsi="宋体" w:cs="宋体"/>
                <w:b w:val="0"/>
                <w:color w:val="auto"/>
                <w:szCs w:val="21"/>
                <w:highlight w:val="none"/>
              </w:rPr>
              <w:t>评标基准</w:t>
            </w:r>
            <w:r>
              <w:rPr>
                <w:rFonts w:hint="eastAsia" w:ascii="宋体" w:hAnsi="宋体" w:cs="宋体"/>
                <w:b w:val="0"/>
                <w:color w:val="auto"/>
                <w:szCs w:val="21"/>
                <w:highlight w:val="none"/>
                <w:lang w:eastAsia="zh-CN"/>
              </w:rPr>
              <w:t>合同单价折扣系数</w:t>
            </w:r>
            <w:r>
              <w:rPr>
                <w:rFonts w:hint="eastAsia" w:asciiTheme="minorEastAsia" w:hAnsiTheme="minorEastAsia" w:eastAsiaTheme="minorEastAsia" w:cstheme="minorEastAsia"/>
                <w:color w:val="auto"/>
                <w:highlight w:val="none"/>
              </w:rPr>
              <w:t>，则</w:t>
            </w:r>
            <w:r>
              <w:rPr>
                <w:rFonts w:hint="eastAsia" w:ascii="宋体" w:hAnsi="宋体" w:cs="宋体"/>
                <w:color w:val="auto"/>
                <w:szCs w:val="21"/>
                <w:highlight w:val="none"/>
              </w:rPr>
              <w:t>评标</w:t>
            </w:r>
            <w:r>
              <w:rPr>
                <w:rFonts w:hint="eastAsia" w:ascii="宋体" w:hAnsi="宋体" w:cs="宋体"/>
                <w:color w:val="auto"/>
                <w:szCs w:val="21"/>
                <w:highlight w:val="none"/>
                <w:lang w:eastAsia="zh-CN"/>
              </w:rPr>
              <w:t>合同单价折扣系数</w:t>
            </w:r>
            <w:r>
              <w:rPr>
                <w:rFonts w:hint="eastAsia" w:ascii="宋体" w:hAnsi="宋体" w:cs="宋体"/>
                <w:color w:val="auto"/>
                <w:szCs w:val="21"/>
                <w:highlight w:val="none"/>
              </w:rPr>
              <w:t>得分</w:t>
            </w:r>
            <w:r>
              <w:rPr>
                <w:rFonts w:hint="eastAsia" w:asciiTheme="minorEastAsia" w:hAnsiTheme="minorEastAsia" w:eastAsiaTheme="minorEastAsia" w:cstheme="minorEastAsia"/>
                <w:color w:val="auto"/>
                <w:highlight w:val="none"/>
              </w:rPr>
              <w:t>＝F－偏差率×100×</w:t>
            </w:r>
            <w:r>
              <w:rPr>
                <w:rFonts w:hint="eastAsia" w:asciiTheme="minorEastAsia" w:hAnsiTheme="minorEastAsia" w:eastAsiaTheme="minorEastAsia" w:cstheme="minorEastAsia"/>
                <w:color w:val="auto"/>
                <w:highlight w:val="none"/>
                <w:lang w:val="en-US" w:eastAsia="zh-CN"/>
              </w:rPr>
              <w:t>1</w:t>
            </w:r>
            <w:r>
              <w:rPr>
                <w:rFonts w:hint="eastAsia" w:asciiTheme="minorEastAsia" w:hAnsiTheme="minorEastAsia" w:eastAsiaTheme="minorEastAsia" w:cstheme="minorEastAsia"/>
                <w:color w:val="auto"/>
                <w:highlight w:val="none"/>
              </w:rPr>
              <w:t>；</w:t>
            </w:r>
          </w:p>
          <w:p w14:paraId="50C45859">
            <w:pPr>
              <w:kinsoku/>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 ）</w:t>
            </w:r>
            <w:r>
              <w:rPr>
                <w:rFonts w:hint="eastAsia" w:ascii="宋体" w:hAnsi="宋体" w:cs="宋体"/>
                <w:color w:val="auto"/>
                <w:szCs w:val="21"/>
                <w:highlight w:val="none"/>
              </w:rPr>
              <w:t>如果投标人的评标</w:t>
            </w:r>
            <w:r>
              <w:rPr>
                <w:rFonts w:hint="eastAsia" w:ascii="宋体" w:hAnsi="宋体" w:cs="宋体"/>
                <w:color w:val="auto"/>
                <w:szCs w:val="21"/>
                <w:highlight w:val="none"/>
                <w:lang w:eastAsia="zh-CN"/>
              </w:rPr>
              <w:t>合同单价折扣系数</w:t>
            </w:r>
            <w:r>
              <w:rPr>
                <w:rFonts w:hint="eastAsia" w:ascii="宋体" w:hAnsi="宋体" w:cs="宋体"/>
                <w:color w:val="auto"/>
                <w:szCs w:val="21"/>
                <w:highlight w:val="none"/>
              </w:rPr>
              <w:t>≤</w:t>
            </w:r>
            <w:r>
              <w:rPr>
                <w:rFonts w:hint="eastAsia" w:ascii="宋体" w:hAnsi="宋体" w:cs="宋体"/>
                <w:b w:val="0"/>
                <w:color w:val="auto"/>
                <w:szCs w:val="21"/>
                <w:highlight w:val="none"/>
              </w:rPr>
              <w:t>评标基准</w:t>
            </w:r>
            <w:r>
              <w:rPr>
                <w:rFonts w:hint="eastAsia" w:ascii="宋体" w:hAnsi="宋体" w:cs="宋体"/>
                <w:b w:val="0"/>
                <w:color w:val="auto"/>
                <w:szCs w:val="21"/>
                <w:highlight w:val="none"/>
                <w:lang w:eastAsia="zh-CN"/>
              </w:rPr>
              <w:t>合同单价折扣系数</w:t>
            </w:r>
            <w:r>
              <w:rPr>
                <w:rFonts w:hint="eastAsia" w:asciiTheme="minorEastAsia" w:hAnsiTheme="minorEastAsia" w:eastAsiaTheme="minorEastAsia" w:cstheme="minorEastAsia"/>
                <w:color w:val="auto"/>
                <w:highlight w:val="none"/>
              </w:rPr>
              <w:t>，则</w:t>
            </w:r>
            <w:r>
              <w:rPr>
                <w:rFonts w:hint="eastAsia" w:ascii="宋体" w:hAnsi="宋体" w:cs="宋体"/>
                <w:color w:val="auto"/>
                <w:szCs w:val="21"/>
                <w:highlight w:val="none"/>
              </w:rPr>
              <w:t>评标</w:t>
            </w:r>
            <w:r>
              <w:rPr>
                <w:rFonts w:hint="eastAsia" w:ascii="宋体" w:hAnsi="宋体" w:cs="宋体"/>
                <w:color w:val="auto"/>
                <w:szCs w:val="21"/>
                <w:highlight w:val="none"/>
                <w:lang w:eastAsia="zh-CN"/>
              </w:rPr>
              <w:t>合同单价折扣系数</w:t>
            </w:r>
            <w:r>
              <w:rPr>
                <w:rFonts w:hint="eastAsia" w:ascii="宋体" w:hAnsi="宋体" w:cs="宋体"/>
                <w:color w:val="auto"/>
                <w:szCs w:val="21"/>
                <w:highlight w:val="none"/>
              </w:rPr>
              <w:t>得分</w:t>
            </w:r>
            <w:r>
              <w:rPr>
                <w:rFonts w:hint="eastAsia" w:asciiTheme="minorEastAsia" w:hAnsiTheme="minorEastAsia" w:eastAsiaTheme="minorEastAsia" w:cstheme="minorEastAsia"/>
                <w:color w:val="auto"/>
                <w:highlight w:val="none"/>
              </w:rPr>
              <w:t>＝F＋偏差率×100×0.</w:t>
            </w:r>
            <w:r>
              <w:rPr>
                <w:rFonts w:hint="eastAsia" w:asciiTheme="minorEastAsia" w:hAnsiTheme="minorEastAsia" w:eastAsiaTheme="minorEastAsia" w:cstheme="minorEastAsia"/>
                <w:color w:val="auto"/>
                <w:highlight w:val="none"/>
                <w:lang w:val="en-US" w:eastAsia="zh-CN"/>
              </w:rPr>
              <w:t>5</w:t>
            </w:r>
            <w:r>
              <w:rPr>
                <w:rFonts w:hint="eastAsia" w:asciiTheme="minorEastAsia" w:hAnsiTheme="minorEastAsia" w:eastAsiaTheme="minorEastAsia" w:cstheme="minorEastAsia"/>
                <w:color w:val="auto"/>
                <w:highlight w:val="none"/>
              </w:rPr>
              <w:t>。</w:t>
            </w:r>
          </w:p>
          <w:p w14:paraId="5762580E">
            <w:pPr>
              <w:kinsoku/>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注：F=10，</w:t>
            </w:r>
            <w:r>
              <w:rPr>
                <w:rFonts w:hint="eastAsia" w:ascii="宋体" w:hAnsi="宋体" w:cs="宋体"/>
                <w:color w:val="auto"/>
                <w:szCs w:val="21"/>
                <w:highlight w:val="none"/>
              </w:rPr>
              <w:t>评标</w:t>
            </w:r>
            <w:r>
              <w:rPr>
                <w:rFonts w:hint="eastAsia" w:ascii="宋体" w:hAnsi="宋体" w:cs="宋体"/>
                <w:color w:val="auto"/>
                <w:szCs w:val="21"/>
                <w:highlight w:val="none"/>
                <w:lang w:eastAsia="zh-CN"/>
              </w:rPr>
              <w:t>合同单价折扣系数</w:t>
            </w:r>
            <w:r>
              <w:rPr>
                <w:rFonts w:hint="eastAsia" w:asciiTheme="minorEastAsia" w:hAnsiTheme="minorEastAsia" w:eastAsiaTheme="minorEastAsia" w:cstheme="minorEastAsia"/>
                <w:color w:val="auto"/>
                <w:highlight w:val="none"/>
              </w:rPr>
              <w:t>得分四舍五入至小数点后四位。</w:t>
            </w:r>
          </w:p>
        </w:tc>
      </w:tr>
      <w:tr w14:paraId="74C640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806" w:type="dxa"/>
            <w:vMerge w:val="restart"/>
          </w:tcPr>
          <w:p w14:paraId="222136FB">
            <w:pPr>
              <w:kinsoku/>
              <w:spacing w:line="360" w:lineRule="auto"/>
              <w:rPr>
                <w:rFonts w:hint="eastAsia" w:asciiTheme="minorEastAsia" w:hAnsiTheme="minorEastAsia" w:eastAsiaTheme="minorEastAsia" w:cstheme="minorEastAsia"/>
                <w:color w:val="auto"/>
                <w:highlight w:val="none"/>
              </w:rPr>
            </w:pPr>
          </w:p>
          <w:p w14:paraId="3A8B7D6C">
            <w:pPr>
              <w:kinsoku/>
              <w:spacing w:line="360" w:lineRule="auto"/>
              <w:rPr>
                <w:rFonts w:hint="eastAsia" w:asciiTheme="minorEastAsia" w:hAnsiTheme="minorEastAsia" w:eastAsiaTheme="minorEastAsia" w:cstheme="minorEastAsia"/>
                <w:color w:val="auto"/>
                <w:highlight w:val="none"/>
              </w:rPr>
            </w:pPr>
          </w:p>
          <w:p w14:paraId="0667C9DC">
            <w:pPr>
              <w:kinsoku/>
              <w:spacing w:line="360" w:lineRule="auto"/>
              <w:rPr>
                <w:rFonts w:hint="eastAsia" w:asciiTheme="minorEastAsia" w:hAnsiTheme="minorEastAsia" w:eastAsiaTheme="minorEastAsia" w:cstheme="minorEastAsia"/>
                <w:color w:val="auto"/>
                <w:highlight w:val="none"/>
              </w:rPr>
            </w:pPr>
          </w:p>
          <w:p w14:paraId="6452C107">
            <w:pPr>
              <w:kinsoku/>
              <w:spacing w:line="360" w:lineRule="auto"/>
              <w:rPr>
                <w:rFonts w:hint="eastAsia" w:asciiTheme="minorEastAsia" w:hAnsiTheme="minorEastAsia" w:eastAsiaTheme="minorEastAsia" w:cstheme="minorEastAsia"/>
                <w:color w:val="auto"/>
                <w:highlight w:val="none"/>
              </w:rPr>
            </w:pPr>
          </w:p>
          <w:p w14:paraId="669E1114">
            <w:pPr>
              <w:kinsoku/>
              <w:spacing w:line="360" w:lineRule="auto"/>
              <w:rPr>
                <w:rFonts w:hint="eastAsia" w:asciiTheme="minorEastAsia" w:hAnsiTheme="minorEastAsia" w:eastAsiaTheme="minorEastAsia" w:cstheme="minorEastAsia"/>
                <w:color w:val="auto"/>
                <w:highlight w:val="none"/>
              </w:rPr>
            </w:pPr>
          </w:p>
          <w:p w14:paraId="5963E096">
            <w:pPr>
              <w:kinsoku/>
              <w:spacing w:line="360" w:lineRule="auto"/>
              <w:rPr>
                <w:rFonts w:hint="eastAsia" w:asciiTheme="minorEastAsia" w:hAnsiTheme="minorEastAsia" w:eastAsiaTheme="minorEastAsia" w:cstheme="minorEastAsia"/>
                <w:color w:val="auto"/>
                <w:highlight w:val="none"/>
              </w:rPr>
            </w:pPr>
          </w:p>
          <w:p w14:paraId="2363C055">
            <w:pPr>
              <w:kinsoku/>
              <w:spacing w:line="360" w:lineRule="auto"/>
              <w:rPr>
                <w:rFonts w:hint="eastAsia" w:asciiTheme="minorEastAsia" w:hAnsiTheme="minorEastAsia" w:eastAsiaTheme="minorEastAsia" w:cstheme="minorEastAsia"/>
                <w:color w:val="auto"/>
                <w:highlight w:val="none"/>
              </w:rPr>
            </w:pPr>
          </w:p>
          <w:p w14:paraId="4C5E534E">
            <w:pPr>
              <w:kinsoku/>
              <w:spacing w:line="360" w:lineRule="auto"/>
              <w:rPr>
                <w:rFonts w:hint="eastAsia" w:asciiTheme="minorEastAsia" w:hAnsiTheme="minorEastAsia" w:eastAsiaTheme="minorEastAsia" w:cstheme="minorEastAsia"/>
                <w:color w:val="auto"/>
                <w:highlight w:val="none"/>
              </w:rPr>
            </w:pPr>
          </w:p>
          <w:p w14:paraId="21112B3F">
            <w:pPr>
              <w:kinsoku/>
              <w:spacing w:line="360" w:lineRule="auto"/>
              <w:rPr>
                <w:rFonts w:hint="eastAsia" w:asciiTheme="minorEastAsia" w:hAnsiTheme="minorEastAsia" w:eastAsiaTheme="minorEastAsia" w:cstheme="minorEastAsia"/>
                <w:color w:val="auto"/>
                <w:highlight w:val="none"/>
              </w:rPr>
            </w:pPr>
          </w:p>
          <w:p w14:paraId="354C5F22">
            <w:pPr>
              <w:kinsoku/>
              <w:spacing w:line="360" w:lineRule="auto"/>
              <w:rPr>
                <w:rFonts w:hint="eastAsia" w:asciiTheme="minorEastAsia" w:hAnsiTheme="minorEastAsia" w:eastAsiaTheme="minorEastAsia" w:cstheme="minorEastAsia"/>
                <w:color w:val="auto"/>
                <w:highlight w:val="none"/>
              </w:rPr>
            </w:pPr>
          </w:p>
          <w:p w14:paraId="2F39A528">
            <w:pPr>
              <w:kinsoku/>
              <w:spacing w:line="360" w:lineRule="auto"/>
              <w:rPr>
                <w:rFonts w:hint="eastAsia" w:asciiTheme="minorEastAsia" w:hAnsiTheme="minorEastAsia" w:eastAsiaTheme="minorEastAsia" w:cstheme="minorEastAsia"/>
                <w:color w:val="auto"/>
                <w:highlight w:val="none"/>
              </w:rPr>
            </w:pPr>
          </w:p>
          <w:p w14:paraId="017204AB">
            <w:pPr>
              <w:kinsoku/>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2.2.4 （4）</w:t>
            </w:r>
          </w:p>
        </w:tc>
        <w:tc>
          <w:tcPr>
            <w:tcW w:w="845" w:type="dxa"/>
            <w:gridSpan w:val="3"/>
            <w:vMerge w:val="restart"/>
          </w:tcPr>
          <w:p w14:paraId="68393644">
            <w:pPr>
              <w:kinsoku/>
              <w:spacing w:line="360" w:lineRule="auto"/>
              <w:rPr>
                <w:rFonts w:hint="eastAsia" w:asciiTheme="minorEastAsia" w:hAnsiTheme="minorEastAsia" w:eastAsiaTheme="minorEastAsia" w:cstheme="minorEastAsia"/>
                <w:color w:val="auto"/>
                <w:highlight w:val="none"/>
              </w:rPr>
            </w:pPr>
          </w:p>
          <w:p w14:paraId="3D02C432">
            <w:pPr>
              <w:kinsoku/>
              <w:spacing w:line="360" w:lineRule="auto"/>
              <w:rPr>
                <w:rFonts w:hint="eastAsia" w:asciiTheme="minorEastAsia" w:hAnsiTheme="minorEastAsia" w:eastAsiaTheme="minorEastAsia" w:cstheme="minorEastAsia"/>
                <w:color w:val="auto"/>
                <w:highlight w:val="none"/>
              </w:rPr>
            </w:pPr>
          </w:p>
          <w:p w14:paraId="355F0734">
            <w:pPr>
              <w:kinsoku/>
              <w:spacing w:line="360" w:lineRule="auto"/>
              <w:rPr>
                <w:rFonts w:hint="eastAsia" w:asciiTheme="minorEastAsia" w:hAnsiTheme="minorEastAsia" w:eastAsiaTheme="minorEastAsia" w:cstheme="minorEastAsia"/>
                <w:color w:val="auto"/>
                <w:highlight w:val="none"/>
              </w:rPr>
            </w:pPr>
          </w:p>
          <w:p w14:paraId="1D5F51FA">
            <w:pPr>
              <w:kinsoku/>
              <w:spacing w:line="360" w:lineRule="auto"/>
              <w:rPr>
                <w:rFonts w:hint="eastAsia" w:asciiTheme="minorEastAsia" w:hAnsiTheme="minorEastAsia" w:eastAsiaTheme="minorEastAsia" w:cstheme="minorEastAsia"/>
                <w:color w:val="auto"/>
                <w:highlight w:val="none"/>
              </w:rPr>
            </w:pPr>
          </w:p>
          <w:p w14:paraId="2E1770A9">
            <w:pPr>
              <w:kinsoku/>
              <w:spacing w:line="360" w:lineRule="auto"/>
              <w:rPr>
                <w:rFonts w:hint="eastAsia" w:asciiTheme="minorEastAsia" w:hAnsiTheme="minorEastAsia" w:eastAsiaTheme="minorEastAsia" w:cstheme="minorEastAsia"/>
                <w:color w:val="auto"/>
                <w:highlight w:val="none"/>
              </w:rPr>
            </w:pPr>
          </w:p>
          <w:p w14:paraId="187BDCA1">
            <w:pPr>
              <w:kinsoku/>
              <w:spacing w:line="360" w:lineRule="auto"/>
              <w:rPr>
                <w:rFonts w:hint="eastAsia" w:asciiTheme="minorEastAsia" w:hAnsiTheme="minorEastAsia" w:eastAsiaTheme="minorEastAsia" w:cstheme="minorEastAsia"/>
                <w:color w:val="auto"/>
                <w:highlight w:val="none"/>
              </w:rPr>
            </w:pPr>
          </w:p>
          <w:p w14:paraId="5458DABD">
            <w:pPr>
              <w:kinsoku/>
              <w:spacing w:line="360" w:lineRule="auto"/>
              <w:rPr>
                <w:rFonts w:hint="eastAsia" w:asciiTheme="minorEastAsia" w:hAnsiTheme="minorEastAsia" w:eastAsiaTheme="minorEastAsia" w:cstheme="minorEastAsia"/>
                <w:color w:val="auto"/>
                <w:highlight w:val="none"/>
              </w:rPr>
            </w:pPr>
          </w:p>
          <w:p w14:paraId="530DB4B4">
            <w:pPr>
              <w:kinsoku/>
              <w:spacing w:line="360" w:lineRule="auto"/>
              <w:rPr>
                <w:rFonts w:hint="eastAsia" w:asciiTheme="minorEastAsia" w:hAnsiTheme="minorEastAsia" w:eastAsiaTheme="minorEastAsia" w:cstheme="minorEastAsia"/>
                <w:color w:val="auto"/>
                <w:highlight w:val="none"/>
              </w:rPr>
            </w:pPr>
          </w:p>
          <w:p w14:paraId="7DFCC0DD">
            <w:pPr>
              <w:kinsoku/>
              <w:spacing w:line="360" w:lineRule="auto"/>
              <w:rPr>
                <w:rFonts w:hint="eastAsia" w:asciiTheme="minorEastAsia" w:hAnsiTheme="minorEastAsia" w:eastAsiaTheme="minorEastAsia" w:cstheme="minorEastAsia"/>
                <w:color w:val="auto"/>
                <w:highlight w:val="none"/>
              </w:rPr>
            </w:pPr>
          </w:p>
          <w:p w14:paraId="2A92EF30">
            <w:pPr>
              <w:kinsoku/>
              <w:spacing w:line="360" w:lineRule="auto"/>
              <w:rPr>
                <w:rFonts w:hint="eastAsia" w:asciiTheme="minorEastAsia" w:hAnsiTheme="minorEastAsia" w:eastAsiaTheme="minorEastAsia" w:cstheme="minorEastAsia"/>
                <w:color w:val="auto"/>
                <w:highlight w:val="none"/>
              </w:rPr>
            </w:pPr>
          </w:p>
          <w:p w14:paraId="5F4962C3">
            <w:pPr>
              <w:kinsoku/>
              <w:spacing w:line="360" w:lineRule="auto"/>
              <w:rPr>
                <w:rFonts w:hint="eastAsia" w:asciiTheme="minorEastAsia" w:hAnsiTheme="minorEastAsia" w:eastAsiaTheme="minorEastAsia" w:cstheme="minorEastAsia"/>
                <w:color w:val="auto"/>
                <w:highlight w:val="none"/>
              </w:rPr>
            </w:pPr>
          </w:p>
          <w:p w14:paraId="79AFC5A1">
            <w:pPr>
              <w:kinsoku/>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其他</w:t>
            </w:r>
          </w:p>
          <w:p w14:paraId="7E6390AA">
            <w:pPr>
              <w:kinsoku/>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因素</w:t>
            </w:r>
          </w:p>
        </w:tc>
        <w:tc>
          <w:tcPr>
            <w:tcW w:w="714" w:type="dxa"/>
            <w:vAlign w:val="center"/>
          </w:tcPr>
          <w:p w14:paraId="466FAB94">
            <w:pPr>
              <w:kinsoku/>
              <w:spacing w:line="360" w:lineRule="auto"/>
              <w:jc w:val="center"/>
              <w:rPr>
                <w:rFonts w:hint="eastAsia" w:asciiTheme="minorEastAsia" w:hAnsiTheme="minorEastAsia" w:eastAsiaTheme="minorEastAsia" w:cstheme="minorEastAsia"/>
                <w:color w:val="auto"/>
                <w:highlight w:val="none"/>
              </w:rPr>
            </w:pPr>
            <w:r>
              <w:rPr>
                <w:rFonts w:hint="eastAsia" w:ascii="宋体" w:hAnsi="宋体" w:cs="宋体"/>
                <w:color w:val="auto"/>
                <w:highlight w:val="none"/>
              </w:rPr>
              <w:t>技术能力</w:t>
            </w:r>
          </w:p>
        </w:tc>
        <w:tc>
          <w:tcPr>
            <w:tcW w:w="765" w:type="dxa"/>
            <w:gridSpan w:val="2"/>
            <w:vAlign w:val="center"/>
          </w:tcPr>
          <w:p w14:paraId="55731FDC">
            <w:pPr>
              <w:kinsoku/>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 分</w:t>
            </w:r>
          </w:p>
        </w:tc>
        <w:tc>
          <w:tcPr>
            <w:tcW w:w="5615" w:type="dxa"/>
            <w:gridSpan w:val="3"/>
          </w:tcPr>
          <w:p w14:paraId="5B901223">
            <w:pPr>
              <w:kinsoku/>
              <w:spacing w:line="312" w:lineRule="auto"/>
              <w:rPr>
                <w:color w:val="auto"/>
                <w:highlight w:val="none"/>
              </w:rPr>
            </w:pPr>
            <w:r>
              <w:rPr>
                <w:rFonts w:hint="eastAsia"/>
                <w:color w:val="auto"/>
                <w:highlight w:val="none"/>
              </w:rPr>
              <w:t>截止至投标文件递交截止日，在公路水运工程质量检测管理信息系统(https://www.ttiis.cn/)试验检测机构查询的投标人的“比对试验“中，评价结果获“不满意”、“基本满意”的合计次数小于等于1次，且获“满意"的次数：</w:t>
            </w:r>
          </w:p>
          <w:p w14:paraId="692FF1BC">
            <w:pPr>
              <w:kinsoku/>
              <w:spacing w:line="312" w:lineRule="auto"/>
              <w:rPr>
                <w:color w:val="auto"/>
                <w:highlight w:val="none"/>
              </w:rPr>
            </w:pPr>
            <w:r>
              <w:rPr>
                <w:rFonts w:hint="eastAsia"/>
                <w:color w:val="auto"/>
                <w:highlight w:val="none"/>
              </w:rPr>
              <w:t>①大于等于25次的，得5分:</w:t>
            </w:r>
          </w:p>
          <w:p w14:paraId="1EABDE66">
            <w:pPr>
              <w:kinsoku/>
              <w:spacing w:line="312" w:lineRule="auto"/>
              <w:rPr>
                <w:color w:val="auto"/>
                <w:highlight w:val="none"/>
              </w:rPr>
            </w:pPr>
            <w:r>
              <w:rPr>
                <w:rFonts w:hint="eastAsia"/>
                <w:color w:val="auto"/>
                <w:highlight w:val="none"/>
              </w:rPr>
              <w:t>②小于25次且大于等于20次的，得3分:</w:t>
            </w:r>
          </w:p>
          <w:p w14:paraId="7FB0E6D9">
            <w:pPr>
              <w:kinsoku/>
              <w:spacing w:line="312" w:lineRule="auto"/>
              <w:rPr>
                <w:color w:val="auto"/>
                <w:highlight w:val="none"/>
              </w:rPr>
            </w:pPr>
            <w:r>
              <w:rPr>
                <w:rFonts w:hint="eastAsia" w:ascii="宋体" w:hAnsi="宋体" w:eastAsia="宋体" w:cs="宋体"/>
                <w:color w:val="auto"/>
                <w:highlight w:val="none"/>
              </w:rPr>
              <w:t>③</w:t>
            </w:r>
            <w:r>
              <w:rPr>
                <w:rFonts w:hint="eastAsia"/>
                <w:color w:val="auto"/>
                <w:highlight w:val="none"/>
              </w:rPr>
              <w:t>小于20次的，得0分</w:t>
            </w:r>
          </w:p>
          <w:p w14:paraId="179C3DEF">
            <w:pPr>
              <w:kinsoku/>
              <w:spacing w:line="312" w:lineRule="auto"/>
              <w:rPr>
                <w:rFonts w:hint="eastAsia" w:asciiTheme="minorEastAsia" w:hAnsiTheme="minorEastAsia" w:eastAsiaTheme="minorEastAsia" w:cstheme="minorEastAsia"/>
                <w:color w:val="auto"/>
                <w:highlight w:val="none"/>
              </w:rPr>
            </w:pPr>
            <w:r>
              <w:rPr>
                <w:rFonts w:hint="eastAsia"/>
                <w:color w:val="auto"/>
                <w:highlight w:val="none"/>
              </w:rPr>
              <w:t>注:本项内容须提供公路水运工程质量检测管理信息系统(https://www.ttiis.cn/)相关网页截图。只计算评价结果为“不满意”、“基本满意"、"满意”的比对试验项目，其他评价结果的比对试验项目不参与计算。</w:t>
            </w:r>
          </w:p>
        </w:tc>
      </w:tr>
      <w:tr w14:paraId="40B8C6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0" w:hRule="atLeast"/>
        </w:trPr>
        <w:tc>
          <w:tcPr>
            <w:tcW w:w="806" w:type="dxa"/>
            <w:vMerge w:val="continue"/>
          </w:tcPr>
          <w:p w14:paraId="3B9B7180">
            <w:pPr>
              <w:kinsoku/>
              <w:spacing w:line="360" w:lineRule="auto"/>
              <w:rPr>
                <w:rFonts w:hint="eastAsia" w:asciiTheme="minorEastAsia" w:hAnsiTheme="minorEastAsia" w:eastAsiaTheme="minorEastAsia" w:cstheme="minorEastAsia"/>
                <w:color w:val="auto"/>
                <w:highlight w:val="none"/>
              </w:rPr>
            </w:pPr>
          </w:p>
        </w:tc>
        <w:tc>
          <w:tcPr>
            <w:tcW w:w="845" w:type="dxa"/>
            <w:gridSpan w:val="3"/>
            <w:vMerge w:val="continue"/>
          </w:tcPr>
          <w:p w14:paraId="32442A56">
            <w:pPr>
              <w:kinsoku/>
              <w:spacing w:line="360" w:lineRule="auto"/>
              <w:rPr>
                <w:rFonts w:hint="eastAsia" w:asciiTheme="minorEastAsia" w:hAnsiTheme="minorEastAsia" w:eastAsiaTheme="minorEastAsia" w:cstheme="minorEastAsia"/>
                <w:color w:val="auto"/>
                <w:highlight w:val="none"/>
              </w:rPr>
            </w:pPr>
          </w:p>
        </w:tc>
        <w:tc>
          <w:tcPr>
            <w:tcW w:w="714" w:type="dxa"/>
            <w:vAlign w:val="center"/>
          </w:tcPr>
          <w:p w14:paraId="50D2AC7E">
            <w:pPr>
              <w:kinsoku/>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主要</w:t>
            </w:r>
          </w:p>
          <w:p w14:paraId="15D1F517">
            <w:pPr>
              <w:kinsoku/>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业绩</w:t>
            </w:r>
          </w:p>
        </w:tc>
        <w:tc>
          <w:tcPr>
            <w:tcW w:w="765" w:type="dxa"/>
            <w:gridSpan w:val="2"/>
            <w:vAlign w:val="center"/>
          </w:tcPr>
          <w:p w14:paraId="278EEC80">
            <w:pPr>
              <w:kinsoku/>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25 分</w:t>
            </w:r>
          </w:p>
        </w:tc>
        <w:tc>
          <w:tcPr>
            <w:tcW w:w="5615" w:type="dxa"/>
            <w:gridSpan w:val="3"/>
          </w:tcPr>
          <w:p w14:paraId="4D9893C3">
            <w:pPr>
              <w:kinsoku/>
              <w:spacing w:line="312" w:lineRule="auto"/>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 xml:space="preserve">满足资格审查条件（业绩最低要求），得基本分15分；在此基础上，近5年内：      </w:t>
            </w:r>
          </w:p>
          <w:p w14:paraId="1826563B">
            <w:pPr>
              <w:kinsoku/>
              <w:spacing w:line="312" w:lineRule="auto"/>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1、每增加1座高速公路特大桥（主跨≥150m）结构健康监测（或安全监测或安全集群监测或安全智能监测或自动化监测）业绩，加0.5分，最多加2.5分；</w:t>
            </w:r>
          </w:p>
          <w:p w14:paraId="12EA3DCE">
            <w:pPr>
              <w:kinsoku/>
              <w:spacing w:line="312" w:lineRule="auto"/>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2、每增加1个高速公路边坡结构健康监测（或安全监测或安全集群监测或安全智能监测或自动化监测）合同业绩，加0.5分，最多加2.5分；</w:t>
            </w:r>
          </w:p>
          <w:p w14:paraId="4E0F8617">
            <w:pPr>
              <w:kinsoku/>
              <w:spacing w:line="312" w:lineRule="auto"/>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3、每增加1座高速公路的特长隧道（单洞长度≥3000m）结构健康监测（或安全监测或安全集群监测或安全智能监测或自动化监测）业绩，加0.5分，最多加3分；</w:t>
            </w:r>
          </w:p>
          <w:p w14:paraId="7B1D509A">
            <w:pPr>
              <w:kinsoku/>
              <w:spacing w:line="312" w:lineRule="auto"/>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4、每增加1个高速公路灾害</w:t>
            </w:r>
            <w:r>
              <w:rPr>
                <w:rFonts w:hint="eastAsia" w:asciiTheme="minorEastAsia" w:hAnsiTheme="minorEastAsia" w:eastAsiaTheme="minorEastAsia" w:cstheme="minorEastAsia"/>
                <w:color w:val="auto"/>
                <w:highlight w:val="none"/>
                <w:lang w:val="en-US" w:eastAsia="zh-CN"/>
              </w:rPr>
              <w:t>监测预警（含高速公路基础设施崩塌或垮塌或滑坡或泥石流或沉陷与塌陷或水毁等灾害监测预警工作内容）合同</w:t>
            </w:r>
            <w:r>
              <w:rPr>
                <w:rFonts w:hint="eastAsia" w:asciiTheme="minorEastAsia" w:hAnsiTheme="minorEastAsia" w:eastAsiaTheme="minorEastAsia" w:cstheme="minorEastAsia"/>
                <w:color w:val="auto"/>
                <w:highlight w:val="none"/>
                <w:lang w:eastAsia="zh-CN"/>
              </w:rPr>
              <w:t>业绩，加0.5分，最多加2分。</w:t>
            </w:r>
          </w:p>
          <w:p w14:paraId="6420F4FB">
            <w:pPr>
              <w:kinsoku/>
              <w:spacing w:line="312" w:lineRule="auto"/>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注：</w:t>
            </w:r>
            <w:r>
              <w:rPr>
                <w:rFonts w:hint="eastAsia" w:asciiTheme="minorEastAsia" w:hAnsiTheme="minorEastAsia" w:eastAsiaTheme="minorEastAsia" w:cstheme="minorEastAsia"/>
                <w:color w:val="auto"/>
                <w:highlight w:val="none"/>
                <w:lang w:val="en-US" w:eastAsia="zh-CN"/>
              </w:rPr>
              <w:t>1、</w:t>
            </w:r>
            <w:r>
              <w:rPr>
                <w:rFonts w:hint="eastAsia" w:asciiTheme="minorEastAsia" w:hAnsiTheme="minorEastAsia" w:eastAsiaTheme="minorEastAsia" w:cstheme="minorEastAsia"/>
                <w:color w:val="auto"/>
                <w:highlight w:val="none"/>
                <w:lang w:eastAsia="zh-CN"/>
              </w:rPr>
              <w:t>资格审查业绩不参与加分项评审；</w:t>
            </w:r>
            <w:r>
              <w:rPr>
                <w:rFonts w:hint="eastAsia" w:asciiTheme="minorEastAsia" w:hAnsiTheme="minorEastAsia" w:eastAsiaTheme="minorEastAsia" w:cstheme="minorEastAsia"/>
                <w:color w:val="auto"/>
                <w:highlight w:val="none"/>
                <w:lang w:eastAsia="zh-CN"/>
              </w:rPr>
              <w:br w:type="textWrapping"/>
            </w:r>
            <w:r>
              <w:rPr>
                <w:rFonts w:hint="eastAsia" w:asciiTheme="minorEastAsia" w:hAnsiTheme="minorEastAsia" w:eastAsiaTheme="minorEastAsia" w:cstheme="minorEastAsia"/>
                <w:color w:val="auto"/>
                <w:highlight w:val="none"/>
                <w:lang w:val="en-US" w:eastAsia="zh-CN"/>
              </w:rPr>
              <w:t>2、同一合同业绩</w:t>
            </w:r>
            <w:r>
              <w:rPr>
                <w:rFonts w:hint="eastAsia" w:asciiTheme="minorEastAsia" w:hAnsiTheme="minorEastAsia" w:eastAsiaTheme="minorEastAsia" w:cstheme="minorEastAsia"/>
                <w:color w:val="auto"/>
                <w:highlight w:val="none"/>
                <w:lang w:eastAsia="zh-CN"/>
              </w:rPr>
              <w:t>包含多项监测内容或多座桥梁（隧道）的</w:t>
            </w:r>
            <w:r>
              <w:rPr>
                <w:rFonts w:hint="eastAsia" w:asciiTheme="minorEastAsia" w:hAnsiTheme="minorEastAsia" w:eastAsiaTheme="minorEastAsia" w:cstheme="minorEastAsia"/>
                <w:color w:val="auto"/>
                <w:highlight w:val="none"/>
                <w:lang w:val="en-US" w:eastAsia="zh-CN"/>
              </w:rPr>
              <w:t>，可分别予以认定加分。</w:t>
            </w:r>
            <w:r>
              <w:rPr>
                <w:rFonts w:hint="eastAsia" w:asciiTheme="minorEastAsia" w:hAnsiTheme="minorEastAsia" w:eastAsiaTheme="minorEastAsia" w:cstheme="minorEastAsia"/>
                <w:color w:val="auto"/>
                <w:highlight w:val="none"/>
                <w:lang w:val="en-US" w:eastAsia="zh-CN"/>
              </w:rPr>
              <w:br w:type="textWrapping"/>
            </w:r>
          </w:p>
        </w:tc>
      </w:tr>
      <w:tr w14:paraId="1F3D92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9" w:hRule="atLeast"/>
        </w:trPr>
        <w:tc>
          <w:tcPr>
            <w:tcW w:w="806" w:type="dxa"/>
            <w:vMerge w:val="continue"/>
          </w:tcPr>
          <w:p w14:paraId="6FBF0EDC">
            <w:pPr>
              <w:kinsoku/>
              <w:spacing w:line="360" w:lineRule="auto"/>
              <w:rPr>
                <w:rFonts w:hint="eastAsia" w:asciiTheme="minorEastAsia" w:hAnsiTheme="minorEastAsia" w:eastAsiaTheme="minorEastAsia" w:cstheme="minorEastAsia"/>
                <w:color w:val="auto"/>
                <w:highlight w:val="none"/>
              </w:rPr>
            </w:pPr>
          </w:p>
        </w:tc>
        <w:tc>
          <w:tcPr>
            <w:tcW w:w="845" w:type="dxa"/>
            <w:gridSpan w:val="3"/>
            <w:vMerge w:val="continue"/>
          </w:tcPr>
          <w:p w14:paraId="73380B94">
            <w:pPr>
              <w:kinsoku/>
              <w:spacing w:line="360" w:lineRule="auto"/>
              <w:rPr>
                <w:rFonts w:hint="eastAsia" w:asciiTheme="minorEastAsia" w:hAnsiTheme="minorEastAsia" w:eastAsiaTheme="minorEastAsia" w:cstheme="minorEastAsia"/>
                <w:color w:val="auto"/>
                <w:highlight w:val="none"/>
              </w:rPr>
            </w:pPr>
          </w:p>
        </w:tc>
        <w:tc>
          <w:tcPr>
            <w:tcW w:w="714" w:type="dxa"/>
            <w:vAlign w:val="center"/>
          </w:tcPr>
          <w:p w14:paraId="7C0D7AAD">
            <w:pPr>
              <w:kinsoku/>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履约</w:t>
            </w:r>
          </w:p>
          <w:p w14:paraId="3183F4B7">
            <w:pPr>
              <w:kinsoku/>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信誉</w:t>
            </w:r>
          </w:p>
        </w:tc>
        <w:tc>
          <w:tcPr>
            <w:tcW w:w="765" w:type="dxa"/>
            <w:gridSpan w:val="2"/>
            <w:shd w:val="clear" w:color="auto" w:fill="auto"/>
            <w:vAlign w:val="center"/>
          </w:tcPr>
          <w:p w14:paraId="3CC21954">
            <w:pPr>
              <w:kinsoku/>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10 分</w:t>
            </w:r>
          </w:p>
        </w:tc>
        <w:tc>
          <w:tcPr>
            <w:tcW w:w="5615" w:type="dxa"/>
            <w:gridSpan w:val="3"/>
            <w:shd w:val="clear" w:color="auto" w:fill="auto"/>
          </w:tcPr>
          <w:p w14:paraId="7C8A4749">
            <w:pPr>
              <w:kinsoku/>
              <w:autoSpaceDE/>
              <w:autoSpaceDN/>
              <w:spacing w:line="312" w:lineRule="auto"/>
              <w:ind w:firstLine="210" w:firstLineChars="1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1.信用等级分值（5分）</w:t>
            </w:r>
          </w:p>
          <w:p w14:paraId="24B8AA41">
            <w:pPr>
              <w:kinsoku/>
              <w:autoSpaceDE/>
              <w:autoSpaceDN/>
              <w:spacing w:line="312" w:lineRule="auto"/>
              <w:ind w:firstLine="210" w:firstLineChars="1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AA、A、B、C 级单位的信用等级分得分分别为5.00、4.75、4.45、3.65分。</w:t>
            </w:r>
          </w:p>
          <w:p w14:paraId="6177AC97">
            <w:pPr>
              <w:kinsoku/>
              <w:autoSpaceDE/>
              <w:autoSpaceDN/>
              <w:spacing w:line="312" w:lineRule="auto"/>
              <w:ind w:left="210" w:leftChars="100" w:firstLine="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注</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rPr>
              <w:t>信用等级的确定原则遵循投标人须知前附表 10.2款的规定。</w:t>
            </w:r>
          </w:p>
          <w:p w14:paraId="748576EA">
            <w:pPr>
              <w:kinsoku/>
              <w:autoSpaceDE/>
              <w:autoSpaceDN/>
              <w:spacing w:line="312" w:lineRule="auto"/>
              <w:ind w:firstLine="210" w:firstLineChars="1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2.履约情况（5分）</w:t>
            </w:r>
          </w:p>
          <w:p w14:paraId="7593A6E6">
            <w:pPr>
              <w:kinsoku/>
              <w:autoSpaceDE/>
              <w:autoSpaceDN/>
              <w:spacing w:line="312" w:lineRule="auto"/>
              <w:ind w:firstLine="210" w:firstLineChars="1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若没出现下述情形得满分；</w:t>
            </w:r>
          </w:p>
          <w:p w14:paraId="11333432">
            <w:pPr>
              <w:kinsoku/>
              <w:autoSpaceDE/>
              <w:autoSpaceDN/>
              <w:spacing w:line="312" w:lineRule="auto"/>
              <w:ind w:firstLine="210" w:firstLineChars="1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投标文件递交截止日前1年内，投标人因公路工程</w:t>
            </w:r>
            <w:r>
              <w:rPr>
                <w:rFonts w:hint="eastAsia" w:asciiTheme="minorEastAsia" w:hAnsiTheme="minorEastAsia" w:eastAsiaTheme="minorEastAsia" w:cstheme="minorEastAsia"/>
                <w:color w:val="auto"/>
                <w:highlight w:val="none"/>
                <w:lang w:val="en-US" w:eastAsia="zh-CN"/>
              </w:rPr>
              <w:t>检测</w:t>
            </w:r>
            <w:r>
              <w:rPr>
                <w:rFonts w:hint="eastAsia" w:asciiTheme="minorEastAsia" w:hAnsiTheme="minorEastAsia" w:eastAsiaTheme="minorEastAsia" w:cstheme="minorEastAsia"/>
                <w:color w:val="auto"/>
                <w:highlight w:val="none"/>
              </w:rPr>
              <w:t>质量、安全、履约或招标投标问题等原因被：</w:t>
            </w:r>
          </w:p>
          <w:p w14:paraId="173EB557">
            <w:pPr>
              <w:kinsoku/>
              <w:autoSpaceDE/>
              <w:autoSpaceDN/>
              <w:spacing w:line="312"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（1）交通运输部行政处罚的，扣5分/次。</w:t>
            </w:r>
          </w:p>
          <w:p w14:paraId="7C08048E">
            <w:pPr>
              <w:kinsoku/>
              <w:autoSpaceDE/>
              <w:autoSpaceDN/>
              <w:spacing w:line="312"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（2）广东省交通运输厅行政处罚的，扣3分/次。</w:t>
            </w:r>
          </w:p>
          <w:p w14:paraId="3C595E78">
            <w:pPr>
              <w:kinsoku/>
              <w:autoSpaceDE/>
              <w:autoSpaceDN/>
              <w:spacing w:line="312"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（3）广东省交通运输厅正式约谈的，扣0.1分/次。</w:t>
            </w:r>
          </w:p>
          <w:p w14:paraId="35C366D8">
            <w:pPr>
              <w:kinsoku/>
              <w:autoSpaceDE/>
              <w:autoSpaceDN/>
              <w:spacing w:line="312" w:lineRule="auto"/>
              <w:ind w:left="210" w:leftChars="100" w:firstLine="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注：同一事项同时被多个部门行政处罚或正式约谈只按最高的扣分计算1次。如果扣完本项分值，可以从总分中扣。</w:t>
            </w:r>
          </w:p>
        </w:tc>
      </w:tr>
    </w:tbl>
    <w:p w14:paraId="5C640581">
      <w:pPr>
        <w:kinsoku/>
        <w:spacing w:before="42" w:line="225" w:lineRule="auto"/>
        <w:ind w:firstLine="130"/>
        <w:rPr>
          <w:rFonts w:hint="eastAsia" w:ascii="宋体" w:hAnsi="宋体" w:eastAsia="宋体" w:cs="宋体"/>
          <w:color w:val="auto"/>
          <w:spacing w:val="7"/>
          <w:sz w:val="23"/>
          <w:szCs w:val="23"/>
          <w:highlight w:val="none"/>
          <w14:textOutline w14:w="4356" w14:cap="sq" w14:cmpd="sng" w14:algn="ctr">
            <w14:solidFill>
              <w14:srgbClr w14:val="000000"/>
            </w14:solidFill>
            <w14:prstDash w14:val="solid"/>
            <w14:bevel/>
          </w14:textOutline>
        </w:rPr>
      </w:pPr>
      <w:r>
        <w:rPr>
          <w:rFonts w:ascii="宋体" w:hAnsi="宋体" w:eastAsia="宋体" w:cs="宋体"/>
          <w:color w:val="auto"/>
          <w:spacing w:val="7"/>
          <w:sz w:val="23"/>
          <w:szCs w:val="23"/>
          <w:highlight w:val="none"/>
          <w14:textOutline w14:w="4356" w14:cap="sq" w14:cmpd="sng" w14:algn="ctr">
            <w14:solidFill>
              <w14:srgbClr w14:val="000000"/>
            </w14:solidFill>
            <w14:prstDash w14:val="solid"/>
            <w14:bevel/>
          </w14:textOutline>
        </w:rPr>
        <w:br w:type="page"/>
      </w:r>
    </w:p>
    <w:tbl>
      <w:tblPr>
        <w:tblStyle w:val="6"/>
        <w:tblW w:w="8501" w:type="dxa"/>
        <w:tblInd w:w="1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90"/>
        <w:gridCol w:w="7611"/>
      </w:tblGrid>
      <w:tr w14:paraId="5542B1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8501" w:type="dxa"/>
            <w:gridSpan w:val="2"/>
          </w:tcPr>
          <w:p w14:paraId="42DF164A">
            <w:pPr>
              <w:kinsoku/>
              <w:spacing w:before="42" w:line="225" w:lineRule="auto"/>
              <w:ind w:firstLine="130"/>
              <w:rPr>
                <w:rFonts w:hint="eastAsia" w:ascii="宋体" w:hAnsi="宋体" w:eastAsia="宋体" w:cs="宋体"/>
                <w:color w:val="auto"/>
                <w:sz w:val="23"/>
                <w:szCs w:val="23"/>
                <w:highlight w:val="none"/>
              </w:rPr>
            </w:pPr>
            <w:r>
              <w:rPr>
                <w:rFonts w:ascii="宋体" w:hAnsi="宋体" w:eastAsia="宋体" w:cs="宋体"/>
                <w:color w:val="auto"/>
                <w:spacing w:val="7"/>
                <w:sz w:val="23"/>
                <w:szCs w:val="23"/>
                <w:highlight w:val="none"/>
                <w14:textOutline w14:w="4356" w14:cap="sq" w14:cmpd="sng" w14:algn="ctr">
                  <w14:solidFill>
                    <w14:srgbClr w14:val="000000"/>
                  </w14:solidFill>
                  <w14:prstDash w14:val="solid"/>
                  <w14:bevel/>
                </w14:textOutline>
              </w:rPr>
              <w:t>需要补充的其他内容：</w:t>
            </w:r>
          </w:p>
        </w:tc>
      </w:tr>
      <w:tr w14:paraId="557ABB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1" w:hRule="atLeast"/>
        </w:trPr>
        <w:tc>
          <w:tcPr>
            <w:tcW w:w="890" w:type="dxa"/>
          </w:tcPr>
          <w:p w14:paraId="288E621B">
            <w:pPr>
              <w:kinsoku/>
              <w:spacing w:before="34" w:line="358" w:lineRule="exact"/>
              <w:ind w:firstLine="213"/>
              <w:rPr>
                <w:rFonts w:hint="eastAsia" w:ascii="宋体" w:hAnsi="宋体" w:eastAsia="宋体" w:cs="宋体"/>
                <w:color w:val="auto"/>
                <w:sz w:val="23"/>
                <w:szCs w:val="23"/>
                <w:highlight w:val="none"/>
              </w:rPr>
            </w:pPr>
            <w:r>
              <w:rPr>
                <w:rFonts w:ascii="宋体" w:hAnsi="宋体" w:eastAsia="宋体" w:cs="宋体"/>
                <w:color w:val="auto"/>
                <w:spacing w:val="4"/>
                <w:position w:val="8"/>
                <w:sz w:val="23"/>
                <w:szCs w:val="23"/>
                <w:highlight w:val="none"/>
                <w14:textOutline w14:w="4356" w14:cap="sq" w14:cmpd="sng" w14:algn="ctr">
                  <w14:solidFill>
                    <w14:srgbClr w14:val="000000"/>
                  </w14:solidFill>
                  <w14:prstDash w14:val="solid"/>
                  <w14:bevel/>
                </w14:textOutline>
              </w:rPr>
              <w:t>条款</w:t>
            </w:r>
          </w:p>
          <w:p w14:paraId="30F247C9">
            <w:pPr>
              <w:kinsoku/>
              <w:spacing w:line="228" w:lineRule="auto"/>
              <w:ind w:firstLine="336"/>
              <w:rPr>
                <w:rFonts w:hint="eastAsia" w:ascii="宋体" w:hAnsi="宋体" w:eastAsia="宋体" w:cs="宋体"/>
                <w:color w:val="auto"/>
                <w:sz w:val="23"/>
                <w:szCs w:val="23"/>
                <w:highlight w:val="none"/>
              </w:rPr>
            </w:pPr>
            <w:r>
              <w:rPr>
                <w:rFonts w:ascii="宋体" w:hAnsi="宋体" w:eastAsia="宋体" w:cs="宋体"/>
                <w:color w:val="auto"/>
                <w:sz w:val="23"/>
                <w:szCs w:val="23"/>
                <w:highlight w:val="none"/>
                <w14:textOutline w14:w="4356" w14:cap="sq" w14:cmpd="sng" w14:algn="ctr">
                  <w14:solidFill>
                    <w14:srgbClr w14:val="000000"/>
                  </w14:solidFill>
                  <w14:prstDash w14:val="solid"/>
                  <w14:bevel/>
                </w14:textOutline>
              </w:rPr>
              <w:t>号</w:t>
            </w:r>
          </w:p>
        </w:tc>
        <w:tc>
          <w:tcPr>
            <w:tcW w:w="7611" w:type="dxa"/>
          </w:tcPr>
          <w:p w14:paraId="42D4D0E7">
            <w:pPr>
              <w:kinsoku/>
              <w:spacing w:before="215" w:line="227" w:lineRule="auto"/>
              <w:ind w:firstLine="2849"/>
              <w:rPr>
                <w:rFonts w:hint="eastAsia" w:ascii="宋体" w:hAnsi="宋体" w:eastAsia="宋体" w:cs="宋体"/>
                <w:color w:val="auto"/>
                <w:sz w:val="23"/>
                <w:szCs w:val="23"/>
                <w:highlight w:val="none"/>
              </w:rPr>
            </w:pPr>
            <w:r>
              <w:rPr>
                <w:rFonts w:ascii="宋体" w:hAnsi="宋体" w:eastAsia="宋体" w:cs="宋体"/>
                <w:color w:val="auto"/>
                <w:spacing w:val="9"/>
                <w:sz w:val="23"/>
                <w:szCs w:val="23"/>
                <w:highlight w:val="none"/>
                <w14:textOutline w14:w="4356" w14:cap="sq" w14:cmpd="sng" w14:algn="ctr">
                  <w14:solidFill>
                    <w14:srgbClr w14:val="000000"/>
                  </w14:solidFill>
                  <w14:prstDash w14:val="solid"/>
                  <w14:bevel/>
                </w14:textOutline>
              </w:rPr>
              <w:t>补充或修改的内容</w:t>
            </w:r>
          </w:p>
        </w:tc>
      </w:tr>
      <w:tr w14:paraId="0810D9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7" w:hRule="atLeast"/>
        </w:trPr>
        <w:tc>
          <w:tcPr>
            <w:tcW w:w="890" w:type="dxa"/>
          </w:tcPr>
          <w:p w14:paraId="70C1C49E">
            <w:pPr>
              <w:kinsoku/>
              <w:spacing w:line="360" w:lineRule="auto"/>
              <w:rPr>
                <w:rFonts w:hint="eastAsia" w:asciiTheme="minorEastAsia" w:hAnsiTheme="minorEastAsia" w:eastAsiaTheme="minorEastAsia" w:cstheme="minorEastAsia"/>
                <w:color w:val="auto"/>
                <w:sz w:val="24"/>
                <w:szCs w:val="24"/>
                <w:highlight w:val="none"/>
              </w:rPr>
            </w:pPr>
          </w:p>
          <w:p w14:paraId="790BE1BF">
            <w:pPr>
              <w:kinsoku/>
              <w:spacing w:line="360" w:lineRule="auto"/>
              <w:rPr>
                <w:rFonts w:hint="eastAsia" w:asciiTheme="minorEastAsia" w:hAnsiTheme="minorEastAsia" w:eastAsiaTheme="minorEastAsia" w:cstheme="minorEastAsia"/>
                <w:color w:val="auto"/>
                <w:sz w:val="24"/>
                <w:szCs w:val="24"/>
                <w:highlight w:val="none"/>
              </w:rPr>
            </w:pPr>
          </w:p>
          <w:p w14:paraId="63D7541D">
            <w:pPr>
              <w:kinsoku/>
              <w:spacing w:line="360" w:lineRule="auto"/>
              <w:rPr>
                <w:rFonts w:hint="eastAsia" w:asciiTheme="minorEastAsia" w:hAnsiTheme="minorEastAsia" w:eastAsiaTheme="minorEastAsia" w:cstheme="minorEastAsia"/>
                <w:color w:val="auto"/>
                <w:sz w:val="24"/>
                <w:szCs w:val="24"/>
                <w:highlight w:val="none"/>
              </w:rPr>
            </w:pPr>
          </w:p>
          <w:p w14:paraId="26D49712">
            <w:pPr>
              <w:kinsoku/>
              <w:spacing w:line="360" w:lineRule="auto"/>
              <w:rPr>
                <w:rFonts w:hint="eastAsia" w:asciiTheme="minorEastAsia" w:hAnsiTheme="minorEastAsia" w:eastAsiaTheme="minorEastAsia" w:cstheme="minorEastAsia"/>
                <w:color w:val="auto"/>
                <w:sz w:val="24"/>
                <w:szCs w:val="24"/>
                <w:highlight w:val="none"/>
              </w:rPr>
            </w:pPr>
          </w:p>
          <w:p w14:paraId="58EFD574">
            <w:pPr>
              <w:kinsoku/>
              <w:spacing w:line="360" w:lineRule="auto"/>
              <w:rPr>
                <w:rFonts w:hint="eastAsia" w:asciiTheme="minorEastAsia" w:hAnsiTheme="minorEastAsia" w:eastAsiaTheme="minorEastAsia" w:cstheme="minorEastAsia"/>
                <w:color w:val="auto"/>
                <w:sz w:val="24"/>
                <w:szCs w:val="24"/>
                <w:highlight w:val="none"/>
              </w:rPr>
            </w:pPr>
          </w:p>
          <w:p w14:paraId="19919DF4">
            <w:pPr>
              <w:kinsoku/>
              <w:spacing w:line="360" w:lineRule="auto"/>
              <w:rPr>
                <w:rFonts w:hint="eastAsia" w:asciiTheme="minorEastAsia" w:hAnsiTheme="minorEastAsia" w:eastAsiaTheme="minorEastAsia" w:cstheme="minorEastAsia"/>
                <w:color w:val="auto"/>
                <w:sz w:val="24"/>
                <w:szCs w:val="24"/>
                <w:highlight w:val="none"/>
              </w:rPr>
            </w:pPr>
          </w:p>
          <w:p w14:paraId="19A3EF5C">
            <w:pPr>
              <w:kinsoku/>
              <w:spacing w:line="360" w:lineRule="auto"/>
              <w:rPr>
                <w:rFonts w:hint="eastAsia" w:asciiTheme="minorEastAsia" w:hAnsiTheme="minorEastAsia" w:eastAsiaTheme="minorEastAsia" w:cstheme="minorEastAsia"/>
                <w:color w:val="auto"/>
                <w:sz w:val="24"/>
                <w:szCs w:val="24"/>
                <w:highlight w:val="none"/>
              </w:rPr>
            </w:pPr>
          </w:p>
          <w:p w14:paraId="71306605">
            <w:pPr>
              <w:kinsoku/>
              <w:spacing w:line="360" w:lineRule="auto"/>
              <w:rPr>
                <w:rFonts w:hint="eastAsia" w:asciiTheme="minorEastAsia" w:hAnsiTheme="minorEastAsia" w:eastAsiaTheme="minorEastAsia" w:cstheme="minorEastAsia"/>
                <w:color w:val="auto"/>
                <w:sz w:val="24"/>
                <w:szCs w:val="24"/>
                <w:highlight w:val="none"/>
              </w:rPr>
            </w:pPr>
          </w:p>
          <w:p w14:paraId="4E94CC0D">
            <w:pPr>
              <w:kinsoku/>
              <w:spacing w:line="360" w:lineRule="auto"/>
              <w:rPr>
                <w:rFonts w:hint="eastAsia" w:asciiTheme="minorEastAsia" w:hAnsiTheme="minorEastAsia" w:eastAsiaTheme="minorEastAsia" w:cstheme="minorEastAsia"/>
                <w:color w:val="auto"/>
                <w:sz w:val="24"/>
                <w:szCs w:val="24"/>
                <w:highlight w:val="none"/>
              </w:rPr>
            </w:pPr>
          </w:p>
          <w:p w14:paraId="51BA4EFA">
            <w:pPr>
              <w:kinsoku/>
              <w:spacing w:line="360" w:lineRule="auto"/>
              <w:rPr>
                <w:rFonts w:hint="eastAsia" w:asciiTheme="minorEastAsia" w:hAnsiTheme="minorEastAsia" w:eastAsiaTheme="minorEastAsia" w:cstheme="minorEastAsia"/>
                <w:color w:val="auto"/>
                <w:sz w:val="24"/>
                <w:szCs w:val="24"/>
                <w:highlight w:val="none"/>
              </w:rPr>
            </w:pPr>
          </w:p>
          <w:p w14:paraId="6CF9BF9C">
            <w:pPr>
              <w:kinsoku/>
              <w:spacing w:line="360" w:lineRule="auto"/>
              <w:rPr>
                <w:rFonts w:hint="eastAsia" w:asciiTheme="minorEastAsia" w:hAnsiTheme="minorEastAsia" w:eastAsiaTheme="minorEastAsia" w:cstheme="minorEastAsia"/>
                <w:color w:val="auto"/>
                <w:sz w:val="24"/>
                <w:szCs w:val="24"/>
                <w:highlight w:val="none"/>
              </w:rPr>
            </w:pPr>
          </w:p>
          <w:p w14:paraId="241E1784">
            <w:pPr>
              <w:kinsoku/>
              <w:spacing w:line="360" w:lineRule="auto"/>
              <w:rPr>
                <w:rFonts w:hint="eastAsia" w:asciiTheme="minorEastAsia" w:hAnsiTheme="minorEastAsia" w:eastAsiaTheme="minorEastAsia" w:cstheme="minorEastAsia"/>
                <w:color w:val="auto"/>
                <w:sz w:val="24"/>
                <w:szCs w:val="24"/>
                <w:highlight w:val="none"/>
              </w:rPr>
            </w:pPr>
          </w:p>
          <w:p w14:paraId="4B857D9A">
            <w:pPr>
              <w:kinsoku/>
              <w:spacing w:line="360" w:lineRule="auto"/>
              <w:rPr>
                <w:rFonts w:hint="eastAsia" w:asciiTheme="minorEastAsia" w:hAnsiTheme="minorEastAsia" w:eastAsiaTheme="minorEastAsia" w:cstheme="minorEastAsia"/>
                <w:color w:val="auto"/>
                <w:sz w:val="24"/>
                <w:szCs w:val="24"/>
                <w:highlight w:val="none"/>
              </w:rPr>
            </w:pPr>
          </w:p>
          <w:p w14:paraId="131A93E3">
            <w:pPr>
              <w:kinsoku/>
              <w:spacing w:line="360" w:lineRule="auto"/>
              <w:rPr>
                <w:rFonts w:hint="eastAsia" w:asciiTheme="minorEastAsia" w:hAnsiTheme="minorEastAsia" w:eastAsiaTheme="minorEastAsia" w:cstheme="minorEastAsia"/>
                <w:color w:val="auto"/>
                <w:sz w:val="24"/>
                <w:szCs w:val="24"/>
                <w:highlight w:val="none"/>
              </w:rPr>
            </w:pPr>
          </w:p>
          <w:p w14:paraId="3E9525B3">
            <w:pPr>
              <w:kinsoku/>
              <w:spacing w:line="360" w:lineRule="auto"/>
              <w:rPr>
                <w:rFonts w:hint="eastAsia" w:asciiTheme="minorEastAsia" w:hAnsiTheme="minorEastAsia" w:eastAsiaTheme="minorEastAsia" w:cstheme="minorEastAsia"/>
                <w:color w:val="auto"/>
                <w:sz w:val="24"/>
                <w:szCs w:val="24"/>
                <w:highlight w:val="none"/>
              </w:rPr>
            </w:pPr>
          </w:p>
          <w:p w14:paraId="34152ABE">
            <w:pPr>
              <w:kinsoku/>
              <w:spacing w:line="360" w:lineRule="auto"/>
              <w:rPr>
                <w:rFonts w:hint="eastAsia" w:asciiTheme="minorEastAsia" w:hAnsiTheme="minorEastAsia" w:eastAsiaTheme="minorEastAsia" w:cstheme="minorEastAsia"/>
                <w:color w:val="auto"/>
                <w:sz w:val="24"/>
                <w:szCs w:val="24"/>
                <w:highlight w:val="none"/>
              </w:rPr>
            </w:pPr>
          </w:p>
          <w:p w14:paraId="44541A03">
            <w:pPr>
              <w:kinsoku/>
              <w:spacing w:line="360" w:lineRule="auto"/>
              <w:rPr>
                <w:rFonts w:hint="eastAsia" w:asciiTheme="minorEastAsia" w:hAnsiTheme="minorEastAsia" w:eastAsiaTheme="minorEastAsia" w:cstheme="minorEastAsia"/>
                <w:color w:val="auto"/>
                <w:sz w:val="24"/>
                <w:szCs w:val="24"/>
                <w:highlight w:val="none"/>
              </w:rPr>
            </w:pPr>
          </w:p>
          <w:p w14:paraId="0217AFC9">
            <w:pPr>
              <w:kinsoku/>
              <w:spacing w:line="360" w:lineRule="auto"/>
              <w:rPr>
                <w:rFonts w:hint="eastAsia" w:asciiTheme="minorEastAsia" w:hAnsiTheme="minorEastAsia" w:eastAsiaTheme="minorEastAsia" w:cstheme="minorEastAsia"/>
                <w:color w:val="auto"/>
                <w:sz w:val="24"/>
                <w:szCs w:val="24"/>
                <w:highlight w:val="none"/>
              </w:rPr>
            </w:pPr>
          </w:p>
          <w:p w14:paraId="3E6AB996">
            <w:pPr>
              <w:kinsoku/>
              <w:spacing w:line="360" w:lineRule="auto"/>
              <w:rPr>
                <w:rFonts w:hint="eastAsia" w:asciiTheme="minorEastAsia" w:hAnsiTheme="minorEastAsia" w:eastAsiaTheme="minorEastAsia" w:cstheme="minorEastAsia"/>
                <w:color w:val="auto"/>
                <w:sz w:val="24"/>
                <w:szCs w:val="24"/>
                <w:highlight w:val="none"/>
              </w:rPr>
            </w:pPr>
          </w:p>
          <w:p w14:paraId="52F275AF">
            <w:pPr>
              <w:kinsoku/>
              <w:spacing w:line="360" w:lineRule="auto"/>
              <w:rPr>
                <w:rFonts w:hint="eastAsia" w:asciiTheme="minorEastAsia" w:hAnsiTheme="minorEastAsia" w:eastAsiaTheme="minorEastAsia" w:cstheme="minorEastAsia"/>
                <w:color w:val="auto"/>
                <w:sz w:val="24"/>
                <w:szCs w:val="24"/>
                <w:highlight w:val="none"/>
              </w:rPr>
            </w:pPr>
          </w:p>
          <w:p w14:paraId="65245976">
            <w:pPr>
              <w:kinsoku/>
              <w:spacing w:line="360" w:lineRule="auto"/>
              <w:rPr>
                <w:rFonts w:hint="eastAsia" w:asciiTheme="minorEastAsia" w:hAnsiTheme="minorEastAsia" w:eastAsiaTheme="minorEastAsia" w:cstheme="minorEastAsia"/>
                <w:color w:val="auto"/>
                <w:sz w:val="24"/>
                <w:szCs w:val="24"/>
                <w:highlight w:val="none"/>
              </w:rPr>
            </w:pPr>
          </w:p>
          <w:p w14:paraId="7691E1F7">
            <w:pPr>
              <w:kinsoku/>
              <w:spacing w:line="360" w:lineRule="auto"/>
              <w:rPr>
                <w:rFonts w:hint="eastAsia" w:asciiTheme="minorEastAsia" w:hAnsiTheme="minorEastAsia" w:eastAsiaTheme="minorEastAsia" w:cstheme="minorEastAsia"/>
                <w:color w:val="auto"/>
                <w:sz w:val="24"/>
                <w:szCs w:val="24"/>
                <w:highlight w:val="none"/>
              </w:rPr>
            </w:pPr>
          </w:p>
          <w:p w14:paraId="76E04C43">
            <w:pPr>
              <w:kinsoku/>
              <w:spacing w:line="360" w:lineRule="auto"/>
              <w:rPr>
                <w:rFonts w:hint="eastAsia" w:asciiTheme="minorEastAsia" w:hAnsiTheme="minorEastAsia" w:eastAsiaTheme="minorEastAsia" w:cstheme="minorEastAsia"/>
                <w:color w:val="auto"/>
                <w:sz w:val="24"/>
                <w:szCs w:val="24"/>
                <w:highlight w:val="none"/>
              </w:rPr>
            </w:pPr>
          </w:p>
          <w:p w14:paraId="5F71BA17">
            <w:pPr>
              <w:kinsoku/>
              <w:spacing w:before="75" w:line="360" w:lineRule="auto"/>
              <w:ind w:firstLine="408"/>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7611" w:type="dxa"/>
          </w:tcPr>
          <w:p w14:paraId="3BE7FA6D">
            <w:pPr>
              <w:kinsoku/>
              <w:spacing w:before="99" w:line="360" w:lineRule="auto"/>
              <w:ind w:left="111" w:right="223"/>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7"/>
                <w:highlight w:val="none"/>
              </w:rPr>
              <w:t>将评标办法范本原文第</w:t>
            </w:r>
            <w:r>
              <w:rPr>
                <w:rFonts w:hint="eastAsia" w:asciiTheme="minorEastAsia" w:hAnsiTheme="minorEastAsia" w:eastAsiaTheme="minorEastAsia" w:cstheme="minorEastAsia"/>
                <w:color w:val="auto"/>
                <w:spacing w:val="-20"/>
                <w:highlight w:val="none"/>
              </w:rPr>
              <w:t xml:space="preserve"> </w:t>
            </w:r>
            <w:r>
              <w:rPr>
                <w:rFonts w:hint="eastAsia" w:asciiTheme="minorEastAsia" w:hAnsiTheme="minorEastAsia" w:eastAsiaTheme="minorEastAsia" w:cstheme="minorEastAsia"/>
                <w:color w:val="auto"/>
                <w:spacing w:val="7"/>
                <w:highlight w:val="none"/>
              </w:rPr>
              <w:t>1</w:t>
            </w:r>
            <w:r>
              <w:rPr>
                <w:rFonts w:hint="eastAsia" w:asciiTheme="minorEastAsia" w:hAnsiTheme="minorEastAsia" w:eastAsiaTheme="minorEastAsia" w:cstheme="minorEastAsia"/>
                <w:color w:val="auto"/>
                <w:spacing w:val="14"/>
                <w:highlight w:val="none"/>
              </w:rPr>
              <w:t xml:space="preserve"> </w:t>
            </w:r>
            <w:r>
              <w:rPr>
                <w:rFonts w:hint="eastAsia" w:asciiTheme="minorEastAsia" w:hAnsiTheme="minorEastAsia" w:eastAsiaTheme="minorEastAsia" w:cstheme="minorEastAsia"/>
                <w:color w:val="auto"/>
                <w:spacing w:val="7"/>
                <w:highlight w:val="none"/>
              </w:rPr>
              <w:t>条“评标方法”</w:t>
            </w:r>
            <w:r>
              <w:rPr>
                <w:rFonts w:hint="eastAsia" w:asciiTheme="minorEastAsia" w:hAnsiTheme="minorEastAsia" w:eastAsiaTheme="minorEastAsia" w:cstheme="minorEastAsia"/>
                <w:color w:val="auto"/>
                <w:spacing w:val="-38"/>
                <w:highlight w:val="none"/>
              </w:rPr>
              <w:t xml:space="preserve"> </w:t>
            </w:r>
            <w:r>
              <w:rPr>
                <w:rFonts w:hint="eastAsia" w:asciiTheme="minorEastAsia" w:hAnsiTheme="minorEastAsia" w:eastAsiaTheme="minorEastAsia" w:cstheme="minorEastAsia"/>
                <w:color w:val="auto"/>
                <w:spacing w:val="7"/>
                <w:highlight w:val="none"/>
              </w:rPr>
              <w:t>改为“评标方法、组织及工作程</w:t>
            </w:r>
            <w:r>
              <w:rPr>
                <w:rFonts w:hint="eastAsia" w:asciiTheme="minorEastAsia" w:hAnsiTheme="minorEastAsia" w:eastAsiaTheme="minorEastAsia" w:cstheme="minorEastAsia"/>
                <w:color w:val="auto"/>
                <w:spacing w:val="6"/>
                <w:highlight w:val="none"/>
              </w:rPr>
              <w:t>序”，并且原文内容修改如下：</w:t>
            </w:r>
          </w:p>
          <w:p w14:paraId="7C79E4CB">
            <w:pPr>
              <w:kinsoku/>
              <w:spacing w:line="360" w:lineRule="auto"/>
              <w:ind w:firstLine="131"/>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2"/>
                <w:highlight w:val="none"/>
              </w:rPr>
              <w:t>1.1评标方法</w:t>
            </w:r>
          </w:p>
          <w:p w14:paraId="7B19D6A8">
            <w:pPr>
              <w:kinsoku/>
              <w:spacing w:before="95" w:line="360" w:lineRule="auto"/>
              <w:ind w:left="112" w:right="107" w:firstLine="1"/>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8"/>
                <w:highlight w:val="none"/>
              </w:rPr>
              <w:t>本次评标采用双信封的综合评估法。评标委员会对满足招标文件实质性要求的投标文件，按照本章第</w:t>
            </w:r>
            <w:r>
              <w:rPr>
                <w:rFonts w:hint="eastAsia" w:asciiTheme="minorEastAsia" w:hAnsiTheme="minorEastAsia" w:eastAsiaTheme="minorEastAsia" w:cstheme="minorEastAsia"/>
                <w:color w:val="auto"/>
                <w:spacing w:val="-28"/>
                <w:highlight w:val="none"/>
              </w:rPr>
              <w:t xml:space="preserve"> </w:t>
            </w:r>
            <w:r>
              <w:rPr>
                <w:rFonts w:hint="eastAsia" w:asciiTheme="minorEastAsia" w:hAnsiTheme="minorEastAsia" w:eastAsiaTheme="minorEastAsia" w:cstheme="minorEastAsia"/>
                <w:color w:val="auto"/>
                <w:spacing w:val="8"/>
                <w:highlight w:val="none"/>
              </w:rPr>
              <w:t>2.2</w:t>
            </w:r>
            <w:r>
              <w:rPr>
                <w:rFonts w:hint="eastAsia" w:asciiTheme="minorEastAsia" w:hAnsiTheme="minorEastAsia" w:eastAsiaTheme="minorEastAsia" w:cstheme="minorEastAsia"/>
                <w:color w:val="auto"/>
                <w:spacing w:val="13"/>
                <w:w w:val="101"/>
                <w:highlight w:val="none"/>
              </w:rPr>
              <w:t xml:space="preserve"> </w:t>
            </w:r>
            <w:r>
              <w:rPr>
                <w:rFonts w:hint="eastAsia" w:asciiTheme="minorEastAsia" w:hAnsiTheme="minorEastAsia" w:eastAsiaTheme="minorEastAsia" w:cstheme="minorEastAsia"/>
                <w:color w:val="auto"/>
                <w:spacing w:val="8"/>
                <w:highlight w:val="none"/>
              </w:rPr>
              <w:t>款规定的评分标准进行打分，并按得分由高到低顺序推荐中标候选人，但投标报价低于其成本的除外。综合评分相等</w:t>
            </w:r>
            <w:r>
              <w:rPr>
                <w:rFonts w:hint="eastAsia" w:asciiTheme="minorEastAsia" w:hAnsiTheme="minorEastAsia" w:eastAsiaTheme="minorEastAsia" w:cstheme="minorEastAsia"/>
                <w:color w:val="auto"/>
                <w:spacing w:val="9"/>
                <w:highlight w:val="none"/>
              </w:rPr>
              <w:t>时，评标委员会应按照评标办法前附表规定的优先次序推荐中标候选</w:t>
            </w:r>
            <w:r>
              <w:rPr>
                <w:rFonts w:hint="eastAsia" w:asciiTheme="minorEastAsia" w:hAnsiTheme="minorEastAsia" w:eastAsiaTheme="minorEastAsia" w:cstheme="minorEastAsia"/>
                <w:color w:val="auto"/>
                <w:spacing w:val="1"/>
                <w:highlight w:val="none"/>
              </w:rPr>
              <w:t>人。</w:t>
            </w:r>
          </w:p>
          <w:p w14:paraId="16DC4683">
            <w:pPr>
              <w:kinsoku/>
              <w:spacing w:line="360" w:lineRule="auto"/>
              <w:ind w:firstLine="131"/>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2"/>
                <w:highlight w:val="none"/>
              </w:rPr>
              <w:t>1.2评标组织</w:t>
            </w:r>
          </w:p>
          <w:p w14:paraId="0BF184CF">
            <w:pPr>
              <w:kinsoku/>
              <w:spacing w:before="95" w:line="360" w:lineRule="auto"/>
              <w:ind w:firstLine="131"/>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1.2.1协助工作组</w:t>
            </w:r>
          </w:p>
          <w:p w14:paraId="04C119D1">
            <w:pPr>
              <w:kinsoku/>
              <w:spacing w:before="97" w:line="360" w:lineRule="auto"/>
              <w:ind w:left="115" w:right="107" w:hanging="1"/>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8"/>
                <w:highlight w:val="none"/>
              </w:rPr>
              <w:t>招标人可在评标工作开始前成立协助工作组，选派熟悉招标工作、政治素质高的人员组成，协助评标委员会工作。协助工作组人员的具体数量由招标人视评标工作量确定。</w:t>
            </w:r>
          </w:p>
          <w:p w14:paraId="386D11DA">
            <w:pPr>
              <w:kinsoku/>
              <w:spacing w:line="360" w:lineRule="auto"/>
              <w:ind w:firstLine="114"/>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9"/>
                <w:highlight w:val="none"/>
              </w:rPr>
              <w:t>招标人可以协助评标委员会开展下列工作并提供相关信息：</w:t>
            </w:r>
          </w:p>
          <w:p w14:paraId="34992E41">
            <w:pPr>
              <w:kinsoku/>
              <w:spacing w:before="101" w:line="360" w:lineRule="auto"/>
              <w:ind w:firstLine="124"/>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6"/>
                <w:highlight w:val="none"/>
              </w:rPr>
              <w:t>（1）根据招标文件，编制评标使用的相应表格；</w:t>
            </w:r>
          </w:p>
          <w:p w14:paraId="76BE45D8">
            <w:pPr>
              <w:kinsoku/>
              <w:spacing w:before="1" w:line="360" w:lineRule="auto"/>
              <w:ind w:left="113" w:right="182" w:firstLine="11"/>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8"/>
                <w:highlight w:val="none"/>
              </w:rPr>
              <w:t>（2）以评标标准和方法为依据，列出投标文件相对于招标文件的所有偏差，并进行归类汇总；</w:t>
            </w:r>
          </w:p>
          <w:p w14:paraId="3CD0A411">
            <w:pPr>
              <w:kinsoku/>
              <w:spacing w:before="1" w:line="360" w:lineRule="auto"/>
              <w:ind w:left="124" w:right="221"/>
              <w:rPr>
                <w:rFonts w:hint="eastAsia" w:asciiTheme="minorEastAsia" w:hAnsiTheme="minorEastAsia" w:eastAsiaTheme="minorEastAsia" w:cstheme="minorEastAsia"/>
                <w:color w:val="auto"/>
                <w:spacing w:val="8"/>
                <w:highlight w:val="none"/>
              </w:rPr>
            </w:pPr>
            <w:r>
              <w:rPr>
                <w:rFonts w:hint="eastAsia" w:asciiTheme="minorEastAsia" w:hAnsiTheme="minorEastAsia" w:eastAsiaTheme="minorEastAsia" w:cstheme="minorEastAsia"/>
                <w:color w:val="auto"/>
                <w:spacing w:val="6"/>
                <w:highlight w:val="none"/>
              </w:rPr>
              <w:t>（3）查询公路水运工程质量检测管理信息系统(https://www.ttiis.cn/)，对投标人的资质、业绩、主要人员资质和目前在岗情况、</w:t>
            </w:r>
            <w:r>
              <w:rPr>
                <w:rFonts w:hint="eastAsia" w:asciiTheme="minorEastAsia" w:hAnsiTheme="minorEastAsia" w:eastAsiaTheme="minorEastAsia" w:cstheme="minorEastAsia"/>
                <w:color w:val="auto"/>
                <w:spacing w:val="8"/>
                <w:highlight w:val="none"/>
              </w:rPr>
              <w:t>信用等级进行核实（如有）。</w:t>
            </w:r>
          </w:p>
          <w:p w14:paraId="0022AA4E">
            <w:pPr>
              <w:kinsoku/>
              <w:spacing w:before="1" w:line="360" w:lineRule="auto"/>
              <w:ind w:left="124" w:right="221" w:firstLine="452" w:firstLineChars="200"/>
              <w:rPr>
                <w:rFonts w:hint="eastAsia" w:asciiTheme="minorEastAsia" w:hAnsiTheme="minorEastAsia" w:eastAsiaTheme="minorEastAsia" w:cstheme="minorEastAsia"/>
                <w:color w:val="auto"/>
                <w:spacing w:val="3"/>
                <w:highlight w:val="none"/>
              </w:rPr>
            </w:pPr>
            <w:r>
              <w:rPr>
                <w:rFonts w:hint="eastAsia" w:asciiTheme="minorEastAsia" w:hAnsiTheme="minorEastAsia" w:eastAsiaTheme="minorEastAsia" w:cstheme="minorEastAsia"/>
                <w:color w:val="auto"/>
                <w:spacing w:val="8"/>
                <w:highlight w:val="none"/>
              </w:rPr>
              <w:t>招标人不得对投标文件作出任何评价，不得故意遗漏或者片面摘录，不</w:t>
            </w:r>
            <w:r>
              <w:rPr>
                <w:rFonts w:hint="eastAsia" w:asciiTheme="minorEastAsia" w:hAnsiTheme="minorEastAsia" w:eastAsiaTheme="minorEastAsia" w:cstheme="minorEastAsia"/>
                <w:color w:val="auto"/>
                <w:spacing w:val="10"/>
                <w:highlight w:val="none"/>
              </w:rPr>
              <w:t>得在评标委员会对所有偏差定性之前透露存有偏差的投标人名称。</w:t>
            </w:r>
            <w:r>
              <w:rPr>
                <w:rFonts w:hint="eastAsia" w:asciiTheme="minorEastAsia" w:hAnsiTheme="minorEastAsia" w:eastAsiaTheme="minorEastAsia" w:cstheme="minorEastAsia"/>
                <w:color w:val="auto"/>
                <w:spacing w:val="3"/>
                <w:highlight w:val="none"/>
              </w:rPr>
              <w:t xml:space="preserve">    </w:t>
            </w:r>
          </w:p>
          <w:p w14:paraId="4B9F786B">
            <w:pPr>
              <w:kinsoku/>
              <w:spacing w:before="1" w:line="360" w:lineRule="auto"/>
              <w:ind w:left="113" w:right="221" w:firstLine="11"/>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5"/>
                <w:highlight w:val="none"/>
              </w:rPr>
              <w:t>1.2.2</w:t>
            </w:r>
            <w:r>
              <w:rPr>
                <w:rFonts w:hint="eastAsia" w:asciiTheme="minorEastAsia" w:hAnsiTheme="minorEastAsia" w:eastAsiaTheme="minorEastAsia" w:cstheme="minorEastAsia"/>
                <w:color w:val="auto"/>
                <w:spacing w:val="12"/>
                <w:highlight w:val="none"/>
              </w:rPr>
              <w:t xml:space="preserve"> </w:t>
            </w:r>
            <w:r>
              <w:rPr>
                <w:rFonts w:hint="eastAsia" w:asciiTheme="minorEastAsia" w:hAnsiTheme="minorEastAsia" w:eastAsiaTheme="minorEastAsia" w:cstheme="minorEastAsia"/>
                <w:color w:val="auto"/>
                <w:spacing w:val="5"/>
                <w:highlight w:val="none"/>
              </w:rPr>
              <w:t>评标委员会</w:t>
            </w:r>
          </w:p>
          <w:p w14:paraId="676A2BD8">
            <w:pPr>
              <w:kinsoku/>
              <w:spacing w:before="1" w:line="360" w:lineRule="auto"/>
              <w:ind w:left="113" w:right="182" w:hanging="1"/>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6"/>
                <w:highlight w:val="none"/>
              </w:rPr>
              <w:t>评标委员会的组建按投标人须知第</w:t>
            </w:r>
            <w:r>
              <w:rPr>
                <w:rFonts w:hint="eastAsia" w:asciiTheme="minorEastAsia" w:hAnsiTheme="minorEastAsia" w:eastAsiaTheme="minorEastAsia" w:cstheme="minorEastAsia"/>
                <w:color w:val="auto"/>
                <w:spacing w:val="-31"/>
                <w:highlight w:val="none"/>
              </w:rPr>
              <w:t xml:space="preserve"> </w:t>
            </w:r>
            <w:r>
              <w:rPr>
                <w:rFonts w:hint="eastAsia" w:asciiTheme="minorEastAsia" w:hAnsiTheme="minorEastAsia" w:eastAsiaTheme="minorEastAsia" w:cstheme="minorEastAsia"/>
                <w:color w:val="auto"/>
                <w:spacing w:val="6"/>
                <w:highlight w:val="none"/>
              </w:rPr>
              <w:t>6.1.1项执行。评标委员会的主要工作内容包括：</w:t>
            </w:r>
          </w:p>
          <w:p w14:paraId="5C2F0114">
            <w:pPr>
              <w:kinsoku/>
              <w:spacing w:line="360" w:lineRule="auto"/>
              <w:ind w:left="114" w:right="107" w:firstLine="1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8"/>
                <w:highlight w:val="none"/>
              </w:rPr>
              <w:t>（1）评标委员会开始评标工作之前，首先听取招标人、协助工作组关于工程情况和辅助工作的说明，并认真研读招标文件，获取评标所需的</w:t>
            </w:r>
            <w:r>
              <w:rPr>
                <w:rFonts w:hint="eastAsia" w:asciiTheme="minorEastAsia" w:hAnsiTheme="minorEastAsia" w:eastAsiaTheme="minorEastAsia" w:cstheme="minorEastAsia"/>
                <w:color w:val="auto"/>
                <w:spacing w:val="7"/>
                <w:highlight w:val="none"/>
              </w:rPr>
              <w:t>重要信息和数据；</w:t>
            </w:r>
          </w:p>
          <w:p w14:paraId="7D81E7F5">
            <w:pPr>
              <w:kinsoku/>
              <w:spacing w:before="1" w:line="360" w:lineRule="auto"/>
              <w:ind w:firstLine="124"/>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7"/>
                <w:highlight w:val="none"/>
              </w:rPr>
              <w:t>（2）对协助工作组提供的评标工作用表和评标内容进行核查。</w:t>
            </w:r>
          </w:p>
          <w:p w14:paraId="73412953">
            <w:pPr>
              <w:kinsoku/>
              <w:spacing w:before="97" w:line="360" w:lineRule="auto"/>
              <w:ind w:firstLine="124"/>
              <w:rPr>
                <w:rFonts w:hint="eastAsia" w:asciiTheme="minorEastAsia" w:hAnsiTheme="minorEastAsia" w:eastAsiaTheme="minorEastAsia" w:cstheme="minorEastAsia"/>
                <w:color w:val="auto"/>
                <w:spacing w:val="6"/>
                <w:highlight w:val="none"/>
              </w:rPr>
            </w:pPr>
            <w:r>
              <w:rPr>
                <w:rFonts w:hint="eastAsia" w:asciiTheme="minorEastAsia" w:hAnsiTheme="minorEastAsia" w:eastAsiaTheme="minorEastAsia" w:cstheme="minorEastAsia"/>
                <w:color w:val="auto"/>
                <w:spacing w:val="6"/>
                <w:highlight w:val="none"/>
              </w:rPr>
              <w:t>（3）按照以下1.3款程序进行各项评审工作。</w:t>
            </w:r>
          </w:p>
          <w:p w14:paraId="24615496">
            <w:pPr>
              <w:kinsoku/>
              <w:spacing w:line="360" w:lineRule="auto"/>
              <w:ind w:firstLine="131"/>
              <w:rPr>
                <w:rFonts w:hint="eastAsia" w:asciiTheme="minorEastAsia" w:hAnsiTheme="minorEastAsia" w:eastAsiaTheme="minorEastAsia" w:cstheme="minorEastAsia"/>
                <w:color w:val="auto"/>
                <w:spacing w:val="-2"/>
                <w:highlight w:val="none"/>
              </w:rPr>
            </w:pPr>
          </w:p>
          <w:p w14:paraId="7418E34D">
            <w:pPr>
              <w:kinsoku/>
              <w:spacing w:before="1" w:line="360" w:lineRule="auto"/>
              <w:ind w:left="113" w:right="182" w:firstLine="11"/>
              <w:rPr>
                <w:rFonts w:hint="eastAsia" w:asciiTheme="minorEastAsia" w:hAnsiTheme="minorEastAsia" w:eastAsiaTheme="minorEastAsia" w:cstheme="minorEastAsia"/>
                <w:color w:val="auto"/>
                <w:spacing w:val="8"/>
                <w:highlight w:val="none"/>
              </w:rPr>
            </w:pPr>
            <w:r>
              <w:rPr>
                <w:rFonts w:hint="eastAsia" w:asciiTheme="minorEastAsia" w:hAnsiTheme="minorEastAsia" w:eastAsiaTheme="minorEastAsia" w:cstheme="minorEastAsia"/>
                <w:color w:val="auto"/>
                <w:spacing w:val="8"/>
                <w:highlight w:val="none"/>
              </w:rPr>
              <w:t>1.3评审工程程序</w:t>
            </w:r>
          </w:p>
          <w:p w14:paraId="6F00FF8F">
            <w:pPr>
              <w:kinsoku/>
              <w:spacing w:before="1" w:line="360" w:lineRule="auto"/>
              <w:ind w:left="113" w:right="182" w:firstLine="11"/>
              <w:rPr>
                <w:rFonts w:hint="eastAsia" w:asciiTheme="minorEastAsia" w:hAnsiTheme="minorEastAsia" w:eastAsiaTheme="minorEastAsia" w:cstheme="minorEastAsia"/>
                <w:color w:val="auto"/>
                <w:spacing w:val="8"/>
                <w:highlight w:val="none"/>
              </w:rPr>
            </w:pPr>
            <w:r>
              <w:rPr>
                <w:rFonts w:hint="eastAsia" w:asciiTheme="minorEastAsia" w:hAnsiTheme="minorEastAsia" w:eastAsiaTheme="minorEastAsia" w:cstheme="minorEastAsia"/>
                <w:color w:val="auto"/>
                <w:spacing w:val="8"/>
                <w:highlight w:val="none"/>
              </w:rPr>
              <w:t xml:space="preserve">（一）第一信封（商务及技术文件）： </w:t>
            </w:r>
          </w:p>
          <w:p w14:paraId="34ED8667">
            <w:pPr>
              <w:kinsoku/>
              <w:spacing w:before="1" w:line="360" w:lineRule="auto"/>
              <w:ind w:left="113" w:right="182" w:firstLine="11"/>
              <w:rPr>
                <w:rFonts w:hint="eastAsia" w:asciiTheme="minorEastAsia" w:hAnsiTheme="minorEastAsia" w:eastAsiaTheme="minorEastAsia" w:cstheme="minorEastAsia"/>
                <w:color w:val="auto"/>
                <w:spacing w:val="8"/>
                <w:highlight w:val="none"/>
              </w:rPr>
            </w:pPr>
            <w:r>
              <w:rPr>
                <w:rFonts w:hint="eastAsia" w:asciiTheme="minorEastAsia" w:hAnsiTheme="minorEastAsia" w:eastAsiaTheme="minorEastAsia" w:cstheme="minorEastAsia"/>
                <w:color w:val="auto"/>
                <w:spacing w:val="8"/>
                <w:highlight w:val="none"/>
              </w:rPr>
              <w:t>l、初步评审：包括形式评审与响应性评审、资格评审；</w:t>
            </w:r>
          </w:p>
          <w:p w14:paraId="5BAA2C8F">
            <w:pPr>
              <w:kinsoku/>
              <w:spacing w:before="1" w:line="360" w:lineRule="auto"/>
              <w:ind w:left="113" w:right="182" w:firstLine="11"/>
              <w:rPr>
                <w:rFonts w:hint="eastAsia" w:asciiTheme="minorEastAsia" w:hAnsiTheme="minorEastAsia" w:eastAsiaTheme="minorEastAsia" w:cstheme="minorEastAsia"/>
                <w:color w:val="auto"/>
                <w:spacing w:val="8"/>
                <w:highlight w:val="none"/>
              </w:rPr>
            </w:pPr>
            <w:r>
              <w:rPr>
                <w:rFonts w:hint="eastAsia" w:asciiTheme="minorEastAsia" w:hAnsiTheme="minorEastAsia" w:eastAsiaTheme="minorEastAsia" w:cstheme="minorEastAsia"/>
                <w:color w:val="auto"/>
                <w:spacing w:val="8"/>
                <w:highlight w:val="none"/>
              </w:rPr>
              <w:t xml:space="preserve">2、详细评审（评审打分）：评标委员会首先对通过初步评审的投标文件第一个信封（商务及技术文件）进行详细评审，对投标人的技术建议书、主要人员、其他因素等分别评审打分。 </w:t>
            </w:r>
          </w:p>
          <w:p w14:paraId="5210B5B2">
            <w:pPr>
              <w:kinsoku/>
              <w:spacing w:before="1" w:line="360" w:lineRule="auto"/>
              <w:ind w:left="113" w:right="182" w:firstLine="11"/>
              <w:rPr>
                <w:rFonts w:hint="eastAsia" w:asciiTheme="minorEastAsia" w:hAnsiTheme="minorEastAsia" w:eastAsiaTheme="minorEastAsia" w:cstheme="minorEastAsia"/>
                <w:color w:val="auto"/>
                <w:spacing w:val="8"/>
                <w:highlight w:val="none"/>
              </w:rPr>
            </w:pPr>
            <w:r>
              <w:rPr>
                <w:rFonts w:hint="eastAsia" w:asciiTheme="minorEastAsia" w:hAnsiTheme="minorEastAsia" w:eastAsiaTheme="minorEastAsia" w:cstheme="minorEastAsia"/>
                <w:color w:val="auto"/>
                <w:spacing w:val="8"/>
                <w:highlight w:val="none"/>
              </w:rPr>
              <w:t xml:space="preserve">（二）第二信封（报价文件）： </w:t>
            </w:r>
          </w:p>
          <w:p w14:paraId="6B4E6E6E">
            <w:pPr>
              <w:kinsoku/>
              <w:spacing w:before="1" w:line="360" w:lineRule="auto"/>
              <w:ind w:left="113" w:right="182" w:firstLine="11"/>
              <w:rPr>
                <w:rFonts w:hint="eastAsia" w:asciiTheme="minorEastAsia" w:hAnsiTheme="minorEastAsia" w:eastAsiaTheme="minorEastAsia" w:cstheme="minorEastAsia"/>
                <w:color w:val="auto"/>
                <w:spacing w:val="8"/>
                <w:highlight w:val="none"/>
              </w:rPr>
            </w:pPr>
            <w:r>
              <w:rPr>
                <w:rFonts w:hint="eastAsia" w:asciiTheme="minorEastAsia" w:hAnsiTheme="minorEastAsia" w:eastAsiaTheme="minorEastAsia" w:cstheme="minorEastAsia"/>
                <w:color w:val="auto"/>
                <w:spacing w:val="8"/>
                <w:highlight w:val="none"/>
              </w:rPr>
              <w:t xml:space="preserve">1、初步评审： </w:t>
            </w:r>
          </w:p>
          <w:p w14:paraId="05B30299">
            <w:pPr>
              <w:kinsoku/>
              <w:spacing w:before="1" w:line="360" w:lineRule="auto"/>
              <w:ind w:left="113" w:right="182" w:firstLine="11"/>
              <w:rPr>
                <w:rFonts w:hint="eastAsia" w:asciiTheme="minorEastAsia" w:hAnsiTheme="minorEastAsia" w:eastAsiaTheme="minorEastAsia" w:cstheme="minorEastAsia"/>
                <w:color w:val="auto"/>
                <w:spacing w:val="8"/>
                <w:highlight w:val="none"/>
              </w:rPr>
            </w:pPr>
            <w:r>
              <w:rPr>
                <w:rFonts w:hint="eastAsia" w:asciiTheme="minorEastAsia" w:hAnsiTheme="minorEastAsia" w:eastAsiaTheme="minorEastAsia" w:cstheme="minorEastAsia"/>
                <w:color w:val="auto"/>
                <w:spacing w:val="8"/>
                <w:highlight w:val="none"/>
              </w:rPr>
              <w:t xml:space="preserve">（1）只有投标文件第一个信封通过详细评审的投标人才能继续参加第二信封报价文件的形式评审与响应性评审； </w:t>
            </w:r>
          </w:p>
          <w:p w14:paraId="75AAB529">
            <w:pPr>
              <w:widowControl w:val="0"/>
              <w:kinsoku/>
              <w:spacing w:line="360" w:lineRule="auto"/>
              <w:ind w:firstLine="210"/>
              <w:textAlignment w:val="auto"/>
              <w:rPr>
                <w:rFonts w:hint="eastAsia" w:asciiTheme="minorEastAsia" w:hAnsiTheme="minorEastAsia" w:eastAsiaTheme="minorEastAsia" w:cstheme="minorEastAsia"/>
                <w:color w:val="auto"/>
                <w:spacing w:val="8"/>
                <w:highlight w:val="none"/>
              </w:rPr>
            </w:pPr>
            <w:r>
              <w:rPr>
                <w:rFonts w:hint="eastAsia" w:asciiTheme="minorEastAsia" w:hAnsiTheme="minorEastAsia" w:eastAsiaTheme="minorEastAsia" w:cstheme="minorEastAsia"/>
                <w:color w:val="auto"/>
                <w:spacing w:val="8"/>
                <w:highlight w:val="none"/>
              </w:rPr>
              <w:t xml:space="preserve">2、详细评审：计算评标基准合同单价折扣系数、评标合同单价折扣系数得分及综合得分； </w:t>
            </w:r>
          </w:p>
          <w:p w14:paraId="005097C8">
            <w:pPr>
              <w:kinsoku/>
              <w:spacing w:before="1" w:line="360" w:lineRule="auto"/>
              <w:ind w:left="113" w:right="182" w:firstLine="11"/>
              <w:rPr>
                <w:rFonts w:hint="eastAsia" w:asciiTheme="minorEastAsia" w:hAnsiTheme="minorEastAsia" w:eastAsiaTheme="minorEastAsia" w:cstheme="minorEastAsia"/>
                <w:color w:val="auto"/>
                <w:spacing w:val="8"/>
                <w:highlight w:val="none"/>
              </w:rPr>
            </w:pPr>
            <w:r>
              <w:rPr>
                <w:rFonts w:hint="eastAsia" w:asciiTheme="minorEastAsia" w:hAnsiTheme="minorEastAsia" w:eastAsiaTheme="minorEastAsia" w:cstheme="minorEastAsia"/>
                <w:color w:val="auto"/>
                <w:spacing w:val="8"/>
                <w:highlight w:val="none"/>
              </w:rPr>
              <w:t xml:space="preserve">（三）投标文件相关信息的核查。 </w:t>
            </w:r>
          </w:p>
          <w:p w14:paraId="4C8C3621">
            <w:pPr>
              <w:kinsoku/>
              <w:spacing w:before="1" w:line="360" w:lineRule="auto"/>
              <w:ind w:right="182" w:firstLine="226" w:firstLineChars="100"/>
              <w:rPr>
                <w:rFonts w:hint="eastAsia" w:asciiTheme="minorEastAsia" w:hAnsiTheme="minorEastAsia" w:eastAsiaTheme="minorEastAsia" w:cstheme="minorEastAsia"/>
                <w:color w:val="auto"/>
                <w:spacing w:val="8"/>
                <w:highlight w:val="none"/>
              </w:rPr>
            </w:pPr>
            <w:r>
              <w:rPr>
                <w:rFonts w:hint="eastAsia" w:asciiTheme="minorEastAsia" w:hAnsiTheme="minorEastAsia" w:eastAsiaTheme="minorEastAsia" w:cstheme="minorEastAsia"/>
                <w:color w:val="auto"/>
                <w:spacing w:val="8"/>
                <w:highlight w:val="none"/>
              </w:rPr>
              <w:t xml:space="preserve">(四)投标文件的澄清和说明(如有) </w:t>
            </w:r>
          </w:p>
          <w:p w14:paraId="7752ABD8">
            <w:pPr>
              <w:kinsoku/>
              <w:spacing w:before="1" w:line="360" w:lineRule="auto"/>
              <w:ind w:left="113" w:right="182" w:firstLine="11"/>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8"/>
                <w:highlight w:val="none"/>
              </w:rPr>
              <w:t>（五）按评标办法规定推荐中标候选人，编写评标报告。</w:t>
            </w:r>
          </w:p>
        </w:tc>
      </w:tr>
      <w:tr w14:paraId="43E89D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1" w:hRule="atLeast"/>
        </w:trPr>
        <w:tc>
          <w:tcPr>
            <w:tcW w:w="890" w:type="dxa"/>
            <w:vAlign w:val="center"/>
          </w:tcPr>
          <w:p w14:paraId="7B5F5AFF">
            <w:pPr>
              <w:kinsoku/>
              <w:ind w:firstLine="420"/>
              <w:rPr>
                <w:rFonts w:hint="eastAsia" w:asciiTheme="minorEastAsia" w:hAnsiTheme="minorEastAsia" w:eastAsiaTheme="minorEastAsia" w:cstheme="minorEastAsia"/>
                <w:color w:val="auto"/>
                <w:sz w:val="24"/>
                <w:szCs w:val="24"/>
                <w:highlight w:val="none"/>
              </w:rPr>
            </w:pPr>
            <w:r>
              <w:rPr>
                <w:rFonts w:hint="eastAsia" w:ascii="宋体" w:hAnsi="宋体" w:cs="宋体"/>
                <w:color w:val="auto"/>
                <w:highlight w:val="none"/>
              </w:rPr>
              <w:t>2.2</w:t>
            </w:r>
          </w:p>
        </w:tc>
        <w:tc>
          <w:tcPr>
            <w:tcW w:w="7611" w:type="dxa"/>
            <w:vAlign w:val="center"/>
          </w:tcPr>
          <w:p w14:paraId="719FD967">
            <w:pPr>
              <w:kinsoku/>
              <w:spacing w:before="1" w:line="360" w:lineRule="auto"/>
              <w:ind w:left="113" w:right="182" w:firstLine="11"/>
              <w:rPr>
                <w:rFonts w:hint="eastAsia" w:asciiTheme="minorEastAsia" w:hAnsiTheme="minorEastAsia" w:eastAsiaTheme="minorEastAsia" w:cstheme="minorEastAsia"/>
                <w:color w:val="auto"/>
                <w:spacing w:val="8"/>
                <w:highlight w:val="none"/>
              </w:rPr>
            </w:pPr>
            <w:r>
              <w:rPr>
                <w:rFonts w:hint="eastAsia" w:asciiTheme="minorEastAsia" w:hAnsiTheme="minorEastAsia" w:eastAsiaTheme="minorEastAsia" w:cstheme="minorEastAsia"/>
                <w:color w:val="auto"/>
                <w:spacing w:val="8"/>
                <w:highlight w:val="none"/>
              </w:rPr>
              <w:t>2.2.1（3）评标价修改为：评标合同单价折扣系数</w:t>
            </w:r>
          </w:p>
          <w:p w14:paraId="45F5A37A">
            <w:pPr>
              <w:kinsoku/>
              <w:spacing w:before="1" w:line="360" w:lineRule="auto"/>
              <w:ind w:left="113" w:right="182" w:firstLine="11"/>
              <w:rPr>
                <w:rFonts w:hint="eastAsia" w:asciiTheme="minorEastAsia" w:hAnsiTheme="minorEastAsia" w:eastAsiaTheme="minorEastAsia" w:cstheme="minorEastAsia"/>
                <w:color w:val="auto"/>
                <w:spacing w:val="8"/>
                <w:highlight w:val="none"/>
              </w:rPr>
            </w:pPr>
            <w:r>
              <w:rPr>
                <w:rFonts w:hint="eastAsia" w:asciiTheme="minorEastAsia" w:hAnsiTheme="minorEastAsia" w:eastAsiaTheme="minorEastAsia" w:cstheme="minorEastAsia"/>
                <w:color w:val="auto"/>
                <w:spacing w:val="8"/>
                <w:highlight w:val="none"/>
              </w:rPr>
              <w:t>2.2.2评标基准价修改为：评标基准合同单价折扣系数</w:t>
            </w:r>
          </w:p>
          <w:p w14:paraId="4B4D87D6">
            <w:pPr>
              <w:kinsoku/>
              <w:spacing w:before="1" w:line="360" w:lineRule="auto"/>
              <w:ind w:left="113" w:right="182" w:firstLine="11"/>
              <w:rPr>
                <w:rFonts w:hint="eastAsia" w:asciiTheme="minorEastAsia" w:hAnsiTheme="minorEastAsia" w:eastAsiaTheme="minorEastAsia" w:cstheme="minorEastAsia"/>
                <w:color w:val="auto"/>
                <w:spacing w:val="8"/>
                <w:highlight w:val="none"/>
              </w:rPr>
            </w:pPr>
            <w:r>
              <w:rPr>
                <w:rFonts w:hint="eastAsia" w:asciiTheme="minorEastAsia" w:hAnsiTheme="minorEastAsia" w:eastAsiaTheme="minorEastAsia" w:cstheme="minorEastAsia"/>
                <w:color w:val="auto"/>
                <w:spacing w:val="8"/>
                <w:highlight w:val="none"/>
              </w:rPr>
              <w:t>2.2.3评标价修改为：评标合同单价折扣系数</w:t>
            </w:r>
          </w:p>
          <w:p w14:paraId="6BBCD58F">
            <w:pPr>
              <w:kinsoku/>
              <w:spacing w:before="1" w:line="360" w:lineRule="auto"/>
              <w:ind w:left="113" w:right="182" w:firstLine="11"/>
              <w:rPr>
                <w:rFonts w:hint="eastAsia" w:asciiTheme="minorEastAsia" w:hAnsiTheme="minorEastAsia" w:eastAsiaTheme="minorEastAsia" w:cstheme="minorEastAsia"/>
                <w:color w:val="auto"/>
                <w:spacing w:val="8"/>
                <w:highlight w:val="none"/>
              </w:rPr>
            </w:pPr>
            <w:r>
              <w:rPr>
                <w:rFonts w:hint="eastAsia" w:asciiTheme="minorEastAsia" w:hAnsiTheme="minorEastAsia" w:eastAsiaTheme="minorEastAsia" w:cstheme="minorEastAsia"/>
                <w:color w:val="auto"/>
                <w:spacing w:val="8"/>
                <w:highlight w:val="none"/>
              </w:rPr>
              <w:t>2.2.4评标价修改为：评标合同单价折扣系数</w:t>
            </w:r>
          </w:p>
        </w:tc>
      </w:tr>
      <w:tr w14:paraId="69C136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08" w:hRule="atLeast"/>
        </w:trPr>
        <w:tc>
          <w:tcPr>
            <w:tcW w:w="890" w:type="dxa"/>
          </w:tcPr>
          <w:p w14:paraId="607473E3">
            <w:pPr>
              <w:kinsoku/>
              <w:spacing w:before="75" w:line="360" w:lineRule="auto"/>
              <w:rPr>
                <w:rFonts w:hint="eastAsia" w:asciiTheme="minorEastAsia" w:hAnsiTheme="minorEastAsia" w:eastAsiaTheme="minorEastAsia" w:cstheme="minorEastAsia"/>
                <w:color w:val="auto"/>
                <w:spacing w:val="4"/>
                <w:sz w:val="24"/>
                <w:szCs w:val="24"/>
                <w:highlight w:val="none"/>
              </w:rPr>
            </w:pPr>
          </w:p>
          <w:p w14:paraId="2D670254">
            <w:pPr>
              <w:kinsoku/>
              <w:spacing w:before="75" w:line="360" w:lineRule="auto"/>
              <w:rPr>
                <w:rFonts w:hint="eastAsia" w:asciiTheme="minorEastAsia" w:hAnsiTheme="minorEastAsia" w:eastAsiaTheme="minorEastAsia" w:cstheme="minorEastAsia"/>
                <w:color w:val="auto"/>
                <w:spacing w:val="4"/>
                <w:sz w:val="24"/>
                <w:szCs w:val="24"/>
                <w:highlight w:val="none"/>
              </w:rPr>
            </w:pPr>
          </w:p>
          <w:p w14:paraId="25511FE9">
            <w:pPr>
              <w:kinsoku/>
              <w:spacing w:before="75" w:line="360" w:lineRule="auto"/>
              <w:rPr>
                <w:rFonts w:hint="eastAsia" w:asciiTheme="minorEastAsia" w:hAnsiTheme="minorEastAsia" w:eastAsiaTheme="minorEastAsia" w:cstheme="minorEastAsia"/>
                <w:color w:val="auto"/>
                <w:spacing w:val="4"/>
                <w:sz w:val="24"/>
                <w:szCs w:val="24"/>
                <w:highlight w:val="none"/>
              </w:rPr>
            </w:pPr>
          </w:p>
          <w:p w14:paraId="30F79ABD">
            <w:pPr>
              <w:kinsoku/>
              <w:spacing w:before="75" w:line="360" w:lineRule="auto"/>
              <w:rPr>
                <w:rFonts w:hint="eastAsia" w:asciiTheme="minorEastAsia" w:hAnsiTheme="minorEastAsia" w:eastAsiaTheme="minorEastAsia" w:cstheme="minorEastAsia"/>
                <w:color w:val="auto"/>
                <w:spacing w:val="4"/>
                <w:sz w:val="24"/>
                <w:szCs w:val="24"/>
                <w:highlight w:val="none"/>
              </w:rPr>
            </w:pPr>
          </w:p>
          <w:p w14:paraId="36E3FC07">
            <w:pPr>
              <w:kinsoku/>
              <w:spacing w:before="75" w:line="360" w:lineRule="auto"/>
              <w:rPr>
                <w:rFonts w:hint="eastAsia" w:asciiTheme="minorEastAsia" w:hAnsiTheme="minorEastAsia" w:eastAsiaTheme="minorEastAsia" w:cstheme="minorEastAsia"/>
                <w:color w:val="auto"/>
                <w:spacing w:val="4"/>
                <w:sz w:val="24"/>
                <w:szCs w:val="24"/>
                <w:highlight w:val="none"/>
              </w:rPr>
            </w:pPr>
          </w:p>
          <w:p w14:paraId="4D2BBD68">
            <w:pPr>
              <w:kinsoku/>
              <w:spacing w:before="75" w:line="360" w:lineRule="auto"/>
              <w:rPr>
                <w:rFonts w:hint="eastAsia" w:asciiTheme="minorEastAsia" w:hAnsiTheme="minorEastAsia" w:eastAsiaTheme="minorEastAsia" w:cstheme="minorEastAsia"/>
                <w:color w:val="auto"/>
                <w:spacing w:val="4"/>
                <w:sz w:val="24"/>
                <w:szCs w:val="24"/>
                <w:highlight w:val="none"/>
              </w:rPr>
            </w:pPr>
          </w:p>
          <w:p w14:paraId="424CDB39">
            <w:pPr>
              <w:kinsoku/>
              <w:spacing w:before="75" w:line="360" w:lineRule="auto"/>
              <w:rPr>
                <w:rFonts w:hint="eastAsia" w:asciiTheme="minorEastAsia" w:hAnsiTheme="minorEastAsia" w:eastAsiaTheme="minorEastAsia" w:cstheme="minorEastAsia"/>
                <w:color w:val="auto"/>
                <w:spacing w:val="4"/>
                <w:sz w:val="24"/>
                <w:szCs w:val="24"/>
                <w:highlight w:val="none"/>
              </w:rPr>
            </w:pPr>
          </w:p>
          <w:p w14:paraId="1DF0954B">
            <w:pPr>
              <w:kinsoku/>
              <w:spacing w:before="75" w:line="360" w:lineRule="auto"/>
              <w:rPr>
                <w:rFonts w:hint="eastAsia" w:asciiTheme="minorEastAsia" w:hAnsiTheme="minorEastAsia" w:eastAsiaTheme="minorEastAsia" w:cstheme="minorEastAsia"/>
                <w:color w:val="auto"/>
                <w:spacing w:val="4"/>
                <w:sz w:val="24"/>
                <w:szCs w:val="24"/>
                <w:highlight w:val="none"/>
              </w:rPr>
            </w:pPr>
          </w:p>
          <w:p w14:paraId="2F09C55D">
            <w:pPr>
              <w:kinsoku/>
              <w:spacing w:before="75" w:line="360" w:lineRule="auto"/>
              <w:ind w:firstLine="248" w:firstLineChars="100"/>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3.2.2</w:t>
            </w:r>
          </w:p>
          <w:p w14:paraId="17B83CFC">
            <w:pPr>
              <w:pStyle w:val="8"/>
              <w:kinsoku/>
              <w:rPr>
                <w:rFonts w:hint="eastAsia"/>
                <w:color w:val="auto"/>
                <w:highlight w:val="none"/>
              </w:rPr>
            </w:pPr>
          </w:p>
          <w:p w14:paraId="0C0138A3">
            <w:pPr>
              <w:pStyle w:val="8"/>
              <w:kinsoku/>
              <w:rPr>
                <w:rFonts w:hint="eastAsia" w:asciiTheme="minorEastAsia" w:hAnsiTheme="minorEastAsia" w:eastAsiaTheme="minorEastAsia" w:cstheme="minorEastAsia"/>
                <w:color w:val="auto"/>
                <w:spacing w:val="4"/>
                <w:sz w:val="24"/>
                <w:szCs w:val="24"/>
                <w:highlight w:val="none"/>
              </w:rPr>
            </w:pPr>
          </w:p>
          <w:p w14:paraId="401BD42D">
            <w:pPr>
              <w:pStyle w:val="8"/>
              <w:kinsoku/>
              <w:rPr>
                <w:rFonts w:hint="eastAsia" w:asciiTheme="minorEastAsia" w:hAnsiTheme="minorEastAsia" w:eastAsiaTheme="minorEastAsia" w:cstheme="minorEastAsia"/>
                <w:color w:val="auto"/>
                <w:spacing w:val="4"/>
                <w:sz w:val="24"/>
                <w:szCs w:val="24"/>
                <w:highlight w:val="none"/>
              </w:rPr>
            </w:pPr>
          </w:p>
        </w:tc>
        <w:tc>
          <w:tcPr>
            <w:tcW w:w="7611" w:type="dxa"/>
          </w:tcPr>
          <w:p w14:paraId="1F272904">
            <w:pPr>
              <w:kinsoku/>
              <w:spacing w:before="1" w:line="360" w:lineRule="auto"/>
              <w:ind w:left="113" w:right="182" w:firstLine="11"/>
              <w:rPr>
                <w:rFonts w:hint="eastAsia" w:asciiTheme="minorEastAsia" w:hAnsiTheme="minorEastAsia" w:eastAsiaTheme="minorEastAsia" w:cstheme="minorEastAsia"/>
                <w:color w:val="auto"/>
                <w:spacing w:val="8"/>
                <w:highlight w:val="none"/>
              </w:rPr>
            </w:pPr>
            <w:r>
              <w:rPr>
                <w:rFonts w:hint="eastAsia" w:asciiTheme="minorEastAsia" w:hAnsiTheme="minorEastAsia" w:eastAsiaTheme="minorEastAsia" w:cstheme="minorEastAsia"/>
                <w:color w:val="auto"/>
                <w:spacing w:val="8"/>
                <w:highlight w:val="none"/>
              </w:rPr>
              <w:t>将评标办法范本原文第3.2.</w:t>
            </w:r>
            <w:r>
              <w:rPr>
                <w:rFonts w:hint="eastAsia" w:asciiTheme="minorEastAsia" w:hAnsiTheme="minorEastAsia" w:eastAsiaTheme="minorEastAsia" w:cstheme="minorEastAsia"/>
                <w:color w:val="auto"/>
                <w:spacing w:val="8"/>
                <w:highlight w:val="none"/>
                <w:lang w:val="en-US" w:eastAsia="zh-CN"/>
              </w:rPr>
              <w:t>2</w:t>
            </w:r>
            <w:r>
              <w:rPr>
                <w:rFonts w:hint="eastAsia" w:asciiTheme="minorEastAsia" w:hAnsiTheme="minorEastAsia" w:eastAsiaTheme="minorEastAsia" w:cstheme="minorEastAsia"/>
                <w:color w:val="auto"/>
                <w:spacing w:val="8"/>
                <w:highlight w:val="none"/>
              </w:rPr>
              <w:t>款细化</w:t>
            </w:r>
            <w:r>
              <w:rPr>
                <w:rFonts w:hint="eastAsia" w:asciiTheme="minorEastAsia" w:hAnsiTheme="minorEastAsia" w:eastAsiaTheme="minorEastAsia" w:cstheme="minorEastAsia"/>
                <w:color w:val="auto"/>
                <w:spacing w:val="8"/>
                <w:highlight w:val="none"/>
                <w:lang w:val="en-US" w:eastAsia="zh-CN"/>
              </w:rPr>
              <w:t>修改</w:t>
            </w:r>
            <w:r>
              <w:rPr>
                <w:rFonts w:hint="eastAsia" w:asciiTheme="minorEastAsia" w:hAnsiTheme="minorEastAsia" w:eastAsiaTheme="minorEastAsia" w:cstheme="minorEastAsia"/>
                <w:color w:val="auto"/>
                <w:spacing w:val="8"/>
                <w:highlight w:val="none"/>
              </w:rPr>
              <w:t>如下:</w:t>
            </w:r>
          </w:p>
          <w:p w14:paraId="0E4B6DF8">
            <w:pPr>
              <w:kinsoku/>
              <w:spacing w:before="1" w:line="360" w:lineRule="auto"/>
              <w:ind w:left="113" w:right="182" w:firstLine="461" w:firstLineChars="204"/>
              <w:rPr>
                <w:rFonts w:hint="eastAsia" w:asciiTheme="minorEastAsia" w:hAnsiTheme="minorEastAsia" w:eastAsiaTheme="minorEastAsia" w:cstheme="minorEastAsia"/>
                <w:color w:val="auto"/>
                <w:spacing w:val="8"/>
                <w:highlight w:val="none"/>
              </w:rPr>
            </w:pPr>
            <w:r>
              <w:rPr>
                <w:rFonts w:hint="eastAsia" w:asciiTheme="minorEastAsia" w:hAnsiTheme="minorEastAsia" w:eastAsiaTheme="minorEastAsia" w:cstheme="minorEastAsia"/>
                <w:color w:val="auto"/>
                <w:spacing w:val="8"/>
                <w:highlight w:val="none"/>
              </w:rPr>
              <w:t>评标委员会在第一个信封详细评审时，各评分因素（技术能力、履约信誉除外）得分一般不得低于该权重分值的60%，评标委员会成员对某一项评分因素的评分低于权重值60%的，应当在评标报告中作出说明。商务评分（主要人员、其他因素）得分应以评标委员会各成员的算术平均值确定。</w:t>
            </w:r>
          </w:p>
          <w:p w14:paraId="683FB035">
            <w:pPr>
              <w:kinsoku/>
              <w:spacing w:before="1" w:line="360" w:lineRule="auto"/>
              <w:ind w:right="182" w:firstLine="452" w:firstLineChars="200"/>
              <w:rPr>
                <w:rFonts w:hint="eastAsia" w:asciiTheme="minorEastAsia" w:hAnsiTheme="minorEastAsia" w:eastAsiaTheme="minorEastAsia" w:cstheme="minorEastAsia"/>
                <w:color w:val="auto"/>
                <w:spacing w:val="8"/>
                <w:highlight w:val="none"/>
              </w:rPr>
            </w:pPr>
            <w:r>
              <w:rPr>
                <w:rFonts w:hint="eastAsia" w:asciiTheme="minorEastAsia" w:hAnsiTheme="minorEastAsia" w:eastAsiaTheme="minorEastAsia" w:cstheme="minorEastAsia"/>
                <w:color w:val="auto"/>
                <w:spacing w:val="8"/>
                <w:highlight w:val="none"/>
              </w:rPr>
              <w:t>评标委员会人数为9人时，计算投标人技术得分时:首先在评委技术评分中采用取消同一评委对同一标段各投标人评分总分的差值最大的1名评委评分分值（若有2名或以上评委技术评分总分差值最大值相等时,则取消其中1名评委的所有评分，具体办法如下)，再对各评分因素细分项中取消一个最高、一个最低分后计算其算术平均值的和为投标人的最终技术得分，平均值计算保留小数点后三位，小数点后第四位“四舍五入”。</w:t>
            </w:r>
          </w:p>
          <w:p w14:paraId="786247F4">
            <w:pPr>
              <w:kinsoku/>
              <w:spacing w:before="1" w:line="360" w:lineRule="auto"/>
              <w:ind w:right="182" w:firstLine="452" w:firstLineChars="200"/>
              <w:rPr>
                <w:rFonts w:hint="eastAsia" w:asciiTheme="minorEastAsia" w:hAnsiTheme="minorEastAsia" w:eastAsiaTheme="minorEastAsia" w:cstheme="minorEastAsia"/>
                <w:color w:val="auto"/>
                <w:spacing w:val="8"/>
                <w:highlight w:val="none"/>
              </w:rPr>
            </w:pPr>
            <w:r>
              <w:rPr>
                <w:rFonts w:hint="eastAsia" w:asciiTheme="minorEastAsia" w:hAnsiTheme="minorEastAsia" w:eastAsiaTheme="minorEastAsia" w:cstheme="minorEastAsia"/>
                <w:color w:val="auto"/>
                <w:spacing w:val="8"/>
                <w:highlight w:val="none"/>
              </w:rPr>
              <w:t>取消其中1名评委所有评分的办法一(依次按照以下流程):(1)对比上述出现技术评分总分差值最大值相等的评委的次分差值(次分差值=某一评委技术评分总分的最高分-该评委技术评分总分的次低分)，取消次分差值最大的评委所有评分；(2)如次分差值仍相同，则按随机抽取的方式选定取消1名评委评分。</w:t>
            </w:r>
          </w:p>
          <w:p w14:paraId="6D0CD371">
            <w:pPr>
              <w:kinsoku/>
              <w:spacing w:before="1" w:line="360" w:lineRule="auto"/>
              <w:ind w:left="113" w:right="182" w:firstLine="461" w:firstLineChars="204"/>
              <w:rPr>
                <w:rFonts w:hint="eastAsia" w:asciiTheme="minorEastAsia" w:hAnsiTheme="minorEastAsia" w:eastAsiaTheme="minorEastAsia" w:cstheme="minorEastAsia"/>
                <w:color w:val="auto"/>
                <w:spacing w:val="8"/>
                <w:highlight w:val="none"/>
              </w:rPr>
            </w:pPr>
            <w:r>
              <w:rPr>
                <w:rFonts w:hint="eastAsia" w:asciiTheme="minorEastAsia" w:hAnsiTheme="minorEastAsia" w:eastAsiaTheme="minorEastAsia" w:cstheme="minorEastAsia"/>
                <w:color w:val="auto"/>
                <w:spacing w:val="8"/>
                <w:highlight w:val="none"/>
              </w:rPr>
              <w:t>取消其中1名评委所有评分的办法二:按随机抽取的方式选定取消1名评委评分。</w:t>
            </w:r>
          </w:p>
          <w:p w14:paraId="590BC22F">
            <w:pPr>
              <w:kinsoku/>
              <w:spacing w:before="1" w:line="360" w:lineRule="auto"/>
              <w:ind w:left="113" w:right="182" w:firstLine="428" w:firstLineChars="204"/>
              <w:rPr>
                <w:rFonts w:hint="eastAsia" w:eastAsia="宋体" w:asciiTheme="minorEastAsia" w:hAnsiTheme="minorEastAsia" w:cstheme="minorEastAsia"/>
                <w:color w:val="auto"/>
                <w:spacing w:val="8"/>
                <w:highlight w:val="none"/>
              </w:rPr>
            </w:pPr>
            <w:r>
              <w:rPr>
                <w:rFonts w:hint="eastAsia" w:ascii="宋体" w:hAnsi="宋体" w:cs="宋体"/>
                <w:color w:val="auto"/>
                <w:highlight w:val="none"/>
              </w:rPr>
              <w:t>评标委员会</w:t>
            </w:r>
            <w:r>
              <w:rPr>
                <w:rFonts w:hint="eastAsia" w:ascii="宋体" w:hAnsi="宋体" w:eastAsia="宋体" w:cs="宋体"/>
                <w:color w:val="auto"/>
                <w:highlight w:val="none"/>
              </w:rPr>
              <w:t>人数</w:t>
            </w:r>
            <w:r>
              <w:rPr>
                <w:rFonts w:hint="eastAsia" w:ascii="宋体" w:hAnsi="宋体" w:cs="宋体"/>
                <w:color w:val="auto"/>
                <w:highlight w:val="none"/>
              </w:rPr>
              <w:t>为7人时，</w:t>
            </w:r>
            <w:r>
              <w:rPr>
                <w:rFonts w:hint="eastAsia" w:asciiTheme="minorEastAsia" w:hAnsiTheme="minorEastAsia" w:eastAsiaTheme="minorEastAsia" w:cstheme="minorEastAsia"/>
                <w:color w:val="auto"/>
                <w:spacing w:val="8"/>
                <w:highlight w:val="none"/>
              </w:rPr>
              <w:t>计算投标人技术得分时：</w:t>
            </w:r>
            <w:r>
              <w:rPr>
                <w:rFonts w:hint="eastAsia" w:ascii="宋体" w:hAnsi="宋体" w:cs="宋体"/>
                <w:color w:val="auto"/>
                <w:highlight w:val="none"/>
              </w:rPr>
              <w:t>各评分因素细分项中取消一个最高、一个最低分后计算算术平均值的和为投标人的最终技术得分，平均值计算保留小数点后三位</w:t>
            </w:r>
            <w:r>
              <w:rPr>
                <w:rFonts w:hint="eastAsia" w:ascii="宋体" w:hAnsi="宋体" w:eastAsia="宋体" w:cs="宋体"/>
                <w:color w:val="auto"/>
                <w:highlight w:val="none"/>
              </w:rPr>
              <w:t>，</w:t>
            </w:r>
            <w:r>
              <w:rPr>
                <w:rFonts w:hint="eastAsia" w:asciiTheme="minorEastAsia" w:hAnsiTheme="minorEastAsia" w:eastAsiaTheme="minorEastAsia" w:cstheme="minorEastAsia"/>
                <w:color w:val="auto"/>
                <w:spacing w:val="8"/>
                <w:highlight w:val="none"/>
              </w:rPr>
              <w:t>小数点后第四位“四舍五入”。</w:t>
            </w:r>
          </w:p>
          <w:p w14:paraId="11CA3A27">
            <w:pPr>
              <w:pStyle w:val="2"/>
              <w:kinsoku/>
              <w:rPr>
                <w:rFonts w:hint="eastAsia" w:asciiTheme="minorEastAsia" w:hAnsiTheme="minorEastAsia" w:eastAsiaTheme="minorEastAsia" w:cstheme="minorEastAsia"/>
                <w:b w:val="0"/>
                <w:color w:val="auto"/>
                <w:spacing w:val="8"/>
                <w:kern w:val="0"/>
                <w:sz w:val="21"/>
                <w:szCs w:val="21"/>
                <w:highlight w:val="none"/>
              </w:rPr>
            </w:pPr>
            <w:r>
              <w:rPr>
                <w:rFonts w:hint="eastAsia" w:asciiTheme="minorEastAsia" w:hAnsiTheme="minorEastAsia" w:eastAsiaTheme="minorEastAsia" w:cstheme="minorEastAsia"/>
                <w:b w:val="0"/>
                <w:color w:val="auto"/>
                <w:spacing w:val="8"/>
                <w:kern w:val="0"/>
                <w:sz w:val="21"/>
                <w:szCs w:val="21"/>
                <w:highlight w:val="none"/>
              </w:rPr>
              <w:t>当评标委员会为5人时，得分为评标委员会各位评委打分的最终得分的算术平均值，平均值计算四舍五入保留小数点后三位。</w:t>
            </w:r>
          </w:p>
          <w:p w14:paraId="0A01DD18">
            <w:pPr>
              <w:pStyle w:val="2"/>
              <w:kinsoku/>
              <w:rPr>
                <w:rFonts w:hint="eastAsia" w:asciiTheme="minorEastAsia" w:hAnsiTheme="minorEastAsia" w:eastAsiaTheme="minorEastAsia" w:cstheme="minorEastAsia"/>
                <w:b w:val="0"/>
                <w:color w:val="auto"/>
                <w:spacing w:val="8"/>
                <w:kern w:val="0"/>
                <w:sz w:val="21"/>
                <w:szCs w:val="21"/>
                <w:highlight w:val="none"/>
              </w:rPr>
            </w:pPr>
            <w:r>
              <w:rPr>
                <w:rFonts w:hint="eastAsia" w:asciiTheme="minorEastAsia" w:hAnsiTheme="minorEastAsia" w:eastAsiaTheme="minorEastAsia" w:cstheme="minorEastAsia"/>
                <w:b w:val="0"/>
                <w:color w:val="auto"/>
                <w:spacing w:val="8"/>
                <w:kern w:val="0"/>
                <w:sz w:val="21"/>
                <w:szCs w:val="21"/>
                <w:highlight w:val="none"/>
              </w:rPr>
              <w:t>以上评标委员会人数以实际参与评审的评标委员会人数数量为准。</w:t>
            </w:r>
          </w:p>
          <w:p w14:paraId="43A7C631">
            <w:pPr>
              <w:pStyle w:val="2"/>
              <w:kinsoku/>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投标人的商务得分保留至小数点后两位，小数点后第三位“四舍五入”。</w:t>
            </w:r>
          </w:p>
        </w:tc>
      </w:tr>
      <w:tr w14:paraId="58A018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1" w:hRule="atLeast"/>
        </w:trPr>
        <w:tc>
          <w:tcPr>
            <w:tcW w:w="890" w:type="dxa"/>
            <w:vAlign w:val="center"/>
          </w:tcPr>
          <w:p w14:paraId="7DF0B89F">
            <w:pPr>
              <w:widowControl w:val="0"/>
              <w:kinsoku/>
              <w:spacing w:line="360" w:lineRule="exact"/>
              <w:jc w:val="center"/>
              <w:textAlignment w:val="auto"/>
              <w:rPr>
                <w:rFonts w:hint="eastAsia" w:asciiTheme="minorEastAsia" w:hAnsiTheme="minorEastAsia" w:eastAsiaTheme="minorEastAsia" w:cstheme="minorEastAsia"/>
                <w:color w:val="auto"/>
                <w:spacing w:val="4"/>
                <w:sz w:val="24"/>
                <w:szCs w:val="24"/>
                <w:highlight w:val="none"/>
              </w:rPr>
            </w:pPr>
            <w:r>
              <w:rPr>
                <w:rFonts w:hint="eastAsia" w:ascii="宋体" w:hAnsi="宋体" w:cs="宋体"/>
                <w:bCs/>
                <w:color w:val="auto"/>
                <w:highlight w:val="none"/>
              </w:rPr>
              <w:t>3.4</w:t>
            </w:r>
          </w:p>
        </w:tc>
        <w:tc>
          <w:tcPr>
            <w:tcW w:w="7611" w:type="dxa"/>
          </w:tcPr>
          <w:p w14:paraId="5AF1F857">
            <w:pPr>
              <w:widowControl w:val="0"/>
              <w:kinsoku/>
              <w:spacing w:line="360" w:lineRule="auto"/>
              <w:ind w:firstLine="420"/>
              <w:textAlignment w:val="auto"/>
              <w:rPr>
                <w:rFonts w:hint="eastAsia" w:asciiTheme="minorEastAsia" w:hAnsiTheme="minorEastAsia" w:eastAsiaTheme="minorEastAsia" w:cstheme="minorEastAsia"/>
                <w:color w:val="auto"/>
                <w:highlight w:val="none"/>
              </w:rPr>
            </w:pPr>
            <w:r>
              <w:rPr>
                <w:rFonts w:hint="eastAsia" w:ascii="宋体" w:hAnsi="宋体" w:cs="宋体"/>
                <w:color w:val="auto"/>
                <w:highlight w:val="none"/>
              </w:rPr>
              <w:t>本项目招标采用</w:t>
            </w:r>
            <w:r>
              <w:rPr>
                <w:rFonts w:hint="eastAsia" w:ascii="宋体" w:hAnsi="宋体" w:cs="宋体"/>
                <w:b/>
                <w:bCs/>
                <w:color w:val="auto"/>
                <w:highlight w:val="none"/>
              </w:rPr>
              <w:t>投标合同单价折扣系数</w:t>
            </w:r>
            <w:r>
              <w:rPr>
                <w:rFonts w:hint="eastAsia" w:ascii="宋体" w:hAnsi="宋体" w:cs="宋体"/>
                <w:color w:val="auto"/>
                <w:highlight w:val="none"/>
              </w:rPr>
              <w:t>的方式进行报价，无须按照本章第 3.4.2 项和第 3.4.3 项的规定对投标报价进行修正，第 3.4.2 项至第 3.4.</w:t>
            </w:r>
            <w:r>
              <w:rPr>
                <w:rFonts w:hint="eastAsia" w:ascii="宋体" w:hAnsi="宋体" w:eastAsia="宋体" w:cs="宋体"/>
                <w:color w:val="auto"/>
                <w:highlight w:val="none"/>
              </w:rPr>
              <w:t>4</w:t>
            </w:r>
            <w:r>
              <w:rPr>
                <w:rFonts w:hint="eastAsia" w:ascii="宋体" w:hAnsi="宋体" w:cs="宋体"/>
                <w:color w:val="auto"/>
                <w:highlight w:val="none"/>
              </w:rPr>
              <w:t xml:space="preserve"> 项内容不适用。</w:t>
            </w:r>
          </w:p>
        </w:tc>
      </w:tr>
      <w:tr w14:paraId="4087CA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08" w:hRule="atLeast"/>
        </w:trPr>
        <w:tc>
          <w:tcPr>
            <w:tcW w:w="890" w:type="dxa"/>
            <w:vAlign w:val="center"/>
          </w:tcPr>
          <w:p w14:paraId="2283F32E">
            <w:pPr>
              <w:widowControl w:val="0"/>
              <w:kinsoku/>
              <w:spacing w:line="360" w:lineRule="exact"/>
              <w:jc w:val="center"/>
              <w:textAlignment w:val="auto"/>
              <w:rPr>
                <w:rFonts w:ascii="宋体" w:hAnsi="宋体" w:cs="宋体"/>
                <w:bCs/>
                <w:color w:val="auto"/>
                <w:highlight w:val="none"/>
              </w:rPr>
            </w:pPr>
            <w:r>
              <w:rPr>
                <w:rFonts w:hint="eastAsia" w:ascii="宋体" w:hAnsi="宋体" w:cs="宋体"/>
                <w:bCs/>
                <w:color w:val="auto"/>
                <w:highlight w:val="none"/>
              </w:rPr>
              <w:t>3.5.1</w:t>
            </w:r>
          </w:p>
        </w:tc>
        <w:tc>
          <w:tcPr>
            <w:tcW w:w="7611" w:type="dxa"/>
          </w:tcPr>
          <w:p w14:paraId="155B4D2E">
            <w:pPr>
              <w:kinsoku/>
              <w:spacing w:line="360" w:lineRule="auto"/>
              <w:ind w:firstLine="210"/>
              <w:rPr>
                <w:color w:val="auto"/>
                <w:highlight w:val="none"/>
              </w:rPr>
            </w:pPr>
            <w:r>
              <w:rPr>
                <w:rFonts w:hint="eastAsia" w:ascii="宋体" w:hAnsi="宋体" w:cs="宋体"/>
                <w:color w:val="auto"/>
                <w:highlight w:val="none"/>
              </w:rPr>
              <w:t>将评标办法范本原文第3.5.1款修改为：</w:t>
            </w:r>
          </w:p>
          <w:p w14:paraId="01EEDD2E">
            <w:pPr>
              <w:widowControl w:val="0"/>
              <w:kinsoku/>
              <w:spacing w:line="360" w:lineRule="auto"/>
              <w:ind w:firstLine="420"/>
              <w:textAlignment w:val="auto"/>
              <w:rPr>
                <w:rFonts w:ascii="宋体" w:hAnsi="宋体" w:cs="宋体"/>
                <w:color w:val="auto"/>
                <w:highlight w:val="none"/>
              </w:rPr>
            </w:pPr>
            <w:r>
              <w:rPr>
                <w:rFonts w:hint="eastAsia" w:ascii="宋体" w:hAnsi="宋体" w:cs="宋体"/>
                <w:color w:val="auto"/>
                <w:highlight w:val="none"/>
              </w:rPr>
              <w:t>评标委员会按本章第2.2.4（3）目规定的评审因素和分值对评标合同单价折扣系数计算出得分C。评标合同单价折扣系数得分分值计算保留小数点后四位，小数点后第五位“四舍五入”。</w:t>
            </w:r>
          </w:p>
        </w:tc>
      </w:tr>
      <w:tr w14:paraId="632357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890" w:type="dxa"/>
          </w:tcPr>
          <w:p w14:paraId="6449920B">
            <w:pPr>
              <w:kinsoku/>
              <w:spacing w:before="75" w:line="360" w:lineRule="auto"/>
              <w:ind w:firstLine="122"/>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3.6.1</w:t>
            </w:r>
          </w:p>
        </w:tc>
        <w:tc>
          <w:tcPr>
            <w:tcW w:w="7611" w:type="dxa"/>
          </w:tcPr>
          <w:p w14:paraId="4053FF1C">
            <w:pPr>
              <w:kinsoku/>
              <w:spacing w:before="1" w:line="360" w:lineRule="auto"/>
              <w:ind w:right="182"/>
              <w:rPr>
                <w:rFonts w:hint="eastAsia" w:asciiTheme="minorEastAsia" w:hAnsiTheme="minorEastAsia" w:eastAsiaTheme="minorEastAsia" w:cstheme="minorEastAsia"/>
                <w:color w:val="auto"/>
                <w:spacing w:val="8"/>
                <w:highlight w:val="none"/>
              </w:rPr>
            </w:pPr>
            <w:r>
              <w:rPr>
                <w:rFonts w:hint="eastAsia" w:asciiTheme="minorEastAsia" w:hAnsiTheme="minorEastAsia" w:eastAsiaTheme="minorEastAsia" w:cstheme="minorEastAsia"/>
                <w:color w:val="auto"/>
                <w:spacing w:val="8"/>
                <w:highlight w:val="none"/>
              </w:rPr>
              <w:t xml:space="preserve">3.6.1 项（2）目末增加以下条款： </w:t>
            </w:r>
          </w:p>
          <w:p w14:paraId="7FA3EBBF">
            <w:pPr>
              <w:kinsoku/>
              <w:spacing w:before="1" w:line="360" w:lineRule="auto"/>
              <w:ind w:right="182" w:firstLine="452" w:firstLineChars="200"/>
              <w:rPr>
                <w:rFonts w:hint="eastAsia" w:asciiTheme="minorEastAsia" w:hAnsiTheme="minorEastAsia" w:eastAsiaTheme="minorEastAsia" w:cstheme="minorEastAsia"/>
                <w:color w:val="auto"/>
                <w:spacing w:val="8"/>
                <w:highlight w:val="none"/>
              </w:rPr>
            </w:pPr>
            <w:r>
              <w:rPr>
                <w:rFonts w:hint="eastAsia" w:asciiTheme="minorEastAsia" w:hAnsiTheme="minorEastAsia" w:eastAsiaTheme="minorEastAsia" w:cstheme="minorEastAsia"/>
                <w:color w:val="auto"/>
                <w:spacing w:val="8"/>
                <w:highlight w:val="none"/>
              </w:rPr>
              <w:t>g.广东省实施《中华人民共和国招标投标法》办法第十六条规定的情形。</w:t>
            </w:r>
          </w:p>
        </w:tc>
      </w:tr>
      <w:tr w14:paraId="177E35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9" w:hRule="atLeast"/>
        </w:trPr>
        <w:tc>
          <w:tcPr>
            <w:tcW w:w="890" w:type="dxa"/>
          </w:tcPr>
          <w:p w14:paraId="39659C73">
            <w:pPr>
              <w:kinsoku/>
              <w:spacing w:before="75" w:line="360" w:lineRule="auto"/>
              <w:ind w:firstLine="122"/>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z w:val="24"/>
                <w:szCs w:val="24"/>
                <w:highlight w:val="none"/>
                <w:lang w:bidi="ar"/>
              </w:rPr>
              <w:t xml:space="preserve">3.6.3 </w:t>
            </w:r>
          </w:p>
        </w:tc>
        <w:tc>
          <w:tcPr>
            <w:tcW w:w="7611" w:type="dxa"/>
          </w:tcPr>
          <w:p w14:paraId="4C1A622F">
            <w:pPr>
              <w:kinsoku/>
              <w:spacing w:before="1" w:line="360" w:lineRule="auto"/>
              <w:ind w:right="182"/>
              <w:rPr>
                <w:rFonts w:hint="eastAsia" w:asciiTheme="minorEastAsia" w:hAnsiTheme="minorEastAsia" w:eastAsiaTheme="minorEastAsia" w:cstheme="minorEastAsia"/>
                <w:color w:val="auto"/>
                <w:spacing w:val="8"/>
                <w:highlight w:val="none"/>
              </w:rPr>
            </w:pPr>
            <w:r>
              <w:rPr>
                <w:rFonts w:hint="eastAsia" w:asciiTheme="minorEastAsia" w:hAnsiTheme="minorEastAsia" w:eastAsiaTheme="minorEastAsia" w:cstheme="minorEastAsia"/>
                <w:color w:val="auto"/>
                <w:spacing w:val="8"/>
                <w:highlight w:val="none"/>
              </w:rPr>
              <w:t xml:space="preserve">增加 3.6.3 项： </w:t>
            </w:r>
          </w:p>
          <w:p w14:paraId="70F596BB">
            <w:pPr>
              <w:kinsoku/>
              <w:spacing w:before="1" w:line="360" w:lineRule="auto"/>
              <w:ind w:right="182" w:firstLine="452" w:firstLineChars="200"/>
              <w:rPr>
                <w:rFonts w:hint="eastAsia" w:asciiTheme="minorEastAsia" w:hAnsiTheme="minorEastAsia" w:eastAsiaTheme="minorEastAsia" w:cstheme="minorEastAsia"/>
                <w:color w:val="auto"/>
                <w:spacing w:val="8"/>
                <w:highlight w:val="none"/>
              </w:rPr>
            </w:pPr>
            <w:r>
              <w:rPr>
                <w:rFonts w:hint="eastAsia" w:asciiTheme="minorEastAsia" w:hAnsiTheme="minorEastAsia" w:eastAsiaTheme="minorEastAsia" w:cstheme="minorEastAsia"/>
                <w:color w:val="auto"/>
                <w:spacing w:val="8"/>
                <w:highlight w:val="none"/>
              </w:rPr>
              <w:t>3.6.3 依法必须进行招标的项目，除第一中标候选人或者中标人，其他投标人存在串通投标、弄虚作假、行贿情形且在评标过程中未被发现的，视为对中标结果没有造成实质性影响，招标人可以依法继续开展招标活动。投标人的违法行为由行政监督部门依法处理。</w:t>
            </w:r>
          </w:p>
        </w:tc>
      </w:tr>
      <w:tr w14:paraId="0DBE8A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88" w:hRule="atLeast"/>
        </w:trPr>
        <w:tc>
          <w:tcPr>
            <w:tcW w:w="890" w:type="dxa"/>
          </w:tcPr>
          <w:p w14:paraId="61D06071">
            <w:pPr>
              <w:kinsoku/>
              <w:spacing w:line="360" w:lineRule="auto"/>
              <w:rPr>
                <w:rFonts w:hint="eastAsia" w:asciiTheme="minorEastAsia" w:hAnsiTheme="minorEastAsia" w:eastAsiaTheme="minorEastAsia" w:cstheme="minorEastAsia"/>
                <w:color w:val="auto"/>
                <w:sz w:val="24"/>
                <w:szCs w:val="24"/>
                <w:highlight w:val="none"/>
              </w:rPr>
            </w:pPr>
          </w:p>
          <w:p w14:paraId="13260814">
            <w:pPr>
              <w:kinsoku/>
              <w:spacing w:line="360" w:lineRule="auto"/>
              <w:rPr>
                <w:rFonts w:hint="eastAsia" w:asciiTheme="minorEastAsia" w:hAnsiTheme="minorEastAsia" w:eastAsiaTheme="minorEastAsia" w:cstheme="minorEastAsia"/>
                <w:color w:val="auto"/>
                <w:sz w:val="24"/>
                <w:szCs w:val="24"/>
                <w:highlight w:val="none"/>
              </w:rPr>
            </w:pPr>
          </w:p>
          <w:p w14:paraId="75A39820">
            <w:pPr>
              <w:kinsoku/>
              <w:spacing w:line="360" w:lineRule="auto"/>
              <w:rPr>
                <w:rFonts w:hint="eastAsia" w:asciiTheme="minorEastAsia" w:hAnsiTheme="minorEastAsia" w:eastAsiaTheme="minorEastAsia" w:cstheme="minorEastAsia"/>
                <w:color w:val="auto"/>
                <w:sz w:val="24"/>
                <w:szCs w:val="24"/>
                <w:highlight w:val="none"/>
              </w:rPr>
            </w:pPr>
          </w:p>
          <w:p w14:paraId="62ECC950">
            <w:pPr>
              <w:kinsoku/>
              <w:spacing w:before="74" w:line="360" w:lineRule="auto"/>
              <w:ind w:firstLine="122"/>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3.9</w:t>
            </w:r>
          </w:p>
        </w:tc>
        <w:tc>
          <w:tcPr>
            <w:tcW w:w="7611" w:type="dxa"/>
          </w:tcPr>
          <w:p w14:paraId="7A6161EF">
            <w:pPr>
              <w:kinsoku/>
              <w:spacing w:line="360" w:lineRule="auto"/>
              <w:rPr>
                <w:rFonts w:hint="eastAsia" w:asciiTheme="minorEastAsia" w:hAnsiTheme="minorEastAsia" w:eastAsiaTheme="minorEastAsia" w:cstheme="minorEastAsia"/>
                <w:color w:val="auto"/>
                <w:spacing w:val="6"/>
                <w:highlight w:val="none"/>
              </w:rPr>
            </w:pPr>
            <w:r>
              <w:rPr>
                <w:rFonts w:hint="eastAsia" w:asciiTheme="minorEastAsia" w:hAnsiTheme="minorEastAsia" w:eastAsiaTheme="minorEastAsia" w:cstheme="minorEastAsia"/>
                <w:color w:val="auto"/>
                <w:spacing w:val="6"/>
                <w:highlight w:val="none"/>
              </w:rPr>
              <w:t>评标办法范本原文增加 3.9.3、3.9.4、3.9.5、3.9.6、3.9.7 条款：</w:t>
            </w:r>
          </w:p>
          <w:p w14:paraId="02818F26">
            <w:pPr>
              <w:kinsoku/>
              <w:spacing w:line="360" w:lineRule="auto"/>
              <w:ind w:firstLine="420" w:firstLineChars="200"/>
              <w:rPr>
                <w:rFonts w:hint="eastAsia" w:asciiTheme="minorEastAsia" w:hAnsiTheme="minorEastAsia" w:eastAsiaTheme="minorEastAsia" w:cstheme="minorEastAsia"/>
                <w:color w:val="auto"/>
                <w:highlight w:val="none"/>
                <w:lang w:bidi="ar"/>
              </w:rPr>
            </w:pPr>
            <w:r>
              <w:rPr>
                <w:rFonts w:hint="eastAsia" w:asciiTheme="minorEastAsia" w:hAnsiTheme="minorEastAsia" w:eastAsiaTheme="minorEastAsia" w:cstheme="minorEastAsia"/>
                <w:color w:val="auto"/>
                <w:highlight w:val="none"/>
                <w:lang w:bidi="ar"/>
              </w:rPr>
              <w:t>3.9.3按照综合得分排名次序依次推荐</w:t>
            </w:r>
          </w:p>
          <w:p w14:paraId="18699F8A">
            <w:pPr>
              <w:kinsoku/>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bidi="ar"/>
              </w:rPr>
              <w:t xml:space="preserve">中标候选人。 </w:t>
            </w:r>
          </w:p>
          <w:p w14:paraId="2B9F5734">
            <w:pPr>
              <w:kinsoku/>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bidi="ar"/>
              </w:rPr>
              <w:t xml:space="preserve">3.9.4通过第一信封商务和技术文件评审的投标人少于3个的，评标委员会可以否决全部投标;未否决全部投标的，评标委员会应当在评标报告中阐述理由，招标人应当按照招标文件规定的程序进行第二信封报价文件开标，但评标委员会在进行报价文件评审时仍有权否决全部投标:评标委员会未在报价文件评审时否决全部投标的，应当在评标报告中阐述理由并推荐中标候选人。 </w:t>
            </w:r>
          </w:p>
          <w:p w14:paraId="2F3974AA">
            <w:pPr>
              <w:kinsoku/>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bidi="ar"/>
              </w:rPr>
              <w:t xml:space="preserve">3.9.5通过第一个信封商务和技术文件评审的投标人在3个及以上的，招标人应当按照招标文件规定的程序进行第二个信封报价文件开标；在对报价文件进行评审后，有效投标不足3个的，评标委员会可以否决全部投标。未否决全部投标的，评标委员会应当在评标报告中阐明理由并推荐中标候选人。 </w:t>
            </w:r>
          </w:p>
          <w:p w14:paraId="55A734CF">
            <w:pPr>
              <w:kinsoku/>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bidi="ar"/>
              </w:rPr>
              <w:t>3.9.6如果发生无法确定推荐中标候选人的其它意外情况，评标委员会可建议招标人重新招标。</w:t>
            </w:r>
          </w:p>
          <w:p w14:paraId="1630C4A0">
            <w:pPr>
              <w:kinsoku/>
              <w:spacing w:line="360" w:lineRule="auto"/>
              <w:ind w:firstLine="420" w:firstLineChars="200"/>
              <w:rPr>
                <w:rFonts w:hint="eastAsia" w:asciiTheme="minorEastAsia" w:hAnsiTheme="minorEastAsia" w:eastAsiaTheme="minorEastAsia" w:cstheme="minorEastAsia"/>
                <w:color w:val="auto"/>
                <w:highlight w:val="none"/>
                <w:lang w:bidi="ar"/>
              </w:rPr>
            </w:pPr>
            <w:r>
              <w:rPr>
                <w:rFonts w:hint="eastAsia" w:asciiTheme="minorEastAsia" w:hAnsiTheme="minorEastAsia" w:eastAsiaTheme="minorEastAsia" w:cstheme="minorEastAsia"/>
                <w:color w:val="auto"/>
                <w:highlight w:val="none"/>
                <w:lang w:bidi="ar"/>
              </w:rPr>
              <w:t>3.9.7 本招标文件规定的否决投标条款包含在以下条款：</w:t>
            </w:r>
          </w:p>
          <w:p w14:paraId="5FCD6993">
            <w:pPr>
              <w:kinsoku/>
              <w:spacing w:line="360" w:lineRule="auto"/>
              <w:ind w:firstLine="420" w:firstLineChars="200"/>
              <w:rPr>
                <w:rFonts w:hint="eastAsia" w:asciiTheme="minorEastAsia" w:hAnsiTheme="minorEastAsia" w:eastAsiaTheme="minorEastAsia" w:cstheme="minorEastAsia"/>
                <w:color w:val="auto"/>
                <w:highlight w:val="none"/>
                <w:lang w:bidi="ar"/>
              </w:rPr>
            </w:pPr>
            <w:r>
              <w:rPr>
                <w:rFonts w:hint="eastAsia" w:asciiTheme="minorEastAsia" w:hAnsiTheme="minorEastAsia" w:eastAsiaTheme="minorEastAsia" w:cstheme="minorEastAsia"/>
                <w:color w:val="auto"/>
                <w:highlight w:val="none"/>
                <w:lang w:bidi="ar"/>
              </w:rPr>
              <w:t>（1）招标公告第3点投标人资格要求；</w:t>
            </w:r>
          </w:p>
          <w:p w14:paraId="3332D8AE">
            <w:pPr>
              <w:kinsoku/>
              <w:spacing w:line="360" w:lineRule="auto"/>
              <w:ind w:firstLine="420" w:firstLineChars="200"/>
              <w:rPr>
                <w:rFonts w:hint="eastAsia" w:asciiTheme="minorEastAsia" w:hAnsiTheme="minorEastAsia" w:eastAsiaTheme="minorEastAsia" w:cstheme="minorEastAsia"/>
                <w:color w:val="auto"/>
                <w:highlight w:val="none"/>
                <w:lang w:bidi="ar"/>
              </w:rPr>
            </w:pPr>
            <w:r>
              <w:rPr>
                <w:rFonts w:hint="eastAsia" w:asciiTheme="minorEastAsia" w:hAnsiTheme="minorEastAsia" w:eastAsiaTheme="minorEastAsia" w:cstheme="minorEastAsia"/>
                <w:color w:val="auto"/>
                <w:highlight w:val="none"/>
                <w:lang w:bidi="ar"/>
              </w:rPr>
              <w:t>（2）投标人须知1.4.3款、1.4.4款、1.12.2款、3.4款、3.5.3款、3.6.1款、10.3款；</w:t>
            </w:r>
          </w:p>
          <w:p w14:paraId="43FF1702">
            <w:pPr>
              <w:kinsoku/>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bidi="ar"/>
              </w:rPr>
              <w:t>（3）本评标办法否决条款。</w:t>
            </w:r>
          </w:p>
        </w:tc>
      </w:tr>
    </w:tbl>
    <w:p w14:paraId="03F772F7">
      <w:pPr>
        <w:kinsoku/>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szCs w:val="24"/>
          <w:highlight w:val="none"/>
        </w:rPr>
        <w:br w:type="page"/>
      </w:r>
    </w:p>
    <w:p w14:paraId="57B90A5B">
      <w:pPr>
        <w:kinsoku/>
        <w:spacing w:before="91" w:line="360" w:lineRule="auto"/>
        <w:ind w:firstLine="277"/>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pacing w:val="-5"/>
          <w:sz w:val="24"/>
          <w:szCs w:val="24"/>
          <w:highlight w:val="none"/>
        </w:rPr>
        <w:t>1.评标方法</w:t>
      </w:r>
    </w:p>
    <w:p w14:paraId="4827A405">
      <w:pPr>
        <w:kinsoku/>
        <w:spacing w:before="159" w:line="360" w:lineRule="auto"/>
        <w:ind w:firstLine="50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6"/>
          <w:highlight w:val="none"/>
        </w:rPr>
        <w:t>本次评标采用综合评估法。评标委员会对满足招标文件实质性要求的投标文</w:t>
      </w:r>
      <w:r>
        <w:rPr>
          <w:rFonts w:hint="eastAsia" w:asciiTheme="minorEastAsia" w:hAnsiTheme="minorEastAsia" w:eastAsiaTheme="minorEastAsia" w:cstheme="minorEastAsia"/>
          <w:color w:val="auto"/>
          <w:spacing w:val="7"/>
          <w:highlight w:val="none"/>
        </w:rPr>
        <w:t>件，按照本章第</w:t>
      </w:r>
      <w:r>
        <w:rPr>
          <w:rFonts w:hint="eastAsia" w:asciiTheme="minorEastAsia" w:hAnsiTheme="minorEastAsia" w:eastAsiaTheme="minorEastAsia" w:cstheme="minorEastAsia"/>
          <w:color w:val="auto"/>
          <w:spacing w:val="-17"/>
          <w:highlight w:val="none"/>
        </w:rPr>
        <w:t xml:space="preserve"> </w:t>
      </w:r>
      <w:r>
        <w:rPr>
          <w:rFonts w:hint="eastAsia" w:asciiTheme="minorEastAsia" w:hAnsiTheme="minorEastAsia" w:eastAsiaTheme="minorEastAsia" w:cstheme="minorEastAsia"/>
          <w:color w:val="auto"/>
          <w:spacing w:val="7"/>
          <w:highlight w:val="none"/>
        </w:rPr>
        <w:t>2.2</w:t>
      </w:r>
      <w:r>
        <w:rPr>
          <w:rFonts w:hint="eastAsia" w:asciiTheme="minorEastAsia" w:hAnsiTheme="minorEastAsia" w:eastAsiaTheme="minorEastAsia" w:cstheme="minorEastAsia"/>
          <w:color w:val="auto"/>
          <w:spacing w:val="13"/>
          <w:highlight w:val="none"/>
        </w:rPr>
        <w:t xml:space="preserve"> </w:t>
      </w:r>
      <w:r>
        <w:rPr>
          <w:rFonts w:hint="eastAsia" w:asciiTheme="minorEastAsia" w:hAnsiTheme="minorEastAsia" w:eastAsiaTheme="minorEastAsia" w:cstheme="minorEastAsia"/>
          <w:color w:val="auto"/>
          <w:spacing w:val="7"/>
          <w:highlight w:val="none"/>
        </w:rPr>
        <w:t>款规定的评分标准进行打分，并按得分由高到低顺序推荐中</w:t>
      </w:r>
      <w:r>
        <w:rPr>
          <w:rFonts w:hint="eastAsia" w:asciiTheme="minorEastAsia" w:hAnsiTheme="minorEastAsia" w:eastAsiaTheme="minorEastAsia" w:cstheme="minorEastAsia"/>
          <w:color w:val="auto"/>
          <w:spacing w:val="8"/>
          <w:highlight w:val="none"/>
        </w:rPr>
        <w:t>标候选人，或根据招标人授权直接确定中标人，但投标报价低于其成本的除外。</w:t>
      </w:r>
      <w:r>
        <w:rPr>
          <w:rFonts w:hint="eastAsia" w:asciiTheme="minorEastAsia" w:hAnsiTheme="minorEastAsia" w:eastAsiaTheme="minorEastAsia" w:cstheme="minorEastAsia"/>
          <w:color w:val="auto"/>
          <w:spacing w:val="19"/>
          <w:highlight w:val="none"/>
        </w:rPr>
        <w:t xml:space="preserve"> </w:t>
      </w:r>
      <w:r>
        <w:rPr>
          <w:rFonts w:hint="eastAsia" w:asciiTheme="minorEastAsia" w:hAnsiTheme="minorEastAsia" w:eastAsiaTheme="minorEastAsia" w:cstheme="minorEastAsia"/>
          <w:color w:val="auto"/>
          <w:spacing w:val="7"/>
          <w:highlight w:val="none"/>
        </w:rPr>
        <w:t>综合评分相等时，评标委员会应按照评标办法前附表规定的优先次序推荐中标候</w:t>
      </w:r>
      <w:r>
        <w:rPr>
          <w:rFonts w:hint="eastAsia" w:asciiTheme="minorEastAsia" w:hAnsiTheme="minorEastAsia" w:eastAsiaTheme="minorEastAsia" w:cstheme="minorEastAsia"/>
          <w:color w:val="auto"/>
          <w:spacing w:val="8"/>
          <w:highlight w:val="none"/>
        </w:rPr>
        <w:t>选人或确定中标人。</w:t>
      </w:r>
    </w:p>
    <w:p w14:paraId="7B93FF1A">
      <w:pPr>
        <w:kinsoku/>
        <w:spacing w:before="91" w:line="360" w:lineRule="auto"/>
        <w:ind w:firstLine="277"/>
        <w:rPr>
          <w:rFonts w:hint="eastAsia" w:asciiTheme="minorEastAsia" w:hAnsiTheme="minorEastAsia" w:eastAsiaTheme="minorEastAsia" w:cstheme="minorEastAsia"/>
          <w:b/>
          <w:bCs/>
          <w:color w:val="auto"/>
          <w:spacing w:val="-5"/>
          <w:sz w:val="24"/>
          <w:szCs w:val="24"/>
          <w:highlight w:val="none"/>
        </w:rPr>
      </w:pPr>
      <w:r>
        <w:rPr>
          <w:rFonts w:hint="eastAsia" w:asciiTheme="minorEastAsia" w:hAnsiTheme="minorEastAsia" w:eastAsiaTheme="minorEastAsia" w:cstheme="minorEastAsia"/>
          <w:b/>
          <w:bCs/>
          <w:color w:val="auto"/>
          <w:spacing w:val="-5"/>
          <w:sz w:val="24"/>
          <w:szCs w:val="24"/>
          <w:highlight w:val="none"/>
        </w:rPr>
        <w:t>2.评审标准</w:t>
      </w:r>
    </w:p>
    <w:p w14:paraId="15DA8BDD">
      <w:pPr>
        <w:kinsoku/>
        <w:spacing w:before="139" w:line="360" w:lineRule="auto"/>
        <w:ind w:firstLine="5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6"/>
          <w:highlight w:val="none"/>
        </w:rPr>
        <w:t>2.1</w:t>
      </w:r>
      <w:r>
        <w:rPr>
          <w:rFonts w:hint="eastAsia" w:asciiTheme="minorEastAsia" w:hAnsiTheme="minorEastAsia" w:eastAsiaTheme="minorEastAsia" w:cstheme="minorEastAsia"/>
          <w:color w:val="auto"/>
          <w:spacing w:val="17"/>
          <w:highlight w:val="none"/>
        </w:rPr>
        <w:t xml:space="preserve"> </w:t>
      </w:r>
      <w:r>
        <w:rPr>
          <w:rFonts w:hint="eastAsia" w:asciiTheme="minorEastAsia" w:hAnsiTheme="minorEastAsia" w:eastAsiaTheme="minorEastAsia" w:cstheme="minorEastAsia"/>
          <w:color w:val="auto"/>
          <w:spacing w:val="6"/>
          <w:highlight w:val="none"/>
        </w:rPr>
        <w:t>初步评审标准</w:t>
      </w:r>
    </w:p>
    <w:p w14:paraId="6E7B3581">
      <w:pPr>
        <w:kinsoku/>
        <w:spacing w:before="146" w:line="360" w:lineRule="auto"/>
        <w:ind w:firstLine="497"/>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5"/>
          <w:highlight w:val="none"/>
        </w:rPr>
        <w:t>2.1.1形式评审标准：见评标办法前附表。</w:t>
      </w:r>
    </w:p>
    <w:p w14:paraId="1D7EF902">
      <w:pPr>
        <w:kinsoku/>
        <w:spacing w:before="116" w:line="360" w:lineRule="auto"/>
        <w:ind w:firstLine="497"/>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2"/>
          <w:highlight w:val="none"/>
        </w:rPr>
        <w:t>2.1.2资格评审标准：见评标办法前附表（适用于未进行资格预审的）。</w:t>
      </w:r>
    </w:p>
    <w:p w14:paraId="17195CB1">
      <w:pPr>
        <w:kinsoku/>
        <w:spacing w:before="119" w:line="360" w:lineRule="auto"/>
        <w:ind w:left="33" w:right="108" w:firstLine="464"/>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1"/>
          <w:highlight w:val="none"/>
        </w:rPr>
        <w:t>2.1.2资格评审标准：见资格预审文件第三章“</w:t>
      </w:r>
      <w:r>
        <w:rPr>
          <w:rFonts w:hint="eastAsia" w:asciiTheme="minorEastAsia" w:hAnsiTheme="minorEastAsia" w:eastAsiaTheme="minorEastAsia" w:cstheme="minorEastAsia"/>
          <w:color w:val="auto"/>
          <w:spacing w:val="-39"/>
          <w:highlight w:val="none"/>
        </w:rPr>
        <w:t xml:space="preserve"> </w:t>
      </w:r>
      <w:r>
        <w:rPr>
          <w:rFonts w:hint="eastAsia" w:asciiTheme="minorEastAsia" w:hAnsiTheme="minorEastAsia" w:eastAsiaTheme="minorEastAsia" w:cstheme="minorEastAsia"/>
          <w:color w:val="auto"/>
          <w:spacing w:val="1"/>
          <w:highlight w:val="none"/>
        </w:rPr>
        <w:t>资格审查办法”详细审查标准</w:t>
      </w:r>
      <w:r>
        <w:rPr>
          <w:rFonts w:hint="eastAsia" w:asciiTheme="minorEastAsia" w:hAnsiTheme="minorEastAsia" w:eastAsiaTheme="minorEastAsia" w:cstheme="minorEastAsia"/>
          <w:color w:val="auto"/>
          <w:highlight w:val="none"/>
        </w:rPr>
        <w:t xml:space="preserve"> （适用于已进行资格预审的）。</w:t>
      </w:r>
    </w:p>
    <w:p w14:paraId="6C89BADF">
      <w:pPr>
        <w:kinsoku/>
        <w:spacing w:line="360" w:lineRule="auto"/>
        <w:ind w:firstLine="497"/>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3"/>
          <w:highlight w:val="none"/>
        </w:rPr>
        <w:t>2.1.3响应性评审标准：见评标办法前附表。</w:t>
      </w:r>
    </w:p>
    <w:p w14:paraId="18BAB4FD">
      <w:pPr>
        <w:kinsoku/>
        <w:spacing w:before="91" w:line="360" w:lineRule="auto"/>
        <w:ind w:firstLine="277"/>
        <w:rPr>
          <w:rFonts w:hint="eastAsia" w:asciiTheme="minorEastAsia" w:hAnsiTheme="minorEastAsia" w:eastAsiaTheme="minorEastAsia" w:cstheme="minorEastAsia"/>
          <w:b/>
          <w:bCs/>
          <w:color w:val="auto"/>
          <w:spacing w:val="-5"/>
          <w:sz w:val="24"/>
          <w:szCs w:val="24"/>
          <w:highlight w:val="none"/>
        </w:rPr>
      </w:pPr>
      <w:r>
        <w:rPr>
          <w:rFonts w:hint="eastAsia" w:asciiTheme="minorEastAsia" w:hAnsiTheme="minorEastAsia" w:eastAsiaTheme="minorEastAsia" w:cstheme="minorEastAsia"/>
          <w:b/>
          <w:bCs/>
          <w:color w:val="auto"/>
          <w:spacing w:val="-5"/>
          <w:sz w:val="24"/>
          <w:szCs w:val="24"/>
          <w:highlight w:val="none"/>
        </w:rPr>
        <w:t>2.2 分值构成与评分标准</w:t>
      </w:r>
    </w:p>
    <w:p w14:paraId="52D55A68">
      <w:pPr>
        <w:kinsoku/>
        <w:spacing w:before="76" w:line="360" w:lineRule="auto"/>
        <w:ind w:firstLine="497"/>
        <w:rPr>
          <w:rFonts w:hint="eastAsia" w:asciiTheme="minorEastAsia" w:hAnsiTheme="minorEastAsia" w:eastAsiaTheme="minorEastAsia" w:cstheme="minorEastAsia"/>
          <w:b/>
          <w:bCs/>
          <w:color w:val="auto"/>
          <w:spacing w:val="1"/>
          <w:highlight w:val="none"/>
        </w:rPr>
      </w:pPr>
      <w:r>
        <w:rPr>
          <w:rFonts w:hint="eastAsia" w:asciiTheme="minorEastAsia" w:hAnsiTheme="minorEastAsia" w:eastAsiaTheme="minorEastAsia" w:cstheme="minorEastAsia"/>
          <w:b/>
          <w:bCs/>
          <w:color w:val="auto"/>
          <w:spacing w:val="1"/>
          <w:highlight w:val="none"/>
        </w:rPr>
        <w:t>2.2.1 分值构成</w:t>
      </w:r>
    </w:p>
    <w:p w14:paraId="1D2EC4B5">
      <w:pPr>
        <w:kinsoku/>
        <w:spacing w:before="113" w:line="360" w:lineRule="auto"/>
        <w:ind w:firstLine="513"/>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5"/>
          <w:highlight w:val="none"/>
        </w:rPr>
        <w:t>（1）技术建议书：见评标办法前附表；</w:t>
      </w:r>
    </w:p>
    <w:p w14:paraId="115F73E3">
      <w:pPr>
        <w:kinsoku/>
        <w:spacing w:before="115" w:line="360" w:lineRule="auto"/>
        <w:ind w:firstLine="513"/>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6"/>
          <w:highlight w:val="none"/>
        </w:rPr>
        <w:t>（2）主要人员：见评标办法前附表；</w:t>
      </w:r>
    </w:p>
    <w:p w14:paraId="59FBB709">
      <w:pPr>
        <w:kinsoku/>
        <w:spacing w:before="119" w:line="360" w:lineRule="auto"/>
        <w:ind w:firstLine="513"/>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7"/>
          <w:highlight w:val="none"/>
        </w:rPr>
        <w:t>（3）评标价：见评标办法前附表；</w:t>
      </w:r>
    </w:p>
    <w:p w14:paraId="793F0AB1">
      <w:pPr>
        <w:kinsoku/>
        <w:spacing w:before="119" w:line="360" w:lineRule="auto"/>
        <w:ind w:firstLine="513"/>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4"/>
          <w:highlight w:val="none"/>
        </w:rPr>
        <w:t>（4）其他评分因素：见评标办法前附表。</w:t>
      </w:r>
    </w:p>
    <w:p w14:paraId="65FECC8E">
      <w:pPr>
        <w:kinsoku/>
        <w:spacing w:before="76" w:line="360" w:lineRule="auto"/>
        <w:ind w:firstLine="497"/>
        <w:rPr>
          <w:rFonts w:hint="eastAsia" w:asciiTheme="minorEastAsia" w:hAnsiTheme="minorEastAsia" w:eastAsiaTheme="minorEastAsia" w:cstheme="minorEastAsia"/>
          <w:b/>
          <w:bCs/>
          <w:color w:val="auto"/>
          <w:spacing w:val="1"/>
          <w:highlight w:val="none"/>
        </w:rPr>
      </w:pPr>
      <w:r>
        <w:rPr>
          <w:rFonts w:hint="eastAsia" w:asciiTheme="minorEastAsia" w:hAnsiTheme="minorEastAsia" w:eastAsiaTheme="minorEastAsia" w:cstheme="minorEastAsia"/>
          <w:b/>
          <w:bCs/>
          <w:color w:val="auto"/>
          <w:spacing w:val="1"/>
          <w:highlight w:val="none"/>
        </w:rPr>
        <w:t>2.2.2</w:t>
      </w:r>
      <w:r>
        <w:rPr>
          <w:rFonts w:hint="eastAsia" w:asciiTheme="minorEastAsia" w:hAnsiTheme="minorEastAsia" w:eastAsiaTheme="minorEastAsia" w:cstheme="minorEastAsia"/>
          <w:b/>
          <w:bCs/>
          <w:color w:val="auto"/>
          <w:spacing w:val="1"/>
          <w:w w:val="100"/>
          <w:highlight w:val="none"/>
        </w:rPr>
        <w:t xml:space="preserve"> </w:t>
      </w:r>
      <w:r>
        <w:rPr>
          <w:rFonts w:hint="eastAsia" w:asciiTheme="minorEastAsia" w:hAnsiTheme="minorEastAsia" w:eastAsiaTheme="minorEastAsia" w:cstheme="minorEastAsia"/>
          <w:b/>
          <w:bCs/>
          <w:color w:val="auto"/>
          <w:spacing w:val="1"/>
          <w:highlight w:val="none"/>
        </w:rPr>
        <w:t>评标基准价计算</w:t>
      </w:r>
    </w:p>
    <w:p w14:paraId="7F35A601">
      <w:pPr>
        <w:kinsoku/>
        <w:spacing w:before="114" w:line="360" w:lineRule="auto"/>
        <w:ind w:firstLine="501"/>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1"/>
          <w:position w:val="12"/>
          <w:highlight w:val="none"/>
        </w:rPr>
        <w:t>评标基准价计算方法：见评标办法前附表。</w:t>
      </w:r>
    </w:p>
    <w:p w14:paraId="31665D60">
      <w:pPr>
        <w:kinsoku/>
        <w:spacing w:before="76" w:line="360" w:lineRule="auto"/>
        <w:ind w:firstLine="497"/>
        <w:rPr>
          <w:rFonts w:hint="eastAsia" w:asciiTheme="minorEastAsia" w:hAnsiTheme="minorEastAsia" w:eastAsiaTheme="minorEastAsia" w:cstheme="minorEastAsia"/>
          <w:b/>
          <w:bCs/>
          <w:color w:val="auto"/>
          <w:spacing w:val="1"/>
          <w:highlight w:val="none"/>
        </w:rPr>
      </w:pPr>
      <w:r>
        <w:rPr>
          <w:rFonts w:hint="eastAsia" w:asciiTheme="minorEastAsia" w:hAnsiTheme="minorEastAsia" w:eastAsiaTheme="minorEastAsia" w:cstheme="minorEastAsia"/>
          <w:b/>
          <w:bCs/>
          <w:color w:val="auto"/>
          <w:spacing w:val="1"/>
          <w:w w:val="100"/>
          <w:highlight w:val="none"/>
        </w:rPr>
        <w:t>2.2.3</w:t>
      </w:r>
      <w:r>
        <w:rPr>
          <w:rFonts w:hint="eastAsia" w:asciiTheme="minorEastAsia" w:hAnsiTheme="minorEastAsia" w:eastAsiaTheme="minorEastAsia" w:cstheme="minorEastAsia"/>
          <w:b/>
          <w:bCs/>
          <w:color w:val="auto"/>
          <w:spacing w:val="1"/>
          <w:highlight w:val="none"/>
        </w:rPr>
        <w:t xml:space="preserve"> 评标价的偏差率计算</w:t>
      </w:r>
    </w:p>
    <w:p w14:paraId="39C11849">
      <w:pPr>
        <w:kinsoku/>
        <w:spacing w:before="112" w:line="360" w:lineRule="auto"/>
        <w:ind w:firstLine="501"/>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评标价的偏差率计算公式：见评标办法前附表。</w:t>
      </w:r>
    </w:p>
    <w:p w14:paraId="17E8EFC9">
      <w:pPr>
        <w:kinsoku/>
        <w:spacing w:before="76" w:line="360" w:lineRule="auto"/>
        <w:ind w:firstLine="497"/>
        <w:rPr>
          <w:rFonts w:hint="eastAsia" w:asciiTheme="minorEastAsia" w:hAnsiTheme="minorEastAsia" w:eastAsiaTheme="minorEastAsia" w:cstheme="minorEastAsia"/>
          <w:b/>
          <w:bCs/>
          <w:color w:val="auto"/>
          <w:spacing w:val="1"/>
          <w:highlight w:val="none"/>
        </w:rPr>
      </w:pPr>
      <w:r>
        <w:rPr>
          <w:rFonts w:hint="eastAsia" w:asciiTheme="minorEastAsia" w:hAnsiTheme="minorEastAsia" w:eastAsiaTheme="minorEastAsia" w:cstheme="minorEastAsia"/>
          <w:b/>
          <w:bCs/>
          <w:color w:val="auto"/>
          <w:spacing w:val="1"/>
          <w:highlight w:val="none"/>
        </w:rPr>
        <w:t>2.2.4 评分标准</w:t>
      </w:r>
    </w:p>
    <w:p w14:paraId="3884FC04">
      <w:pPr>
        <w:kinsoku/>
        <w:spacing w:before="114" w:line="360" w:lineRule="auto"/>
        <w:ind w:firstLine="513"/>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2"/>
          <w:highlight w:val="none"/>
        </w:rPr>
        <w:t>（1）技术建议书评分标准：见评标办法前附表；</w:t>
      </w:r>
    </w:p>
    <w:p w14:paraId="679107A3">
      <w:pPr>
        <w:kinsoku/>
        <w:spacing w:before="116" w:line="360" w:lineRule="auto"/>
        <w:ind w:firstLine="513"/>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3"/>
          <w:highlight w:val="none"/>
        </w:rPr>
        <w:t>（2）主要人员评分标准：见评标办法前附表；</w:t>
      </w:r>
    </w:p>
    <w:p w14:paraId="54E352DC">
      <w:pPr>
        <w:kinsoku/>
        <w:spacing w:before="118" w:line="360" w:lineRule="auto"/>
        <w:ind w:firstLine="513"/>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3"/>
          <w:highlight w:val="none"/>
        </w:rPr>
        <w:t>（3）评标价评分标准：见评标办法前附表；</w:t>
      </w:r>
    </w:p>
    <w:p w14:paraId="086555BC">
      <w:pPr>
        <w:kinsoku/>
        <w:spacing w:before="120" w:line="360" w:lineRule="auto"/>
        <w:ind w:firstLine="513"/>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3"/>
          <w:highlight w:val="none"/>
        </w:rPr>
        <w:t>（4）其他因素评分标准：见评标办法前附表。</w:t>
      </w:r>
    </w:p>
    <w:p w14:paraId="50FFC0FE">
      <w:pPr>
        <w:kinsoku/>
        <w:spacing w:before="91" w:line="360" w:lineRule="auto"/>
        <w:ind w:firstLine="277"/>
        <w:rPr>
          <w:rFonts w:hint="eastAsia" w:asciiTheme="minorEastAsia" w:hAnsiTheme="minorEastAsia" w:eastAsiaTheme="minorEastAsia" w:cstheme="minorEastAsia"/>
          <w:b/>
          <w:bCs/>
          <w:color w:val="auto"/>
          <w:spacing w:val="-5"/>
          <w:sz w:val="24"/>
          <w:szCs w:val="24"/>
          <w:highlight w:val="none"/>
        </w:rPr>
      </w:pPr>
      <w:r>
        <w:rPr>
          <w:rFonts w:hint="eastAsia" w:asciiTheme="minorEastAsia" w:hAnsiTheme="minorEastAsia" w:eastAsiaTheme="minorEastAsia" w:cstheme="minorEastAsia"/>
          <w:b/>
          <w:bCs/>
          <w:color w:val="auto"/>
          <w:spacing w:val="-5"/>
          <w:sz w:val="24"/>
          <w:szCs w:val="24"/>
          <w:highlight w:val="none"/>
        </w:rPr>
        <w:t>3. 评标程序</w:t>
      </w:r>
    </w:p>
    <w:p w14:paraId="2211A8AA">
      <w:pPr>
        <w:kinsoku/>
        <w:spacing w:before="76" w:line="360" w:lineRule="auto"/>
        <w:ind w:firstLine="497"/>
        <w:rPr>
          <w:rFonts w:hint="eastAsia" w:asciiTheme="minorEastAsia" w:hAnsiTheme="minorEastAsia" w:eastAsiaTheme="minorEastAsia" w:cstheme="minorEastAsia"/>
          <w:b/>
          <w:bCs/>
          <w:color w:val="auto"/>
          <w:spacing w:val="1"/>
          <w:highlight w:val="none"/>
        </w:rPr>
      </w:pPr>
      <w:r>
        <w:rPr>
          <w:rFonts w:hint="eastAsia" w:asciiTheme="minorEastAsia" w:hAnsiTheme="minorEastAsia" w:eastAsiaTheme="minorEastAsia" w:cstheme="minorEastAsia"/>
          <w:b/>
          <w:bCs/>
          <w:color w:val="auto"/>
          <w:spacing w:val="1"/>
          <w:highlight w:val="none"/>
        </w:rPr>
        <w:t>3.1 第一个信封初步评审</w:t>
      </w:r>
    </w:p>
    <w:p w14:paraId="762EA212">
      <w:pPr>
        <w:kinsoku/>
        <w:spacing w:before="1" w:line="360" w:lineRule="auto"/>
        <w:ind w:left="23" w:right="125" w:firstLine="489"/>
        <w:rPr>
          <w:rFonts w:hint="eastAsia" w:asciiTheme="minorEastAsia" w:hAnsiTheme="minorEastAsia" w:eastAsiaTheme="minorEastAsia" w:cstheme="minorEastAsia"/>
          <w:color w:val="auto"/>
          <w:spacing w:val="2"/>
          <w:highlight w:val="none"/>
        </w:rPr>
      </w:pPr>
      <w:r>
        <w:rPr>
          <w:rFonts w:hint="eastAsia" w:asciiTheme="minorEastAsia" w:hAnsiTheme="minorEastAsia" w:eastAsiaTheme="minorEastAsia" w:cstheme="minorEastAsia"/>
          <w:color w:val="auto"/>
          <w:spacing w:val="2"/>
          <w:highlight w:val="none"/>
        </w:rPr>
        <w:t>3.1.1 评标委员会可以要求投标人提交第二章“投标人须知”第 3.5.1项至第3.5.5项规定的有关证明和证件的原件，以便核验。评标委员会依据本章第2.1款规定的标准对投标文件第一个信封（商务及技术文件）进行初步评审。有一项不符合评审标准的，评标委员会应否决其投标。</w:t>
      </w:r>
    </w:p>
    <w:p w14:paraId="658D1756">
      <w:pPr>
        <w:kinsoku/>
        <w:spacing w:before="76" w:line="360" w:lineRule="auto"/>
        <w:ind w:firstLine="497"/>
        <w:rPr>
          <w:rFonts w:hint="eastAsia" w:asciiTheme="minorEastAsia" w:hAnsiTheme="minorEastAsia" w:eastAsiaTheme="minorEastAsia" w:cstheme="minorEastAsia"/>
          <w:b/>
          <w:bCs/>
          <w:color w:val="auto"/>
          <w:spacing w:val="1"/>
          <w:highlight w:val="none"/>
        </w:rPr>
      </w:pPr>
      <w:r>
        <w:rPr>
          <w:rFonts w:hint="eastAsia" w:asciiTheme="minorEastAsia" w:hAnsiTheme="minorEastAsia" w:eastAsiaTheme="minorEastAsia" w:cstheme="minorEastAsia"/>
          <w:b/>
          <w:bCs/>
          <w:color w:val="auto"/>
          <w:spacing w:val="1"/>
          <w:highlight w:val="none"/>
        </w:rPr>
        <w:t>3.2 第一个信封详细评审</w:t>
      </w:r>
    </w:p>
    <w:p w14:paraId="5EDA3920">
      <w:pPr>
        <w:kinsoku/>
        <w:spacing w:before="75" w:line="360" w:lineRule="auto"/>
        <w:ind w:left="42" w:right="185" w:firstLine="459"/>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6"/>
          <w:highlight w:val="none"/>
        </w:rPr>
        <w:t>3.2.1 评标委员会按本章第</w:t>
      </w:r>
      <w:r>
        <w:rPr>
          <w:rFonts w:hint="eastAsia" w:asciiTheme="minorEastAsia" w:hAnsiTheme="minorEastAsia" w:eastAsiaTheme="minorEastAsia" w:cstheme="minorEastAsia"/>
          <w:color w:val="auto"/>
          <w:spacing w:val="-50"/>
          <w:highlight w:val="none"/>
        </w:rPr>
        <w:t xml:space="preserve"> </w:t>
      </w:r>
      <w:r>
        <w:rPr>
          <w:rFonts w:hint="eastAsia" w:asciiTheme="minorEastAsia" w:hAnsiTheme="minorEastAsia" w:eastAsiaTheme="minorEastAsia" w:cstheme="minorEastAsia"/>
          <w:color w:val="auto"/>
          <w:spacing w:val="6"/>
          <w:highlight w:val="none"/>
        </w:rPr>
        <w:t>2.2款规定的量化因素和分值进行打分，并计算</w:t>
      </w:r>
      <w:r>
        <w:rPr>
          <w:rFonts w:hint="eastAsia" w:asciiTheme="minorEastAsia" w:hAnsiTheme="minorEastAsia" w:eastAsiaTheme="minorEastAsia" w:cstheme="minorEastAsia"/>
          <w:color w:val="auto"/>
          <w:spacing w:val="7"/>
          <w:highlight w:val="none"/>
        </w:rPr>
        <w:t>出各投标人的商务和技术得分。</w:t>
      </w:r>
    </w:p>
    <w:p w14:paraId="5AA125B0">
      <w:pPr>
        <w:kinsoku/>
        <w:spacing w:before="1" w:line="360" w:lineRule="auto"/>
        <w:ind w:left="23" w:right="125" w:firstLine="489"/>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2"/>
          <w:highlight w:val="none"/>
        </w:rPr>
        <w:t>（1）按本章第</w:t>
      </w:r>
      <w:r>
        <w:rPr>
          <w:rFonts w:hint="eastAsia" w:asciiTheme="minorEastAsia" w:hAnsiTheme="minorEastAsia" w:eastAsiaTheme="minorEastAsia" w:cstheme="minorEastAsia"/>
          <w:color w:val="auto"/>
          <w:spacing w:val="-49"/>
          <w:highlight w:val="none"/>
        </w:rPr>
        <w:t xml:space="preserve"> </w:t>
      </w:r>
      <w:r>
        <w:rPr>
          <w:rFonts w:hint="eastAsia" w:asciiTheme="minorEastAsia" w:hAnsiTheme="minorEastAsia" w:eastAsiaTheme="minorEastAsia" w:cstheme="minorEastAsia"/>
          <w:color w:val="auto"/>
          <w:spacing w:val="2"/>
          <w:highlight w:val="none"/>
        </w:rPr>
        <w:t>2.2.4项（</w:t>
      </w:r>
      <w:r>
        <w:rPr>
          <w:rFonts w:hint="eastAsia" w:asciiTheme="minorEastAsia" w:hAnsiTheme="minorEastAsia" w:eastAsiaTheme="minorEastAsia" w:cstheme="minorEastAsia"/>
          <w:color w:val="auto"/>
          <w:spacing w:val="-52"/>
          <w:highlight w:val="none"/>
        </w:rPr>
        <w:t xml:space="preserve"> </w:t>
      </w:r>
      <w:r>
        <w:rPr>
          <w:rFonts w:hint="eastAsia" w:asciiTheme="minorEastAsia" w:hAnsiTheme="minorEastAsia" w:eastAsiaTheme="minorEastAsia" w:cstheme="minorEastAsia"/>
          <w:color w:val="auto"/>
          <w:spacing w:val="2"/>
          <w:highlight w:val="none"/>
        </w:rPr>
        <w:t>1</w:t>
      </w:r>
      <w:r>
        <w:rPr>
          <w:rFonts w:hint="eastAsia" w:asciiTheme="minorEastAsia" w:hAnsiTheme="minorEastAsia" w:eastAsiaTheme="minorEastAsia" w:cstheme="minorEastAsia"/>
          <w:color w:val="auto"/>
          <w:spacing w:val="-23"/>
          <w:highlight w:val="none"/>
        </w:rPr>
        <w:t xml:space="preserve"> </w:t>
      </w:r>
      <w:r>
        <w:rPr>
          <w:rFonts w:hint="eastAsia" w:asciiTheme="minorEastAsia" w:hAnsiTheme="minorEastAsia" w:eastAsiaTheme="minorEastAsia" w:cstheme="minorEastAsia"/>
          <w:color w:val="auto"/>
          <w:spacing w:val="2"/>
          <w:highlight w:val="none"/>
        </w:rPr>
        <w:t>）</w:t>
      </w:r>
      <w:r>
        <w:rPr>
          <w:rFonts w:hint="eastAsia" w:asciiTheme="minorEastAsia" w:hAnsiTheme="minorEastAsia" w:eastAsiaTheme="minorEastAsia" w:cstheme="minorEastAsia"/>
          <w:color w:val="auto"/>
          <w:spacing w:val="-54"/>
          <w:highlight w:val="none"/>
        </w:rPr>
        <w:t xml:space="preserve"> </w:t>
      </w:r>
      <w:r>
        <w:rPr>
          <w:rFonts w:hint="eastAsia" w:asciiTheme="minorEastAsia" w:hAnsiTheme="minorEastAsia" w:eastAsiaTheme="minorEastAsia" w:cstheme="minorEastAsia"/>
          <w:color w:val="auto"/>
          <w:spacing w:val="2"/>
          <w:highlight w:val="none"/>
        </w:rPr>
        <w:t>目规定的评审因素和分值对技术建议书部分计</w:t>
      </w:r>
      <w:r>
        <w:rPr>
          <w:rFonts w:hint="eastAsia" w:asciiTheme="minorEastAsia" w:hAnsiTheme="minorEastAsia" w:eastAsiaTheme="minorEastAsia" w:cstheme="minorEastAsia"/>
          <w:color w:val="auto"/>
          <w:spacing w:val="5"/>
          <w:highlight w:val="none"/>
        </w:rPr>
        <w:t>算出得分</w:t>
      </w:r>
      <w:r>
        <w:rPr>
          <w:rFonts w:hint="eastAsia" w:asciiTheme="minorEastAsia" w:hAnsiTheme="minorEastAsia" w:eastAsiaTheme="minorEastAsia" w:cstheme="minorEastAsia"/>
          <w:color w:val="auto"/>
          <w:spacing w:val="-49"/>
          <w:highlight w:val="none"/>
        </w:rPr>
        <w:t xml:space="preserve"> </w:t>
      </w:r>
      <w:r>
        <w:rPr>
          <w:rFonts w:hint="eastAsia" w:asciiTheme="minorEastAsia" w:hAnsiTheme="minorEastAsia" w:eastAsiaTheme="minorEastAsia" w:cstheme="minorEastAsia"/>
          <w:color w:val="auto"/>
          <w:spacing w:val="5"/>
          <w:highlight w:val="none"/>
        </w:rPr>
        <w:t>A；</w:t>
      </w:r>
    </w:p>
    <w:p w14:paraId="02073A8F">
      <w:pPr>
        <w:kinsoku/>
        <w:spacing w:before="1" w:line="360" w:lineRule="auto"/>
        <w:ind w:left="24" w:right="125" w:firstLine="488"/>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4"/>
          <w:highlight w:val="none"/>
        </w:rPr>
        <w:t>（2）按本章第</w:t>
      </w:r>
      <w:r>
        <w:rPr>
          <w:rFonts w:hint="eastAsia" w:asciiTheme="minorEastAsia" w:hAnsiTheme="minorEastAsia" w:eastAsiaTheme="minorEastAsia" w:cstheme="minorEastAsia"/>
          <w:color w:val="auto"/>
          <w:spacing w:val="-50"/>
          <w:highlight w:val="none"/>
        </w:rPr>
        <w:t xml:space="preserve"> </w:t>
      </w:r>
      <w:r>
        <w:rPr>
          <w:rFonts w:hint="eastAsia" w:asciiTheme="minorEastAsia" w:hAnsiTheme="minorEastAsia" w:eastAsiaTheme="minorEastAsia" w:cstheme="minorEastAsia"/>
          <w:color w:val="auto"/>
          <w:spacing w:val="4"/>
          <w:highlight w:val="none"/>
        </w:rPr>
        <w:t>2.2.4项（2</w:t>
      </w:r>
      <w:r>
        <w:rPr>
          <w:rFonts w:hint="eastAsia" w:asciiTheme="minorEastAsia" w:hAnsiTheme="minorEastAsia" w:eastAsiaTheme="minorEastAsia" w:cstheme="minorEastAsia"/>
          <w:color w:val="auto"/>
          <w:spacing w:val="-23"/>
          <w:highlight w:val="none"/>
        </w:rPr>
        <w:t xml:space="preserve"> </w:t>
      </w:r>
      <w:r>
        <w:rPr>
          <w:rFonts w:hint="eastAsia" w:asciiTheme="minorEastAsia" w:hAnsiTheme="minorEastAsia" w:eastAsiaTheme="minorEastAsia" w:cstheme="minorEastAsia"/>
          <w:color w:val="auto"/>
          <w:spacing w:val="4"/>
          <w:highlight w:val="none"/>
        </w:rPr>
        <w:t>）</w:t>
      </w:r>
      <w:r>
        <w:rPr>
          <w:rFonts w:hint="eastAsia" w:asciiTheme="minorEastAsia" w:hAnsiTheme="minorEastAsia" w:eastAsiaTheme="minorEastAsia" w:cstheme="minorEastAsia"/>
          <w:color w:val="auto"/>
          <w:spacing w:val="-54"/>
          <w:highlight w:val="none"/>
        </w:rPr>
        <w:t xml:space="preserve"> </w:t>
      </w:r>
      <w:r>
        <w:rPr>
          <w:rFonts w:hint="eastAsia" w:asciiTheme="minorEastAsia" w:hAnsiTheme="minorEastAsia" w:eastAsiaTheme="minorEastAsia" w:cstheme="minorEastAsia"/>
          <w:color w:val="auto"/>
          <w:spacing w:val="4"/>
          <w:highlight w:val="none"/>
        </w:rPr>
        <w:t>目规定的评审因素和分值对主要人员和设备部</w:t>
      </w:r>
      <w:r>
        <w:rPr>
          <w:rFonts w:hint="eastAsia" w:asciiTheme="minorEastAsia" w:hAnsiTheme="minorEastAsia" w:eastAsiaTheme="minorEastAsia" w:cstheme="minorEastAsia"/>
          <w:color w:val="auto"/>
          <w:spacing w:val="6"/>
          <w:highlight w:val="none"/>
        </w:rPr>
        <w:t>分计算出得分</w:t>
      </w:r>
      <w:r>
        <w:rPr>
          <w:rFonts w:hint="eastAsia" w:asciiTheme="minorEastAsia" w:hAnsiTheme="minorEastAsia" w:eastAsiaTheme="minorEastAsia" w:cstheme="minorEastAsia"/>
          <w:color w:val="auto"/>
          <w:spacing w:val="-49"/>
          <w:highlight w:val="none"/>
        </w:rPr>
        <w:t xml:space="preserve"> </w:t>
      </w:r>
      <w:r>
        <w:rPr>
          <w:rFonts w:hint="eastAsia" w:asciiTheme="minorEastAsia" w:hAnsiTheme="minorEastAsia" w:eastAsiaTheme="minorEastAsia" w:cstheme="minorEastAsia"/>
          <w:color w:val="auto"/>
          <w:spacing w:val="6"/>
          <w:highlight w:val="none"/>
        </w:rPr>
        <w:t>B；</w:t>
      </w:r>
    </w:p>
    <w:p w14:paraId="4AD71402">
      <w:pPr>
        <w:kinsoku/>
        <w:spacing w:before="2" w:line="360" w:lineRule="auto"/>
        <w:ind w:left="24" w:right="125" w:firstLine="488"/>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4"/>
          <w:highlight w:val="none"/>
        </w:rPr>
        <w:t>（3）按本章第</w:t>
      </w:r>
      <w:r>
        <w:rPr>
          <w:rFonts w:hint="eastAsia" w:asciiTheme="minorEastAsia" w:hAnsiTheme="minorEastAsia" w:eastAsiaTheme="minorEastAsia" w:cstheme="minorEastAsia"/>
          <w:color w:val="auto"/>
          <w:spacing w:val="-50"/>
          <w:highlight w:val="none"/>
        </w:rPr>
        <w:t xml:space="preserve"> </w:t>
      </w:r>
      <w:r>
        <w:rPr>
          <w:rFonts w:hint="eastAsia" w:asciiTheme="minorEastAsia" w:hAnsiTheme="minorEastAsia" w:eastAsiaTheme="minorEastAsia" w:cstheme="minorEastAsia"/>
          <w:color w:val="auto"/>
          <w:spacing w:val="4"/>
          <w:highlight w:val="none"/>
        </w:rPr>
        <w:t>2.2.4项（4</w:t>
      </w:r>
      <w:r>
        <w:rPr>
          <w:rFonts w:hint="eastAsia" w:asciiTheme="minorEastAsia" w:hAnsiTheme="minorEastAsia" w:eastAsiaTheme="minorEastAsia" w:cstheme="minorEastAsia"/>
          <w:color w:val="auto"/>
          <w:spacing w:val="-23"/>
          <w:highlight w:val="none"/>
        </w:rPr>
        <w:t xml:space="preserve"> </w:t>
      </w:r>
      <w:r>
        <w:rPr>
          <w:rFonts w:hint="eastAsia" w:asciiTheme="minorEastAsia" w:hAnsiTheme="minorEastAsia" w:eastAsiaTheme="minorEastAsia" w:cstheme="minorEastAsia"/>
          <w:color w:val="auto"/>
          <w:spacing w:val="4"/>
          <w:highlight w:val="none"/>
        </w:rPr>
        <w:t>）</w:t>
      </w:r>
      <w:r>
        <w:rPr>
          <w:rFonts w:hint="eastAsia" w:asciiTheme="minorEastAsia" w:hAnsiTheme="minorEastAsia" w:eastAsiaTheme="minorEastAsia" w:cstheme="minorEastAsia"/>
          <w:color w:val="auto"/>
          <w:spacing w:val="-54"/>
          <w:highlight w:val="none"/>
        </w:rPr>
        <w:t xml:space="preserve"> </w:t>
      </w:r>
      <w:r>
        <w:rPr>
          <w:rFonts w:hint="eastAsia" w:asciiTheme="minorEastAsia" w:hAnsiTheme="minorEastAsia" w:eastAsiaTheme="minorEastAsia" w:cstheme="minorEastAsia"/>
          <w:color w:val="auto"/>
          <w:spacing w:val="4"/>
          <w:highlight w:val="none"/>
        </w:rPr>
        <w:t>目规定的评审因素和分值对其他部分计算出得</w:t>
      </w:r>
      <w:r>
        <w:rPr>
          <w:rFonts w:hint="eastAsia" w:asciiTheme="minorEastAsia" w:hAnsiTheme="minorEastAsia" w:eastAsiaTheme="minorEastAsia" w:cstheme="minorEastAsia"/>
          <w:color w:val="auto"/>
          <w:highlight w:val="none"/>
        </w:rPr>
        <w:t>分</w:t>
      </w:r>
      <w:r>
        <w:rPr>
          <w:rFonts w:hint="eastAsia" w:asciiTheme="minorEastAsia" w:hAnsiTheme="minorEastAsia" w:eastAsiaTheme="minorEastAsia" w:cstheme="minorEastAsia"/>
          <w:color w:val="auto"/>
          <w:spacing w:val="-51"/>
          <w:highlight w:val="none"/>
        </w:rPr>
        <w:t xml:space="preserve"> </w:t>
      </w:r>
      <w:r>
        <w:rPr>
          <w:rFonts w:hint="eastAsia" w:asciiTheme="minorEastAsia" w:hAnsiTheme="minorEastAsia" w:eastAsiaTheme="minorEastAsia" w:cstheme="minorEastAsia"/>
          <w:color w:val="auto"/>
          <w:highlight w:val="none"/>
        </w:rPr>
        <w:t>D</w:t>
      </w:r>
      <w:r>
        <w:rPr>
          <w:rFonts w:hint="eastAsia" w:asciiTheme="minorEastAsia" w:hAnsiTheme="minorEastAsia" w:eastAsiaTheme="minorEastAsia" w:cstheme="minorEastAsia"/>
          <w:color w:val="auto"/>
          <w:spacing w:val="-56"/>
          <w:highlight w:val="none"/>
        </w:rPr>
        <w:t xml:space="preserve"> </w:t>
      </w:r>
      <w:r>
        <w:rPr>
          <w:rFonts w:hint="eastAsia" w:asciiTheme="minorEastAsia" w:hAnsiTheme="minorEastAsia" w:eastAsiaTheme="minorEastAsia" w:cstheme="minorEastAsia"/>
          <w:color w:val="auto"/>
          <w:highlight w:val="none"/>
        </w:rPr>
        <w:t>。</w:t>
      </w:r>
    </w:p>
    <w:p w14:paraId="25BA55D2">
      <w:pPr>
        <w:kinsoku/>
        <w:spacing w:before="2" w:line="360" w:lineRule="auto"/>
        <w:ind w:left="24" w:right="125" w:firstLine="488"/>
        <w:rPr>
          <w:rFonts w:hint="eastAsia" w:asciiTheme="minorEastAsia" w:hAnsiTheme="minorEastAsia" w:eastAsiaTheme="minorEastAsia" w:cstheme="minorEastAsia"/>
          <w:color w:val="auto"/>
          <w:spacing w:val="4"/>
          <w:highlight w:val="none"/>
        </w:rPr>
      </w:pPr>
      <w:r>
        <w:rPr>
          <w:rFonts w:hint="eastAsia" w:asciiTheme="minorEastAsia" w:hAnsiTheme="minorEastAsia" w:eastAsiaTheme="minorEastAsia" w:cstheme="minorEastAsia"/>
          <w:color w:val="auto"/>
          <w:spacing w:val="4"/>
          <w:highlight w:val="none"/>
        </w:rPr>
        <w:t>3.2.2 投标人的商务和技术得分分值计算保留小数点后两位，小数点后第三位“四舍五入”。</w:t>
      </w:r>
    </w:p>
    <w:p w14:paraId="29336FAB">
      <w:pPr>
        <w:kinsoku/>
        <w:spacing w:before="70" w:line="360" w:lineRule="auto"/>
        <w:ind w:firstLine="50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6"/>
          <w:position w:val="1"/>
          <w:highlight w:val="none"/>
        </w:rPr>
        <w:t>3.2.3</w:t>
      </w:r>
      <w:r>
        <w:rPr>
          <w:rFonts w:hint="eastAsia" w:asciiTheme="minorEastAsia" w:hAnsiTheme="minorEastAsia" w:eastAsiaTheme="minorEastAsia" w:cstheme="minorEastAsia"/>
          <w:color w:val="auto"/>
          <w:spacing w:val="23"/>
          <w:position w:val="1"/>
          <w:highlight w:val="none"/>
        </w:rPr>
        <w:t xml:space="preserve"> </w:t>
      </w:r>
      <w:r>
        <w:rPr>
          <w:rFonts w:hint="eastAsia" w:asciiTheme="minorEastAsia" w:hAnsiTheme="minorEastAsia" w:eastAsiaTheme="minorEastAsia" w:cstheme="minorEastAsia"/>
          <w:color w:val="auto"/>
          <w:spacing w:val="6"/>
          <w:position w:val="1"/>
          <w:highlight w:val="none"/>
        </w:rPr>
        <w:t>投标人的商务和技术得分=A+B+D。</w:t>
      </w:r>
    </w:p>
    <w:p w14:paraId="121C5A46">
      <w:pPr>
        <w:kinsoku/>
        <w:spacing w:before="120" w:line="360" w:lineRule="auto"/>
        <w:ind w:left="23" w:right="99"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3"/>
          <w:highlight w:val="none"/>
        </w:rPr>
        <w:t>各评分因素（评标价、履约信誉评分项除外）及其各评审因素细分项的得分</w:t>
      </w:r>
      <w:r>
        <w:rPr>
          <w:rFonts w:hint="eastAsia" w:asciiTheme="minorEastAsia" w:hAnsiTheme="minorEastAsia" w:eastAsiaTheme="minorEastAsia" w:cstheme="minorEastAsia"/>
          <w:color w:val="auto"/>
          <w:spacing w:val="5"/>
          <w:highlight w:val="none"/>
        </w:rPr>
        <w:t>一般不得低于其权重分值的</w:t>
      </w:r>
      <w:r>
        <w:rPr>
          <w:rFonts w:hint="eastAsia" w:asciiTheme="minorEastAsia" w:hAnsiTheme="minorEastAsia" w:eastAsiaTheme="minorEastAsia" w:cstheme="minorEastAsia"/>
          <w:color w:val="auto"/>
          <w:spacing w:val="-12"/>
          <w:highlight w:val="none"/>
        </w:rPr>
        <w:t xml:space="preserve"> </w:t>
      </w:r>
      <w:r>
        <w:rPr>
          <w:rFonts w:hint="eastAsia" w:asciiTheme="minorEastAsia" w:hAnsiTheme="minorEastAsia" w:eastAsiaTheme="minorEastAsia" w:cstheme="minorEastAsia"/>
          <w:color w:val="auto"/>
          <w:spacing w:val="5"/>
          <w:highlight w:val="none"/>
        </w:rPr>
        <w:t>60%，评分低于上述权重分值百分比的，评标委员会</w:t>
      </w:r>
      <w:r>
        <w:rPr>
          <w:rFonts w:hint="eastAsia" w:asciiTheme="minorEastAsia" w:hAnsiTheme="minorEastAsia" w:eastAsiaTheme="minorEastAsia" w:cstheme="minorEastAsia"/>
          <w:color w:val="auto"/>
          <w:spacing w:val="8"/>
          <w:highlight w:val="none"/>
        </w:rPr>
        <w:t>成员应当在评标报告中作出说明。</w:t>
      </w:r>
    </w:p>
    <w:p w14:paraId="5574453E">
      <w:pPr>
        <w:kinsoku/>
        <w:spacing w:before="76" w:line="360" w:lineRule="auto"/>
        <w:ind w:firstLine="497"/>
        <w:rPr>
          <w:rFonts w:hint="eastAsia" w:asciiTheme="minorEastAsia" w:hAnsiTheme="minorEastAsia" w:eastAsiaTheme="minorEastAsia" w:cstheme="minorEastAsia"/>
          <w:b/>
          <w:bCs/>
          <w:color w:val="auto"/>
          <w:spacing w:val="1"/>
          <w:highlight w:val="none"/>
        </w:rPr>
      </w:pPr>
      <w:r>
        <w:rPr>
          <w:rFonts w:hint="eastAsia" w:asciiTheme="minorEastAsia" w:hAnsiTheme="minorEastAsia" w:eastAsiaTheme="minorEastAsia" w:cstheme="minorEastAsia"/>
          <w:b/>
          <w:bCs/>
          <w:color w:val="auto"/>
          <w:spacing w:val="1"/>
          <w:highlight w:val="none"/>
        </w:rPr>
        <w:t>3.3</w:t>
      </w:r>
      <w:r>
        <w:rPr>
          <w:rFonts w:hint="eastAsia" w:asciiTheme="minorEastAsia" w:hAnsiTheme="minorEastAsia" w:eastAsiaTheme="minorEastAsia" w:cstheme="minorEastAsia"/>
          <w:b/>
          <w:bCs/>
          <w:color w:val="auto"/>
          <w:spacing w:val="1"/>
          <w:w w:val="100"/>
          <w:highlight w:val="none"/>
        </w:rPr>
        <w:t xml:space="preserve">  </w:t>
      </w:r>
      <w:r>
        <w:rPr>
          <w:rFonts w:hint="eastAsia" w:asciiTheme="minorEastAsia" w:hAnsiTheme="minorEastAsia" w:eastAsiaTheme="minorEastAsia" w:cstheme="minorEastAsia"/>
          <w:b/>
          <w:bCs/>
          <w:color w:val="auto"/>
          <w:spacing w:val="1"/>
          <w:highlight w:val="none"/>
        </w:rPr>
        <w:t>第二个信封开标</w:t>
      </w:r>
    </w:p>
    <w:p w14:paraId="1F5D0953">
      <w:pPr>
        <w:kinsoku/>
        <w:spacing w:before="9" w:line="360" w:lineRule="auto"/>
        <w:ind w:firstLine="50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6"/>
          <w:highlight w:val="none"/>
        </w:rPr>
        <w:t>第一个信封（商务及技术文件）评审结束后，招标人将按照第二章“投标人须知”第</w:t>
      </w:r>
      <w:r>
        <w:rPr>
          <w:rFonts w:hint="eastAsia" w:asciiTheme="minorEastAsia" w:hAnsiTheme="minorEastAsia" w:eastAsiaTheme="minorEastAsia" w:cstheme="minorEastAsia"/>
          <w:color w:val="auto"/>
          <w:spacing w:val="-18"/>
          <w:highlight w:val="none"/>
        </w:rPr>
        <w:t xml:space="preserve"> </w:t>
      </w:r>
      <w:r>
        <w:rPr>
          <w:rFonts w:hint="eastAsia" w:asciiTheme="minorEastAsia" w:hAnsiTheme="minorEastAsia" w:eastAsiaTheme="minorEastAsia" w:cstheme="minorEastAsia"/>
          <w:color w:val="auto"/>
          <w:spacing w:val="6"/>
          <w:highlight w:val="none"/>
        </w:rPr>
        <w:t>5.1款规定的时间和地点对通过投标文件第一个信封（商务及技术文件）</w:t>
      </w:r>
      <w:r>
        <w:rPr>
          <w:rFonts w:hint="eastAsia" w:asciiTheme="minorEastAsia" w:hAnsiTheme="minorEastAsia" w:eastAsiaTheme="minorEastAsia" w:cstheme="minorEastAsia"/>
          <w:color w:val="auto"/>
          <w:spacing w:val="4"/>
          <w:highlight w:val="none"/>
        </w:rPr>
        <w:t>评审的投标文件第二个信封（报价文件）进行开标。</w:t>
      </w:r>
    </w:p>
    <w:p w14:paraId="0A46AE73">
      <w:pPr>
        <w:kinsoku/>
        <w:spacing w:before="76" w:line="360" w:lineRule="auto"/>
        <w:ind w:firstLine="497"/>
        <w:rPr>
          <w:rFonts w:hint="eastAsia" w:asciiTheme="minorEastAsia" w:hAnsiTheme="minorEastAsia" w:eastAsiaTheme="minorEastAsia" w:cstheme="minorEastAsia"/>
          <w:b/>
          <w:bCs/>
          <w:color w:val="auto"/>
          <w:spacing w:val="1"/>
          <w:highlight w:val="none"/>
        </w:rPr>
      </w:pPr>
      <w:r>
        <w:rPr>
          <w:rFonts w:hint="eastAsia" w:asciiTheme="minorEastAsia" w:hAnsiTheme="minorEastAsia" w:eastAsiaTheme="minorEastAsia" w:cstheme="minorEastAsia"/>
          <w:b/>
          <w:bCs/>
          <w:color w:val="auto"/>
          <w:spacing w:val="1"/>
          <w:highlight w:val="none"/>
        </w:rPr>
        <w:t>3.4 第二个信封初步评审</w:t>
      </w:r>
    </w:p>
    <w:p w14:paraId="469AC2D5">
      <w:pPr>
        <w:kinsoku/>
        <w:spacing w:before="75" w:line="360" w:lineRule="auto"/>
        <w:ind w:left="21" w:right="99" w:firstLine="481"/>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3"/>
          <w:highlight w:val="none"/>
        </w:rPr>
        <w:t>3.4.1</w:t>
      </w:r>
      <w:r>
        <w:rPr>
          <w:rFonts w:hint="eastAsia" w:asciiTheme="minorEastAsia" w:hAnsiTheme="minorEastAsia" w:eastAsiaTheme="minorEastAsia" w:cstheme="minorEastAsia"/>
          <w:color w:val="auto"/>
          <w:spacing w:val="6"/>
          <w:w w:val="101"/>
          <w:highlight w:val="none"/>
        </w:rPr>
        <w:t xml:space="preserve"> </w:t>
      </w:r>
      <w:r>
        <w:rPr>
          <w:rFonts w:hint="eastAsia" w:asciiTheme="minorEastAsia" w:hAnsiTheme="minorEastAsia" w:eastAsiaTheme="minorEastAsia" w:cstheme="minorEastAsia"/>
          <w:color w:val="auto"/>
          <w:spacing w:val="3"/>
          <w:highlight w:val="none"/>
        </w:rPr>
        <w:t>评标委员会依据本章第</w:t>
      </w:r>
      <w:r>
        <w:rPr>
          <w:rFonts w:hint="eastAsia" w:asciiTheme="minorEastAsia" w:hAnsiTheme="minorEastAsia" w:eastAsiaTheme="minorEastAsia" w:cstheme="minorEastAsia"/>
          <w:color w:val="auto"/>
          <w:spacing w:val="-50"/>
          <w:highlight w:val="none"/>
        </w:rPr>
        <w:t xml:space="preserve"> </w:t>
      </w:r>
      <w:r>
        <w:rPr>
          <w:rFonts w:hint="eastAsia" w:asciiTheme="minorEastAsia" w:hAnsiTheme="minorEastAsia" w:eastAsiaTheme="minorEastAsia" w:cstheme="minorEastAsia"/>
          <w:color w:val="auto"/>
          <w:spacing w:val="3"/>
          <w:highlight w:val="none"/>
        </w:rPr>
        <w:t>2.1.1项、第</w:t>
      </w:r>
      <w:r>
        <w:rPr>
          <w:rFonts w:hint="eastAsia" w:asciiTheme="minorEastAsia" w:hAnsiTheme="minorEastAsia" w:eastAsiaTheme="minorEastAsia" w:cstheme="minorEastAsia"/>
          <w:color w:val="auto"/>
          <w:spacing w:val="-50"/>
          <w:highlight w:val="none"/>
        </w:rPr>
        <w:t xml:space="preserve"> </w:t>
      </w:r>
      <w:r>
        <w:rPr>
          <w:rFonts w:hint="eastAsia" w:asciiTheme="minorEastAsia" w:hAnsiTheme="minorEastAsia" w:eastAsiaTheme="minorEastAsia" w:cstheme="minorEastAsia"/>
          <w:color w:val="auto"/>
          <w:spacing w:val="3"/>
          <w:highlight w:val="none"/>
        </w:rPr>
        <w:t>2.1.3项规定的评审标准对投标文</w:t>
      </w:r>
      <w:r>
        <w:rPr>
          <w:rFonts w:hint="eastAsia" w:asciiTheme="minorEastAsia" w:hAnsiTheme="minorEastAsia" w:eastAsiaTheme="minorEastAsia" w:cstheme="minorEastAsia"/>
          <w:color w:val="auto"/>
          <w:spacing w:val="4"/>
          <w:highlight w:val="none"/>
        </w:rPr>
        <w:t>件第二个信封（报价文件）进行初步评审。有一项不符合评审标准的，评标委员</w:t>
      </w:r>
      <w:r>
        <w:rPr>
          <w:rFonts w:hint="eastAsia" w:asciiTheme="minorEastAsia" w:hAnsiTheme="minorEastAsia" w:eastAsiaTheme="minorEastAsia" w:cstheme="minorEastAsia"/>
          <w:color w:val="auto"/>
          <w:spacing w:val="7"/>
          <w:highlight w:val="none"/>
        </w:rPr>
        <w:t>会应否决其投标。</w:t>
      </w:r>
    </w:p>
    <w:p w14:paraId="5F815234">
      <w:pPr>
        <w:kinsoku/>
        <w:spacing w:line="360" w:lineRule="auto"/>
        <w:ind w:left="21" w:right="37"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4"/>
          <w:highlight w:val="none"/>
        </w:rPr>
        <w:t>3.4.2</w:t>
      </w:r>
      <w:r>
        <w:rPr>
          <w:rFonts w:hint="eastAsia" w:asciiTheme="minorEastAsia" w:hAnsiTheme="minorEastAsia" w:eastAsiaTheme="minorEastAsia" w:cstheme="minorEastAsia"/>
          <w:color w:val="auto"/>
          <w:spacing w:val="14"/>
          <w:highlight w:val="none"/>
        </w:rPr>
        <w:t xml:space="preserve"> </w:t>
      </w:r>
      <w:r>
        <w:rPr>
          <w:rFonts w:hint="eastAsia" w:asciiTheme="minorEastAsia" w:hAnsiTheme="minorEastAsia" w:eastAsiaTheme="minorEastAsia" w:cstheme="minorEastAsia"/>
          <w:color w:val="auto"/>
          <w:spacing w:val="4"/>
          <w:highlight w:val="none"/>
        </w:rPr>
        <w:t>投标报价有算术错误的，评标委员会按以下原则对投标报价进行修正，</w:t>
      </w:r>
      <w:r>
        <w:rPr>
          <w:rFonts w:hint="eastAsia" w:asciiTheme="minorEastAsia" w:hAnsiTheme="minorEastAsia" w:eastAsiaTheme="minorEastAsia" w:cstheme="minorEastAsia"/>
          <w:color w:val="auto"/>
          <w:spacing w:val="7"/>
          <w:highlight w:val="none"/>
        </w:rPr>
        <w:t>修正的价格经投标人书面确认后具有约束力。投标人不接受修正价格的，评标委</w:t>
      </w:r>
      <w:r>
        <w:rPr>
          <w:rFonts w:hint="eastAsia" w:asciiTheme="minorEastAsia" w:hAnsiTheme="minorEastAsia" w:eastAsiaTheme="minorEastAsia" w:cstheme="minorEastAsia"/>
          <w:color w:val="auto"/>
          <w:spacing w:val="8"/>
          <w:highlight w:val="none"/>
        </w:rPr>
        <w:t>员会应否决其投标。</w:t>
      </w:r>
    </w:p>
    <w:p w14:paraId="1592747D">
      <w:pPr>
        <w:kinsoku/>
        <w:spacing w:before="2" w:line="360" w:lineRule="auto"/>
        <w:ind w:firstLine="513"/>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7"/>
          <w:highlight w:val="none"/>
        </w:rPr>
        <w:t>（1）投标文件中的大写金额与小写金额不一致的，以大写金额为准；</w:t>
      </w:r>
    </w:p>
    <w:p w14:paraId="0B8546A5">
      <w:pPr>
        <w:kinsoku/>
        <w:spacing w:before="74" w:line="360" w:lineRule="auto"/>
        <w:ind w:firstLine="472" w:firstLineChars="209"/>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8"/>
          <w:highlight w:val="none"/>
        </w:rPr>
        <w:t>（2）总价金额与依据单价计算出的结果不一致的，以单价金额为准修正总价，但单价金额小数点有明显错误的除外；</w:t>
      </w:r>
    </w:p>
    <w:p w14:paraId="0725BEFA">
      <w:pPr>
        <w:kinsoku/>
        <w:spacing w:before="118" w:line="360" w:lineRule="auto"/>
        <w:ind w:left="41" w:right="85" w:firstLine="471"/>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8"/>
          <w:highlight w:val="none"/>
        </w:rPr>
        <w:t>（3）当单价与数量相乘不等于合价时，以单价计算为准，如果单价有明显的小数点位置差错，应以标出的合价为准，同时对单价予以修正；</w:t>
      </w:r>
    </w:p>
    <w:p w14:paraId="287AC625">
      <w:pPr>
        <w:kinsoku/>
        <w:spacing w:before="1" w:line="360" w:lineRule="auto"/>
        <w:ind w:left="26" w:right="85" w:firstLine="486"/>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8"/>
          <w:highlight w:val="none"/>
        </w:rPr>
        <w:t>（4）当各子目的合价累计不等于总价时，应以各子目合价累计数为准，修</w:t>
      </w:r>
      <w:r>
        <w:rPr>
          <w:rFonts w:hint="eastAsia" w:asciiTheme="minorEastAsia" w:hAnsiTheme="minorEastAsia" w:eastAsiaTheme="minorEastAsia" w:cstheme="minorEastAsia"/>
          <w:color w:val="auto"/>
          <w:spacing w:val="4"/>
          <w:highlight w:val="none"/>
        </w:rPr>
        <w:t>正总价。</w:t>
      </w:r>
    </w:p>
    <w:p w14:paraId="5A7A27B3">
      <w:pPr>
        <w:kinsoku/>
        <w:spacing w:before="1" w:line="360" w:lineRule="auto"/>
        <w:ind w:left="26" w:right="85" w:firstLine="486"/>
        <w:rPr>
          <w:rFonts w:hint="eastAsia" w:asciiTheme="minorEastAsia" w:hAnsiTheme="minorEastAsia" w:eastAsiaTheme="minorEastAsia" w:cstheme="minorEastAsia"/>
          <w:color w:val="auto"/>
          <w:spacing w:val="8"/>
          <w:highlight w:val="none"/>
        </w:rPr>
      </w:pPr>
      <w:r>
        <w:rPr>
          <w:rFonts w:hint="eastAsia" w:asciiTheme="minorEastAsia" w:hAnsiTheme="minorEastAsia" w:eastAsiaTheme="minorEastAsia" w:cstheme="minorEastAsia"/>
          <w:color w:val="auto"/>
          <w:spacing w:val="8"/>
          <w:highlight w:val="none"/>
        </w:rPr>
        <w:t>3.4.3 修正后的最终投标报价若超过最高投标限价（如有），评标委员会应否决其投标。</w:t>
      </w:r>
    </w:p>
    <w:p w14:paraId="039F09D6">
      <w:pPr>
        <w:kinsoku/>
        <w:spacing w:before="1" w:line="360" w:lineRule="auto"/>
        <w:ind w:left="26" w:right="85" w:firstLine="486"/>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8"/>
          <w:highlight w:val="none"/>
        </w:rPr>
        <w:t>3.4.4 修正后的最终投标报价仅作为签订合同的一个依据，不参与评标价得分的计算</w:t>
      </w:r>
      <w:r>
        <w:rPr>
          <w:rFonts w:hint="eastAsia" w:asciiTheme="minorEastAsia" w:hAnsiTheme="minorEastAsia" w:eastAsiaTheme="minorEastAsia" w:cstheme="minorEastAsia"/>
          <w:color w:val="auto"/>
          <w:spacing w:val="5"/>
          <w:highlight w:val="none"/>
        </w:rPr>
        <w:t>。</w:t>
      </w:r>
    </w:p>
    <w:p w14:paraId="2048EE8B">
      <w:pPr>
        <w:kinsoku/>
        <w:spacing w:before="76" w:line="360" w:lineRule="auto"/>
        <w:ind w:firstLine="497"/>
        <w:rPr>
          <w:rFonts w:hint="eastAsia" w:asciiTheme="minorEastAsia" w:hAnsiTheme="minorEastAsia" w:eastAsiaTheme="minorEastAsia" w:cstheme="minorEastAsia"/>
          <w:b/>
          <w:bCs/>
          <w:color w:val="auto"/>
          <w:spacing w:val="1"/>
          <w:highlight w:val="none"/>
        </w:rPr>
      </w:pPr>
      <w:r>
        <w:rPr>
          <w:rFonts w:hint="eastAsia" w:asciiTheme="minorEastAsia" w:hAnsiTheme="minorEastAsia" w:eastAsiaTheme="minorEastAsia" w:cstheme="minorEastAsia"/>
          <w:b/>
          <w:bCs/>
          <w:color w:val="auto"/>
          <w:spacing w:val="1"/>
          <w:highlight w:val="none"/>
        </w:rPr>
        <w:t>3.5 第二个信封详细评审</w:t>
      </w:r>
    </w:p>
    <w:p w14:paraId="44346CC3">
      <w:pPr>
        <w:kinsoku/>
        <w:spacing w:before="118" w:line="360" w:lineRule="auto"/>
        <w:ind w:left="41" w:right="85" w:firstLine="471"/>
        <w:rPr>
          <w:rFonts w:hint="eastAsia" w:asciiTheme="minorEastAsia" w:hAnsiTheme="minorEastAsia" w:eastAsiaTheme="minorEastAsia" w:cstheme="minorEastAsia"/>
          <w:color w:val="auto"/>
          <w:spacing w:val="8"/>
          <w:highlight w:val="none"/>
        </w:rPr>
      </w:pPr>
      <w:r>
        <w:rPr>
          <w:rFonts w:hint="eastAsia" w:asciiTheme="minorEastAsia" w:hAnsiTheme="minorEastAsia" w:eastAsiaTheme="minorEastAsia" w:cstheme="minorEastAsia"/>
          <w:color w:val="auto"/>
          <w:spacing w:val="8"/>
          <w:highlight w:val="none"/>
        </w:rPr>
        <w:t>3.5. 1 评标委员会按本章第 2.2.4 项（3 ）目规定的评审因素和分值对评标价计算出得分 C。</w:t>
      </w:r>
    </w:p>
    <w:p w14:paraId="3E383A0E">
      <w:pPr>
        <w:kinsoku/>
        <w:spacing w:before="118" w:line="360" w:lineRule="auto"/>
        <w:ind w:left="41" w:right="85" w:firstLine="471"/>
        <w:rPr>
          <w:rFonts w:hint="eastAsia" w:asciiTheme="minorEastAsia" w:hAnsiTheme="minorEastAsia" w:eastAsiaTheme="minorEastAsia" w:cstheme="minorEastAsia"/>
          <w:color w:val="auto"/>
          <w:spacing w:val="8"/>
          <w:highlight w:val="none"/>
        </w:rPr>
      </w:pPr>
      <w:r>
        <w:rPr>
          <w:rFonts w:hint="eastAsia" w:asciiTheme="minorEastAsia" w:hAnsiTheme="minorEastAsia" w:eastAsiaTheme="minorEastAsia" w:cstheme="minorEastAsia"/>
          <w:color w:val="auto"/>
          <w:spacing w:val="8"/>
          <w:highlight w:val="none"/>
        </w:rPr>
        <w:t>3.5.2 投标人综合得分=投标人的商务和技术得分+C。</w:t>
      </w:r>
    </w:p>
    <w:p w14:paraId="43B4829A">
      <w:pPr>
        <w:kinsoku/>
        <w:spacing w:before="118" w:line="360" w:lineRule="auto"/>
        <w:ind w:left="41" w:right="85" w:firstLine="471"/>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8"/>
          <w:highlight w:val="none"/>
        </w:rPr>
        <w:t>3.5.3 评标委员会发现投标人的报价明显低于其他投标报价，使得其投标报价可能低于其个别成本的，应要求该投标人作出书面说明并提供相应的证明材料。投标人不能合理说明或不能提供相应证明材料的，评标委员会应认定该投</w:t>
      </w:r>
      <w:r>
        <w:rPr>
          <w:rFonts w:hint="eastAsia" w:asciiTheme="minorEastAsia" w:hAnsiTheme="minorEastAsia" w:eastAsiaTheme="minorEastAsia" w:cstheme="minorEastAsia"/>
          <w:color w:val="auto"/>
          <w:spacing w:val="7"/>
          <w:highlight w:val="none"/>
        </w:rPr>
        <w:t>标</w:t>
      </w:r>
      <w:r>
        <w:rPr>
          <w:rFonts w:hint="eastAsia" w:asciiTheme="minorEastAsia" w:hAnsiTheme="minorEastAsia" w:eastAsiaTheme="minorEastAsia" w:cstheme="minorEastAsia"/>
          <w:color w:val="auto"/>
          <w:spacing w:val="9"/>
          <w:highlight w:val="none"/>
        </w:rPr>
        <w:t>人以低于成本报价竞标，并否决其投标。</w:t>
      </w:r>
    </w:p>
    <w:p w14:paraId="4CA54B62">
      <w:pPr>
        <w:kinsoku/>
        <w:spacing w:before="76" w:line="360" w:lineRule="auto"/>
        <w:ind w:firstLine="497"/>
        <w:rPr>
          <w:rFonts w:hint="eastAsia" w:asciiTheme="minorEastAsia" w:hAnsiTheme="minorEastAsia" w:eastAsiaTheme="minorEastAsia" w:cstheme="minorEastAsia"/>
          <w:b/>
          <w:bCs/>
          <w:color w:val="auto"/>
          <w:spacing w:val="1"/>
          <w:highlight w:val="none"/>
        </w:rPr>
      </w:pPr>
      <w:r>
        <w:rPr>
          <w:rFonts w:hint="eastAsia" w:asciiTheme="minorEastAsia" w:hAnsiTheme="minorEastAsia" w:eastAsiaTheme="minorEastAsia" w:cstheme="minorEastAsia"/>
          <w:b/>
          <w:bCs/>
          <w:color w:val="auto"/>
          <w:spacing w:val="1"/>
          <w:highlight w:val="none"/>
        </w:rPr>
        <w:t>3.6 投标文件相关信息的核查</w:t>
      </w:r>
    </w:p>
    <w:p w14:paraId="1DA47D12">
      <w:pPr>
        <w:kinsoku/>
        <w:spacing w:before="118" w:line="360" w:lineRule="auto"/>
        <w:ind w:left="41" w:right="85" w:firstLine="471"/>
        <w:rPr>
          <w:rFonts w:hint="eastAsia" w:asciiTheme="minorEastAsia" w:hAnsiTheme="minorEastAsia" w:eastAsiaTheme="minorEastAsia" w:cstheme="minorEastAsia"/>
          <w:color w:val="auto"/>
          <w:spacing w:val="8"/>
          <w:highlight w:val="none"/>
        </w:rPr>
      </w:pPr>
      <w:r>
        <w:rPr>
          <w:rFonts w:hint="eastAsia" w:asciiTheme="minorEastAsia" w:hAnsiTheme="minorEastAsia" w:eastAsiaTheme="minorEastAsia" w:cstheme="minorEastAsia"/>
          <w:color w:val="auto"/>
          <w:spacing w:val="8"/>
          <w:highlight w:val="none"/>
        </w:rPr>
        <w:t>3.6. 1 评标委员会应对在评标过程中发现的投标人与投标人之间、投标人与招标人之间存在的串通投标的情形进行评审和认定。投标人存在串通投标、弄虚 作假、行贿等违法行为的，评标委员会应否决其投标。</w:t>
      </w:r>
    </w:p>
    <w:p w14:paraId="7748382E">
      <w:pPr>
        <w:kinsoku/>
        <w:spacing w:line="360" w:lineRule="auto"/>
        <w:ind w:firstLine="513"/>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7"/>
          <w:position w:val="12"/>
          <w:highlight w:val="none"/>
        </w:rPr>
        <w:t>（1</w:t>
      </w:r>
      <w:r>
        <w:rPr>
          <w:rFonts w:hint="eastAsia" w:asciiTheme="minorEastAsia" w:hAnsiTheme="minorEastAsia" w:eastAsiaTheme="minorEastAsia" w:cstheme="minorEastAsia"/>
          <w:color w:val="auto"/>
          <w:spacing w:val="-22"/>
          <w:position w:val="12"/>
          <w:highlight w:val="none"/>
        </w:rPr>
        <w:t xml:space="preserve"> </w:t>
      </w:r>
      <w:r>
        <w:rPr>
          <w:rFonts w:hint="eastAsia" w:asciiTheme="minorEastAsia" w:hAnsiTheme="minorEastAsia" w:eastAsiaTheme="minorEastAsia" w:cstheme="minorEastAsia"/>
          <w:color w:val="auto"/>
          <w:spacing w:val="7"/>
          <w:position w:val="12"/>
          <w:highlight w:val="none"/>
        </w:rPr>
        <w:t>）有下列情形之一的，属于投标人相互串通投标：</w:t>
      </w:r>
    </w:p>
    <w:p w14:paraId="2F236B5E">
      <w:pPr>
        <w:kinsoku/>
        <w:spacing w:before="76" w:line="360" w:lineRule="auto"/>
        <w:ind w:left="21" w:right="80" w:firstLine="481"/>
        <w:rPr>
          <w:rFonts w:hint="eastAsia" w:asciiTheme="minorEastAsia" w:hAnsiTheme="minorEastAsia" w:eastAsiaTheme="minorEastAsia" w:cstheme="minorEastAsia"/>
          <w:color w:val="auto"/>
          <w:spacing w:val="7"/>
          <w:highlight w:val="none"/>
        </w:rPr>
      </w:pPr>
      <w:r>
        <w:rPr>
          <w:rFonts w:hint="eastAsia" w:asciiTheme="minorEastAsia" w:hAnsiTheme="minorEastAsia" w:eastAsiaTheme="minorEastAsia" w:cstheme="minorEastAsia"/>
          <w:color w:val="auto"/>
          <w:spacing w:val="7"/>
          <w:highlight w:val="none"/>
        </w:rPr>
        <w:t>a.投标人之间协商投标报价等投标文件的实质性内容；</w:t>
      </w:r>
    </w:p>
    <w:p w14:paraId="1311DDB7">
      <w:pPr>
        <w:kinsoku/>
        <w:spacing w:before="76" w:line="360" w:lineRule="auto"/>
        <w:ind w:left="21" w:right="80" w:firstLine="481"/>
        <w:rPr>
          <w:rFonts w:hint="eastAsia" w:asciiTheme="minorEastAsia" w:hAnsiTheme="minorEastAsia" w:eastAsiaTheme="minorEastAsia" w:cstheme="minorEastAsia"/>
          <w:color w:val="auto"/>
          <w:spacing w:val="7"/>
          <w:highlight w:val="none"/>
        </w:rPr>
      </w:pPr>
      <w:r>
        <w:rPr>
          <w:rFonts w:hint="eastAsia" w:asciiTheme="minorEastAsia" w:hAnsiTheme="minorEastAsia" w:eastAsiaTheme="minorEastAsia" w:cstheme="minorEastAsia"/>
          <w:color w:val="auto"/>
          <w:spacing w:val="7"/>
          <w:highlight w:val="none"/>
        </w:rPr>
        <w:t>b.投标人之间约定中标人；</w:t>
      </w:r>
    </w:p>
    <w:p w14:paraId="2CFDBA54">
      <w:pPr>
        <w:kinsoku/>
        <w:spacing w:before="76" w:line="360" w:lineRule="auto"/>
        <w:ind w:left="21" w:right="80" w:firstLine="481"/>
        <w:rPr>
          <w:rFonts w:hint="eastAsia" w:asciiTheme="minorEastAsia" w:hAnsiTheme="minorEastAsia" w:eastAsiaTheme="minorEastAsia" w:cstheme="minorEastAsia"/>
          <w:color w:val="auto"/>
          <w:spacing w:val="7"/>
          <w:highlight w:val="none"/>
        </w:rPr>
      </w:pPr>
      <w:r>
        <w:rPr>
          <w:rFonts w:hint="eastAsia" w:asciiTheme="minorEastAsia" w:hAnsiTheme="minorEastAsia" w:eastAsiaTheme="minorEastAsia" w:cstheme="minorEastAsia"/>
          <w:color w:val="auto"/>
          <w:spacing w:val="7"/>
          <w:highlight w:val="none"/>
        </w:rPr>
        <w:t>c.投标人之间约定部分投标人放弃投标或中标；</w:t>
      </w:r>
    </w:p>
    <w:p w14:paraId="4FB19C38">
      <w:pPr>
        <w:kinsoku/>
        <w:spacing w:before="76" w:line="360" w:lineRule="auto"/>
        <w:ind w:left="21" w:right="80" w:firstLine="481"/>
        <w:rPr>
          <w:rFonts w:hint="eastAsia" w:asciiTheme="minorEastAsia" w:hAnsiTheme="minorEastAsia" w:eastAsiaTheme="minorEastAsia" w:cstheme="minorEastAsia"/>
          <w:color w:val="auto"/>
          <w:spacing w:val="7"/>
          <w:highlight w:val="none"/>
        </w:rPr>
      </w:pPr>
      <w:r>
        <w:rPr>
          <w:rFonts w:hint="eastAsia" w:asciiTheme="minorEastAsia" w:hAnsiTheme="minorEastAsia" w:eastAsiaTheme="minorEastAsia" w:cstheme="minorEastAsia"/>
          <w:color w:val="auto"/>
          <w:spacing w:val="7"/>
          <w:highlight w:val="none"/>
        </w:rPr>
        <w:t xml:space="preserve">d.属于同一集团、协会、商会等组织成员的投标人按照该组织要求协同投标； </w:t>
      </w:r>
    </w:p>
    <w:p w14:paraId="0A48EC03">
      <w:pPr>
        <w:kinsoku/>
        <w:spacing w:before="76" w:line="360" w:lineRule="auto"/>
        <w:ind w:left="21" w:right="80" w:firstLine="481"/>
        <w:rPr>
          <w:rFonts w:hint="eastAsia" w:asciiTheme="minorEastAsia" w:hAnsiTheme="minorEastAsia" w:eastAsiaTheme="minorEastAsia" w:cstheme="minorEastAsia"/>
          <w:color w:val="auto"/>
          <w:spacing w:val="7"/>
          <w:highlight w:val="none"/>
        </w:rPr>
      </w:pPr>
      <w:r>
        <w:rPr>
          <w:rFonts w:hint="eastAsia" w:asciiTheme="minorEastAsia" w:hAnsiTheme="minorEastAsia" w:eastAsiaTheme="minorEastAsia" w:cstheme="minorEastAsia"/>
          <w:color w:val="auto"/>
          <w:spacing w:val="7"/>
          <w:highlight w:val="none"/>
        </w:rPr>
        <w:t>e.投标人之间为谋取中标或排斥特定投标人而采取的其他联合行动。</w:t>
      </w:r>
    </w:p>
    <w:p w14:paraId="396DCBA5">
      <w:pPr>
        <w:kinsoku/>
        <w:spacing w:before="76" w:line="360" w:lineRule="auto"/>
        <w:ind w:left="21" w:right="80" w:firstLine="481"/>
        <w:rPr>
          <w:rFonts w:hint="eastAsia" w:asciiTheme="minorEastAsia" w:hAnsiTheme="minorEastAsia" w:eastAsiaTheme="minorEastAsia" w:cstheme="minorEastAsia"/>
          <w:color w:val="auto"/>
          <w:spacing w:val="7"/>
          <w:highlight w:val="none"/>
        </w:rPr>
      </w:pPr>
      <w:r>
        <w:rPr>
          <w:rFonts w:hint="eastAsia" w:asciiTheme="minorEastAsia" w:hAnsiTheme="minorEastAsia" w:eastAsiaTheme="minorEastAsia" w:cstheme="minorEastAsia"/>
          <w:color w:val="auto"/>
          <w:spacing w:val="7"/>
          <w:highlight w:val="none"/>
        </w:rPr>
        <w:t>（2）有下列情形之一的，视为投标人相互串通投标：</w:t>
      </w:r>
    </w:p>
    <w:p w14:paraId="05EA432A">
      <w:pPr>
        <w:kinsoku/>
        <w:spacing w:before="76" w:line="360" w:lineRule="auto"/>
        <w:ind w:left="21" w:right="80" w:firstLine="481"/>
        <w:rPr>
          <w:rFonts w:hint="eastAsia" w:asciiTheme="minorEastAsia" w:hAnsiTheme="minorEastAsia" w:eastAsiaTheme="minorEastAsia" w:cstheme="minorEastAsia"/>
          <w:color w:val="auto"/>
          <w:spacing w:val="7"/>
          <w:highlight w:val="none"/>
        </w:rPr>
      </w:pPr>
      <w:r>
        <w:rPr>
          <w:rFonts w:hint="eastAsia" w:asciiTheme="minorEastAsia" w:hAnsiTheme="minorEastAsia" w:eastAsiaTheme="minorEastAsia" w:cstheme="minorEastAsia"/>
          <w:color w:val="auto"/>
          <w:spacing w:val="7"/>
          <w:highlight w:val="none"/>
        </w:rPr>
        <w:t>a.不同投标人的投标文件由同一单位或个人编制；</w:t>
      </w:r>
    </w:p>
    <w:p w14:paraId="6621C596">
      <w:pPr>
        <w:kinsoku/>
        <w:spacing w:before="76" w:line="360" w:lineRule="auto"/>
        <w:ind w:left="21" w:right="80" w:firstLine="481"/>
        <w:rPr>
          <w:rFonts w:hint="eastAsia" w:asciiTheme="minorEastAsia" w:hAnsiTheme="minorEastAsia" w:eastAsiaTheme="minorEastAsia" w:cstheme="minorEastAsia"/>
          <w:color w:val="auto"/>
          <w:spacing w:val="7"/>
          <w:highlight w:val="none"/>
        </w:rPr>
      </w:pPr>
      <w:r>
        <w:rPr>
          <w:rFonts w:hint="eastAsia" w:asciiTheme="minorEastAsia" w:hAnsiTheme="minorEastAsia" w:eastAsiaTheme="minorEastAsia" w:cstheme="minorEastAsia"/>
          <w:color w:val="auto"/>
          <w:spacing w:val="7"/>
          <w:highlight w:val="none"/>
        </w:rPr>
        <w:t>b.不同投标人委托同一单位或个人办理投标事宜；</w:t>
      </w:r>
    </w:p>
    <w:p w14:paraId="1D12D9BA">
      <w:pPr>
        <w:kinsoku/>
        <w:spacing w:before="76" w:line="360" w:lineRule="auto"/>
        <w:ind w:left="21" w:right="80" w:firstLine="481"/>
        <w:rPr>
          <w:rFonts w:hint="eastAsia" w:asciiTheme="minorEastAsia" w:hAnsiTheme="minorEastAsia" w:eastAsiaTheme="minorEastAsia" w:cstheme="minorEastAsia"/>
          <w:color w:val="auto"/>
          <w:spacing w:val="7"/>
          <w:highlight w:val="none"/>
        </w:rPr>
      </w:pPr>
      <w:r>
        <w:rPr>
          <w:rFonts w:hint="eastAsia" w:asciiTheme="minorEastAsia" w:hAnsiTheme="minorEastAsia" w:eastAsiaTheme="minorEastAsia" w:cstheme="minorEastAsia"/>
          <w:color w:val="auto"/>
          <w:spacing w:val="7"/>
          <w:highlight w:val="none"/>
        </w:rPr>
        <w:t>c.不同投标人的投标文件载明的项目管理成员为同一人；</w:t>
      </w:r>
    </w:p>
    <w:p w14:paraId="50779170">
      <w:pPr>
        <w:kinsoku/>
        <w:spacing w:before="76" w:line="360" w:lineRule="auto"/>
        <w:ind w:left="21" w:right="80" w:firstLine="481"/>
        <w:rPr>
          <w:rFonts w:hint="eastAsia" w:asciiTheme="minorEastAsia" w:hAnsiTheme="minorEastAsia" w:eastAsiaTheme="minorEastAsia" w:cstheme="minorEastAsia"/>
          <w:color w:val="auto"/>
          <w:spacing w:val="7"/>
          <w:highlight w:val="none"/>
        </w:rPr>
      </w:pPr>
      <w:r>
        <w:rPr>
          <w:rFonts w:hint="eastAsia" w:asciiTheme="minorEastAsia" w:hAnsiTheme="minorEastAsia" w:eastAsiaTheme="minorEastAsia" w:cstheme="minorEastAsia"/>
          <w:color w:val="auto"/>
          <w:spacing w:val="7"/>
          <w:highlight w:val="none"/>
        </w:rPr>
        <w:t>d.不同投标人的投标文件异常一致或投标报价呈规律性差异；</w:t>
      </w:r>
    </w:p>
    <w:p w14:paraId="3C709487">
      <w:pPr>
        <w:kinsoku/>
        <w:spacing w:before="76" w:line="360" w:lineRule="auto"/>
        <w:ind w:left="21" w:right="80" w:firstLine="481"/>
        <w:rPr>
          <w:rFonts w:hint="eastAsia" w:asciiTheme="minorEastAsia" w:hAnsiTheme="minorEastAsia" w:eastAsiaTheme="minorEastAsia" w:cstheme="minorEastAsia"/>
          <w:color w:val="auto"/>
          <w:spacing w:val="7"/>
          <w:highlight w:val="none"/>
        </w:rPr>
      </w:pPr>
      <w:r>
        <w:rPr>
          <w:rFonts w:hint="eastAsia" w:asciiTheme="minorEastAsia" w:hAnsiTheme="minorEastAsia" w:eastAsiaTheme="minorEastAsia" w:cstheme="minorEastAsia"/>
          <w:color w:val="auto"/>
          <w:spacing w:val="7"/>
          <w:highlight w:val="none"/>
        </w:rPr>
        <w:t>e.不同投标人的投标文件相互混装；</w:t>
      </w:r>
    </w:p>
    <w:p w14:paraId="150F15EE">
      <w:pPr>
        <w:kinsoku/>
        <w:spacing w:before="76" w:line="360" w:lineRule="auto"/>
        <w:ind w:left="21" w:right="80" w:firstLine="481"/>
        <w:rPr>
          <w:rFonts w:hint="eastAsia" w:asciiTheme="minorEastAsia" w:hAnsiTheme="minorEastAsia" w:eastAsiaTheme="minorEastAsia" w:cstheme="minorEastAsia"/>
          <w:color w:val="auto"/>
          <w:spacing w:val="7"/>
          <w:highlight w:val="none"/>
        </w:rPr>
      </w:pPr>
      <w:r>
        <w:rPr>
          <w:rFonts w:hint="eastAsia" w:asciiTheme="minorEastAsia" w:hAnsiTheme="minorEastAsia" w:eastAsiaTheme="minorEastAsia" w:cstheme="minorEastAsia"/>
          <w:color w:val="auto"/>
          <w:spacing w:val="7"/>
          <w:highlight w:val="none"/>
        </w:rPr>
        <w:t>f.不同投标人的投标保证金从同一单位或个人的账户转出。</w:t>
      </w:r>
    </w:p>
    <w:p w14:paraId="76C90AE2">
      <w:pPr>
        <w:kinsoku/>
        <w:spacing w:before="76" w:line="360" w:lineRule="auto"/>
        <w:ind w:left="21" w:right="80" w:firstLine="481"/>
        <w:rPr>
          <w:rFonts w:hint="eastAsia" w:asciiTheme="minorEastAsia" w:hAnsiTheme="minorEastAsia" w:eastAsiaTheme="minorEastAsia" w:cstheme="minorEastAsia"/>
          <w:color w:val="auto"/>
          <w:spacing w:val="7"/>
          <w:highlight w:val="none"/>
        </w:rPr>
      </w:pPr>
      <w:r>
        <w:rPr>
          <w:rFonts w:hint="eastAsia" w:asciiTheme="minorEastAsia" w:hAnsiTheme="minorEastAsia" w:eastAsiaTheme="minorEastAsia" w:cstheme="minorEastAsia"/>
          <w:color w:val="auto"/>
          <w:spacing w:val="7"/>
          <w:highlight w:val="none"/>
        </w:rPr>
        <w:t>（3）有下列情形之一的，属于招标人与投标人串通投标：</w:t>
      </w:r>
    </w:p>
    <w:p w14:paraId="4DB4B530">
      <w:pPr>
        <w:kinsoku/>
        <w:spacing w:before="76" w:line="360" w:lineRule="auto"/>
        <w:ind w:left="21" w:right="80" w:firstLine="481"/>
        <w:rPr>
          <w:rFonts w:hint="eastAsia" w:asciiTheme="minorEastAsia" w:hAnsiTheme="minorEastAsia" w:eastAsiaTheme="minorEastAsia" w:cstheme="minorEastAsia"/>
          <w:color w:val="auto"/>
          <w:spacing w:val="7"/>
          <w:highlight w:val="none"/>
        </w:rPr>
      </w:pPr>
      <w:r>
        <w:rPr>
          <w:rFonts w:hint="eastAsia" w:asciiTheme="minorEastAsia" w:hAnsiTheme="minorEastAsia" w:eastAsiaTheme="minorEastAsia" w:cstheme="minorEastAsia"/>
          <w:color w:val="auto"/>
          <w:spacing w:val="7"/>
          <w:highlight w:val="none"/>
        </w:rPr>
        <w:t xml:space="preserve">a.招标人在开标前开启投标文件并将有关信息泄露给其他投标人;   </w:t>
      </w:r>
    </w:p>
    <w:p w14:paraId="7D2E02F7">
      <w:pPr>
        <w:kinsoku/>
        <w:spacing w:before="76" w:line="360" w:lineRule="auto"/>
        <w:ind w:left="21" w:right="80" w:firstLine="481"/>
        <w:rPr>
          <w:rFonts w:hint="eastAsia" w:asciiTheme="minorEastAsia" w:hAnsiTheme="minorEastAsia" w:eastAsiaTheme="minorEastAsia" w:cstheme="minorEastAsia"/>
          <w:color w:val="auto"/>
          <w:spacing w:val="7"/>
          <w:highlight w:val="none"/>
        </w:rPr>
      </w:pPr>
      <w:r>
        <w:rPr>
          <w:rFonts w:hint="eastAsia" w:asciiTheme="minorEastAsia" w:hAnsiTheme="minorEastAsia" w:eastAsiaTheme="minorEastAsia" w:cstheme="minorEastAsia"/>
          <w:color w:val="auto"/>
          <w:spacing w:val="7"/>
          <w:highlight w:val="none"/>
        </w:rPr>
        <w:t xml:space="preserve">b.招标人直接或间接向投标人泄露标底、评标委员会成员等信息； </w:t>
      </w:r>
    </w:p>
    <w:p w14:paraId="53A28B29">
      <w:pPr>
        <w:kinsoku/>
        <w:spacing w:before="76" w:line="360" w:lineRule="auto"/>
        <w:ind w:left="21" w:right="80" w:firstLine="481"/>
        <w:rPr>
          <w:rFonts w:hint="eastAsia" w:asciiTheme="minorEastAsia" w:hAnsiTheme="minorEastAsia" w:eastAsiaTheme="minorEastAsia" w:cstheme="minorEastAsia"/>
          <w:color w:val="auto"/>
          <w:spacing w:val="7"/>
          <w:highlight w:val="none"/>
        </w:rPr>
      </w:pPr>
      <w:r>
        <w:rPr>
          <w:rFonts w:hint="eastAsia" w:asciiTheme="minorEastAsia" w:hAnsiTheme="minorEastAsia" w:eastAsiaTheme="minorEastAsia" w:cstheme="minorEastAsia"/>
          <w:color w:val="auto"/>
          <w:spacing w:val="7"/>
          <w:highlight w:val="none"/>
        </w:rPr>
        <w:t>c.招标人明示或暗示投标人压低或抬高投标报价；</w:t>
      </w:r>
    </w:p>
    <w:p w14:paraId="74833250">
      <w:pPr>
        <w:kinsoku/>
        <w:spacing w:before="76" w:line="360" w:lineRule="auto"/>
        <w:ind w:left="21" w:right="80" w:firstLine="481"/>
        <w:rPr>
          <w:rFonts w:hint="eastAsia" w:asciiTheme="minorEastAsia" w:hAnsiTheme="minorEastAsia" w:eastAsiaTheme="minorEastAsia" w:cstheme="minorEastAsia"/>
          <w:color w:val="auto"/>
          <w:spacing w:val="7"/>
          <w:highlight w:val="none"/>
        </w:rPr>
      </w:pPr>
      <w:r>
        <w:rPr>
          <w:rFonts w:hint="eastAsia" w:asciiTheme="minorEastAsia" w:hAnsiTheme="minorEastAsia" w:eastAsiaTheme="minorEastAsia" w:cstheme="minorEastAsia"/>
          <w:color w:val="auto"/>
          <w:spacing w:val="7"/>
          <w:highlight w:val="none"/>
        </w:rPr>
        <w:t>d.招标人授意投标人撤换、修改投标文件；</w:t>
      </w:r>
    </w:p>
    <w:p w14:paraId="200C0EBE">
      <w:pPr>
        <w:kinsoku/>
        <w:spacing w:before="76" w:line="360" w:lineRule="auto"/>
        <w:ind w:left="21" w:right="80" w:firstLine="481"/>
        <w:rPr>
          <w:rFonts w:hint="eastAsia" w:asciiTheme="minorEastAsia" w:hAnsiTheme="minorEastAsia" w:eastAsiaTheme="minorEastAsia" w:cstheme="minorEastAsia"/>
          <w:color w:val="auto"/>
          <w:spacing w:val="7"/>
          <w:highlight w:val="none"/>
        </w:rPr>
      </w:pPr>
      <w:r>
        <w:rPr>
          <w:rFonts w:hint="eastAsia" w:asciiTheme="minorEastAsia" w:hAnsiTheme="minorEastAsia" w:eastAsiaTheme="minorEastAsia" w:cstheme="minorEastAsia"/>
          <w:color w:val="auto"/>
          <w:spacing w:val="7"/>
          <w:highlight w:val="none"/>
        </w:rPr>
        <w:t>e.招标人明示或暗示投标人为特定投标人中标提供方便；</w:t>
      </w:r>
    </w:p>
    <w:p w14:paraId="48E94718">
      <w:pPr>
        <w:kinsoku/>
        <w:spacing w:before="76" w:line="360" w:lineRule="auto"/>
        <w:ind w:left="21" w:right="80" w:firstLine="481"/>
        <w:rPr>
          <w:rFonts w:hint="eastAsia" w:asciiTheme="minorEastAsia" w:hAnsiTheme="minorEastAsia" w:eastAsiaTheme="minorEastAsia" w:cstheme="minorEastAsia"/>
          <w:color w:val="auto"/>
          <w:spacing w:val="7"/>
          <w:highlight w:val="none"/>
        </w:rPr>
      </w:pPr>
      <w:r>
        <w:rPr>
          <w:rFonts w:hint="eastAsia" w:asciiTheme="minorEastAsia" w:hAnsiTheme="minorEastAsia" w:eastAsiaTheme="minorEastAsia" w:cstheme="minorEastAsia"/>
          <w:color w:val="auto"/>
          <w:spacing w:val="7"/>
          <w:highlight w:val="none"/>
        </w:rPr>
        <w:t>f.招标人与投标人为谋求特定投标人中标而采取的其他串通行为。</w:t>
      </w:r>
    </w:p>
    <w:p w14:paraId="4CC552E4">
      <w:pPr>
        <w:kinsoku/>
        <w:spacing w:before="76" w:line="360" w:lineRule="auto"/>
        <w:ind w:left="21" w:right="80" w:firstLine="481"/>
        <w:rPr>
          <w:rFonts w:hint="eastAsia" w:asciiTheme="minorEastAsia" w:hAnsiTheme="minorEastAsia" w:eastAsiaTheme="minorEastAsia" w:cstheme="minorEastAsia"/>
          <w:color w:val="auto"/>
          <w:spacing w:val="7"/>
          <w:highlight w:val="none"/>
        </w:rPr>
      </w:pPr>
      <w:r>
        <w:rPr>
          <w:rFonts w:hint="eastAsia" w:asciiTheme="minorEastAsia" w:hAnsiTheme="minorEastAsia" w:eastAsiaTheme="minorEastAsia" w:cstheme="minorEastAsia"/>
          <w:color w:val="auto"/>
          <w:spacing w:val="7"/>
          <w:highlight w:val="none"/>
        </w:rPr>
        <w:t>（4）投标人有下列情形之一的，属于弄虚作假的行为：</w:t>
      </w:r>
    </w:p>
    <w:p w14:paraId="7CD5E50C">
      <w:pPr>
        <w:kinsoku/>
        <w:spacing w:before="76" w:line="360" w:lineRule="auto"/>
        <w:ind w:left="21" w:right="80" w:firstLine="481"/>
        <w:rPr>
          <w:rFonts w:hint="eastAsia" w:asciiTheme="minorEastAsia" w:hAnsiTheme="minorEastAsia" w:eastAsiaTheme="minorEastAsia" w:cstheme="minorEastAsia"/>
          <w:color w:val="auto"/>
          <w:spacing w:val="7"/>
          <w:highlight w:val="none"/>
        </w:rPr>
      </w:pPr>
      <w:r>
        <w:rPr>
          <w:rFonts w:hint="eastAsia" w:asciiTheme="minorEastAsia" w:hAnsiTheme="minorEastAsia" w:eastAsiaTheme="minorEastAsia" w:cstheme="minorEastAsia"/>
          <w:color w:val="auto"/>
          <w:spacing w:val="7"/>
          <w:highlight w:val="none"/>
        </w:rPr>
        <w:t>a.使用通过受让或租借等方式获取的资格、资质证书投标；</w:t>
      </w:r>
    </w:p>
    <w:p w14:paraId="1F872D91">
      <w:pPr>
        <w:kinsoku/>
        <w:spacing w:before="76" w:line="360" w:lineRule="auto"/>
        <w:ind w:left="21" w:right="80" w:firstLine="481"/>
        <w:rPr>
          <w:rFonts w:hint="eastAsia" w:asciiTheme="minorEastAsia" w:hAnsiTheme="minorEastAsia" w:eastAsiaTheme="minorEastAsia" w:cstheme="minorEastAsia"/>
          <w:color w:val="auto"/>
          <w:spacing w:val="7"/>
          <w:highlight w:val="none"/>
        </w:rPr>
      </w:pPr>
      <w:r>
        <w:rPr>
          <w:rFonts w:hint="eastAsia" w:asciiTheme="minorEastAsia" w:hAnsiTheme="minorEastAsia" w:eastAsiaTheme="minorEastAsia" w:cstheme="minorEastAsia"/>
          <w:color w:val="auto"/>
          <w:spacing w:val="7"/>
          <w:highlight w:val="none"/>
        </w:rPr>
        <w:t>b.使用伪造、变造的许可证件；</w:t>
      </w:r>
    </w:p>
    <w:p w14:paraId="38A73B09">
      <w:pPr>
        <w:kinsoku/>
        <w:spacing w:before="76" w:line="360" w:lineRule="auto"/>
        <w:ind w:left="21" w:right="80" w:firstLine="481"/>
        <w:rPr>
          <w:rFonts w:hint="eastAsia" w:asciiTheme="minorEastAsia" w:hAnsiTheme="minorEastAsia" w:eastAsiaTheme="minorEastAsia" w:cstheme="minorEastAsia"/>
          <w:color w:val="auto"/>
          <w:spacing w:val="7"/>
          <w:highlight w:val="none"/>
        </w:rPr>
      </w:pPr>
      <w:r>
        <w:rPr>
          <w:rFonts w:hint="eastAsia" w:asciiTheme="minorEastAsia" w:hAnsiTheme="minorEastAsia" w:eastAsiaTheme="minorEastAsia" w:cstheme="minorEastAsia"/>
          <w:color w:val="auto"/>
          <w:spacing w:val="7"/>
          <w:highlight w:val="none"/>
        </w:rPr>
        <w:t>c.提供虚假的业绩；</w:t>
      </w:r>
    </w:p>
    <w:p w14:paraId="484A4DB2">
      <w:pPr>
        <w:kinsoku/>
        <w:spacing w:before="76" w:line="360" w:lineRule="auto"/>
        <w:ind w:left="21" w:right="80" w:firstLine="481"/>
        <w:rPr>
          <w:rFonts w:hint="eastAsia" w:asciiTheme="minorEastAsia" w:hAnsiTheme="minorEastAsia" w:eastAsiaTheme="minorEastAsia" w:cstheme="minorEastAsia"/>
          <w:color w:val="auto"/>
          <w:spacing w:val="7"/>
          <w:highlight w:val="none"/>
        </w:rPr>
      </w:pPr>
      <w:r>
        <w:rPr>
          <w:rFonts w:hint="eastAsia" w:asciiTheme="minorEastAsia" w:hAnsiTheme="minorEastAsia" w:eastAsiaTheme="minorEastAsia" w:cstheme="minorEastAsia"/>
          <w:color w:val="auto"/>
          <w:spacing w:val="7"/>
          <w:highlight w:val="none"/>
        </w:rPr>
        <w:t xml:space="preserve">d.提供虚假的项目负责人或主要技术人员简历、劳动关系证明； </w:t>
      </w:r>
    </w:p>
    <w:p w14:paraId="15041E5C">
      <w:pPr>
        <w:kinsoku/>
        <w:spacing w:before="76" w:line="360" w:lineRule="auto"/>
        <w:ind w:left="21" w:right="80" w:firstLine="481"/>
        <w:rPr>
          <w:rFonts w:hint="eastAsia" w:asciiTheme="minorEastAsia" w:hAnsiTheme="minorEastAsia" w:eastAsiaTheme="minorEastAsia" w:cstheme="minorEastAsia"/>
          <w:color w:val="auto"/>
          <w:spacing w:val="7"/>
          <w:highlight w:val="none"/>
        </w:rPr>
      </w:pPr>
      <w:r>
        <w:rPr>
          <w:rFonts w:hint="eastAsia" w:asciiTheme="minorEastAsia" w:hAnsiTheme="minorEastAsia" w:eastAsiaTheme="minorEastAsia" w:cstheme="minorEastAsia"/>
          <w:color w:val="auto"/>
          <w:spacing w:val="7"/>
          <w:highlight w:val="none"/>
        </w:rPr>
        <w:t>e.提供虚假的信用状况；</w:t>
      </w:r>
    </w:p>
    <w:p w14:paraId="7FDE2310">
      <w:pPr>
        <w:kinsoku/>
        <w:spacing w:before="76" w:line="360" w:lineRule="auto"/>
        <w:ind w:left="21" w:right="80" w:firstLine="481"/>
        <w:rPr>
          <w:rFonts w:hint="eastAsia" w:asciiTheme="minorEastAsia" w:hAnsiTheme="minorEastAsia" w:eastAsiaTheme="minorEastAsia" w:cstheme="minorEastAsia"/>
          <w:color w:val="auto"/>
          <w:spacing w:val="7"/>
          <w:highlight w:val="none"/>
        </w:rPr>
      </w:pPr>
      <w:r>
        <w:rPr>
          <w:rFonts w:hint="eastAsia" w:asciiTheme="minorEastAsia" w:hAnsiTheme="minorEastAsia" w:eastAsiaTheme="minorEastAsia" w:cstheme="minorEastAsia"/>
          <w:color w:val="auto"/>
          <w:spacing w:val="7"/>
          <w:highlight w:val="none"/>
        </w:rPr>
        <w:t>f.其他弄虚作假的行为。</w:t>
      </w:r>
    </w:p>
    <w:p w14:paraId="717ED9B1">
      <w:pPr>
        <w:kinsoku/>
        <w:spacing w:before="123" w:line="360" w:lineRule="auto"/>
        <w:ind w:left="22" w:right="80" w:firstLine="479"/>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7"/>
          <w:highlight w:val="none"/>
        </w:rPr>
        <w:t>3.6.2 依法必须进行招标的项目，除第一中标候选人或者中标人以外的其他投标人存在串通投标、弄虚作假、行贿情形且在评标过程中未被发现的，视为对中标结果没有造成实质性影响，招标人可以依法继续开展招标活动。投标人的违法行为由行政监督部门依法处理。</w:t>
      </w:r>
    </w:p>
    <w:p w14:paraId="0E0A8FB4">
      <w:pPr>
        <w:kinsoku/>
        <w:spacing w:before="76" w:line="360" w:lineRule="auto"/>
        <w:ind w:firstLine="497"/>
        <w:rPr>
          <w:rFonts w:hint="eastAsia" w:asciiTheme="minorEastAsia" w:hAnsiTheme="minorEastAsia" w:eastAsiaTheme="minorEastAsia" w:cstheme="minorEastAsia"/>
          <w:b/>
          <w:bCs/>
          <w:color w:val="auto"/>
          <w:spacing w:val="1"/>
          <w:highlight w:val="none"/>
        </w:rPr>
      </w:pPr>
      <w:r>
        <w:rPr>
          <w:rFonts w:hint="eastAsia" w:asciiTheme="minorEastAsia" w:hAnsiTheme="minorEastAsia" w:eastAsiaTheme="minorEastAsia" w:cstheme="minorEastAsia"/>
          <w:b/>
          <w:bCs/>
          <w:color w:val="auto"/>
          <w:spacing w:val="1"/>
          <w:highlight w:val="none"/>
        </w:rPr>
        <w:t>3.7 投标文件的澄清和说明</w:t>
      </w:r>
    </w:p>
    <w:p w14:paraId="07167276">
      <w:pPr>
        <w:kinsoku/>
        <w:spacing w:before="123" w:line="360" w:lineRule="auto"/>
        <w:ind w:left="22" w:right="80" w:firstLine="479"/>
        <w:rPr>
          <w:rFonts w:hint="eastAsia" w:asciiTheme="minorEastAsia" w:hAnsiTheme="minorEastAsia" w:eastAsiaTheme="minorEastAsia" w:cstheme="minorEastAsia"/>
          <w:color w:val="auto"/>
          <w:spacing w:val="7"/>
          <w:highlight w:val="none"/>
        </w:rPr>
      </w:pPr>
      <w:r>
        <w:rPr>
          <w:rFonts w:hint="eastAsia" w:asciiTheme="minorEastAsia" w:hAnsiTheme="minorEastAsia" w:eastAsiaTheme="minorEastAsia" w:cstheme="minorEastAsia"/>
          <w:color w:val="auto"/>
          <w:spacing w:val="7"/>
          <w:highlight w:val="none"/>
        </w:rPr>
        <w:t>3.7.1在评标过程中，评标委员会可以书面形式要求投标人对投标文件中含义不明确的内容、明显文字或计算错误进行书面澄清或说明。评标委员会不接受投标人主动提出的澄清、说明。投标人不按评标委员会要求澄清或说明的，评标委员会应否决其投标。</w:t>
      </w:r>
    </w:p>
    <w:p w14:paraId="346ECABD">
      <w:pPr>
        <w:kinsoku/>
        <w:spacing w:before="123" w:line="360" w:lineRule="auto"/>
        <w:ind w:left="22" w:right="80" w:firstLine="479"/>
        <w:rPr>
          <w:rFonts w:hint="eastAsia" w:asciiTheme="minorEastAsia" w:hAnsiTheme="minorEastAsia" w:eastAsiaTheme="minorEastAsia" w:cstheme="minorEastAsia"/>
          <w:color w:val="auto"/>
          <w:spacing w:val="7"/>
          <w:highlight w:val="none"/>
        </w:rPr>
      </w:pPr>
      <w:r>
        <w:rPr>
          <w:rFonts w:hint="eastAsia" w:asciiTheme="minorEastAsia" w:hAnsiTheme="minorEastAsia" w:eastAsiaTheme="minorEastAsia" w:cstheme="minorEastAsia"/>
          <w:color w:val="auto"/>
          <w:spacing w:val="7"/>
          <w:highlight w:val="none"/>
        </w:rPr>
        <w:t>3.7.2澄清和说明不得超出投标文件的范围或改变投标文件的实质性内容（算术性错误的修正除外）。投标人的书面澄清、说明属于投标文件的组成部分。</w:t>
      </w:r>
    </w:p>
    <w:p w14:paraId="2E5B5F6D">
      <w:pPr>
        <w:kinsoku/>
        <w:spacing w:before="123" w:line="360" w:lineRule="auto"/>
        <w:ind w:left="22" w:right="80" w:firstLine="479"/>
        <w:rPr>
          <w:rFonts w:hint="eastAsia" w:asciiTheme="minorEastAsia" w:hAnsiTheme="minorEastAsia" w:eastAsiaTheme="minorEastAsia" w:cstheme="minorEastAsia"/>
          <w:color w:val="auto"/>
          <w:spacing w:val="7"/>
          <w:highlight w:val="none"/>
        </w:rPr>
      </w:pPr>
      <w:r>
        <w:rPr>
          <w:rFonts w:hint="eastAsia" w:asciiTheme="minorEastAsia" w:hAnsiTheme="minorEastAsia" w:eastAsiaTheme="minorEastAsia" w:cstheme="minorEastAsia"/>
          <w:color w:val="auto"/>
          <w:spacing w:val="7"/>
          <w:highlight w:val="none"/>
        </w:rPr>
        <w:t>3.7.3评标委员会不得暗示或诱导投标人作出澄清、说明，对投标人提交的澄清、说明有疑问的，可以要求投标人进一步澄清或说明，直至满足评标委员会的要求。</w:t>
      </w:r>
    </w:p>
    <w:p w14:paraId="127298AB">
      <w:pPr>
        <w:kinsoku/>
        <w:spacing w:before="123" w:line="360" w:lineRule="auto"/>
        <w:ind w:left="22" w:right="80" w:firstLine="479"/>
        <w:rPr>
          <w:rFonts w:hint="eastAsia" w:asciiTheme="minorEastAsia" w:hAnsiTheme="minorEastAsia" w:eastAsiaTheme="minorEastAsia" w:cstheme="minorEastAsia"/>
          <w:color w:val="auto"/>
          <w:spacing w:val="7"/>
          <w:highlight w:val="none"/>
        </w:rPr>
      </w:pPr>
      <w:r>
        <w:rPr>
          <w:rFonts w:hint="eastAsia" w:asciiTheme="minorEastAsia" w:hAnsiTheme="minorEastAsia" w:eastAsiaTheme="minorEastAsia" w:cstheme="minorEastAsia"/>
          <w:color w:val="auto"/>
          <w:spacing w:val="7"/>
          <w:highlight w:val="none"/>
        </w:rPr>
        <w:t>3.7.4凡超出招标文件规定的或给发包人带来未曾要求的利益的变化、偏差或其他因素在评标时不予考虑。</w:t>
      </w:r>
    </w:p>
    <w:p w14:paraId="3568DD45">
      <w:pPr>
        <w:kinsoku/>
        <w:spacing w:before="76" w:line="360" w:lineRule="auto"/>
        <w:ind w:firstLine="497"/>
        <w:rPr>
          <w:rFonts w:hint="eastAsia" w:asciiTheme="minorEastAsia" w:hAnsiTheme="minorEastAsia" w:eastAsiaTheme="minorEastAsia" w:cstheme="minorEastAsia"/>
          <w:b/>
          <w:bCs/>
          <w:color w:val="auto"/>
          <w:spacing w:val="1"/>
          <w:highlight w:val="none"/>
        </w:rPr>
      </w:pPr>
      <w:r>
        <w:rPr>
          <w:rFonts w:hint="eastAsia" w:asciiTheme="minorEastAsia" w:hAnsiTheme="minorEastAsia" w:eastAsiaTheme="minorEastAsia" w:cstheme="minorEastAsia"/>
          <w:b/>
          <w:bCs/>
          <w:color w:val="auto"/>
          <w:spacing w:val="1"/>
          <w:highlight w:val="none"/>
        </w:rPr>
        <w:t>3.8 不得否决投标的情形</w:t>
      </w:r>
    </w:p>
    <w:p w14:paraId="0B2A96CE">
      <w:pPr>
        <w:kinsoku/>
        <w:spacing w:before="123" w:line="360" w:lineRule="auto"/>
        <w:ind w:left="22" w:right="80" w:firstLine="479"/>
        <w:rPr>
          <w:rFonts w:hint="eastAsia" w:asciiTheme="minorEastAsia" w:hAnsiTheme="minorEastAsia" w:eastAsiaTheme="minorEastAsia" w:cstheme="minorEastAsia"/>
          <w:color w:val="auto"/>
          <w:spacing w:val="7"/>
          <w:highlight w:val="none"/>
        </w:rPr>
      </w:pPr>
      <w:r>
        <w:rPr>
          <w:rFonts w:hint="eastAsia" w:asciiTheme="minorEastAsia" w:hAnsiTheme="minorEastAsia" w:eastAsiaTheme="minorEastAsia" w:cstheme="minorEastAsia"/>
          <w:color w:val="auto"/>
          <w:spacing w:val="7"/>
          <w:highlight w:val="none"/>
        </w:rPr>
        <w:t>投标文件存在第二章“投标人须知”第 1.12.3 项所列情形的，均视为细微偏差，评标委员会不得否决投标人的投标，应按照第二章“投标人须知”第 1.12.4 项规定的原则处理。</w:t>
      </w:r>
    </w:p>
    <w:p w14:paraId="2F7C69C7">
      <w:pPr>
        <w:kinsoku/>
        <w:spacing w:before="76" w:line="360" w:lineRule="auto"/>
        <w:ind w:firstLine="497"/>
        <w:rPr>
          <w:rFonts w:hint="eastAsia" w:asciiTheme="minorEastAsia" w:hAnsiTheme="minorEastAsia" w:eastAsiaTheme="minorEastAsia" w:cstheme="minorEastAsia"/>
          <w:b/>
          <w:bCs/>
          <w:color w:val="auto"/>
          <w:spacing w:val="1"/>
          <w:highlight w:val="none"/>
        </w:rPr>
      </w:pPr>
      <w:r>
        <w:rPr>
          <w:rFonts w:hint="eastAsia" w:asciiTheme="minorEastAsia" w:hAnsiTheme="minorEastAsia" w:eastAsiaTheme="minorEastAsia" w:cstheme="minorEastAsia"/>
          <w:b/>
          <w:bCs/>
          <w:color w:val="auto"/>
          <w:spacing w:val="1"/>
          <w:highlight w:val="none"/>
        </w:rPr>
        <w:t>3.9 评标结果</w:t>
      </w:r>
    </w:p>
    <w:p w14:paraId="548000CB">
      <w:pPr>
        <w:kinsoku/>
        <w:spacing w:before="123" w:line="360" w:lineRule="auto"/>
        <w:ind w:left="22" w:right="80" w:firstLine="479"/>
        <w:rPr>
          <w:rFonts w:hint="eastAsia" w:asciiTheme="minorEastAsia" w:hAnsiTheme="minorEastAsia" w:eastAsiaTheme="minorEastAsia" w:cstheme="minorEastAsia"/>
          <w:color w:val="auto"/>
          <w:spacing w:val="7"/>
          <w:highlight w:val="none"/>
        </w:rPr>
      </w:pPr>
      <w:r>
        <w:rPr>
          <w:rFonts w:hint="eastAsia" w:asciiTheme="minorEastAsia" w:hAnsiTheme="minorEastAsia" w:eastAsiaTheme="minorEastAsia" w:cstheme="minorEastAsia"/>
          <w:color w:val="auto"/>
          <w:spacing w:val="7"/>
          <w:highlight w:val="none"/>
        </w:rPr>
        <w:t>3.9.1 除第二章“投标人须知”前附表授权直接确定中标人外，评标委员按照得分由高到低的顺序推荐中标候选人，并标明排序。</w:t>
      </w:r>
    </w:p>
    <w:p w14:paraId="4A459C2A">
      <w:pPr>
        <w:kinsoku/>
        <w:spacing w:before="123" w:line="360" w:lineRule="auto"/>
        <w:ind w:left="22" w:right="80" w:firstLine="479"/>
        <w:rPr>
          <w:rFonts w:hint="eastAsia" w:asciiTheme="minorEastAsia" w:hAnsiTheme="minorEastAsia" w:eastAsiaTheme="minorEastAsia" w:cstheme="minorEastAsia"/>
          <w:color w:val="auto"/>
          <w:spacing w:val="7"/>
          <w:highlight w:val="none"/>
        </w:rPr>
      </w:pPr>
      <w:r>
        <w:rPr>
          <w:rFonts w:hint="eastAsia" w:asciiTheme="minorEastAsia" w:hAnsiTheme="minorEastAsia" w:eastAsiaTheme="minorEastAsia" w:cstheme="minorEastAsia"/>
          <w:color w:val="auto"/>
          <w:spacing w:val="7"/>
          <w:highlight w:val="none"/>
        </w:rPr>
        <w:t>3.9.2 评标委员会完成评标后，应向招标人提交书面评标报告。</w:t>
      </w:r>
    </w:p>
    <w:p w14:paraId="6275E188"/>
    <w:p w14:paraId="087B8325">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D8EB71"/>
    <w:multiLevelType w:val="singleLevel"/>
    <w:tmpl w:val="81D8EB71"/>
    <w:lvl w:ilvl="0" w:tentative="0">
      <w:start w:val="1"/>
      <w:numFmt w:val="decimal"/>
      <w:suff w:val="nothing"/>
      <w:lvlText w:val="（%1）"/>
      <w:lvlJc w:val="left"/>
      <w:pPr>
        <w:ind w:left="21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CB307C"/>
    <w:rsid w:val="6ACB30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99"/>
    <w:pPr>
      <w:spacing w:line="360" w:lineRule="auto"/>
      <w:ind w:firstLine="548"/>
    </w:pPr>
    <w:rPr>
      <w:rFonts w:ascii="宋体" w:hAnsi="宋体" w:cs="宋体"/>
      <w:b/>
      <w:kern w:val="1"/>
      <w:sz w:val="24"/>
      <w:szCs w:val="20"/>
    </w:rPr>
  </w:style>
  <w:style w:type="paragraph" w:styleId="3">
    <w:name w:val="footer"/>
    <w:basedOn w:val="1"/>
    <w:qFormat/>
    <w:uiPriority w:val="99"/>
    <w:pPr>
      <w:widowControl w:val="0"/>
      <w:tabs>
        <w:tab w:val="center" w:pos="4153"/>
        <w:tab w:val="right" w:pos="8306"/>
      </w:tabs>
      <w:snapToGrid w:val="0"/>
      <w:spacing w:line="360" w:lineRule="auto"/>
    </w:pPr>
    <w:rPr>
      <w:rFonts w:ascii="Times New Roman" w:hAnsi="Times New Roman" w:eastAsia="宋体" w:cs="Times New Roman"/>
      <w:kern w:val="2"/>
      <w:sz w:val="18"/>
      <w:szCs w:val="18"/>
      <w:lang w:val="en-US" w:eastAsia="zh-CN" w:bidi="ar-SA"/>
    </w:rPr>
  </w:style>
  <w:style w:type="table" w:customStyle="1" w:styleId="6">
    <w:name w:val="Table Normal"/>
    <w:unhideWhenUsed/>
    <w:qFormat/>
    <w:uiPriority w:val="0"/>
    <w:tblPr>
      <w:tblCellMar>
        <w:top w:w="0" w:type="dxa"/>
        <w:left w:w="0" w:type="dxa"/>
        <w:bottom w:w="0" w:type="dxa"/>
        <w:right w:w="0" w:type="dxa"/>
      </w:tblCellMar>
    </w:tblPr>
  </w:style>
  <w:style w:type="paragraph" w:customStyle="1" w:styleId="7">
    <w:name w:val="正文文本缩进1"/>
    <w:basedOn w:val="1"/>
    <w:qFormat/>
    <w:uiPriority w:val="0"/>
    <w:pPr>
      <w:spacing w:after="120"/>
      <w:ind w:left="420"/>
    </w:pPr>
  </w:style>
  <w:style w:type="paragraph" w:customStyle="1" w:styleId="8">
    <w:name w:val="样式 宋体 行距: 1.5 倍行距"/>
    <w:basedOn w:val="1"/>
    <w:qFormat/>
    <w:uiPriority w:val="0"/>
    <w:pPr>
      <w:jc w:val="center"/>
    </w:pPr>
    <w:rPr>
      <w:rFonts w:ascii="Times New Roman" w:hAnsi="Times New Roman" w:eastAsia="宋体" w:cs="Times New Roman"/>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2025-01-17T08:57:00Z</dcterms:created>
  <dc:creator>纬确烫懈亩</dc:creator>
  <cp:lastModifiedBy>纬确烫懈亩</cp:lastModifiedBy>
  <dcterms:modified xsi:type="dcterms:W3CDTF">2025-01-17T08:57:23Z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287E11F559654F7AADF643B1D2A20CD8_11</vt:lpwstr>
  </property>
</Properties>
</file>