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napToGrid w:val="0"/>
        <w:spacing w:line="360" w:lineRule="auto"/>
        <w:ind w:right="25" w:rightChars="12"/>
        <w:jc w:val="center"/>
        <w:rPr>
          <w:rFonts w:cs="宋体"/>
          <w:b/>
          <w:color w:val="auto"/>
          <w:sz w:val="48"/>
          <w:szCs w:val="48"/>
          <w:highlight w:val="none"/>
          <w:u w:val="none"/>
        </w:rPr>
      </w:pPr>
    </w:p>
    <w:p>
      <w:pPr>
        <w:pStyle w:val="26"/>
        <w:snapToGrid w:val="0"/>
        <w:spacing w:line="360" w:lineRule="auto"/>
        <w:ind w:right="25" w:rightChars="12"/>
        <w:jc w:val="center"/>
        <w:rPr>
          <w:rFonts w:hint="eastAsia" w:cs="宋体"/>
          <w:b/>
          <w:color w:val="auto"/>
          <w:sz w:val="48"/>
          <w:szCs w:val="48"/>
          <w:highlight w:val="none"/>
          <w:u w:val="none"/>
          <w:lang w:eastAsia="zh-CN"/>
        </w:rPr>
      </w:pPr>
      <w:r>
        <w:rPr>
          <w:rFonts w:hint="eastAsia" w:cs="宋体"/>
          <w:b/>
          <w:color w:val="auto"/>
          <w:sz w:val="48"/>
          <w:szCs w:val="48"/>
          <w:highlight w:val="none"/>
          <w:u w:val="none"/>
          <w:lang w:eastAsia="zh-CN"/>
        </w:rPr>
        <w:t>黄埔区将军山一路市政道路工程</w:t>
      </w:r>
    </w:p>
    <w:p>
      <w:pPr>
        <w:pStyle w:val="26"/>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rPr>
        <w:t>施工总承包</w:t>
      </w:r>
    </w:p>
    <w:p>
      <w:pPr>
        <w:snapToGrid w:val="0"/>
        <w:spacing w:line="360" w:lineRule="auto"/>
        <w:jc w:val="center"/>
        <w:rPr>
          <w:rFonts w:ascii="宋体" w:hAnsi="宋体" w:cs="宋体"/>
          <w:color w:val="auto"/>
          <w:sz w:val="36"/>
          <w:szCs w:val="36"/>
          <w:highlight w:val="none"/>
          <w:u w:val="single"/>
        </w:rPr>
      </w:pPr>
    </w:p>
    <w:p>
      <w:pPr>
        <w:pStyle w:val="17"/>
        <w:snapToGrid w:val="0"/>
        <w:spacing w:line="360" w:lineRule="auto"/>
        <w:rPr>
          <w:rFonts w:hAnsi="宋体" w:cs="宋体"/>
          <w:color w:val="auto"/>
          <w:highlight w:val="none"/>
        </w:rPr>
      </w:pPr>
    </w:p>
    <w:p>
      <w:pPr>
        <w:pStyle w:val="17"/>
        <w:snapToGrid w:val="0"/>
        <w:spacing w:line="360" w:lineRule="auto"/>
        <w:rPr>
          <w:rFonts w:hAnsi="宋体" w:cs="宋体"/>
          <w:color w:val="auto"/>
          <w:sz w:val="36"/>
          <w:szCs w:val="36"/>
          <w:highlight w:val="none"/>
          <w:u w:val="single"/>
        </w:rPr>
      </w:pPr>
    </w:p>
    <w:p>
      <w:pPr>
        <w:pStyle w:val="17"/>
        <w:snapToGrid w:val="0"/>
        <w:spacing w:line="360" w:lineRule="auto"/>
        <w:rPr>
          <w:rFonts w:hAnsi="宋体" w:cs="宋体"/>
          <w:color w:val="auto"/>
          <w:sz w:val="36"/>
          <w:szCs w:val="36"/>
          <w:highlight w:val="none"/>
          <w:u w:val="single"/>
        </w:rPr>
      </w:pPr>
    </w:p>
    <w:p>
      <w:pPr>
        <w:pStyle w:val="17"/>
        <w:snapToGrid w:val="0"/>
        <w:spacing w:line="360" w:lineRule="auto"/>
        <w:rPr>
          <w:rFonts w:hAnsi="宋体" w:cs="宋体"/>
          <w:color w:val="auto"/>
          <w:sz w:val="36"/>
          <w:szCs w:val="36"/>
          <w:highlight w:val="none"/>
          <w:u w:val="single"/>
        </w:rPr>
      </w:pPr>
    </w:p>
    <w:p>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napToGrid w:val="0"/>
        <w:spacing w:line="360" w:lineRule="auto"/>
        <w:jc w:val="center"/>
        <w:rPr>
          <w:rFonts w:ascii="宋体" w:hAnsi="宋体" w:cs="宋体"/>
          <w:color w:val="auto"/>
          <w:sz w:val="32"/>
          <w:szCs w:val="32"/>
          <w:highlight w:val="none"/>
        </w:rPr>
      </w:pPr>
    </w:p>
    <w:p>
      <w:pPr>
        <w:snapToGrid w:val="0"/>
        <w:spacing w:line="360" w:lineRule="auto"/>
        <w:ind w:firstLine="2560" w:firstLineChars="800"/>
        <w:rPr>
          <w:rFonts w:ascii="宋体" w:hAnsi="宋体" w:cs="宋体"/>
          <w:color w:val="auto"/>
          <w:sz w:val="32"/>
          <w:szCs w:val="32"/>
          <w:highlight w:val="none"/>
        </w:rPr>
      </w:pPr>
    </w:p>
    <w:p>
      <w:pPr>
        <w:rPr>
          <w:rFonts w:ascii="宋体" w:hAnsi="宋体" w:cs="宋体"/>
          <w:color w:val="auto"/>
          <w:sz w:val="32"/>
          <w:szCs w:val="32"/>
          <w:highlight w:val="none"/>
        </w:rPr>
      </w:pPr>
    </w:p>
    <w:p>
      <w:pPr>
        <w:rPr>
          <w:rStyle w:val="34"/>
          <w:rFonts w:ascii="宋体" w:hAnsi="宋体" w:cs="宋体"/>
          <w:b/>
          <w:bCs/>
          <w:color w:val="auto"/>
          <w:szCs w:val="21"/>
          <w:highlight w:val="none"/>
          <w:u w:val="none"/>
        </w:rPr>
      </w:pPr>
    </w:p>
    <w:p>
      <w:pPr>
        <w:snapToGrid w:val="0"/>
        <w:spacing w:line="360" w:lineRule="auto"/>
        <w:ind w:firstLine="1200" w:firstLineChars="400"/>
        <w:rPr>
          <w:rFonts w:ascii="宋体" w:hAnsi="宋体" w:cs="宋体"/>
          <w:color w:val="auto"/>
          <w:sz w:val="30"/>
          <w:szCs w:val="30"/>
          <w:highlight w:val="none"/>
        </w:rPr>
      </w:pPr>
    </w:p>
    <w:p>
      <w:pPr>
        <w:pStyle w:val="17"/>
        <w:snapToGrid w:val="0"/>
        <w:spacing w:line="360" w:lineRule="auto"/>
        <w:rPr>
          <w:rFonts w:hAnsi="宋体" w:cs="宋体"/>
          <w:color w:val="auto"/>
          <w:highlight w:val="none"/>
        </w:rPr>
      </w:pPr>
    </w:p>
    <w:p>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招标单位：</w:t>
      </w:r>
      <w:r>
        <w:rPr>
          <w:rFonts w:hint="eastAsia" w:ascii="宋体" w:hAnsi="宋体" w:cs="宋体"/>
          <w:color w:val="auto"/>
          <w:spacing w:val="-2"/>
          <w:sz w:val="30"/>
          <w:szCs w:val="30"/>
          <w:highlight w:val="none"/>
        </w:rPr>
        <w:t>广州开发区财政投资建设项目管理中心</w:t>
      </w:r>
    </w:p>
    <w:p>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广东省国际工程咨询有限公司</w:t>
      </w:r>
    </w:p>
    <w:p>
      <w:pPr>
        <w:snapToGrid w:val="0"/>
        <w:spacing w:line="360" w:lineRule="auto"/>
        <w:ind w:firstLine="639" w:firstLineChars="213"/>
        <w:rPr>
          <w:rFonts w:ascii="宋体" w:hAnsi="宋体" w:cs="宋体"/>
          <w:color w:val="auto"/>
          <w:sz w:val="30"/>
          <w:szCs w:val="30"/>
          <w:highlight w:val="none"/>
          <w:u w:val="single"/>
        </w:rPr>
      </w:pPr>
      <w:r>
        <w:rPr>
          <w:rFonts w:hint="eastAsia" w:ascii="宋体" w:hAnsi="宋体" w:cs="宋体"/>
          <w:color w:val="auto"/>
          <w:sz w:val="30"/>
          <w:szCs w:val="30"/>
          <w:highlight w:val="none"/>
        </w:rPr>
        <w:t>日期：2025年1月</w:t>
      </w:r>
    </w:p>
    <w:p>
      <w:pPr>
        <w:pStyle w:val="25"/>
        <w:spacing w:line="240" w:lineRule="auto"/>
        <w:ind w:left="0" w:leftChars="0"/>
        <w:jc w:val="both"/>
        <w:rPr>
          <w:color w:val="auto"/>
          <w:sz w:val="21"/>
          <w:szCs w:val="21"/>
          <w:highlight w:val="none"/>
        </w:rPr>
      </w:pPr>
    </w:p>
    <w:p>
      <w:pPr>
        <w:snapToGrid w:val="0"/>
        <w:rPr>
          <w:rStyle w:val="34"/>
          <w:rFonts w:ascii="宋体" w:hAnsi="宋体" w:cs="宋体"/>
          <w:b/>
          <w:bCs/>
          <w:color w:val="auto"/>
          <w:szCs w:val="21"/>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pPr>
        <w:snapToGrid w:val="0"/>
        <w:rPr>
          <w:rStyle w:val="34"/>
          <w:rFonts w:ascii="宋体" w:hAnsi="宋体" w:cs="宋体"/>
          <w:b/>
          <w:bCs/>
          <w:color w:val="auto"/>
          <w:szCs w:val="21"/>
          <w:highlight w:val="none"/>
          <w:u w:val="none"/>
        </w:rPr>
      </w:pPr>
    </w:p>
    <w:p>
      <w:pPr>
        <w:snapToGrid w:val="0"/>
        <w:spacing w:line="360" w:lineRule="auto"/>
        <w:jc w:val="center"/>
        <w:rPr>
          <w:rStyle w:val="34"/>
          <w:rFonts w:ascii="宋体" w:hAnsi="宋体" w:cs="宋体"/>
          <w:b/>
          <w:bCs/>
          <w:color w:val="auto"/>
          <w:sz w:val="36"/>
          <w:szCs w:val="36"/>
          <w:highlight w:val="none"/>
        </w:rPr>
      </w:pPr>
      <w:r>
        <w:rPr>
          <w:rStyle w:val="34"/>
          <w:rFonts w:hint="eastAsia" w:ascii="宋体" w:hAnsi="宋体" w:cs="宋体"/>
          <w:b/>
          <w:bCs/>
          <w:color w:val="auto"/>
          <w:sz w:val="36"/>
          <w:szCs w:val="36"/>
          <w:highlight w:val="none"/>
          <w:u w:val="none"/>
        </w:rPr>
        <w:t>目录</w:t>
      </w:r>
    </w:p>
    <w:p>
      <w:pPr>
        <w:snapToGrid w:val="0"/>
        <w:spacing w:line="360" w:lineRule="auto"/>
        <w:jc w:val="center"/>
        <w:rPr>
          <w:rFonts w:ascii="宋体" w:hAnsi="宋体" w:cs="宋体"/>
          <w:b/>
          <w:caps/>
          <w:color w:val="auto"/>
          <w:kern w:val="0"/>
          <w:sz w:val="36"/>
          <w:szCs w:val="36"/>
          <w:highlight w:val="none"/>
        </w:rPr>
      </w:pPr>
    </w:p>
    <w:p>
      <w:pPr>
        <w:pStyle w:val="23"/>
        <w:tabs>
          <w:tab w:val="right" w:leader="dot" w:pos="9040"/>
          <w:tab w:val="clear" w:pos="9060"/>
        </w:tabs>
        <w:rPr>
          <w:rFonts w:cs="宋体"/>
          <w:color w:val="auto"/>
          <w:highlight w:val="none"/>
        </w:rPr>
      </w:pPr>
      <w:r>
        <w:rPr>
          <w:rFonts w:hint="eastAsia" w:cs="宋体"/>
          <w:color w:val="auto"/>
          <w:szCs w:val="24"/>
          <w:highlight w:val="none"/>
        </w:rPr>
        <w:fldChar w:fldCharType="begin"/>
      </w:r>
      <w:r>
        <w:rPr>
          <w:rFonts w:hint="eastAsia"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"_Toc6280" </w:instrText>
      </w:r>
      <w:r>
        <w:rPr>
          <w:color w:val="auto"/>
          <w:highlight w:val="none"/>
        </w:rPr>
        <w:fldChar w:fldCharType="separate"/>
      </w:r>
      <w:r>
        <w:rPr>
          <w:rFonts w:hint="eastAsia" w:cs="宋体"/>
          <w:bCs/>
          <w:color w:val="auto"/>
          <w:highlight w:val="none"/>
        </w:rPr>
        <w:t>第一章</w:t>
      </w:r>
      <w:r>
        <w:rPr>
          <w:rFonts w:hint="eastAsia" w:cs="宋体"/>
          <w:bCs/>
          <w:color w:val="auto"/>
          <w:highlight w:val="none"/>
          <w:lang w:val="en-US" w:eastAsia="zh-CN"/>
        </w:rPr>
        <w:t xml:space="preserve">  </w:t>
      </w:r>
      <w:r>
        <w:rPr>
          <w:rFonts w:hint="eastAsia" w:cs="宋体"/>
          <w:bCs/>
          <w:color w:val="auto"/>
          <w:highlight w:val="none"/>
        </w:rPr>
        <w:t>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_Toc6280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_Toc27735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ascii="宋体" w:hAnsi="宋体" w:cs="宋体"/>
          <w:color w:val="auto"/>
          <w:szCs w:val="32"/>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_Toc6608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_Toc31334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"_Toc12947" </w:instrText>
      </w:r>
      <w:r>
        <w:rPr>
          <w:color w:val="auto"/>
          <w:highlight w:val="none"/>
        </w:rPr>
        <w:fldChar w:fldCharType="separate"/>
      </w:r>
      <w:r>
        <w:rPr>
          <w:rFonts w:hint="eastAsia" w:ascii="宋体" w:hAnsi="宋体" w:cs="宋体"/>
          <w:color w:val="auto"/>
          <w:szCs w:val="21"/>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_Toc12947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_Toc32111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"_Toc32542"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_Toc32542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hAnsi="宋体" w:cs="宋体"/>
          <w:color w:val="auto"/>
          <w:szCs w:val="21"/>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_Toc24057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宋体" w:hAnsi="宋体" w:cs="宋体"/>
          <w:color w:val="auto"/>
          <w:szCs w:val="21"/>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_Toc13732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cs="宋体"/>
          <w:bCs/>
          <w:color w:val="auto"/>
          <w:szCs w:val="24"/>
          <w:highlight w:val="none"/>
        </w:rPr>
        <w:t>第二章</w:t>
      </w:r>
      <w:r>
        <w:rPr>
          <w:rFonts w:hint="eastAsia" w:cs="宋体"/>
          <w:bCs/>
          <w:color w:val="auto"/>
          <w:szCs w:val="24"/>
          <w:highlight w:val="none"/>
          <w:lang w:val="en-US" w:eastAsia="zh-CN"/>
        </w:rPr>
        <w:t xml:space="preserve">  </w:t>
      </w:r>
      <w:r>
        <w:rPr>
          <w:rFonts w:hint="eastAsia" w:cs="宋体"/>
          <w:bCs/>
          <w:color w:val="auto"/>
          <w:szCs w:val="24"/>
          <w:highlight w:val="none"/>
        </w:rPr>
        <w:t>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_Toc12835 \h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"_Toc20882" </w:instrText>
      </w:r>
      <w:r>
        <w:rPr>
          <w:color w:val="auto"/>
          <w:highlight w:val="none"/>
        </w:rPr>
        <w:fldChar w:fldCharType="separate"/>
      </w:r>
      <w:r>
        <w:rPr>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_Toc20882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"_Toc5678"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_Toc5678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hint="eastAsia" w:ascii="宋体" w:hAnsi="宋体" w:cs="宋体"/>
          <w:bCs/>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_Toc31373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"_Toc9740" </w:instrText>
      </w:r>
      <w:r>
        <w:rPr>
          <w:color w:val="auto"/>
          <w:highlight w:val="none"/>
        </w:rPr>
        <w:fldChar w:fldCharType="separate"/>
      </w:r>
      <w:r>
        <w:rPr>
          <w:rFonts w:hint="eastAsia" w:ascii="宋体" w:hAnsi="宋体" w:cs="宋体"/>
          <w:bCs/>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_Toc9740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"_Toc3121" </w:instrText>
      </w:r>
      <w:r>
        <w:rPr>
          <w:color w:val="auto"/>
          <w:highlight w:val="none"/>
        </w:rPr>
        <w:fldChar w:fldCharType="separate"/>
      </w:r>
      <w:r>
        <w:rPr>
          <w:rFonts w:hint="eastAsia" w:ascii="宋体" w:hAnsi="宋体" w:cs="宋体"/>
          <w:color w:val="auto"/>
          <w:szCs w:val="24"/>
          <w:highlight w:val="none"/>
        </w:rPr>
        <w:t>可选办法七（适合综合评分法四，技术标与经济标同时开启）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_Toc3121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"_Toc5789" </w:instrText>
      </w:r>
      <w:r>
        <w:rPr>
          <w:color w:val="auto"/>
          <w:highlight w:val="none"/>
        </w:rPr>
        <w:fldChar w:fldCharType="separate"/>
      </w:r>
      <w:r>
        <w:rPr>
          <w:rFonts w:hint="eastAsia" w:cs="宋体"/>
          <w:color w:val="auto"/>
          <w:szCs w:val="44"/>
          <w:highlight w:val="none"/>
        </w:rPr>
        <w:t>第三章</w:t>
      </w:r>
      <w:r>
        <w:rPr>
          <w:rFonts w:hint="eastAsia" w:cs="宋体"/>
          <w:color w:val="auto"/>
          <w:szCs w:val="44"/>
          <w:highlight w:val="none"/>
          <w:lang w:val="en-US" w:eastAsia="zh-CN"/>
        </w:rPr>
        <w:t xml:space="preserve">  </w:t>
      </w:r>
      <w:r>
        <w:rPr>
          <w:rFonts w:hint="eastAsia" w:cs="宋体"/>
          <w:color w:val="auto"/>
          <w:szCs w:val="44"/>
          <w:highlight w:val="none"/>
        </w:rPr>
        <w:t>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_Toc5789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"_Toc30083" </w:instrText>
      </w:r>
      <w:r>
        <w:rPr>
          <w:color w:val="auto"/>
          <w:highlight w:val="none"/>
        </w:rPr>
        <w:fldChar w:fldCharType="separate"/>
      </w:r>
      <w:r>
        <w:rPr>
          <w:rFonts w:hint="eastAsia" w:cs="宋体"/>
          <w:color w:val="auto"/>
          <w:highlight w:val="none"/>
        </w:rPr>
        <w:t>第四章</w:t>
      </w:r>
      <w:r>
        <w:rPr>
          <w:rFonts w:hint="eastAsia" w:cs="宋体"/>
          <w:color w:val="auto"/>
          <w:highlight w:val="none"/>
          <w:lang w:val="en-US" w:eastAsia="zh-CN"/>
        </w:rPr>
        <w:t xml:space="preserve">  </w:t>
      </w:r>
      <w:r>
        <w:rPr>
          <w:rFonts w:hint="eastAsia" w:cs="宋体"/>
          <w:color w:val="auto"/>
          <w:highlight w:val="none"/>
        </w:rPr>
        <w:t>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_Toc30083 \h </w:instrText>
      </w:r>
      <w:r>
        <w:rPr>
          <w:rFonts w:hint="eastAsia" w:cs="宋体"/>
          <w:color w:val="auto"/>
          <w:highlight w:val="none"/>
        </w:rPr>
        <w:fldChar w:fldCharType="separate"/>
      </w:r>
      <w:r>
        <w:rPr>
          <w:rFonts w:hint="eastAsia" w:cs="宋体"/>
          <w:color w:val="auto"/>
          <w:highlight w:val="none"/>
        </w:rPr>
        <w:t>130</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cs="宋体"/>
          <w:color w:val="auto"/>
          <w:szCs w:val="24"/>
          <w:highlight w:val="none"/>
        </w:rPr>
        <w:t>第五章</w:t>
      </w:r>
      <w:r>
        <w:rPr>
          <w:rFonts w:hint="eastAsia" w:cs="宋体"/>
          <w:color w:val="auto"/>
          <w:szCs w:val="24"/>
          <w:highlight w:val="none"/>
          <w:lang w:val="en-US" w:eastAsia="zh-CN"/>
        </w:rPr>
        <w:t xml:space="preserve">  </w:t>
      </w:r>
      <w:r>
        <w:rPr>
          <w:rFonts w:hint="eastAsia" w:cs="宋体"/>
          <w:color w:val="auto"/>
          <w:szCs w:val="24"/>
          <w:highlight w:val="none"/>
        </w:rPr>
        <w:t>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_Toc9312 \h </w:instrText>
      </w:r>
      <w:r>
        <w:rPr>
          <w:rFonts w:hint="eastAsia" w:cs="宋体"/>
          <w:color w:val="auto"/>
          <w:highlight w:val="none"/>
        </w:rPr>
        <w:fldChar w:fldCharType="separate"/>
      </w:r>
      <w:r>
        <w:rPr>
          <w:rFonts w:hint="eastAsia" w:cs="宋体"/>
          <w:color w:val="auto"/>
          <w:highlight w:val="none"/>
        </w:rPr>
        <w:t>153</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"_Toc9353" </w:instrText>
      </w:r>
      <w:r>
        <w:rPr>
          <w:color w:val="auto"/>
          <w:highlight w:val="none"/>
        </w:rPr>
        <w:fldChar w:fldCharType="separate"/>
      </w:r>
      <w:r>
        <w:rPr>
          <w:rFonts w:hint="eastAsia" w:cs="宋体"/>
          <w:color w:val="auto"/>
          <w:szCs w:val="24"/>
          <w:highlight w:val="none"/>
        </w:rPr>
        <w:t>第六章</w:t>
      </w:r>
      <w:r>
        <w:rPr>
          <w:rFonts w:hint="eastAsia" w:cs="宋体"/>
          <w:color w:val="auto"/>
          <w:szCs w:val="24"/>
          <w:highlight w:val="none"/>
          <w:lang w:val="en-US" w:eastAsia="zh-CN"/>
        </w:rPr>
        <w:t xml:space="preserve">  </w:t>
      </w:r>
      <w:r>
        <w:rPr>
          <w:rFonts w:hint="eastAsia" w:cs="宋体"/>
          <w:color w:val="auto"/>
          <w:szCs w:val="24"/>
          <w:highlight w:val="none"/>
        </w:rPr>
        <w:t>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_Toc9353 \h </w:instrText>
      </w:r>
      <w:r>
        <w:rPr>
          <w:rFonts w:hint="eastAsia" w:cs="宋体"/>
          <w:color w:val="auto"/>
          <w:highlight w:val="none"/>
        </w:rPr>
        <w:fldChar w:fldCharType="separate"/>
      </w:r>
      <w:r>
        <w:rPr>
          <w:rFonts w:hint="eastAsia" w:cs="宋体"/>
          <w:color w:val="auto"/>
          <w:highlight w:val="none"/>
        </w:rPr>
        <w:t>156</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s="宋体"/>
          <w:color w:val="auto"/>
          <w:szCs w:val="24"/>
          <w:highlight w:val="none"/>
        </w:rPr>
        <w:t>第七章</w:t>
      </w:r>
      <w:r>
        <w:rPr>
          <w:rFonts w:hint="eastAsia" w:cs="宋体"/>
          <w:color w:val="auto"/>
          <w:szCs w:val="24"/>
          <w:highlight w:val="none"/>
          <w:lang w:val="en-US" w:eastAsia="zh-CN"/>
        </w:rPr>
        <w:t xml:space="preserve">  </w:t>
      </w:r>
      <w:r>
        <w:rPr>
          <w:rFonts w:hint="eastAsia" w:cs="宋体"/>
          <w:color w:val="auto"/>
          <w:szCs w:val="24"/>
          <w:highlight w:val="none"/>
        </w:rPr>
        <w:t>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_Toc22481 \h </w:instrText>
      </w:r>
      <w:r>
        <w:rPr>
          <w:rFonts w:hint="eastAsia" w:cs="宋体"/>
          <w:color w:val="auto"/>
          <w:highlight w:val="none"/>
        </w:rPr>
        <w:fldChar w:fldCharType="separate"/>
      </w:r>
      <w:r>
        <w:rPr>
          <w:rFonts w:hint="eastAsia" w:cs="宋体"/>
          <w:color w:val="auto"/>
          <w:highlight w:val="none"/>
        </w:rPr>
        <w:t>157</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cs="宋体"/>
          <w:color w:val="auto"/>
          <w:szCs w:val="24"/>
          <w:highlight w:val="none"/>
        </w:rPr>
        <w:t>第八章</w:t>
      </w:r>
      <w:r>
        <w:rPr>
          <w:rFonts w:hint="eastAsia" w:cs="宋体"/>
          <w:color w:val="auto"/>
          <w:szCs w:val="24"/>
          <w:highlight w:val="none"/>
          <w:lang w:val="en-US" w:eastAsia="zh-CN"/>
        </w:rPr>
        <w:t xml:space="preserve">  </w:t>
      </w:r>
      <w:r>
        <w:rPr>
          <w:rFonts w:hint="eastAsia" w:cs="宋体"/>
          <w:color w:val="auto"/>
          <w:szCs w:val="24"/>
          <w:highlight w:val="none"/>
        </w:rPr>
        <w:t>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_Toc3710 \h </w:instrText>
      </w:r>
      <w:r>
        <w:rPr>
          <w:rFonts w:hint="eastAsia" w:cs="宋体"/>
          <w:color w:val="auto"/>
          <w:highlight w:val="none"/>
        </w:rPr>
        <w:fldChar w:fldCharType="separate"/>
      </w:r>
      <w:r>
        <w:rPr>
          <w:rFonts w:hint="eastAsia" w:cs="宋体"/>
          <w:color w:val="auto"/>
          <w:highlight w:val="none"/>
        </w:rPr>
        <w:t>158</w:t>
      </w:r>
      <w:r>
        <w:rPr>
          <w:rFonts w:hint="eastAsia" w:cs="宋体"/>
          <w:color w:val="auto"/>
          <w:highlight w:val="none"/>
        </w:rPr>
        <w:fldChar w:fldCharType="end"/>
      </w:r>
      <w:r>
        <w:rPr>
          <w:rFonts w:hint="eastAsia" w:cs="宋体"/>
          <w:color w:val="auto"/>
          <w:highlight w:val="none"/>
        </w:rPr>
        <w:fldChar w:fldCharType="end"/>
      </w:r>
    </w:p>
    <w:p>
      <w:pPr>
        <w:pStyle w:val="28"/>
        <w:rPr>
          <w:rFonts w:ascii="宋体" w:hAnsi="宋体" w:cs="宋体"/>
          <w:color w:val="auto"/>
          <w:highlight w:val="none"/>
        </w:rPr>
      </w:pPr>
      <w:r>
        <w:rPr>
          <w:rFonts w:hint="eastAsia" w:ascii="宋体" w:hAnsi="宋体" w:cs="宋体"/>
          <w:color w:val="auto"/>
          <w:szCs w:val="24"/>
          <w:highlight w:val="none"/>
        </w:rPr>
        <w:fldChar w:fldCharType="end"/>
      </w:r>
      <w:bookmarkStart w:id="59" w:name="_GoBack"/>
      <w:bookmarkEnd w:id="59"/>
    </w:p>
    <w:p>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pStyle w:val="2"/>
        <w:snapToGrid w:val="0"/>
        <w:spacing w:before="0" w:after="0"/>
        <w:jc w:val="center"/>
        <w:rPr>
          <w:rFonts w:ascii="宋体" w:hAnsi="宋体" w:cs="宋体"/>
          <w:bCs/>
          <w:color w:val="auto"/>
          <w:sz w:val="32"/>
          <w:szCs w:val="32"/>
          <w:highlight w:val="none"/>
        </w:rPr>
      </w:pPr>
      <w:bookmarkStart w:id="0" w:name="_Toc6280"/>
      <w:r>
        <w:rPr>
          <w:rFonts w:hint="eastAsia" w:ascii="宋体" w:hAnsi="宋体" w:cs="宋体"/>
          <w:bCs/>
          <w:color w:val="auto"/>
          <w:sz w:val="32"/>
          <w:szCs w:val="32"/>
          <w:highlight w:val="none"/>
        </w:rPr>
        <w:t>第一章</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投标须知</w:t>
      </w:r>
      <w:bookmarkEnd w:id="0"/>
    </w:p>
    <w:p>
      <w:pPr>
        <w:pStyle w:val="4"/>
        <w:snapToGrid w:val="0"/>
        <w:spacing w:before="0" w:after="0" w:line="360" w:lineRule="auto"/>
        <w:rPr>
          <w:rFonts w:ascii="宋体" w:hAnsi="宋体" w:cs="宋体"/>
          <w:color w:val="auto"/>
          <w:highlight w:val="none"/>
        </w:rPr>
      </w:pPr>
      <w:bookmarkStart w:id="1" w:name="_Toc27735"/>
      <w:r>
        <w:rPr>
          <w:rFonts w:hint="eastAsia" w:ascii="宋体" w:hAnsi="宋体" w:cs="宋体"/>
          <w:color w:val="auto"/>
          <w:highlight w:val="none"/>
        </w:rPr>
        <w:t>一、投标须知前附表</w:t>
      </w:r>
      <w:bookmarkEnd w:id="1"/>
    </w:p>
    <w:p>
      <w:pPr>
        <w:pStyle w:val="5"/>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0"/>
        <w:tblW w:w="498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03"/>
        <w:gridCol w:w="1801"/>
        <w:gridCol w:w="58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79" w:type="dxa"/>
            <w:tcBorders>
              <w:top w:val="double" w:color="auto" w:sz="4" w:space="0"/>
              <w:left w:val="double" w:color="auto" w:sz="4" w:space="0"/>
            </w:tcBorders>
            <w:noWrap/>
            <w:vAlign w:val="center"/>
          </w:tcPr>
          <w:p>
            <w:pPr>
              <w:snapToGrid w:val="0"/>
              <w:spacing w:line="30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903" w:type="dxa"/>
            <w:tcBorders>
              <w:top w:val="double" w:color="auto" w:sz="4" w:space="0"/>
            </w:tcBorders>
            <w:noWrap/>
            <w:vAlign w:val="center"/>
          </w:tcPr>
          <w:p>
            <w:pPr>
              <w:snapToGrid w:val="0"/>
              <w:spacing w:line="300"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801" w:type="dxa"/>
            <w:tcBorders>
              <w:top w:val="double" w:color="auto" w:sz="4" w:space="0"/>
            </w:tcBorders>
            <w:noWrap/>
            <w:vAlign w:val="center"/>
          </w:tcPr>
          <w:p>
            <w:pPr>
              <w:snapToGrid w:val="0"/>
              <w:spacing w:line="30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5828" w:type="dxa"/>
            <w:tcBorders>
              <w:top w:val="double" w:color="auto" w:sz="4" w:space="0"/>
              <w:right w:val="double" w:color="auto" w:sz="4" w:space="0"/>
            </w:tcBorders>
            <w:noWrap/>
            <w:vAlign w:val="center"/>
          </w:tcPr>
          <w:p>
            <w:pPr>
              <w:pStyle w:val="18"/>
              <w:snapToGrid w:val="0"/>
              <w:spacing w:line="300" w:lineRule="auto"/>
              <w:ind w:firstLine="458"/>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定义</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广州开发区财政投资建设项目管理中心</w:t>
            </w:r>
          </w:p>
          <w:p>
            <w:pPr>
              <w:snapToGrid w:val="0"/>
              <w:spacing w:line="30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广东省国际工程咨询有限公司</w:t>
            </w:r>
          </w:p>
          <w:p>
            <w:pPr>
              <w:snapToGrid w:val="0"/>
              <w:spacing w:line="30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 xml:space="preserve">                          </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黄埔区将军山一路市政道路工程</w:t>
            </w:r>
            <w:r>
              <w:rPr>
                <w:rFonts w:hint="eastAsia" w:ascii="宋体" w:hAnsi="宋体" w:cs="宋体"/>
                <w:color w:val="auto"/>
                <w:szCs w:val="21"/>
                <w:highlight w:val="none"/>
                <w:u w:val="single"/>
              </w:rPr>
              <w:t>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承包方式</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符合设计图纸要求和国家、省、市相关法律法规规定要求，且需取得“广州市建设工程优质奖”或“广州市建设工程质量五羊杯奖”或市级工程质量奖的，未取得“广州市建设工程优质奖”或“广州市建设工程质量五羊杯奖”或市级工程质量奖的承包人需按本工程结算价的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%承担违约金。上述违约金由发包人直接从工程结算款中扣减。因非承包人原因导致本工程未能达到要求的工程质量标准的除外。</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工期要求</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日计划开工，施工总期：</w:t>
            </w:r>
            <w:r>
              <w:rPr>
                <w:rFonts w:hint="eastAsia" w:ascii="宋体" w:hAnsi="宋体" w:cs="宋体"/>
                <w:color w:val="auto"/>
                <w:szCs w:val="21"/>
                <w:highlight w:val="none"/>
                <w:u w:val="single"/>
                <w:lang w:val="en-US" w:eastAsia="zh-CN"/>
              </w:rPr>
              <w:t>365</w:t>
            </w:r>
            <w:r>
              <w:rPr>
                <w:rFonts w:hint="eastAsia" w:ascii="宋体" w:hAnsi="宋体" w:cs="宋体"/>
                <w:color w:val="auto"/>
                <w:szCs w:val="21"/>
                <w:highlight w:val="none"/>
              </w:rPr>
              <w:t>日历天。</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注：本工程正式签署合同时，施工工期按中标投标文件承诺工期。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4.1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903" w:type="dxa"/>
            <w:noWrap/>
            <w:vAlign w:val="center"/>
          </w:tcPr>
          <w:p>
            <w:pPr>
              <w:snapToGrid w:val="0"/>
              <w:spacing w:line="300" w:lineRule="auto"/>
              <w:ind w:firstLine="458"/>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828" w:type="dxa"/>
            <w:tcBorders>
              <w:right w:val="double" w:color="auto" w:sz="4" w:space="0"/>
            </w:tcBorders>
            <w:noWrap/>
            <w:vAlign w:val="center"/>
          </w:tcPr>
          <w:p>
            <w:pPr>
              <w:pStyle w:val="18"/>
              <w:snapToGrid w:val="0"/>
              <w:spacing w:line="30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投标答疑</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分前；</w:t>
            </w:r>
            <w:r>
              <w:rPr>
                <w:rFonts w:hint="eastAsia" w:ascii="宋体" w:hAnsi="宋体" w:cs="宋体"/>
                <w:color w:val="auto"/>
                <w:szCs w:val="21"/>
                <w:highlight w:val="none"/>
                <w:u w:val="single"/>
              </w:rPr>
              <w:t>(在递交投标文件截止日期前18日)</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828" w:type="dxa"/>
            <w:tcBorders>
              <w:right w:val="double" w:color="auto" w:sz="4" w:space="0"/>
            </w:tcBorders>
            <w:noWrap/>
            <w:vAlign w:val="center"/>
          </w:tcPr>
          <w:p>
            <w:pPr>
              <w:snapToGrid w:val="0"/>
              <w:spacing w:line="300" w:lineRule="auto"/>
              <w:rPr>
                <w:rFonts w:ascii="宋体" w:hAnsi="宋体" w:cs="宋体"/>
                <w:strike/>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snapToGrid w:val="0"/>
              <w:spacing w:line="300" w:lineRule="auto"/>
              <w:jc w:val="left"/>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pPr>
              <w:snapToGrid w:val="0"/>
              <w:spacing w:line="300" w:lineRule="auto"/>
              <w:jc w:val="left"/>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pPr>
              <w:snapToGrid w:val="0"/>
              <w:spacing w:line="300" w:lineRule="auto"/>
              <w:jc w:val="left"/>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pPr>
              <w:snapToGrid w:val="0"/>
              <w:spacing w:line="300" w:lineRule="auto"/>
              <w:jc w:val="left"/>
              <w:rPr>
                <w:rFonts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1801" w:type="dxa"/>
            <w:noWrap/>
            <w:vAlign w:val="center"/>
          </w:tcPr>
          <w:p>
            <w:pPr>
              <w:pStyle w:val="28"/>
              <w:snapToGrid w:val="0"/>
              <w:spacing w:after="0" w:line="300" w:lineRule="auto"/>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开标评标办法</w:t>
            </w:r>
          </w:p>
        </w:tc>
        <w:tc>
          <w:tcPr>
            <w:tcW w:w="5828" w:type="dxa"/>
            <w:tcBorders>
              <w:right w:val="double" w:color="auto" w:sz="4" w:space="0"/>
            </w:tcBorders>
            <w:noWrap/>
            <w:vAlign w:val="center"/>
          </w:tcPr>
          <w:p>
            <w:pPr>
              <w:pStyle w:val="28"/>
              <w:snapToGrid w:val="0"/>
              <w:spacing w:after="0" w:line="300" w:lineRule="auto"/>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方式一：可选办法七（适合综合评分法四，技术标与经济标同时开启）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22255457.65 </w:t>
            </w:r>
            <w:r>
              <w:rPr>
                <w:rFonts w:hint="eastAsia" w:ascii="宋体" w:hAnsi="宋体" w:cs="宋体"/>
                <w:color w:val="auto"/>
                <w:szCs w:val="21"/>
                <w:highlight w:val="none"/>
              </w:rPr>
              <w:t>元。</w:t>
            </w:r>
            <w:r>
              <w:rPr>
                <w:rFonts w:hint="eastAsia" w:ascii="宋体" w:hAnsi="宋体" w:cs="宋体"/>
                <w:color w:val="auto"/>
                <w:szCs w:val="21"/>
                <w:highlight w:val="none"/>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非竞争费用</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olor w:val="auto"/>
                <w:szCs w:val="21"/>
                <w:highlight w:val="none"/>
                <w:u w:val="single"/>
                <w:lang w:val="en-US" w:eastAsia="zh-CN"/>
              </w:rPr>
              <w:t xml:space="preserve"> 830332.04 </w:t>
            </w:r>
            <w:r>
              <w:rPr>
                <w:rFonts w:hint="eastAsia" w:ascii="宋体" w:hAnsi="宋体" w:cs="宋体"/>
                <w:color w:val="auto"/>
                <w:szCs w:val="21"/>
                <w:highlight w:val="none"/>
              </w:rPr>
              <w:t>元（扬尘污染防治费用、使用封闭式外脚手架金属防护网费用和绿色施工围蔽费用等纳入绿色施工安全防护措施费），暂列金额为</w:t>
            </w:r>
            <w:r>
              <w:rPr>
                <w:rFonts w:hint="eastAsia" w:ascii="宋体" w:hAnsi="宋体" w:cs="宋体"/>
                <w:color w:val="auto"/>
                <w:szCs w:val="21"/>
                <w:highlight w:val="none"/>
                <w:u w:val="single"/>
                <w:lang w:val="en-US" w:eastAsia="zh-CN"/>
              </w:rPr>
              <w:t xml:space="preserve"> 1672841.17 </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pStyle w:val="28"/>
              <w:snapToGrid w:val="0"/>
              <w:spacing w:after="0" w:line="300" w:lineRule="auto"/>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计算评标参考价的等分点值X采用广州交易集团有限公司（广州公共资源交易中心）交易平台在线系统</w:t>
            </w:r>
            <w:r>
              <w:rPr>
                <w:rFonts w:hint="eastAsia" w:ascii="宋体" w:hAnsi="宋体" w:cs="宋体"/>
                <w:b/>
                <w:color w:val="auto"/>
                <w:szCs w:val="21"/>
                <w:highlight w:val="none"/>
              </w:rPr>
              <w:t>在开标前</w:t>
            </w:r>
            <w:r>
              <w:rPr>
                <w:rFonts w:hint="eastAsia" w:ascii="宋体" w:hAnsi="宋体" w:cs="宋体"/>
                <w:color w:val="auto"/>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903" w:type="dxa"/>
            <w:noWrap/>
            <w:vAlign w:val="center"/>
          </w:tcPr>
          <w:p>
            <w:pPr>
              <w:snapToGrid w:val="0"/>
              <w:spacing w:line="300" w:lineRule="auto"/>
              <w:ind w:firstLine="458"/>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828" w:type="dxa"/>
            <w:tcBorders>
              <w:right w:val="double" w:color="auto" w:sz="4" w:space="0"/>
            </w:tcBorders>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1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①</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通过技术有效性审查的投标人均进入第二阶段（适用于通过技术有效性审查家数在[3,]中的）。</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2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②</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工程成本警戒价按为</w:t>
            </w:r>
            <w:r>
              <w:rPr>
                <w:rFonts w:hint="eastAsia" w:ascii="宋体" w:hAnsi="宋体" w:cs="宋体"/>
                <w:color w:val="auto"/>
                <w:szCs w:val="21"/>
                <w:highlight w:val="none"/>
                <w:u w:val="single"/>
                <w:lang w:val="en-US" w:eastAsia="zh-CN"/>
              </w:rPr>
              <w:t xml:space="preserve"> </w:t>
            </w:r>
            <w:r>
              <w:rPr>
                <w:rFonts w:hint="eastAsia" w:ascii="宋体" w:hAnsi="宋体" w:eastAsia="宋体" w:cs="宋体"/>
                <w:b w:val="0"/>
                <w:bCs w:val="0"/>
                <w:color w:val="auto"/>
                <w:kern w:val="2"/>
                <w:sz w:val="21"/>
                <w:szCs w:val="21"/>
                <w:highlight w:val="none"/>
                <w:u w:val="single"/>
                <w:lang w:val="en-US" w:eastAsia="zh-CN"/>
              </w:rPr>
              <w:t>20698713.70</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各分值的权重</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技术分权重为20%，经济分权重为80%。</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按照“总分=技术分×技术分权重（20%）+经济分×经济分权重（80%）”的公式，计算各有效投标文件的总分，并按照总分从高到低排列先后次序。若投标人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903" w:type="dxa"/>
            <w:noWrap/>
            <w:vAlign w:val="center"/>
          </w:tcPr>
          <w:p>
            <w:pPr>
              <w:snapToGrid w:val="0"/>
              <w:spacing w:line="300" w:lineRule="auto"/>
              <w:ind w:firstLine="458"/>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第二阶段投标人名次的排序方法（适用于办法一、办法二）</w:t>
            </w:r>
          </w:p>
        </w:tc>
        <w:tc>
          <w:tcPr>
            <w:tcW w:w="5828" w:type="dxa"/>
            <w:tcBorders>
              <w:right w:val="double" w:color="auto" w:sz="4" w:space="0"/>
            </w:tcBorders>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选取方法</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方法三：（由招标人自行确定）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903" w:type="dxa"/>
            <w:noWrap/>
            <w:vAlign w:val="center"/>
          </w:tcPr>
          <w:p>
            <w:pPr>
              <w:snapToGrid w:val="0"/>
              <w:spacing w:line="300" w:lineRule="auto"/>
              <w:ind w:firstLine="458"/>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经济分相同情况下的排序方法（适用于办法三、办法四）</w:t>
            </w:r>
          </w:p>
        </w:tc>
        <w:tc>
          <w:tcPr>
            <w:tcW w:w="5828" w:type="dxa"/>
            <w:tcBorders>
              <w:right w:val="double" w:color="auto" w:sz="4" w:space="0"/>
            </w:tcBorders>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选取方法</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方法二：经济分相同的投标文件，由评标委员会采用随机方式，确定投标人的排序。</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方法三：（由招标人自行确定）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903" w:type="dxa"/>
            <w:noWrap/>
            <w:vAlign w:val="center"/>
          </w:tcPr>
          <w:p>
            <w:pPr>
              <w:snapToGrid w:val="0"/>
              <w:spacing w:line="300" w:lineRule="auto"/>
              <w:ind w:firstLine="458"/>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第二阶段投标人名次的排序方法（适用于办法五、办法六）</w:t>
            </w:r>
          </w:p>
        </w:tc>
        <w:tc>
          <w:tcPr>
            <w:tcW w:w="5828" w:type="dxa"/>
            <w:tcBorders>
              <w:right w:val="double" w:color="auto" w:sz="4" w:space="0"/>
            </w:tcBorders>
            <w:noWrap/>
            <w:vAlign w:val="center"/>
          </w:tcPr>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选取方法</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snapToGrid w:val="0"/>
              <w:spacing w:line="300" w:lineRule="auto"/>
              <w:rPr>
                <w:rFonts w:ascii="宋体" w:hAnsi="宋体" w:cs="宋体"/>
                <w:strike/>
                <w:color w:val="auto"/>
                <w:szCs w:val="21"/>
                <w:highlight w:val="none"/>
              </w:rPr>
            </w:pPr>
            <w:r>
              <w:rPr>
                <w:rFonts w:hint="eastAsia" w:ascii="宋体" w:hAnsi="宋体" w:cs="宋体"/>
                <w:strike/>
                <w:color w:val="auto"/>
                <w:szCs w:val="21"/>
                <w:highlight w:val="none"/>
              </w:rPr>
              <w:t>方法二：（由招标人自行确定）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903"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13.4、13.5.2</w:t>
            </w: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34</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kern w:val="0"/>
                <w:szCs w:val="21"/>
                <w:highlight w:val="none"/>
              </w:rPr>
              <w:t>建设工程质量检测单位</w:t>
            </w:r>
          </w:p>
        </w:tc>
        <w:tc>
          <w:tcPr>
            <w:tcW w:w="5828" w:type="dxa"/>
            <w:tcBorders>
              <w:right w:val="double" w:color="auto" w:sz="4" w:space="0"/>
            </w:tcBorders>
            <w:noWrap/>
            <w:vAlign w:val="center"/>
          </w:tcPr>
          <w:p>
            <w:pPr>
              <w:snapToGrid w:val="0"/>
              <w:spacing w:line="300" w:lineRule="auto"/>
              <w:rPr>
                <w:rFonts w:ascii="宋体" w:hAnsi="宋体" w:cs="宋体"/>
                <w:color w:val="auto"/>
                <w:kern w:val="0"/>
                <w:szCs w:val="21"/>
                <w:highlight w:val="none"/>
                <w:lang w:val="zh-CN"/>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28" w:type="dxa"/>
            <w:tcBorders>
              <w:right w:val="double" w:color="auto" w:sz="4" w:space="0"/>
            </w:tcBorders>
            <w:noWrap/>
            <w:vAlign w:val="center"/>
          </w:tcPr>
          <w:p>
            <w:pPr>
              <w:snapToGrid w:val="0"/>
              <w:spacing w:line="30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□不允许分包；</w:t>
            </w:r>
          </w:p>
          <w:p>
            <w:pPr>
              <w:snapToGrid w:val="0"/>
              <w:spacing w:line="300" w:lineRule="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u w:val="single"/>
              </w:rPr>
              <w:t>允许非主体、非关键性工程进行分包。</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分包内容要求：经监理工程师及发包人同意后可依法分包。</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分包金额要求：无</w:t>
            </w:r>
          </w:p>
          <w:p>
            <w:pPr>
              <w:snapToGrid w:val="0"/>
              <w:spacing w:line="300" w:lineRule="auto"/>
              <w:rPr>
                <w:rFonts w:ascii="宋体" w:hAnsi="宋体" w:cs="宋体"/>
                <w:color w:val="auto"/>
                <w:kern w:val="0"/>
                <w:szCs w:val="21"/>
                <w:highlight w:val="none"/>
                <w:lang w:val="zh-CN"/>
              </w:rPr>
            </w:pPr>
            <w:r>
              <w:rPr>
                <w:rFonts w:hint="eastAsia" w:ascii="宋体" w:hAnsi="宋体" w:cs="宋体"/>
                <w:color w:val="auto"/>
                <w:szCs w:val="21"/>
                <w:highlight w:val="none"/>
                <w:u w:val="single"/>
              </w:rPr>
              <w:t>对分包人的资质要求：符合有关法律法规和文件规定，并不得再次分包。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36</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1、按照广州交易集团有限公司（广州公共资源交易中心）交易平台关于全流程电子化项目的相关指南进行操作。详见：广州交易集团有限公司（广州公共资源交易中心）网站最新指引。</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3、补救方案</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37</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38</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39</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安全生产责任保险</w:t>
            </w:r>
          </w:p>
        </w:tc>
        <w:tc>
          <w:tcPr>
            <w:tcW w:w="5828" w:type="dxa"/>
            <w:tcBorders>
              <w:right w:val="double" w:color="auto" w:sz="4" w:space="0"/>
            </w:tcBorders>
            <w:noWrap/>
            <w:vAlign w:val="center"/>
          </w:tcPr>
          <w:p>
            <w:pPr>
              <w:snapToGrid w:val="0"/>
              <w:spacing w:line="300" w:lineRule="auto"/>
              <w:rPr>
                <w:rFonts w:ascii="宋体" w:hAnsi="宋体" w:cs="宋体"/>
                <w:color w:val="auto"/>
                <w:kern w:val="0"/>
                <w:szCs w:val="21"/>
                <w:highlight w:val="none"/>
                <w:u w:val="single"/>
                <w:lang w:val="zh-CN"/>
              </w:rPr>
            </w:pPr>
            <w:r>
              <w:rPr>
                <w:rFonts w:hint="eastAsia" w:ascii="宋体" w:hAnsi="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tcBorders>
            <w:noWrap/>
            <w:vAlign w:val="center"/>
          </w:tcPr>
          <w:p>
            <w:pPr>
              <w:snapToGrid w:val="0"/>
              <w:spacing w:line="30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03" w:type="dxa"/>
            <w:noWrap/>
            <w:vAlign w:val="center"/>
          </w:tcPr>
          <w:p>
            <w:pPr>
              <w:snapToGrid w:val="0"/>
              <w:spacing w:line="300" w:lineRule="auto"/>
              <w:jc w:val="center"/>
              <w:rPr>
                <w:rFonts w:ascii="宋体" w:hAnsi="宋体" w:cs="宋体"/>
                <w:color w:val="auto"/>
                <w:szCs w:val="21"/>
                <w:highlight w:val="none"/>
              </w:rPr>
            </w:pPr>
          </w:p>
        </w:tc>
        <w:tc>
          <w:tcPr>
            <w:tcW w:w="1801" w:type="dxa"/>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828" w:type="dxa"/>
            <w:tcBorders>
              <w:right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double" w:color="auto" w:sz="4" w:space="0"/>
              <w:bottom w:val="double" w:color="auto" w:sz="4" w:space="0"/>
            </w:tcBorders>
            <w:noWrap/>
            <w:vAlign w:val="center"/>
          </w:tcPr>
          <w:p>
            <w:pPr>
              <w:snapToGrid w:val="0"/>
              <w:spacing w:line="30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41</w:t>
            </w:r>
          </w:p>
        </w:tc>
        <w:tc>
          <w:tcPr>
            <w:tcW w:w="903" w:type="dxa"/>
            <w:tcBorders>
              <w:bottom w:val="double" w:color="auto" w:sz="4" w:space="0"/>
            </w:tcBorders>
            <w:noWrap/>
            <w:vAlign w:val="center"/>
          </w:tcPr>
          <w:p>
            <w:pPr>
              <w:snapToGrid w:val="0"/>
              <w:spacing w:line="300" w:lineRule="auto"/>
              <w:jc w:val="center"/>
              <w:rPr>
                <w:rFonts w:ascii="宋体" w:hAnsi="宋体" w:cs="宋体"/>
                <w:color w:val="auto"/>
                <w:szCs w:val="21"/>
                <w:highlight w:val="none"/>
              </w:rPr>
            </w:pPr>
          </w:p>
        </w:tc>
        <w:tc>
          <w:tcPr>
            <w:tcW w:w="1801" w:type="dxa"/>
            <w:tcBorders>
              <w:bottom w:val="double" w:color="auto" w:sz="4" w:space="0"/>
            </w:tcBorders>
            <w:noWrap/>
            <w:vAlign w:val="center"/>
          </w:tcPr>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经济标评审优惠政策</w:t>
            </w:r>
          </w:p>
        </w:tc>
        <w:tc>
          <w:tcPr>
            <w:tcW w:w="5828" w:type="dxa"/>
            <w:tcBorders>
              <w:bottom w:val="double" w:color="auto" w:sz="4" w:space="0"/>
              <w:right w:val="double" w:color="auto" w:sz="4" w:space="0"/>
            </w:tcBorders>
            <w:noWrap/>
            <w:vAlign w:val="center"/>
          </w:tcPr>
          <w:p>
            <w:pPr>
              <w:keepNext w:val="0"/>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1.根据《广东省政府采购促进中小企业发展实施细则(试行)》要求，对符合《政府采购促进中小企业发展管理办法》的投标人，给予相应的价格评审优惠。2.本招标项目评标计算价格分时，对小微企业投标的，在采用原报价进行评分的基础上增加其价格得分的5%作为其价格分；</w:t>
            </w:r>
            <w:r>
              <w:rPr>
                <w:rFonts w:hint="eastAsia" w:ascii="宋体" w:hAnsi="宋体" w:cs="宋体"/>
                <w:strike/>
                <w:color w:val="auto"/>
                <w:szCs w:val="21"/>
                <w:highlight w:val="none"/>
                <w:u w:val="single"/>
              </w:rPr>
              <w:t>:对大中型企业与小微企业组成联合体或者</w:t>
            </w:r>
            <w:r>
              <w:rPr>
                <w:rFonts w:hint="eastAsia" w:ascii="宋体" w:hAnsi="宋体" w:cs="宋体"/>
                <w:color w:val="auto"/>
                <w:szCs w:val="21"/>
                <w:highlight w:val="none"/>
                <w:u w:val="single"/>
              </w:rPr>
              <w:t>允许大中型企业向一家或者多家小微企业分包(</w:t>
            </w:r>
            <w:r>
              <w:rPr>
                <w:rFonts w:hint="eastAsia" w:ascii="宋体" w:hAnsi="宋体" w:cs="宋体"/>
                <w:strike/>
                <w:color w:val="auto"/>
                <w:szCs w:val="21"/>
                <w:highlight w:val="none"/>
                <w:u w:val="single"/>
              </w:rPr>
              <w:t>联合协议或者</w:t>
            </w:r>
            <w:r>
              <w:rPr>
                <w:rFonts w:hint="eastAsia" w:ascii="宋体" w:hAnsi="宋体" w:cs="宋体"/>
                <w:color w:val="auto"/>
                <w:szCs w:val="21"/>
                <w:highlight w:val="none"/>
                <w:u w:val="single"/>
              </w:rPr>
              <w:t>分包意向协议约定小微企业的合同份额占到合同总金额30</w:t>
            </w:r>
            <w:r>
              <w:rPr>
                <w:rFonts w:ascii="宋体" w:hAnsi="宋体" w:cs="宋体"/>
                <w:color w:val="auto"/>
                <w:szCs w:val="21"/>
                <w:highlight w:val="none"/>
                <w:u w:val="single"/>
              </w:rPr>
              <w:t>%</w:t>
            </w:r>
            <w:r>
              <w:rPr>
                <w:rFonts w:hint="eastAsia" w:ascii="宋体" w:hAnsi="宋体" w:cs="宋体"/>
                <w:color w:val="auto"/>
                <w:szCs w:val="21"/>
                <w:highlight w:val="none"/>
                <w:u w:val="single"/>
              </w:rPr>
              <w:t>（含30</w:t>
            </w:r>
            <w:r>
              <w:rPr>
                <w:rFonts w:ascii="宋体" w:hAnsi="宋体" w:cs="宋体"/>
                <w:color w:val="auto"/>
                <w:szCs w:val="21"/>
                <w:highlight w:val="none"/>
                <w:u w:val="single"/>
              </w:rPr>
              <w:t>%</w:t>
            </w:r>
            <w:r>
              <w:rPr>
                <w:rFonts w:hint="eastAsia" w:ascii="宋体" w:hAnsi="宋体" w:cs="宋体"/>
                <w:color w:val="auto"/>
                <w:szCs w:val="21"/>
                <w:highlight w:val="none"/>
                <w:u w:val="single"/>
              </w:rPr>
              <w:t>）以上)的，在采用原报价进行评分的基础上增加其价格得分的2%作为其价格分。若原报价己满分，仍可突破满分上限继续享受加分优惠，以实际计算结果作为最终价格分。3.投标人应按《政府采购促进中小企业发展管理办法》规定出具《中小企业声明函》(格式详见第四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4.小微企业划分标准按照《工业和信息化部国家统计局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300" w:lineRule="auto"/>
              <w:rPr>
                <w:rFonts w:ascii="宋体" w:hAnsi="宋体" w:cs="宋体"/>
                <w:color w:val="auto"/>
                <w:szCs w:val="21"/>
                <w:highlight w:val="none"/>
                <w:u w:val="single"/>
              </w:rPr>
            </w:pPr>
            <w:r>
              <w:rPr>
                <w:rFonts w:hint="eastAsia" w:ascii="宋体" w:hAnsi="宋体" w:cs="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r>
              <w:rPr>
                <w:rFonts w:hint="eastAsia" w:ascii="宋体" w:hAnsi="宋体" w:cs="宋体"/>
                <w:strike/>
                <w:color w:val="auto"/>
                <w:szCs w:val="21"/>
                <w:highlight w:val="none"/>
                <w:u w:val="single"/>
              </w:rPr>
              <w:t>以联合体形式参与投标的，联合体各方均为小微企业的，联合体视同小微企业。</w:t>
            </w:r>
            <w:r>
              <w:rPr>
                <w:rFonts w:hint="eastAsia" w:ascii="宋体" w:hAnsi="宋体" w:cs="宋体"/>
                <w:color w:val="auto"/>
                <w:szCs w:val="21"/>
                <w:highlight w:val="none"/>
                <w:u w:val="single"/>
              </w:rPr>
              <w:t>(2)</w:t>
            </w:r>
            <w:r>
              <w:rPr>
                <w:rFonts w:hint="eastAsia" w:ascii="宋体" w:hAnsi="宋体" w:cs="宋体"/>
                <w:strike/>
                <w:color w:val="auto"/>
                <w:szCs w:val="21"/>
                <w:highlight w:val="none"/>
                <w:u w:val="single"/>
              </w:rPr>
              <w:t>组成联合体或者</w:t>
            </w:r>
            <w:r>
              <w:rPr>
                <w:rFonts w:hint="eastAsia" w:ascii="宋体" w:hAnsi="宋体" w:cs="宋体"/>
                <w:color w:val="auto"/>
                <w:szCs w:val="21"/>
                <w:highlight w:val="none"/>
                <w:u w:val="single"/>
              </w:rPr>
              <w:t>接受分包合同的小微企业与</w:t>
            </w:r>
            <w:r>
              <w:rPr>
                <w:rFonts w:hint="eastAsia" w:ascii="宋体" w:hAnsi="宋体" w:cs="宋体"/>
                <w:strike/>
                <w:color w:val="auto"/>
                <w:szCs w:val="21"/>
                <w:highlight w:val="none"/>
                <w:u w:val="single"/>
              </w:rPr>
              <w:t>联合体内其他企业、</w:t>
            </w:r>
            <w:r>
              <w:rPr>
                <w:rFonts w:hint="eastAsia" w:ascii="宋体" w:hAnsi="宋体" w:cs="宋体"/>
                <w:color w:val="auto"/>
                <w:szCs w:val="21"/>
                <w:highlight w:val="none"/>
                <w:u w:val="single"/>
              </w:rPr>
              <w:t>分包企业之间存在直接控股、管理关系的，不享受价格评分优惠。(3)公示期间如有异议、投诉的，被异议、投诉单位需提供注册登记所在地的县级以上人民政府中小企业主管部门认定函。</w:t>
            </w:r>
          </w:p>
        </w:tc>
      </w:tr>
    </w:tbl>
    <w:p>
      <w:pPr>
        <w:snapToGrid w:val="0"/>
        <w:spacing w:line="360" w:lineRule="auto"/>
        <w:rPr>
          <w:rFonts w:ascii="宋体" w:hAnsi="宋体" w:cs="宋体"/>
          <w:strike/>
          <w:color w:val="auto"/>
          <w:szCs w:val="21"/>
          <w:highlight w:val="none"/>
        </w:rPr>
      </w:pPr>
      <w:r>
        <w:rPr>
          <w:rFonts w:hint="eastAsia" w:ascii="宋体" w:hAnsi="宋体" w:cs="宋体"/>
          <w:strike/>
          <w:color w:val="auto"/>
          <w:sz w:val="24"/>
          <w:highlight w:val="none"/>
        </w:rPr>
        <w:t>注：企业综合诚信评价得分即企业综合诚信评价60日诚信分，以下同。</w:t>
      </w:r>
    </w:p>
    <w:p>
      <w:pPr>
        <w:rPr>
          <w:color w:val="auto"/>
          <w:highlight w:val="none"/>
        </w:rPr>
      </w:pPr>
    </w:p>
    <w:p>
      <w:pPr>
        <w:rPr>
          <w:color w:val="auto"/>
          <w:highlight w:val="none"/>
        </w:rPr>
      </w:pPr>
    </w:p>
    <w:p>
      <w:pPr>
        <w:pStyle w:val="4"/>
        <w:snapToGrid w:val="0"/>
        <w:spacing w:before="0" w:after="0" w:line="360" w:lineRule="auto"/>
        <w:ind w:left="0"/>
        <w:rPr>
          <w:rFonts w:ascii="宋体" w:hAnsi="宋体" w:cs="宋体"/>
          <w:color w:val="auto"/>
          <w:sz w:val="32"/>
          <w:szCs w:val="32"/>
          <w:highlight w:val="none"/>
        </w:rPr>
      </w:pPr>
      <w:r>
        <w:rPr>
          <w:rFonts w:hint="eastAsia" w:ascii="宋体" w:hAnsi="宋体" w:cs="宋体"/>
          <w:strike/>
          <w:color w:val="auto"/>
          <w:highlight w:val="none"/>
        </w:rPr>
        <w:br w:type="page"/>
      </w:r>
      <w:bookmarkStart w:id="3" w:name="_Toc6608"/>
      <w:r>
        <w:rPr>
          <w:rFonts w:hint="eastAsia" w:ascii="宋体" w:hAnsi="宋体" w:cs="宋体"/>
          <w:color w:val="auto"/>
          <w:sz w:val="32"/>
          <w:szCs w:val="32"/>
          <w:highlight w:val="none"/>
        </w:rPr>
        <w:t>二、投标须知修改表</w:t>
      </w:r>
      <w:bookmarkEnd w:id="3"/>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rPr>
        <w:fldChar w:fldCharType="begin"/>
      </w:r>
      <w:r>
        <w:rPr>
          <w:color w:val="auto"/>
          <w:highlight w:val="none"/>
        </w:rPr>
        <w:instrText xml:space="preserve"> HYPERLINK "http://zfcj.gz.gov.cn/）下载查阅。" </w:instrText>
      </w:r>
      <w:r>
        <w:rPr>
          <w:color w:val="auto"/>
          <w:highlight w:val="none"/>
        </w:rPr>
        <w:fldChar w:fldCharType="separate"/>
      </w:r>
      <w:r>
        <w:rPr>
          <w:rStyle w:val="34"/>
          <w:rFonts w:hint="eastAsia" w:ascii="宋体" w:hAnsi="宋体" w:cs="宋体"/>
          <w:b/>
          <w:color w:val="auto"/>
          <w:szCs w:val="21"/>
          <w:highlight w:val="none"/>
        </w:rPr>
        <w:t>http://zfcj.gz.gov.cn/）下载查阅。</w:t>
      </w:r>
      <w:r>
        <w:rPr>
          <w:rStyle w:val="34"/>
          <w:rFonts w:hint="eastAsia" w:ascii="宋体" w:hAnsi="宋体" w:cs="宋体"/>
          <w:b/>
          <w:color w:val="auto"/>
          <w:szCs w:val="21"/>
          <w:highlight w:val="none"/>
        </w:rPr>
        <w:fldChar w:fldCharType="end"/>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pPr>
        <w:pStyle w:val="28"/>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投标人若对招标文件（包括招标图纸）中有疑问，可以书面形式通过交易平台提交给招标人或招标代理人，提交形式见本须知前附表第16项。</w:t>
      </w:r>
    </w:p>
    <w:p>
      <w:pPr>
        <w:pStyle w:val="28"/>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 w:val="21"/>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pPr>
        <w:pStyle w:val="28"/>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8.2</w:t>
      </w:r>
      <w:r>
        <w:rPr>
          <w:rFonts w:hint="eastAsia" w:ascii="宋体" w:hAnsi="宋体" w:cs="宋体"/>
          <w:color w:val="auto"/>
          <w:sz w:val="21"/>
          <w:szCs w:val="21"/>
          <w:highlight w:val="none"/>
        </w:rPr>
        <w:t>招标答疑会会议纪要将在提交投标文件截止时间15日前在交易平台“项目答疑纪要”专区公开发布。答疑纪要一经在交易平台发布，视作已发放给所有投标人。</w:t>
      </w:r>
    </w:p>
    <w:p>
      <w:pPr>
        <w:pStyle w:val="28"/>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w:t>
      </w:r>
      <w:r>
        <w:rPr>
          <w:rFonts w:hint="eastAsia" w:ascii="宋体" w:hAnsi="宋体" w:cs="宋体"/>
          <w:color w:val="auto"/>
          <w:sz w:val="21"/>
          <w:szCs w:val="21"/>
          <w:highlight w:val="none"/>
          <w:u w:val="single"/>
        </w:rPr>
        <w:t>在广州交易集团有限公司（广州公共资源交易中心）网站“项目查询(日程安排、答疑纪要)”</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w:t>
      </w:r>
      <w:r>
        <w:rPr>
          <w:rFonts w:hint="eastAsia" w:ascii="宋体" w:hAnsi="宋体" w:cs="宋体"/>
          <w:color w:val="auto"/>
          <w:sz w:val="21"/>
          <w:szCs w:val="21"/>
          <w:highlight w:val="none"/>
        </w:rPr>
        <w:t>网站发布，视作已发放给所有投标人。</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条款号：8.4修改类型：修改</w:t>
      </w:r>
    </w:p>
    <w:p>
      <w:pPr>
        <w:pStyle w:val="28"/>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pPr>
        <w:pStyle w:val="28"/>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8.4</w:t>
      </w:r>
      <w:r>
        <w:rPr>
          <w:rFonts w:hint="eastAsia" w:ascii="宋体" w:hAnsi="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cs="宋体"/>
          <w:color w:val="auto"/>
          <w:sz w:val="21"/>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rPr>
        <w:t>交易平台“项目查询(日程安排、答疑纪要)”专区公开发布。答疑纪要一经在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pPr>
        <w:pStyle w:val="28"/>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adjustRightInd w:val="0"/>
        <w:snapToGrid w:val="0"/>
        <w:spacing w:line="360" w:lineRule="auto"/>
        <w:ind w:firstLine="470" w:firstLineChars="223"/>
        <w:rPr>
          <w:rFonts w:ascii="宋体" w:hAnsi="宋体" w:cs="宋体"/>
          <w:b/>
          <w:color w:val="auto"/>
          <w:szCs w:val="21"/>
          <w:highlight w:val="none"/>
        </w:rPr>
      </w:pPr>
      <w:r>
        <w:rPr>
          <w:rFonts w:hint="eastAsia" w:ascii="宋体" w:hAnsi="宋体" w:cs="宋体"/>
          <w:b/>
          <w:color w:val="auto"/>
          <w:szCs w:val="21"/>
          <w:highlight w:val="none"/>
        </w:rPr>
        <w:t>现文：</w:t>
      </w:r>
    </w:p>
    <w:p>
      <w:pPr>
        <w:adjustRightInd w:val="0"/>
        <w:snapToGrid w:val="0"/>
        <w:spacing w:line="360" w:lineRule="auto"/>
        <w:ind w:firstLine="470" w:firstLineChars="224"/>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r>
        <w:rPr>
          <w:rFonts w:hint="eastAsia" w:ascii="宋体" w:hAnsi="宋体" w:cs="宋体"/>
          <w:color w:val="auto"/>
          <w:szCs w:val="21"/>
          <w:highlight w:val="none"/>
          <w:u w:val="single"/>
        </w:rPr>
        <w:t>（除注明原件外，均为清晰扫描件（网页截图）即可）</w:t>
      </w:r>
      <w:r>
        <w:rPr>
          <w:rFonts w:hint="eastAsia" w:ascii="宋体" w:hAnsi="宋体" w:cs="宋体"/>
          <w:color w:val="auto"/>
          <w:szCs w:val="21"/>
          <w:highlight w:val="none"/>
        </w:rPr>
        <w:t>：</w:t>
      </w:r>
    </w:p>
    <w:p>
      <w:pP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pP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bCs/>
          <w:color w:val="auto"/>
          <w:szCs w:val="21"/>
          <w:highlight w:val="none"/>
        </w:rPr>
        <w:t>11.2.2 资格审查文件：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扫描件；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r>
        <w:rPr>
          <w:rFonts w:hint="eastAsia" w:ascii="宋体" w:hAnsi="宋体" w:cs="宋体"/>
          <w:bCs/>
          <w:color w:val="auto"/>
          <w:szCs w:val="21"/>
          <w:highlight w:val="none"/>
          <w:u w:val="single"/>
        </w:rPr>
        <w:t>或符合招标公告规定的相关证明材料（如有）；</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（8）拟委派技术负责人的职称证书扫描件；职称证书应以人社部门或者在人社部门核准备案的职称评审委员会或人社部门授权具备颁发资格的机构（或单位）颁发的为准</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（9）拟委派项目负责人的有效期内的建造师证书扫描件或电子证书；</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（10）项目负责人在有效期内的安全生产考核合格证（B类）或建筑施工企业项目负责人安全生产考核合格证书扫描件或电子证书；</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专职安全员须具有在有效期内的安全考核合格证书（C类）或建筑施工企业专职安全生产管理人员安全生产考核合格证书（C3）</w:t>
      </w:r>
      <w:r>
        <w:rPr>
          <w:rFonts w:hint="eastAsia" w:ascii="宋体" w:hAnsi="宋体" w:cs="宋体"/>
          <w:bCs/>
          <w:color w:val="auto"/>
          <w:szCs w:val="21"/>
          <w:highlight w:val="none"/>
          <w:u w:val="single"/>
        </w:rPr>
        <w:t>扫描件或电子证书；</w:t>
      </w:r>
    </w:p>
    <w:p>
      <w:pPr>
        <w:wordWrap w:val="0"/>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u w:val="single"/>
        </w:rPr>
        <w:t>（12）资格审查前，投标人须在广州交易集团有限公司（广州公共资源交易中心）企业库办理企业信息登记及拟担任本工程项目负责人、专职安全员须是本企业信息登记中的在册人员。投标人无需提供证明材料。</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13）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（14）投标人未被列入拖欠农民工工资失信联合惩戒对象名单；</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（15）投标人认为应提供的其他资料（如有）。</w:t>
      </w:r>
    </w:p>
    <w:p>
      <w:pPr>
        <w:adjustRightInd w:val="0"/>
        <w:snapToGrid w:val="0"/>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注：</w:t>
      </w:r>
    </w:p>
    <w:p>
      <w:pPr>
        <w:adjustRightInd w:val="0"/>
        <w:snapToGrid w:val="0"/>
        <w:spacing w:line="360" w:lineRule="auto"/>
        <w:ind w:firstLine="422" w:firstLineChars="201"/>
        <w:rPr>
          <w:rFonts w:ascii="宋体" w:hAnsi="宋体" w:cs="宋体"/>
          <w:bCs/>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11.2.2（1）—（13）条没有要求提交的资料，不作为资格审查不合格的依据。</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2、上述第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（14）条，投标人无需提供资料，按投标截止时间广州交易集团有限公司（广州公共资源交易中心）交易系统比对的结果进行评审。</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3、相关电子证书按规定需打印后手写本人签名的，应按照规定手写本人签名后再扫描提交。</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11.2.3《投标函》《标函承诺书》《中小企业声明函》（如有）、《分包意向协议书》（如有）、《项目负责人驻场承诺书》（格式见招标文件第四章）。</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11.2.4《投入主要人员汇总表》《主要人员简历表》（格式见招标文件第四章、投标人需按相应表格备注和招标文件第二章附表《技术标详细审查评分表》要求提供相关资料）。</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11.2.5</w:t>
      </w:r>
      <w:r>
        <w:rPr>
          <w:rFonts w:hint="eastAsia" w:ascii="宋体" w:hAnsi="宋体" w:cs="宋体"/>
          <w:color w:val="auto"/>
          <w:szCs w:val="21"/>
          <w:highlight w:val="none"/>
          <w:u w:val="single"/>
        </w:rPr>
        <w:t>企业资信证明材料（按招标文件第二章附表《技术标详细审查评分表》要求提交，包括《已竣工验收的类似工程业绩表》（如有，格式见招标文件第四章）和《企业承建工程获奖情况表》（如有，格式见招标文件第四章）等资料。招标文件有规定格式的，需按招标文件格式提供，无格式要求的，格式自拟）</w:t>
      </w:r>
      <w:r>
        <w:rPr>
          <w:rFonts w:hint="eastAsia" w:ascii="宋体" w:hAnsi="宋体" w:cs="宋体"/>
          <w:bCs/>
          <w:color w:val="auto"/>
          <w:szCs w:val="21"/>
          <w:highlight w:val="none"/>
          <w:u w:val="single"/>
        </w:rPr>
        <w:t>。</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11.2.6《响应招标文件所附施工组织设计要点的承诺书》《拟投入本工程施工的主要机械设备配备表》（格式见招标文件第四章）。</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11.2.7《危险性较大的分部分项工程安全管理措施》（格式见招标文件第四章）。</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11.2.8《参与编制技术标投标文件人员名单》（格式见招标文件第四章）。</w:t>
      </w:r>
    </w:p>
    <w:p>
      <w:pPr>
        <w:pBdr>
          <w:bottom w:val="single" w:color="auto" w:sz="4" w:space="0"/>
        </w:pBd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11.2.9投标人认为应提供的其他资料（如有）。</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条款号：11.3.1                     修改类型：修改</w:t>
      </w:r>
    </w:p>
    <w:p>
      <w:pPr>
        <w:adjustRightInd w:val="0"/>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11.3.1 经济投标文件(按招标文件的要求填写)。</w:t>
      </w:r>
    </w:p>
    <w:p>
      <w:pPr>
        <w:pBdr>
          <w:bottom w:val="single" w:color="auto" w:sz="4" w:space="0"/>
        </w:pBd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广州建设工程施工招标投标书（经济标）（格式见招标文件第四章，具体格式以《广州建设工程施工招标投标书（经济标）》为准；电子投标管理软件编制的“广州建设工程施工招标投标书”不作为否决投标的条件)</w:t>
      </w:r>
      <w:r>
        <w:rPr>
          <w:rFonts w:hint="eastAsia" w:ascii="宋体" w:hAnsi="宋体" w:cs="宋体"/>
          <w:bCs/>
          <w:color w:val="auto"/>
          <w:szCs w:val="21"/>
          <w:highlight w:val="none"/>
        </w:rPr>
        <w:t>。</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条款号：11.3.2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rPr>
        <w:t>投标总价封面、扉页</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rPr>
        <w:t>总说明；</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color w:val="auto"/>
          <w:szCs w:val="21"/>
          <w:highlight w:val="none"/>
        </w:rPr>
        <w:t>；</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u w:val="single"/>
        </w:rPr>
        <w:t>其它辅助说明资料（包括但不限于招标文件要求填写的《对投标文件编制的承诺》，格式见招标文件第四章）</w:t>
      </w:r>
      <w:r>
        <w:rPr>
          <w:rFonts w:hint="eastAsia" w:ascii="宋体" w:hAnsi="宋体" w:cs="宋体"/>
          <w:color w:val="auto"/>
          <w:szCs w:val="21"/>
          <w:highlight w:val="none"/>
        </w:rPr>
        <w:t>。</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条款号：11.3.3                      修改类型：修改</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11.3.3按照招标文件要求填写的《参与编制经济标投标文件人员名单》。</w:t>
      </w:r>
    </w:p>
    <w:p>
      <w:pPr>
        <w:pBdr>
          <w:bottom w:val="single" w:color="auto" w:sz="6" w:space="1"/>
        </w:pBdr>
        <w:adjustRightInd w:val="0"/>
        <w:snapToGrid w:val="0"/>
        <w:spacing w:line="360" w:lineRule="auto"/>
        <w:ind w:firstLine="413" w:firstLineChars="196"/>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（格式见招标文件第四章）</w:t>
      </w:r>
      <w:r>
        <w:rPr>
          <w:rFonts w:hint="eastAsia" w:ascii="宋体" w:hAnsi="宋体" w:cs="宋体"/>
          <w:color w:val="auto"/>
          <w:szCs w:val="21"/>
          <w:highlight w:val="none"/>
        </w:rPr>
        <w:t>。</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条款号：11.3.5                      修改类型：增加</w:t>
      </w:r>
    </w:p>
    <w:p>
      <w:pPr>
        <w:pBdr>
          <w:bottom w:val="single" w:color="auto" w:sz="6" w:space="1"/>
        </w:pBdr>
        <w:adjustRightInd w:val="0"/>
        <w:snapToGrid w:val="0"/>
        <w:spacing w:line="360" w:lineRule="auto"/>
        <w:ind w:firstLine="413" w:firstLineChars="196"/>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11.3.5</w:t>
      </w:r>
      <w:r>
        <w:rPr>
          <w:rFonts w:hint="eastAsia" w:ascii="宋体" w:hAnsi="宋体" w:cs="宋体"/>
          <w:color w:val="auto"/>
          <w:szCs w:val="21"/>
          <w:highlight w:val="none"/>
          <w:u w:val="single"/>
        </w:rPr>
        <w:t>投标人认为应提供的其他经济标资料（如有）。</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adjustRightInd w:val="0"/>
        <w:snapToGrid w:val="0"/>
        <w:spacing w:line="360" w:lineRule="auto"/>
        <w:ind w:firstLine="525" w:firstLineChars="250"/>
        <w:textAlignment w:val="baseline"/>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并采用单位数字证书，按招标文件要求在相应位置加盖电子印章。投标文件中需个人签字或盖章的，应加盖个人电子印章或在线下完成后原件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525" w:firstLineChars="250"/>
        <w:textAlignment w:val="baseline"/>
        <w:rPr>
          <w:rFonts w:ascii="宋体" w:hAnsi="宋体" w:cs="宋体"/>
          <w:b/>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p>
    <w:p>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Style w:val="28"/>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pPr>
        <w:pStyle w:val="28"/>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28"/>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pPr>
        <w:pStyle w:val="28"/>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8"/>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28"/>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pPr>
        <w:pStyle w:val="28"/>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Bdr>
          <w:bottom w:val="single" w:color="auto" w:sz="4" w:space="0"/>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pPr>
        <w:adjustRightInd w:val="0"/>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w:t>
      </w:r>
      <w:r>
        <w:rPr>
          <w:rFonts w:hint="eastAsia" w:ascii="宋体" w:hAnsi="宋体" w:cs="宋体"/>
          <w:color w:val="auto"/>
          <w:szCs w:val="21"/>
          <w:highlight w:val="none"/>
          <w:u w:val="single"/>
        </w:rPr>
        <w:t>工程量清单报价中有关问题的说明：</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（1）投标时,土方的弃运距离暂按15km内考虑，超过15km按15km计算，结算时按招标人确认的实际运距计算,实际运距超过15公里时，按15公里包干。</w:t>
      </w:r>
    </w:p>
    <w:p>
      <w:pPr>
        <w:pBdr>
          <w:bottom w:val="single" w:color="auto" w:sz="4" w:space="0"/>
        </w:pBd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Cs w:val="21"/>
          <w:highlight w:val="none"/>
        </w:rPr>
        <w:t>。</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条款号：13.11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条款号：13.12                          修改类型：增加</w:t>
      </w:r>
    </w:p>
    <w:p>
      <w:pPr>
        <w:pBdr>
          <w:bottom w:val="single" w:color="auto" w:sz="4" w:space="0"/>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条款号：13.13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条款号：13.14                             修改类型：增加</w:t>
      </w:r>
    </w:p>
    <w:p>
      <w:pPr>
        <w:pBdr>
          <w:top w:val="single" w:color="auto" w:sz="4" w:space="1"/>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条款号：13.15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条款号：13.16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条款号：13.17                              修改类型：增加</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13.17中标人应按有关规定协助建设业主完成公共排水设施竣工图纸备案工作。</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条款号：15.2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auto"/>
          <w:szCs w:val="21"/>
          <w:highlight w:val="none"/>
          <w:u w:val="single"/>
        </w:rPr>
        <w:t>投标人可以拒绝招标人这种要求。同意延长投标有效期的投标人既不能要求也不允许修改其投标文件。</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条款号：16.投标保证金修改类型：修改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pBdr>
          <w:bottom w:val="single" w:color="auto" w:sz="6" w:space="1"/>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16.1</w:t>
      </w:r>
      <w:r>
        <w:rPr>
          <w:rFonts w:hint="eastAsia" w:ascii="宋体" w:hAnsi="宋体" w:cs="宋体"/>
          <w:color w:val="auto"/>
          <w:szCs w:val="21"/>
          <w:highlight w:val="none"/>
          <w:u w:val="single"/>
        </w:rPr>
        <w:t>本项目不收投标保证金。</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trike/>
          <w:color w:val="auto"/>
          <w:szCs w:val="21"/>
          <w:highlight w:val="none"/>
        </w:rPr>
        <w:t>16.3投标保证金应依据法律法规的相关规定退还。</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w:t>
      </w:r>
      <w:r>
        <w:rPr>
          <w:rFonts w:hint="eastAsia" w:ascii="宋体" w:hAnsi="宋体" w:cs="宋体"/>
          <w:color w:val="auto"/>
          <w:szCs w:val="21"/>
          <w:highlight w:val="none"/>
          <w:u w:val="single"/>
        </w:rPr>
        <w:t>将被拒绝在3个月内参与招标人后续工程投标；</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r>
        <w:rPr>
          <w:rFonts w:hint="eastAsia" w:ascii="宋体" w:hAnsi="宋体" w:cs="宋体"/>
          <w:color w:val="auto"/>
          <w:szCs w:val="21"/>
          <w:highlight w:val="none"/>
          <w:u w:val="single"/>
        </w:rPr>
        <w:t>或放弃中标资格的</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r>
        <w:rPr>
          <w:rFonts w:hint="eastAsia" w:ascii="宋体" w:hAnsi="宋体" w:cs="宋体"/>
          <w:color w:val="auto"/>
          <w:szCs w:val="21"/>
          <w:highlight w:val="none"/>
          <w:u w:val="single"/>
        </w:rPr>
        <w:t>；</w:t>
      </w:r>
    </w:p>
    <w:p>
      <w:pPr>
        <w:pBdr>
          <w:bottom w:val="single" w:color="auto" w:sz="6" w:space="1"/>
        </w:pBdr>
        <w:adjustRightInd w:val="0"/>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u w:val="single"/>
        </w:rPr>
        <w:t>16.4.5投标人弄虚作假骗取中标的。</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16.5投标人如存在下列情况之一的，</w:t>
      </w:r>
      <w:r>
        <w:rPr>
          <w:rFonts w:hint="eastAsia" w:ascii="宋体" w:hAnsi="宋体" w:cs="宋体"/>
          <w:strike/>
          <w:color w:val="auto"/>
          <w:szCs w:val="21"/>
          <w:highlight w:val="none"/>
          <w:u w:val="single"/>
        </w:rPr>
        <w:t>将被拒绝在3个月内参与招标人后续工程投标</w:t>
      </w:r>
      <w:r>
        <w:rPr>
          <w:rFonts w:hint="eastAsia" w:ascii="宋体" w:hAnsi="宋体" w:cs="宋体"/>
          <w:strike/>
          <w:color w:val="auto"/>
          <w:szCs w:val="21"/>
          <w:highlight w:val="none"/>
        </w:rPr>
        <w:t>：</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16.5.1投标人存在16.4条款所列情形且投标人提交的保函、担保或保证保险无法兑付的；</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16.5.3</w:t>
      </w:r>
      <w:r>
        <w:rPr>
          <w:rFonts w:hint="eastAsia" w:ascii="宋体" w:hAnsi="宋体" w:cs="宋体"/>
          <w:strike/>
          <w:color w:val="auto"/>
          <w:szCs w:val="21"/>
          <w:highlight w:val="none"/>
          <w:u w:val="single"/>
        </w:rPr>
        <w:t>按招标文件要求免于提供投标保证金的投标人存在16.4条款所列情形。</w:t>
      </w:r>
    </w:p>
    <w:p>
      <w:pPr>
        <w:pStyle w:val="28"/>
        <w:adjustRightInd w:val="0"/>
        <w:snapToGrid w:val="0"/>
        <w:spacing w:after="0"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投标文件的签署修改类型：修改</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17．</w:t>
      </w:r>
      <w:r>
        <w:rPr>
          <w:rFonts w:hint="eastAsia" w:ascii="宋体" w:hAnsi="宋体" w:cs="宋体"/>
          <w:b/>
          <w:color w:val="auto"/>
          <w:szCs w:val="21"/>
          <w:highlight w:val="none"/>
        </w:rPr>
        <w:t>投标文件的签署</w:t>
      </w:r>
    </w:p>
    <w:p>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17.1</w:t>
      </w:r>
      <w:r>
        <w:rPr>
          <w:rFonts w:hint="eastAsia" w:ascii="宋体" w:hAnsi="宋体" w:cs="宋体"/>
          <w:bCs/>
          <w:color w:val="auto"/>
          <w:kern w:val="0"/>
          <w:szCs w:val="21"/>
          <w:highlight w:val="none"/>
        </w:rPr>
        <w:t>投标人应采用单位数字证书，按招标文件要求在相应位置加盖电子印章。投标文件中需个人签字或盖章的，</w:t>
      </w:r>
      <w:r>
        <w:rPr>
          <w:rFonts w:hint="eastAsia" w:ascii="宋体" w:hAnsi="宋体" w:cs="宋体"/>
          <w:b/>
          <w:color w:val="auto"/>
          <w:kern w:val="0"/>
          <w:szCs w:val="21"/>
          <w:highlight w:val="none"/>
        </w:rPr>
        <w:t>应加盖个人电子印章或在线下完成后原件扫描上传。</w:t>
      </w:r>
      <w:r>
        <w:rPr>
          <w:rFonts w:hint="eastAsia" w:ascii="宋体" w:hAnsi="宋体" w:cs="宋体"/>
          <w:bCs/>
          <w:color w:val="auto"/>
          <w:kern w:val="0"/>
          <w:szCs w:val="21"/>
          <w:highlight w:val="none"/>
        </w:rPr>
        <w:t>按照交易平台关于全流程电子化项目的相关指南进行操作。详见：。</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现文：17．投标文件的签署</w:t>
      </w:r>
      <w:r>
        <w:rPr>
          <w:rFonts w:hint="eastAsia" w:ascii="宋体" w:hAnsi="宋体" w:cs="宋体"/>
          <w:b/>
          <w:color w:val="auto"/>
          <w:szCs w:val="21"/>
          <w:highlight w:val="none"/>
          <w:u w:val="single"/>
        </w:rPr>
        <w:t>及份数</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17.1投标人应采用单位数字证书，按招标文件要求在相应位置加盖电子印章。投标文件中需个人签字或盖章的，应加盖个人电子印章或在线下完成后原件扫描上传。按照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4" w:space="0"/>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18.</w:t>
      </w:r>
      <w:r>
        <w:rPr>
          <w:rFonts w:hint="eastAsia" w:ascii="宋体" w:hAnsi="宋体" w:cs="宋体"/>
          <w:b/>
          <w:color w:val="auto"/>
          <w:szCs w:val="21"/>
          <w:highlight w:val="none"/>
        </w:rPr>
        <w:t>修改类型：修改</w:t>
      </w:r>
    </w:p>
    <w:p>
      <w:pPr>
        <w:adjustRightInd w:val="0"/>
        <w:snapToGrid w:val="0"/>
        <w:spacing w:line="360" w:lineRule="auto"/>
        <w:ind w:firstLine="413" w:firstLineChars="196"/>
        <w:rPr>
          <w:rFonts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w:t>
      </w:r>
      <w:r>
        <w:rPr>
          <w:rFonts w:hint="eastAsia" w:ascii="宋体" w:hAnsi="宋体" w:cs="宋体"/>
          <w:color w:val="auto"/>
          <w:szCs w:val="21"/>
          <w:highlight w:val="none"/>
        </w:rPr>
        <w:t>投标文件的密封和标记</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bCs/>
          <w:color w:val="auto"/>
          <w:szCs w:val="21"/>
          <w:highlight w:val="none"/>
        </w:rPr>
        <w:t>。</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原文：19.投标文件的递交和接收</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条款号：19.1                        修改类型：修改</w:t>
      </w:r>
    </w:p>
    <w:p>
      <w:pPr>
        <w:adjustRightInd w:val="0"/>
        <w:snapToGrid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rPr>
        <w:t>交易平台递交电子投标文件。</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条款号：19.2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条款号：19.3                       修改类型：修改</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rPr>
        <w:t>交易平台将予以拒收。</w:t>
      </w:r>
    </w:p>
    <w:p>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条款号：19.5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19.5如技术标和经济标先后分别开启，交易平台将按招标文件规定的时间分别开启技术标和经济标。</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color w:val="auto"/>
          <w:szCs w:val="21"/>
          <w:highlight w:val="none"/>
          <w:u w:val="single"/>
        </w:rPr>
        <w:t>广州交易集团有限公司（广州公共资源交易中心）交易平台将按招标文件规定的时间同时开启技术标和经济标。</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20.3</w:t>
      </w:r>
      <w:r>
        <w:rPr>
          <w:rFonts w:hint="eastAsia" w:ascii="宋体" w:hAnsi="宋体" w:cs="宋体"/>
          <w:color w:val="auto"/>
          <w:szCs w:val="21"/>
          <w:highlight w:val="none"/>
          <w:u w:val="single"/>
        </w:rPr>
        <w:t>到投标截止时间止，招标人收到的投标文件少于3家的，招标人将重新组织招标。</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条款号：21.1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rPr>
        <w:t>交易平台将予以拒收。</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条款号：28.2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原中标人依法承担相应法律责任。原中标人给招标人造成的损失，应当对其予以赔偿。</w:t>
      </w:r>
      <w:r>
        <w:rPr>
          <w:rFonts w:hint="eastAsia" w:ascii="宋体" w:hAnsi="宋体" w:cs="宋体"/>
          <w:color w:val="auto"/>
          <w:szCs w:val="21"/>
          <w:highlight w:val="none"/>
        </w:rPr>
        <w:t>原中标人有异议的，可以向人民法院起诉。</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条款号：28.3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pPr>
        <w:adjustRightInd w:val="0"/>
        <w:snapToGrid w:val="0"/>
        <w:spacing w:line="360" w:lineRule="auto"/>
        <w:ind w:firstLine="413" w:firstLineChars="196"/>
        <w:contextualSpacing/>
        <w:rPr>
          <w:rFonts w:ascii="宋体" w:hAnsi="宋体" w:cs="宋体"/>
          <w:b/>
          <w:color w:val="auto"/>
          <w:szCs w:val="21"/>
          <w:highlight w:val="none"/>
        </w:rPr>
      </w:pPr>
      <w:r>
        <w:rPr>
          <w:rFonts w:hint="eastAsia" w:ascii="宋体" w:hAnsi="宋体" w:cs="宋体"/>
          <w:b/>
          <w:color w:val="auto"/>
          <w:szCs w:val="21"/>
          <w:highlight w:val="none"/>
        </w:rPr>
        <w:t>条款号：28.5                        修改类型：增加</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28.5如本工程委托代建单位（项目建设管理单位），则可由代建单位作为发包人与中标人签订合同。</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条款号：29.1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条款号：29.2                        修改类型：修改</w:t>
      </w:r>
    </w:p>
    <w:p>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原中标人依法承担相应法律责任。原中标人给招标人造成的损失，还应当予以赔偿</w:t>
      </w:r>
      <w:r>
        <w:rPr>
          <w:rFonts w:hint="eastAsia" w:ascii="宋体" w:hAnsi="宋体" w:cs="宋体"/>
          <w:color w:val="auto"/>
          <w:szCs w:val="21"/>
          <w:highlight w:val="none"/>
        </w:rPr>
        <w:t>。原中标人有异议的，可以向人民法院起诉。</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条款号：28.2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原中标人依法承担相应法律责任。原中标人给招标人造成的损失，应当对其予以赔偿</w:t>
      </w:r>
      <w:r>
        <w:rPr>
          <w:rFonts w:hint="eastAsia" w:ascii="宋体" w:hAnsi="宋体" w:cs="宋体"/>
          <w:color w:val="auto"/>
          <w:szCs w:val="21"/>
          <w:highlight w:val="none"/>
        </w:rPr>
        <w:t>。原中标人有异议的，可以向人民法院起诉。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pPr>
        <w:adjustRightInd w:val="0"/>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rPr>
          <w:color w:val="auto"/>
          <w:highlight w:val="none"/>
        </w:rPr>
      </w:pPr>
    </w:p>
    <w:p>
      <w:pPr>
        <w:rPr>
          <w:color w:val="auto"/>
          <w:highlight w:val="none"/>
        </w:rPr>
      </w:pPr>
    </w:p>
    <w:p>
      <w:pPr>
        <w:rPr>
          <w:color w:val="auto"/>
          <w:highlight w:val="none"/>
        </w:rPr>
      </w:pPr>
    </w:p>
    <w:p>
      <w:pPr>
        <w:pStyle w:val="4"/>
        <w:snapToGrid w:val="0"/>
        <w:spacing w:before="0" w:after="0" w:line="360" w:lineRule="auto"/>
        <w:ind w:left="0"/>
        <w:rPr>
          <w:rFonts w:ascii="宋体" w:hAnsi="宋体" w:cs="宋体"/>
          <w:color w:val="auto"/>
          <w:highlight w:val="none"/>
        </w:rPr>
      </w:pPr>
      <w:r>
        <w:rPr>
          <w:rFonts w:hint="eastAsia" w:ascii="宋体" w:hAnsi="宋体" w:cs="宋体"/>
          <w:color w:val="auto"/>
          <w:highlight w:val="none"/>
        </w:rPr>
        <w:br w:type="page"/>
      </w:r>
      <w:bookmarkStart w:id="4" w:name="_Toc21525492"/>
      <w:bookmarkStart w:id="5" w:name="_Toc31334"/>
      <w:r>
        <w:rPr>
          <w:rFonts w:hint="eastAsia" w:ascii="宋体" w:hAnsi="宋体" w:cs="宋体"/>
          <w:color w:val="auto"/>
          <w:sz w:val="32"/>
          <w:szCs w:val="32"/>
          <w:highlight w:val="none"/>
        </w:rPr>
        <w:t>三、投标须知通用条款</w:t>
      </w:r>
      <w:bookmarkEnd w:id="4"/>
      <w:bookmarkEnd w:id="5"/>
    </w:p>
    <w:p>
      <w:pPr>
        <w:pStyle w:val="6"/>
        <w:snapToGrid w:val="0"/>
        <w:spacing w:before="0" w:beforeAutospacing="0" w:after="0" w:afterAutospacing="0" w:line="360" w:lineRule="auto"/>
        <w:rPr>
          <w:rFonts w:cs="宋体"/>
          <w:color w:val="auto"/>
          <w:sz w:val="21"/>
          <w:szCs w:val="21"/>
          <w:highlight w:val="none"/>
        </w:rPr>
      </w:pPr>
      <w:bookmarkStart w:id="6" w:name="_Toc12947"/>
      <w:bookmarkStart w:id="7" w:name="_Toc21525493"/>
      <w:r>
        <w:rPr>
          <w:rFonts w:hint="eastAsia" w:cs="宋体"/>
          <w:color w:val="auto"/>
          <w:sz w:val="21"/>
          <w:szCs w:val="21"/>
          <w:highlight w:val="none"/>
        </w:rPr>
        <w:t>（一）总则</w:t>
      </w:r>
      <w:bookmarkEnd w:id="6"/>
      <w:bookmarkEnd w:id="7"/>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1、定义</w:t>
      </w:r>
    </w:p>
    <w:p>
      <w:pPr>
        <w:pStyle w:val="28"/>
        <w:snapToGrid w:val="0"/>
        <w:spacing w:after="0" w:line="360" w:lineRule="auto"/>
        <w:ind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本招标文件使用的下列词语具有如下规定的意义：</w:t>
      </w:r>
    </w:p>
    <w:p>
      <w:pPr>
        <w:pStyle w:val="28"/>
        <w:snapToGrid w:val="0"/>
        <w:spacing w:after="0" w:line="360" w:lineRule="auto"/>
        <w:ind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（1）“招标人”（即发包人）、“项目建设管理单位”（或称“项目代建单位”）、“招标代理”、“设计单位”、“监理单位”均已在投标须知前附表中列明。</w:t>
      </w:r>
    </w:p>
    <w:p>
      <w:pPr>
        <w:pStyle w:val="28"/>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（2）“投标人”指向招标人提交投标文件的当事人。</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（3）“承包人”指其投标被招标人接受并与其签订承包合同的当事人。</w:t>
      </w:r>
    </w:p>
    <w:p>
      <w:pPr>
        <w:pStyle w:val="28"/>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（4）“招标文件”指由招标代理发出的本文件（包括全部章节、附件）及招标答疑会会议纪要和</w:t>
      </w:r>
      <w:r>
        <w:rPr>
          <w:rFonts w:hint="eastAsia" w:ascii="宋体" w:hAnsi="宋体" w:cs="宋体"/>
          <w:bCs/>
          <w:color w:val="auto"/>
          <w:sz w:val="21"/>
          <w:szCs w:val="21"/>
          <w:highlight w:val="none"/>
        </w:rPr>
        <w:t>招标文件的澄清与修改</w:t>
      </w:r>
      <w:r>
        <w:rPr>
          <w:rFonts w:hint="eastAsia" w:ascii="宋体" w:hAnsi="宋体" w:cs="宋体"/>
          <w:color w:val="auto"/>
          <w:sz w:val="21"/>
          <w:szCs w:val="21"/>
          <w:highlight w:val="none"/>
        </w:rPr>
        <w:t>文件。</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（5）“投标文件”指投标人根据本项目招标文件向招标人提交的全部文件。</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（6）“书面形式”指打字或印刷的文件和数据电文（包括电报、电传、传真、电子数据交换和电子邮件）。</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2、招标说明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2.1本招标工程项目按照《中华人民共和国招标投标法》等有关法律、行政法规、规章和规范性文件，通过招标方式选定承包人。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2.2工程名称、建设地点、建设规模、承包方式、质量标准、招标范围、工期要求等均在投标须知前附表中列明。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2.3设计说明：详见招标图纸。</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2.4工程施工特点：详见招标图纸。</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3．资金来源</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3.1本招标工程项目资金来源见投标须知前附表第9项</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4．合格投标人的条件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4.1详见本项目招标公告</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5．踏勘现场</w:t>
      </w:r>
    </w:p>
    <w:p>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5.2 招标人向投标人提供的有关现场的数据和资料，是招标人现有的能被投标人利用的资料，招标人对投标人做出的任何推论、理解和结论均不负责任。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5.3 经招标人允许，投标人可为踏勘目的进入招标人的项目现场。</w:t>
      </w:r>
      <w:r>
        <w:rPr>
          <w:rFonts w:hint="eastAsia" w:ascii="宋体" w:hAnsi="宋体" w:cs="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Cs w:val="21"/>
          <w:highlight w:val="none"/>
        </w:rPr>
        <w:t>投标人不得因此使招标人承担有关的责任和蒙受损失。</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6．投标费用</w:t>
      </w:r>
    </w:p>
    <w:p>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rPr>
        <w:t>不论投标结果如何，投标人应承担</w:t>
      </w:r>
      <w:r>
        <w:rPr>
          <w:rFonts w:hint="eastAsia" w:ascii="宋体" w:hAnsi="宋体" w:cs="宋体"/>
          <w:bCs/>
          <w:color w:val="auto"/>
          <w:szCs w:val="21"/>
          <w:highlight w:val="none"/>
        </w:rPr>
        <w:t>自身</w:t>
      </w:r>
      <w:r>
        <w:rPr>
          <w:rFonts w:hint="eastAsia" w:ascii="宋体" w:hAnsi="宋体" w:cs="宋体"/>
          <w:color w:val="auto"/>
          <w:szCs w:val="21"/>
          <w:highlight w:val="none"/>
        </w:rPr>
        <w:t>因投标文件编制、递交及其他</w:t>
      </w:r>
      <w:r>
        <w:rPr>
          <w:rFonts w:hint="eastAsia" w:ascii="宋体" w:hAnsi="宋体" w:cs="宋体"/>
          <w:bCs/>
          <w:color w:val="auto"/>
          <w:szCs w:val="21"/>
          <w:highlight w:val="none"/>
        </w:rPr>
        <w:t>参加本招标活动</w:t>
      </w:r>
      <w:r>
        <w:rPr>
          <w:rFonts w:hint="eastAsia" w:ascii="宋体" w:hAnsi="宋体" w:cs="宋体"/>
          <w:color w:val="auto"/>
          <w:szCs w:val="21"/>
          <w:highlight w:val="none"/>
        </w:rPr>
        <w:t>所涉及的一切费用，招标人对上述费用不负任何责任。</w:t>
      </w:r>
    </w:p>
    <w:p>
      <w:pPr>
        <w:pStyle w:val="6"/>
        <w:snapToGrid w:val="0"/>
        <w:spacing w:before="0" w:beforeAutospacing="0" w:after="0" w:afterAutospacing="0" w:line="360" w:lineRule="auto"/>
        <w:rPr>
          <w:rFonts w:cs="宋体"/>
          <w:color w:val="auto"/>
          <w:sz w:val="21"/>
          <w:szCs w:val="21"/>
          <w:highlight w:val="none"/>
        </w:rPr>
      </w:pPr>
      <w:bookmarkStart w:id="8" w:name="_Toc21525494"/>
      <w:bookmarkStart w:id="9" w:name="_Toc32111"/>
      <w:r>
        <w:rPr>
          <w:rFonts w:hint="eastAsia" w:cs="宋体"/>
          <w:color w:val="auto"/>
          <w:sz w:val="21"/>
          <w:szCs w:val="21"/>
          <w:highlight w:val="none"/>
        </w:rPr>
        <w:t>（二）招标文件</w:t>
      </w:r>
      <w:bookmarkEnd w:id="8"/>
      <w:bookmarkEnd w:id="9"/>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7.招标文件的组成</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28"/>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第一章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投标须知</w:t>
      </w:r>
    </w:p>
    <w:p>
      <w:pPr>
        <w:pStyle w:val="28"/>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第二章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开标、评标及定标办法</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合同条款</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第四章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投标文件格式</w:t>
      </w:r>
    </w:p>
    <w:p>
      <w:pPr>
        <w:pStyle w:val="28"/>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第五章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技术条件（工程建设标准）（另册）</w:t>
      </w:r>
    </w:p>
    <w:p>
      <w:pPr>
        <w:pStyle w:val="28"/>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第六章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图纸及勘察资料（另册）</w:t>
      </w:r>
    </w:p>
    <w:p>
      <w:pPr>
        <w:pStyle w:val="28"/>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招标</w:t>
      </w:r>
      <w:r>
        <w:rPr>
          <w:rFonts w:hint="eastAsia" w:ascii="宋体" w:hAnsi="宋体" w:cs="宋体"/>
          <w:color w:val="auto"/>
          <w:sz w:val="21"/>
          <w:szCs w:val="21"/>
          <w:highlight w:val="none"/>
        </w:rPr>
        <w:t>工程量清单（另册）</w:t>
      </w:r>
    </w:p>
    <w:p>
      <w:pPr>
        <w:pStyle w:val="28"/>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第八章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最高投标限价</w:t>
      </w:r>
    </w:p>
    <w:p>
      <w:pPr>
        <w:pStyle w:val="28"/>
        <w:snapToGrid w:val="0"/>
        <w:spacing w:after="0" w:line="360" w:lineRule="auto"/>
        <w:ind w:left="-2"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2"/>
          <w:highlight w:val="none"/>
        </w:rPr>
        <w:fldChar w:fldCharType="begin"/>
      </w:r>
      <w:r>
        <w:rPr>
          <w:rFonts w:hint="eastAsia" w:ascii="宋体" w:hAnsi="宋体" w:cs="宋体"/>
          <w:b/>
          <w:bCs/>
          <w:color w:val="auto"/>
          <w:sz w:val="22"/>
          <w:highlight w:val="none"/>
        </w:rPr>
        <w:instrText xml:space="preserve"> = 1 \* GB3 </w:instrText>
      </w:r>
      <w:r>
        <w:rPr>
          <w:rFonts w:hint="eastAsia" w:ascii="宋体" w:hAnsi="宋体" w:cs="宋体"/>
          <w:b/>
          <w:bCs/>
          <w:color w:val="auto"/>
          <w:sz w:val="22"/>
          <w:highlight w:val="none"/>
        </w:rPr>
        <w:fldChar w:fldCharType="separate"/>
      </w:r>
      <w:r>
        <w:rPr>
          <w:rFonts w:hint="eastAsia" w:ascii="宋体" w:hAnsi="宋体" w:cs="宋体"/>
          <w:b/>
          <w:bCs/>
          <w:color w:val="auto"/>
          <w:sz w:val="22"/>
          <w:highlight w:val="none"/>
        </w:rPr>
        <w:t>①</w:t>
      </w:r>
      <w:r>
        <w:rPr>
          <w:rFonts w:hint="eastAsia" w:ascii="宋体" w:hAnsi="宋体" w:cs="宋体"/>
          <w:b/>
          <w:bCs/>
          <w:color w:val="auto"/>
          <w:sz w:val="22"/>
          <w:highlight w:val="none"/>
        </w:rPr>
        <w:fldChar w:fldCharType="end"/>
      </w:r>
      <w:r>
        <w:rPr>
          <w:rFonts w:hint="eastAsia" w:ascii="宋体" w:hAnsi="宋体" w:cs="宋体"/>
          <w:b/>
          <w:bCs/>
          <w:color w:val="auto"/>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sz w:val="22"/>
          <w:highlight w:val="none"/>
        </w:rPr>
        <w:t>明确施工现场建筑垃圾源头减量的具体要求以及建筑垃圾综合利用产品的使用要求。</w:t>
      </w:r>
      <w:r>
        <w:rPr>
          <w:rFonts w:hint="eastAsia" w:ascii="宋体" w:hAnsi="宋体" w:cs="宋体"/>
          <w:b/>
          <w:bCs/>
          <w:color w:val="auto"/>
          <w:sz w:val="22"/>
          <w:highlight w:val="none"/>
        </w:rPr>
        <w:fldChar w:fldCharType="begin"/>
      </w:r>
      <w:r>
        <w:rPr>
          <w:rFonts w:hint="eastAsia" w:ascii="宋体" w:hAnsi="宋体" w:cs="宋体"/>
          <w:b/>
          <w:bCs/>
          <w:color w:val="auto"/>
          <w:sz w:val="22"/>
          <w:highlight w:val="none"/>
        </w:rPr>
        <w:instrText xml:space="preserve"> = 2 \* GB3 </w:instrText>
      </w:r>
      <w:r>
        <w:rPr>
          <w:rFonts w:hint="eastAsia" w:ascii="宋体" w:hAnsi="宋体" w:cs="宋体"/>
          <w:b/>
          <w:bCs/>
          <w:color w:val="auto"/>
          <w:sz w:val="22"/>
          <w:highlight w:val="none"/>
        </w:rPr>
        <w:fldChar w:fldCharType="separate"/>
      </w:r>
      <w:r>
        <w:rPr>
          <w:rFonts w:hint="eastAsia" w:ascii="宋体" w:hAnsi="宋体" w:cs="宋体"/>
          <w:b/>
          <w:bCs/>
          <w:color w:val="auto"/>
          <w:sz w:val="22"/>
          <w:highlight w:val="none"/>
        </w:rPr>
        <w:t>②</w:t>
      </w:r>
      <w:r>
        <w:rPr>
          <w:rFonts w:hint="eastAsia" w:ascii="宋体" w:hAnsi="宋体" w:cs="宋体"/>
          <w:b/>
          <w:bCs/>
          <w:color w:val="auto"/>
          <w:sz w:val="22"/>
          <w:highlight w:val="none"/>
        </w:rPr>
        <w:fldChar w:fldCharType="end"/>
      </w:r>
      <w:r>
        <w:rPr>
          <w:rFonts w:hint="eastAsia" w:ascii="宋体" w:hAnsi="宋体" w:cs="宋体"/>
          <w:b/>
          <w:bCs/>
          <w:color w:val="auto"/>
          <w:sz w:val="22"/>
          <w:highlight w:val="none"/>
        </w:rPr>
        <w:t>鼓励招标人对施工组织设计或施工方案实行隐藏投标人信息的暗标评审</w:t>
      </w:r>
      <w:r>
        <w:rPr>
          <w:rFonts w:hint="eastAsia" w:ascii="宋体" w:hAnsi="宋体" w:cs="宋体"/>
          <w:b/>
          <w:bCs/>
          <w:color w:val="auto"/>
          <w:sz w:val="21"/>
          <w:szCs w:val="21"/>
          <w:highlight w:val="none"/>
        </w:rPr>
        <w:t>。</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7.3 投标人一旦中标，招标文件的内容对招标人和中标人双方均有约束力。</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8．招标答疑</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投标人若对招标文件（包括招标图纸）中有疑问，可以书面形式通过交易平台提交给招标人或招标代理人，提交形式见本须知前附表第16项。</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8.2招标答疑会会议纪要将在提交投标文件截止时间15日前在交易平台“项目答疑纪要”专区公开发布。答疑纪要一经在交易平台发布，视作已发放给所有投标人。</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8.3答疑会会议纪要为招标文件的一部分。</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8.4若招标答疑会会议纪要与招标文件有矛盾，以答疑会议纪要最后发出的书面形式的文件为准。</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9.招标文件的澄清与修改</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9.1招标文件发出后,在提交投标文件截止时间15日前，招标人可对招标文件进行必要的澄清或修改。</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9.2招标文件的澄清或修改将在交易平台“项目答疑纪要”专区公开发布。答疑纪要一经在交易平台发布，视作已发放给所有投标人，以交易平台上网发布时间作为送达时间。</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9.3招标文件的修改内容为招标文件的组成部分。</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6"/>
        <w:snapToGrid w:val="0"/>
        <w:spacing w:before="0" w:beforeAutospacing="0" w:after="0" w:afterAutospacing="0" w:line="360" w:lineRule="auto"/>
        <w:rPr>
          <w:rFonts w:cs="宋体"/>
          <w:color w:val="auto"/>
          <w:sz w:val="21"/>
          <w:szCs w:val="21"/>
          <w:highlight w:val="none"/>
        </w:rPr>
      </w:pPr>
      <w:bookmarkStart w:id="10" w:name="_Toc21525495"/>
      <w:bookmarkStart w:id="11" w:name="_Toc32542"/>
      <w:r>
        <w:rPr>
          <w:rFonts w:hint="eastAsia" w:cs="宋体"/>
          <w:color w:val="auto"/>
          <w:sz w:val="21"/>
          <w:szCs w:val="21"/>
          <w:highlight w:val="none"/>
        </w:rPr>
        <w:t>（三）投标文件的编制</w:t>
      </w:r>
      <w:bookmarkEnd w:id="10"/>
      <w:bookmarkEnd w:id="11"/>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10．投标文件的语言及度量衡单位</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10.1 投标文件和与投标有关的所有文件均应使用中文。</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10.2 除工程规范另有规定外，投标文件使用的度量衡单位，均采用中华人民共和国法定计量单位。</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11．投标文件的组成</w:t>
      </w:r>
    </w:p>
    <w:p>
      <w:pPr>
        <w:pStyle w:val="28"/>
        <w:snapToGrid w:val="0"/>
        <w:spacing w:after="0" w:line="360" w:lineRule="auto"/>
        <w:ind w:firstLineChars="200"/>
        <w:rPr>
          <w:rFonts w:ascii="宋体" w:hAnsi="宋体" w:cs="宋体"/>
          <w:b/>
          <w:color w:val="auto"/>
          <w:sz w:val="21"/>
          <w:szCs w:val="21"/>
          <w:highlight w:val="none"/>
        </w:rPr>
      </w:pPr>
      <w:r>
        <w:rPr>
          <w:rFonts w:hint="eastAsia" w:ascii="宋体" w:hAnsi="宋体" w:cs="宋体"/>
          <w:color w:val="auto"/>
          <w:sz w:val="21"/>
          <w:szCs w:val="21"/>
          <w:highlight w:val="none"/>
        </w:rPr>
        <w:t>11.1 投标文件由技术部分（含资格审查文件）和经济部分二部分投标文件组成</w:t>
      </w:r>
      <w:r>
        <w:rPr>
          <w:rFonts w:hint="eastAsia" w:ascii="宋体" w:hAnsi="宋体" w:cs="宋体"/>
          <w:b/>
          <w:color w:val="auto"/>
          <w:sz w:val="21"/>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（1）投标总价封面、扉页；</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（2）总说明</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（9）综合单价分析表；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（11）暂列金额明细表；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（14）计日工表；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（15）总承包服务计价表；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12．投标文件格式</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注释：投标文件电子文档需要投标人单位盖章的材料，投标人加盖电子印章即可，不得将投标人未对电子文档加盖实物印章作为否决投标的情形。</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12.3 </w:t>
      </w:r>
      <w:r>
        <w:rPr>
          <w:rFonts w:hint="eastAsia" w:ascii="宋体" w:hAnsi="宋体" w:cs="宋体"/>
          <w:bCs/>
          <w:color w:val="auto"/>
          <w:sz w:val="21"/>
          <w:szCs w:val="21"/>
          <w:highlight w:val="none"/>
        </w:rPr>
        <w:t>投标文件应按</w:t>
      </w:r>
      <w:r>
        <w:rPr>
          <w:rFonts w:hint="eastAsia" w:ascii="宋体" w:hAnsi="宋体" w:cs="宋体"/>
          <w:color w:val="auto"/>
          <w:sz w:val="21"/>
          <w:szCs w:val="21"/>
          <w:highlight w:val="none"/>
        </w:rPr>
        <w:t>照交易平台关于全流程电子化项目的相关指南进行编制，详见：。</w:t>
      </w:r>
    </w:p>
    <w:p>
      <w:pPr>
        <w:pStyle w:val="28"/>
        <w:snapToGrid w:val="0"/>
        <w:spacing w:after="0" w:line="360" w:lineRule="auto"/>
        <w:ind w:firstLine="0"/>
        <w:rPr>
          <w:rFonts w:ascii="宋体" w:hAnsi="宋体" w:cs="宋体"/>
          <w:color w:val="auto"/>
          <w:sz w:val="21"/>
          <w:szCs w:val="21"/>
          <w:highlight w:val="none"/>
        </w:rPr>
      </w:pPr>
      <w:r>
        <w:rPr>
          <w:rFonts w:hint="eastAsia" w:ascii="宋体" w:hAnsi="宋体" w:cs="宋体"/>
          <w:bCs/>
          <w:color w:val="auto"/>
          <w:sz w:val="21"/>
          <w:szCs w:val="21"/>
          <w:highlight w:val="none"/>
        </w:rPr>
        <w:t>如不按上述要求编制引起系统无法检索、读取相关信息的，其后果由投标人承担。</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13．投标报价及造价承包和变更结算方式</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13.1 本工程的投标报价采用投标须知前附表第12项所规定的方式。投标报价（含单价及总价）精确到“分”。</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13.5.4 如相关定额没有相应子目的，其计价方式由招标人在本招标文件第三章中另行规定。未规定的，中标后双方协商约定。</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13.6暂列金额、暂估价</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暂估价是指招标人在工程量清单中提供的用于支付必然发生但暂时不能确定价格的材料的单价以及专业工程的金额。</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14．投标货币</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14.1 本工程投标报价采用的币种为人民币。</w:t>
      </w:r>
    </w:p>
    <w:p>
      <w:pPr>
        <w:pStyle w:val="28"/>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15．投标有效期</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15.1 投标有效期见投标须知前附表第13项所规定的期限，在此期限内，凡符合本招标文件要求的投标文件均保持有效。</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16．投标保证金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17．投标文件的签署</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Style w:val="6"/>
        <w:snapToGrid w:val="0"/>
        <w:spacing w:before="0" w:beforeAutospacing="0" w:after="0" w:afterAutospacing="0" w:line="360" w:lineRule="auto"/>
        <w:rPr>
          <w:rFonts w:cs="宋体"/>
          <w:color w:val="auto"/>
          <w:sz w:val="21"/>
          <w:szCs w:val="21"/>
          <w:highlight w:val="none"/>
        </w:rPr>
      </w:pPr>
      <w:bookmarkStart w:id="12" w:name="_Toc24057"/>
      <w:bookmarkStart w:id="13" w:name="_Toc21525496"/>
      <w:r>
        <w:rPr>
          <w:rFonts w:hint="eastAsia" w:cs="宋体"/>
          <w:color w:val="auto"/>
          <w:sz w:val="21"/>
          <w:szCs w:val="21"/>
          <w:highlight w:val="none"/>
        </w:rPr>
        <w:t>（四）投标文件的提交</w:t>
      </w:r>
      <w:bookmarkEnd w:id="12"/>
      <w:bookmarkEnd w:id="13"/>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rPr>
        <w:t>交易平台递交电子投标文件。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rPr>
        <w:t>交易平台即时向投标人发出递交回执通知。递交时间以递交回执通知载明的传输完成时间为准。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rPr>
        <w:t>交易平台将予以拒收。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20．投标文件提交的截止时间</w:t>
      </w:r>
    </w:p>
    <w:p>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20.1投标人应在投标须知前附表第17项所述的时间前提交投标文件。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到投标截止时间止，招标人收到的投标文件少于3家的，招标人将重新组织招标（当N个标段同时招标且不允许兼中时，若有效投标人不足N+2家，则重新组织招标）。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21．迟交的投标文件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rPr>
        <w:t>交易平台将予以拒收。</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22．投标文件的修改与撤回</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22.1在规定的投标截止时间前，投标人可以修改或撤回已递交的投标文件，但应以书面形式通知招标人。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22.2投标人修改或撤回已递交的投标文件，需在交易平台发出修改或撤回通知，并按要求加盖电子印章。</w:t>
      </w:r>
      <w:r>
        <w:rPr>
          <w:rFonts w:hint="eastAsia" w:ascii="宋体" w:hAnsi="宋体" w:cs="宋体"/>
          <w:bCs/>
          <w:iCs/>
          <w:color w:val="auto"/>
          <w:szCs w:val="21"/>
          <w:highlight w:val="none"/>
        </w:rPr>
        <w:t>电子招标投标交易平台收到通知后，</w:t>
      </w:r>
      <w:r>
        <w:rPr>
          <w:rFonts w:hint="eastAsia" w:ascii="宋体" w:hAnsi="宋体" w:cs="宋体"/>
          <w:color w:val="auto"/>
          <w:szCs w:val="21"/>
          <w:highlight w:val="none"/>
        </w:rPr>
        <w:t>即时向投标人发出确认回执通知。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22.3修改后再次递交的，按19点的规定执行。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在投标截止时间之后，投标人不得补充、修改和更换投标文件。</w:t>
      </w:r>
    </w:p>
    <w:p>
      <w:pPr>
        <w:pStyle w:val="6"/>
        <w:snapToGrid w:val="0"/>
        <w:spacing w:before="0" w:beforeAutospacing="0" w:after="0" w:afterAutospacing="0" w:line="360" w:lineRule="auto"/>
        <w:rPr>
          <w:rFonts w:cs="宋体"/>
          <w:color w:val="auto"/>
          <w:sz w:val="21"/>
          <w:szCs w:val="21"/>
          <w:highlight w:val="none"/>
        </w:rPr>
      </w:pPr>
      <w:bookmarkStart w:id="14" w:name="_Toc21525497"/>
      <w:bookmarkStart w:id="15" w:name="_Toc13732"/>
      <w:r>
        <w:rPr>
          <w:rFonts w:hint="eastAsia" w:cs="宋体"/>
          <w:color w:val="auto"/>
          <w:sz w:val="21"/>
          <w:szCs w:val="21"/>
          <w:highlight w:val="none"/>
        </w:rPr>
        <w:t>（五）开标、评标、定标及合同签定</w:t>
      </w:r>
      <w:bookmarkEnd w:id="14"/>
      <w:bookmarkEnd w:id="15"/>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23、开标。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24．评标过程的保密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25．投标文件的澄清，计算错误的修正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详见招标文件第二章开标、评标及定标办法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26．投标文件的评审、比较和否决</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详见招标文件第二章开标、评标及定标办法。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27.2招标人应当自确定中标人后，向招标投标监管机构提交招标投标情况的书面报告；经招投标监管机构备案后，方可发出中标通知书。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27.3中标人必须在收到中标通知书后24小时之内以书面形式回复招标人，确认收到。</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28．合同协议书的签订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28.4招标人支付工程款时，中标人应按规定开具发票。</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30．合同生效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30.1在合同双方全权代表在合同协议书上签字，并分别加盖双方单位的公章后，合同正式生效。</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31．其它费用</w:t>
      </w:r>
    </w:p>
    <w:p>
      <w:pPr>
        <w:pStyle w:val="28"/>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32．腐败与欺诈行为</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在招标和合同实施期间，招标人要求投标人和承包人遵守最高的道德标准。</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32．1对本条款的规定，特定义如下词汇：</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1）、“腐败行为”是指在招标或合同执行期间，通过提供、给予、接受或索要任何有价值的东西，从而影响招标人有关人员工作的行为；</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32．2如果投标人被认定在本招标的竞争中有腐败或欺诈行为，则会被取消投标资格。</w:t>
      </w:r>
    </w:p>
    <w:p>
      <w:pPr>
        <w:pStyle w:val="28"/>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rPr>
          <w:color w:val="auto"/>
          <w:highlight w:val="none"/>
        </w:rPr>
      </w:pPr>
    </w:p>
    <w:p>
      <w:pPr>
        <w:pStyle w:val="2"/>
        <w:snapToGrid w:val="0"/>
        <w:spacing w:before="0" w:after="0"/>
        <w:jc w:val="center"/>
        <w:rPr>
          <w:rFonts w:ascii="宋体" w:hAnsi="宋体" w:cs="宋体"/>
          <w:color w:val="auto"/>
          <w:sz w:val="32"/>
          <w:szCs w:val="32"/>
          <w:highlight w:val="none"/>
        </w:rPr>
      </w:pPr>
      <w:r>
        <w:rPr>
          <w:rFonts w:hint="eastAsia" w:ascii="宋体" w:hAnsi="宋体" w:cs="宋体"/>
          <w:color w:val="auto"/>
          <w:sz w:val="24"/>
          <w:szCs w:val="24"/>
          <w:highlight w:val="none"/>
        </w:rPr>
        <w:br w:type="page"/>
      </w:r>
      <w:bookmarkStart w:id="16" w:name="_Toc12835"/>
      <w:r>
        <w:rPr>
          <w:rFonts w:hint="eastAsia" w:ascii="宋体" w:hAnsi="宋体" w:cs="宋体"/>
          <w:bCs/>
          <w:color w:val="auto"/>
          <w:sz w:val="32"/>
          <w:szCs w:val="32"/>
          <w:highlight w:val="none"/>
        </w:rPr>
        <w:t>第二章</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开标、评标及定标办法</w:t>
      </w:r>
      <w:bookmarkEnd w:id="16"/>
    </w:p>
    <w:p>
      <w:pPr>
        <w:pStyle w:val="4"/>
        <w:snapToGrid w:val="0"/>
        <w:spacing w:before="0" w:after="0" w:line="360" w:lineRule="auto"/>
        <w:ind w:left="0"/>
        <w:rPr>
          <w:rFonts w:ascii="宋体" w:hAnsi="宋体" w:cs="宋体"/>
          <w:color w:val="auto"/>
          <w:sz w:val="32"/>
          <w:szCs w:val="32"/>
          <w:highlight w:val="none"/>
        </w:rPr>
      </w:pPr>
      <w:bookmarkStart w:id="17" w:name="_Toc20882"/>
      <w:r>
        <w:rPr>
          <w:rFonts w:hint="eastAsia" w:ascii="宋体" w:hAnsi="宋体" w:cs="宋体"/>
          <w:color w:val="auto"/>
          <w:sz w:val="32"/>
          <w:szCs w:val="32"/>
          <w:highlight w:val="none"/>
        </w:rPr>
        <w:t>一、开标、评标及定标办法修改表</w:t>
      </w:r>
      <w:bookmarkEnd w:id="17"/>
    </w:p>
    <w:p>
      <w:pPr>
        <w:pStyle w:val="28"/>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hint="eastAsia" w:ascii="宋体" w:hAnsi="宋体" w:cs="宋体"/>
          <w:b/>
          <w:color w:val="auto"/>
          <w:sz w:val="21"/>
          <w:szCs w:val="21"/>
          <w:highlight w:val="none"/>
        </w:rPr>
        <w:t>http://zfcj.gz.gov.cn/</w:t>
      </w:r>
      <w:r>
        <w:rPr>
          <w:rStyle w:val="34"/>
          <w:rFonts w:hint="eastAsia" w:ascii="宋体" w:hAnsi="宋体" w:cs="宋体"/>
          <w:b/>
          <w:color w:val="auto"/>
          <w:sz w:val="21"/>
          <w:szCs w:val="21"/>
          <w:highlight w:val="none"/>
          <w:u w:val="none"/>
        </w:rPr>
        <w:t>）下载GZZB2018-3</w:t>
      </w:r>
      <w:r>
        <w:rPr>
          <w:rStyle w:val="34"/>
          <w:rFonts w:hint="eastAsia" w:ascii="宋体" w:hAnsi="宋体" w:cs="宋体"/>
          <w:b/>
          <w:color w:val="auto"/>
          <w:sz w:val="21"/>
          <w:szCs w:val="21"/>
          <w:highlight w:val="none"/>
          <w:u w:val="none"/>
        </w:rPr>
        <w:fldChar w:fldCharType="end"/>
      </w:r>
      <w:r>
        <w:rPr>
          <w:rFonts w:hint="eastAsia" w:ascii="宋体" w:hAnsi="宋体" w:cs="宋体"/>
          <w:b/>
          <w:color w:val="auto"/>
          <w:sz w:val="21"/>
          <w:szCs w:val="21"/>
          <w:highlight w:val="none"/>
        </w:rPr>
        <w:t>范本查阅。</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条款号：36.1            修改类型：修改</w:t>
      </w:r>
    </w:p>
    <w:p>
      <w:pPr>
        <w:snapToGrid w:val="0"/>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napToGrid w:val="0"/>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5"/>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条款号：36.5.1                      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进行解密。解密完成后，公布招标项目名称、投标人名称、投标报价、工期及其他内容；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条款号：36.5.3                      修改类型：修改</w:t>
      </w:r>
    </w:p>
    <w:p>
      <w:pP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pPr>
        <w:pBdr>
          <w:bottom w:val="single" w:color="auto" w:sz="6" w:space="1"/>
        </w:pBdr>
        <w:snapToGrid w:val="0"/>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条款号：37.2修改类型：增加</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37.2评标委员会在开始评标前，应了解评标专家的职责及守则，认真阅读附表七《评标委员会成员声明》的内容并签名，签字后方可进行评标。</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pPr>
        <w:snapToGrid w:val="0"/>
        <w:spacing w:line="360" w:lineRule="auto"/>
        <w:ind w:firstLine="472" w:firstLineChars="224"/>
        <w:rPr>
          <w:rFonts w:ascii="宋体" w:hAnsi="宋体" w:cs="宋体"/>
          <w:color w:val="auto"/>
          <w:sz w:val="24"/>
          <w:szCs w:val="24"/>
          <w:highlight w:val="none"/>
        </w:rPr>
      </w:pPr>
      <w:r>
        <w:rPr>
          <w:rFonts w:hint="eastAsia" w:ascii="宋体" w:hAnsi="宋体" w:cs="宋体"/>
          <w:b/>
          <w:color w:val="auto"/>
          <w:szCs w:val="21"/>
          <w:highlight w:val="none"/>
        </w:rPr>
        <w:t>条款号：39.3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cs="宋体"/>
          <w:bCs/>
          <w:color w:val="auto"/>
          <w:szCs w:val="21"/>
          <w:highlight w:val="none"/>
        </w:rPr>
        <w:t>排名第一的中标候选人放弃中标、</w:t>
      </w:r>
      <w:r>
        <w:rPr>
          <w:rFonts w:hint="eastAsia" w:ascii="宋体" w:hAnsi="宋体" w:cs="宋体"/>
          <w:color w:val="auto"/>
          <w:szCs w:val="21"/>
          <w:highlight w:val="none"/>
        </w:rPr>
        <w:t>或因不可抗力提出不能履行合同，或者招标文件规定应当提交履约担保而在规定的期限内未能提交的，</w:t>
      </w:r>
      <w:r>
        <w:rPr>
          <w:rFonts w:hint="eastAsia" w:ascii="宋体" w:hAnsi="宋体" w:cs="宋体"/>
          <w:bCs/>
          <w:color w:val="auto"/>
          <w:szCs w:val="21"/>
          <w:highlight w:val="none"/>
          <w:u w:val="single"/>
        </w:rPr>
        <w:t>或经核查发现委派的项目负责人已在其他在建项目中任本职的，或者被查实存在影响中标结果的违法行为等情形，不符合中标条件的，</w:t>
      </w:r>
      <w:r>
        <w:rPr>
          <w:rFonts w:hint="eastAsia" w:ascii="宋体" w:hAnsi="宋体" w:cs="宋体"/>
          <w:bCs/>
          <w:color w:val="auto"/>
          <w:szCs w:val="21"/>
          <w:highlight w:val="none"/>
        </w:rPr>
        <w:t>招标人可以确定排名第二的中标候选人为中标人。</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（二）开标评标办法程序和细则注：</w:t>
      </w:r>
      <w:r>
        <w:rPr>
          <w:rFonts w:hint="eastAsia" w:ascii="宋体" w:hAnsi="宋体" w:cs="宋体"/>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修改类型：修改</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综合评分法</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18"/>
          <w:szCs w:val="18"/>
          <w:highlight w:val="none"/>
        </w:rPr>
        <w:t>可选办法八（适合经评审的最低投标价法，技术标与经济标同时开启）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41.2.1投标截止期前，各投标人递交投标文件（包括技术标投标文件、经济标投标文件）至交易平台。有关投标文件提交的事项详见第一章投标须知。</w:t>
      </w:r>
    </w:p>
    <w:p>
      <w:pPr>
        <w:pBdr>
          <w:bottom w:val="single" w:color="auto" w:sz="6" w:space="1"/>
        </w:pBdr>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条款号：41.2.4.1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4" w:space="0"/>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一：评标委员会为综合评标委员会，负责资格审查及评标工作。评标委员会专家均由广东省综合评标评审专家库随机抽取，评标委员会人数为五人以上单数。</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条款号：43.6                     修改类型：修改</w:t>
      </w:r>
    </w:p>
    <w:p>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43.6资格审查合格的投标人少于3名的（当N个标段同时招标且不允许兼中时，资格审查合格的投标人少于N+2名），则本项目招标失败。</w:t>
      </w:r>
    </w:p>
    <w:p>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43.6</w:t>
      </w:r>
      <w:r>
        <w:rPr>
          <w:rFonts w:hint="eastAsia" w:ascii="宋体" w:hAnsi="宋体" w:cs="宋体"/>
          <w:color w:val="auto"/>
          <w:szCs w:val="21"/>
          <w:highlight w:val="none"/>
          <w:u w:val="single"/>
        </w:rPr>
        <w:t>若满足资格审查合格条件(投标人合格条件)的投标申请人不足3名，则重新招标。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条款号：44.1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若通过技术标有效性审查的投标人不足三家，则重新招标。</w:t>
      </w:r>
      <w:r>
        <w:rPr>
          <w:rFonts w:hint="eastAsia" w:ascii="宋体" w:hAnsi="宋体" w:cs="宋体"/>
          <w:color w:val="auto"/>
          <w:szCs w:val="21"/>
          <w:highlight w:val="none"/>
        </w:rPr>
        <w:t>评委发现投标文件中含义不明确、对同类问题表述不一致、有明显文字和计算错误的，应当要求投标人作必要的澄清、说明后再判定投标人是否通过有效性审查，不得直接否决投标。</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                     修改类型：修改</w:t>
      </w:r>
    </w:p>
    <w:p>
      <w:pPr>
        <w:pStyle w:val="28"/>
        <w:tabs>
          <w:tab w:val="left" w:pos="7380"/>
        </w:tabs>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45．经济标评审和得分汇总</w:t>
      </w:r>
    </w:p>
    <w:p>
      <w:pPr>
        <w:pStyle w:val="28"/>
        <w:tabs>
          <w:tab w:val="left" w:pos="7380"/>
        </w:tabs>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45.1若通过技术标有效性审查的投标人中所有投标报价均大于等于最高投标限价，则本项目招标失败，由招标人依法重新招标。</w:t>
      </w:r>
    </w:p>
    <w:p>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45.2</w:t>
      </w:r>
      <w:r>
        <w:rPr>
          <w:rFonts w:hint="eastAsia" w:ascii="宋体" w:hAnsi="宋体" w:cs="宋体"/>
          <w:b/>
          <w:bCs/>
          <w:color w:val="auto"/>
          <w:kern w:val="0"/>
          <w:szCs w:val="21"/>
          <w:highlight w:val="none"/>
        </w:rPr>
        <w:t>区间抽取法</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28"/>
        <w:tabs>
          <w:tab w:val="left" w:pos="7380"/>
        </w:tabs>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现文</w:t>
      </w:r>
      <w:r>
        <w:rPr>
          <w:rFonts w:hint="eastAsia" w:ascii="宋体" w:hAnsi="宋体" w:cs="宋体"/>
          <w:color w:val="auto"/>
          <w:sz w:val="21"/>
          <w:szCs w:val="21"/>
          <w:highlight w:val="none"/>
        </w:rPr>
        <w:t>：45．经济标评审和得分汇总</w:t>
      </w:r>
    </w:p>
    <w:p>
      <w:pPr>
        <w:pStyle w:val="28"/>
        <w:tabs>
          <w:tab w:val="left" w:pos="7380"/>
        </w:tabs>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45.1若通过技术标有效性审查的投标人中所有投标报价均大于等于最高投标限价，则本项目招标失败，由招标人依法重新招标。</w:t>
      </w:r>
    </w:p>
    <w:p>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45.2</w:t>
      </w:r>
      <w:r>
        <w:rPr>
          <w:rFonts w:hint="eastAsia" w:ascii="宋体" w:hAnsi="宋体" w:cs="宋体"/>
          <w:b/>
          <w:bCs/>
          <w:color w:val="auto"/>
          <w:kern w:val="0"/>
          <w:szCs w:val="21"/>
          <w:highlight w:val="none"/>
        </w:rPr>
        <w:t>区间抽取法</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技术标得分为80分</w:t>
      </w:r>
      <w:r>
        <w:rPr>
          <w:rFonts w:hint="eastAsia" w:ascii="宋体" w:hAnsi="宋体" w:cs="宋体"/>
          <w:color w:val="auto"/>
          <w:szCs w:val="21"/>
          <w:highlight w:val="none"/>
        </w:rPr>
        <w:t>），达到或超过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的投标人的报价方能参与评标参考价的计算。将达到或超过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的投标报价由低至高进行排列，按以下公式计算评标参考价，计算公式如下：</w:t>
      </w:r>
    </w:p>
    <w:p>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的投标人最低报价与工程成本警示价两者中的较高值；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每高于评标参考价1%，扣1.5分，每低于评标参考价1%，扣1分，扣至0分为止。根据第一章“投标人须知前附表”第41项规定实施经济标评审优惠政策(如有)。得出经济分，精确到小数点后两位。</w:t>
      </w:r>
    </w:p>
    <w:p>
      <w:pPr>
        <w:pBdr>
          <w:bottom w:val="single" w:color="auto" w:sz="6" w:space="1"/>
        </w:pBdr>
        <w:snapToGrid w:val="0"/>
        <w:spacing w:line="360" w:lineRule="auto"/>
        <w:ind w:firstLine="470" w:firstLineChars="224"/>
        <w:rPr>
          <w:rFonts w:ascii="宋体" w:hAnsi="宋体" w:cs="宋体"/>
          <w:strike/>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技术分×技术分权重＋经济分×经济分权重</w:t>
      </w:r>
      <w:r>
        <w:rPr>
          <w:rFonts w:hint="eastAsia" w:ascii="宋体" w:hAnsi="宋体" w:cs="宋体"/>
          <w:color w:val="auto"/>
          <w:szCs w:val="21"/>
          <w:highlight w:val="none"/>
        </w:rPr>
        <w:t>。</w:t>
      </w:r>
      <w:r>
        <w:rPr>
          <w:rFonts w:hint="eastAsia" w:ascii="宋体" w:hAnsi="宋体" w:cs="宋体"/>
          <w:color w:val="auto"/>
          <w:spacing w:val="-6"/>
          <w:szCs w:val="21"/>
          <w:highlight w:val="none"/>
        </w:rPr>
        <w:t>技术、经济得分权重按投标须知前附表的规定执行。总得分四舍五入保留两</w:t>
      </w:r>
      <w:r>
        <w:rPr>
          <w:rFonts w:hint="eastAsia" w:ascii="宋体" w:hAnsi="宋体" w:cs="宋体"/>
          <w:color w:val="auto"/>
          <w:szCs w:val="21"/>
          <w:highlight w:val="none"/>
        </w:rPr>
        <w:t>位小数。</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条款号：46.2.8                      修改类型：修改</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条款号：48                      修改类型：修改</w:t>
      </w:r>
    </w:p>
    <w:p>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48.评标委员会应在通过投标文件经济标有效性审查的投标人中，按步骤45.4确定的投标人</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排序，推荐前3名依次为第一中标候选人至第三中标候选人，并编制评标报告。</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49</w:t>
      </w:r>
      <w:r>
        <w:rPr>
          <w:rFonts w:hint="eastAsia" w:ascii="宋体" w:hAnsi="宋体" w:cs="宋体"/>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49若通过经济标有效性审查的投标人不足三家，应当依法重新招标。（当N个标段同时招标且不允许兼中时，若有效投标人不足N+2家，应当依法重新招标）</w:t>
      </w:r>
    </w:p>
    <w:p>
      <w:pPr>
        <w:pBdr>
          <w:bottom w:val="single" w:color="auto" w:sz="6" w:space="1"/>
        </w:pBdr>
        <w:snapToGrid w:val="0"/>
        <w:spacing w:line="360" w:lineRule="auto"/>
        <w:ind w:firstLine="420" w:firstLineChars="199"/>
        <w:rPr>
          <w:rFonts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：49</w:t>
      </w:r>
      <w:r>
        <w:rPr>
          <w:rFonts w:hint="eastAsia" w:ascii="宋体" w:hAnsi="宋体" w:cs="宋体"/>
          <w:color w:val="auto"/>
          <w:szCs w:val="21"/>
          <w:highlight w:val="none"/>
          <w:u w:val="single"/>
        </w:rPr>
        <w:t>若通过经济标有效性审查的投标人不足三家，应当依法重新招标。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条款号：附表四《技术标详细审查评分表》修改类型：修改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详见本招标文件第二章附表四《技术标详细审查评分表》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条款号：附表五（适用于加权平均法）《经济标评分表》修改类型：删除</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snapToGrid w:val="0"/>
        <w:spacing w:line="360" w:lineRule="auto"/>
        <w:rPr>
          <w:rFonts w:ascii="宋体" w:hAnsi="宋体" w:cs="宋体"/>
          <w:color w:val="auto"/>
          <w:highlight w:val="none"/>
        </w:rPr>
      </w:pPr>
      <w:r>
        <w:rPr>
          <w:rFonts w:hint="eastAsia" w:ascii="宋体" w:hAnsi="宋体" w:cs="宋体"/>
          <w:b/>
          <w:color w:val="auto"/>
          <w:szCs w:val="21"/>
          <w:highlight w:val="none"/>
        </w:rPr>
        <w:t>（以下无正文）</w:t>
      </w:r>
      <w:bookmarkStart w:id="18" w:name="_Toc2272556"/>
      <w:bookmarkStart w:id="19" w:name="_Toc5678"/>
      <w:bookmarkStart w:id="20" w:name="_Toc21525500"/>
      <w:bookmarkStart w:id="21" w:name="_Toc2272564"/>
      <w:r>
        <w:rPr>
          <w:rFonts w:hint="eastAsia" w:ascii="宋体" w:hAnsi="宋体" w:cs="宋体"/>
          <w:color w:val="auto"/>
          <w:highlight w:val="none"/>
        </w:rPr>
        <w:br w:type="page"/>
      </w:r>
    </w:p>
    <w:p>
      <w:pPr>
        <w:pStyle w:val="4"/>
        <w:snapToGrid w:val="0"/>
        <w:spacing w:before="0" w:after="0" w:line="360" w:lineRule="auto"/>
        <w:ind w:firstLine="525"/>
        <w:rPr>
          <w:rFonts w:ascii="宋体" w:hAnsi="宋体" w:cs="宋体"/>
          <w:color w:val="auto"/>
          <w:sz w:val="32"/>
          <w:szCs w:val="32"/>
          <w:highlight w:val="none"/>
        </w:rPr>
      </w:pPr>
      <w:r>
        <w:rPr>
          <w:rFonts w:hint="eastAsia" w:ascii="宋体" w:hAnsi="宋体" w:cs="宋体"/>
          <w:color w:val="auto"/>
          <w:sz w:val="32"/>
          <w:szCs w:val="32"/>
          <w:highlight w:val="none"/>
        </w:rPr>
        <w:t>二、开标、评标及定标办法通用条款</w:t>
      </w:r>
      <w:bookmarkEnd w:id="18"/>
      <w:bookmarkEnd w:id="19"/>
    </w:p>
    <w:p>
      <w:pPr>
        <w:pStyle w:val="6"/>
        <w:snapToGrid w:val="0"/>
        <w:spacing w:before="0" w:beforeAutospacing="0" w:after="0" w:afterAutospacing="0" w:line="360" w:lineRule="auto"/>
        <w:ind w:firstLine="542" w:firstLineChars="200"/>
        <w:rPr>
          <w:rFonts w:cs="宋体"/>
          <w:b/>
          <w:bCs/>
          <w:color w:val="auto"/>
          <w:highlight w:val="none"/>
        </w:rPr>
      </w:pPr>
      <w:bookmarkStart w:id="22" w:name="_Toc2272557"/>
      <w:bookmarkStart w:id="23" w:name="_Toc31373"/>
      <w:r>
        <w:rPr>
          <w:rFonts w:hint="eastAsia" w:cs="宋体"/>
          <w:b/>
          <w:bCs/>
          <w:color w:val="auto"/>
          <w:highlight w:val="none"/>
        </w:rPr>
        <w:t>（一）总则</w:t>
      </w:r>
      <w:bookmarkEnd w:id="22"/>
      <w:bookmarkEnd w:id="23"/>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35 开标、评标及定标所依据的规则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35.1《中华人民共和国招标投标法》；</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35.2《中华人民共和国招标投标法实施条例》；</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35.3《评标委员会和评标方法暂行规定》（七部委第12号令）</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35.4《工程建设项目施工招标投标办法》（七部委2003年第30号令）</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35.5《广东省实施〈中华人民共和国招标投标法〉办法》；</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35.6《房屋建筑和市政基础设施工程施工招标投标管理办法》（建设部令第89号）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35.7《财政部工业和信息化部关于印发〈政府采购促进中小企业发展管理办法〉的通知》（财库〔2020〕46号）；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35.8《广东省加强建设工程招标投标监督管理的若干规定》（粤发[2004]4号）；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35.9《广东省政府采购促进中小企业发展实施细则（试行）》；</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35.10《广州市工程建设项目招标投标管理办法》（穗建规字〔2023〕12号）；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35.11《广州市财政局广州市工业和信息化局转发广东省财政厅广东省发展和改革委员会广东省工业和信息化厅广东省地方金融监督管理局关于印发&lt;广东省政府采购促进中小企业发展实施细则（试行）&gt;的通知》（穗财采〔2023〕8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35.12本项目招标文件。</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36．开标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36.5按下列程序进行开标：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36.5.1在投标截止时间后</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36.5.2备用光盘的读取按投标须知前附表第36项的规定执行；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36.5.3投标人代表、招标人代表、监标人、记录人等有关人员在开标记录上签字确认；若有关人员不签字的，不影响开标程序；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36.5.4开标结束。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36.7开标时，两个（含两个）以上的投标人加密打包投标文件电脑机器特征码一致的，不参与下一程序，并由评标委员会否决其投标。</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37．评标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37.2评标委员会在开始评标前，应了解评标专家的职责及守则，认真阅读附表七《评标委员会成员声明》的内容并签名，签字后方可进行评标；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37.3评标委员会的职责及守则：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37.3.1根据评标细则，对</w:t>
      </w:r>
      <w:r>
        <w:rPr>
          <w:rFonts w:hint="eastAsia" w:ascii="宋体" w:hAnsi="宋体" w:cs="宋体"/>
          <w:color w:val="auto"/>
          <w:sz w:val="24"/>
          <w:highlight w:val="none"/>
        </w:rPr>
        <w:t>投标文件</w:t>
      </w:r>
      <w:r>
        <w:rPr>
          <w:rFonts w:hint="eastAsia" w:ascii="宋体" w:hAnsi="宋体" w:cs="宋体"/>
          <w:color w:val="auto"/>
          <w:sz w:val="24"/>
          <w:szCs w:val="24"/>
          <w:highlight w:val="none"/>
        </w:rPr>
        <w:t>进行认真评审，完成评审报告；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37.3.2向招标人报告评审意见，推荐合格的中标候选人。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37.3.3</w:t>
      </w:r>
      <w:r>
        <w:rPr>
          <w:rFonts w:hint="eastAsia" w:ascii="宋体" w:hAnsi="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37.3.4全体参与评标人员：</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37.3.4.1 必须遵守评标纪律、不得泄密；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37.3.4.2 必须公正、不得循私；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37.3.4.3 必须科学、不得草率；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37.3.4.4 必须客观、不得带有成见；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37.3.4.5 必须平等、不得强加于人；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37.3.4.6 必须严谨、不得随意马虎。</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37.5评标结束后，评标委员会递交评标报告并依法推荐中标候选人。</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38．投标文件的澄清</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napToGrid w:val="0"/>
        <w:spacing w:line="360" w:lineRule="auto"/>
        <w:ind w:firstLine="482" w:firstLineChars="200"/>
        <w:rPr>
          <w:rFonts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39．定标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6"/>
        <w:snapToGrid w:val="0"/>
        <w:spacing w:before="0" w:beforeAutospacing="0" w:after="0" w:afterAutospacing="0" w:line="360" w:lineRule="auto"/>
        <w:ind w:firstLine="542" w:firstLineChars="200"/>
        <w:rPr>
          <w:rFonts w:cs="宋体"/>
          <w:b/>
          <w:bCs/>
          <w:color w:val="auto"/>
          <w:highlight w:val="none"/>
        </w:rPr>
      </w:pPr>
      <w:bookmarkStart w:id="24" w:name="_Toc9740"/>
      <w:bookmarkStart w:id="25" w:name="_Toc2272558"/>
      <w:r>
        <w:rPr>
          <w:rFonts w:hint="eastAsia" w:cs="宋体"/>
          <w:b/>
          <w:bCs/>
          <w:color w:val="auto"/>
          <w:highlight w:val="none"/>
        </w:rPr>
        <w:t>（二）开标评标办法程序和细则</w:t>
      </w:r>
      <w:bookmarkEnd w:id="24"/>
      <w:bookmarkEnd w:id="25"/>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注：以下七种评标办法所述企业综合诚信评价分数即投标截止当日广州市工程招标代理行业协会网站上公布的企业综合诚信评价60日诚信分。</w:t>
      </w:r>
    </w:p>
    <w:p>
      <w:pPr>
        <w:pStyle w:val="6"/>
        <w:snapToGrid w:val="0"/>
        <w:spacing w:before="0" w:beforeAutospacing="0" w:after="0" w:afterAutospacing="0" w:line="360" w:lineRule="auto"/>
        <w:ind w:firstLine="480" w:firstLineChars="200"/>
        <w:rPr>
          <w:rFonts w:cs="宋体"/>
          <w:color w:val="auto"/>
          <w:sz w:val="24"/>
          <w:szCs w:val="24"/>
          <w:highlight w:val="none"/>
        </w:rPr>
      </w:pPr>
      <w:bookmarkStart w:id="26" w:name="_Toc3121"/>
      <w:r>
        <w:rPr>
          <w:rFonts w:hint="eastAsia" w:cs="宋体"/>
          <w:color w:val="auto"/>
          <w:sz w:val="24"/>
          <w:szCs w:val="24"/>
          <w:highlight w:val="none"/>
        </w:rPr>
        <w:t>可选办法七（适合综合评分法四，技术标与经济标同时开启）</w:t>
      </w:r>
      <w:bookmarkEnd w:id="26"/>
    </w:p>
    <w:p>
      <w:pPr>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40．开标和评标程序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40.5经济标详细审查评分；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41．开标细则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 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41.2.1投标截止期前，各投标人递交投标文件（包括技术标投标文件、经济标投标文件）至交易平台。有关投标文件提交的事项详见第一章投标须知。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41.2.4按36.5.1的规定完成解密后，公布下列内容，并予以记录，记录提交评标委员会评审：</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pPr>
        <w:pStyle w:val="28"/>
        <w:tabs>
          <w:tab w:val="left" w:pos="7380"/>
        </w:tabs>
        <w:snapToGrid w:val="0"/>
        <w:spacing w:after="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42. 资格审查及评标细则</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28"/>
        <w:tabs>
          <w:tab w:val="left" w:pos="7380"/>
        </w:tabs>
        <w:snapToGrid w:val="0"/>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Style w:val="28"/>
        <w:tabs>
          <w:tab w:val="left" w:pos="7380"/>
        </w:tabs>
        <w:snapToGrid w:val="0"/>
        <w:spacing w:after="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43．投标人资格审查</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pPr>
        <w:pStyle w:val="28"/>
        <w:tabs>
          <w:tab w:val="left" w:pos="7380"/>
        </w:tabs>
        <w:snapToGrid w:val="0"/>
        <w:spacing w:after="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44．技术标评审</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28"/>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45．经济标评审和得分汇总</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45.1若通过技术标有效性审查的投标人中所有投标报价均大于等于最高投标限价，则本项目招标失败，由招标人依法重新招标。</w:t>
      </w:r>
    </w:p>
    <w:p>
      <w:pPr>
        <w:widowControl/>
        <w:snapToGrid w:val="0"/>
        <w:spacing w:line="360" w:lineRule="auto"/>
        <w:ind w:firstLine="480" w:firstLineChars="200"/>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45.2</w:t>
      </w:r>
      <w:r>
        <w:rPr>
          <w:rFonts w:hint="eastAsia" w:ascii="宋体" w:hAnsi="宋体" w:cs="宋体"/>
          <w:b/>
          <w:bCs/>
          <w:color w:val="auto"/>
          <w:kern w:val="0"/>
          <w:sz w:val="24"/>
          <w:szCs w:val="24"/>
          <w:highlight w:val="none"/>
        </w:rPr>
        <w:t>区间抽取法</w:t>
      </w:r>
    </w:p>
    <w:p>
      <w:pPr>
        <w:widowControl/>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pPr>
        <w:widowControl/>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X:为等分点值，在开标前从[0,100]整数中随机抽取</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28"/>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28"/>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46.经济标的有效性审查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46.2经济标的算术校核。评标委员会对进行经济标有效性审查的投标文件投标报价按照就低不就高的原则进行算术校核，具体标准如下：</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46.2.2经算术复核的投标人报价与其投标报价不一致时，按就低不就高原则确定其最终报价；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46.2.4当合价、金额累加错误时，按就低不就高原则，如果累加修正值小于原累加值，则按累加修正值；如果累加修正值大于原累加值，则按原累加值；</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46.2.5如果投标人的有关规费、暂列金额、暂估价、绿色施工安全防护措施费等未按招标文件规定的金额填写的，由评标委员会按照招标文件规定的金额进行修正；</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20"/>
    <w:bookmarkEnd w:id="21"/>
    <w:p>
      <w:pPr>
        <w:snapToGrid w:val="0"/>
        <w:spacing w:line="360" w:lineRule="auto"/>
        <w:rPr>
          <w:rFonts w:ascii="宋体" w:hAnsi="宋体" w:cs="宋体"/>
          <w:color w:val="auto"/>
          <w:szCs w:val="21"/>
          <w:highlight w:val="none"/>
        </w:rPr>
      </w:pPr>
    </w:p>
    <w:p>
      <w:pPr>
        <w:widowControl/>
        <w:snapToGrid w:val="0"/>
        <w:spacing w:line="360" w:lineRule="auto"/>
        <w:ind w:right="102"/>
        <w:jc w:val="left"/>
        <w:rPr>
          <w:rFonts w:ascii="宋体" w:hAnsi="宋体" w:cs="宋体"/>
          <w:color w:val="auto"/>
          <w:szCs w:val="21"/>
          <w:highlight w:val="none"/>
        </w:rPr>
        <w:sectPr>
          <w:footerReference r:id="rId10" w:type="first"/>
          <w:footerReference r:id="rId9" w:type="default"/>
          <w:endnotePr>
            <w:numFmt w:val="decimal"/>
          </w:endnotePr>
          <w:pgSz w:w="11906" w:h="16838"/>
          <w:pgMar w:top="1440" w:right="1440" w:bottom="1440" w:left="1440" w:header="851" w:footer="907" w:gutter="0"/>
          <w:pgNumType w:start="1"/>
          <w:cols w:space="720" w:num="1"/>
          <w:docGrid w:type="lines" w:linePitch="312" w:charSpace="0"/>
        </w:sectPr>
      </w:pPr>
    </w:p>
    <w:p>
      <w:pPr>
        <w:widowControl/>
        <w:snapToGrid w:val="0"/>
        <w:spacing w:line="360" w:lineRule="auto"/>
        <w:ind w:right="102"/>
        <w:jc w:val="left"/>
        <w:rPr>
          <w:rFonts w:ascii="宋体" w:hAnsi="宋体" w:cs="宋体"/>
          <w:color w:val="auto"/>
          <w:szCs w:val="21"/>
          <w:highlight w:val="none"/>
        </w:rPr>
      </w:pPr>
      <w:r>
        <w:rPr>
          <w:rFonts w:hint="eastAsia" w:ascii="宋体" w:hAnsi="宋体" w:cs="宋体"/>
          <w:color w:val="auto"/>
          <w:szCs w:val="21"/>
          <w:highlight w:val="none"/>
        </w:rPr>
        <w:t>附表一：</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576"/>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、法定代表人证明书</w:t>
            </w:r>
            <w:r>
              <w:rPr>
                <w:rFonts w:hint="eastAsia" w:ascii="宋体" w:hAnsi="宋体" w:cs="宋体"/>
                <w:color w:val="auto"/>
                <w:szCs w:val="21"/>
                <w:highlight w:val="none"/>
                <w:u w:val="single"/>
              </w:rPr>
              <w:t>扫描件</w:t>
            </w:r>
            <w:r>
              <w:rPr>
                <w:rFonts w:hint="eastAsia" w:ascii="宋体" w:hAnsi="宋体" w:cs="宋体"/>
                <w:color w:val="auto"/>
                <w:szCs w:val="21"/>
                <w:highlight w:val="none"/>
              </w:rPr>
              <w:t>；委托投标的还应提供法人授权委托证明书</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投标人具有独立法人资格，按国家法律经营；</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营业执照扫描</w:t>
            </w:r>
            <w:r>
              <w:rPr>
                <w:rFonts w:hint="eastAsia" w:ascii="宋体" w:hAnsi="宋体" w:cs="宋体"/>
                <w:color w:val="auto"/>
                <w:highlight w:val="none"/>
              </w:rPr>
              <w:t>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投标人持有建设行政主管部门颁发的</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企业资质证书及安全生产许可证；投标人资质符合公告要求；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资质证书扫描件或电子证照，或符合招标公告规定的相关证明材料（如有）；安全生产许可证</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使用有效期内的注册建造师注册证书扫描件或电子证照。</w:t>
            </w: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u w:val="none"/>
              </w:rPr>
              <w:t>递交的注册建造师注册证书须符合招标公告第九条第4款注②的规定</w:t>
            </w:r>
            <w:r>
              <w:rPr>
                <w:rFonts w:hint="eastAsia" w:ascii="宋体" w:hAnsi="宋体" w:eastAsia="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项目负责人安全生产考核合格证（B类）或建筑施工企业项目负责人安全生产考核合格证；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u w:val="single"/>
              </w:rPr>
              <w:t>扫描件或电子证照。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u w:val="single"/>
              </w:rPr>
              <w:t>拟委派技术负责人的职称证书扫描件。职称证书应以人社部门或者在人社部门核准备案的职称评审委员会或人社部门授权具备颁发资格的机构（或单位）颁发的为准</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安全生产考核合格证（C证）或建筑施工企业专职安全生产管理人员安全生产考核合格证（C3）；</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8</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9</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10</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Style w:val="37"/>
                <w:rFonts w:hint="default" w:cs="宋体"/>
                <w:color w:val="auto"/>
                <w:sz w:val="21"/>
                <w:szCs w:val="21"/>
                <w:highlight w:val="none"/>
              </w:rPr>
              <w:t>关于联合体投标：本项目不接受联合体投标；</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trike/>
                <w:color w:val="auto"/>
                <w:szCs w:val="21"/>
                <w:highlight w:val="none"/>
                <w:u w:val="single"/>
              </w:rPr>
            </w:pPr>
            <w:r>
              <w:rPr>
                <w:rFonts w:hint="eastAsia" w:ascii="宋体" w:hAnsi="宋体" w:cs="宋体"/>
                <w:color w:val="auto"/>
                <w:szCs w:val="21"/>
                <w:highlight w:val="none"/>
                <w:u w:val="single"/>
              </w:rPr>
              <w:t>投标人没有以联合体投标登记。本项没有须审查的资料。</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11</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资格审查前，投标人须在广州交易集团有限公司（广州公共资源交易中心）企业库办理企业信息登记及拟担任本工程项目负责人、专职安全员须是本企业信息登记中的在册人员；</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u w:val="single"/>
              </w:rPr>
              <w:t>投标人无需提供证明资料</w:t>
            </w:r>
            <w:r>
              <w:rPr>
                <w:rFonts w:hint="eastAsia" w:ascii="宋体" w:hAnsi="宋体" w:cs="宋体"/>
                <w:bCs/>
                <w:color w:val="auto"/>
                <w:szCs w:val="21"/>
                <w:highlight w:val="none"/>
                <w:u w:val="single"/>
              </w:rPr>
              <w:t>。</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12</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13</w:t>
            </w:r>
          </w:p>
        </w:tc>
        <w:tc>
          <w:tcPr>
            <w:tcW w:w="65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p>
        </w:tc>
        <w:tc>
          <w:tcPr>
            <w:tcW w:w="63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投标人无需提供资料，按投标截止时间广州交易集团有限公司（广州公共资源交易中心）交易系统比对的结果进行评审。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bl>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备注：1、每一项目符合的打“○”，不符合的打“×”；</w:t>
      </w:r>
    </w:p>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napToGrid w:val="0"/>
        <w:spacing w:line="360" w:lineRule="auto"/>
        <w:ind w:firstLine="470" w:firstLineChars="224"/>
        <w:rPr>
          <w:rFonts w:ascii="宋体" w:hAnsi="宋体" w:cs="宋体"/>
          <w:color w:val="auto"/>
          <w:szCs w:val="21"/>
          <w:highlight w:val="none"/>
        </w:rPr>
      </w:pP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highlight w:val="none"/>
        </w:rPr>
        <w:sectPr>
          <w:endnotePr>
            <w:numFmt w:val="decimal"/>
          </w:endnotePr>
          <w:pgSz w:w="16838" w:h="11906" w:orient="landscape"/>
          <w:pgMar w:top="1361" w:right="1247" w:bottom="1361" w:left="1247" w:header="851" w:footer="907" w:gutter="0"/>
          <w:cols w:space="720" w:num="1"/>
          <w:titlePg/>
          <w:docGrid w:type="linesAndChars" w:linePitch="312" w:charSpace="0"/>
        </w:sect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附表二</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tcPr>
          <w:p>
            <w:pPr>
              <w:adjustRightInd w:val="0"/>
              <w:snapToGrid w:val="0"/>
              <w:spacing w:line="360" w:lineRule="auto"/>
              <w:ind w:firstLine="8400" w:firstLineChars="4000"/>
              <w:rPr>
                <w:rFonts w:ascii="宋体" w:hAnsi="宋体" w:cs="宋体"/>
                <w:color w:val="auto"/>
                <w:szCs w:val="21"/>
                <w:highlight w:val="none"/>
              </w:rPr>
            </w:pPr>
            <w:r>
              <w:rPr>
                <w:rFonts w:hint="eastAsia" w:ascii="宋体" w:hAnsi="宋体" w:cs="宋体"/>
                <w:color w:val="auto"/>
                <w:szCs w:val="21"/>
                <w:highlight w:val="none"/>
              </w:rPr>
              <w:t>投标人</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中小企业声明函》（如有）《分包意向协议书》（如有）《项目负责人驻场承诺书》《响应招标文件所附施工组织设计要点的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bl>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3.凡出现以上任何一项情形，结论均为无效，否则就为有效。4.如对本表中某种情形的评审意见不一致时，以评标委员会过半数成员的意见作为评标委员会对该情形的认定结论。</w:t>
      </w: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pPr>
        <w:snapToGrid w:val="0"/>
        <w:spacing w:line="360" w:lineRule="auto"/>
        <w:ind w:firstLine="470" w:firstLineChars="224"/>
        <w:rPr>
          <w:rFonts w:ascii="宋体" w:hAnsi="宋体" w:cs="宋体"/>
          <w:color w:val="auto"/>
          <w:szCs w:val="21"/>
          <w:highlight w:val="none"/>
        </w:rPr>
      </w:pP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附表三</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tcPr>
          <w:p>
            <w:pPr>
              <w:snapToGrid w:val="0"/>
              <w:spacing w:line="360" w:lineRule="auto"/>
              <w:ind w:firstLine="7350" w:firstLineChars="3500"/>
              <w:rPr>
                <w:rFonts w:ascii="宋体" w:hAnsi="宋体" w:cs="宋体"/>
                <w:color w:val="auto"/>
                <w:szCs w:val="21"/>
                <w:highlight w:val="none"/>
              </w:rPr>
            </w:pPr>
            <w:r>
              <w:rPr>
                <w:rFonts w:hint="eastAsia" w:ascii="宋体" w:hAnsi="宋体" w:cs="宋体"/>
                <w:color w:val="auto"/>
                <w:szCs w:val="21"/>
                <w:highlight w:val="none"/>
              </w:rPr>
              <w:t>投标人</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86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bl>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snapToGrid w:val="0"/>
        <w:spacing w:line="360" w:lineRule="auto"/>
        <w:ind w:firstLine="458"/>
        <w:rPr>
          <w:rFonts w:ascii="宋体" w:hAnsi="宋体" w:cs="宋体"/>
          <w:b/>
          <w:bCs/>
          <w:color w:val="auto"/>
          <w:szCs w:val="21"/>
          <w:highlight w:val="none"/>
        </w:rPr>
      </w:pPr>
      <w:r>
        <w:rPr>
          <w:rFonts w:hint="eastAsia" w:ascii="宋体" w:hAnsi="宋体" w:cs="宋体"/>
          <w:b/>
          <w:bCs/>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pPr>
        <w:snapToGrid w:val="0"/>
        <w:spacing w:line="360" w:lineRule="auto"/>
        <w:ind w:firstLine="470" w:firstLineChars="224"/>
        <w:rPr>
          <w:rFonts w:ascii="宋体" w:hAnsi="宋体" w:cs="宋体"/>
          <w:color w:val="auto"/>
          <w:szCs w:val="21"/>
          <w:highlight w:val="none"/>
        </w:rPr>
      </w:pPr>
    </w:p>
    <w:p>
      <w:pPr>
        <w:pStyle w:val="5"/>
        <w:snapToGrid w:val="0"/>
        <w:spacing w:line="360" w:lineRule="auto"/>
        <w:rPr>
          <w:rFonts w:ascii="宋体" w:hAnsi="宋体" w:cs="宋体"/>
          <w:color w:val="auto"/>
          <w:sz w:val="24"/>
          <w:szCs w:val="24"/>
          <w:highlight w:val="none"/>
        </w:rPr>
      </w:pPr>
    </w:p>
    <w:p>
      <w:pPr>
        <w:snapToGrid w:val="0"/>
        <w:spacing w:line="360" w:lineRule="auto"/>
        <w:jc w:val="left"/>
        <w:rPr>
          <w:rFonts w:ascii="宋体" w:hAnsi="宋体" w:cs="宋体"/>
          <w:b/>
          <w:bCs/>
          <w:color w:val="auto"/>
          <w:sz w:val="24"/>
          <w:szCs w:val="24"/>
          <w:highlight w:val="none"/>
        </w:rPr>
        <w:sectPr>
          <w:footerReference r:id="rId11" w:type="default"/>
          <w:pgSz w:w="16840" w:h="11907" w:orient="landscape"/>
          <w:pgMar w:top="1418" w:right="1247" w:bottom="1418" w:left="1247" w:header="851" w:footer="992" w:gutter="0"/>
          <w:cols w:space="720" w:num="1"/>
          <w:docGrid w:type="lines" w:linePitch="312" w:charSpace="0"/>
        </w:sectPr>
      </w:pPr>
    </w:p>
    <w:p>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附表四</w:t>
      </w:r>
    </w:p>
    <w:p>
      <w:pPr>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tbl>
      <w:tblPr>
        <w:tblStyle w:val="30"/>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51"/>
        <w:gridCol w:w="930"/>
        <w:gridCol w:w="873"/>
        <w:gridCol w:w="1086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7" w:type="dxa"/>
            <w:tcBorders>
              <w:top w:val="single" w:color="auto" w:sz="8" w:space="0"/>
              <w:left w:val="single" w:color="auto" w:sz="8" w:space="0"/>
              <w:bottom w:val="single" w:color="auto" w:sz="4" w:space="0"/>
              <w:right w:val="single" w:color="auto" w:sz="4" w:space="0"/>
            </w:tcBorders>
            <w:vAlign w:val="center"/>
          </w:tcPr>
          <w:p>
            <w:pPr>
              <w:pStyle w:val="38"/>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781" w:type="dxa"/>
            <w:gridSpan w:val="2"/>
            <w:tcBorders>
              <w:top w:val="single" w:color="auto" w:sz="8" w:space="0"/>
              <w:left w:val="single" w:color="auto" w:sz="4" w:space="0"/>
              <w:bottom w:val="single" w:color="auto" w:sz="4" w:space="0"/>
              <w:right w:val="single" w:color="auto" w:sz="4" w:space="0"/>
            </w:tcBorders>
            <w:vAlign w:val="center"/>
          </w:tcPr>
          <w:p>
            <w:pPr>
              <w:pStyle w:val="38"/>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873" w:type="dxa"/>
            <w:tcBorders>
              <w:top w:val="single" w:color="auto" w:sz="8" w:space="0"/>
              <w:left w:val="single" w:color="auto" w:sz="4" w:space="0"/>
              <w:bottom w:val="single" w:color="auto" w:sz="4" w:space="0"/>
              <w:right w:val="single" w:color="auto" w:sz="4" w:space="0"/>
            </w:tcBorders>
            <w:vAlign w:val="center"/>
          </w:tcPr>
          <w:p>
            <w:pPr>
              <w:pStyle w:val="38"/>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0860" w:type="dxa"/>
            <w:tcBorders>
              <w:top w:val="single" w:color="auto" w:sz="8" w:space="0"/>
              <w:left w:val="single" w:color="auto" w:sz="4" w:space="0"/>
              <w:bottom w:val="single" w:color="auto" w:sz="4" w:space="0"/>
              <w:right w:val="single" w:color="auto" w:sz="4" w:space="0"/>
            </w:tcBorders>
            <w:vAlign w:val="center"/>
          </w:tcPr>
          <w:p>
            <w:pPr>
              <w:pStyle w:val="38"/>
              <w:ind w:firstLine="422" w:firstLineChars="200"/>
              <w:jc w:val="cente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restart"/>
            <w:tcBorders>
              <w:left w:val="single" w:color="auto" w:sz="8" w:space="0"/>
              <w:right w:val="single" w:color="auto" w:sz="4" w:space="0"/>
            </w:tcBorders>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一、项目组织管理机构能力（78分）</w:t>
            </w:r>
          </w:p>
        </w:tc>
        <w:tc>
          <w:tcPr>
            <w:tcW w:w="851" w:type="dxa"/>
            <w:vMerge w:val="restart"/>
            <w:tcBorders>
              <w:left w:val="single" w:color="auto" w:sz="4" w:space="0"/>
              <w:right w:val="single" w:color="auto" w:sz="4" w:space="0"/>
            </w:tcBorders>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项目管理机构</w:t>
            </w:r>
          </w:p>
        </w:tc>
        <w:tc>
          <w:tcPr>
            <w:tcW w:w="930" w:type="dxa"/>
            <w:tcBorders>
              <w:left w:val="single" w:color="auto" w:sz="4" w:space="0"/>
              <w:right w:val="single" w:color="auto" w:sz="4" w:space="0"/>
            </w:tcBorders>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r>
              <w:rPr>
                <w:rFonts w:hint="eastAsia" w:ascii="宋体" w:hAnsi="宋体" w:cs="宋体"/>
                <w:color w:val="auto"/>
                <w:szCs w:val="21"/>
                <w:highlight w:val="none"/>
              </w:rPr>
              <w:t>负责人</w:t>
            </w:r>
          </w:p>
        </w:tc>
        <w:tc>
          <w:tcPr>
            <w:tcW w:w="873" w:type="dxa"/>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从业能力：</w:t>
            </w:r>
            <w:r>
              <w:rPr>
                <w:rFonts w:hint="eastAsia"/>
                <w:color w:val="auto"/>
                <w:highlight w:val="none"/>
              </w:rPr>
              <w:t>①</w:t>
            </w:r>
            <w:r>
              <w:rPr>
                <w:rFonts w:hint="eastAsia" w:ascii="宋体" w:hAnsi="宋体" w:cs="宋体"/>
                <w:color w:val="auto"/>
                <w:szCs w:val="21"/>
                <w:highlight w:val="none"/>
              </w:rPr>
              <w:t>具有市政公用工程类专业中级或以上技术职称，得20分。</w:t>
            </w:r>
          </w:p>
          <w:p>
            <w:pPr>
              <w:ind w:left="1208" w:leftChars="475" w:hanging="210" w:hangingChars="100"/>
              <w:rPr>
                <w:rFonts w:ascii="宋体" w:hAnsi="宋体" w:cs="宋体"/>
                <w:color w:val="auto"/>
                <w:szCs w:val="21"/>
                <w:highlight w:val="none"/>
              </w:rPr>
            </w:pPr>
            <w:r>
              <w:rPr>
                <w:rFonts w:hint="eastAsia" w:ascii="宋体" w:hAnsi="宋体" w:cs="宋体"/>
                <w:color w:val="auto"/>
                <w:szCs w:val="21"/>
                <w:highlight w:val="none"/>
              </w:rPr>
              <w:t>②业绩：自</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年1月1日至今完成过质量合格的且工程造价金额大于或等于</w:t>
            </w:r>
            <w:r>
              <w:rPr>
                <w:rFonts w:hint="eastAsia" w:ascii="宋体" w:hAnsi="宋体" w:cs="宋体"/>
                <w:color w:val="auto"/>
                <w:szCs w:val="21"/>
                <w:highlight w:val="none"/>
                <w:u w:val="single"/>
                <w:lang w:val="en-US" w:eastAsia="zh-CN"/>
              </w:rPr>
              <w:t>1300</w:t>
            </w:r>
            <w:r>
              <w:rPr>
                <w:rFonts w:hint="eastAsia" w:ascii="宋体" w:hAnsi="宋体" w:cs="宋体"/>
                <w:color w:val="auto"/>
                <w:szCs w:val="21"/>
                <w:highlight w:val="none"/>
              </w:rPr>
              <w:t>万元的【市政公用】工程施工总承包或工程总承包施工部分业绩，得</w:t>
            </w:r>
            <w:r>
              <w:rPr>
                <w:rFonts w:hint="eastAsia" w:ascii="宋体" w:hAnsi="宋体" w:cs="宋体"/>
                <w:color w:val="auto"/>
                <w:szCs w:val="21"/>
                <w:highlight w:val="none"/>
                <w:u w:val="single"/>
              </w:rPr>
              <w:t>8</w:t>
            </w:r>
            <w:r>
              <w:rPr>
                <w:rFonts w:hint="eastAsia" w:ascii="宋体" w:hAnsi="宋体"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continue"/>
            <w:tcBorders>
              <w:left w:val="single" w:color="auto" w:sz="8" w:space="0"/>
              <w:right w:val="single" w:color="auto" w:sz="4" w:space="0"/>
            </w:tcBorders>
          </w:tcPr>
          <w:p>
            <w:pPr>
              <w:spacing w:line="280" w:lineRule="exact"/>
              <w:rPr>
                <w:rFonts w:ascii="宋体" w:hAnsi="宋体" w:cs="宋体"/>
                <w:color w:val="auto"/>
                <w:szCs w:val="21"/>
                <w:highlight w:val="none"/>
              </w:rPr>
            </w:pPr>
          </w:p>
        </w:tc>
        <w:tc>
          <w:tcPr>
            <w:tcW w:w="851" w:type="dxa"/>
            <w:vMerge w:val="continue"/>
            <w:tcBorders>
              <w:left w:val="single" w:color="auto" w:sz="4" w:space="0"/>
              <w:right w:val="single" w:color="auto" w:sz="4" w:space="0"/>
            </w:tcBorders>
          </w:tcPr>
          <w:p>
            <w:pPr>
              <w:widowControl/>
              <w:spacing w:line="280" w:lineRule="exact"/>
              <w:jc w:val="left"/>
              <w:rPr>
                <w:rFonts w:ascii="宋体" w:hAnsi="宋体" w:cs="宋体"/>
                <w:color w:val="auto"/>
                <w:kern w:val="0"/>
                <w:szCs w:val="21"/>
                <w:highlight w:val="none"/>
              </w:rPr>
            </w:pPr>
          </w:p>
        </w:tc>
        <w:tc>
          <w:tcPr>
            <w:tcW w:w="930" w:type="dxa"/>
            <w:tcBorders>
              <w:left w:val="single" w:color="auto" w:sz="4" w:space="0"/>
              <w:right w:val="single" w:color="auto" w:sz="4" w:space="0"/>
            </w:tcBorders>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szCs w:val="21"/>
                <w:highlight w:val="none"/>
              </w:rPr>
              <w:t>技术负责人</w:t>
            </w:r>
          </w:p>
        </w:tc>
        <w:tc>
          <w:tcPr>
            <w:tcW w:w="873" w:type="dxa"/>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从业能力：具有市政公用工程类专业高级或以上技术职称，得20分。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continue"/>
            <w:tcBorders>
              <w:left w:val="single" w:color="auto" w:sz="8" w:space="0"/>
              <w:right w:val="single" w:color="auto" w:sz="4" w:space="0"/>
            </w:tcBorders>
          </w:tcPr>
          <w:p>
            <w:pPr>
              <w:spacing w:line="280" w:lineRule="exact"/>
              <w:rPr>
                <w:rFonts w:ascii="宋体" w:hAnsi="宋体" w:cs="宋体"/>
                <w:color w:val="auto"/>
                <w:szCs w:val="21"/>
                <w:highlight w:val="none"/>
              </w:rPr>
            </w:pPr>
          </w:p>
        </w:tc>
        <w:tc>
          <w:tcPr>
            <w:tcW w:w="851" w:type="dxa"/>
            <w:vMerge w:val="continue"/>
            <w:tcBorders>
              <w:left w:val="single" w:color="auto" w:sz="4" w:space="0"/>
              <w:right w:val="single" w:color="auto" w:sz="4" w:space="0"/>
            </w:tcBorders>
          </w:tcPr>
          <w:p>
            <w:pPr>
              <w:widowControl/>
              <w:spacing w:line="280" w:lineRule="exact"/>
              <w:jc w:val="left"/>
              <w:rPr>
                <w:rFonts w:ascii="宋体" w:hAnsi="宋体" w:cs="宋体"/>
                <w:color w:val="auto"/>
                <w:kern w:val="0"/>
                <w:szCs w:val="21"/>
                <w:highlight w:val="none"/>
              </w:rPr>
            </w:pPr>
          </w:p>
        </w:tc>
        <w:tc>
          <w:tcPr>
            <w:tcW w:w="930" w:type="dxa"/>
            <w:tcBorders>
              <w:left w:val="single" w:color="auto" w:sz="4" w:space="0"/>
              <w:right w:val="single" w:color="auto" w:sz="4" w:space="0"/>
            </w:tcBorders>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szCs w:val="21"/>
                <w:highlight w:val="none"/>
              </w:rPr>
              <w:t>质量负责人</w:t>
            </w:r>
          </w:p>
        </w:tc>
        <w:tc>
          <w:tcPr>
            <w:tcW w:w="873" w:type="dxa"/>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从业能力：具有市政公用工程类专业中级或以上技术职称，得10分。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continue"/>
            <w:tcBorders>
              <w:left w:val="single" w:color="auto" w:sz="8" w:space="0"/>
              <w:right w:val="single" w:color="auto" w:sz="4" w:space="0"/>
            </w:tcBorders>
          </w:tcPr>
          <w:p>
            <w:pPr>
              <w:spacing w:line="280" w:lineRule="exact"/>
              <w:rPr>
                <w:rFonts w:ascii="宋体" w:hAnsi="宋体" w:cs="宋体"/>
                <w:color w:val="auto"/>
                <w:szCs w:val="21"/>
                <w:highlight w:val="none"/>
              </w:rPr>
            </w:pPr>
          </w:p>
        </w:tc>
        <w:tc>
          <w:tcPr>
            <w:tcW w:w="851" w:type="dxa"/>
            <w:vMerge w:val="continue"/>
            <w:tcBorders>
              <w:left w:val="single" w:color="auto" w:sz="4" w:space="0"/>
              <w:right w:val="single" w:color="auto" w:sz="4" w:space="0"/>
            </w:tcBorders>
          </w:tcPr>
          <w:p>
            <w:pPr>
              <w:widowControl/>
              <w:spacing w:line="280" w:lineRule="exact"/>
              <w:jc w:val="left"/>
              <w:rPr>
                <w:rFonts w:ascii="宋体" w:hAnsi="宋体" w:cs="宋体"/>
                <w:color w:val="auto"/>
                <w:kern w:val="0"/>
                <w:szCs w:val="21"/>
                <w:highlight w:val="none"/>
              </w:rPr>
            </w:pPr>
          </w:p>
        </w:tc>
        <w:tc>
          <w:tcPr>
            <w:tcW w:w="930" w:type="dxa"/>
            <w:tcBorders>
              <w:left w:val="single" w:color="auto" w:sz="4" w:space="0"/>
              <w:right w:val="single" w:color="auto" w:sz="4" w:space="0"/>
            </w:tcBorders>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szCs w:val="21"/>
                <w:highlight w:val="none"/>
              </w:rPr>
              <w:t>安全负责人</w:t>
            </w:r>
          </w:p>
        </w:tc>
        <w:tc>
          <w:tcPr>
            <w:tcW w:w="873" w:type="dxa"/>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从业能力：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管理人员安全生产考核合格证书（C3），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continue"/>
            <w:tcBorders>
              <w:left w:val="single" w:color="auto" w:sz="8" w:space="0"/>
              <w:right w:val="single" w:color="auto" w:sz="4" w:space="0"/>
            </w:tcBorders>
          </w:tcPr>
          <w:p>
            <w:pPr>
              <w:spacing w:line="280" w:lineRule="exact"/>
              <w:rPr>
                <w:rFonts w:ascii="宋体" w:hAnsi="宋体" w:cs="宋体"/>
                <w:color w:val="auto"/>
                <w:szCs w:val="21"/>
                <w:highlight w:val="none"/>
              </w:rPr>
            </w:pPr>
          </w:p>
        </w:tc>
        <w:tc>
          <w:tcPr>
            <w:tcW w:w="851" w:type="dxa"/>
            <w:vMerge w:val="continue"/>
            <w:tcBorders>
              <w:left w:val="single" w:color="auto" w:sz="4" w:space="0"/>
              <w:right w:val="single" w:color="auto" w:sz="4" w:space="0"/>
            </w:tcBorders>
          </w:tcPr>
          <w:p>
            <w:pPr>
              <w:widowControl/>
              <w:spacing w:line="280" w:lineRule="exact"/>
              <w:jc w:val="left"/>
              <w:rPr>
                <w:rFonts w:ascii="宋体" w:hAnsi="宋体" w:cs="宋体"/>
                <w:color w:val="auto"/>
                <w:kern w:val="0"/>
                <w:szCs w:val="21"/>
                <w:highlight w:val="none"/>
              </w:rPr>
            </w:pPr>
          </w:p>
        </w:tc>
        <w:tc>
          <w:tcPr>
            <w:tcW w:w="930" w:type="dxa"/>
            <w:tcBorders>
              <w:left w:val="single" w:color="auto" w:sz="4" w:space="0"/>
              <w:right w:val="single" w:color="auto" w:sz="4" w:space="0"/>
            </w:tcBorders>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szCs w:val="21"/>
                <w:highlight w:val="none"/>
              </w:rPr>
              <w:t>造价负责人</w:t>
            </w:r>
          </w:p>
        </w:tc>
        <w:tc>
          <w:tcPr>
            <w:tcW w:w="873" w:type="dxa"/>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从业能力：具有有效的注册造价师（或一级注册造价师）证书、或具有工程造价类专业高级或以上技术职称，得10分。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41" w:type="dxa"/>
            <w:gridSpan w:val="4"/>
            <w:tcBorders>
              <w:left w:val="single" w:color="auto" w:sz="8" w:space="0"/>
              <w:right w:val="single" w:color="auto" w:sz="4" w:space="0"/>
            </w:tcBorders>
          </w:tcPr>
          <w:p>
            <w:pPr>
              <w:widowControl/>
              <w:spacing w:line="280" w:lineRule="exact"/>
              <w:jc w:val="center"/>
              <w:rPr>
                <w:rFonts w:ascii="宋体" w:hAnsi="宋体" w:cs="宋体"/>
                <w:color w:val="auto"/>
                <w:szCs w:val="21"/>
                <w:highlight w:val="none"/>
              </w:rPr>
            </w:pPr>
          </w:p>
        </w:tc>
        <w:tc>
          <w:tcPr>
            <w:tcW w:w="108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highlight w:val="none"/>
              </w:rPr>
            </w:pPr>
            <w:r>
              <w:rPr>
                <w:rFonts w:hint="eastAsia"/>
                <w:color w:val="auto"/>
                <w:highlight w:val="none"/>
              </w:rPr>
              <w:t>注</w:t>
            </w:r>
            <w:r>
              <w:rPr>
                <w:rFonts w:hint="eastAsia" w:ascii="宋体" w:hAnsi="宋体" w:cs="宋体"/>
                <w:color w:val="auto"/>
                <w:highlight w:val="none"/>
              </w:rPr>
              <w:t>：①上述人员须提供身份证、毕业证书（大学专科（或以上）学历）及2024年11月（或202</w:t>
            </w:r>
            <w:r>
              <w:rPr>
                <w:rFonts w:hint="eastAsia" w:ascii="宋体" w:hAnsi="宋体" w:cs="宋体"/>
                <w:color w:val="auto"/>
                <w:highlight w:val="none"/>
                <w:lang w:val="en-US" w:eastAsia="zh-CN"/>
              </w:rPr>
              <w:t>4</w:t>
            </w:r>
            <w:r>
              <w:rPr>
                <w:rFonts w:hint="eastAsia" w:ascii="宋体" w:hAnsi="宋体" w:cs="宋体"/>
                <w:color w:val="auto"/>
                <w:highlight w:val="none"/>
              </w:rPr>
              <w:t>年1</w:t>
            </w:r>
            <w:r>
              <w:rPr>
                <w:rFonts w:hint="eastAsia" w:ascii="宋体" w:hAnsi="宋体" w:cs="宋体"/>
                <w:color w:val="auto"/>
                <w:highlight w:val="none"/>
                <w:lang w:val="en-US" w:eastAsia="zh-CN"/>
              </w:rPr>
              <w:t>2</w:t>
            </w:r>
            <w:r>
              <w:rPr>
                <w:rFonts w:hint="eastAsia" w:ascii="宋体" w:hAnsi="宋体" w:cs="宋体"/>
                <w:color w:val="auto"/>
                <w:highlight w:val="none"/>
              </w:rPr>
              <w:t>月）有效社保证明，且须按相应要求提供职称证、有效期内的注册证及有效期内的安全生产考核合格证（B类）或安全生产考核合格证（C类）或建筑施工企业项目负责人安全生产考核合格证书或建筑施工企业专职安全生产管理人员安全生产考核合格证书（C3），所有资料为扫描件并加盖投标人电子公章；职称证书应以人社部门或者在人社部门核准备案的职称评审委员会或人社部门授权具备颁发资格的机构（或单位）颁发的为准</w:t>
            </w:r>
          </w:p>
          <w:p>
            <w:pPr>
              <w:ind w:firstLine="420" w:firstLineChars="200"/>
              <w:rPr>
                <w:rFonts w:ascii="宋体" w:hAnsi="宋体" w:cs="宋体"/>
                <w:color w:val="auto"/>
                <w:highlight w:val="none"/>
              </w:rPr>
            </w:pPr>
            <w:r>
              <w:rPr>
                <w:rFonts w:hint="eastAsia" w:ascii="宋体" w:hAnsi="宋体" w:cs="宋体"/>
                <w:color w:val="auto"/>
                <w:highlight w:val="none"/>
              </w:rPr>
              <w:t>②项目负责人、技术负责人、质量负责人、安全负责人、造价负责人不得兼任，且安全负责人不能同时兼任专职安全员。</w:t>
            </w:r>
          </w:p>
          <w:p>
            <w:pPr>
              <w:ind w:firstLine="420" w:firstLineChars="200"/>
              <w:rPr>
                <w:rFonts w:ascii="宋体" w:hAnsi="宋体" w:cs="宋体"/>
                <w:bCs/>
                <w:color w:val="auto"/>
                <w:szCs w:val="24"/>
                <w:highlight w:val="none"/>
              </w:rPr>
            </w:pPr>
            <w:r>
              <w:rPr>
                <w:rFonts w:hint="eastAsia" w:ascii="宋体" w:hAnsi="宋体" w:cs="宋体"/>
                <w:bCs/>
                <w:color w:val="auto"/>
                <w:szCs w:val="24"/>
                <w:highlight w:val="none"/>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ind w:firstLine="420" w:firstLineChars="200"/>
              <w:rPr>
                <w:color w:val="auto"/>
                <w:highlight w:val="none"/>
              </w:rPr>
            </w:pPr>
            <w:r>
              <w:rPr>
                <w:rFonts w:hint="eastAsia" w:ascii="宋体" w:hAnsi="宋体" w:cs="宋体"/>
                <w:color w:val="auto"/>
                <w:highlight w:val="none"/>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restart"/>
            <w:tcBorders>
              <w:top w:val="single" w:color="auto" w:sz="4" w:space="0"/>
              <w:left w:val="single" w:color="auto" w:sz="8" w:space="0"/>
              <w:right w:val="single" w:color="auto" w:sz="4" w:space="0"/>
            </w:tcBorders>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二、企业资信（22分）</w:t>
            </w:r>
          </w:p>
        </w:tc>
        <w:tc>
          <w:tcPr>
            <w:tcW w:w="1781" w:type="dxa"/>
            <w:gridSpan w:val="2"/>
            <w:tcBorders>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企业类似工程业绩</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投标人自</w:t>
            </w:r>
            <w:r>
              <w:rPr>
                <w:rFonts w:hint="eastAsia" w:cs="宋体" w:asciiTheme="minorEastAsia" w:hAnsiTheme="minorEastAsia" w:eastAsiaTheme="minorEastAsia"/>
                <w:color w:val="auto"/>
                <w:szCs w:val="21"/>
                <w:highlight w:val="none"/>
                <w:u w:val="single"/>
              </w:rPr>
              <w:t>20</w:t>
            </w:r>
            <w:r>
              <w:rPr>
                <w:rFonts w:hint="eastAsia" w:cs="宋体" w:asciiTheme="minorEastAsia" w:hAnsiTheme="minorEastAsia" w:eastAsiaTheme="minorEastAsia"/>
                <w:color w:val="auto"/>
                <w:szCs w:val="21"/>
                <w:highlight w:val="none"/>
                <w:u w:val="single"/>
                <w:lang w:val="en-US" w:eastAsia="zh-CN"/>
              </w:rPr>
              <w:t>22</w:t>
            </w:r>
            <w:r>
              <w:rPr>
                <w:rFonts w:hint="eastAsia" w:cs="宋体" w:asciiTheme="minorEastAsia" w:hAnsiTheme="minorEastAsia" w:eastAsiaTheme="minorEastAsia"/>
                <w:color w:val="auto"/>
                <w:szCs w:val="21"/>
                <w:highlight w:val="none"/>
              </w:rPr>
              <w:t>年1月1日至今完成过质量合格的且工程造价金额大于或等于</w:t>
            </w:r>
            <w:r>
              <w:rPr>
                <w:rFonts w:hint="eastAsia" w:cs="宋体" w:asciiTheme="minorEastAsia" w:hAnsiTheme="minorEastAsia" w:eastAsiaTheme="minorEastAsia"/>
                <w:color w:val="auto"/>
                <w:szCs w:val="21"/>
                <w:highlight w:val="none"/>
                <w:u w:val="single"/>
                <w:lang w:val="en-US" w:eastAsia="zh-CN"/>
              </w:rPr>
              <w:t>1300</w:t>
            </w:r>
            <w:r>
              <w:rPr>
                <w:rFonts w:hint="eastAsia" w:cs="宋体" w:asciiTheme="minorEastAsia" w:hAnsiTheme="minorEastAsia" w:eastAsiaTheme="minorEastAsia"/>
                <w:color w:val="auto"/>
                <w:szCs w:val="21"/>
                <w:highlight w:val="none"/>
              </w:rPr>
              <w:t>万元</w:t>
            </w:r>
            <w:r>
              <w:rPr>
                <w:rFonts w:hint="eastAsia" w:cs="黑体" w:asciiTheme="minorEastAsia" w:hAnsiTheme="minorEastAsia" w:eastAsiaTheme="minorEastAsia"/>
                <w:color w:val="auto"/>
                <w:szCs w:val="24"/>
                <w:highlight w:val="none"/>
              </w:rPr>
              <w:t>的</w:t>
            </w:r>
            <w:r>
              <w:rPr>
                <w:rFonts w:hint="eastAsia" w:cs="宋体" w:asciiTheme="minorEastAsia" w:hAnsiTheme="minorEastAsia" w:eastAsiaTheme="minorEastAsia"/>
                <w:color w:val="auto"/>
                <w:szCs w:val="21"/>
                <w:highlight w:val="none"/>
              </w:rPr>
              <w:t>市政公用工程</w:t>
            </w:r>
            <w:r>
              <w:rPr>
                <w:rFonts w:hint="eastAsia" w:cs="宋体" w:asciiTheme="minorEastAsia" w:hAnsiTheme="minorEastAsia" w:eastAsiaTheme="minorEastAsia"/>
                <w:color w:val="auto"/>
                <w:szCs w:val="21"/>
                <w:highlight w:val="none"/>
                <w:u w:val="single"/>
              </w:rPr>
              <w:t>施工总承包或工程总承包施工部分业绩</w:t>
            </w:r>
            <w:r>
              <w:rPr>
                <w:rFonts w:hint="eastAsia" w:cs="宋体" w:asciiTheme="minorEastAsia" w:hAnsiTheme="minorEastAsia" w:eastAsiaTheme="minorEastAsia"/>
                <w:color w:val="auto"/>
                <w:szCs w:val="21"/>
                <w:highlight w:val="none"/>
              </w:rPr>
              <w:t>一项得</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分，最多得10分。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continue"/>
            <w:tcBorders>
              <w:top w:val="single" w:color="auto" w:sz="4" w:space="0"/>
              <w:left w:val="single" w:color="auto" w:sz="8" w:space="0"/>
              <w:right w:val="single" w:color="auto" w:sz="4" w:space="0"/>
            </w:tcBorders>
            <w:vAlign w:val="center"/>
          </w:tcPr>
          <w:p>
            <w:pPr>
              <w:spacing w:line="280" w:lineRule="exact"/>
              <w:jc w:val="center"/>
              <w:rPr>
                <w:rFonts w:ascii="宋体" w:hAnsi="宋体" w:cs="宋体"/>
                <w:color w:val="auto"/>
                <w:szCs w:val="21"/>
                <w:highlight w:val="none"/>
              </w:rPr>
            </w:pPr>
          </w:p>
        </w:tc>
        <w:tc>
          <w:tcPr>
            <w:tcW w:w="1781" w:type="dxa"/>
            <w:gridSpan w:val="2"/>
            <w:tcBorders>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企业工程项目获奖情况</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p>
        </w:tc>
        <w:tc>
          <w:tcPr>
            <w:tcW w:w="1086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w:t>
            </w:r>
            <w:r>
              <w:rPr>
                <w:rFonts w:hint="eastAsia" w:asciiTheme="minorEastAsia" w:hAnsiTheme="minorEastAsia" w:eastAsiaTheme="minorEastAsia"/>
                <w:color w:val="auto"/>
                <w:highlight w:val="none"/>
              </w:rPr>
              <w:t>自</w:t>
            </w:r>
            <w:r>
              <w:rPr>
                <w:rFonts w:hint="eastAsia" w:asciiTheme="minorEastAsia" w:hAnsiTheme="minorEastAsia" w:eastAsiaTheme="minorEastAsia"/>
                <w:color w:val="auto"/>
                <w:highlight w:val="none"/>
                <w:u w:val="single"/>
              </w:rPr>
              <w:t>20</w:t>
            </w:r>
            <w:r>
              <w:rPr>
                <w:rFonts w:hint="eastAsia" w:asciiTheme="minorEastAsia" w:hAnsiTheme="minorEastAsia" w:eastAsiaTheme="minorEastAsia"/>
                <w:color w:val="auto"/>
                <w:highlight w:val="none"/>
                <w:u w:val="single"/>
                <w:lang w:val="en-US" w:eastAsia="zh-CN"/>
              </w:rPr>
              <w:t>22</w:t>
            </w:r>
            <w:r>
              <w:rPr>
                <w:rFonts w:hint="eastAsia" w:asciiTheme="minorEastAsia" w:hAnsiTheme="minorEastAsia" w:eastAsiaTheme="minorEastAsia"/>
                <w:color w:val="auto"/>
                <w:highlight w:val="none"/>
              </w:rPr>
              <w:t>年1月1日至今获得【市政公用】工程的奖项，获得市级或以上的每项得</w:t>
            </w:r>
            <w:r>
              <w:rPr>
                <w:rFonts w:hint="eastAsia" w:asciiTheme="minorEastAsia" w:hAnsiTheme="minorEastAsia" w:eastAsiaTheme="minorEastAsia"/>
                <w:color w:val="auto"/>
                <w:highlight w:val="none"/>
                <w:u w:val="none"/>
              </w:rPr>
              <w:t>2</w:t>
            </w:r>
            <w:r>
              <w:rPr>
                <w:rFonts w:hint="eastAsia" w:asciiTheme="minorEastAsia" w:hAnsiTheme="minorEastAsia" w:eastAsiaTheme="minorEastAsia"/>
                <w:color w:val="auto"/>
                <w:highlight w:val="none"/>
              </w:rPr>
              <w:t>分；</w:t>
            </w:r>
            <w:r>
              <w:rPr>
                <w:rFonts w:hint="eastAsia" w:cs="宋体" w:asciiTheme="minorEastAsia" w:hAnsiTheme="minorEastAsia" w:eastAsiaTheme="minorEastAsia"/>
                <w:color w:val="auto"/>
                <w:szCs w:val="21"/>
                <w:highlight w:val="none"/>
              </w:rPr>
              <w:t>最多得8分</w:t>
            </w:r>
            <w:r>
              <w:rPr>
                <w:rFonts w:hint="eastAsia" w:asciiTheme="minorEastAsia" w:hAnsiTheme="minorEastAsia" w:eastAsiaTheme="minorEastAsia"/>
                <w:color w:val="auto"/>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Merge w:val="continue"/>
            <w:tcBorders>
              <w:left w:val="single" w:color="auto" w:sz="8" w:space="0"/>
              <w:right w:val="single" w:color="auto" w:sz="4" w:space="0"/>
            </w:tcBorders>
          </w:tcPr>
          <w:p>
            <w:pPr>
              <w:spacing w:line="280" w:lineRule="exact"/>
              <w:jc w:val="center"/>
              <w:rPr>
                <w:rFonts w:ascii="宋体" w:hAnsi="宋体" w:cs="宋体"/>
                <w:color w:val="auto"/>
                <w:szCs w:val="21"/>
                <w:highlight w:val="none"/>
              </w:rPr>
            </w:pPr>
          </w:p>
        </w:tc>
        <w:tc>
          <w:tcPr>
            <w:tcW w:w="1781" w:type="dxa"/>
            <w:gridSpan w:val="2"/>
            <w:tcBorders>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第三方评价</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10860"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投标人自</w:t>
            </w:r>
            <w:r>
              <w:rPr>
                <w:rFonts w:hint="eastAsia" w:cs="宋体" w:asciiTheme="minorEastAsia" w:hAnsiTheme="minorEastAsia" w:eastAsiaTheme="minorEastAsia"/>
                <w:color w:val="auto"/>
                <w:szCs w:val="21"/>
                <w:highlight w:val="none"/>
                <w:u w:val="single"/>
              </w:rPr>
              <w:t>20</w:t>
            </w:r>
            <w:r>
              <w:rPr>
                <w:rFonts w:hint="eastAsia" w:cs="宋体" w:asciiTheme="minorEastAsia" w:hAnsiTheme="minorEastAsia" w:eastAsiaTheme="minorEastAsia"/>
                <w:color w:val="auto"/>
                <w:szCs w:val="21"/>
                <w:highlight w:val="none"/>
                <w:u w:val="single"/>
                <w:lang w:val="en-US" w:eastAsia="zh-CN"/>
              </w:rPr>
              <w:t>22</w:t>
            </w:r>
            <w:r>
              <w:rPr>
                <w:rFonts w:hint="eastAsia" w:cs="宋体" w:asciiTheme="minorEastAsia" w:hAnsiTheme="minorEastAsia" w:eastAsiaTheme="minorEastAsia"/>
                <w:color w:val="auto"/>
                <w:szCs w:val="21"/>
                <w:highlight w:val="none"/>
              </w:rPr>
              <w:t>年至今获得过税务机关评定的“A级纳税人”称号得4分；获得过税务机关评定的“B级纳税人”称号得2分；获得过税务机关评定的“M级纳税人”称号得1分。最多得4分。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8" w:type="dxa"/>
            <w:gridSpan w:val="3"/>
            <w:tcBorders>
              <w:left w:val="single" w:color="auto" w:sz="8"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合计（一+二）</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100</w:t>
            </w:r>
          </w:p>
        </w:tc>
        <w:tc>
          <w:tcPr>
            <w:tcW w:w="1086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szCs w:val="21"/>
                <w:highlight w:val="none"/>
              </w:rPr>
            </w:pPr>
          </w:p>
        </w:tc>
      </w:tr>
    </w:tbl>
    <w:p>
      <w:pPr>
        <w:pStyle w:val="38"/>
        <w:ind w:firstLine="422" w:firstLineChars="200"/>
        <w:rPr>
          <w:rFonts w:ascii="仿宋" w:hAnsi="仿宋" w:eastAsia="仿宋" w:cs="宋体"/>
          <w:color w:val="auto"/>
          <w:sz w:val="21"/>
          <w:szCs w:val="21"/>
          <w:highlight w:val="none"/>
        </w:rPr>
      </w:pPr>
      <w:r>
        <w:rPr>
          <w:rFonts w:hint="eastAsia" w:ascii="仿宋" w:hAnsi="仿宋" w:eastAsia="仿宋" w:cs="宋体"/>
          <w:b/>
          <w:color w:val="auto"/>
          <w:sz w:val="21"/>
          <w:szCs w:val="21"/>
          <w:highlight w:val="none"/>
        </w:rPr>
        <w:t>备注</w:t>
      </w:r>
      <w:r>
        <w:rPr>
          <w:rFonts w:hint="eastAsia" w:ascii="仿宋" w:hAnsi="仿宋" w:eastAsia="仿宋" w:cs="宋体"/>
          <w:color w:val="auto"/>
          <w:sz w:val="21"/>
          <w:szCs w:val="21"/>
          <w:highlight w:val="none"/>
        </w:rPr>
        <w:t>：</w:t>
      </w:r>
    </w:p>
    <w:p>
      <w:pPr>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1"/>
          <w:highlight w:val="none"/>
        </w:rPr>
        <w:t>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38"/>
        <w:ind w:firstLine="420" w:firstLineChars="200"/>
        <w:rPr>
          <w:rFonts w:ascii="仿宋" w:hAnsi="仿宋" w:eastAsia="仿宋"/>
          <w:b/>
          <w:bCs/>
          <w:color w:val="auto"/>
          <w:sz w:val="21"/>
          <w:szCs w:val="21"/>
          <w:highlight w:val="none"/>
        </w:rPr>
      </w:pPr>
      <w:r>
        <w:rPr>
          <w:rFonts w:hint="eastAsia" w:ascii="仿宋" w:hAnsi="仿宋" w:eastAsia="仿宋" w:cs="宋体"/>
          <w:color w:val="auto"/>
          <w:sz w:val="21"/>
          <w:szCs w:val="21"/>
          <w:highlight w:val="none"/>
        </w:rPr>
        <w:t>2</w:t>
      </w:r>
      <w:r>
        <w:rPr>
          <w:rFonts w:hint="eastAsia" w:ascii="仿宋" w:hAnsi="仿宋" w:eastAsia="仿宋" w:cs="宋体"/>
          <w:b/>
          <w:bCs/>
          <w:color w:val="auto"/>
          <w:sz w:val="21"/>
          <w:szCs w:val="21"/>
          <w:highlight w:val="none"/>
        </w:rPr>
        <w:t>.</w:t>
      </w:r>
      <w:r>
        <w:rPr>
          <w:rFonts w:hint="eastAsia" w:ascii="仿宋" w:hAnsi="仿宋" w:eastAsia="仿宋"/>
          <w:b/>
          <w:bCs/>
          <w:color w:val="auto"/>
          <w:sz w:val="21"/>
          <w:szCs w:val="21"/>
          <w:highlight w:val="none"/>
        </w:rPr>
        <w:t>项目负责人业绩：</w:t>
      </w:r>
    </w:p>
    <w:p>
      <w:pPr>
        <w:ind w:firstLine="420" w:firstLineChars="200"/>
        <w:rPr>
          <w:rFonts w:ascii="仿宋" w:hAnsi="仿宋" w:eastAsia="仿宋" w:cs="仿宋"/>
          <w:color w:val="auto"/>
          <w:szCs w:val="21"/>
          <w:highlight w:val="none"/>
        </w:rPr>
      </w:pPr>
      <w:r>
        <w:rPr>
          <w:rFonts w:hint="eastAsia" w:ascii="仿宋" w:hAnsi="仿宋" w:eastAsia="仿宋" w:cs="宋体"/>
          <w:color w:val="auto"/>
          <w:szCs w:val="21"/>
          <w:highlight w:val="none"/>
        </w:rPr>
        <w:t>业绩需提供相关证明材料。</w:t>
      </w:r>
      <w:r>
        <w:rPr>
          <w:rFonts w:hint="eastAsia" w:ascii="仿宋" w:hAnsi="仿宋" w:eastAsia="仿宋" w:cs="仿宋"/>
          <w:color w:val="auto"/>
          <w:szCs w:val="21"/>
          <w:highlight w:val="none"/>
        </w:rPr>
        <w:t>其中：工程总承包业绩包括勘察设计施工总承包或设计施工总承包或设计采购施工总承包或勘察设计采购施工总承包业绩等。投标人须提供业绩的中标通知书或免招标的相关证明、招标公告网页首页截图(需显示网址）（适用于公开招标项目）、中标公示或中标候选人公示网页截图(需显示网址）（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仿宋" w:hAnsi="仿宋" w:eastAsia="仿宋" w:cs="仿宋"/>
          <w:color w:val="auto"/>
          <w:szCs w:val="21"/>
          <w:highlight w:val="none"/>
          <w:u w:val="single"/>
        </w:rPr>
        <w:t>市政公用工程施工总承包</w:t>
      </w:r>
      <w:r>
        <w:rPr>
          <w:rFonts w:hint="eastAsia" w:ascii="仿宋" w:hAnsi="仿宋" w:eastAsia="仿宋" w:cs="仿宋"/>
          <w:color w:val="auto"/>
          <w:szCs w:val="21"/>
          <w:highlight w:val="none"/>
        </w:rPr>
        <w:t>资质方能承接的业绩。竣工验收文件须有对应职位及该人员的姓名（如竣工文件无对应职位及该人员姓名的，则投标人需提供体现该人员以对应职位参与过该项目的其他经建设单位盖章确认的证明材料扫描件并加盖投标人电子印章，无提供证明材料不计分）。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其中，若公开招标项目因客观事实无法提供招标公告网页首页截图(需显示网址）、中标公示（中标候选人公示）网页截图(需显示网址）的，投标人可出具单位盖章的说明情况（及相关证明）并承诺其资料真实性，若公示阶段期间投标人因此被举证存在上述网页截图(需显示网址）的，招标人有权按《投标人声明》执行，若投标人未出具任何说明情况（及相关证明），则按不符合上述条件或提供的资料不齐全的执行。</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bCs/>
          <w:color w:val="auto"/>
          <w:szCs w:val="21"/>
          <w:highlight w:val="none"/>
        </w:rPr>
        <w:t>.企业类似工程业绩：</w:t>
      </w:r>
    </w:p>
    <w:p>
      <w:pPr>
        <w:pStyle w:val="3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绩需提供相关证明材料。其中：工程总承包业绩包括勘察设计施工总承包或设计施工总承包或设计采购施工总承包或勘察设计采购施工总承包业绩等。投标人须提供业绩的中标通知书或免招标的相关证明、招标公告网页首页截图(需显示网址）（适用于公开招标项目）、中标公示或中标候选人公示网页截图(需显示网址）（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仿宋" w:hAnsi="仿宋" w:eastAsia="仿宋" w:cs="仿宋"/>
          <w:color w:val="auto"/>
          <w:sz w:val="21"/>
          <w:szCs w:val="21"/>
          <w:highlight w:val="none"/>
          <w:u w:val="single"/>
        </w:rPr>
        <w:t>市政公用工程施工总承包</w:t>
      </w:r>
      <w:r>
        <w:rPr>
          <w:rFonts w:hint="eastAsia" w:ascii="仿宋" w:hAnsi="仿宋" w:eastAsia="仿宋" w:cs="仿宋"/>
          <w:color w:val="auto"/>
          <w:sz w:val="21"/>
          <w:szCs w:val="21"/>
          <w:highlight w:val="none"/>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其中，若公开招标项目因客观事实无法提供招标公告网页首页截图(需显示网址）、中标公示（中标候选人公示）网页截图(需显示网址）的，投标人可出具单位盖章的说明情况（及相关证明）并承诺其资料真实性，若公示阶段期间投标人因此被举证存在上述网页截图(需显示网址）的，招标人有权按《投标人声明》执行，若投标人未出具任何说明情况（及相关证明），则按不符合上述条件或提供的资料不齐全的执行。</w:t>
      </w:r>
    </w:p>
    <w:p>
      <w:pPr>
        <w:pStyle w:val="38"/>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4.企业工程项目获奖情况：</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只评质量奖项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需提供获奖网页信息截图(需显示网址）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w:t>
      </w:r>
      <w:r>
        <w:rPr>
          <w:rFonts w:hint="eastAsia" w:ascii="仿宋" w:hAnsi="仿宋" w:eastAsia="仿宋" w:cs="仿宋"/>
          <w:color w:val="auto"/>
          <w:szCs w:val="21"/>
          <w:highlight w:val="none"/>
          <w:lang w:eastAsia="zh-CN"/>
        </w:rPr>
        <w:t>或市</w:t>
      </w:r>
      <w:r>
        <w:rPr>
          <w:rFonts w:hint="eastAsia" w:ascii="仿宋" w:hAnsi="仿宋" w:eastAsia="仿宋" w:cs="仿宋"/>
          <w:color w:val="auto"/>
          <w:szCs w:val="21"/>
          <w:highlight w:val="none"/>
        </w:rPr>
        <w:t>级奖项是指由省</w:t>
      </w:r>
      <w:r>
        <w:rPr>
          <w:rFonts w:hint="eastAsia" w:ascii="仿宋" w:hAnsi="仿宋" w:eastAsia="仿宋" w:cs="仿宋"/>
          <w:color w:val="auto"/>
          <w:szCs w:val="21"/>
          <w:highlight w:val="none"/>
          <w:lang w:eastAsia="zh-CN"/>
        </w:rPr>
        <w:t>或市</w:t>
      </w:r>
      <w:r>
        <w:rPr>
          <w:rFonts w:hint="eastAsia" w:ascii="仿宋" w:hAnsi="仿宋" w:eastAsia="仿宋" w:cs="仿宋"/>
          <w:color w:val="auto"/>
          <w:szCs w:val="21"/>
          <w:highlight w:val="none"/>
        </w:rPr>
        <w:t>级建设行政主管部门或行业协会颁发的工程质量类奖项。同一项目按最高级别奖项只计一次得分，以证书发证日期为准。若颁发机构非政府相关部门，还需提供该组织在“中国社会组织政务服务平台（全国社会组织信用信息公示平台）”网站（https://xxgs.chinanpo.mca.gov.cn/gsxt/newList）（注：平台名称及网址若有更新，以最新发布的为准。）“中国社会组织政务服务平台（全国社会组织信用信息公示平台）”栏查询结果截图(需显示网址），同时须提供其在查询结果“状态”栏必须为“正常”。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38"/>
        <w:ind w:firstLine="420" w:firstLineChars="200"/>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不符合条件的奖项不计分。</w:t>
      </w:r>
    </w:p>
    <w:p>
      <w:pPr>
        <w:pStyle w:val="38"/>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5.第三方评价：</w:t>
      </w:r>
    </w:p>
    <w:p>
      <w:pPr>
        <w:pStyle w:val="3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否则不得分。不满足上述要求或无提交上述资料不得分。</w:t>
      </w:r>
    </w:p>
    <w:p>
      <w:pPr>
        <w:pStyle w:val="3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pPr>
        <w:pStyle w:val="38"/>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7.项目管理机构人员不得兼任。</w:t>
      </w:r>
    </w:p>
    <w:p>
      <w:pPr>
        <w:pStyle w:val="38"/>
        <w:ind w:firstLine="420"/>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8.除了项目组织管理机构能力可计算投标人的分公司（不具备独立法人）或投标人的分支机构（不具备独立法人）外，评分表内其他评分项目只计算投标人自身（不计算投标人的分公司、子公司和分支机构），否则不得分。</w:t>
      </w:r>
    </w:p>
    <w:p>
      <w:pPr>
        <w:pStyle w:val="3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9.投标人提供的网页信息截图或证明材料扫描件内容必须清晰可辨，如因网页信息截图或证明材料扫描件内容模糊导致评标时无法判断的，后果由投标人自负。</w:t>
      </w:r>
    </w:p>
    <w:p>
      <w:pPr>
        <w:pStyle w:val="38"/>
        <w:ind w:firstLine="420"/>
        <w:rPr>
          <w:rFonts w:ascii="仿宋" w:hAnsi="仿宋" w:eastAsia="仿宋" w:cs="仿宋"/>
          <w:color w:val="auto"/>
          <w:sz w:val="24"/>
          <w:szCs w:val="24"/>
          <w:highlight w:val="none"/>
          <w:u w:val="singl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附表五（适用于区间抽取法）</w:t>
      </w: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经济标评分表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956"/>
        <w:gridCol w:w="956"/>
        <w:gridCol w:w="956"/>
        <w:gridCol w:w="956"/>
        <w:gridCol w:w="956"/>
        <w:gridCol w:w="956"/>
        <w:gridCol w:w="956"/>
        <w:gridCol w:w="956"/>
        <w:gridCol w:w="956"/>
        <w:gridCol w:w="956"/>
        <w:gridCol w:w="95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pPr>
        <w:pStyle w:val="38"/>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附表六</w:t>
      </w: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算术复核表</w:t>
      </w:r>
    </w:p>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工程名称：投标人：单位：元</w:t>
      </w:r>
    </w:p>
    <w:tbl>
      <w:tblPr>
        <w:tblStyle w:val="30"/>
        <w:tblW w:w="5000" w:type="pct"/>
        <w:tblInd w:w="0" w:type="dxa"/>
        <w:tblLayout w:type="fixed"/>
        <w:tblCellMar>
          <w:top w:w="0" w:type="dxa"/>
          <w:left w:w="108" w:type="dxa"/>
          <w:bottom w:w="0" w:type="dxa"/>
          <w:right w:w="108" w:type="dxa"/>
        </w:tblCellMar>
      </w:tblPr>
      <w:tblGrid>
        <w:gridCol w:w="661"/>
        <w:gridCol w:w="2000"/>
        <w:gridCol w:w="1133"/>
        <w:gridCol w:w="1417"/>
        <w:gridCol w:w="1843"/>
        <w:gridCol w:w="2552"/>
        <w:gridCol w:w="5182"/>
      </w:tblGrid>
      <w:tr>
        <w:tblPrEx>
          <w:tblCellMar>
            <w:top w:w="0" w:type="dxa"/>
            <w:left w:w="108" w:type="dxa"/>
            <w:bottom w:w="0" w:type="dxa"/>
            <w:right w:w="108" w:type="dxa"/>
          </w:tblCellMar>
        </w:tblPrEx>
        <w:trPr>
          <w:trHeight w:val="705" w:hRule="atLeast"/>
        </w:trPr>
        <w:tc>
          <w:tcPr>
            <w:tcW w:w="223"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676"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算术校核项目</w:t>
            </w:r>
          </w:p>
        </w:tc>
        <w:tc>
          <w:tcPr>
            <w:tcW w:w="383"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修正前投标</w:t>
            </w:r>
          </w:p>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报价A</w:t>
            </w:r>
          </w:p>
        </w:tc>
        <w:tc>
          <w:tcPr>
            <w:tcW w:w="479"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修正后投标</w:t>
            </w:r>
          </w:p>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报价B</w:t>
            </w:r>
          </w:p>
        </w:tc>
        <w:tc>
          <w:tcPr>
            <w:tcW w:w="623"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修正率</w:t>
            </w:r>
          </w:p>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r=|A-B|/A*100%</w:t>
            </w:r>
          </w:p>
        </w:tc>
        <w:tc>
          <w:tcPr>
            <w:tcW w:w="863"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经评审的最终投标报价</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[单位工程1]</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[单位工程2]</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n</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[单位工程n]</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投标总报价</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r2bl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∑A=A</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+…An；∑B=B</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+B</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+…Bn</w:t>
            </w:r>
          </w:p>
        </w:tc>
      </w:tr>
    </w:tbl>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修正原则：</w:t>
      </w:r>
      <w:r>
        <w:rPr>
          <w:rFonts w:hint="eastAsia" w:ascii="宋体" w:hAnsi="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评委签名：日期：</w:t>
      </w:r>
    </w:p>
    <w:p>
      <w:pPr>
        <w:pStyle w:val="38"/>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算术复核表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300"/>
        <w:gridCol w:w="2329"/>
        <w:gridCol w:w="3100"/>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pPr>
        <w:pStyle w:val="38"/>
        <w:ind w:firstLine="420" w:firstLineChars="200"/>
        <w:rPr>
          <w:rFonts w:ascii="仿宋" w:hAnsi="仿宋" w:eastAsia="仿宋" w:cs="仿宋"/>
          <w:color w:val="auto"/>
          <w:sz w:val="21"/>
          <w:szCs w:val="21"/>
          <w:highlight w:val="none"/>
        </w:rPr>
      </w:pPr>
    </w:p>
    <w:p>
      <w:pPr>
        <w:pStyle w:val="38"/>
        <w:ind w:firstLine="420" w:firstLineChars="200"/>
        <w:rPr>
          <w:rFonts w:ascii="仿宋" w:hAnsi="仿宋" w:eastAsia="仿宋" w:cs="仿宋"/>
          <w:color w:val="auto"/>
          <w:sz w:val="21"/>
          <w:szCs w:val="21"/>
          <w:highlight w:val="none"/>
        </w:rPr>
      </w:pPr>
    </w:p>
    <w:p>
      <w:pPr>
        <w:pStyle w:val="38"/>
        <w:ind w:firstLine="420" w:firstLineChars="200"/>
        <w:rPr>
          <w:rFonts w:ascii="仿宋" w:hAnsi="仿宋" w:eastAsia="仿宋" w:cs="仿宋"/>
          <w:color w:val="auto"/>
          <w:sz w:val="21"/>
          <w:szCs w:val="21"/>
          <w:highlight w:val="none"/>
        </w:rPr>
        <w:sectPr>
          <w:pgSz w:w="16840" w:h="11907" w:orient="landscape"/>
          <w:pgMar w:top="1440" w:right="1440" w:bottom="1440" w:left="1440" w:header="851" w:footer="992" w:gutter="0"/>
          <w:cols w:space="720" w:num="1"/>
          <w:docGrid w:type="lines" w:linePitch="312" w:charSpace="0"/>
        </w:sectPr>
      </w:pPr>
    </w:p>
    <w:p>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附表七</w:t>
      </w:r>
    </w:p>
    <w:p>
      <w:pPr>
        <w:pStyle w:val="38"/>
        <w:rPr>
          <w:rFonts w:ascii="仿宋" w:hAnsi="仿宋" w:eastAsia="仿宋" w:cs="仿宋"/>
          <w:color w:val="auto"/>
          <w:sz w:val="21"/>
          <w:szCs w:val="21"/>
          <w:highlight w:val="none"/>
        </w:rPr>
      </w:pP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评标委员会成员声明</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广州开发区财政投资建设项目管理中心</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本人就参与</w:t>
      </w:r>
      <w:r>
        <w:rPr>
          <w:rFonts w:hint="eastAsia" w:ascii="宋体" w:hAnsi="宋体" w:cs="宋体"/>
          <w:color w:val="auto"/>
          <w:szCs w:val="21"/>
          <w:highlight w:val="none"/>
          <w:u w:val="single"/>
          <w:lang w:eastAsia="zh-CN"/>
        </w:rPr>
        <w:t>黄埔区将军山一路市政道路工程</w:t>
      </w:r>
      <w:r>
        <w:rPr>
          <w:rFonts w:hint="eastAsia" w:ascii="宋体" w:hAnsi="宋体" w:cs="宋体"/>
          <w:color w:val="auto"/>
          <w:szCs w:val="21"/>
          <w:highlight w:val="none"/>
          <w:u w:val="single"/>
        </w:rPr>
        <w:t>施工总承包</w:t>
      </w:r>
      <w:r>
        <w:rPr>
          <w:rFonts w:hint="eastAsia" w:ascii="宋体" w:hAnsi="宋体" w:cs="宋体"/>
          <w:color w:val="auto"/>
          <w:szCs w:val="21"/>
          <w:highlight w:val="none"/>
        </w:rPr>
        <w:t>项目的评标工作，作出郑重声明：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如果本人违反上述声明内容，造成的后果由本人自行承担。</w:t>
      </w:r>
    </w:p>
    <w:p>
      <w:pPr>
        <w:ind w:firstLine="420" w:firstLineChars="200"/>
        <w:rPr>
          <w:rFonts w:ascii="宋体" w:hAnsi="宋体" w:cs="宋体"/>
          <w:color w:val="auto"/>
          <w:szCs w:val="21"/>
          <w:highlight w:val="none"/>
        </w:rPr>
      </w:pPr>
    </w:p>
    <w:p>
      <w:pPr>
        <w:pStyle w:val="38"/>
        <w:ind w:firstLine="420" w:firstLineChars="200"/>
        <w:rPr>
          <w:rFonts w:ascii="仿宋" w:hAnsi="仿宋" w:eastAsia="仿宋" w:cs="仿宋"/>
          <w:color w:val="auto"/>
          <w:sz w:val="21"/>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声明人：（签名）</w:t>
      </w:r>
    </w:p>
    <w:p>
      <w:pPr>
        <w:pStyle w:val="38"/>
        <w:ind w:firstLine="420" w:firstLineChars="200"/>
        <w:rPr>
          <w:rFonts w:ascii="仿宋" w:hAnsi="仿宋" w:eastAsia="仿宋" w:cs="仿宋"/>
          <w:color w:val="auto"/>
          <w:sz w:val="21"/>
          <w:szCs w:val="21"/>
          <w:highlight w:val="none"/>
        </w:rPr>
      </w:pPr>
    </w:p>
    <w:p>
      <w:pPr>
        <w:pStyle w:val="38"/>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1907" w:h="16840"/>
          <w:pgMar w:top="1440" w:right="1270" w:bottom="1440" w:left="1270" w:header="851" w:footer="992" w:gutter="0"/>
          <w:cols w:space="720" w:num="1"/>
          <w:docGrid w:type="lines" w:linePitch="312" w:charSpace="0"/>
        </w:sectPr>
      </w:pPr>
    </w:p>
    <w:p>
      <w:pPr>
        <w:pStyle w:val="2"/>
        <w:keepNext w:val="0"/>
        <w:keepLines w:val="0"/>
        <w:snapToGrid w:val="0"/>
        <w:spacing w:before="0" w:after="0"/>
        <w:jc w:val="center"/>
        <w:rPr>
          <w:rFonts w:hint="eastAsia" w:ascii="宋体" w:hAnsi="宋体" w:cs="宋体"/>
          <w:color w:val="auto"/>
          <w:sz w:val="44"/>
          <w:szCs w:val="44"/>
          <w:highlight w:val="none"/>
        </w:rPr>
      </w:pPr>
      <w:bookmarkStart w:id="27" w:name="_Toc500249621"/>
      <w:bookmarkStart w:id="28" w:name="_Toc5789"/>
      <w:bookmarkStart w:id="29" w:name="_Toc504659100"/>
      <w:bookmarkStart w:id="30" w:name="_Toc504053942"/>
    </w:p>
    <w:p>
      <w:pPr>
        <w:pStyle w:val="2"/>
        <w:snapToGrid w:val="0"/>
        <w:spacing w:before="0" w:after="0"/>
        <w:jc w:val="center"/>
        <w:rPr>
          <w:rFonts w:ascii="宋体" w:hAnsi="宋体" w:cs="宋体"/>
          <w:color w:val="auto"/>
          <w:sz w:val="44"/>
          <w:szCs w:val="44"/>
          <w:highlight w:val="none"/>
        </w:rPr>
      </w:pPr>
      <w:r>
        <w:rPr>
          <w:rFonts w:hint="eastAsia" w:ascii="宋体" w:hAnsi="宋体" w:cs="宋体"/>
          <w:color w:val="auto"/>
          <w:sz w:val="44"/>
          <w:szCs w:val="44"/>
          <w:highlight w:val="none"/>
        </w:rPr>
        <w:t>第三章</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4"/>
          <w:szCs w:val="44"/>
          <w:highlight w:val="none"/>
        </w:rPr>
        <w:t>合同条款</w:t>
      </w:r>
      <w:bookmarkEnd w:id="27"/>
      <w:bookmarkEnd w:id="28"/>
      <w:bookmarkEnd w:id="29"/>
      <w:bookmarkEnd w:id="30"/>
    </w:p>
    <w:p>
      <w:pPr>
        <w:spacing w:line="240" w:lineRule="exact"/>
        <w:ind w:firstLine="420" w:firstLineChars="200"/>
        <w:rPr>
          <w:color w:val="auto"/>
          <w:highlight w:val="none"/>
        </w:rPr>
      </w:pPr>
    </w:p>
    <w:p>
      <w:pPr>
        <w:ind w:firstLine="638" w:firstLineChars="304"/>
        <w:rPr>
          <w:color w:val="auto"/>
          <w:highlight w:val="none"/>
        </w:rPr>
      </w:pPr>
      <w:r>
        <w:rPr>
          <w:rFonts w:hint="eastAsia"/>
          <w:color w:val="auto"/>
          <w:highlight w:val="none"/>
        </w:rPr>
        <w:drawing>
          <wp:anchor distT="0" distB="0" distL="114300" distR="114300" simplePos="0" relativeHeight="251659264" behindDoc="0" locked="0" layoutInCell="1" allowOverlap="1">
            <wp:simplePos x="0" y="0"/>
            <wp:positionH relativeFrom="column">
              <wp:posOffset>4848860</wp:posOffset>
            </wp:positionH>
            <wp:positionV relativeFrom="paragraph">
              <wp:posOffset>304165</wp:posOffset>
            </wp:positionV>
            <wp:extent cx="2236470" cy="1798955"/>
            <wp:effectExtent l="0" t="0" r="11430" b="444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1"/>
                    <a:stretch>
                      <a:fillRect/>
                    </a:stretch>
                  </pic:blipFill>
                  <pic:spPr>
                    <a:xfrm>
                      <a:off x="0" y="0"/>
                      <a:ext cx="2236470" cy="1798955"/>
                    </a:xfrm>
                    <a:prstGeom prst="rect">
                      <a:avLst/>
                    </a:prstGeom>
                    <a:noFill/>
                    <a:ln>
                      <a:noFill/>
                    </a:ln>
                  </pic:spPr>
                </pic:pic>
              </a:graphicData>
            </a:graphic>
          </wp:anchor>
        </w:drawing>
      </w:r>
      <w:r>
        <w:rPr>
          <w:color w:val="auto"/>
          <w:highlight w:val="none"/>
        </w:rPr>
        <w:drawing>
          <wp:inline distT="0" distB="0" distL="114300" distR="114300">
            <wp:extent cx="2497455" cy="259715"/>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2497455" cy="259715"/>
                    </a:xfrm>
                    <a:prstGeom prst="rect">
                      <a:avLst/>
                    </a:prstGeom>
                    <a:noFill/>
                    <a:ln>
                      <a:noFill/>
                    </a:ln>
                  </pic:spPr>
                </pic:pic>
              </a:graphicData>
            </a:graphic>
          </wp:inline>
        </w:drawing>
      </w:r>
    </w:p>
    <w:p>
      <w:pPr>
        <w:ind w:firstLine="8400" w:firstLineChars="3500"/>
        <w:rPr>
          <w:color w:val="auto"/>
          <w:sz w:val="24"/>
          <w:highlight w:val="none"/>
        </w:rPr>
      </w:pPr>
    </w:p>
    <w:p>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1312" behindDoc="1" locked="0" layoutInCell="1" allowOverlap="0">
            <wp:simplePos x="0" y="0"/>
            <wp:positionH relativeFrom="column">
              <wp:posOffset>371475</wp:posOffset>
            </wp:positionH>
            <wp:positionV relativeFrom="paragraph">
              <wp:posOffset>39370</wp:posOffset>
            </wp:positionV>
            <wp:extent cx="790575" cy="161925"/>
            <wp:effectExtent l="0" t="0" r="9525" b="3175"/>
            <wp:wrapTight wrapText="bothSides">
              <wp:wrapPolygon>
                <wp:start x="1041" y="1694"/>
                <wp:lineTo x="0" y="8471"/>
                <wp:lineTo x="1041" y="18635"/>
                <wp:lineTo x="7634" y="20329"/>
                <wp:lineTo x="18043" y="20329"/>
                <wp:lineTo x="21166" y="18635"/>
                <wp:lineTo x="21166" y="10165"/>
                <wp:lineTo x="18390" y="1694"/>
                <wp:lineTo x="1041" y="1694"/>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  号 /               /</w:t>
      </w:r>
    </w:p>
    <w:p>
      <w:pPr>
        <w:rPr>
          <w:rFonts w:ascii="方正大标宋简体" w:eastAsia="方正大标宋简体"/>
          <w:color w:val="auto"/>
          <w:sz w:val="28"/>
          <w:szCs w:val="28"/>
          <w:highlight w:val="none"/>
        </w:rPr>
      </w:pPr>
    </w:p>
    <w:p>
      <w:pPr>
        <w:ind w:firstLine="840" w:firstLineChars="400"/>
        <w:rPr>
          <w:color w:val="auto"/>
          <w:highlight w:val="none"/>
        </w:rPr>
      </w:pPr>
    </w:p>
    <w:p>
      <w:pPr>
        <w:ind w:firstLine="840" w:firstLineChars="400"/>
        <w:rPr>
          <w:color w:val="auto"/>
          <w:highlight w:val="none"/>
        </w:rPr>
      </w:pPr>
    </w:p>
    <w:p>
      <w:pPr>
        <w:ind w:firstLine="840" w:firstLineChars="400"/>
        <w:rPr>
          <w:color w:val="auto"/>
          <w:highlight w:val="none"/>
        </w:rPr>
      </w:pP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895350</wp:posOffset>
            </wp:positionH>
            <wp:positionV relativeFrom="paragraph">
              <wp:posOffset>163195</wp:posOffset>
            </wp:positionV>
            <wp:extent cx="5295900" cy="590550"/>
            <wp:effectExtent l="0" t="0" r="0" b="635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4"/>
                    <a:stretch>
                      <a:fillRect/>
                    </a:stretch>
                  </pic:blipFill>
                  <pic:spPr>
                    <a:xfrm>
                      <a:off x="0" y="0"/>
                      <a:ext cx="5295900" cy="590550"/>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rPr>
          <w:rFonts w:ascii="仿宋_GB2312" w:hAnsi="仿宋" w:eastAsia="仿宋_GB2312"/>
          <w:color w:val="auto"/>
          <w:sz w:val="28"/>
          <w:szCs w:val="28"/>
          <w:highlight w:val="none"/>
        </w:rPr>
      </w:pPr>
    </w:p>
    <w:p>
      <w:pPr>
        <w:spacing w:line="480" w:lineRule="exact"/>
        <w:jc w:val="center"/>
        <w:rPr>
          <w:rFonts w:ascii="仿宋_GB2312" w:hAnsi="仿宋" w:eastAsia="仿宋_GB2312"/>
          <w:color w:val="auto"/>
          <w:sz w:val="28"/>
          <w:szCs w:val="28"/>
          <w:highlight w:val="none"/>
        </w:rPr>
      </w:pPr>
    </w:p>
    <w:p>
      <w:pPr>
        <w:spacing w:line="480" w:lineRule="exact"/>
        <w:ind w:firstLine="2520" w:firstLineChars="9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项目名称：</w:t>
      </w:r>
    </w:p>
    <w:p>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发包人（甲方）：</w:t>
      </w:r>
      <w:r>
        <w:rPr>
          <w:rFonts w:hint="eastAsia" w:ascii="方正大标宋简体" w:hAnsi="仿宋" w:eastAsia="方正大标宋简体"/>
          <w:color w:val="auto"/>
          <w:sz w:val="28"/>
          <w:szCs w:val="28"/>
          <w:highlight w:val="none"/>
          <w:u w:val="single"/>
        </w:rPr>
        <w:t>广州开发区财政投资建设项目管理中心</w:t>
      </w:r>
    </w:p>
    <w:p>
      <w:pPr>
        <w:snapToGrid w:val="0"/>
        <w:spacing w:line="440" w:lineRule="exact"/>
        <w:ind w:firstLine="2660" w:firstLineChars="95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p>
    <w:p>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方正大标宋简体" w:hAnsi="仿宋" w:eastAsia="方正大标宋简体"/>
          <w:color w:val="auto"/>
          <w:sz w:val="28"/>
          <w:szCs w:val="28"/>
          <w:highlight w:val="none"/>
          <w:u w:val="single"/>
        </w:rPr>
        <w:t>2025年</w:t>
      </w:r>
      <w:r>
        <w:rPr>
          <w:rFonts w:hint="eastAsia" w:ascii="方正大标宋简体" w:hAnsi="仿宋" w:eastAsia="方正大标宋简体"/>
          <w:color w:val="auto"/>
          <w:sz w:val="28"/>
          <w:szCs w:val="28"/>
          <w:highlight w:val="none"/>
          <w:u w:val="single"/>
          <w:lang w:val="en-US" w:eastAsia="zh-CN"/>
        </w:rPr>
        <w:t xml:space="preserve">   </w:t>
      </w:r>
      <w:r>
        <w:rPr>
          <w:rFonts w:hint="eastAsia" w:ascii="方正大标宋简体" w:hAnsi="仿宋" w:eastAsia="方正大标宋简体"/>
          <w:color w:val="auto"/>
          <w:sz w:val="28"/>
          <w:szCs w:val="28"/>
          <w:highlight w:val="none"/>
          <w:u w:val="single"/>
        </w:rPr>
        <w:t>月</w:t>
      </w:r>
      <w:r>
        <w:rPr>
          <w:rFonts w:hint="eastAsia" w:ascii="方正大标宋简体" w:hAnsi="仿宋" w:eastAsia="方正大标宋简体"/>
          <w:color w:val="auto"/>
          <w:sz w:val="28"/>
          <w:szCs w:val="28"/>
          <w:highlight w:val="none"/>
          <w:u w:val="single"/>
          <w:lang w:val="en-US" w:eastAsia="zh-CN"/>
        </w:rPr>
        <w:t xml:space="preserve">   </w:t>
      </w:r>
      <w:r>
        <w:rPr>
          <w:rFonts w:hint="eastAsia" w:ascii="方正大标宋简体" w:hAnsi="仿宋" w:eastAsia="方正大标宋简体"/>
          <w:color w:val="auto"/>
          <w:sz w:val="28"/>
          <w:szCs w:val="28"/>
          <w:highlight w:val="none"/>
          <w:u w:val="single"/>
        </w:rPr>
        <w:t>日</w:t>
      </w:r>
    </w:p>
    <w:p>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方正大标宋简体" w:hAnsi="仿宋" w:eastAsia="方正大标宋简体"/>
          <w:color w:val="auto"/>
          <w:sz w:val="28"/>
          <w:szCs w:val="28"/>
          <w:highlight w:val="none"/>
          <w:u w:val="single"/>
        </w:rPr>
        <w:t>广州市黄埔区</w:t>
      </w:r>
    </w:p>
    <w:p>
      <w:pPr>
        <w:spacing w:line="480" w:lineRule="exact"/>
        <w:jc w:val="center"/>
        <w:rPr>
          <w:rFonts w:ascii="宋体" w:hAnsi="宋体"/>
          <w:color w:val="auto"/>
          <w:highlight w:val="none"/>
        </w:rPr>
      </w:pPr>
      <w:r>
        <w:rPr>
          <w:color w:val="auto"/>
          <w:highlight w:val="none"/>
        </w:rPr>
        <w:drawing>
          <wp:anchor distT="0" distB="0" distL="114300" distR="114300" simplePos="0" relativeHeight="251663360" behindDoc="0" locked="0" layoutInCell="1" allowOverlap="0">
            <wp:simplePos x="0" y="0"/>
            <wp:positionH relativeFrom="column">
              <wp:posOffset>4445</wp:posOffset>
            </wp:positionH>
            <wp:positionV relativeFrom="paragraph">
              <wp:posOffset>148590</wp:posOffset>
            </wp:positionV>
            <wp:extent cx="7562850" cy="1838325"/>
            <wp:effectExtent l="0" t="0" r="0" b="952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5"/>
                    <a:stretch>
                      <a:fillRect/>
                    </a:stretch>
                  </pic:blipFill>
                  <pic:spPr>
                    <a:xfrm>
                      <a:off x="0" y="0"/>
                      <a:ext cx="7562850" cy="1838325"/>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0" w:right="0" w:bottom="0" w:left="0" w:header="4" w:footer="851" w:gutter="284"/>
          <w:cols w:space="720" w:num="1"/>
          <w:docGrid w:type="lines" w:linePitch="408" w:charSpace="0"/>
        </w:sectPr>
      </w:pPr>
    </w:p>
    <w:p>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协议书</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p>
    <w:p>
      <w:pPr>
        <w:pStyle w:val="53"/>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。具体内容以施工图纸及工程量清单为准。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日历天。</w:t>
      </w:r>
      <w:r>
        <w:rPr>
          <w:rFonts w:hint="eastAsia" w:ascii="宋体" w:hAnsi="宋体"/>
          <w:dstrike/>
          <w:color w:val="auto"/>
          <w:sz w:val="24"/>
          <w:highlight w:val="none"/>
        </w:rPr>
        <w:t>实际开工日期以批准的开工报告为准。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pPr>
        <w:pStyle w:val="38"/>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施工要求：符合设计图纸要求和国家、省、市相关法律法规规定要求及行业工程质量标准，</w:t>
      </w:r>
      <w:r>
        <w:rPr>
          <w:rFonts w:hint="eastAsia" w:ascii="宋体" w:hAnsi="宋体"/>
          <w:color w:val="auto"/>
          <w:sz w:val="24"/>
          <w:highlight w:val="none"/>
          <w:u w:val="single"/>
        </w:rPr>
        <w:t>且达到投标承诺的标准</w:t>
      </w:r>
      <w:r>
        <w:rPr>
          <w:rFonts w:hint="eastAsia" w:ascii="宋体" w:hAnsi="宋体"/>
          <w:color w:val="auto"/>
          <w:sz w:val="24"/>
          <w:highlight w:val="none"/>
        </w:rPr>
        <w:t>。</w:t>
      </w:r>
    </w:p>
    <w:p>
      <w:pPr>
        <w:spacing w:line="400" w:lineRule="exact"/>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工程质量标准：合格并达到</w:t>
      </w:r>
      <w:r>
        <w:rPr>
          <w:rFonts w:hint="eastAsia" w:ascii="宋体" w:hAnsi="宋体"/>
          <w:color w:val="auto"/>
          <w:kern w:val="0"/>
          <w:sz w:val="24"/>
          <w:highlight w:val="none"/>
          <w:u w:val="single"/>
        </w:rPr>
        <w:t>“广州市建设工程优质奖”或“广州市建设工程质量五羊杯奖”或市级工程质量奖的标准，且达到投标承诺的标准。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hint="eastAsia" w:ascii="宋体" w:hAnsi="宋体"/>
          <w:bCs/>
          <w:snapToGrid w:val="0"/>
          <w:color w:val="auto"/>
          <w:kern w:val="0"/>
          <w:sz w:val="24"/>
          <w:highlight w:val="none"/>
          <w:lang w:val="en-US" w:eastAsia="zh-CN"/>
        </w:rPr>
        <w:t xml:space="preserve">      </w:t>
      </w:r>
      <w:r>
        <w:rPr>
          <w:rFonts w:hint="eastAsia" w:ascii="宋体" w:hAnsi="宋体"/>
          <w:bCs/>
          <w:snapToGrid w:val="0"/>
          <w:color w:val="auto"/>
          <w:kern w:val="0"/>
          <w:sz w:val="24"/>
          <w:highlight w:val="none"/>
        </w:rPr>
        <w:t>元（大写：人民币），其中绿色施工安全防护措施费为元、暂列金额为</w:t>
      </w:r>
      <w:r>
        <w:rPr>
          <w:rFonts w:hint="eastAsia" w:ascii="宋体" w:hAnsi="宋体"/>
          <w:bCs/>
          <w:snapToGrid w:val="0"/>
          <w:color w:val="auto"/>
          <w:kern w:val="0"/>
          <w:sz w:val="24"/>
          <w:highlight w:val="none"/>
          <w:lang w:val="en-US" w:eastAsia="zh-CN"/>
        </w:rPr>
        <w:t xml:space="preserve">       </w:t>
      </w:r>
      <w:r>
        <w:rPr>
          <w:rFonts w:hint="eastAsia" w:ascii="宋体" w:hAnsi="宋体"/>
          <w:bCs/>
          <w:snapToGrid w:val="0"/>
          <w:color w:val="auto"/>
          <w:kern w:val="0"/>
          <w:sz w:val="24"/>
          <w:highlight w:val="none"/>
        </w:rPr>
        <w:t>元，人工费</w:t>
      </w:r>
      <w:r>
        <w:rPr>
          <w:rFonts w:hint="eastAsia" w:ascii="宋体" w:hAnsi="宋体"/>
          <w:bCs/>
          <w:snapToGrid w:val="0"/>
          <w:color w:val="auto"/>
          <w:kern w:val="0"/>
          <w:sz w:val="24"/>
          <w:highlight w:val="none"/>
          <w:lang w:val="en-US" w:eastAsia="zh-CN"/>
        </w:rPr>
        <w:t xml:space="preserve">     </w:t>
      </w:r>
      <w:r>
        <w:rPr>
          <w:rFonts w:hint="eastAsia" w:ascii="宋体" w:hAnsi="宋体"/>
          <w:bCs/>
          <w:snapToGrid w:val="0"/>
          <w:color w:val="auto"/>
          <w:kern w:val="0"/>
          <w:sz w:val="24"/>
          <w:highlight w:val="none"/>
        </w:rPr>
        <w:t>元，工人工资比例为</w:t>
      </w:r>
      <w:r>
        <w:rPr>
          <w:rFonts w:hint="eastAsia" w:ascii="宋体" w:hAnsi="宋体"/>
          <w:bCs/>
          <w:snapToGrid w:val="0"/>
          <w:color w:val="auto"/>
          <w:kern w:val="0"/>
          <w:sz w:val="24"/>
          <w:highlight w:val="none"/>
          <w:lang w:val="en-US" w:eastAsia="zh-CN"/>
        </w:rPr>
        <w:t xml:space="preserve">     </w:t>
      </w:r>
      <w:r>
        <w:rPr>
          <w:rFonts w:hint="eastAsia" w:ascii="宋体" w:hAnsi="宋体"/>
          <w:bCs/>
          <w:snapToGrid w:val="0"/>
          <w:color w:val="auto"/>
          <w:kern w:val="0"/>
          <w:sz w:val="24"/>
          <w:highlight w:val="none"/>
        </w:rPr>
        <w:t>。</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pPr>
        <w:pStyle w:val="54"/>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pPr>
        <w:snapToGrid w:val="0"/>
        <w:spacing w:line="440" w:lineRule="exact"/>
        <w:ind w:left="600" w:firstLine="482" w:firstLineChars="200"/>
        <w:rPr>
          <w:color w:val="auto"/>
          <w:highlight w:val="none"/>
        </w:rPr>
      </w:pPr>
      <w:r>
        <w:rPr>
          <w:rFonts w:hint="eastAsia" w:ascii="宋体" w:hAnsi="宋体"/>
          <w:b/>
          <w:bCs/>
          <w:color w:val="auto"/>
          <w:sz w:val="24"/>
          <w:highlight w:val="none"/>
        </w:rPr>
        <w:t>九、发包人向承包人承诺按照合同约定的期限和方式支付合同价款及其他应当支付的款项。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十、合同生效</w:t>
      </w:r>
    </w:p>
    <w:p>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30"/>
        <w:tblW w:w="0" w:type="auto"/>
        <w:tblInd w:w="0" w:type="dxa"/>
        <w:tblLayout w:type="fixed"/>
        <w:tblCellMar>
          <w:top w:w="0" w:type="dxa"/>
          <w:left w:w="108" w:type="dxa"/>
          <w:bottom w:w="0" w:type="dxa"/>
          <w:right w:w="108" w:type="dxa"/>
        </w:tblCellMar>
      </w:tblPr>
      <w:tblGrid>
        <w:gridCol w:w="4839"/>
        <w:gridCol w:w="4839"/>
      </w:tblGrid>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住所：</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住所：</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电话：</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电话：</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传真：</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传真：</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号：</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号：</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pPr>
        <w:snapToGrid w:val="0"/>
        <w:spacing w:line="440" w:lineRule="exact"/>
        <w:ind w:firstLine="120" w:firstLineChars="50"/>
        <w:rPr>
          <w:rFonts w:ascii="宋体" w:hAnsi="宋体"/>
          <w:color w:val="auto"/>
          <w:sz w:val="24"/>
          <w:highlight w:val="none"/>
        </w:rPr>
      </w:pPr>
    </w:p>
    <w:p>
      <w:pPr>
        <w:snapToGrid w:val="0"/>
        <w:spacing w:line="440" w:lineRule="exact"/>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8"/>
          <w:szCs w:val="28"/>
          <w:highlight w:val="none"/>
        </w:rPr>
        <w:t>第二部分</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通用条款</w:t>
      </w:r>
    </w:p>
    <w:p>
      <w:pPr>
        <w:spacing w:line="440" w:lineRule="exact"/>
        <w:jc w:val="center"/>
        <w:rPr>
          <w:rFonts w:ascii="宋体" w:hAnsi="宋体"/>
          <w:color w:val="auto"/>
          <w:sz w:val="24"/>
          <w:highlight w:val="none"/>
        </w:rPr>
      </w:pP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一、词语定义及合同文件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词语定义</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下列词语除专用条款另有约定外，应具有本条所赋予的定义：</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 通用条款：是根据法律、行政法规规定及建设工程施工的需要订立，通用于建设工程施工的条款。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 专用条款：是发包人与承包人根据法律、行政法规规定，结合具体工程实际，经协商达成一致意见的条款，是对通用条款的具体化、补充或修改。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 发包人：指在协议书中约定，具有工程发包主体资格和支付工程价款能力的当事人以及取得该当事人资格的合法继承人。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 承包人：指在协议书中约定，被发包人接受的具有工程施工承包主体资格的当事人以及取得该当事人资格的合法继承人。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项目负责人：指承包人在专用条款中指定的负责施工管理和合同履行的代表。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 设计单位：指发包人委托的负责本工程设计并取得相应工程设计资质等级证书的单位。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1.7 监理单位：指发包人委托的负责本工程监理并取得相应在工程监理资质等级证书的单位。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1.8 工程师：指本工程监理单位委派的总监理工程师或发包人指定的履行本合同的代表，其具体身份和职权由发包人承包人在专用条款中约定。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 工程造价管理部门：指国务院有关部门、县级以上人民政府建设行政主管部门或其委托的工程造价管理机构。</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1.10 工程：指发包人承包人在协议书中约定的承包范围内的工程。</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1.11 合同价款：指发包人承包人在协议书中约定，发包人用以支付承包人按照合同约定完成承包范围内全部工程并承担质量保修责任的款项。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1.12 追加合同价款：指在合同履行中发生需要增加合同价款的情况，经发包人确认后按计算合同价款的方法增加的合同价款。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费用：指不包含在合同价款之内的应当由发包人或承包人承担的经济支出。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工期：指发包人承包人在协议书中约定，按总日历天数（包括法定节假日）计算的承包天数。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1.15 开工日期：指发包人承包人在协议书中约定，承包人开始施工的绝对或相对的日期。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1.16 竣工日期：指发包人承包人在协议书中约定，承包人完成承包范围内工程的绝对或相对的日期。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1.17 图纸：指由发包人提供或承包人提供并经发包人批准，满足承包人施工需要的所有图纸（包括配套说明和有关资料）。</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1.18 施工场地：指由发包人提供的用于工程施工的场所以及发包人在图纸中具体指定的供施工使用的任何其他场所。</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1.19 书面形式：指合同书、信件和数据电文（包括电报、电传、传真、电子数据交换和电子邮件）等可以有形地表现所载内容的形式。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1.20 违约责任：指合同一方不履行合同义务或履行合同义务不符合约定所应承担的责任。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1.21 索赔：指在合同履行过程中，对于并非自己的过错，而是应由对方承担责任的情况造成的实际损失，向对方提出经济补偿和（或）工期顺延的要求。</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1.22 不可抗力：指不能预见、不能避免并不能克服的客观情况。</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2、合同文件及解释顺序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 合同文件应能相互解释，互为说明。除专用条款另有约定外，组成本合同的文件及优先解释顺序如下：</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1）本合同协议书</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2）中标通知书</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3）投标书及其附件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4）本合同专用条款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5）本合同通用条款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6）标准、规范及有关技术文件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7）图纸</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8）工程量清单</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9）工程报价单或预算书</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合同履行中，发包人承包人有关工程的洽商、变更等书面协议或文件视为本合同的组成部分。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3、语言文字和适用法律、标准及规范</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 语言文字</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本合同文件使用汉语语言文字书写、解释和说明。如专用条款约定使用两种以上（含两种）语言文字时，汉语应为解释和说明本合同的标准语言文字。</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在少数民族地区，双方可以约定使用少数民族语言文字书写和解释、说明本合同。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 适用法律和法规</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本合同文件适用国家的法律和行政法规。需要明示的法律、行政法规，由双方在专用条款中约定。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 适用标准、规范</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国内没有相应标准、规范的，由发包人按专用条款约定的时间向承包人</w:t>
      </w:r>
      <w:r>
        <w:rPr>
          <w:rFonts w:hint="eastAsia" w:ascii="宋体" w:hAnsi="宋体"/>
          <w:color w:val="auto"/>
          <w:spacing w:val="4"/>
          <w:szCs w:val="21"/>
          <w:highlight w:val="none"/>
        </w:rPr>
        <w:t>提出施工技术要求，承包人按约定的时间和要求提出施工工艺，经发包人认</w:t>
      </w:r>
      <w:r>
        <w:rPr>
          <w:rFonts w:hint="eastAsia" w:ascii="宋体" w:hAnsi="宋体"/>
          <w:color w:val="auto"/>
          <w:szCs w:val="21"/>
          <w:highlight w:val="none"/>
        </w:rPr>
        <w:t>可后执行。发包人要求使用国外标准、规范的，应负责提供中文译本。</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本条所发生的购买、翻译标准、规范或制定施工工艺的费用，由发包人承担。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4、图纸</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4.2 承包人未经发包人同意，不得将本工程图纸转给第三人。工程质量保修期满后，除承包人存档需要的图纸外，应将全部图纸退还给发包人。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4.3 承包人应在施工现场保留一套完整图纸，供工程师及有关人员进行工程检查时使用。</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二、双方一般权利和义务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5、工程师</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5.1实行工程监理的，发包人应在实施监理前将委托的监理单位名称、监理内容及监理权限以书面形式通知承包人。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Cs w:val="21"/>
          <w:highlight w:val="none"/>
        </w:rPr>
        <w:t>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5.5 </w:t>
      </w:r>
      <w:r>
        <w:rPr>
          <w:rFonts w:hint="eastAsia" w:ascii="宋体" w:hAnsi="宋体"/>
          <w:color w:val="auto"/>
          <w:szCs w:val="21"/>
          <w:highlight w:val="none"/>
        </w:rPr>
        <w:t>除合同内有明确约定或经发包人同意外，负责监理的工程师无权解除本合同约定的承包人的任何权利与义务。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5.6 不实行工程监理的，本合同中工程师专指发包人派驻施工现场履行合同的代表，其具体职权由发包人在专用条款中写明。</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6、工程师的委派和指令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除工程师或工程师代表外，发包人派驻工地的其他人员均无权向承包人发出任何指令。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6.2 </w:t>
      </w:r>
      <w:r>
        <w:rPr>
          <w:rFonts w:hint="eastAsia" w:ascii="宋体" w:hAnsi="宋体"/>
          <w:color w:val="auto"/>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Cs w:val="21"/>
          <w:highlight w:val="none"/>
        </w:rPr>
        <w:t>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承包人认为工程师指令不合理，应在收到指令后</w:t>
      </w:r>
      <w:r>
        <w:rPr>
          <w:rFonts w:ascii="宋体" w:hAnsi="宋体"/>
          <w:color w:val="auto"/>
          <w:szCs w:val="21"/>
          <w:highlight w:val="none"/>
        </w:rPr>
        <w:t>24小时内向工程师提出修改指令的书面报告，工程师在收到承包人报告后24小时内</w:t>
      </w:r>
      <w:r>
        <w:rPr>
          <w:rFonts w:hint="eastAsia" w:ascii="宋体" w:hAnsi="宋体"/>
          <w:color w:val="auto"/>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本款规定同样适用于由工程师代表发出的指令、通知。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工程师应按合同约定，及时向承包人提供所需指令、批准并履行约定的</w:t>
      </w:r>
      <w:r>
        <w:rPr>
          <w:rFonts w:hint="eastAsia" w:ascii="宋体" w:hAnsi="宋体"/>
          <w:color w:val="auto"/>
          <w:spacing w:val="4"/>
          <w:szCs w:val="21"/>
          <w:highlight w:val="none"/>
        </w:rPr>
        <w:t>其他义务。由于工程师未能按合同约定履行义务造成工期延误，发包人应承</w:t>
      </w:r>
      <w:r>
        <w:rPr>
          <w:rFonts w:hint="eastAsia" w:ascii="宋体" w:hAnsi="宋体"/>
          <w:color w:val="auto"/>
          <w:szCs w:val="21"/>
          <w:highlight w:val="none"/>
        </w:rPr>
        <w:t>担延误造成的追加合同价款，并赔偿承包人有关损失，顺延延误的工期。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6.4 如需更换工程师，发包人应至少提前7天以书面形式通知承包人，后任继续行使合同文件约定的前任的职权，履行前任的义务。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项目负责人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项目负责人的姓名、职务在专用条款内写明。</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承包人依据合同发出的通知，以书面形式由项目负责人签字后送交工程师，工程师在回执上签署姓名和收到时间后生效。</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Cs w:val="21"/>
          <w:highlight w:val="none"/>
        </w:rPr>
        <w:t>48小时内向工程师送交报告。责任在发包人或第三人，由发包人承担由此发生的追加合同价款，相应顺延工期；责任在承包人，由承包人承担费用，不顺延工期。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承包人如需更换项目负责人，应至少提前</w:t>
      </w:r>
      <w:r>
        <w:rPr>
          <w:rFonts w:ascii="宋体" w:hAnsi="宋体"/>
          <w:color w:val="auto"/>
          <w:szCs w:val="21"/>
          <w:highlight w:val="none"/>
        </w:rPr>
        <w:t>7天以书面形式通知发包人，并征得发包人同意。后任继续行使合同文件约定的前任的职权，履行前任的义务。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7.5 </w:t>
      </w:r>
      <w:r>
        <w:rPr>
          <w:rFonts w:hint="eastAsia" w:ascii="宋体" w:hAnsi="宋体"/>
          <w:color w:val="auto"/>
          <w:szCs w:val="21"/>
          <w:highlight w:val="none"/>
        </w:rPr>
        <w:t>发包人可以与承包人协商，建议更换其认为不称职的项目负责人。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8、发包人工作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8.1 发包人按专用条款约定的内容和时间完成以下工作: </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办理土地征用、拆迁补偿、平整施工场地等工作，使施工场地具备施工条件，在开工后继续负责解决以上事项遗留问题；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将施工所需水、电、电讯线路从施工场地外部接至专用条款约定地点，保证施工期间的需要；</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开通施工场地与城乡公共道路的通道，以及专用条款约定的施工场地内的主要道路，满足施工运输的需要，保证施工期间的畅通。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向承包人提供施工场地的工程地质和地下管线资料，对资料的真实准确性负责；</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办理施工许可证及其他施工所需证件、批件和临时用地、停水、停电、中断道路交通、爆破作业等的申请批准文件（证明承包人自身资质的证件除外）；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确定水准点与坐标控制点，以书面形式交给承包人，进行现场交验；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组织承包人和设计单位进行图纸会审和设计交底；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 协调管理施工场地周围地下管线和邻近建筑物、构筑物（包括文物保护建筑）、古树名木的保护工作，承担有关费用；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 发包人应做的其他工作，双方在专用条款内约定。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8.2 发包人未履行8.1款各项义务，导致工期延误或给承包人造成损失的，发包人赔偿承包人有关损失，顺延延误的工期。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9、承包人工作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9.1 承包人按专用条款约定的内容和时间完成以下工作：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根据发包人委托，在其设计资质等级和业务允许的范围内，完成施工图设计或与工程配套的设计，经工程师确认后使用，发包人承担由此发生的费用；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向工程师提供年、季、月度工程进度计划及相应进度统计报表；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根据工程需要，提供和维修非夜间施工使用的照明、围栏设施，并负责安全保卫；</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按专用条款约定的数量和要求，向发包人提供施工场地办公和生活的房屋及设施，发包人承担由此发生的费用；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按专用条款约定做好施工场地地下管线和邻近建筑物、构筑物（包括文物保护建筑）、古树名木的保护工作；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保证施工场地清洁符合环境卫生管理的有关规定，交工前清理现场达到专用条款约定的要求，承担因自身原因违反有关规定造成的损失和罚款；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w:t>
      </w:r>
      <w:r>
        <w:rPr>
          <w:rFonts w:hint="eastAsia" w:ascii="宋体" w:hAnsi="宋体"/>
          <w:color w:val="auto"/>
          <w:spacing w:val="-6"/>
          <w:szCs w:val="21"/>
          <w:highlight w:val="none"/>
        </w:rPr>
        <w:t>办理施工许可证及施工所需证件、批件和临时用地、停水、停电、中断</w:t>
      </w:r>
      <w:r>
        <w:rPr>
          <w:rFonts w:hint="eastAsia" w:ascii="宋体" w:hAnsi="宋体"/>
          <w:color w:val="auto"/>
          <w:szCs w:val="21"/>
          <w:highlight w:val="none"/>
        </w:rPr>
        <w:t>道路交通、爆破作业等的申请批准手续（证明承包人自身资质的证件除外）；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(10)承包人应做的其他工作，双方在专用条款内约定。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9.2承包人未能履行9.1款各项义务，造成发包人损失的，承包人赔偿发包人有关损失。</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三、施工组织设计和工期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10、进度计划</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10.1 承包人应按专用条款约定的日期，将施工组织设计和工程进度计划提交工程师，工程师按专用条款约定的时间予以确认或提出修改意见，逾期不确认也不提出书面意见的，视为同意。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10.2群体工程中单位工程分期进行施工的，承包人应按照发包人提供图纸及有关资料的时间，按单位工程编制进度计划，其具体内容双方在专用条款中约定。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11、开工及延期开工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11.2因发包人原因不能按照协议书约定的开工日期开工，工程师应以书面形式通知承</w:t>
      </w:r>
      <w:r>
        <w:rPr>
          <w:rFonts w:hint="eastAsia" w:ascii="宋体" w:hAnsi="宋体"/>
          <w:color w:val="auto"/>
          <w:szCs w:val="21"/>
          <w:highlight w:val="none"/>
        </w:rPr>
        <w:t>包人，推迟开工日期。发包人赔偿承包人因延期开工造成的损失，并相应顺延工期。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12、暂停施工</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工程师认为确有必要暂停施工时，应当以书面形式要求承包人暂停施工，并在提出要求后</w:t>
      </w:r>
      <w:r>
        <w:rPr>
          <w:rFonts w:ascii="宋体" w:hAnsi="宋体"/>
          <w:color w:val="auto"/>
          <w:szCs w:val="21"/>
          <w:highlight w:val="none"/>
        </w:rPr>
        <w:t>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13、工期延误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13.1因以下原因造成工期延误，经工程师确认工期相应顺延；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发包人未能按专用条款的约定提供图纸及开工条件；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发包人未能按约定日期支付工程预付款、进度款，致使施工不能正常进行；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工程师未按合同约定提供所需指令、批准等，致使施工不能正常进行；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设计变更和工程量增加；</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一周内非承包人原因停水、停电、停气造成停工累计超过</w:t>
      </w:r>
      <w:r>
        <w:rPr>
          <w:rFonts w:ascii="宋体" w:hAnsi="宋体"/>
          <w:color w:val="auto"/>
          <w:szCs w:val="21"/>
          <w:highlight w:val="none"/>
        </w:rPr>
        <w:t>8小时；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不可抗力；</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专用条款中约定或工程师同意工期顺延的其他情况。</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13.2承包人在13.1款情况发生后14天内，就延误的工期以书面形式向工程师提出报告。工程师在收到报告后14天内予以确认，逾期不予确认也不提出修改意见，视为同意顺延工期。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14、工程竣工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14.1 承包人必须按照协议书约定的竣工日期或工程师同意顺延的工期竣工。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14.2 因承包人原因不能按照协议书约定的竣工日期或工程师同意顺延的工期竣工的，承包人承担违约责任。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四、质量与检验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15、工程质量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w:t>
      </w:r>
      <w:r>
        <w:rPr>
          <w:rFonts w:ascii="宋体" w:hAnsi="宋体"/>
          <w:color w:val="auto"/>
          <w:spacing w:val="6"/>
          <w:szCs w:val="21"/>
          <w:highlight w:val="none"/>
        </w:rPr>
        <w:t xml:space="preserve">5.1 </w:t>
      </w:r>
      <w:r>
        <w:rPr>
          <w:rFonts w:hint="eastAsia" w:ascii="宋体" w:hAnsi="宋体"/>
          <w:color w:val="auto"/>
          <w:spacing w:val="6"/>
          <w:szCs w:val="21"/>
          <w:highlight w:val="none"/>
        </w:rPr>
        <w:t>工程质量应当达到协议书约定的质量标准，质量标准的评定以国家或</w:t>
      </w:r>
      <w:r>
        <w:rPr>
          <w:rFonts w:hint="eastAsia" w:ascii="宋体" w:hAnsi="宋体"/>
          <w:color w:val="auto"/>
          <w:szCs w:val="21"/>
          <w:highlight w:val="none"/>
        </w:rPr>
        <w:t>行业的质量检验评定标准为依据。因承包人原因工程质量达不到约定的质量标准，承包人承担违约责任。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15.2 双方对工程质量有争议，由双方同意的工程质量检测机构鉴定，所需费用及因此造成的损失，由责任方承担。双方均有责任，由双方根据其责任分别承担。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16、检查和返工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16.1 承包人应认真按照标准、规范和设计图纸要求以及工程师依据合同发出的指令施工，随时接受工程师的检查检验，为检查检验提供便利条件。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16.3 工程师的检查检验不应影响施工正常进行。如影响施工正常进行，检查检验不合格时，影响正常施工的费用由承包人承担。除此之外影响正常施工的追加合同价款由发包人承担，相应顺延工期。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16.4 因工程师指令失误或其他非承包人原因发生的追加合同价款，由发包人承担。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17、隐蔽工程和中间验收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rPr>
        <w:t>工程具备隐蔽条件或达到专用条款约定的中间验收部位，承包人进行自检，并在隐蔽或中间验收前</w:t>
      </w:r>
      <w:r>
        <w:rPr>
          <w:rFonts w:ascii="宋体" w:hAnsi="宋体"/>
          <w:color w:val="auto"/>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Cs w:val="21"/>
          <w:highlight w:val="none"/>
        </w:rPr>
        <w:t>工程师在验收记录上签字后，承包人可进行隐蔽和继续施工。验收不合格</w:t>
      </w:r>
      <w:r>
        <w:rPr>
          <w:rFonts w:hint="eastAsia" w:ascii="宋体" w:hAnsi="宋体"/>
          <w:color w:val="auto"/>
          <w:szCs w:val="21"/>
          <w:highlight w:val="none"/>
        </w:rPr>
        <w:t>，承包人在工程师限定的时间内修改后重新验收。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17.2 工程师不能按时进行验收，应在验收前24小时以书面形式向承包人提出延期要求，延期不能超过48小时。工程师未能按以上时间提出延期要求，不进行验收，承包人可自行组织验收，工程师应承认验收记录。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17.3 </w:t>
      </w:r>
      <w:r>
        <w:rPr>
          <w:rFonts w:hint="eastAsia" w:ascii="宋体" w:hAnsi="宋体"/>
          <w:color w:val="auto"/>
          <w:szCs w:val="21"/>
          <w:highlight w:val="none"/>
        </w:rPr>
        <w:t>经工程师验收，工程质量符合标准、规范和设计图纸等要求，验收</w:t>
      </w:r>
      <w:r>
        <w:rPr>
          <w:rFonts w:ascii="宋体" w:hAnsi="宋体"/>
          <w:color w:val="auto"/>
          <w:szCs w:val="21"/>
          <w:highlight w:val="none"/>
        </w:rPr>
        <w:t>24</w:t>
      </w:r>
      <w:r>
        <w:rPr>
          <w:rFonts w:hint="eastAsia" w:ascii="宋体" w:hAnsi="宋体"/>
          <w:color w:val="auto"/>
          <w:spacing w:val="4"/>
          <w:szCs w:val="21"/>
          <w:highlight w:val="none"/>
        </w:rPr>
        <w:t>小时后，工程师不在验收记录上签字，视为工程师已经认可验收记录，承包</w:t>
      </w:r>
      <w:r>
        <w:rPr>
          <w:rFonts w:hint="eastAsia" w:ascii="宋体" w:hAnsi="宋体"/>
          <w:color w:val="auto"/>
          <w:szCs w:val="21"/>
          <w:highlight w:val="none"/>
        </w:rPr>
        <w:t>人可进行隐蔽或继续施工。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18、重新检验</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19、工程试车</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19.1 双方约定需要试车的，试车内容应与承包人承包的安装范围相一致。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19.3 工程师不能按时参加试车，须在开始试车前24小时以书面形式向承包人提出延期要求，延期不能超过48小时。工程师未能按以上时间提出延期要求，不参加试车，应承认试车记录。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19.5双方责任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由于设计原因试车达不到验收要求，发包人应要求设计单位修改设计，承包人按修改后的设计重新安装。发包人承担修改设计、拆除及重新安装的全部费用和追加合同价款，工期相应顺延。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由于承包人施工原因试车达不到验收要求，承包人按工程师要求重新安装和试车，并承担重新安装和试车的费用，工期不予顺延。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rPr>
        <w:t>试车费用除已包括在合同价款之内或专用条款另有约定外，均由发包人承担。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工程师在试车合格后不在试车记录上签字，试车结束24小时后，视为工程师已经认可试车记录，承包人可继续施工或办理竣工手续。</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19.6 投料试车应在工程竣工验收后由发包人负责，如发包人要求在工程竣工验收前进行或需要承包人配合时，应征得承包人同意，另行签订补充协议。</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五、安全施工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20、安全施工与检查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20.2发包人应对其在施工场地的工作人员进行安全教育，并对他们的安全负责。发包人不得要求承包人违反安全管理的规定进行施工。因发包人原因导致的安全事故，由发包人承担相应责任及发生的费用。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21、安全防护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21.1承包人在动力设备、输电线路、地下管道、密封防震车间、易燃易爆地段以及临街交通要道附近施工时，施工开始前应向工程师提出安全防护措施，经工程师认可后实施，防护措施费用由发包人承担。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Cs w:val="21"/>
          <w:highlight w:val="none"/>
        </w:rPr>
        <w:t>程师，并提出相应的安全防护措施，经工程师认可后实施</w:t>
      </w:r>
      <w:r>
        <w:rPr>
          <w:rFonts w:ascii="宋体" w:hAnsi="宋体"/>
          <w:color w:val="auto"/>
          <w:spacing w:val="2"/>
          <w:szCs w:val="21"/>
          <w:highlight w:val="none"/>
        </w:rPr>
        <w:t>,由发包人承担安全</w:t>
      </w:r>
      <w:r>
        <w:rPr>
          <w:rFonts w:hint="eastAsia" w:ascii="宋体" w:hAnsi="宋体"/>
          <w:color w:val="auto"/>
          <w:szCs w:val="21"/>
          <w:highlight w:val="none"/>
        </w:rPr>
        <w:t>防护措施费用。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22、事故处理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22.1发生重大伤亡及其他安全事故，承包人应按有关规定立即上报有关部门并通知工程师，同时按政府有关部门要求处理，由事故责任方承担发生的费用。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22.2发包人承包人对事故责任有争议时，应按政府有关部门的认定处理。</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六、合同价款与支付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23、合同价款及调整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23.1招标工程的合同价款由发包人承包人依据中标通知书中的中标价格在协议书内约定。非招标工程的合同价款由发包人承包人依据工程预算书在协议书内约定。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23.2合同价款在协议书内约定后，任何一方不得擅自改变。下列三种确定合同价款的方式，双方可在专用条款内约定采用其中一种：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固定价格合同。双方在专用条款内约定合同价款包含的风险范围和风险费用的计算方法，在约定的风险范围内合同价款不再调整。风险范围以外的合同价款调整方法，应当在专用条款内约定。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可调价格合同。合同价款可根据双方的约定而调整，双方在专用条款内约定合同价款调整方法。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成本加酬金合同。合同价款包括成本和酬金两部分，双方在专用条款内约定成本构成和酬金的计算方法。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23.3可调价格合同中合同价款的调整因素包括：</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法律、行政法规和国家有关政策变化影响合同价款；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工程造价管理部门公布的价格调整；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一周内非承包人原因停水、停电、停气造成的停工累计超过8小时；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双方约定的其他因素。</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24、工程预付款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Cs w:val="21"/>
          <w:highlight w:val="none"/>
        </w:rPr>
        <w:t>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25、工程量的确认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25.2 工程师收到承包人报告后7天内未进行计量，从第8天起，承包人报告中开列的工程量即视为被确认，作为工程价款支付的依据。工程师不按约定时间通知承包人，致使承包人未能参加计量，计量结果无效。</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25.3对承包人超出设计图纸范围和因承包人原因造成返工的工程量，工程师不予计量。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26、工程款（进度款）支付。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26.1 在确认计量结果后14天内，发包人应向承包人支付工程款（进度款）。按约定时间发包人应扣回的预付款，与工程款（进度款）同期结算。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26.2 本通用条款第23条确定调整的合同价款，第31条工程变更调整的合同价款及其他条款中约定的追加合同价款，应与工程款（进度款）同期调整支付。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26.4 发包人不按合同约定支付工程款（进度款），双方又未达成延期付款协议，导致施工无法进行，承包人可停止施工，由发包人承担违约责任。</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七、材料设备供应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27、发包人供应材料设备</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27.1 实行发包人供应材料设备的，双方应当约定发包人供应材料设备的一览表，作为本合同附件（附件2）。一览表包括发包人供应材料设备的品种、规格、型号、数量、单价、质量等级、提供时间和地点。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27.2 发包人按一览表约定的内容提供材料设备，并向承包人提供产品合格证明，对其质量负责。发包人在所供材料设备到货前24小时，以书面形式通知承包人，由承包人派人与发包人共同清点。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27.3 发包人供应的材料设备，承包人派人参加清点后由承包人妥善保管，发包人支付相应保管费用。因承包人原因发生丢失损坏，由承包人负责赔偿。</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发包人未通知承包人清点，承包人不负责材料设备的保管，丢失损坏由发包人负责。</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27.4发包人供应的材料设备与一览表不符时，发包人承担有关责任。发包人应承担责任的具体内容，双方根据下列情况在专用条款内约定。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材料设备单价与一览表不符，由发包人承担所有价差；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材料设备的品种、规格、型号、质量等级与一览表不符，承包人可拒绝接收保管，由发包人运出施工场地并重新采购；</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发包人供应的材料规格、型号与一览表不符，经发包人同意，承包人可代为调剂串换，由发包人承担相应费用；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到货地点与一览表不符，由发包人负责运至一览表指定地点：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供应数量少于一览表约定的数量时，由发包人补齐，多于一览表约定数量时，发包人负责将多出部分运出施工场地；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 到货时间早于一览表约定时间，由发包人承担因此发生的保管费用；到货时间迟于一览表约定的供应时间，发包人赔偿由此造成的承包人损失，造成工期延误的，相应顺延工期。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27.5发包人供应的材料设备使用前，由承包人负责检验或试验，不合格的不得使用，检验或试验费用由发包人承担。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27.6发包人供应材料设备的结算方法，双方在专用条款内约定。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28、承包人采购材料设备</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28.1 </w:t>
      </w:r>
      <w:r>
        <w:rPr>
          <w:rFonts w:hint="eastAsia" w:ascii="宋体" w:hAnsi="宋体"/>
          <w:color w:val="auto"/>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Cs w:val="21"/>
          <w:highlight w:val="none"/>
        </w:rPr>
        <w:t>24小时通知工程师清点。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28.2</w:t>
      </w:r>
      <w:r>
        <w:rPr>
          <w:rFonts w:ascii="宋体" w:hAnsi="宋体"/>
          <w:color w:val="auto"/>
          <w:spacing w:val="8"/>
          <w:szCs w:val="21"/>
          <w:highlight w:val="none"/>
        </w:rPr>
        <w:t>承包人采购的材料设备与设计或标准要求不符时，承包人应按工程师要</w:t>
      </w:r>
      <w:r>
        <w:rPr>
          <w:rFonts w:hint="eastAsia" w:ascii="宋体" w:hAnsi="宋体"/>
          <w:color w:val="auto"/>
          <w:szCs w:val="21"/>
          <w:highlight w:val="none"/>
        </w:rPr>
        <w:t>求的时间运出施工场地，重新采购符合要求的产品，承担由此发生的费用，由此延误的工期不予顺延。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28.3 承包人采购的材料设备在使用前，承包人应按工程师的要求进行检验或试验，不合格的不得使用，检验或试验费用由承包人承担。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28.4 工程师发现承包人采购并使用不符合设计或标准要求的材料设备时，应要求由承包人负责修复、拆除或重新采购，并承担发生的费用，由此延误的工期不予顺延。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28.5 承包人需要使用代用材料时，应经工程师认可后才能使用，由此增减的合同价款双方以书面形式议定。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28.6 由承包人采购的材料设备，发包人不得指定生产厂或供应商。</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八、工程变更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29、工程设计变更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更改工程有关部分的标高、基线、位置和尺寸；</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增减合同中约定的工程量；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改变有关工程的施工时间和顺序；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其他有关工程变更需要的附加工作。</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因变更导致合同价款的增减及造成的承包人损失，由发包人承担，延误的工期相应顺延。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29.2施工中承包人不得对原工程设计进行变更。因承包人擅自变更设计发生的费用和由此导致发包人的直接损失，由承包人承担，延误的工期不予顺延。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工程师同意采用承包人合理化建议，所发生的费用和获得的收益，发包人承包人另行约定分担或分享。</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30、其他变更</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合同履行中发包人要求变更工程质量标准及发生其他实质性变更，由双方协商解决。</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31、确定变更价款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31.1承包人在工程变更确定后14天内，提出变更工程价款的报告，经工程师确认后调整合同价款。变更合同价款按下列方法进行：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合同中已有适用于变更工程的价格，按合同已有的价格变更合同价款；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合同中只有类似于变更工程的价格，可以参照类似价格变更合同价款；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合同中没有适用或类似于变更工程的价格，由承包人提出适当的变更价格，经工程师确认后执行。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31.2承包人在双方确定变更后14天内不向工程师提出变更工程价款报告时，视为该项变更不涉及合同价款的变更。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31.3工程师应在收到变更工程价款报告之日起14天内予以确认，工程师无正当理由不确认时，自变更工程价款报告送达之日起14天后视为变更工程价款报告已被确认。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31.4工程师不同意承包人提出的变更价款，按本通用条款第37条关于争议的约定处理。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31.5工程师确认增加的工程变更价款作为追加合同价款，与工程款同期支付。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31.6因承包人自身原因导致的工程变更，承包人无权要求追加合同价款。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九、竣工验收与结算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32、竣工验收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工程具备竣工验收条件，承包人按国家工程竣工验收有关规定，向发包人提供完整竣工资料及竣工验收报告。双方约定由承包人提供竣工图的，应当在专用条款内约定提供的日期和份数。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发包人收到竣工验收报告后</w:t>
      </w:r>
      <w:r>
        <w:rPr>
          <w:rFonts w:ascii="宋体" w:hAnsi="宋体"/>
          <w:color w:val="auto"/>
          <w:szCs w:val="21"/>
          <w:highlight w:val="none"/>
        </w:rPr>
        <w:t>28天内组织有关单位验收，并在验收后14天内给予认可或提出修改意见。承包人按要求修改，并承担由自身原因造成修改的费用。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32.3 发包人收到承包人送交的竣工验收报告后28天内不组织验收，或验收后14天内不提出修改意见，视为竣工验收报告已被认可。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32.4 工程竣工验收通过，承包人送交竣工验收报告的日期为实际竣工日期。工程按发包人要求修改后通过竣工验收的，实际竣工日期为承包人修改后提请发包人验收的日期。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32.5 发包人收到承包人竣工验收报告后28天内不组织验收，从第29天起承担工程保管及一切意外责任。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32.6 中间交工工程的范围和竣工时间，双方在专用条款内约定，其验收程序按本通用条款32.1款至32.4款办理。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32.7 因特殊原因，发包人要求部分单位工程或工程部位甩项竣工的，双方另行签订甩项竣工协议，明确双方责任和工程价款支付方法。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32.8 工程未经竣工验收或竣工验收未通过的，发包人不得使用。发包人强行使用时，由此发生的质量问题及其他问题，由发包人承担责任。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33、竣工结算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33.1 工程竣工验收报告经发包人认可后28天内，承包人向发包人递交竣工结算报告及完整的结算资料，双方按照协议书约定的合同价款及专用条款约定的合同价款调整内容，进行工程竣工结算。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发包人收到竣工结算报告及结算资料后</w:t>
      </w:r>
      <w:r>
        <w:rPr>
          <w:rFonts w:ascii="宋体" w:hAnsi="宋体"/>
          <w:color w:val="auto"/>
          <w:szCs w:val="21"/>
          <w:highlight w:val="none"/>
        </w:rPr>
        <w:t>28天内无正当理由不支付工程竣工结算价款，从第29天起按承包人同期向银行贷款利率支付拖欠工程价款的利息，并承担违约责任。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33.4 </w:t>
      </w:r>
      <w:r>
        <w:rPr>
          <w:rFonts w:hint="eastAsia" w:ascii="宋体" w:hAnsi="宋体"/>
          <w:color w:val="auto"/>
          <w:szCs w:val="21"/>
          <w:highlight w:val="none"/>
        </w:rPr>
        <w:t>发包人收到竣工结算报告及结算资料后</w:t>
      </w:r>
      <w:r>
        <w:rPr>
          <w:rFonts w:ascii="宋体" w:hAnsi="宋体"/>
          <w:color w:val="auto"/>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33.6 发包人承包人对工程竣工结算价款发生争议时，按本通用条款37条关于争议的约定处理。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34、质量保修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34.1 承包人应按法律、行政法规或国家关于工程质量保修的有关规定，对交付发包人使用的工程在质量保修期内承担质量保修责任。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34.2 质量保修工作的实施。承包人应在工程竣工验收之前，与发包人签订质量保修书，作为本合同附件（附件3）。</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34.3 质量保修书的主要内容包括：</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质量保修项目内容及范围；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质量保修期；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质量保修责任；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质量保修金的支付方法。</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十、违约、索赔和争议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35、违约</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35.1发包人违约。当发生下列情况时：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本通用条款第24条提到的发包人不按时支付工程预付款；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本通用条款第26.4款提到的发包人不按合同约定支付工程款，导致施工无法进行；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本通用条款第</w:t>
      </w:r>
      <w:r>
        <w:rPr>
          <w:rFonts w:ascii="宋体" w:hAnsi="宋体"/>
          <w:color w:val="auto"/>
          <w:szCs w:val="21"/>
          <w:highlight w:val="none"/>
        </w:rPr>
        <w:t>33.3款提到的发包人无正当理由不支付工程竣工结算价款；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发包人不履行合同义务或不按合同约定履行义务的其他情况。</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35.2承包人违约。当发生下列情况时：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本通用条款第14.2款提到的因承包人原因不能按照协议书约定的竣工日期或工程师同意顺延的工期竣工；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本通用条款第15.1款提到的因承包人原因工程质量达不到协议书约定的质量标准；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承包人不履行合同义务或不按合同约定履行义务的其他情况。</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承包人承担违约责任，赔偿因其违约给发包人造成的损失。双方在专用条款内约定承包人赔偿发包人损失的计算方法或者承包人应当支付违约金的数额或计算方法。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35.3一方违约后，另一方要求违约方继续履行合同时，违约方承担上述违约责任后仍应继续履行合同。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36、索赔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36.1当</w:t>
      </w:r>
      <w:r>
        <w:rPr>
          <w:rFonts w:hint="eastAsia" w:ascii="宋体" w:hAnsi="宋体"/>
          <w:color w:val="auto"/>
          <w:szCs w:val="21"/>
          <w:highlight w:val="none"/>
        </w:rPr>
        <w:t>一方向另一方提出索赔时，要有正当索赔理由，且有索赔事件发生时的有效证据。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索赔事件发生后28天内，向工程师发出索赔意向通知；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发出索赔意向通知后28天内，向工程师提出延长工期和（或）补偿经济损失的索赔报告及有关资料；</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工程师在收到承包人送交的索赔报告及有关资料后，于28天内给予答复，或要求承包人进一步补充索赔理由和证据；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工程师在收到承包人送交的索赔报告和有关资料后28天内未予答复或未对承包人作进一步要求，视为该项索赔已经认可；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当该索赔事件持续进行时，承包人应当阶段性向工程师发出索赔意向，在索赔事件终了后28天内，向工程师送交索赔的有关资料和最终索赔报告。索赔答复程序与（3）、（4）规定相同。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36.3承包人未能按合同约定履行自己的各项义务或发生错误，给发包人造成经济损失，发包人可按36.2款确定的时限向承包人提出索赔。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37、争议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37.1发包人承包人在履行合同时发生争议，可以和解或者要求有关主管部门调解。当事人不愿和解、调解或者和解、调解不成的，双方可以在专用条款内约定以下一种方式解决争议：</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第一种解决方式：双方达成仲裁协议，向约定的仲裁委员会申请仲裁；</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第二种解决方式：向有管辖权的人民法院起诉。</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37.2发生争议后，除非出现下列情况的，双方都应继续履行合同，保持施工连续，保护好已完工程：</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单方违约导致合同确已无法履行，双方协议停止施工；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调解要求停止施工，且为双方接受；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仲裁机构要求停止施工；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法院要求停止施工。</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十一、其他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38、工程分包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38.1 承包人按专用条款的约定分包所承包的部分工程，并与分包单位签订分包合同。非经发包人同意，承包人不得将承包工程的任何部分分包。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38.2 承包人不得将其承包的全部工程转包给他人，也不得将其承包的全部工程肢解以后以分包的名义分别转包给他人。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38.3 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38.4分包工程价款由承包人与分包单位结算。发包人未经承包人同意不得以任何形式向分包单位支付各种工程款项。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39、不可抗力</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39.1 </w:t>
      </w:r>
      <w:r>
        <w:rPr>
          <w:rFonts w:hint="eastAsia" w:ascii="宋体" w:hAnsi="宋体"/>
          <w:color w:val="auto"/>
          <w:szCs w:val="21"/>
          <w:highlight w:val="none"/>
        </w:rPr>
        <w:t>不可抗力包括因战争、动乱、空中飞行物体坠落或其他非发包人承包人责任造成的爆炸、火灾，以及专用条款约定的风、雨、雪、洪、震等自然灾害。</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39.3 </w:t>
      </w:r>
      <w:r>
        <w:rPr>
          <w:rFonts w:hint="eastAsia" w:ascii="宋体" w:hAnsi="宋体"/>
          <w:color w:val="auto"/>
          <w:szCs w:val="21"/>
          <w:highlight w:val="none"/>
        </w:rPr>
        <w:t>因不可抗力事件导致的费用及延误的工期由双方按以下方法分别承担：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工程本身的损害、因工程损害导致第三人人员伤亡和财产损失以及运至施工场地用于施工的材料和待安装的设备的损害，由发包人承担；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发包人承包人人员伤亡由其所在单位负责，并承担相应费用；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承包人机械设备损坏及停工损失，由承包人承担；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停工期间，承包人应工程师要求留在施工场地的必要的管理人员及保卫人员的费用由发包人承担；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工程所需清理、修复费用，由发包人承担；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 延误的工期相应顺延。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39.4因合同一方迟延履行合同后发生不可抗力的，不能免除迟延履行方的相应责任。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40、保险</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40.1工程开工前，发包人为建设工程和施工场地内的自有人员及第三</w:t>
      </w:r>
      <w:r>
        <w:rPr>
          <w:rFonts w:hint="eastAsia" w:ascii="宋体" w:hAnsi="宋体"/>
          <w:color w:val="auto"/>
          <w:szCs w:val="21"/>
          <w:highlight w:val="none"/>
        </w:rPr>
        <w:t>人人员生命财产办理保险，支付保险费用。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40.2运至施工场内用于工程的材料和待安装设备，由发包人办理保险，并支付保险费用。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40.3发包人可以将有关保险事项委托承包人办理，费用由发包人承担。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40.4承包人必须为从事危险作业的职工办理意外伤害保险，并为施工场地内自有人员生命财产和施工机械设备办理保险，支付保险费用。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40.5保险事故发生时，发包人承包人有责任尽力采取必要的措施，防止或者减少损失。</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40.6具体投保内容和相关责任，发包人承包人在专用条款中约定。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41、担保</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41.1发包人、承包人为了全面履行合同，应互相提供以下担保：</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发包人向承包人提供履约担保，按合同约定支付工程价款及履行合同约定的其他义务。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承包人向发包人提供履约担保，按合同约定履行自己的各项义务。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41.2 一方违约后，另一方可要求提供担保的第三人承担相应责任。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41.3 提供担保的内容、方式和相关责任，发包人承包人除在专用条款中约定外，被担保方与担保方还应签订担保合同，作为本合同附件。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42、专利技术及特殊工艺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42.2 擅自使用专利技术侵犯他人专利权的，责任者依法承担相应责任。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43、文物和地下障碍物</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43.1 </w:t>
      </w:r>
      <w:r>
        <w:rPr>
          <w:rFonts w:hint="eastAsia" w:ascii="宋体" w:hAnsi="宋体"/>
          <w:color w:val="auto"/>
          <w:szCs w:val="21"/>
          <w:highlight w:val="none"/>
        </w:rPr>
        <w:t>在施工中发现古墓、古建筑遗址等文物及化石或其他有考古、地质研究等价值的物品时，承包人应立即保护好现场并于</w:t>
      </w:r>
      <w:r>
        <w:rPr>
          <w:rFonts w:ascii="宋体" w:hAnsi="宋体"/>
          <w:color w:val="auto"/>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如发现后隐瞒不报，致使文物遭受破坏，责任者依法承担相应责任。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43.2 </w:t>
      </w:r>
      <w:r>
        <w:rPr>
          <w:rFonts w:hint="eastAsia" w:ascii="宋体" w:hAnsi="宋体"/>
          <w:color w:val="auto"/>
          <w:szCs w:val="21"/>
          <w:highlight w:val="none"/>
        </w:rPr>
        <w:t>施工中发现影响施工的地下障碍物时，承包人应于</w:t>
      </w:r>
      <w:r>
        <w:rPr>
          <w:rFonts w:ascii="宋体" w:hAnsi="宋体"/>
          <w:color w:val="auto"/>
          <w:szCs w:val="21"/>
          <w:highlight w:val="none"/>
        </w:rPr>
        <w:t>8小时内以书面形式通知工程师，同时提出处置</w:t>
      </w:r>
      <w:r>
        <w:rPr>
          <w:rFonts w:hint="eastAsia" w:ascii="宋体" w:hAnsi="宋体"/>
          <w:color w:val="auto"/>
          <w:szCs w:val="21"/>
          <w:highlight w:val="none"/>
        </w:rPr>
        <w:t>方案，工程师收到</w:t>
      </w:r>
      <w:r>
        <w:rPr>
          <w:rFonts w:ascii="宋体" w:hAnsi="宋体"/>
          <w:color w:val="auto"/>
          <w:szCs w:val="21"/>
          <w:highlight w:val="none"/>
        </w:rPr>
        <w:t>处置</w:t>
      </w:r>
      <w:r>
        <w:rPr>
          <w:rFonts w:hint="eastAsia" w:ascii="宋体" w:hAnsi="宋体"/>
          <w:color w:val="auto"/>
          <w:szCs w:val="21"/>
          <w:highlight w:val="none"/>
        </w:rPr>
        <w:t>方案后</w:t>
      </w:r>
      <w:r>
        <w:rPr>
          <w:rFonts w:ascii="宋体" w:hAnsi="宋体"/>
          <w:color w:val="auto"/>
          <w:szCs w:val="21"/>
          <w:highlight w:val="none"/>
        </w:rPr>
        <w:t>24小时内予以认可或提出修正方案。发包人承担由此发生的费用，顺延延误的工期。</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所发现的地下障碍物有归属单位时，发包人应报请有关部门协同处置。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44、合同解除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44.1 发包人承包人协商一致，可以解除合同。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44.2 发生本通用条款第26.4款情况，停止施工超过56天，发包人仍不支付工程款（进度款），承包人有权解除合同。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44.3 发生本通用条款第38.2款禁止的情况，承包人将其承包的全部工程转包给他人或者肢解以后以分包的名义分别转包给他人，发包人有权解除合同。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44.4 有下列情形之一的，发包人承包人可以解除合同：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因不可抗力致使合同无法履行；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因一方违约（包括因发包人原因造成工程停建或缓建）致使合同无法履行。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44.5一方依据44.2、44.3、44.4款约定要求解除合同的，应以书面形式向对方发出解除合同的通知，并在发出通知前7天告知对方，通知到达对方时合同解除。对解除合同有争议的，按本通用条款第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Cs w:val="21"/>
          <w:highlight w:val="none"/>
        </w:rPr>
        <w:t>合同解除给对方造成的损失。</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44.7合同解除后，不影响双方在合同中约定的结算和清理条款的效力。</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45、合同生效与终止</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45.1双方在协议书中约定合同生效方式。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45.2除本通用条款第34条外，发包人承包人履行合同全部义务，竣工结算价款支付完毕，承包人向发包人交付竣工工程后，本合同即告终止。</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45.3合同的权利义务终止后，发包人承包人应当遵循诚实信用原则，履行通知、协助、保密等义务。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46、合同份数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46.1本合同正本两份，具有同等效力，由发包人承包人分别保存一份。</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46.2本合同副本份数，由双方根据需要在专用条款内约定。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47、补充条款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双方根据有关法律、行政法规规定，结合工程实际，经协商一致后，可对本通用条款内容具体化，补充或修改，在专用条款内约定。</w:t>
      </w:r>
    </w:p>
    <w:p>
      <w:pPr>
        <w:spacing w:line="440" w:lineRule="exact"/>
        <w:ind w:firstLine="359" w:firstLineChars="171"/>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第三部分</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专用条款</w:t>
      </w:r>
    </w:p>
    <w:p>
      <w:pPr>
        <w:snapToGrid w:val="0"/>
        <w:spacing w:line="440" w:lineRule="exact"/>
        <w:ind w:firstLine="397"/>
        <w:rPr>
          <w:rFonts w:ascii="宋体" w:hAnsi="宋体"/>
          <w:b/>
          <w:color w:val="auto"/>
          <w:sz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1.词语定义</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rPr>
        <w:t>式中的中标价格及招标控制价均不含不可竞争的绿色施工安全防护措施费及暂列金额。</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 xml:space="preserve"> 7.7现场管理机构</w:t>
      </w:r>
    </w:p>
    <w:p>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hint="eastAsia" w:ascii="宋体" w:hAnsi="宋体" w:cs="宋体"/>
          <w:color w:val="auto"/>
          <w:sz w:val="24"/>
          <w:szCs w:val="24"/>
          <w:highlight w:val="none"/>
          <w:u w:val="single"/>
        </w:rPr>
        <w:t>发包人按现有场地移交给承包人，承包人应无条件接受。</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本工程工期为日历天。其中开工时间初定为年月日。（具体开工日期以发包人或监理单位开工令或批准的开工报告日期为准）</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工程的质量标准要求达“广州市建设工程优质奖”或“广州市建设工程质量五羊杯奖”或市级工程质量奖标准，且达到投标承诺的质量标准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20.6</w:t>
      </w:r>
      <w:r>
        <w:rPr>
          <w:rFonts w:hint="eastAsia" w:ascii="宋体" w:hAnsi="宋体" w:cs="宋体"/>
          <w:color w:val="auto"/>
          <w:sz w:val="24"/>
          <w:szCs w:val="24"/>
          <w:highlight w:val="none"/>
          <w:u w:val="single"/>
        </w:rPr>
        <w:t>承包人在编制施工组织设计时，应当根据工程的特点编制相应的安全技术措施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pPr>
        <w:tabs>
          <w:tab w:val="left" w:pos="2340"/>
        </w:tabs>
        <w:spacing w:line="440" w:lineRule="exact"/>
        <w:jc w:val="left"/>
        <w:rPr>
          <w:rFonts w:ascii="宋体" w:hAnsi="宋体" w:cs="宋体"/>
          <w:color w:val="auto"/>
          <w:sz w:val="24"/>
          <w:highlight w:val="none"/>
        </w:rPr>
      </w:pPr>
      <w:r>
        <w:rPr>
          <w:rFonts w:ascii="宋体" w:hAnsi="宋体" w:cs="宋体"/>
          <w:color w:val="auto"/>
          <w:sz w:val="24"/>
          <w:szCs w:val="24"/>
          <w:highlight w:val="none"/>
        </w:rPr>
        <w:t xml:space="preserve">    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w:t>
      </w:r>
      <w:r>
        <w:rPr>
          <w:rFonts w:hint="eastAsia" w:ascii="宋体" w:hAnsi="宋体" w:cs="宋体"/>
          <w:color w:val="auto"/>
          <w:sz w:val="24"/>
          <w:szCs w:val="24"/>
          <w:highlight w:val="none"/>
          <w:u w:val="single"/>
        </w:rPr>
        <w:t>《黄埔区住房和城乡建设局广州开发区建设和交通局关于进一步规范全区建设工程施工围蔽标准的通知》（穗埔建﹝</w:t>
      </w:r>
      <w:r>
        <w:rPr>
          <w:rFonts w:ascii="宋体" w:hAnsi="宋体" w:cs="宋体"/>
          <w:color w:val="auto"/>
          <w:sz w:val="24"/>
          <w:szCs w:val="24"/>
          <w:highlight w:val="none"/>
          <w:u w:val="single"/>
        </w:rPr>
        <w:t>2020﹞183号）实施。</w:t>
      </w:r>
      <w:r>
        <w:rPr>
          <w:rFonts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的相关规定，非标起重机械设备是指没有国家或行业制造标准的各类起重机械设备，如非标架桥设备、竖井提升设备、非标龙门吊、贝雷架式或扒杆式起重装置等。</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pStyle w:val="56"/>
        <w:adjustRightInd w:val="0"/>
        <w:snapToGrid w:val="0"/>
        <w:spacing w:line="440" w:lineRule="exact"/>
        <w:ind w:right="11"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u w:val="single"/>
        </w:rPr>
        <w:t>按上述原则确定价格时，措施项目费用（除施工围蔽外）不计取</w:t>
      </w:r>
      <w:r>
        <w:rPr>
          <w:rFonts w:ascii="宋体" w:hAnsi="宋体" w:cs="宋体"/>
          <w:color w:val="auto"/>
          <w:sz w:val="24"/>
          <w:highlight w:val="none"/>
          <w:u w:val="single"/>
        </w:rPr>
        <w:t>,清单计价及</w:t>
      </w:r>
      <w:r>
        <w:rPr>
          <w:rFonts w:hint="eastAsia" w:ascii="宋体" w:hAnsi="宋体" w:cs="宋体"/>
          <w:color w:val="auto"/>
          <w:sz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highlight w:val="none"/>
          <w:u w:val="single"/>
        </w:rPr>
        <w:t>、《广东省住房和城乡建设厅关于印发</w:t>
      </w:r>
      <w:r>
        <w:rPr>
          <w:rFonts w:ascii="宋体" w:hAnsi="宋体" w:cs="宋体"/>
          <w:color w:val="auto"/>
          <w:sz w:val="24"/>
          <w:highlight w:val="none"/>
          <w:u w:val="single"/>
        </w:rPr>
        <w:t>&lt;</w:t>
      </w:r>
      <w:r>
        <w:rPr>
          <w:rFonts w:hint="eastAsia" w:ascii="宋体" w:hAnsi="宋体" w:cs="宋体"/>
          <w:color w:val="auto"/>
          <w:sz w:val="24"/>
          <w:highlight w:val="none"/>
          <w:u w:val="single"/>
        </w:rPr>
        <w:t>广东省建设工程计价依据（</w:t>
      </w:r>
      <w:r>
        <w:rPr>
          <w:rFonts w:ascii="宋体" w:hAnsi="宋体" w:cs="宋体"/>
          <w:color w:val="auto"/>
          <w:sz w:val="24"/>
          <w:highlight w:val="none"/>
          <w:u w:val="single"/>
        </w:rPr>
        <w:t>2018)&gt;</w:t>
      </w:r>
      <w:r>
        <w:rPr>
          <w:rFonts w:hint="eastAsia" w:ascii="宋体" w:hAnsi="宋体" w:cs="宋体"/>
          <w:color w:val="auto"/>
          <w:sz w:val="24"/>
          <w:highlight w:val="none"/>
          <w:u w:val="single"/>
        </w:rPr>
        <w:t>的通知》（穗建市〔</w:t>
      </w:r>
      <w:r>
        <w:rPr>
          <w:rFonts w:ascii="宋体" w:hAnsi="宋体" w:cs="宋体"/>
          <w:color w:val="auto"/>
          <w:sz w:val="24"/>
          <w:highlight w:val="none"/>
          <w:u w:val="single"/>
        </w:rPr>
        <w:t>2019〕6号）</w:t>
      </w:r>
      <w:r>
        <w:rPr>
          <w:rFonts w:hint="eastAsia" w:ascii="宋体" w:hAnsi="宋体" w:cs="宋体"/>
          <w:color w:val="auto"/>
          <w:sz w:val="24"/>
          <w:highlight w:val="none"/>
          <w:u w:val="single"/>
        </w:rPr>
        <w:t>等相关文件的规定。</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④各调价材料、设备的信息价格按广州市建设工程造价管理部门发布的当月“综合价格”计取，综合价格中没有的材料、设备单价，价差不予调整。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24.1.1发包人向承包人预付工程款的时间和金额或占合同价款总额的比例：按广州开发区财政投资建设项目管理中心</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szCs w:val="24"/>
          <w:highlight w:val="none"/>
          <w:u w:val="single"/>
        </w:rPr>
        <w:t>30</w:t>
      </w:r>
      <w:r>
        <w:rPr>
          <w:rFonts w:ascii="宋体" w:hAnsi="宋体" w:cs="宋体"/>
          <w:color w:val="auto"/>
          <w:sz w:val="24"/>
          <w:szCs w:val="24"/>
          <w:highlight w:val="none"/>
        </w:rPr>
        <w:t>%作为预付款，但最高不超过</w:t>
      </w:r>
      <w:r>
        <w:rPr>
          <w:rFonts w:hint="eastAsia" w:ascii="宋体" w:hAnsi="宋体" w:cs="宋体"/>
          <w:color w:val="auto"/>
          <w:sz w:val="24"/>
          <w:szCs w:val="24"/>
          <w:highlight w:val="none"/>
          <w:u w:val="single"/>
        </w:rPr>
        <w:t>1000</w:t>
      </w:r>
      <w:r>
        <w:rPr>
          <w:rFonts w:hint="eastAsia" w:ascii="宋体" w:hAnsi="宋体" w:cs="宋体"/>
          <w:color w:val="auto"/>
          <w:sz w:val="24"/>
          <w:szCs w:val="24"/>
          <w:highlight w:val="none"/>
        </w:rPr>
        <w:t>万元。预付款中，（预付款×工人工资比例）的部分需支付至工人工资专用账户。</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（注：根据工程实际，执行《广州开发区财政投资建设项目管理中心建设工程招投标管理办法补充规定（</w:t>
      </w:r>
      <w:r>
        <w:rPr>
          <w:rFonts w:ascii="宋体" w:hAnsi="宋体" w:cs="宋体"/>
          <w:color w:val="auto"/>
          <w:sz w:val="24"/>
          <w:szCs w:val="24"/>
          <w:highlight w:val="none"/>
        </w:rPr>
        <w:t>2021年试行）</w:t>
      </w:r>
      <w:r>
        <w:rPr>
          <w:rFonts w:hint="eastAsia" w:ascii="宋体" w:hAnsi="宋体" w:cs="宋体"/>
          <w:color w:val="auto"/>
          <w:sz w:val="24"/>
          <w:szCs w:val="24"/>
          <w:highlight w:val="none"/>
        </w:rPr>
        <w:t>广州开发区财政投资建设项目管理中心建设工程招投标管理办法补充规定》）</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24.1.2承包人收取预付款后，应优先用于按有关规定缴纳工伤保险和办理建筑意外伤害险，专款专用。</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24.1.3扣回预付款的时间、比例：按本合同专用条款26条约定执行。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hint="eastAsia" w:ascii="宋体" w:hAnsi="宋体" w:cs="宋体"/>
          <w:color w:val="auto"/>
          <w:sz w:val="24"/>
          <w:szCs w:val="24"/>
          <w:highlight w:val="none"/>
          <w:u w:val="single"/>
        </w:rPr>
        <w:t>26.1.2</w:t>
      </w:r>
      <w:r>
        <w:rPr>
          <w:rFonts w:hint="eastAsia" w:ascii="宋体" w:hAnsi="宋体" w:cs="宋体"/>
          <w:color w:val="auto"/>
          <w:sz w:val="24"/>
          <w:szCs w:val="24"/>
          <w:highlight w:val="none"/>
        </w:rPr>
        <w:t>方式进行：</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w:t>
      </w:r>
      <w:r>
        <w:rPr>
          <w:rFonts w:hint="eastAsia" w:ascii="宋体" w:hAnsi="宋体" w:cs="宋体"/>
          <w:color w:val="auto"/>
          <w:sz w:val="24"/>
          <w:szCs w:val="24"/>
          <w:highlight w:val="none"/>
          <w:u w:val="single"/>
        </w:rPr>
        <w:t>，</w:t>
      </w:r>
      <w:r>
        <w:rPr>
          <w:rFonts w:hint="eastAsia" w:ascii="宋体" w:hAnsi="宋体" w:cs="宋体"/>
          <w:color w:val="auto"/>
          <w:sz w:val="24"/>
          <w:highlight w:val="none"/>
        </w:rPr>
        <w:t>工程质量要求达到：“广州市建设工程优质奖”或“广州市建设工程质量五羊杯奖”或市级工程质量奖的质量标准而支付此款项时尚未获得相关称号的，暂按未达到质量要求暂扣相应违约金，获得相关称号后再行支付给承包人；工程结算价款额度的3%作为保修金，待缺陷责任期期结束后结清（不计利息）。</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的工程款（含绿色施工安全防护措施费）不超过合同价若有暂定金（含暂列金额及暂估价）则扣除未计量部分暂定金后的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w:t>
      </w:r>
      <w:r>
        <w:rPr>
          <w:rFonts w:hint="eastAsia" w:ascii="宋体" w:hAnsi="宋体" w:cs="宋体"/>
          <w:color w:val="auto"/>
          <w:sz w:val="24"/>
          <w:szCs w:val="24"/>
          <w:highlight w:val="none"/>
          <w:u w:val="single"/>
        </w:rPr>
        <w:t>，</w:t>
      </w:r>
      <w:r>
        <w:rPr>
          <w:rFonts w:hint="eastAsia" w:ascii="宋体" w:hAnsi="宋体" w:cs="宋体"/>
          <w:color w:val="auto"/>
          <w:sz w:val="24"/>
          <w:highlight w:val="none"/>
        </w:rPr>
        <w:t>工程质量要求达到：“广州市建设工程优质奖”或“广州市建设工程质量五羊杯奖”或市级工程质量奖的质量标准而支付此款项时尚未获得相关称号的，暂按未达到质量要求暂扣相应违约金，获得相关称号后再行支付给承包人；工程结算价款额度的3%作为保修金，待缺陷责任期期结束后结清（不计利息）。</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pPr>
        <w:pStyle w:val="38"/>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26.5</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支付的支付条件：</w:t>
      </w:r>
    </w:p>
    <w:p>
      <w:pPr>
        <w:pStyle w:val="38"/>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按在工程投标最高报价中的</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用计取，专款专用，并从本施工合同价款中提取（</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w:t>
      </w:r>
    </w:p>
    <w:p>
      <w:pPr>
        <w:spacing w:line="440" w:lineRule="exact"/>
        <w:rPr>
          <w:rFonts w:ascii="宋体" w:hAnsi="宋体" w:cs="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、工程项目开工日一个月内，由承包人主动向发包人提出申请，预付绿色施工安全防护措施费的</w:t>
      </w:r>
      <w:r>
        <w:rPr>
          <w:rFonts w:ascii="宋体" w:hAnsi="宋体" w:cs="宋体"/>
          <w:color w:val="auto"/>
          <w:sz w:val="24"/>
          <w:highlight w:val="none"/>
        </w:rPr>
        <w:t>50%</w:t>
      </w:r>
      <w:r>
        <w:rPr>
          <w:rFonts w:hint="eastAsia" w:ascii="宋体" w:hAnsi="宋体" w:cs="宋体"/>
          <w:color w:val="auto"/>
          <w:sz w:val="24"/>
          <w:highlight w:val="none"/>
        </w:rPr>
        <w:t>。</w:t>
      </w:r>
    </w:p>
    <w:p>
      <w:pPr>
        <w:spacing w:line="440" w:lineRule="exact"/>
        <w:rPr>
          <w:rFonts w:ascii="宋体" w:hAns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承包人进场完成工地围墙、大门、办公用房或临舍、消防设施、临时设施、洗车槽、水枪、场内道路硬化、绿化、钢筋堆放点及加工场、垃圾收集点等部位的建设或布置，且房建工程完成主体结构封顶、市政工程完成路基工作、其它工程完成合同约定工程量的60%，《检查记录表》评定等级为合格或以上且财政拨款到位后，支付绿色施工安全防护措施费的</w:t>
      </w:r>
      <w:r>
        <w:rPr>
          <w:rFonts w:ascii="宋体" w:hAnsi="宋体" w:cs="宋体"/>
          <w:color w:val="auto"/>
          <w:sz w:val="24"/>
          <w:highlight w:val="none"/>
        </w:rPr>
        <w:t>40%</w:t>
      </w:r>
      <w:r>
        <w:rPr>
          <w:rFonts w:hint="eastAsia" w:ascii="宋体" w:hAnsi="宋体" w:cs="宋体"/>
          <w:color w:val="auto"/>
          <w:sz w:val="24"/>
          <w:highlight w:val="none"/>
        </w:rPr>
        <w:t>。</w:t>
      </w:r>
    </w:p>
    <w:p>
      <w:pPr>
        <w:spacing w:line="440" w:lineRule="exact"/>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、工程完工，《建设工程施工安全评价书》评定等级为合格或以上且财政拨款到位后，支付相应绿色施工安全防护措施费的</w:t>
      </w:r>
      <w:r>
        <w:rPr>
          <w:rFonts w:ascii="宋体" w:hAnsi="宋体" w:cs="宋体"/>
          <w:color w:val="auto"/>
          <w:sz w:val="24"/>
          <w:highlight w:val="none"/>
        </w:rPr>
        <w:t>10%</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如存在特殊情况的，绿色施工安全防护措施费</w:t>
      </w:r>
      <w:r>
        <w:rPr>
          <w:rFonts w:hint="eastAsia" w:ascii="宋体" w:hAnsi="宋体" w:cs="宋体"/>
          <w:color w:val="auto"/>
          <w:sz w:val="24"/>
          <w:highlight w:val="none"/>
        </w:rPr>
        <w:t>具体支付方式及条件以《广州开发区财政投资建设项目管理中心建设项目绿色施工安全防护措施费支付管理实施细则（2024年修订）》（穗开建管〔2024〕47号）为准。</w:t>
      </w:r>
    </w:p>
    <w:p>
      <w:pPr>
        <w:pStyle w:val="58"/>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2336"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4" o:spid="_x0000_s1026" o:spt="20" style="position:absolute;left:0pt;margin-left:280pt;margin-top:0pt;height:0pt;width:0.05pt;z-index:251662336;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zl&#10;5BDTAAAABQEAAA8AAAAAAAAAAQAgAAAAIgAAAGRycy9kb3ducmV2LnhtbFBLAQIUABQAAAAIAIdO&#10;4kCyb+Jp7wEAAOMDAAAOAAAAAAAAAAEAIAAAACIBAABkcnMvZTJvRG9jLnhtbFBLBQYAAAAABgAG&#10;AFkBAACDBQ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《广州开发区财政投资建设项目管理中心工程量清单错漏申报管理办法（2024年）》（穗开建管〔2024〕54号）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承包人须按《广州开发区财政投资建设项目管理中心施工类合同结算编审指引</w:t>
      </w:r>
      <w:r>
        <w:rPr>
          <w:rFonts w:hint="eastAsia" w:ascii="宋体" w:hAnsi="宋体" w:cs="宋体"/>
          <w:color w:val="auto"/>
          <w:sz w:val="24"/>
          <w:szCs w:val="24"/>
          <w:highlight w:val="none"/>
          <w:u w:val="single"/>
          <w:lang w:val="en-US" w:eastAsia="zh-CN"/>
        </w:rPr>
        <w:t>2024年修订稿</w:t>
      </w:r>
      <w:r>
        <w:rPr>
          <w:rFonts w:hint="eastAsia" w:ascii="宋体" w:hAnsi="宋体" w:cs="宋体"/>
          <w:color w:val="auto"/>
          <w:sz w:val="24"/>
          <w:szCs w:val="24"/>
          <w:highlight w:val="none"/>
          <w:u w:val="single"/>
          <w:lang w:eastAsia="zh-CN"/>
        </w:rPr>
        <w:t>（穗开建管</w:t>
      </w:r>
      <w:r>
        <w:rPr>
          <w:rFonts w:hint="eastAsia" w:ascii="宋体" w:hAnsi="宋体" w:cs="宋体"/>
          <w:color w:val="auto"/>
          <w:sz w:val="24"/>
          <w:szCs w:val="24"/>
          <w:highlight w:val="none"/>
          <w:u w:val="single"/>
          <w:lang w:val="en-US" w:eastAsia="zh-CN"/>
        </w:rPr>
        <w:t>[2024]65号）</w:t>
      </w:r>
      <w:r>
        <w:rPr>
          <w:rFonts w:hint="eastAsia" w:ascii="宋体" w:hAnsi="宋体" w:cs="宋体"/>
          <w:color w:val="auto"/>
          <w:sz w:val="24"/>
          <w:szCs w:val="24"/>
          <w:highlight w:val="none"/>
          <w:u w:val="single"/>
        </w:rPr>
        <w:t>》及区有关规定编制及办理建设项目工程结算</w:t>
      </w:r>
      <w:r>
        <w:rPr>
          <w:rFonts w:hint="eastAsia" w:ascii="宋体" w:hAnsi="宋体" w:cs="宋体"/>
          <w:color w:val="auto"/>
          <w:sz w:val="24"/>
          <w:szCs w:val="24"/>
          <w:highlight w:val="none"/>
        </w:rPr>
        <w:t>。</w:t>
      </w:r>
    </w:p>
    <w:p>
      <w:pPr>
        <w:pStyle w:val="57"/>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szCs w:val="24"/>
          <w:highlight w:val="none"/>
        </w:rPr>
        <w:t>、违约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35.2.2</w:t>
      </w:r>
      <w:r>
        <w:rPr>
          <w:rFonts w:hint="eastAsia" w:ascii="宋体" w:hAnsi="宋体" w:cs="宋体"/>
          <w:color w:val="auto"/>
          <w:sz w:val="24"/>
          <w:szCs w:val="24"/>
          <w:highlight w:val="none"/>
        </w:rPr>
        <w:t>安全、文明施工要求及违约处理：</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Pr>
          <w:rFonts w:ascii="宋体" w:hAnsi="宋体" w:cs="宋体"/>
          <w:color w:val="auto"/>
          <w:sz w:val="24"/>
          <w:szCs w:val="24"/>
          <w:highlight w:val="none"/>
          <w:u w:val="single"/>
        </w:rPr>
        <w:t>10000</w:t>
      </w:r>
      <w:r>
        <w:rPr>
          <w:rFonts w:hint="eastAsia" w:ascii="宋体" w:hAnsi="宋体" w:cs="宋体"/>
          <w:color w:val="auto"/>
          <w:sz w:val="24"/>
          <w:szCs w:val="24"/>
          <w:highlight w:val="none"/>
          <w:u w:val="single"/>
        </w:rPr>
        <w:t>元人民币违约金给发包人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pPr>
        <w:pStyle w:val="10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2）工程质量标准要求达到：</w:t>
      </w:r>
      <w:r>
        <w:rPr>
          <w:rFonts w:hint="eastAsia" w:ascii="宋体" w:hAnsi="宋体" w:cs="宋体"/>
          <w:color w:val="auto"/>
          <w:sz w:val="24"/>
          <w:highlight w:val="none"/>
        </w:rPr>
        <w:t>“广州市建设工程优质奖”或“广州市建设工程质量五羊杯奖”或市级工程质量奖的的质量标准而未达到的，承包人需按本合同工程结算价的</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%承担违约金</w:t>
      </w:r>
      <w:r>
        <w:rPr>
          <w:rFonts w:hint="eastAsia" w:ascii="宋体" w:hAnsi="宋体" w:cs="宋体"/>
          <w:color w:val="auto"/>
          <w:sz w:val="24"/>
          <w:highlight w:val="none"/>
        </w:rPr>
        <w:t>。</w:t>
      </w:r>
    </w:p>
    <w:p>
      <w:pPr>
        <w:pStyle w:val="103"/>
        <w:spacing w:line="440" w:lineRule="exact"/>
        <w:ind w:firstLine="480" w:firstLineChars="200"/>
        <w:rPr>
          <w:color w:val="auto"/>
          <w:highlight w:val="none"/>
        </w:rPr>
      </w:pPr>
      <w:r>
        <w:rPr>
          <w:rFonts w:hint="eastAsia" w:ascii="宋体" w:hAnsi="宋体" w:cs="宋体"/>
          <w:color w:val="auto"/>
          <w:sz w:val="24"/>
          <w:highlight w:val="none"/>
        </w:rPr>
        <w:t>上述违约金由发包人直接从工程结算款中扣减。因非承包人原因导致本工程未能达到要求的工程质量标准的除外。</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w:t>
      </w:r>
      <w:r>
        <w:rPr>
          <w:rFonts w:ascii="宋体" w:hAnsi="宋体" w:cs="宋体"/>
          <w:color w:val="auto"/>
          <w:sz w:val="24"/>
          <w:szCs w:val="24"/>
          <w:highlight w:val="none"/>
          <w:u w:val="single"/>
        </w:rPr>
        <w:t>）对施工质量问题存在争议，应请国家认可的第三方机构出具检测报告，检测费用由责任方承担。</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pPr>
        <w:pStyle w:val="56"/>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35.2.6</w:t>
      </w:r>
      <w:r>
        <w:rPr>
          <w:rFonts w:hint="eastAsia" w:ascii="宋体" w:hAnsi="宋体" w:cs="宋体"/>
          <w:color w:val="auto"/>
          <w:sz w:val="24"/>
          <w:highlight w:val="none"/>
        </w:rPr>
        <w:t>项目管理机构人员、机械设备、劳动力到位方面的违约责任：</w:t>
      </w:r>
    </w:p>
    <w:p>
      <w:pPr>
        <w:pStyle w:val="56"/>
        <w:numPr>
          <w:ilvl w:val="0"/>
          <w:numId w:val="3"/>
        </w:numPr>
        <w:snapToGrid w:val="0"/>
        <w:spacing w:line="440" w:lineRule="exact"/>
        <w:ind w:firstLine="397"/>
        <w:rPr>
          <w:rFonts w:ascii="宋体" w:hAnsi="宋体" w:cs="宋体"/>
          <w:color w:val="auto"/>
          <w:sz w:val="24"/>
          <w:highlight w:val="none"/>
          <w:u w:val="single"/>
        </w:rPr>
      </w:pPr>
      <w:r>
        <w:rPr>
          <w:rFonts w:hint="eastAsia" w:ascii="宋体" w:hAnsi="宋体" w:cs="宋体"/>
          <w:color w:val="auto"/>
          <w:sz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highlight w:val="none"/>
        </w:rPr>
        <w:t>。但征得</w:t>
      </w:r>
      <w:r>
        <w:rPr>
          <w:rFonts w:hint="eastAsia" w:ascii="宋体" w:hAnsi="宋体" w:cs="宋体"/>
          <w:color w:val="auto"/>
          <w:sz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highlight w:val="none"/>
          <w:u w:val="single"/>
        </w:rPr>
        <w:t>30000元违约金给发包人，更换主要施工管理人员的，每更换一人次，承包人需支付10000元违约金给发包人</w:t>
      </w:r>
    </w:p>
    <w:p>
      <w:pPr>
        <w:pStyle w:val="56"/>
        <w:snapToGrid w:val="0"/>
        <w:spacing w:line="440" w:lineRule="exact"/>
        <w:rPr>
          <w:rFonts w:ascii="宋体" w:hAns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color w:val="auto"/>
          <w:sz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pPr>
        <w:pStyle w:val="56"/>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sz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highlight w:val="none"/>
          <w:u w:val="single"/>
        </w:rPr>
        <w:t>10000元违约金给发包人</w:t>
      </w:r>
      <w:r>
        <w:rPr>
          <w:rFonts w:hint="eastAsia" w:ascii="宋体" w:hAnsi="宋体" w:cs="宋体"/>
          <w:color w:val="auto"/>
          <w:sz w:val="24"/>
          <w:highlight w:val="none"/>
        </w:rPr>
        <w:t>。</w:t>
      </w:r>
    </w:p>
    <w:p>
      <w:pPr>
        <w:pStyle w:val="56"/>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highlight w:val="none"/>
          <w:u w:val="single"/>
        </w:rPr>
        <w:t>承包人除需按本条第（</w:t>
      </w:r>
      <w:r>
        <w:rPr>
          <w:rFonts w:ascii="宋体" w:hAnsi="宋体" w:cs="宋体"/>
          <w:color w:val="auto"/>
          <w:sz w:val="24"/>
          <w:highlight w:val="none"/>
          <w:u w:val="single"/>
        </w:rPr>
        <w:t>1）项支付违约金外，发包人将发出书面警告，警告发出后15</w:t>
      </w:r>
      <w:r>
        <w:rPr>
          <w:rFonts w:hint="eastAsia" w:ascii="宋体" w:hAnsi="宋体" w:cs="宋体"/>
          <w:color w:val="auto"/>
          <w:sz w:val="24"/>
          <w:highlight w:val="none"/>
          <w:u w:val="single"/>
        </w:rPr>
        <w:t>天内，主要工序的工期延误仍然超过</w:t>
      </w:r>
      <w:r>
        <w:rPr>
          <w:rFonts w:ascii="宋体" w:hAnsi="宋体" w:cs="宋体"/>
          <w:color w:val="auto"/>
          <w:sz w:val="24"/>
          <w:highlight w:val="none"/>
          <w:u w:val="single"/>
        </w:rPr>
        <w:t>10天，发包人将作为不良纪录报区建</w:t>
      </w:r>
      <w:r>
        <w:rPr>
          <w:rFonts w:hint="eastAsia" w:ascii="宋体" w:hAnsi="宋体" w:cs="宋体"/>
          <w:color w:val="auto"/>
          <w:sz w:val="24"/>
          <w:highlight w:val="none"/>
          <w:u w:val="single"/>
        </w:rPr>
        <w:t>设行政主管部门备案。对此，承包人不得有异议</w:t>
      </w:r>
      <w:r>
        <w:rPr>
          <w:rFonts w:hint="eastAsia" w:ascii="宋体" w:hAnsi="宋体" w:cs="宋体"/>
          <w:color w:val="auto"/>
          <w:sz w:val="24"/>
          <w:highlight w:val="none"/>
        </w:rPr>
        <w:t>。</w:t>
      </w:r>
    </w:p>
    <w:p>
      <w:pPr>
        <w:pStyle w:val="56"/>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s="宋体"/>
          <w:color w:val="auto"/>
          <w:sz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highlight w:val="none"/>
          <w:u w:val="single"/>
        </w:rPr>
        <w:t>5000元人民币违约金</w:t>
      </w:r>
      <w:r>
        <w:rPr>
          <w:rFonts w:hint="eastAsia" w:ascii="宋体" w:hAnsi="宋体" w:cs="宋体"/>
          <w:color w:val="auto"/>
          <w:sz w:val="24"/>
          <w:highlight w:val="none"/>
        </w:rPr>
        <w:t>。</w:t>
      </w:r>
    </w:p>
    <w:p>
      <w:pPr>
        <w:snapToGrid w:val="0"/>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35.2.7工程转包违约责任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合同约定的工程项目承包人不得转包，必须分包的少量子项工程和专业工程，承包人应按招标文件、投标文件要求向小微企业工程分包(分包意向协议约定小微企业的合同份额占到合同总金额30%以上的)。并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发包人有权将承包人列入黑名单，拒绝承包人在一年内参与发包人后续项目投标，且发包人将上报建设主管部门，对承包人违法行为进行处罚。</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承包人不执行《广州开发区财政投资建设项目管理中心施工类合同结算编审指引</w:t>
      </w:r>
      <w:r>
        <w:rPr>
          <w:rFonts w:hint="eastAsia" w:ascii="宋体" w:hAnsi="宋体" w:cs="宋体"/>
          <w:color w:val="auto"/>
          <w:sz w:val="24"/>
          <w:szCs w:val="24"/>
          <w:highlight w:val="none"/>
          <w:u w:val="single"/>
          <w:lang w:val="en-US" w:eastAsia="zh-CN"/>
        </w:rPr>
        <w:t>2024年修订稿</w:t>
      </w:r>
      <w:r>
        <w:rPr>
          <w:rFonts w:hint="eastAsia" w:ascii="宋体" w:hAnsi="宋体" w:cs="宋体"/>
          <w:color w:val="auto"/>
          <w:sz w:val="24"/>
          <w:szCs w:val="24"/>
          <w:highlight w:val="none"/>
          <w:u w:val="single"/>
          <w:lang w:eastAsia="zh-CN"/>
        </w:rPr>
        <w:t>（穗开建管</w:t>
      </w:r>
      <w:r>
        <w:rPr>
          <w:rFonts w:hint="eastAsia" w:ascii="宋体" w:hAnsi="宋体" w:cs="宋体"/>
          <w:color w:val="auto"/>
          <w:sz w:val="24"/>
          <w:szCs w:val="24"/>
          <w:highlight w:val="none"/>
          <w:u w:val="single"/>
          <w:lang w:val="en-US" w:eastAsia="zh-CN"/>
        </w:rPr>
        <w:t>[2024]65号）</w:t>
      </w:r>
      <w:r>
        <w:rPr>
          <w:rFonts w:hint="eastAsia" w:ascii="宋体" w:hAnsi="宋体" w:cs="宋体"/>
          <w:color w:val="auto"/>
          <w:sz w:val="24"/>
          <w:szCs w:val="24"/>
          <w:highlight w:val="none"/>
          <w:u w:val="single"/>
        </w:rPr>
        <w:t>》有关规定的，须按该指引有关规定承担违约责任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38.1</w:t>
      </w:r>
      <w:r>
        <w:rPr>
          <w:rFonts w:hint="eastAsia" w:ascii="宋体" w:hAnsi="宋体" w:cs="宋体"/>
          <w:color w:val="auto"/>
          <w:sz w:val="24"/>
          <w:highlight w:val="none"/>
        </w:rPr>
        <w:t>（1）本工程发包人同意承包人分包的工程：非主体非关键工程。承包人应按招标文件、投标文件要求向小微企业工程分包(分包意向协议约定小微企业的合同份额占到合同总金额30%以上的)。承包人分包工程的，需先报发包人同意，分包合同签订后必须报发包人备案。承包人与分包单位签订的分包合同中应明确工人工资比例及支付期限。</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41.1</w:t>
      </w:r>
      <w:r>
        <w:rPr>
          <w:rFonts w:hint="eastAsia" w:ascii="宋体" w:hAnsi="宋体" w:cs="宋体"/>
          <w:color w:val="auto"/>
          <w:sz w:val="24"/>
          <w:szCs w:val="24"/>
          <w:highlight w:val="none"/>
        </w:rPr>
        <w:t>本工程双方约定担保事项如下：</w:t>
      </w:r>
    </w:p>
    <w:p>
      <w:pPr>
        <w:numPr>
          <w:ilvl w:val="255"/>
          <w:numId w:val="0"/>
        </w:num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发包人向承包人提供支付担保，担保方式为：</w:t>
      </w:r>
      <w:r>
        <w:rPr>
          <w:rFonts w:hint="eastAsia" w:ascii="宋体" w:hAnsi="宋体" w:cs="宋体"/>
          <w:color w:val="auto"/>
          <w:sz w:val="24"/>
          <w:highlight w:val="none"/>
          <w:u w:val="single"/>
        </w:rPr>
        <w:t>支付担保保函</w:t>
      </w:r>
      <w:r>
        <w:rPr>
          <w:rFonts w:hint="eastAsia" w:ascii="宋体" w:hAnsi="宋体" w:cs="宋体"/>
          <w:color w:val="auto"/>
          <w:sz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承包人按如下方式向发包人提供履约担保：</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①履约担保：</w:t>
      </w:r>
      <w:r>
        <w:rPr>
          <w:rFonts w:hint="eastAsia" w:ascii="宋体" w:hAnsi="宋体" w:cs="宋体"/>
          <w:color w:val="auto"/>
          <w:sz w:val="24"/>
          <w:szCs w:val="24"/>
          <w:highlight w:val="none"/>
          <w:u w:val="single"/>
        </w:rPr>
        <w:t>承包人向发包人提交担保金额为中标价</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首次办理履约保函，如合同工期低于</w:t>
      </w:r>
      <w:r>
        <w:rPr>
          <w:rFonts w:ascii="宋体" w:hAnsi="宋体" w:cs="宋体"/>
          <w:color w:val="auto"/>
          <w:sz w:val="24"/>
          <w:szCs w:val="24"/>
          <w:highlight w:val="none"/>
        </w:rPr>
        <w:t>1年的，担保期限可按合同工期，如合同工期高于1年的，担保期限不低于1年。</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履约保函</w:t>
      </w:r>
      <w:r>
        <w:rPr>
          <w:rFonts w:hint="eastAsia" w:ascii="宋体" w:hAnsi="宋体" w:cs="宋体"/>
          <w:color w:val="auto"/>
          <w:sz w:val="24"/>
          <w:szCs w:val="24"/>
          <w:highlight w:val="none"/>
          <w:u w:val="single"/>
        </w:rPr>
        <w:t>办理延期手续</w:t>
      </w:r>
      <w:r>
        <w:rPr>
          <w:rFonts w:hint="eastAsia" w:ascii="宋体" w:hAnsi="宋体" w:cs="宋体"/>
          <w:color w:val="auto"/>
          <w:sz w:val="24"/>
          <w:szCs w:val="24"/>
          <w:highlight w:val="none"/>
        </w:rPr>
        <w:t>时，若项目的完成工程量不足一半，担保金额按中标价的</w:t>
      </w:r>
      <w:r>
        <w:rPr>
          <w:rFonts w:ascii="宋体" w:hAnsi="宋体" w:cs="宋体"/>
          <w:color w:val="auto"/>
          <w:sz w:val="24"/>
          <w:szCs w:val="24"/>
          <w:highlight w:val="none"/>
        </w:rPr>
        <w:t>10%；若项目的完成工程量超过一半，担保金额可按中标价的5%；其他特殊情况需调整的，需报发包人审议同意。</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②履约担保的返还方式：</w:t>
      </w:r>
      <w:r>
        <w:rPr>
          <w:rFonts w:ascii="宋体" w:hAnsi="宋体" w:cs="宋体"/>
          <w:color w:val="auto"/>
          <w:sz w:val="24"/>
          <w:szCs w:val="24"/>
          <w:highlight w:val="none"/>
          <w:u w:val="single"/>
        </w:rPr>
        <w:t>履约担保为银行保函的，在工程验收合格</w:t>
      </w:r>
      <w:r>
        <w:rPr>
          <w:rFonts w:hint="eastAsia" w:ascii="宋体" w:hAnsi="宋体" w:cs="宋体"/>
          <w:color w:val="auto"/>
          <w:sz w:val="24"/>
          <w:szCs w:val="24"/>
          <w:highlight w:val="none"/>
          <w:u w:val="single"/>
        </w:rPr>
        <w:t>后返还承包人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银行保函的管理和格式按《广州开发区财政投资建设项目管理中心建设工程保函管理细则》执行</w:t>
      </w:r>
      <w:r>
        <w:rPr>
          <w:rFonts w:hint="eastAsia" w:ascii="宋体" w:hAnsi="宋体" w:cs="宋体"/>
          <w:color w:val="auto"/>
          <w:sz w:val="24"/>
          <w:szCs w:val="24"/>
          <w:highlight w:val="none"/>
        </w:rPr>
        <w:t>。</w:t>
      </w:r>
    </w:p>
    <w:p>
      <w:pPr>
        <w:adjustRightInd w:val="0"/>
        <w:snapToGrid w:val="0"/>
        <w:spacing w:line="440" w:lineRule="exact"/>
        <w:ind w:right="11" w:firstLine="480" w:firstLineChars="200"/>
        <w:outlineLvl w:val="3"/>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安全、文明、科学、规范的施工要求</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农民工佣工要求</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w:t>
      </w:r>
      <w:r>
        <w:rPr>
          <w:rFonts w:ascii="宋体" w:hAnsi="宋体" w:cs="宋体"/>
          <w:color w:val="auto"/>
          <w:sz w:val="24"/>
          <w:szCs w:val="24"/>
          <w:highlight w:val="none"/>
          <w:u w:val="single"/>
        </w:rPr>
        <w:t>2004』58号文的有关要求及规定优先使用广州开发区的农民工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pPr>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项目管理机构人员、机械设备、劳动力到位方面的要求</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投标报价及造价承包和变更结算方式的要求</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ascii="宋体" w:hAnsi="宋体" w:cs="宋体"/>
          <w:color w:val="auto"/>
          <w:sz w:val="24"/>
          <w:szCs w:val="24"/>
          <w:highlight w:val="none"/>
          <w:u w:val="single"/>
        </w:rPr>
        <w:t>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pPr>
        <w:pBdr>
          <w:top w:val="single" w:color="auto" w:sz="4" w:space="1"/>
          <w:bottom w:val="single" w:color="auto" w:sz="6" w:space="1"/>
        </w:pBd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47.26</w:t>
      </w:r>
      <w:r>
        <w:rPr>
          <w:rFonts w:hint="eastAsia" w:ascii="宋体" w:hAnsi="宋体" w:cs="宋体"/>
          <w:color w:val="auto"/>
          <w:sz w:val="24"/>
          <w:szCs w:val="24"/>
          <w:highlight w:val="none"/>
          <w:u w:val="single"/>
        </w:rPr>
        <w:t>承包人人应按有关规定协助发包人完成公共排水设施竣工图纸备案工作。</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所有材料品牌选择均须报发包人、监理工程师确认，且经检验合格后方能使用。</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47.50如承包人存在出让投标资格、与其他单位围标串标、行贿、在投标文件中提供虚假材料、少放或不放业绩、奖项等客观评审资料减少自身竞争力、拖欠农民工工资、将中标工程转包或者违法分包等行为的，发包人将拒绝承包人在一年内参与后续招标项目的投标。</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47.5</w:t>
      </w:r>
      <w:r>
        <w:rPr>
          <w:rFonts w:hint="eastAsia" w:ascii="宋体" w:hAnsi="宋体" w:cs="宋体"/>
          <w:color w:val="auto"/>
          <w:sz w:val="24"/>
          <w:szCs w:val="24"/>
          <w:highlight w:val="none"/>
          <w:u w:val="single"/>
        </w:rPr>
        <w:t>1未尽事宜，经双方友好协商解决。</w:t>
      </w:r>
    </w:p>
    <w:p>
      <w:pPr>
        <w:spacing w:line="440" w:lineRule="exact"/>
        <w:ind w:firstLine="420" w:firstLineChars="200"/>
        <w:rPr>
          <w:rFonts w:ascii="宋体" w:hAnsi="宋体"/>
          <w:color w:val="auto"/>
          <w:szCs w:val="21"/>
          <w:highlight w:val="none"/>
          <w:u w:val="single"/>
        </w:rPr>
      </w:pPr>
    </w:p>
    <w:p>
      <w:pPr>
        <w:spacing w:line="440" w:lineRule="exact"/>
        <w:ind w:firstLine="420" w:firstLineChars="200"/>
        <w:rPr>
          <w:rFonts w:ascii="宋体" w:hAnsi="宋体"/>
          <w:color w:val="auto"/>
          <w:szCs w:val="21"/>
          <w:highlight w:val="none"/>
          <w:u w:val="single"/>
        </w:rPr>
      </w:pPr>
    </w:p>
    <w:p>
      <w:pPr>
        <w:spacing w:line="440" w:lineRule="exact"/>
        <w:ind w:firstLine="420" w:firstLineChars="200"/>
        <w:rPr>
          <w:rFonts w:ascii="宋体" w:hAnsi="宋体"/>
          <w:color w:val="auto"/>
          <w:szCs w:val="21"/>
          <w:highlight w:val="none"/>
          <w:u w:val="single"/>
        </w:rPr>
      </w:pPr>
    </w:p>
    <w:p>
      <w:pPr>
        <w:spacing w:line="440" w:lineRule="exact"/>
        <w:ind w:firstLine="420" w:firstLineChars="200"/>
        <w:rPr>
          <w:rFonts w:ascii="宋体" w:hAnsi="宋体"/>
          <w:color w:val="auto"/>
          <w:szCs w:val="21"/>
          <w:highlight w:val="none"/>
          <w:u w:val="single"/>
        </w:rPr>
      </w:pPr>
    </w:p>
    <w:p>
      <w:pPr>
        <w:spacing w:line="440" w:lineRule="exact"/>
        <w:ind w:firstLine="420" w:firstLineChars="200"/>
        <w:rPr>
          <w:rFonts w:ascii="宋体" w:hAnsi="宋体"/>
          <w:color w:val="auto"/>
          <w:szCs w:val="21"/>
          <w:highlight w:val="none"/>
          <w:u w:val="single"/>
        </w:rPr>
      </w:pPr>
    </w:p>
    <w:p>
      <w:pPr>
        <w:numPr>
          <w:ilvl w:val="0"/>
          <w:numId w:val="4"/>
        </w:num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绿化种植专篇</w:t>
      </w:r>
    </w:p>
    <w:p>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为提高绿化苗木选取和种植苗木质量，加强科学绿化建设和管理，提升项目绿化种植和养护管理标准，制订本项目绿化种植专篇。</w:t>
      </w:r>
    </w:p>
    <w:p>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hint="eastAsia" w:ascii="宋体" w:hAnsi="宋体" w:cs="宋体"/>
          <w:color w:val="auto"/>
          <w:sz w:val="24"/>
          <w:szCs w:val="24"/>
          <w:highlight w:val="none"/>
          <w:u w:val="single"/>
        </w:rPr>
        <w:t>本项目施工合同约定的承包范围内的全部绿化工程内容</w:t>
      </w:r>
      <w:r>
        <w:rPr>
          <w:rFonts w:hint="eastAsia" w:ascii="宋体" w:hAnsi="宋体" w:cs="宋体"/>
          <w:color w:val="auto"/>
          <w:kern w:val="0"/>
          <w:sz w:val="24"/>
          <w:szCs w:val="24"/>
          <w:highlight w:val="none"/>
        </w:rPr>
        <w:t>。</w:t>
      </w:r>
    </w:p>
    <w:p>
      <w:pPr>
        <w:pStyle w:val="14"/>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highlight w:val="none"/>
        </w:rPr>
        <w:t>本项目苗木供应清单，详见招标工程量清单。</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相关法律法规与政策文件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pPr>
        <w:pStyle w:val="28"/>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12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8 </w:t>
      </w:r>
      <w:r>
        <w:rPr>
          <w:rFonts w:hint="eastAsia" w:ascii="宋体" w:hAnsi="宋体" w:cs="宋体"/>
          <w:color w:val="auto"/>
          <w:sz w:val="24"/>
          <w:szCs w:val="24"/>
          <w:highlight w:val="none"/>
        </w:rPr>
        <w:t>日中国共产党广东省第十三届委员会第二次全体会议通过）</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pPr>
        <w:pStyle w:val="28"/>
        <w:spacing w:line="440" w:lineRule="exact"/>
        <w:ind w:firstLine="2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pPr>
        <w:pStyle w:val="2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w:t>
      </w:r>
      <w:r>
        <w:rPr>
          <w:rFonts w:hint="eastAsia" w:ascii="宋体" w:hAnsi="宋体" w:cs="宋体"/>
          <w:color w:val="auto"/>
          <w:sz w:val="24"/>
          <w:szCs w:val="24"/>
          <w:highlight w:val="none"/>
        </w:rPr>
        <w:t>《黄埔区住房和城乡建设局广州开发区建设和交通局关于加强科学绿化工作的提醒函》（穗埔建函</w:t>
      </w:r>
      <w:r>
        <w:rPr>
          <w:rFonts w:ascii="宋体" w:hAnsi="宋体" w:cs="宋体"/>
          <w:color w:val="auto"/>
          <w:sz w:val="24"/>
          <w:szCs w:val="24"/>
          <w:highlight w:val="none"/>
        </w:rPr>
        <w:t>[2023]2767号）</w:t>
      </w:r>
    </w:p>
    <w:p>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2、相关标准规范</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6）《园林树木安全性评价技术规范》DB4401/T17—2019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7）《广东城市绿化工程施工和验收规范》DBBT581-2009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135-2001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pPr>
        <w:numPr>
          <w:ilvl w:val="0"/>
          <w:numId w:val="5"/>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pPr>
        <w:pStyle w:val="25"/>
        <w:spacing w:line="440" w:lineRule="exact"/>
        <w:ind w:left="0" w:leftChars="0" w:firstLine="560"/>
        <w:rPr>
          <w:rFonts w:ascii="宋体" w:hAnsi="宋体" w:cs="宋体"/>
          <w:color w:val="auto"/>
          <w:highlight w:val="none"/>
        </w:rPr>
      </w:pPr>
      <w:r>
        <w:rPr>
          <w:rFonts w:ascii="宋体" w:hAnsi="宋体" w:cs="宋体"/>
          <w:color w:val="auto"/>
          <w:highlight w:val="none"/>
        </w:rPr>
        <w:t>承包人应认真学习并执行《黄埔区园林绿化养护技术指引（1.0版）》的具体要求，规范项目中绿化灌溉、施肥、修剪、病虫害综合防治、日常养护管理工作。</w:t>
      </w:r>
    </w:p>
    <w:p>
      <w:pPr>
        <w:snapToGrid w:val="0"/>
        <w:spacing w:line="440" w:lineRule="exact"/>
        <w:ind w:firstLine="581" w:firstLineChars="241"/>
        <w:rPr>
          <w:rFonts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rPr>
        <w:t>年。</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pPr>
        <w:pStyle w:val="28"/>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pPr>
        <w:pStyle w:val="28"/>
        <w:spacing w:line="440" w:lineRule="exact"/>
        <w:ind w:firstLine="240"/>
        <w:rPr>
          <w:rFonts w:ascii="宋体" w:hAnsi="宋体" w:cs="宋体"/>
          <w:color w:val="auto"/>
          <w:sz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pPr>
        <w:pStyle w:val="18"/>
        <w:spacing w:line="520" w:lineRule="exact"/>
        <w:rPr>
          <w:rFonts w:ascii="宋体" w:hAnsi="宋体" w:cs="宋体"/>
          <w:color w:val="auto"/>
          <w:sz w:val="24"/>
          <w:highlight w:val="none"/>
        </w:rPr>
      </w:pPr>
      <w:r>
        <w:rPr>
          <w:rFonts w:hint="eastAsia" w:ascii="宋体" w:hAnsi="宋体" w:cs="宋体"/>
          <w:color w:val="auto"/>
          <w:sz w:val="24"/>
          <w:highlight w:val="none"/>
        </w:rPr>
        <w:t>项目名称：</w:t>
      </w:r>
    </w:p>
    <w:tbl>
      <w:tblPr>
        <w:tblStyle w:val="30"/>
        <w:tblW w:w="9352" w:type="dxa"/>
        <w:tblInd w:w="93" w:type="dxa"/>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7"/>
                <w:rFonts w:hint="default"/>
                <w:color w:val="auto"/>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7"/>
                <w:rFonts w:hint="default"/>
                <w:color w:val="auto"/>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7"/>
                <w:rFonts w:hint="default"/>
                <w:color w:val="auto"/>
                <w:highlight w:val="none"/>
              </w:rPr>
              <w:t>规格（单位：CM）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7"/>
                <w:rFonts w:hint="default"/>
                <w:color w:val="auto"/>
                <w:highlight w:val="none"/>
              </w:rPr>
              <w:t>规格（单位：个）</w:t>
            </w:r>
          </w:p>
        </w:tc>
      </w:tr>
      <w:tr>
        <w:tblPrEx>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胸（地）径(Ф)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7"/>
                <w:rFonts w:hint="default"/>
                <w:color w:val="auto"/>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7"/>
                <w:rFonts w:hint="default"/>
                <w:color w:val="auto"/>
                <w:highlight w:val="none"/>
              </w:rPr>
              <w:t>分枝数量</w:t>
            </w: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bl>
    <w:p>
      <w:pPr>
        <w:pStyle w:val="18"/>
        <w:spacing w:line="480" w:lineRule="exact"/>
        <w:rPr>
          <w:color w:val="auto"/>
          <w:sz w:val="24"/>
          <w:highlight w:val="none"/>
        </w:rPr>
      </w:pPr>
    </w:p>
    <w:p>
      <w:pPr>
        <w:numPr>
          <w:ilvl w:val="255"/>
          <w:numId w:val="0"/>
        </w:numPr>
        <w:rPr>
          <w:rFonts w:ascii="宋体" w:hAnsi="宋体" w:cs="宋体"/>
          <w:b/>
          <w:bCs/>
          <w:color w:val="auto"/>
          <w:sz w:val="28"/>
          <w:szCs w:val="28"/>
          <w:highlight w:val="none"/>
        </w:rPr>
      </w:pPr>
    </w:p>
    <w:p>
      <w:pPr>
        <w:numPr>
          <w:ilvl w:val="255"/>
          <w:numId w:val="0"/>
        </w:numPr>
        <w:rPr>
          <w:rFonts w:ascii="宋体" w:hAnsi="宋体" w:cs="宋体"/>
          <w:b/>
          <w:bCs/>
          <w:color w:val="auto"/>
          <w:sz w:val="28"/>
          <w:szCs w:val="28"/>
          <w:highlight w:val="none"/>
        </w:rPr>
      </w:pPr>
    </w:p>
    <w:p>
      <w:pPr>
        <w:numPr>
          <w:ilvl w:val="255"/>
          <w:numId w:val="0"/>
        </w:numPr>
        <w:rPr>
          <w:rFonts w:ascii="宋体" w:hAnsi="宋体" w:cs="宋体"/>
          <w:b/>
          <w:bCs/>
          <w:color w:val="auto"/>
          <w:sz w:val="28"/>
          <w:szCs w:val="28"/>
          <w:highlight w:val="none"/>
        </w:rPr>
      </w:pPr>
    </w:p>
    <w:p>
      <w:pPr>
        <w:widowControl/>
        <w:jc w:val="left"/>
        <w:rPr>
          <w:rFonts w:ascii="宋体" w:hAnsi="宋体"/>
          <w:b/>
          <w:color w:val="auto"/>
          <w:sz w:val="28"/>
          <w:szCs w:val="28"/>
          <w:highlight w:val="none"/>
        </w:rPr>
      </w:pPr>
      <w:r>
        <w:rPr>
          <w:rFonts w:hint="eastAsia" w:ascii="宋体" w:hAnsi="宋体"/>
          <w:b/>
          <w:color w:val="auto"/>
          <w:sz w:val="28"/>
          <w:szCs w:val="28"/>
          <w:highlight w:val="none"/>
        </w:rPr>
        <w:br w:type="page"/>
      </w: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第五部分</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工程质量保修责任书</w:t>
      </w:r>
    </w:p>
    <w:p>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hint="eastAsia" w:ascii="宋体" w:hAnsi="宋体"/>
          <w:color w:val="auto"/>
          <w:sz w:val="24"/>
          <w:highlight w:val="none"/>
          <w:u w:val="single"/>
        </w:rPr>
        <w:t>2</w:t>
      </w:r>
      <w:r>
        <w:rPr>
          <w:rFonts w:hint="eastAsia" w:ascii="宋体" w:hAnsi="宋体"/>
          <w:color w:val="auto"/>
          <w:sz w:val="24"/>
          <w:highlight w:val="none"/>
        </w:rPr>
        <w:t>个采暖期及供冷期；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pPr>
        <w:numPr>
          <w:ilvl w:val="0"/>
          <w:numId w:val="6"/>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pPr>
        <w:pStyle w:val="53"/>
        <w:spacing w:line="440" w:lineRule="exact"/>
        <w:ind w:firstLine="0"/>
        <w:jc w:val="left"/>
        <w:rPr>
          <w:rFonts w:ascii="宋体" w:hAnsi="宋体"/>
          <w:color w:val="auto"/>
          <w:szCs w:val="24"/>
          <w:highlight w:val="none"/>
        </w:rPr>
      </w:pPr>
    </w:p>
    <w:p>
      <w:pPr>
        <w:pStyle w:val="53"/>
        <w:spacing w:line="440" w:lineRule="exact"/>
        <w:ind w:firstLine="0"/>
        <w:jc w:val="left"/>
        <w:rPr>
          <w:rFonts w:ascii="宋体" w:hAnsi="宋体"/>
          <w:color w:val="auto"/>
          <w:szCs w:val="24"/>
          <w:highlight w:val="none"/>
        </w:rPr>
      </w:pPr>
    </w:p>
    <w:p>
      <w:pPr>
        <w:pStyle w:val="53"/>
        <w:spacing w:line="440" w:lineRule="exact"/>
        <w:ind w:firstLine="0"/>
        <w:jc w:val="left"/>
        <w:rPr>
          <w:rFonts w:ascii="宋体" w:hAnsi="宋体"/>
          <w:color w:val="auto"/>
          <w:szCs w:val="24"/>
          <w:highlight w:val="none"/>
        </w:rPr>
      </w:pPr>
    </w:p>
    <w:p>
      <w:pPr>
        <w:pStyle w:val="53"/>
        <w:spacing w:line="440" w:lineRule="exact"/>
        <w:ind w:firstLine="0"/>
        <w:jc w:val="left"/>
        <w:rPr>
          <w:rFonts w:ascii="宋体" w:hAnsi="宋体"/>
          <w:color w:val="auto"/>
          <w:szCs w:val="24"/>
          <w:highlight w:val="none"/>
        </w:rPr>
      </w:pPr>
    </w:p>
    <w:p>
      <w:pPr>
        <w:pStyle w:val="53"/>
        <w:spacing w:line="440" w:lineRule="exact"/>
        <w:ind w:firstLine="0"/>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承包人（公章）：</w:t>
      </w:r>
    </w:p>
    <w:p>
      <w:pPr>
        <w:pStyle w:val="53"/>
        <w:spacing w:line="440" w:lineRule="exact"/>
        <w:ind w:firstLine="397"/>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法定代表人：</w:t>
      </w:r>
    </w:p>
    <w:p>
      <w:pPr>
        <w:pStyle w:val="53"/>
        <w:spacing w:line="440" w:lineRule="exact"/>
        <w:ind w:firstLine="397"/>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委托代理人：</w:t>
      </w:r>
    </w:p>
    <w:p>
      <w:pPr>
        <w:pStyle w:val="53"/>
        <w:spacing w:line="440" w:lineRule="exact"/>
        <w:ind w:firstLine="397"/>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p>
    <w:p>
      <w:pPr>
        <w:pStyle w:val="53"/>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年</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月</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日</w:t>
      </w:r>
    </w:p>
    <w:p>
      <w:pPr>
        <w:pStyle w:val="53"/>
        <w:spacing w:line="440" w:lineRule="exact"/>
        <w:ind w:firstLine="397"/>
        <w:jc w:val="left"/>
        <w:rPr>
          <w:rFonts w:ascii="宋体" w:hAnsi="宋体"/>
          <w:color w:val="auto"/>
          <w:szCs w:val="24"/>
          <w:highlight w:val="none"/>
        </w:rPr>
      </w:pPr>
    </w:p>
    <w:p>
      <w:pPr>
        <w:widowControl/>
        <w:jc w:val="left"/>
        <w:rPr>
          <w:rFonts w:ascii="宋体" w:hAnsi="宋体" w:cs="宋体"/>
          <w:b/>
          <w:bCs/>
          <w:snapToGrid w:val="0"/>
          <w:color w:val="auto"/>
          <w:kern w:val="0"/>
          <w:sz w:val="28"/>
          <w:szCs w:val="28"/>
          <w:highlight w:val="none"/>
        </w:rPr>
      </w:pPr>
      <w:r>
        <w:rPr>
          <w:rFonts w:ascii="宋体" w:hAnsi="宋体"/>
          <w:b/>
          <w:bCs/>
          <w:color w:val="auto"/>
          <w:sz w:val="28"/>
          <w:szCs w:val="28"/>
          <w:highlight w:val="none"/>
        </w:rPr>
        <w:br w:type="page"/>
      </w:r>
    </w:p>
    <w:p>
      <w:pPr>
        <w:pStyle w:val="59"/>
        <w:adjustRightInd w:val="0"/>
        <w:snapToGrid w:val="0"/>
        <w:rPr>
          <w:rFonts w:ascii="宋体" w:hAnsi="宋体"/>
          <w:b/>
          <w:bCs/>
          <w:color w:val="auto"/>
          <w:sz w:val="28"/>
          <w:szCs w:val="28"/>
          <w:highlight w:val="none"/>
        </w:rPr>
      </w:pPr>
      <w:r>
        <w:rPr>
          <w:rFonts w:ascii="宋体" w:hAnsi="宋体"/>
          <w:b/>
          <w:bCs/>
          <w:color w:val="auto"/>
          <w:sz w:val="28"/>
          <w:szCs w:val="28"/>
          <w:highlight w:val="none"/>
        </w:rPr>
        <w:t>附件：</w:t>
      </w:r>
      <w:r>
        <w:rPr>
          <w:rFonts w:hint="eastAsia" w:ascii="宋体" w:hAnsi="宋体"/>
          <w:b/>
          <w:bCs/>
          <w:color w:val="auto"/>
          <w:sz w:val="28"/>
          <w:szCs w:val="28"/>
          <w:highlight w:val="none"/>
        </w:rPr>
        <w:t>工程建设项目廉政责任书</w:t>
      </w:r>
    </w:p>
    <w:p>
      <w:pPr>
        <w:pStyle w:val="60"/>
        <w:adjustRightInd w:val="0"/>
        <w:snapToGrid w:val="0"/>
        <w:spacing w:line="400" w:lineRule="exact"/>
        <w:ind w:firstLine="0"/>
        <w:rPr>
          <w:rFonts w:ascii="宋体" w:hAnsi="宋体"/>
          <w:snapToGrid w:val="0"/>
          <w:color w:val="auto"/>
          <w:kern w:val="0"/>
          <w:sz w:val="24"/>
          <w:highlight w:val="none"/>
        </w:rPr>
      </w:pPr>
    </w:p>
    <w:p>
      <w:pPr>
        <w:pStyle w:val="59"/>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p>
    <w:p>
      <w:pPr>
        <w:pStyle w:val="59"/>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p>
    <w:p>
      <w:pPr>
        <w:pStyle w:val="59"/>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甲方：</w:t>
      </w:r>
    </w:p>
    <w:p>
      <w:pPr>
        <w:pStyle w:val="59"/>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乙方：</w:t>
      </w:r>
    </w:p>
    <w:p>
      <w:pPr>
        <w:pStyle w:val="59"/>
        <w:adjustRightInd w:val="0"/>
        <w:snapToGrid w:val="0"/>
        <w:spacing w:line="400" w:lineRule="exact"/>
        <w:rPr>
          <w:rFonts w:ascii="宋体" w:hAnsi="宋体"/>
          <w:color w:val="auto"/>
          <w:sz w:val="24"/>
          <w:highlight w:val="none"/>
        </w:rPr>
      </w:pP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snapToGrid w:val="0"/>
          <w:color w:val="auto"/>
          <w:kern w:val="0"/>
          <w:sz w:val="24"/>
          <w:highlight w:val="none"/>
        </w:rPr>
        <w:t>甲、乙双方的责任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snapToGrid w:val="0"/>
          <w:color w:val="auto"/>
          <w:kern w:val="0"/>
          <w:sz w:val="24"/>
          <w:highlight w:val="none"/>
        </w:rPr>
        <w:t>甲方的责任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snapToGrid w:val="0"/>
          <w:color w:val="auto"/>
          <w:kern w:val="0"/>
          <w:sz w:val="24"/>
          <w:highlight w:val="none"/>
        </w:rPr>
        <w:t>乙方的责任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snapToGrid w:val="0"/>
          <w:color w:val="auto"/>
          <w:kern w:val="0"/>
          <w:sz w:val="24"/>
          <w:highlight w:val="none"/>
        </w:rPr>
        <w:t>违约责任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snapToGrid w:val="0"/>
          <w:color w:val="auto"/>
          <w:kern w:val="0"/>
          <w:sz w:val="24"/>
          <w:highlight w:val="none"/>
        </w:rPr>
        <w:t>本廉政责任书作为合同的附件，与合同具有同等法律效力。经双方签署后立即生效。</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snapToGrid w:val="0"/>
          <w:color w:val="auto"/>
          <w:kern w:val="0"/>
          <w:sz w:val="24"/>
          <w:highlight w:val="none"/>
        </w:rPr>
        <w:t>本廉政责任书的有效期与合同的有效期相同。</w:t>
      </w:r>
    </w:p>
    <w:p>
      <w:pPr>
        <w:adjustRightInd w:val="0"/>
        <w:snapToGrid w:val="0"/>
        <w:spacing w:line="440" w:lineRule="exact"/>
        <w:rPr>
          <w:rFonts w:ascii="宋体" w:hAnsi="宋体" w:cs="宋体"/>
          <w:color w:val="auto"/>
          <w:kern w:val="0"/>
          <w:sz w:val="24"/>
          <w:highlight w:val="none"/>
        </w:rPr>
      </w:pPr>
      <w:r>
        <w:rPr>
          <w:rFonts w:hint="eastAsia" w:ascii="宋体" w:hAnsi="宋体" w:cs="宋体"/>
          <w:b/>
          <w:snapToGrid w:val="0"/>
          <w:color w:val="auto"/>
          <w:kern w:val="0"/>
          <w:sz w:val="24"/>
          <w:highlight w:val="none"/>
        </w:rPr>
        <w:t>第七条</w:t>
      </w:r>
      <w:r>
        <w:rPr>
          <w:rFonts w:hint="eastAsia" w:ascii="宋体" w:hAnsi="宋体" w:cs="宋体"/>
          <w:snapToGrid w:val="0"/>
          <w:color w:val="auto"/>
          <w:kern w:val="0"/>
          <w:sz w:val="24"/>
          <w:highlight w:val="none"/>
        </w:rPr>
        <w:t>本廉政责任书份数和合同份数一致</w:t>
      </w:r>
      <w:r>
        <w:rPr>
          <w:rFonts w:hint="eastAsia" w:ascii="宋体" w:hAnsi="宋体" w:cs="宋体"/>
          <w:bCs/>
          <w:color w:val="auto"/>
          <w:kern w:val="0"/>
          <w:sz w:val="24"/>
          <w:highlight w:val="none"/>
        </w:rPr>
        <w:t>。</w:t>
      </w:r>
    </w:p>
    <w:p>
      <w:pPr>
        <w:adjustRightInd w:val="0"/>
        <w:snapToGrid w:val="0"/>
        <w:spacing w:line="380" w:lineRule="exact"/>
        <w:ind w:right="11"/>
        <w:rPr>
          <w:rFonts w:ascii="宋体" w:hAnsi="宋体" w:cs="宋体"/>
          <w:snapToGrid w:val="0"/>
          <w:color w:val="auto"/>
          <w:kern w:val="0"/>
          <w:sz w:val="24"/>
          <w:highlight w:val="none"/>
        </w:rPr>
      </w:pPr>
    </w:p>
    <w:p>
      <w:pPr>
        <w:pStyle w:val="59"/>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w:t>
      </w:r>
    </w:p>
    <w:p>
      <w:pPr>
        <w:pStyle w:val="59"/>
        <w:adjustRightInd w:val="0"/>
        <w:snapToGrid w:val="0"/>
        <w:spacing w:line="360" w:lineRule="auto"/>
        <w:ind w:left="1917" w:leftChars="513" w:right="11" w:hanging="840" w:hangingChars="350"/>
        <w:rPr>
          <w:rFonts w:ascii="宋体" w:hAnsi="宋体"/>
          <w:color w:val="auto"/>
          <w:sz w:val="24"/>
          <w:highlight w:val="none"/>
        </w:rPr>
      </w:pPr>
    </w:p>
    <w:p>
      <w:pPr>
        <w:pStyle w:val="59"/>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w:t>
      </w:r>
    </w:p>
    <w:p>
      <w:pPr>
        <w:pStyle w:val="59"/>
        <w:tabs>
          <w:tab w:val="left" w:pos="5460"/>
        </w:tabs>
        <w:adjustRightInd w:val="0"/>
        <w:snapToGrid w:val="0"/>
        <w:spacing w:line="360" w:lineRule="auto"/>
        <w:ind w:left="-2" w:leftChars="-1" w:right="11"/>
        <w:rPr>
          <w:rFonts w:ascii="宋体" w:hAnsi="宋体"/>
          <w:color w:val="auto"/>
          <w:sz w:val="24"/>
          <w:highlight w:val="none"/>
        </w:rPr>
      </w:pPr>
    </w:p>
    <w:p>
      <w:pPr>
        <w:pStyle w:val="59"/>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委托代理人：</w:t>
      </w:r>
    </w:p>
    <w:p>
      <w:pPr>
        <w:pStyle w:val="59"/>
        <w:tabs>
          <w:tab w:val="left" w:pos="5460"/>
        </w:tabs>
        <w:adjustRightInd w:val="0"/>
        <w:snapToGrid w:val="0"/>
        <w:spacing w:line="400" w:lineRule="exact"/>
        <w:ind w:left="-2" w:leftChars="-1" w:right="11"/>
        <w:rPr>
          <w:rFonts w:ascii="宋体" w:hAnsi="宋体"/>
          <w:color w:val="auto"/>
          <w:sz w:val="24"/>
          <w:highlight w:val="none"/>
        </w:rPr>
      </w:pPr>
    </w:p>
    <w:p>
      <w:pPr>
        <w:pStyle w:val="59"/>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pStyle w:val="59"/>
        <w:spacing w:line="400" w:lineRule="exact"/>
        <w:rPr>
          <w:rFonts w:hAnsi="宋体" w:eastAsia="仿宋_GB2312"/>
          <w:color w:val="auto"/>
          <w:sz w:val="28"/>
          <w:szCs w:val="28"/>
          <w:highlight w:val="none"/>
        </w:rPr>
      </w:pPr>
      <w:r>
        <w:rPr>
          <w:rFonts w:hint="eastAsia" w:ascii="宋体" w:hAnsi="宋体"/>
          <w:color w:val="auto"/>
          <w:sz w:val="24"/>
          <w:highlight w:val="none"/>
        </w:rPr>
        <w:t>签约地点：广东省广州市黄埔区。</w:t>
      </w:r>
    </w:p>
    <w:p>
      <w:pPr>
        <w:rPr>
          <w:rFonts w:ascii="宋体" w:hAnsi="宋体" w:cs="宋体"/>
          <w:color w:val="auto"/>
          <w:sz w:val="32"/>
          <w:szCs w:val="32"/>
          <w:highlight w:val="none"/>
        </w:rPr>
      </w:pPr>
    </w:p>
    <w:p>
      <w:pPr>
        <w:pStyle w:val="59"/>
        <w:snapToGrid w:val="0"/>
        <w:spacing w:line="360" w:lineRule="auto"/>
        <w:rPr>
          <w:rFonts w:ascii="宋体" w:hAnsi="宋体"/>
          <w:color w:val="auto"/>
          <w:sz w:val="28"/>
          <w:szCs w:val="28"/>
          <w:highlight w:val="none"/>
        </w:rPr>
      </w:pPr>
    </w:p>
    <w:p>
      <w:pPr>
        <w:pStyle w:val="2"/>
        <w:snapToGrid w:val="0"/>
        <w:spacing w:before="0" w:after="0"/>
        <w:jc w:val="center"/>
        <w:rPr>
          <w:rFonts w:ascii="宋体" w:hAnsi="宋体" w:cs="宋体"/>
          <w:color w:val="auto"/>
          <w:sz w:val="32"/>
          <w:szCs w:val="32"/>
          <w:highlight w:val="none"/>
        </w:rPr>
      </w:pPr>
      <w:bookmarkStart w:id="31" w:name="_Toc30083"/>
      <w:r>
        <w:rPr>
          <w:rFonts w:hint="eastAsia" w:ascii="宋体" w:hAnsi="宋体" w:cs="宋体"/>
          <w:color w:val="auto"/>
          <w:sz w:val="32"/>
          <w:szCs w:val="32"/>
          <w:highlight w:val="none"/>
        </w:rPr>
        <w:t>第四章</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投标文件格式</w:t>
      </w:r>
      <w:bookmarkEnd w:id="31"/>
    </w:p>
    <w:p>
      <w:pPr>
        <w:autoSpaceDE w:val="0"/>
        <w:autoSpaceDN w:val="0"/>
        <w:adjustRightInd w:val="0"/>
        <w:snapToGrid w:val="0"/>
        <w:spacing w:line="360" w:lineRule="auto"/>
        <w:rPr>
          <w:rFonts w:ascii="宋体" w:hAnsi="宋体" w:cs="宋体"/>
          <w:color w:val="auto"/>
          <w:sz w:val="32"/>
          <w:szCs w:val="32"/>
          <w:highlight w:val="none"/>
        </w:rPr>
      </w:pPr>
    </w:p>
    <w:p>
      <w:pPr>
        <w:autoSpaceDE w:val="0"/>
        <w:autoSpaceDN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pPr>
        <w:topLinePunct/>
        <w:adjustRightInd w:val="0"/>
        <w:snapToGrid w:val="0"/>
        <w:spacing w:line="360" w:lineRule="auto"/>
        <w:jc w:val="left"/>
        <w:rPr>
          <w:rFonts w:ascii="宋体" w:hAnsi="宋体" w:cs="宋体"/>
          <w:color w:val="auto"/>
          <w:sz w:val="24"/>
          <w:szCs w:val="24"/>
          <w:highlight w:val="none"/>
        </w:rPr>
      </w:pPr>
      <w:bookmarkStart w:id="32" w:name="_Toc6493845"/>
    </w:p>
    <w:p>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32"/>
      <w:r>
        <w:rPr>
          <w:rFonts w:hint="eastAsia" w:ascii="宋体" w:hAnsi="宋体" w:cs="宋体"/>
          <w:bCs/>
          <w:color w:val="auto"/>
          <w:spacing w:val="4"/>
          <w:kern w:val="0"/>
          <w:sz w:val="24"/>
          <w:szCs w:val="24"/>
          <w:highlight w:val="none"/>
        </w:rPr>
        <w:t>：</w:t>
      </w:r>
    </w:p>
    <w:p>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33" w:name="_Toc10308"/>
      <w:bookmarkStart w:id="34" w:name="_Toc17590"/>
      <w:r>
        <w:rPr>
          <w:rFonts w:hint="eastAsia" w:ascii="宋体" w:hAnsi="宋体" w:cs="宋体"/>
          <w:b/>
          <w:bCs/>
          <w:color w:val="auto"/>
          <w:sz w:val="36"/>
          <w:szCs w:val="36"/>
          <w:highlight w:val="none"/>
          <w:lang w:val="zh-CN"/>
        </w:rPr>
        <w:t>广州建设工程施工招标投标书（技术标）</w:t>
      </w:r>
      <w:bookmarkEnd w:id="33"/>
      <w:bookmarkEnd w:id="34"/>
    </w:p>
    <w:tbl>
      <w:tblPr>
        <w:tblStyle w:val="3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bl>
    <w:p>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1.根据已收到贵方的项目编号为的</w:t>
      </w:r>
      <w:r>
        <w:rPr>
          <w:rFonts w:hint="eastAsia" w:ascii="宋体" w:hAnsi="宋体" w:cs="宋体"/>
          <w:color w:val="auto"/>
          <w:sz w:val="24"/>
          <w:szCs w:val="24"/>
          <w:highlight w:val="none"/>
          <w:u w:val="single"/>
          <w:lang w:eastAsia="zh-CN"/>
        </w:rPr>
        <w:t>黄埔区将军山一路市政道路工程</w:t>
      </w:r>
      <w:r>
        <w:rPr>
          <w:rFonts w:hint="eastAsia" w:ascii="宋体" w:hAnsi="宋体" w:cs="宋体"/>
          <w:color w:val="auto"/>
          <w:sz w:val="24"/>
          <w:szCs w:val="24"/>
          <w:highlight w:val="none"/>
          <w:u w:val="single"/>
        </w:rPr>
        <w:t>施工总承包</w:t>
      </w:r>
      <w:r>
        <w:rPr>
          <w:rFonts w:hint="eastAsia" w:ascii="宋体" w:hAnsi="宋体" w:cs="宋体"/>
          <w:color w:val="auto"/>
          <w:sz w:val="24"/>
          <w:szCs w:val="24"/>
          <w:highlight w:val="none"/>
        </w:rPr>
        <w:t>工程的招标文件，并已详细审核了全部招标文件及有关附件。</w:t>
      </w:r>
    </w:p>
    <w:p>
      <w:pPr>
        <w:snapToGrid w:val="0"/>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b/>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b/>
          <w:color w:val="auto"/>
          <w:sz w:val="24"/>
          <w:szCs w:val="24"/>
          <w:highlight w:val="none"/>
        </w:rPr>
        <w:t>要求</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napToGrid w:val="0"/>
        <w:spacing w:line="360" w:lineRule="auto"/>
        <w:ind w:firstLine="481"/>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napToGrid w:val="0"/>
        <w:spacing w:line="360" w:lineRule="auto"/>
        <w:ind w:firstLine="481"/>
        <w:rPr>
          <w:rFonts w:ascii="宋体" w:hAnsi="宋体" w:cs="宋体"/>
          <w:snapToGrid w:val="0"/>
          <w:color w:val="auto"/>
          <w:spacing w:val="4"/>
          <w:kern w:val="0"/>
          <w:sz w:val="24"/>
          <w:szCs w:val="24"/>
          <w:highlight w:val="none"/>
        </w:rPr>
      </w:pPr>
    </w:p>
    <w:p>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pPr>
        <w:snapToGrid w:val="0"/>
        <w:spacing w:line="360" w:lineRule="auto"/>
        <w:jc w:val="left"/>
        <w:rPr>
          <w:rFonts w:ascii="宋体" w:hAnsi="宋体" w:cs="宋体"/>
          <w:color w:val="auto"/>
          <w:sz w:val="24"/>
          <w:szCs w:val="24"/>
          <w:highlight w:val="none"/>
        </w:rPr>
      </w:pPr>
    </w:p>
    <w:p>
      <w:pPr>
        <w:snapToGrid w:val="0"/>
        <w:spacing w:line="360" w:lineRule="auto"/>
        <w:jc w:val="left"/>
        <w:rPr>
          <w:rFonts w:ascii="宋体" w:hAnsi="宋体" w:cs="宋体"/>
          <w:color w:val="auto"/>
          <w:szCs w:val="21"/>
          <w:highlight w:val="none"/>
        </w:rPr>
      </w:pPr>
    </w:p>
    <w:p>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日历天内完成并移交本工程”横线上要求按照本工程《广州建设工程施工招标投标书（技术标）》承诺的投标总工期填写，否则视作未按规定的格式填写，作无效标处理；《投标函》第5条内容“质量标准达到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pPr>
        <w:snapToGrid w:val="0"/>
        <w:spacing w:line="360" w:lineRule="auto"/>
        <w:jc w:val="left"/>
        <w:rPr>
          <w:rFonts w:ascii="宋体" w:hAnsi="宋体" w:cs="宋体"/>
          <w:color w:val="auto"/>
          <w:szCs w:val="21"/>
          <w:highlight w:val="none"/>
        </w:rPr>
      </w:pPr>
      <w:bookmarkStart w:id="35" w:name="_Toc478375101"/>
      <w:bookmarkStart w:id="36" w:name="_Toc474749524"/>
    </w:p>
    <w:p>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技术标格式三：</w:t>
      </w: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已竣工验收的类似工程业绩表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851"/>
        <w:gridCol w:w="185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工程对应的企业资质</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49"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中标金额或合同金额 (人民币：万元)</w:t>
            </w:r>
          </w:p>
        </w:tc>
        <w:tc>
          <w:tcPr>
            <w:tcW w:w="1249"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竣工日期</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项目经理姓名</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项目业主名称</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竣工质量评定等级</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工程获奖情况</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注：由投标人按评审要求填写本表，并按《技术标详细审查评分表》要求附相关证明材料。</w:t>
      </w:r>
    </w:p>
    <w:p>
      <w:pPr>
        <w:snapToGrid w:val="0"/>
        <w:spacing w:line="360" w:lineRule="auto"/>
        <w:jc w:val="left"/>
        <w:rPr>
          <w:rFonts w:ascii="宋体" w:hAnsi="宋体" w:cs="宋体"/>
          <w:color w:val="auto"/>
          <w:szCs w:val="21"/>
          <w:highlight w:val="none"/>
        </w:rPr>
      </w:pP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widowControl/>
        <w:snapToGrid w:val="0"/>
        <w:spacing w:line="360" w:lineRule="auto"/>
        <w:ind w:right="102"/>
        <w:jc w:val="left"/>
        <w:rPr>
          <w:rFonts w:ascii="宋体" w:hAnsi="宋体" w:cs="宋体"/>
          <w:color w:val="auto"/>
          <w:sz w:val="24"/>
          <w:szCs w:val="24"/>
          <w:highlight w:val="none"/>
          <w:lang w:val="zh-CN"/>
        </w:rPr>
      </w:pPr>
    </w:p>
    <w:p>
      <w:pPr>
        <w:widowControl/>
        <w:snapToGrid w:val="0"/>
        <w:spacing w:line="360" w:lineRule="auto"/>
        <w:ind w:right="102"/>
        <w:jc w:val="left"/>
        <w:rPr>
          <w:rFonts w:ascii="宋体" w:hAnsi="宋体" w:cs="宋体"/>
          <w:color w:val="auto"/>
          <w:sz w:val="24"/>
          <w:szCs w:val="24"/>
          <w:highlight w:val="none"/>
          <w:lang w:val="zh-CN"/>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topLinePunct/>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格式四：</w:t>
      </w:r>
    </w:p>
    <w:p>
      <w:pPr>
        <w:autoSpaceDE w:val="0"/>
        <w:autoSpaceDN w:val="0"/>
        <w:adjustRightInd w:val="0"/>
        <w:snapToGri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企业承建工程获奖情况表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401"/>
        <w:gridCol w:w="1400"/>
        <w:gridCol w:w="1401"/>
        <w:gridCol w:w="1400"/>
        <w:gridCol w:w="140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项目概况</w:t>
            </w: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业主单位</w:t>
            </w: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完成情况</w:t>
            </w: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颁发单位</w:t>
            </w: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获奖奖项</w:t>
            </w: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r>
              <w:rPr>
                <w:rFonts w:hint="eastAsia" w:ascii="宋体" w:hAnsi="宋体" w:cs="宋体"/>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1"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tcPr>
          <w:p>
            <w:pPr>
              <w:topLinePunct/>
              <w:snapToGrid w:val="0"/>
              <w:spacing w:line="360" w:lineRule="auto"/>
              <w:jc w:val="center"/>
              <w:rPr>
                <w:rFonts w:ascii="宋体" w:hAnsi="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360" w:lineRule="auto"/>
              <w:jc w:val="center"/>
              <w:rPr>
                <w:rFonts w:ascii="宋体" w:hAnsi="宋体" w:cs="宋体"/>
                <w:color w:val="auto"/>
                <w:highlight w:val="none"/>
              </w:rPr>
            </w:pPr>
          </w:p>
        </w:tc>
      </w:tr>
    </w:tbl>
    <w:p>
      <w:pPr>
        <w:snapToGrid w:val="0"/>
        <w:spacing w:line="360" w:lineRule="auto"/>
        <w:jc w:val="left"/>
        <w:rPr>
          <w:rFonts w:ascii="宋体" w:hAnsi="宋体" w:cs="宋体"/>
          <w:color w:val="auto"/>
          <w:szCs w:val="24"/>
          <w:highlight w:val="none"/>
        </w:rPr>
      </w:pPr>
      <w:r>
        <w:rPr>
          <w:rFonts w:hint="eastAsia" w:ascii="宋体" w:hAnsi="宋体" w:cs="宋体"/>
          <w:color w:val="auto"/>
          <w:szCs w:val="24"/>
          <w:highlight w:val="none"/>
        </w:rPr>
        <w:t>注：</w:t>
      </w:r>
      <w:r>
        <w:rPr>
          <w:rFonts w:hint="eastAsia" w:ascii="宋体" w:hAnsi="宋体" w:cs="宋体"/>
          <w:color w:val="auto"/>
          <w:szCs w:val="21"/>
          <w:highlight w:val="none"/>
        </w:rPr>
        <w:t>由投标人按评审要求填写本表，并按《技术标详细审查评分表》要求附相关证明材料</w:t>
      </w:r>
      <w:r>
        <w:rPr>
          <w:rFonts w:hint="eastAsia" w:ascii="宋体" w:hAnsi="宋体" w:cs="宋体"/>
          <w:color w:val="auto"/>
          <w:szCs w:val="24"/>
          <w:highlight w:val="none"/>
        </w:rPr>
        <w:t>。</w:t>
      </w:r>
    </w:p>
    <w:p>
      <w:pPr>
        <w:snapToGrid w:val="0"/>
        <w:spacing w:line="360" w:lineRule="auto"/>
        <w:jc w:val="left"/>
        <w:rPr>
          <w:rFonts w:ascii="宋体" w:hAnsi="宋体" w:cs="宋体"/>
          <w:color w:val="auto"/>
          <w:szCs w:val="24"/>
          <w:highlight w:val="none"/>
        </w:rPr>
      </w:pPr>
    </w:p>
    <w:p>
      <w:pPr>
        <w:snapToGrid w:val="0"/>
        <w:spacing w:line="360" w:lineRule="auto"/>
        <w:ind w:firstLine="1995" w:firstLineChars="950"/>
        <w:jc w:val="left"/>
        <w:rPr>
          <w:rFonts w:ascii="宋体" w:hAnsi="宋体" w:cs="宋体"/>
          <w:color w:val="auto"/>
          <w:szCs w:val="24"/>
          <w:highlight w:val="none"/>
        </w:rPr>
      </w:pPr>
      <w:r>
        <w:rPr>
          <w:rFonts w:hint="eastAsia" w:ascii="宋体" w:hAnsi="宋体" w:cs="宋体"/>
          <w:color w:val="auto"/>
          <w:szCs w:val="24"/>
          <w:highlight w:val="none"/>
        </w:rPr>
        <w:t>投标人（盖章）：</w:t>
      </w:r>
    </w:p>
    <w:p>
      <w:pPr>
        <w:topLinePunct/>
        <w:adjustRightInd w:val="0"/>
        <w:snapToGrid w:val="0"/>
        <w:spacing w:line="360" w:lineRule="auto"/>
        <w:ind w:firstLine="1995" w:firstLineChars="950"/>
        <w:rPr>
          <w:rFonts w:ascii="宋体" w:hAnsi="宋体" w:cs="宋体"/>
          <w:color w:val="auto"/>
          <w:sz w:val="24"/>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日</w:t>
      </w:r>
    </w:p>
    <w:p>
      <w:pPr>
        <w:topLinePunct/>
        <w:adjustRightInd w:val="0"/>
        <w:snapToGrid w:val="0"/>
        <w:spacing w:line="360" w:lineRule="auto"/>
        <w:rPr>
          <w:rFonts w:ascii="宋体" w:hAnsi="宋体" w:cs="宋体"/>
          <w:color w:val="auto"/>
          <w:sz w:val="24"/>
          <w:szCs w:val="24"/>
          <w:highlight w:val="none"/>
        </w:rPr>
      </w:pPr>
    </w:p>
    <w:p>
      <w:pPr>
        <w:topLinePunct/>
        <w:adjustRightInd w:val="0"/>
        <w:snapToGrid w:val="0"/>
        <w:spacing w:line="360" w:lineRule="auto"/>
        <w:rPr>
          <w:rFonts w:ascii="宋体" w:hAnsi="宋体" w:cs="宋体"/>
          <w:color w:val="auto"/>
          <w:sz w:val="24"/>
          <w:szCs w:val="24"/>
          <w:highlight w:val="none"/>
        </w:rPr>
      </w:pPr>
    </w:p>
    <w:p>
      <w:pPr>
        <w:topLinePunct/>
        <w:adjustRightInd w:val="0"/>
        <w:snapToGrid w:val="0"/>
        <w:spacing w:line="360" w:lineRule="auto"/>
        <w:rPr>
          <w:rFonts w:ascii="宋体" w:hAnsi="宋体" w:cs="宋体"/>
          <w:color w:val="auto"/>
          <w:sz w:val="24"/>
          <w:szCs w:val="24"/>
          <w:highlight w:val="none"/>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topLinePunct/>
        <w:adjustRightInd w:val="0"/>
        <w:snapToGrid w:val="0"/>
        <w:spacing w:line="360" w:lineRule="auto"/>
        <w:rPr>
          <w:rFonts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格式五：</w:t>
      </w: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投入主要人员汇总表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41"/>
        <w:gridCol w:w="1669"/>
        <w:gridCol w:w="1364"/>
        <w:gridCol w:w="22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姓名</w:t>
            </w: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职位</w:t>
            </w: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专业类别</w:t>
            </w: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人员资格情况</w:t>
            </w: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bl>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2.上述人员须为投标单位人员，并须提供居民身份证及2024年11月（或2024年12月）有效社保证明。</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及《技术标详细审查评分表》相应要求提供居民身份证、职称证（如有），有效期内的注册证（如有）、岗位证（如有）或培训合格证（如有）等相关证明资料。所有资料为扫描件并加盖投标人电子印章。职称证书应以人社部门或者在人社部门核准备案的职称评审委员会或人社部门授权具备颁发资格的机构（或单位）颁发的为准。</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topLinePunct/>
        <w:adjustRightInd w:val="0"/>
        <w:snapToGrid w:val="0"/>
        <w:spacing w:line="360" w:lineRule="auto"/>
        <w:rPr>
          <w:rFonts w:ascii="宋体" w:hAnsi="宋体" w:cs="宋体"/>
          <w:b/>
          <w:snapToGrid w:val="0"/>
          <w:color w:val="auto"/>
          <w:spacing w:val="4"/>
          <w:kern w:val="0"/>
          <w:sz w:val="24"/>
          <w:szCs w:val="24"/>
          <w:highlight w:val="none"/>
        </w:rPr>
      </w:pPr>
    </w:p>
    <w:p>
      <w:pPr>
        <w:pStyle w:val="17"/>
        <w:snapToGrid w:val="0"/>
        <w:spacing w:line="360" w:lineRule="auto"/>
        <w:rPr>
          <w:rFonts w:hAnsi="宋体" w:cs="宋体"/>
          <w:color w:val="auto"/>
          <w:highlight w:val="none"/>
        </w:rPr>
      </w:pPr>
    </w:p>
    <w:p>
      <w:pPr>
        <w:pStyle w:val="17"/>
        <w:snapToGrid w:val="0"/>
        <w:spacing w:line="360" w:lineRule="auto"/>
        <w:rPr>
          <w:rFonts w:hAnsi="宋体" w:cs="宋体"/>
          <w:color w:val="auto"/>
          <w:highlight w:val="none"/>
        </w:rPr>
      </w:pP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工程名称：</w:t>
      </w:r>
    </w:p>
    <w:tbl>
      <w:tblPr>
        <w:tblStyle w:val="30"/>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100"/>
        <w:gridCol w:w="1351"/>
        <w:gridCol w:w="927"/>
        <w:gridCol w:w="518"/>
        <w:gridCol w:w="196"/>
        <w:gridCol w:w="1384"/>
        <w:gridCol w:w="1009"/>
        <w:gridCol w:w="1291"/>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bl>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snapToGrid w:val="0"/>
        <w:spacing w:line="360" w:lineRule="auto"/>
        <w:rPr>
          <w:rFonts w:ascii="宋体" w:hAnsi="宋体" w:cs="宋体"/>
          <w:color w:val="auto"/>
          <w:highlight w:val="none"/>
        </w:rPr>
      </w:pPr>
    </w:p>
    <w:p>
      <w:pPr>
        <w:rPr>
          <w:rFonts w:ascii="宋体" w:hAnsi="宋体" w:cs="宋体"/>
          <w:color w:val="auto"/>
          <w:sz w:val="24"/>
          <w:szCs w:val="24"/>
          <w:highlight w:val="none"/>
        </w:rPr>
      </w:pPr>
      <w:bookmarkStart w:id="37" w:name="_Toc4573"/>
      <w:bookmarkStart w:id="38" w:name="_Toc13235"/>
      <w:r>
        <w:rPr>
          <w:rFonts w:hint="eastAsia" w:ascii="宋体" w:hAnsi="宋体" w:cs="宋体"/>
          <w:color w:val="auto"/>
          <w:sz w:val="24"/>
          <w:szCs w:val="24"/>
          <w:highlight w:val="none"/>
        </w:rPr>
        <w:br w:type="page"/>
      </w:r>
    </w:p>
    <w:p>
      <w:pPr>
        <w:topLinePunct/>
        <w:adjustRightInd w:val="0"/>
        <w:snapToGrid w:val="0"/>
        <w:spacing w:line="360" w:lineRule="auto"/>
        <w:jc w:val="left"/>
        <w:outlineLvl w:val="2"/>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35"/>
      <w:bookmarkEnd w:id="36"/>
      <w:bookmarkEnd w:id="37"/>
      <w:bookmarkEnd w:id="38"/>
      <w:r>
        <w:rPr>
          <w:rFonts w:hint="eastAsia" w:ascii="宋体" w:hAnsi="宋体" w:cs="宋体"/>
          <w:snapToGrid w:val="0"/>
          <w:color w:val="auto"/>
          <w:spacing w:val="4"/>
          <w:kern w:val="0"/>
          <w:sz w:val="24"/>
          <w:szCs w:val="24"/>
          <w:highlight w:val="none"/>
        </w:rPr>
        <w:t>六：</w:t>
      </w: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pPr>
        <w:pStyle w:val="40"/>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bl>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b/>
          <w:color w:val="auto"/>
          <w:sz w:val="24"/>
          <w:szCs w:val="24"/>
          <w:highlight w:val="none"/>
        </w:rPr>
        <w:t>日历天</w:t>
      </w:r>
      <w:r>
        <w:rPr>
          <w:rFonts w:hint="eastAsia" w:ascii="宋体" w:hAnsi="宋体" w:cs="宋体"/>
          <w:color w:val="auto"/>
          <w:sz w:val="24"/>
          <w:szCs w:val="24"/>
          <w:highlight w:val="none"/>
        </w:rPr>
        <w:t>内完成。</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left="-105" w:leftChars="-50" w:firstLine="90" w:firstLineChars="43"/>
              <w:jc w:val="center"/>
              <w:rPr>
                <w:rFonts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r>
    </w:tbl>
    <w:p>
      <w:pPr>
        <w:tabs>
          <w:tab w:val="left" w:pos="315"/>
        </w:tabs>
        <w:snapToGrid w:val="0"/>
        <w:spacing w:line="360" w:lineRule="auto"/>
        <w:ind w:left="19" w:leftChars="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0"/>
        </w:tabs>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snapToGrid w:val="0"/>
        <w:spacing w:line="360" w:lineRule="auto"/>
        <w:ind w:left="318"/>
        <w:rPr>
          <w:rFonts w:ascii="宋体" w:hAnsi="宋体" w:cs="宋体"/>
          <w:color w:val="auto"/>
          <w:sz w:val="24"/>
          <w:szCs w:val="24"/>
          <w:highlight w:val="none"/>
          <w:u w:val="single"/>
        </w:rPr>
      </w:pPr>
    </w:p>
    <w:p>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left="-2" w:leftChars="-1"/>
        <w:rPr>
          <w:rFonts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2、《标函承诺书》第7条内容“确保本工程质量达到要求”横线上要求按照本工程《广州建设工程施工招标投标书（技术标）》承诺的质量标准填写，否则视作未按规定的格式填写，作无效标处理。</w:t>
      </w:r>
    </w:p>
    <w:p>
      <w:pPr>
        <w:snapToGrid w:val="0"/>
        <w:spacing w:line="360" w:lineRule="auto"/>
        <w:ind w:left="-2" w:leftChars="-1"/>
        <w:jc w:val="left"/>
        <w:rPr>
          <w:rFonts w:ascii="宋体" w:hAnsi="宋体" w:cs="宋体"/>
          <w:color w:val="auto"/>
          <w:sz w:val="24"/>
          <w:szCs w:val="24"/>
          <w:highlight w:val="none"/>
          <w:u w:val="single"/>
        </w:rPr>
      </w:pPr>
      <w:r>
        <w:rPr>
          <w:rFonts w:hint="eastAsia" w:ascii="宋体" w:hAnsi="宋体" w:cs="宋体"/>
          <w:color w:val="auto"/>
          <w:szCs w:val="21"/>
          <w:highlight w:val="none"/>
        </w:rPr>
        <w:t>3、《标函承诺书》第8条内容“确保工程在日历天内完成”横线上要求按照本工程《广州建设工程施工招标投标书（技术标）》承诺的投标总工期填写，否则视作未按规定的格式填写，作无效标处理。</w:t>
      </w:r>
      <w:bookmarkStart w:id="39" w:name="_Toc24943"/>
      <w:bookmarkStart w:id="40" w:name="_Toc14656"/>
    </w:p>
    <w:p>
      <w:pPr>
        <w:snapToGrid w:val="0"/>
        <w:spacing w:line="360" w:lineRule="auto"/>
        <w:ind w:left="420" w:leftChars="200"/>
        <w:jc w:val="left"/>
        <w:rPr>
          <w:rFonts w:ascii="宋体" w:hAnsi="宋体" w:cs="宋体"/>
          <w:color w:val="auto"/>
          <w:sz w:val="24"/>
          <w:szCs w:val="24"/>
          <w:highlight w:val="none"/>
          <w:u w:val="single"/>
        </w:rPr>
      </w:pPr>
    </w:p>
    <w:p>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rPr>
        <w:t>七：</w:t>
      </w:r>
    </w:p>
    <w:p>
      <w:pPr>
        <w:pStyle w:val="124"/>
        <w:rPr>
          <w:rFonts w:hint="eastAsia" w:ascii="宋体" w:hAnsi="宋体" w:eastAsia="宋体" w:cs="宋体"/>
          <w:b/>
          <w:bCs/>
          <w:color w:val="auto"/>
          <w:szCs w:val="21"/>
          <w:highlight w:val="none"/>
          <w:lang w:eastAsia="zh-CN"/>
        </w:rPr>
      </w:pPr>
    </w:p>
    <w:p>
      <w:pPr>
        <w:pStyle w:val="28"/>
        <w:snapToGrid w:val="0"/>
        <w:spacing w:after="0"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pPr>
        <w:pStyle w:val="124"/>
        <w:rPr>
          <w:rFonts w:ascii="宋体" w:hAnsi="宋体" w:cs="宋体"/>
          <w:b/>
          <w:bCs/>
          <w:color w:val="auto"/>
          <w:szCs w:val="21"/>
          <w:highlight w:val="none"/>
        </w:rPr>
      </w:pPr>
    </w:p>
    <w:p>
      <w:pPr>
        <w:pStyle w:val="14"/>
        <w:tabs>
          <w:tab w:val="left" w:pos="1981"/>
          <w:tab w:val="left" w:pos="3555"/>
        </w:tabs>
        <w:kinsoku w:val="0"/>
        <w:overflowPunct w:val="0"/>
        <w:spacing w:line="360" w:lineRule="auto"/>
        <w:rPr>
          <w:rFonts w:ascii="宋体" w:hAnsi="宋体"/>
          <w:color w:val="auto"/>
          <w:highlight w:val="none"/>
        </w:rPr>
      </w:pPr>
      <w:r>
        <w:rPr>
          <w:rFonts w:hint="eastAsia" w:ascii="宋体" w:hAnsi="宋体"/>
          <w:color w:val="auto"/>
          <w:sz w:val="24"/>
          <w:szCs w:val="24"/>
          <w:highlight w:val="none"/>
        </w:rPr>
        <w:t>致：</w:t>
      </w:r>
      <w:r>
        <w:rPr>
          <w:rFonts w:hint="eastAsia" w:ascii="宋体" w:hAnsi="宋体" w:cs="宋体"/>
          <w:color w:val="auto"/>
          <w:sz w:val="24"/>
          <w:szCs w:val="24"/>
          <w:highlight w:val="none"/>
          <w:u w:val="single"/>
        </w:rPr>
        <w:t>广州开发区财政投资建设项目管理中心</w:t>
      </w:r>
    </w:p>
    <w:p>
      <w:pPr>
        <w:pStyle w:val="14"/>
        <w:kinsoku w:val="0"/>
        <w:overflowPunct w:val="0"/>
        <w:spacing w:line="360" w:lineRule="auto"/>
        <w:ind w:right="216" w:firstLine="460" w:firstLineChars="200"/>
        <w:rPr>
          <w:rFonts w:ascii="宋体" w:hAnsi="宋体"/>
          <w:color w:val="auto"/>
          <w:highlight w:val="none"/>
        </w:rPr>
      </w:pPr>
      <w:r>
        <w:rPr>
          <w:rFonts w:hint="eastAsia" w:ascii="宋体" w:hAnsi="宋体"/>
          <w:color w:val="auto"/>
          <w:spacing w:val="-5"/>
          <w:sz w:val="24"/>
          <w:szCs w:val="24"/>
          <w:highlight w:val="none"/>
        </w:rPr>
        <w:t>本公司郑重声明，根据《政府采购促进中小企业发展管理办法》</w:t>
      </w:r>
      <w:r>
        <w:rPr>
          <w:rFonts w:hint="eastAsia" w:ascii="宋体" w:hAnsi="宋体"/>
          <w:color w:val="auto"/>
          <w:sz w:val="24"/>
          <w:szCs w:val="24"/>
          <w:highlight w:val="none"/>
        </w:rPr>
        <w:t>（财库﹝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pacing w:val="-35"/>
          <w:sz w:val="24"/>
          <w:szCs w:val="24"/>
          <w:highlight w:val="none"/>
        </w:rPr>
        <w:t>号</w:t>
      </w:r>
      <w:r>
        <w:rPr>
          <w:rFonts w:hint="eastAsia" w:ascii="宋体" w:hAnsi="宋体"/>
          <w:color w:val="auto"/>
          <w:sz w:val="24"/>
          <w:szCs w:val="24"/>
          <w:highlight w:val="none"/>
        </w:rPr>
        <w:t>）的规定，本公司参加</w:t>
      </w:r>
      <w:r>
        <w:rPr>
          <w:rFonts w:hint="eastAsia" w:ascii="宋体" w:hAnsi="宋体"/>
          <w:color w:val="auto"/>
          <w:sz w:val="24"/>
          <w:szCs w:val="24"/>
          <w:highlight w:val="none"/>
          <w:u w:val="single"/>
        </w:rPr>
        <w:t>（招标人）</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招标活动，工程的施工单位</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符合政策要求的中小企业。相关企业（含签订分包意向协议的中小企业）的具体情况如下：</w:t>
      </w:r>
    </w:p>
    <w:p>
      <w:pPr>
        <w:pStyle w:val="14"/>
        <w:tabs>
          <w:tab w:val="left" w:pos="2190"/>
          <w:tab w:val="left" w:pos="7935"/>
        </w:tabs>
        <w:kinsoku w:val="0"/>
        <w:overflowPunct w:val="0"/>
        <w:spacing w:line="360" w:lineRule="auto"/>
        <w:ind w:right="318" w:firstLine="480" w:firstLineChars="200"/>
        <w:rPr>
          <w:rFonts w:ascii="宋体" w:hAnsi="宋体"/>
          <w:color w:val="auto"/>
          <w:highlight w:val="none"/>
        </w:rPr>
      </w:pPr>
      <w:r>
        <w:rPr>
          <w:rFonts w:ascii="宋体" w:hAnsi="宋体"/>
          <w:color w:val="auto"/>
          <w:sz w:val="24"/>
          <w:szCs w:val="24"/>
          <w:highlight w:val="none"/>
        </w:rPr>
        <w:t>1.</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标</w:t>
      </w:r>
      <w:r>
        <w:rPr>
          <w:rFonts w:hint="eastAsia" w:ascii="宋体" w:hAnsi="宋体"/>
          <w:color w:val="auto"/>
          <w:sz w:val="24"/>
          <w:szCs w:val="24"/>
          <w:highlight w:val="none"/>
          <w:u w:val="single"/>
        </w:rPr>
        <w:t>的名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属</w:t>
      </w:r>
      <w:r>
        <w:rPr>
          <w:rFonts w:hint="eastAsia" w:ascii="宋体" w:hAnsi="宋体"/>
          <w:color w:val="auto"/>
          <w:sz w:val="24"/>
          <w:szCs w:val="24"/>
          <w:highlight w:val="none"/>
        </w:rPr>
        <w:t>于</w:t>
      </w:r>
      <w:r>
        <w:rPr>
          <w:rFonts w:hint="eastAsia" w:ascii="宋体" w:hAnsi="宋体"/>
          <w:color w:val="auto"/>
          <w:sz w:val="24"/>
          <w:szCs w:val="24"/>
          <w:highlight w:val="none"/>
          <w:u w:val="single"/>
        </w:rPr>
        <w:t>建筑业</w:t>
      </w:r>
      <w:r>
        <w:rPr>
          <w:rFonts w:hint="eastAsia" w:ascii="宋体" w:hAnsi="宋体"/>
          <w:color w:val="auto"/>
          <w:sz w:val="24"/>
          <w:szCs w:val="24"/>
          <w:highlight w:val="none"/>
        </w:rPr>
        <w:t>；</w:t>
      </w:r>
      <w:r>
        <w:rPr>
          <w:rFonts w:hint="eastAsia" w:ascii="宋体" w:hAnsi="宋体"/>
          <w:color w:val="auto"/>
          <w:spacing w:val="2"/>
          <w:sz w:val="24"/>
          <w:szCs w:val="24"/>
          <w:highlight w:val="none"/>
        </w:rPr>
        <w:t>承</w:t>
      </w:r>
      <w:r>
        <w:rPr>
          <w:rFonts w:hint="eastAsia" w:ascii="宋体" w:hAnsi="宋体"/>
          <w:color w:val="auto"/>
          <w:sz w:val="24"/>
          <w:szCs w:val="24"/>
          <w:highlight w:val="none"/>
        </w:rPr>
        <w:t>建（承</w:t>
      </w:r>
      <w:r>
        <w:rPr>
          <w:rFonts w:hint="eastAsia" w:ascii="宋体" w:hAnsi="宋体"/>
          <w:color w:val="auto"/>
          <w:spacing w:val="2"/>
          <w:sz w:val="24"/>
          <w:szCs w:val="24"/>
          <w:highlight w:val="none"/>
        </w:rPr>
        <w:t>接</w:t>
      </w:r>
      <w:r>
        <w:rPr>
          <w:rFonts w:hint="eastAsia" w:ascii="宋体" w:hAnsi="宋体"/>
          <w:color w:val="auto"/>
          <w:sz w:val="24"/>
          <w:szCs w:val="24"/>
          <w:highlight w:val="none"/>
        </w:rPr>
        <w:t>）企</w:t>
      </w:r>
      <w:r>
        <w:rPr>
          <w:rFonts w:hint="eastAsia" w:ascii="宋体" w:hAnsi="宋体"/>
          <w:color w:val="auto"/>
          <w:spacing w:val="2"/>
          <w:sz w:val="24"/>
          <w:szCs w:val="24"/>
          <w:highlight w:val="none"/>
        </w:rPr>
        <w:t>业</w:t>
      </w:r>
      <w:r>
        <w:rPr>
          <w:rFonts w:hint="eastAsia" w:ascii="宋体" w:hAnsi="宋体"/>
          <w:color w:val="auto"/>
          <w:sz w:val="24"/>
          <w:szCs w:val="24"/>
          <w:highlight w:val="none"/>
        </w:rPr>
        <w:t>为</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企</w:t>
      </w:r>
      <w:r>
        <w:rPr>
          <w:rFonts w:hint="eastAsia" w:ascii="宋体" w:hAnsi="宋体"/>
          <w:color w:val="auto"/>
          <w:sz w:val="24"/>
          <w:szCs w:val="24"/>
          <w:highlight w:val="none"/>
          <w:u w:val="single"/>
        </w:rPr>
        <w:t>业名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从</w:t>
      </w:r>
      <w:r>
        <w:rPr>
          <w:rFonts w:hint="eastAsia" w:ascii="宋体" w:hAnsi="宋体"/>
          <w:color w:val="auto"/>
          <w:sz w:val="24"/>
          <w:szCs w:val="24"/>
          <w:highlight w:val="none"/>
        </w:rPr>
        <w:t>业人员</w:t>
      </w:r>
      <w:r>
        <w:rPr>
          <w:rFonts w:ascii="宋体" w:hAnsi="宋体"/>
          <w:color w:val="auto"/>
          <w:sz w:val="24"/>
          <w:szCs w:val="24"/>
          <w:highlight w:val="none"/>
          <w:u w:val="single"/>
        </w:rPr>
        <w:tab/>
      </w:r>
      <w:r>
        <w:rPr>
          <w:rFonts w:hint="eastAsia" w:ascii="宋体" w:hAnsi="宋体"/>
          <w:color w:val="auto"/>
          <w:sz w:val="24"/>
          <w:szCs w:val="24"/>
          <w:highlight w:val="none"/>
        </w:rPr>
        <w:t>人</w:t>
      </w:r>
      <w:r>
        <w:rPr>
          <w:rFonts w:hint="eastAsia" w:ascii="宋体" w:hAnsi="宋体"/>
          <w:color w:val="auto"/>
          <w:spacing w:val="2"/>
          <w:sz w:val="24"/>
          <w:szCs w:val="24"/>
          <w:highlight w:val="none"/>
        </w:rPr>
        <w:t>，</w:t>
      </w:r>
      <w:r>
        <w:rPr>
          <w:rFonts w:hint="eastAsia" w:ascii="宋体" w:hAnsi="宋体"/>
          <w:color w:val="auto"/>
          <w:sz w:val="24"/>
          <w:szCs w:val="24"/>
          <w:highlight w:val="none"/>
        </w:rPr>
        <w:t>营业收入为万元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资产总额为万元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（小型企业、微型企业）</w:t>
      </w:r>
      <w:r>
        <w:rPr>
          <w:rFonts w:hint="eastAsia" w:ascii="宋体" w:hAnsi="宋体"/>
          <w:color w:val="auto"/>
          <w:w w:val="99"/>
          <w:sz w:val="24"/>
          <w:szCs w:val="24"/>
          <w:highlight w:val="none"/>
        </w:rPr>
        <w:t>；</w:t>
      </w:r>
      <w:r>
        <w:rPr>
          <w:rFonts w:hint="eastAsia" w:ascii="宋体" w:hAnsi="宋体"/>
          <w:color w:val="auto"/>
          <w:sz w:val="24"/>
          <w:szCs w:val="24"/>
          <w:highlight w:val="none"/>
        </w:rPr>
        <w:t>在本项目中拟承担工作，在本项目的合同份额占合同总金额%。</w:t>
      </w:r>
    </w:p>
    <w:p>
      <w:pPr>
        <w:pStyle w:val="14"/>
        <w:kinsoku w:val="0"/>
        <w:overflowPunct w:val="0"/>
        <w:spacing w:line="360" w:lineRule="auto"/>
        <w:ind w:firstLine="480" w:firstLineChars="200"/>
        <w:rPr>
          <w:rFonts w:ascii="宋体" w:hAnsi="宋体"/>
          <w:color w:val="auto"/>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标</w:t>
      </w:r>
      <w:r>
        <w:rPr>
          <w:rFonts w:hint="eastAsia" w:ascii="宋体" w:hAnsi="宋体"/>
          <w:color w:val="auto"/>
          <w:sz w:val="24"/>
          <w:szCs w:val="24"/>
          <w:highlight w:val="none"/>
          <w:u w:val="single"/>
        </w:rPr>
        <w:t>的名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属</w:t>
      </w:r>
      <w:r>
        <w:rPr>
          <w:rFonts w:hint="eastAsia" w:ascii="宋体" w:hAnsi="宋体"/>
          <w:color w:val="auto"/>
          <w:sz w:val="24"/>
          <w:szCs w:val="24"/>
          <w:highlight w:val="none"/>
        </w:rPr>
        <w:t>于</w:t>
      </w:r>
      <w:r>
        <w:rPr>
          <w:rFonts w:hint="eastAsia" w:ascii="宋体" w:hAnsi="宋体"/>
          <w:color w:val="auto"/>
          <w:sz w:val="24"/>
          <w:szCs w:val="24"/>
          <w:highlight w:val="none"/>
          <w:u w:val="single"/>
        </w:rPr>
        <w:t>建筑业</w:t>
      </w:r>
      <w:r>
        <w:rPr>
          <w:rFonts w:hint="eastAsia" w:ascii="宋体" w:hAnsi="宋体"/>
          <w:color w:val="auto"/>
          <w:sz w:val="24"/>
          <w:szCs w:val="24"/>
          <w:highlight w:val="none"/>
        </w:rPr>
        <w:t>；</w:t>
      </w:r>
      <w:r>
        <w:rPr>
          <w:rFonts w:hint="eastAsia" w:ascii="宋体" w:hAnsi="宋体"/>
          <w:color w:val="auto"/>
          <w:spacing w:val="2"/>
          <w:sz w:val="24"/>
          <w:szCs w:val="24"/>
          <w:highlight w:val="none"/>
        </w:rPr>
        <w:t>承</w:t>
      </w:r>
      <w:r>
        <w:rPr>
          <w:rFonts w:hint="eastAsia" w:ascii="宋体" w:hAnsi="宋体"/>
          <w:color w:val="auto"/>
          <w:sz w:val="24"/>
          <w:szCs w:val="24"/>
          <w:highlight w:val="none"/>
        </w:rPr>
        <w:t>建（承</w:t>
      </w:r>
      <w:r>
        <w:rPr>
          <w:rFonts w:hint="eastAsia" w:ascii="宋体" w:hAnsi="宋体"/>
          <w:color w:val="auto"/>
          <w:spacing w:val="2"/>
          <w:sz w:val="24"/>
          <w:szCs w:val="24"/>
          <w:highlight w:val="none"/>
        </w:rPr>
        <w:t>接</w:t>
      </w:r>
      <w:r>
        <w:rPr>
          <w:rFonts w:hint="eastAsia" w:ascii="宋体" w:hAnsi="宋体"/>
          <w:color w:val="auto"/>
          <w:sz w:val="24"/>
          <w:szCs w:val="24"/>
          <w:highlight w:val="none"/>
        </w:rPr>
        <w:t>）企</w:t>
      </w:r>
      <w:r>
        <w:rPr>
          <w:rFonts w:hint="eastAsia" w:ascii="宋体" w:hAnsi="宋体"/>
          <w:color w:val="auto"/>
          <w:spacing w:val="2"/>
          <w:sz w:val="24"/>
          <w:szCs w:val="24"/>
          <w:highlight w:val="none"/>
        </w:rPr>
        <w:t>业</w:t>
      </w:r>
      <w:r>
        <w:rPr>
          <w:rFonts w:hint="eastAsia" w:ascii="宋体" w:hAnsi="宋体"/>
          <w:color w:val="auto"/>
          <w:sz w:val="24"/>
          <w:szCs w:val="24"/>
          <w:highlight w:val="none"/>
        </w:rPr>
        <w:t>为</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企</w:t>
      </w:r>
      <w:r>
        <w:rPr>
          <w:rFonts w:hint="eastAsia" w:ascii="宋体" w:hAnsi="宋体"/>
          <w:color w:val="auto"/>
          <w:sz w:val="24"/>
          <w:szCs w:val="24"/>
          <w:highlight w:val="none"/>
          <w:u w:val="single"/>
        </w:rPr>
        <w:t>业名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从</w:t>
      </w:r>
      <w:r>
        <w:rPr>
          <w:rFonts w:hint="eastAsia" w:ascii="宋体" w:hAnsi="宋体"/>
          <w:color w:val="auto"/>
          <w:sz w:val="24"/>
          <w:szCs w:val="24"/>
          <w:highlight w:val="none"/>
        </w:rPr>
        <w:t>业人员</w:t>
      </w:r>
      <w:r>
        <w:rPr>
          <w:rFonts w:ascii="宋体" w:hAnsi="宋体"/>
          <w:color w:val="auto"/>
          <w:sz w:val="24"/>
          <w:szCs w:val="24"/>
          <w:highlight w:val="none"/>
          <w:u w:val="single"/>
        </w:rPr>
        <w:tab/>
      </w:r>
      <w:r>
        <w:rPr>
          <w:rFonts w:hint="eastAsia" w:ascii="宋体" w:hAnsi="宋体"/>
          <w:color w:val="auto"/>
          <w:sz w:val="24"/>
          <w:szCs w:val="24"/>
          <w:highlight w:val="none"/>
        </w:rPr>
        <w:t>人</w:t>
      </w:r>
      <w:r>
        <w:rPr>
          <w:rFonts w:hint="eastAsia" w:ascii="宋体" w:hAnsi="宋体"/>
          <w:color w:val="auto"/>
          <w:spacing w:val="2"/>
          <w:sz w:val="24"/>
          <w:szCs w:val="24"/>
          <w:highlight w:val="none"/>
        </w:rPr>
        <w:t>，</w:t>
      </w:r>
      <w:r>
        <w:rPr>
          <w:rFonts w:hint="eastAsia" w:ascii="宋体" w:hAnsi="宋体"/>
          <w:color w:val="auto"/>
          <w:sz w:val="24"/>
          <w:szCs w:val="24"/>
          <w:highlight w:val="none"/>
        </w:rPr>
        <w:t>营业收入为万元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资产总额为万元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（小型企业、微型企业）</w:t>
      </w:r>
      <w:r>
        <w:rPr>
          <w:rFonts w:hint="eastAsia" w:ascii="宋体" w:hAnsi="宋体"/>
          <w:color w:val="auto"/>
          <w:w w:val="99"/>
          <w:sz w:val="24"/>
          <w:szCs w:val="24"/>
          <w:highlight w:val="none"/>
        </w:rPr>
        <w:t>；</w:t>
      </w:r>
      <w:r>
        <w:rPr>
          <w:rFonts w:hint="eastAsia" w:ascii="宋体" w:hAnsi="宋体"/>
          <w:color w:val="auto"/>
          <w:sz w:val="24"/>
          <w:szCs w:val="24"/>
          <w:highlight w:val="none"/>
        </w:rPr>
        <w:t>在本项目中拟承担工作，在本项目的合同份额占合同总金额%。</w:t>
      </w:r>
    </w:p>
    <w:p>
      <w:pPr>
        <w:pStyle w:val="14"/>
        <w:kinsoku w:val="0"/>
        <w:overflowPunct w:val="0"/>
        <w:spacing w:line="360" w:lineRule="auto"/>
        <w:ind w:firstLine="480" w:firstLineChars="200"/>
        <w:rPr>
          <w:rFonts w:ascii="宋体" w:hAnsi="宋体"/>
          <w:color w:val="auto"/>
          <w:highlight w:val="none"/>
        </w:rPr>
      </w:pPr>
      <w:r>
        <w:rPr>
          <w:rFonts w:hint="eastAsia" w:ascii="宋体" w:hAnsi="宋体"/>
          <w:color w:val="auto"/>
          <w:sz w:val="24"/>
          <w:szCs w:val="24"/>
          <w:highlight w:val="none"/>
        </w:rPr>
        <w:t>……</w:t>
      </w:r>
    </w:p>
    <w:p>
      <w:pPr>
        <w:pStyle w:val="14"/>
        <w:kinsoku w:val="0"/>
        <w:overflowPunct w:val="0"/>
        <w:spacing w:line="360" w:lineRule="auto"/>
        <w:ind w:right="321" w:firstLine="480" w:firstLineChars="200"/>
        <w:rPr>
          <w:rFonts w:ascii="宋体" w:hAnsi="宋体"/>
          <w:color w:val="auto"/>
          <w:highlight w:val="none"/>
        </w:rPr>
      </w:pPr>
      <w:r>
        <w:rPr>
          <w:rFonts w:hint="eastAsia" w:ascii="宋体" w:hAnsi="宋体"/>
          <w:color w:val="auto"/>
          <w:sz w:val="24"/>
          <w:szCs w:val="24"/>
          <w:highlight w:val="none"/>
        </w:rPr>
        <w:t>以上企业，不属于大企业的分支机构，不存在控股股东为大企业的情形，也不存在与大企业的负责人为同一人的情形。</w:t>
      </w:r>
    </w:p>
    <w:p>
      <w:pPr>
        <w:pStyle w:val="14"/>
        <w:kinsoku w:val="0"/>
        <w:overflowPunct w:val="0"/>
        <w:spacing w:line="360" w:lineRule="auto"/>
        <w:ind w:firstLine="480" w:firstLineChars="200"/>
        <w:rPr>
          <w:rFonts w:ascii="宋体" w:hAnsi="宋体"/>
          <w:color w:val="auto"/>
          <w:highlight w:val="none"/>
        </w:rPr>
      </w:pPr>
      <w:r>
        <w:rPr>
          <w:rFonts w:hint="eastAsia" w:ascii="宋体" w:hAnsi="宋体"/>
          <w:color w:val="auto"/>
          <w:sz w:val="24"/>
          <w:szCs w:val="24"/>
          <w:highlight w:val="none"/>
        </w:rPr>
        <w:t>本企业对上述声明内容的真实性负责。如有虚假，将依法承担相应责任。</w:t>
      </w:r>
    </w:p>
    <w:p>
      <w:pPr>
        <w:pStyle w:val="124"/>
        <w:widowControl/>
        <w:shd w:val="clear" w:color="auto" w:fill="FFFFFF"/>
        <w:spacing w:line="360" w:lineRule="auto"/>
        <w:ind w:firstLine="3780"/>
        <w:rPr>
          <w:rFonts w:ascii="宋体" w:hAnsi="宋体" w:cs="宋体"/>
          <w:color w:val="auto"/>
          <w:kern w:val="0"/>
          <w:sz w:val="24"/>
          <w:highlight w:val="none"/>
        </w:rPr>
      </w:pPr>
    </w:p>
    <w:p>
      <w:pPr>
        <w:pStyle w:val="124"/>
        <w:widowControl/>
        <w:shd w:val="clear" w:color="auto" w:fill="FFFFFF"/>
        <w:spacing w:line="360" w:lineRule="auto"/>
        <w:ind w:firstLine="4380" w:firstLineChars="1825"/>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u w:val="single"/>
        </w:rPr>
        <w:tab/>
      </w:r>
      <w:r>
        <w:rPr>
          <w:rFonts w:ascii="宋体" w:hAnsi="宋体" w:cs="宋体"/>
          <w:color w:val="auto"/>
          <w:kern w:val="0"/>
          <w:sz w:val="24"/>
          <w:highlight w:val="none"/>
          <w:u w:val="single"/>
        </w:rPr>
        <w:tab/>
      </w:r>
      <w:r>
        <w:rPr>
          <w:rFonts w:hint="eastAsia" w:ascii="宋体" w:hAnsi="宋体" w:cs="宋体"/>
          <w:color w:val="auto"/>
          <w:kern w:val="0"/>
          <w:sz w:val="24"/>
          <w:highlight w:val="none"/>
        </w:rPr>
        <w:t>（盖章）</w:t>
      </w:r>
    </w:p>
    <w:p>
      <w:pPr>
        <w:pStyle w:val="124"/>
        <w:widowControl/>
        <w:shd w:val="clear" w:color="auto" w:fill="FFFFFF"/>
        <w:spacing w:line="360" w:lineRule="auto"/>
        <w:ind w:right="1440"/>
        <w:jc w:val="center"/>
        <w:rPr>
          <w:rFonts w:ascii="宋体" w:hAnsi="宋体" w:cs="宋体"/>
          <w:color w:val="auto"/>
          <w:kern w:val="0"/>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  月  日</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sz w:val="24"/>
          <w:szCs w:val="24"/>
          <w:highlight w:val="none"/>
        </w:rPr>
        <w:t>1：从业人员、营业收入、资产总额填报上一年度数据，无上一年度数据的新成立企业可不填报。</w:t>
      </w:r>
    </w:p>
    <w:p>
      <w:pPr>
        <w:spacing w:line="360" w:lineRule="auto"/>
        <w:rPr>
          <w:rFonts w:ascii="宋体" w:hAnsi="宋体" w:cs="宋体"/>
          <w:color w:val="auto"/>
          <w:sz w:val="24"/>
          <w:szCs w:val="24"/>
          <w:highlight w:val="none"/>
        </w:rPr>
      </w:pPr>
      <w:r>
        <w:rPr>
          <w:rFonts w:hint="eastAsia" w:ascii="宋体" w:hAnsi="宋体"/>
          <w:color w:val="auto"/>
          <w:sz w:val="24"/>
          <w:szCs w:val="24"/>
          <w:highlight w:val="none"/>
        </w:rPr>
        <w:t>2：投标人应当自行核实是否属于小微企业，并认真填写声明函，若有虚假将追究其责任。</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widowControl/>
        <w:jc w:val="left"/>
        <w:rPr>
          <w:b/>
          <w:color w:val="auto"/>
          <w:sz w:val="28"/>
          <w:szCs w:val="28"/>
          <w:highlight w:val="none"/>
        </w:rPr>
      </w:pPr>
      <w:r>
        <w:rPr>
          <w:rFonts w:hint="eastAsia" w:ascii="宋体" w:hAnsi="宋体" w:cs="宋体"/>
          <w:bCs/>
          <w:color w:val="auto"/>
          <w:kern w:val="0"/>
          <w:sz w:val="24"/>
          <w:szCs w:val="24"/>
          <w:highlight w:val="none"/>
        </w:rPr>
        <w:t>技术标格式八：</w:t>
      </w:r>
    </w:p>
    <w:p>
      <w:pPr>
        <w:widowControl/>
        <w:jc w:val="center"/>
        <w:rPr>
          <w:b/>
          <w:color w:val="auto"/>
          <w:sz w:val="24"/>
          <w:szCs w:val="24"/>
          <w:highlight w:val="none"/>
        </w:rPr>
      </w:pPr>
      <w:r>
        <w:rPr>
          <w:rFonts w:hint="eastAsia"/>
          <w:b/>
          <w:color w:val="auto"/>
          <w:sz w:val="24"/>
          <w:szCs w:val="24"/>
          <w:highlight w:val="none"/>
        </w:rPr>
        <w:t>分包意向协议书（如有）</w:t>
      </w:r>
    </w:p>
    <w:p>
      <w:pPr>
        <w:widowControl/>
        <w:jc w:val="left"/>
        <w:rPr>
          <w:rFonts w:ascii="宋体" w:hAnsi="宋体"/>
          <w:color w:val="auto"/>
          <w:kern w:val="10"/>
          <w:sz w:val="24"/>
          <w:szCs w:val="24"/>
          <w:highlight w:val="none"/>
        </w:rPr>
      </w:pPr>
    </w:p>
    <w:p>
      <w:pPr>
        <w:widowControl/>
        <w:jc w:val="left"/>
        <w:rPr>
          <w:rFonts w:ascii="宋体" w:hAnsi="宋体"/>
          <w:color w:val="auto"/>
          <w:sz w:val="24"/>
          <w:szCs w:val="24"/>
          <w:highlight w:val="none"/>
          <w:u w:val="single"/>
        </w:rPr>
      </w:pPr>
      <w:r>
        <w:rPr>
          <w:rFonts w:hint="eastAsia" w:ascii="宋体" w:hAnsi="宋体"/>
          <w:color w:val="auto"/>
          <w:kern w:val="10"/>
          <w:sz w:val="24"/>
          <w:szCs w:val="24"/>
          <w:highlight w:val="none"/>
        </w:rPr>
        <w:t>立约方：</w:t>
      </w:r>
      <w:r>
        <w:rPr>
          <w:rFonts w:hint="eastAsia" w:ascii="宋体" w:hAnsi="宋体"/>
          <w:color w:val="auto"/>
          <w:sz w:val="24"/>
          <w:szCs w:val="24"/>
          <w:highlight w:val="none"/>
          <w:u w:val="single"/>
        </w:rPr>
        <w:t>（甲公司全称）</w:t>
      </w:r>
    </w:p>
    <w:p>
      <w:pPr>
        <w:widowControl/>
        <w:jc w:val="left"/>
        <w:rPr>
          <w:rFonts w:ascii="宋体" w:hAnsi="宋体"/>
          <w:color w:val="auto"/>
          <w:sz w:val="24"/>
          <w:szCs w:val="24"/>
          <w:highlight w:val="none"/>
          <w:u w:val="single"/>
        </w:rPr>
      </w:pPr>
      <w:r>
        <w:rPr>
          <w:rFonts w:hint="eastAsia" w:ascii="宋体" w:hAnsi="宋体"/>
          <w:color w:val="auto"/>
          <w:sz w:val="24"/>
          <w:szCs w:val="24"/>
          <w:highlight w:val="none"/>
          <w:u w:val="single"/>
        </w:rPr>
        <w:t>（乙公司全称）</w:t>
      </w:r>
    </w:p>
    <w:p>
      <w:pPr>
        <w:widowControl/>
        <w:jc w:val="left"/>
        <w:rPr>
          <w:rFonts w:ascii="宋体" w:hAnsi="宋体"/>
          <w:color w:val="auto"/>
          <w:sz w:val="24"/>
          <w:szCs w:val="24"/>
          <w:highlight w:val="none"/>
          <w:u w:val="single"/>
        </w:rPr>
      </w:pPr>
      <w:r>
        <w:rPr>
          <w:rFonts w:hint="eastAsia" w:ascii="宋体" w:hAnsi="宋体"/>
          <w:color w:val="auto"/>
          <w:sz w:val="24"/>
          <w:szCs w:val="24"/>
          <w:highlight w:val="none"/>
          <w:u w:val="single"/>
        </w:rPr>
        <w:t>（……公司全称）</w:t>
      </w:r>
    </w:p>
    <w:p>
      <w:pPr>
        <w:widowControl/>
        <w:ind w:firstLine="480" w:firstLineChars="200"/>
        <w:rPr>
          <w:rFonts w:ascii="宋体" w:hAnsi="宋体"/>
          <w:color w:val="auto"/>
          <w:sz w:val="24"/>
          <w:szCs w:val="24"/>
          <w:highlight w:val="none"/>
        </w:rPr>
      </w:pPr>
      <w:r>
        <w:rPr>
          <w:rFonts w:hint="eastAsia" w:ascii="宋体" w:hAnsi="宋体"/>
          <w:color w:val="auto"/>
          <w:kern w:val="0"/>
          <w:sz w:val="24"/>
          <w:szCs w:val="24"/>
          <w:highlight w:val="none"/>
          <w:u w:val="single"/>
        </w:rPr>
        <w:t>（甲公司全称）</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（乙公司全称）</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（……公司全称）</w:t>
      </w:r>
      <w:r>
        <w:rPr>
          <w:rFonts w:hint="eastAsia" w:ascii="宋体" w:hAnsi="宋体"/>
          <w:color w:val="auto"/>
          <w:kern w:val="0"/>
          <w:sz w:val="24"/>
          <w:szCs w:val="24"/>
          <w:highlight w:val="none"/>
        </w:rPr>
        <w:t>自愿达成分包意向，参加</w:t>
      </w:r>
      <w:r>
        <w:rPr>
          <w:rFonts w:hint="eastAsia" w:ascii="宋体" w:hAnsi="宋体"/>
          <w:color w:val="auto"/>
          <w:kern w:val="0"/>
          <w:sz w:val="24"/>
          <w:szCs w:val="24"/>
          <w:highlight w:val="none"/>
          <w:u w:val="single"/>
        </w:rPr>
        <w:t>（项目名称）</w:t>
      </w:r>
      <w:r>
        <w:rPr>
          <w:rFonts w:hint="eastAsia" w:ascii="宋体" w:hAnsi="宋体"/>
          <w:color w:val="auto"/>
          <w:kern w:val="0"/>
          <w:sz w:val="24"/>
          <w:szCs w:val="24"/>
          <w:highlight w:val="none"/>
        </w:rPr>
        <w:t>的投标活动。</w:t>
      </w:r>
      <w:r>
        <w:rPr>
          <w:rFonts w:hint="eastAsia" w:ascii="宋体" w:hAnsi="宋体"/>
          <w:color w:val="auto"/>
          <w:sz w:val="24"/>
          <w:szCs w:val="24"/>
          <w:highlight w:val="none"/>
        </w:rPr>
        <w:t>经各方充分协商一致，就</w:t>
      </w:r>
      <w:r>
        <w:rPr>
          <w:rFonts w:hint="eastAsia" w:ascii="宋体" w:hAnsi="宋体"/>
          <w:color w:val="auto"/>
          <w:kern w:val="10"/>
          <w:sz w:val="24"/>
          <w:szCs w:val="24"/>
          <w:highlight w:val="none"/>
        </w:rPr>
        <w:t>项目的</w:t>
      </w:r>
      <w:r>
        <w:rPr>
          <w:rFonts w:hint="eastAsia" w:ascii="宋体" w:hAnsi="宋体"/>
          <w:color w:val="auto"/>
          <w:kern w:val="0"/>
          <w:sz w:val="24"/>
          <w:szCs w:val="24"/>
          <w:highlight w:val="none"/>
        </w:rPr>
        <w:t>投标</w:t>
      </w:r>
      <w:r>
        <w:rPr>
          <w:rFonts w:hint="eastAsia" w:ascii="宋体" w:hAnsi="宋体"/>
          <w:color w:val="auto"/>
          <w:kern w:val="10"/>
          <w:sz w:val="24"/>
          <w:szCs w:val="24"/>
          <w:highlight w:val="none"/>
        </w:rPr>
        <w:t>和合同实施阶段的有关事务协商一致</w:t>
      </w:r>
      <w:r>
        <w:rPr>
          <w:rFonts w:hint="eastAsia" w:ascii="宋体" w:hAnsi="宋体"/>
          <w:color w:val="auto"/>
          <w:kern w:val="0"/>
          <w:sz w:val="24"/>
          <w:szCs w:val="24"/>
          <w:highlight w:val="none"/>
        </w:rPr>
        <w:t>订立意向如下</w:t>
      </w:r>
      <w:r>
        <w:rPr>
          <w:rFonts w:hint="eastAsia" w:ascii="宋体" w:hAnsi="宋体"/>
          <w:color w:val="auto"/>
          <w:sz w:val="24"/>
          <w:szCs w:val="24"/>
          <w:highlight w:val="none"/>
        </w:rPr>
        <w:t>：</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一、分包意向各方关系</w:t>
      </w:r>
    </w:p>
    <w:p>
      <w:pPr>
        <w:widowControl/>
        <w:ind w:firstLine="480" w:firstLineChars="200"/>
        <w:rPr>
          <w:rFonts w:ascii="宋体" w:hAnsi="宋体"/>
          <w:color w:val="auto"/>
          <w:sz w:val="24"/>
          <w:szCs w:val="24"/>
          <w:highlight w:val="none"/>
        </w:rPr>
      </w:pPr>
      <w:r>
        <w:rPr>
          <w:rFonts w:hint="eastAsia" w:ascii="宋体" w:hAnsi="宋体"/>
          <w:color w:val="auto"/>
          <w:kern w:val="0"/>
          <w:sz w:val="24"/>
          <w:szCs w:val="24"/>
          <w:highlight w:val="none"/>
          <w:u w:val="single"/>
        </w:rPr>
        <w:t>（甲公司全称）为投标人</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（乙公司全称）</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（……公司全称）</w:t>
      </w:r>
      <w:r>
        <w:rPr>
          <w:rFonts w:hint="eastAsia" w:ascii="宋体" w:hAnsi="宋体"/>
          <w:color w:val="auto"/>
          <w:sz w:val="24"/>
          <w:szCs w:val="24"/>
          <w:highlight w:val="none"/>
        </w:rPr>
        <w:t>为分包意向单位，</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rPr>
        <w:t>以投标人的身份参加本项目的</w:t>
      </w:r>
      <w:r>
        <w:rPr>
          <w:rFonts w:hint="eastAsia" w:ascii="宋体" w:hAnsi="宋体"/>
          <w:color w:val="auto"/>
          <w:kern w:val="0"/>
          <w:sz w:val="24"/>
          <w:szCs w:val="24"/>
          <w:highlight w:val="none"/>
        </w:rPr>
        <w:t>投标</w:t>
      </w:r>
      <w:r>
        <w:rPr>
          <w:rFonts w:hint="eastAsia" w:ascii="宋体" w:hAnsi="宋体"/>
          <w:color w:val="auto"/>
          <w:sz w:val="24"/>
          <w:szCs w:val="24"/>
          <w:highlight w:val="none"/>
        </w:rPr>
        <w:t>。若中标，</w:t>
      </w:r>
      <w:r>
        <w:rPr>
          <w:rFonts w:hint="eastAsia" w:ascii="宋体" w:hAnsi="宋体"/>
          <w:color w:val="auto"/>
          <w:kern w:val="0"/>
          <w:sz w:val="24"/>
          <w:szCs w:val="24"/>
          <w:highlight w:val="none"/>
          <w:u w:val="single"/>
        </w:rPr>
        <w:t>（甲公司全称）与</w:t>
      </w:r>
      <w:r>
        <w:rPr>
          <w:rFonts w:hint="eastAsia" w:ascii="宋体" w:hAnsi="宋体"/>
          <w:color w:val="auto"/>
          <w:sz w:val="24"/>
          <w:szCs w:val="24"/>
          <w:highlight w:val="none"/>
          <w:u w:val="single"/>
        </w:rPr>
        <w:t>招标人</w:t>
      </w:r>
      <w:r>
        <w:rPr>
          <w:rFonts w:hint="eastAsia" w:ascii="宋体" w:hAnsi="宋体"/>
          <w:color w:val="auto"/>
          <w:sz w:val="24"/>
          <w:szCs w:val="24"/>
          <w:highlight w:val="none"/>
        </w:rPr>
        <w:t>签订建设工程施工合同。承接分包意向的各单位与</w:t>
      </w:r>
      <w:r>
        <w:rPr>
          <w:rFonts w:hint="eastAsia" w:ascii="宋体" w:hAnsi="宋体"/>
          <w:color w:val="auto"/>
          <w:sz w:val="24"/>
          <w:szCs w:val="24"/>
          <w:highlight w:val="none"/>
          <w:u w:val="single"/>
        </w:rPr>
        <w:t>（</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u w:val="single"/>
        </w:rPr>
        <w:t>）</w:t>
      </w:r>
      <w:r>
        <w:rPr>
          <w:rFonts w:hint="eastAsia" w:ascii="宋体" w:hAnsi="宋体"/>
          <w:color w:val="auto"/>
          <w:sz w:val="24"/>
          <w:szCs w:val="24"/>
          <w:highlight w:val="none"/>
        </w:rPr>
        <w:t>签订分包合同。</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rPr>
        <w:t>就招标项目和分包项目向招标人负责，分包单位就分包项目承担责任。</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二、有关事项约定如下：</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1.如中标，分包单位分别与</w:t>
      </w:r>
      <w:r>
        <w:rPr>
          <w:rFonts w:hint="eastAsia" w:ascii="宋体" w:hAnsi="宋体"/>
          <w:color w:val="auto"/>
          <w:sz w:val="24"/>
          <w:szCs w:val="24"/>
          <w:highlight w:val="none"/>
          <w:u w:val="single"/>
        </w:rPr>
        <w:t>（</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u w:val="single"/>
        </w:rPr>
        <w:t>）</w:t>
      </w:r>
      <w:r>
        <w:rPr>
          <w:rFonts w:hint="eastAsia" w:ascii="宋体" w:hAnsi="宋体"/>
          <w:color w:val="auto"/>
          <w:sz w:val="24"/>
          <w:szCs w:val="24"/>
          <w:highlight w:val="none"/>
        </w:rPr>
        <w:t>签订合同书，并就中标项目分包部分承担法律责任；</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2.分包意向单位1</w:t>
      </w:r>
      <w:r>
        <w:rPr>
          <w:rFonts w:hint="eastAsia" w:ascii="宋体" w:hAnsi="宋体"/>
          <w:color w:val="auto"/>
          <w:sz w:val="24"/>
          <w:szCs w:val="24"/>
          <w:highlight w:val="none"/>
          <w:u w:val="single"/>
        </w:rPr>
        <w:t>　（</w:t>
      </w:r>
      <w:r>
        <w:rPr>
          <w:rFonts w:hint="eastAsia" w:ascii="宋体" w:hAnsi="宋体"/>
          <w:color w:val="auto"/>
          <w:kern w:val="0"/>
          <w:sz w:val="24"/>
          <w:szCs w:val="24"/>
          <w:highlight w:val="none"/>
          <w:u w:val="single"/>
        </w:rPr>
        <w:t>乙</w:t>
      </w:r>
      <w:r>
        <w:rPr>
          <w:rFonts w:hint="eastAsia" w:ascii="宋体" w:hAnsi="宋体"/>
          <w:color w:val="auto"/>
          <w:sz w:val="24"/>
          <w:szCs w:val="24"/>
          <w:highlight w:val="none"/>
          <w:u w:val="single"/>
        </w:rPr>
        <w:t>公司全称）　</w:t>
      </w:r>
      <w:r>
        <w:rPr>
          <w:rFonts w:hint="eastAsia" w:ascii="宋体" w:hAnsi="宋体"/>
          <w:color w:val="auto"/>
          <w:sz w:val="24"/>
          <w:szCs w:val="24"/>
          <w:highlight w:val="none"/>
        </w:rPr>
        <w:t>为</w:t>
      </w:r>
      <w:r>
        <w:rPr>
          <w:rFonts w:hint="eastAsia" w:ascii="宋体" w:hAnsi="宋体"/>
          <w:color w:val="auto"/>
          <w:sz w:val="24"/>
          <w:szCs w:val="24"/>
          <w:highlight w:val="none"/>
          <w:u w:val="single"/>
        </w:rPr>
        <w:t>（请填写：大型、中型、小型、微型）</w:t>
      </w:r>
      <w:r>
        <w:rPr>
          <w:rFonts w:hint="eastAsia" w:ascii="宋体" w:hAnsi="宋体"/>
          <w:color w:val="auto"/>
          <w:sz w:val="24"/>
          <w:szCs w:val="24"/>
          <w:highlight w:val="none"/>
        </w:rPr>
        <w:t>企业，将承担适宜分包部分</w:t>
      </w:r>
      <w:r>
        <w:rPr>
          <w:rFonts w:hint="eastAsia" w:ascii="宋体" w:hAnsi="宋体"/>
          <w:color w:val="auto"/>
          <w:sz w:val="24"/>
          <w:szCs w:val="24"/>
          <w:highlight w:val="none"/>
          <w:u w:val="single"/>
        </w:rPr>
        <w:t>（具体分包内容）</w:t>
      </w:r>
      <w:r>
        <w:rPr>
          <w:rFonts w:hint="eastAsia" w:ascii="宋体" w:hAnsi="宋体"/>
          <w:color w:val="auto"/>
          <w:sz w:val="24"/>
          <w:szCs w:val="24"/>
          <w:highlight w:val="none"/>
        </w:rPr>
        <w:t>占合同总金额</w:t>
      </w:r>
      <w:r>
        <w:rPr>
          <w:rFonts w:hint="eastAsia" w:ascii="宋体" w:hAnsi="宋体"/>
          <w:color w:val="auto"/>
          <w:sz w:val="24"/>
          <w:szCs w:val="24"/>
          <w:highlight w:val="none"/>
          <w:u w:val="single"/>
        </w:rPr>
        <w:t>　　</w:t>
      </w:r>
      <w:r>
        <w:rPr>
          <w:rFonts w:hint="eastAsia" w:ascii="宋体" w:hAnsi="宋体"/>
          <w:color w:val="auto"/>
          <w:sz w:val="24"/>
          <w:szCs w:val="24"/>
          <w:highlight w:val="none"/>
        </w:rPr>
        <w:t>%的工作内容。</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3.分包意向单位2</w:t>
      </w:r>
      <w:r>
        <w:rPr>
          <w:rFonts w:hint="eastAsia" w:ascii="宋体" w:hAnsi="宋体"/>
          <w:color w:val="auto"/>
          <w:sz w:val="24"/>
          <w:szCs w:val="24"/>
          <w:highlight w:val="none"/>
          <w:u w:val="single"/>
        </w:rPr>
        <w:t>　（</w:t>
      </w:r>
      <w:r>
        <w:rPr>
          <w:rFonts w:hint="eastAsia" w:ascii="宋体" w:hAnsi="宋体"/>
          <w:color w:val="auto"/>
          <w:kern w:val="0"/>
          <w:sz w:val="24"/>
          <w:szCs w:val="24"/>
          <w:highlight w:val="none"/>
          <w:u w:val="single"/>
        </w:rPr>
        <w:t>……</w:t>
      </w:r>
      <w:r>
        <w:rPr>
          <w:rFonts w:hint="eastAsia" w:ascii="宋体" w:hAnsi="宋体"/>
          <w:color w:val="auto"/>
          <w:sz w:val="24"/>
          <w:szCs w:val="24"/>
          <w:highlight w:val="none"/>
          <w:u w:val="single"/>
        </w:rPr>
        <w:t>公司全称）</w:t>
      </w:r>
      <w:r>
        <w:rPr>
          <w:rFonts w:hint="eastAsia" w:ascii="宋体" w:hAnsi="宋体"/>
          <w:color w:val="auto"/>
          <w:sz w:val="24"/>
          <w:szCs w:val="24"/>
          <w:highlight w:val="none"/>
        </w:rPr>
        <w:t>为</w:t>
      </w:r>
      <w:r>
        <w:rPr>
          <w:rFonts w:hint="eastAsia" w:ascii="宋体" w:hAnsi="宋体"/>
          <w:color w:val="auto"/>
          <w:sz w:val="24"/>
          <w:szCs w:val="24"/>
          <w:highlight w:val="none"/>
          <w:u w:val="single"/>
        </w:rPr>
        <w:t>（请填写：大型、中型、小型、微型）</w:t>
      </w:r>
      <w:r>
        <w:rPr>
          <w:rFonts w:hint="eastAsia" w:ascii="宋体" w:hAnsi="宋体"/>
          <w:color w:val="auto"/>
          <w:sz w:val="24"/>
          <w:szCs w:val="24"/>
          <w:highlight w:val="none"/>
        </w:rPr>
        <w:t>企业，将承担适宜分包部分</w:t>
      </w:r>
      <w:r>
        <w:rPr>
          <w:rFonts w:hint="eastAsia" w:ascii="宋体" w:hAnsi="宋体"/>
          <w:color w:val="auto"/>
          <w:sz w:val="24"/>
          <w:szCs w:val="24"/>
          <w:highlight w:val="none"/>
          <w:u w:val="single"/>
        </w:rPr>
        <w:t>（具体分包内容）占</w:t>
      </w:r>
      <w:r>
        <w:rPr>
          <w:rFonts w:hint="eastAsia" w:ascii="宋体" w:hAnsi="宋体"/>
          <w:color w:val="auto"/>
          <w:sz w:val="24"/>
          <w:szCs w:val="24"/>
          <w:highlight w:val="none"/>
        </w:rPr>
        <w:t>合同总金额</w:t>
      </w:r>
      <w:r>
        <w:rPr>
          <w:rFonts w:hint="eastAsia" w:ascii="宋体" w:hAnsi="宋体"/>
          <w:color w:val="auto"/>
          <w:sz w:val="24"/>
          <w:szCs w:val="24"/>
          <w:highlight w:val="none"/>
          <w:u w:val="single"/>
        </w:rPr>
        <w:t>　　</w:t>
      </w:r>
      <w:r>
        <w:rPr>
          <w:rFonts w:hint="eastAsia" w:ascii="宋体" w:hAnsi="宋体"/>
          <w:color w:val="auto"/>
          <w:sz w:val="24"/>
          <w:szCs w:val="24"/>
          <w:highlight w:val="none"/>
        </w:rPr>
        <w:t>%的工作内容。</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三、接受分包的企业与投标人之间的关系：</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1.分包意向单位1</w:t>
      </w:r>
      <w:r>
        <w:rPr>
          <w:rFonts w:hint="eastAsia" w:ascii="宋体" w:hAnsi="宋体"/>
          <w:color w:val="auto"/>
          <w:sz w:val="24"/>
          <w:szCs w:val="24"/>
          <w:highlight w:val="none"/>
          <w:u w:val="single"/>
        </w:rPr>
        <w:t>　（公司全称）</w:t>
      </w:r>
      <w:r>
        <w:rPr>
          <w:rFonts w:hint="eastAsia" w:ascii="宋体" w:hAnsi="宋体"/>
          <w:color w:val="auto"/>
          <w:sz w:val="24"/>
          <w:szCs w:val="24"/>
          <w:highlight w:val="none"/>
        </w:rPr>
        <w:t>与投标人之间</w:t>
      </w:r>
      <w:r>
        <w:rPr>
          <w:rFonts w:hint="eastAsia" w:ascii="宋体" w:hAnsi="宋体"/>
          <w:color w:val="auto"/>
          <w:sz w:val="24"/>
          <w:szCs w:val="24"/>
          <w:highlight w:val="none"/>
          <w:u w:val="single"/>
        </w:rPr>
        <w:t>（请填写：是否存在）</w:t>
      </w:r>
      <w:r>
        <w:rPr>
          <w:rFonts w:hint="eastAsia" w:ascii="宋体" w:hAnsi="宋体"/>
          <w:color w:val="auto"/>
          <w:sz w:val="24"/>
          <w:szCs w:val="24"/>
          <w:highlight w:val="none"/>
        </w:rPr>
        <w:t>直接控股、管理关系的情形。</w:t>
      </w:r>
    </w:p>
    <w:p>
      <w:pPr>
        <w:widowControl/>
        <w:ind w:firstLine="480" w:firstLineChars="200"/>
        <w:rPr>
          <w:rFonts w:ascii="宋体" w:hAnsi="宋体"/>
          <w:color w:val="auto"/>
          <w:sz w:val="24"/>
          <w:szCs w:val="24"/>
          <w:highlight w:val="none"/>
        </w:rPr>
      </w:pPr>
      <w:r>
        <w:rPr>
          <w:rFonts w:hint="eastAsia" w:ascii="宋体" w:hAnsi="宋体"/>
          <w:color w:val="auto"/>
          <w:sz w:val="24"/>
          <w:szCs w:val="24"/>
          <w:highlight w:val="none"/>
        </w:rPr>
        <w:t>2.分包意向单位2</w:t>
      </w:r>
      <w:r>
        <w:rPr>
          <w:rFonts w:hint="eastAsia" w:ascii="宋体" w:hAnsi="宋体"/>
          <w:color w:val="auto"/>
          <w:sz w:val="24"/>
          <w:szCs w:val="24"/>
          <w:highlight w:val="none"/>
          <w:u w:val="single"/>
        </w:rPr>
        <w:t>　（公司全称）</w:t>
      </w:r>
      <w:r>
        <w:rPr>
          <w:rFonts w:hint="eastAsia" w:ascii="宋体" w:hAnsi="宋体"/>
          <w:color w:val="auto"/>
          <w:sz w:val="24"/>
          <w:szCs w:val="24"/>
          <w:highlight w:val="none"/>
        </w:rPr>
        <w:t>与投标人之间</w:t>
      </w:r>
      <w:r>
        <w:rPr>
          <w:rFonts w:hint="eastAsia" w:ascii="宋体" w:hAnsi="宋体"/>
          <w:color w:val="auto"/>
          <w:sz w:val="24"/>
          <w:szCs w:val="24"/>
          <w:highlight w:val="none"/>
          <w:u w:val="single"/>
        </w:rPr>
        <w:t>（请填写：是否存在）</w:t>
      </w:r>
      <w:r>
        <w:rPr>
          <w:rFonts w:hint="eastAsia" w:ascii="宋体" w:hAnsi="宋体"/>
          <w:color w:val="auto"/>
          <w:sz w:val="24"/>
          <w:szCs w:val="24"/>
          <w:highlight w:val="none"/>
        </w:rPr>
        <w:t>直接控股、管理关系的情形。</w:t>
      </w:r>
    </w:p>
    <w:p>
      <w:pPr>
        <w:widowControl/>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w:t>
      </w:r>
    </w:p>
    <w:p>
      <w:pPr>
        <w:widowControl/>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四、如因违约过失责任而导致招标人经济损失或被索赔时，</w:t>
      </w:r>
      <w:r>
        <w:rPr>
          <w:rFonts w:hint="eastAsia" w:ascii="宋体" w:hAnsi="宋体"/>
          <w:color w:val="auto"/>
          <w:sz w:val="24"/>
          <w:szCs w:val="24"/>
          <w:highlight w:val="none"/>
          <w:u w:val="single"/>
        </w:rPr>
        <w:t>（</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u w:val="single"/>
        </w:rPr>
        <w:t>）</w:t>
      </w:r>
      <w:r>
        <w:rPr>
          <w:rFonts w:hint="eastAsia" w:ascii="宋体" w:hAnsi="宋体"/>
          <w:color w:val="auto"/>
          <w:kern w:val="0"/>
          <w:sz w:val="24"/>
          <w:szCs w:val="24"/>
          <w:highlight w:val="none"/>
        </w:rPr>
        <w:t>同意无条件优先清偿招标人的一切债务和经济赔偿。</w:t>
      </w:r>
    </w:p>
    <w:p>
      <w:pPr>
        <w:widowControl/>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五、如中标，分包意向单位不得以任何理由提出终止本意向协议。</w:t>
      </w:r>
    </w:p>
    <w:p>
      <w:pPr>
        <w:widowControl/>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六、如中标，分包意向单位确定后，不得擅自变更。</w:t>
      </w:r>
    </w:p>
    <w:p>
      <w:pPr>
        <w:widowControl/>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七、</w:t>
      </w:r>
      <w:r>
        <w:rPr>
          <w:rFonts w:hint="eastAsia" w:ascii="宋体" w:hAnsi="宋体"/>
          <w:color w:val="auto"/>
          <w:sz w:val="24"/>
          <w:szCs w:val="24"/>
          <w:highlight w:val="none"/>
        </w:rPr>
        <w:t>本意向书在</w:t>
      </w:r>
      <w:r>
        <w:rPr>
          <w:rFonts w:hint="eastAsia" w:ascii="宋体" w:hAnsi="宋体"/>
          <w:color w:val="auto"/>
          <w:kern w:val="0"/>
          <w:sz w:val="24"/>
          <w:szCs w:val="24"/>
          <w:highlight w:val="none"/>
        </w:rPr>
        <w:t>自签署之日起生效，</w:t>
      </w:r>
      <w:r>
        <w:rPr>
          <w:rFonts w:hint="eastAsia" w:ascii="宋体" w:hAnsi="宋体"/>
          <w:color w:val="auto"/>
          <w:sz w:val="24"/>
          <w:szCs w:val="24"/>
          <w:highlight w:val="none"/>
        </w:rPr>
        <w:t>有效期内有效，如获中标资格，有效期延续至合同履行完毕之日。</w:t>
      </w: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甲公司全称：（盖章）</w:t>
      </w:r>
      <w:r>
        <w:rPr>
          <w:rFonts w:hint="eastAsia" w:ascii="宋体" w:hAnsi="宋体"/>
          <w:color w:val="auto"/>
          <w:kern w:val="0"/>
          <w:sz w:val="24"/>
          <w:szCs w:val="24"/>
          <w:highlight w:val="none"/>
        </w:rPr>
        <w:tab/>
      </w:r>
    </w:p>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法定代表人（签字或</w:t>
      </w:r>
      <w:r>
        <w:rPr>
          <w:rFonts w:hint="eastAsia" w:ascii="宋体" w:hAnsi="宋体"/>
          <w:color w:val="auto"/>
          <w:sz w:val="24"/>
          <w:szCs w:val="24"/>
          <w:highlight w:val="none"/>
        </w:rPr>
        <w:t>盖章</w:t>
      </w:r>
      <w:r>
        <w:rPr>
          <w:rFonts w:hint="eastAsia" w:ascii="宋体" w:hAnsi="宋体"/>
          <w:color w:val="auto"/>
          <w:kern w:val="0"/>
          <w:sz w:val="24"/>
          <w:szCs w:val="24"/>
          <w:highlight w:val="none"/>
        </w:rPr>
        <w:t>）</w:t>
      </w:r>
    </w:p>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　　年　　月　　日</w:t>
      </w:r>
      <w:r>
        <w:rPr>
          <w:rFonts w:hint="eastAsia" w:ascii="宋体" w:hAnsi="宋体"/>
          <w:color w:val="auto"/>
          <w:kern w:val="0"/>
          <w:sz w:val="24"/>
          <w:szCs w:val="24"/>
          <w:highlight w:val="none"/>
        </w:rPr>
        <w:tab/>
      </w: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乙公司全称：（盖章）</w:t>
      </w:r>
      <w:r>
        <w:rPr>
          <w:rFonts w:hint="eastAsia" w:ascii="宋体" w:hAnsi="宋体"/>
          <w:color w:val="auto"/>
          <w:kern w:val="0"/>
          <w:sz w:val="24"/>
          <w:szCs w:val="24"/>
          <w:highlight w:val="none"/>
        </w:rPr>
        <w:tab/>
      </w:r>
    </w:p>
    <w:p>
      <w:pPr>
        <w:widowControl/>
        <w:jc w:val="left"/>
        <w:rPr>
          <w:rFonts w:ascii="宋体" w:hAnsi="宋体"/>
          <w:b/>
          <w:color w:val="auto"/>
          <w:sz w:val="24"/>
          <w:szCs w:val="24"/>
          <w:highlight w:val="none"/>
        </w:rPr>
      </w:pPr>
      <w:r>
        <w:rPr>
          <w:rFonts w:hint="eastAsia" w:ascii="宋体" w:hAnsi="宋体"/>
          <w:color w:val="auto"/>
          <w:kern w:val="0"/>
          <w:sz w:val="24"/>
          <w:szCs w:val="24"/>
          <w:highlight w:val="none"/>
        </w:rPr>
        <w:t>法定代表人（签字或</w:t>
      </w:r>
      <w:r>
        <w:rPr>
          <w:rFonts w:hint="eastAsia" w:ascii="宋体" w:hAnsi="宋体"/>
          <w:color w:val="auto"/>
          <w:sz w:val="24"/>
          <w:szCs w:val="24"/>
          <w:highlight w:val="none"/>
        </w:rPr>
        <w:t>盖章</w:t>
      </w:r>
      <w:r>
        <w:rPr>
          <w:rFonts w:hint="eastAsia" w:ascii="宋体" w:hAnsi="宋体"/>
          <w:color w:val="auto"/>
          <w:kern w:val="0"/>
          <w:sz w:val="24"/>
          <w:szCs w:val="24"/>
          <w:highlight w:val="none"/>
        </w:rPr>
        <w:t>）</w:t>
      </w:r>
      <w:r>
        <w:rPr>
          <w:rFonts w:hint="eastAsia" w:ascii="宋体" w:hAnsi="宋体"/>
          <w:color w:val="auto"/>
          <w:kern w:val="0"/>
          <w:sz w:val="24"/>
          <w:szCs w:val="24"/>
          <w:highlight w:val="none"/>
        </w:rPr>
        <w:tab/>
      </w:r>
    </w:p>
    <w:p>
      <w:pPr>
        <w:widowControl/>
        <w:ind w:firstLine="720" w:firstLineChars="300"/>
        <w:jc w:val="left"/>
        <w:rPr>
          <w:rFonts w:ascii="宋体" w:hAnsi="宋体"/>
          <w:color w:val="auto"/>
          <w:kern w:val="0"/>
          <w:sz w:val="24"/>
          <w:szCs w:val="24"/>
          <w:highlight w:val="none"/>
        </w:rPr>
      </w:pPr>
      <w:r>
        <w:rPr>
          <w:rFonts w:hint="eastAsia" w:ascii="宋体" w:hAnsi="宋体"/>
          <w:color w:val="auto"/>
          <w:kern w:val="0"/>
          <w:sz w:val="24"/>
          <w:szCs w:val="24"/>
          <w:highlight w:val="none"/>
        </w:rPr>
        <w:t>年　　月　　日</w:t>
      </w:r>
      <w:r>
        <w:rPr>
          <w:rFonts w:hint="eastAsia" w:ascii="宋体" w:hAnsi="宋体"/>
          <w:color w:val="auto"/>
          <w:kern w:val="0"/>
          <w:sz w:val="24"/>
          <w:szCs w:val="24"/>
          <w:highlight w:val="none"/>
        </w:rPr>
        <w:tab/>
      </w: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……公司全称（盖章）</w:t>
      </w:r>
    </w:p>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法定代表人：（签字或</w:t>
      </w:r>
      <w:r>
        <w:rPr>
          <w:rFonts w:hint="eastAsia" w:ascii="宋体" w:hAnsi="宋体"/>
          <w:color w:val="auto"/>
          <w:sz w:val="24"/>
          <w:szCs w:val="24"/>
          <w:highlight w:val="none"/>
        </w:rPr>
        <w:t>盖章</w:t>
      </w:r>
      <w:r>
        <w:rPr>
          <w:rFonts w:hint="eastAsia" w:ascii="宋体" w:hAnsi="宋体"/>
          <w:color w:val="auto"/>
          <w:kern w:val="0"/>
          <w:sz w:val="24"/>
          <w:szCs w:val="24"/>
          <w:highlight w:val="none"/>
        </w:rPr>
        <w:t>）</w:t>
      </w:r>
    </w:p>
    <w:p>
      <w:pPr>
        <w:widowControl/>
        <w:jc w:val="left"/>
        <w:rPr>
          <w:rFonts w:ascii="宋体" w:hAnsi="宋体"/>
          <w:b/>
          <w:color w:val="auto"/>
          <w:sz w:val="24"/>
          <w:szCs w:val="24"/>
          <w:highlight w:val="none"/>
        </w:rPr>
      </w:pPr>
      <w:r>
        <w:rPr>
          <w:rFonts w:hint="eastAsia" w:ascii="宋体" w:hAnsi="宋体"/>
          <w:color w:val="auto"/>
          <w:kern w:val="0"/>
          <w:sz w:val="24"/>
          <w:szCs w:val="24"/>
          <w:highlight w:val="none"/>
        </w:rPr>
        <w:t>　　年　　月　　日</w:t>
      </w:r>
    </w:p>
    <w:p>
      <w:pPr>
        <w:widowControl/>
        <w:jc w:val="left"/>
        <w:rPr>
          <w:rFonts w:ascii="宋体" w:hAnsi="宋体"/>
          <w:b/>
          <w:color w:val="auto"/>
          <w:sz w:val="24"/>
          <w:szCs w:val="24"/>
          <w:highlight w:val="none"/>
        </w:rPr>
      </w:pPr>
    </w:p>
    <w:p>
      <w:pPr>
        <w:widowControl/>
        <w:jc w:val="left"/>
        <w:rPr>
          <w:rFonts w:ascii="宋体" w:hAnsi="宋体"/>
          <w:b/>
          <w:color w:val="auto"/>
          <w:sz w:val="24"/>
          <w:szCs w:val="24"/>
          <w:highlight w:val="none"/>
        </w:rPr>
      </w:pPr>
      <w:r>
        <w:rPr>
          <w:rFonts w:hint="eastAsia" w:ascii="宋体" w:hAnsi="宋体"/>
          <w:b/>
          <w:color w:val="auto"/>
          <w:sz w:val="24"/>
          <w:szCs w:val="24"/>
          <w:highlight w:val="none"/>
        </w:rPr>
        <w:t>注：1．各方成员应在本意向书上共同盖章确认。</w:t>
      </w:r>
    </w:p>
    <w:p>
      <w:pPr>
        <w:widowControl/>
        <w:jc w:val="left"/>
        <w:rPr>
          <w:rFonts w:ascii="宋体" w:hAnsi="宋体" w:cs="宋体"/>
          <w:b/>
          <w:bCs/>
          <w:color w:val="auto"/>
          <w:sz w:val="27"/>
          <w:szCs w:val="27"/>
          <w:highlight w:val="none"/>
        </w:rPr>
      </w:pPr>
      <w:r>
        <w:rPr>
          <w:rFonts w:hint="eastAsia" w:ascii="宋体" w:hAnsi="宋体"/>
          <w:color w:val="auto"/>
          <w:sz w:val="24"/>
          <w:szCs w:val="24"/>
          <w:highlight w:val="none"/>
        </w:rPr>
        <w:t>2．本意向书内容将作为签订合同的附件之一。</w:t>
      </w:r>
    </w:p>
    <w:p>
      <w:pPr>
        <w:widowControl/>
        <w:rPr>
          <w:rFonts w:ascii="宋体" w:hAnsi="宋体" w:cs="宋体"/>
          <w:color w:val="auto"/>
          <w:szCs w:val="20"/>
          <w:highlight w:val="none"/>
        </w:rPr>
      </w:pPr>
    </w:p>
    <w:p>
      <w:pPr>
        <w:widowControl/>
        <w:jc w:val="left"/>
        <w:rPr>
          <w:rFonts w:ascii="宋体" w:hAnsi="宋体" w:cs="宋体"/>
          <w:color w:val="auto"/>
          <w:szCs w:val="20"/>
          <w:highlight w:val="none"/>
        </w:rPr>
      </w:pPr>
    </w:p>
    <w:p>
      <w:pPr>
        <w:widowControl/>
        <w:jc w:val="left"/>
        <w:rPr>
          <w:rFonts w:ascii="宋体" w:hAnsi="宋体" w:cs="宋体"/>
          <w:color w:val="auto"/>
          <w:szCs w:val="20"/>
          <w:highlight w:val="none"/>
        </w:rPr>
      </w:pPr>
      <w:r>
        <w:rPr>
          <w:rFonts w:hint="eastAsia" w:ascii="宋体" w:hAnsi="宋体" w:cs="宋体"/>
          <w:color w:val="auto"/>
          <w:szCs w:val="20"/>
          <w:highlight w:val="none"/>
        </w:rPr>
        <w:br w:type="page"/>
      </w:r>
    </w:p>
    <w:p>
      <w:pPr>
        <w:widowControl/>
        <w:rPr>
          <w:rFonts w:ascii="宋体" w:hAnsi="宋体" w:cs="宋体"/>
          <w:color w:val="auto"/>
          <w:szCs w:val="20"/>
          <w:highlight w:val="none"/>
        </w:rPr>
      </w:pPr>
    </w:p>
    <w:p>
      <w:pPr>
        <w:snapToGrid w:val="0"/>
        <w:spacing w:line="360" w:lineRule="auto"/>
        <w:ind w:left="-2" w:leftChars="-1"/>
        <w:jc w:val="left"/>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39"/>
      <w:bookmarkEnd w:id="40"/>
      <w:r>
        <w:rPr>
          <w:rFonts w:hint="eastAsia" w:ascii="宋体" w:hAnsi="宋体" w:cs="宋体"/>
          <w:snapToGrid w:val="0"/>
          <w:color w:val="auto"/>
          <w:spacing w:val="4"/>
          <w:kern w:val="0"/>
          <w:sz w:val="24"/>
          <w:szCs w:val="24"/>
          <w:highlight w:val="none"/>
        </w:rPr>
        <w:t>九：</w:t>
      </w:r>
    </w:p>
    <w:p>
      <w:pPr>
        <w:pStyle w:val="28"/>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pPr>
        <w:snapToGrid w:val="0"/>
        <w:spacing w:line="360" w:lineRule="auto"/>
        <w:ind w:firstLine="523" w:firstLineChars="218"/>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项目负责人证书注册编号：受（投标人名称）委派，拟在（项目名称）担任项目负责人一职。为加强本工程项目管理，保证我公司在中标后严格履行与业主签定的工程建设承包合同，圆满的完成本项工程，我愿就此做出以下承诺；</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4．项目负责人本人身份证扫描件和相片扫描件：</w:t>
      </w:r>
    </w:p>
    <w:p>
      <w:pPr>
        <w:snapToGrid w:val="0"/>
        <w:spacing w:line="360" w:lineRule="auto"/>
        <w:rPr>
          <w:rFonts w:ascii="宋体" w:hAnsi="宋体" w:cs="宋体"/>
          <w:color w:val="auto"/>
          <w:sz w:val="24"/>
          <w:szCs w:val="24"/>
          <w:highlight w:val="none"/>
          <w:u w:val="single"/>
        </w:rPr>
      </w:pPr>
    </w:p>
    <w:tbl>
      <w:tblPr>
        <w:tblStyle w:val="3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pPr>
        <w:snapToGrid w:val="0"/>
        <w:spacing w:line="360" w:lineRule="auto"/>
        <w:rPr>
          <w:rFonts w:ascii="宋体" w:hAnsi="宋体" w:cs="宋体"/>
          <w:color w:val="auto"/>
          <w:sz w:val="24"/>
          <w:szCs w:val="24"/>
          <w:highlight w:val="none"/>
          <w:u w:val="single"/>
        </w:rPr>
      </w:pPr>
    </w:p>
    <w:p>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pPr>
        <w:snapToGrid w:val="0"/>
        <w:spacing w:line="360" w:lineRule="auto"/>
        <w:ind w:firstLine="3840" w:firstLineChars="1600"/>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rPr>
        <w:t>十：</w:t>
      </w:r>
    </w:p>
    <w:p>
      <w:pPr>
        <w:snapToGrid w:val="0"/>
        <w:spacing w:line="360" w:lineRule="auto"/>
        <w:jc w:val="center"/>
        <w:rPr>
          <w:rFonts w:ascii="宋体" w:hAnsi="宋体" w:cs="宋体"/>
          <w:b/>
          <w:color w:val="auto"/>
          <w:sz w:val="36"/>
          <w:szCs w:val="36"/>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黄埔区将军山一路市政道路工程</w:t>
      </w:r>
      <w:r>
        <w:rPr>
          <w:rFonts w:hint="eastAsia" w:ascii="宋体" w:hAnsi="宋体" w:cs="宋体"/>
          <w:color w:val="auto"/>
          <w:sz w:val="24"/>
          <w:highlight w:val="none"/>
          <w:u w:val="single"/>
        </w:rPr>
        <w:t>施工总承包</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基础上编制详细的施工组织设计，并报经监理单位和建设单位审批后实施。</w:t>
      </w:r>
    </w:p>
    <w:p>
      <w:pPr>
        <w:snapToGrid w:val="0"/>
        <w:spacing w:line="360" w:lineRule="auto"/>
        <w:ind w:firstLine="435"/>
        <w:rPr>
          <w:rFonts w:ascii="宋体" w:hAnsi="宋体" w:cs="宋体"/>
          <w:color w:val="auto"/>
          <w:sz w:val="24"/>
          <w:szCs w:val="20"/>
          <w:highlight w:val="none"/>
        </w:rPr>
      </w:pPr>
    </w:p>
    <w:p>
      <w:pPr>
        <w:snapToGrid w:val="0"/>
        <w:spacing w:line="360" w:lineRule="auto"/>
        <w:ind w:firstLine="435"/>
        <w:rPr>
          <w:rFonts w:ascii="宋体" w:hAnsi="宋体" w:cs="宋体"/>
          <w:color w:val="auto"/>
          <w:sz w:val="24"/>
          <w:szCs w:val="20"/>
          <w:highlight w:val="none"/>
        </w:rPr>
      </w:pPr>
    </w:p>
    <w:p>
      <w:pPr>
        <w:snapToGrid w:val="0"/>
        <w:spacing w:line="360" w:lineRule="auto"/>
        <w:ind w:firstLine="435"/>
        <w:rPr>
          <w:rFonts w:ascii="宋体" w:hAnsi="宋体" w:cs="宋体"/>
          <w:color w:val="auto"/>
          <w:sz w:val="24"/>
          <w:szCs w:val="20"/>
          <w:highlight w:val="none"/>
        </w:rPr>
      </w:pPr>
    </w:p>
    <w:p>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firstLine="3514" w:firstLineChars="1250"/>
        <w:rPr>
          <w:rFonts w:ascii="宋体" w:hAnsi="宋体" w:cs="宋体"/>
          <w:color w:val="auto"/>
          <w:sz w:val="24"/>
          <w:highlight w:val="none"/>
        </w:rPr>
      </w:pPr>
      <w:r>
        <w:rPr>
          <w:rFonts w:hint="eastAsia" w:ascii="宋体" w:hAnsi="宋体" w:cs="宋体"/>
          <w:b/>
          <w:color w:val="auto"/>
          <w:sz w:val="28"/>
          <w:szCs w:val="28"/>
          <w:highlight w:val="none"/>
        </w:rPr>
        <w:br w:type="page"/>
      </w:r>
    </w:p>
    <w:p>
      <w:pPr>
        <w:pStyle w:val="43"/>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rPr>
        <w:t>十一：</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bl>
    <w:p>
      <w:pPr>
        <w:autoSpaceDE w:val="0"/>
        <w:autoSpaceDN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注：参与编制技术标书所有人员名单应包括如编制技术投标方案、负责清样校对、负责打印及复印等所有人员在内的人员名单。</w:t>
      </w:r>
    </w:p>
    <w:p>
      <w:pPr>
        <w:pStyle w:val="25"/>
        <w:rPr>
          <w:color w:val="auto"/>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43"/>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rPr>
        <w:t>十二：</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bl>
    <w:p>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pPr>
        <w:snapToGrid w:val="0"/>
        <w:spacing w:line="360" w:lineRule="auto"/>
        <w:ind w:right="-130" w:rightChars="-62"/>
        <w:rPr>
          <w:rFonts w:ascii="宋体" w:hAnsi="宋体" w:cs="宋体"/>
          <w:color w:val="auto"/>
          <w:highlight w:val="none"/>
        </w:rPr>
      </w:pP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pPr>
        <w:snapToGrid w:val="0"/>
        <w:spacing w:line="360" w:lineRule="auto"/>
        <w:ind w:right="-130" w:rightChars="-62"/>
        <w:rPr>
          <w:rFonts w:ascii="宋体" w:hAnsi="宋体" w:cs="宋体"/>
          <w:color w:val="auto"/>
          <w:highlight w:val="none"/>
        </w:rPr>
      </w:pPr>
    </w:p>
    <w:p>
      <w:pPr>
        <w:snapToGrid w:val="0"/>
        <w:spacing w:line="360" w:lineRule="auto"/>
        <w:ind w:right="-130" w:rightChars="-62"/>
        <w:rPr>
          <w:rFonts w:ascii="宋体" w:hAnsi="宋体" w:cs="宋体"/>
          <w:color w:val="auto"/>
          <w:highlight w:val="none"/>
        </w:rPr>
      </w:pPr>
    </w:p>
    <w:p>
      <w:pPr>
        <w:rPr>
          <w:rFonts w:ascii="宋体" w:hAnsi="宋体" w:cs="宋体"/>
          <w:bCs/>
          <w:color w:val="auto"/>
          <w:kern w:val="0"/>
          <w:highlight w:val="none"/>
        </w:rPr>
      </w:pPr>
      <w:bookmarkStart w:id="41" w:name="_Toc22483"/>
      <w:r>
        <w:rPr>
          <w:rFonts w:hint="eastAsia" w:ascii="宋体" w:hAnsi="宋体" w:cs="宋体"/>
          <w:bCs/>
          <w:color w:val="auto"/>
          <w:kern w:val="0"/>
          <w:highlight w:val="none"/>
        </w:rPr>
        <w:br w:type="page"/>
      </w:r>
    </w:p>
    <w:p>
      <w:pPr>
        <w:pStyle w:val="43"/>
        <w:ind w:firstLine="0" w:firstLineChars="0"/>
        <w:rPr>
          <w:rFonts w:cs="宋体"/>
          <w:bCs/>
          <w:color w:val="auto"/>
          <w:kern w:val="0"/>
          <w:highlight w:val="none"/>
        </w:rPr>
      </w:pPr>
      <w:r>
        <w:rPr>
          <w:rFonts w:hint="eastAsia" w:cs="宋体"/>
          <w:bCs/>
          <w:color w:val="auto"/>
          <w:kern w:val="0"/>
          <w:highlight w:val="none"/>
        </w:rPr>
        <w:t>技术标格式十三：</w:t>
      </w:r>
    </w:p>
    <w:p>
      <w:pPr>
        <w:spacing w:line="360" w:lineRule="auto"/>
        <w:jc w:val="center"/>
        <w:rPr>
          <w:color w:val="auto"/>
          <w:highlight w:val="none"/>
        </w:rPr>
      </w:pPr>
      <w:r>
        <w:rPr>
          <w:rFonts w:hint="eastAsia"/>
          <w:b/>
          <w:bCs/>
          <w:color w:val="auto"/>
          <w:sz w:val="24"/>
          <w:szCs w:val="28"/>
          <w:highlight w:val="none"/>
        </w:rPr>
        <w:t>危险性较大的分部分项工程安全管理措施</w:t>
      </w:r>
      <w:bookmarkEnd w:id="41"/>
    </w:p>
    <w:p>
      <w:pPr>
        <w:widowControl/>
        <w:numPr>
          <w:ilvl w:val="0"/>
          <w:numId w:val="7"/>
        </w:numPr>
        <w:autoSpaceDE w:val="0"/>
        <w:autoSpaceDN w:val="0"/>
        <w:adjustRightInd w:val="0"/>
        <w:snapToGrid w:val="0"/>
        <w:spacing w:line="360" w:lineRule="auto"/>
        <w:jc w:val="left"/>
        <w:rPr>
          <w:rFonts w:ascii="宋体" w:hAnsi="宋体" w:cs="宋体"/>
          <w:snapToGrid w:val="0"/>
          <w:color w:val="auto"/>
          <w:spacing w:val="4"/>
          <w:kern w:val="0"/>
          <w:sz w:val="22"/>
          <w:highlight w:val="none"/>
        </w:rPr>
      </w:pPr>
      <w:r>
        <w:rPr>
          <w:rFonts w:hint="eastAsia" w:ascii="宋体" w:hAnsi="宋体" w:cs="宋体"/>
          <w:color w:val="auto"/>
          <w:kern w:val="0"/>
          <w:sz w:val="22"/>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2"/>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7"/>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2"/>
          <w:szCs w:val="32"/>
          <w:highlight w:val="none"/>
        </w:rPr>
        <w:t>√”标识。</w:t>
      </w:r>
    </w:p>
    <w:p>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投标单位同意建设单位在清单中标识的该项请在对应项打“</w:t>
      </w:r>
      <w:r>
        <w:rPr>
          <w:rFonts w:hint="eastAsia" w:ascii="宋体" w:hAnsi="宋体" w:cs="宋体"/>
          <w:color w:val="auto"/>
          <w:kern w:val="0"/>
          <w:sz w:val="22"/>
          <w:szCs w:val="32"/>
          <w:highlight w:val="none"/>
        </w:rPr>
        <w:t>√”标识，并在投标文件中提供相应的安全管理措施。</w:t>
      </w:r>
    </w:p>
    <w:p>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投标单位对清单中认为需要补充的该项请在对应项打“</w:t>
      </w:r>
      <w:r>
        <w:rPr>
          <w:rFonts w:hint="eastAsia" w:ascii="宋体" w:hAnsi="宋体" w:cs="宋体"/>
          <w:color w:val="auto"/>
          <w:kern w:val="0"/>
          <w:sz w:val="22"/>
          <w:szCs w:val="32"/>
          <w:highlight w:val="none"/>
        </w:rPr>
        <w:t>√”标识，并在投标文件中提供相应的安全管理措施。</w:t>
      </w:r>
    </w:p>
    <w:p>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32"/>
          <w:highlight w:val="none"/>
        </w:rPr>
        <w:t>投标单位不同意建设单位</w:t>
      </w:r>
      <w:r>
        <w:rPr>
          <w:rFonts w:hint="eastAsia" w:ascii="宋体" w:hAnsi="宋体" w:cs="宋体"/>
          <w:color w:val="auto"/>
          <w:kern w:val="0"/>
          <w:sz w:val="22"/>
          <w:szCs w:val="24"/>
          <w:highlight w:val="none"/>
        </w:rPr>
        <w:t>在清单中标识的该项</w:t>
      </w:r>
      <w:r>
        <w:rPr>
          <w:rFonts w:hint="eastAsia" w:ascii="宋体" w:hAnsi="宋体" w:cs="宋体"/>
          <w:color w:val="auto"/>
          <w:kern w:val="0"/>
          <w:sz w:val="22"/>
          <w:szCs w:val="32"/>
          <w:highlight w:val="none"/>
        </w:rPr>
        <w:t>请在对应项打“×”标识，并在备注栏填上相关说明。</w:t>
      </w:r>
    </w:p>
    <w:p>
      <w:pPr>
        <w:widowControl/>
        <w:numPr>
          <w:ilvl w:val="0"/>
          <w:numId w:val="7"/>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投标单位应当在投标时根据招标人提供的下述第5点清单，在投标文件中编制专项施工方案。</w:t>
      </w:r>
    </w:p>
    <w:p>
      <w:pPr>
        <w:widowControl/>
        <w:numPr>
          <w:ilvl w:val="0"/>
          <w:numId w:val="7"/>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255"/>
          <w:numId w:val="0"/>
        </w:numPr>
        <w:autoSpaceDE w:val="0"/>
        <w:autoSpaceDN w:val="0"/>
        <w:adjustRightInd w:val="0"/>
        <w:snapToGrid w:val="0"/>
        <w:spacing w:line="360" w:lineRule="auto"/>
        <w:jc w:val="left"/>
        <w:rPr>
          <w:rFonts w:ascii="宋体" w:hAnsi="宋体" w:cs="宋体"/>
          <w:color w:val="auto"/>
          <w:sz w:val="24"/>
          <w:szCs w:val="28"/>
          <w:highlight w:val="none"/>
        </w:rPr>
      </w:pPr>
      <w:r>
        <w:rPr>
          <w:rFonts w:hint="eastAsia" w:ascii="宋体" w:hAnsi="宋体" w:cs="宋体"/>
          <w:color w:val="auto"/>
          <w:kern w:val="0"/>
          <w:sz w:val="22"/>
          <w:szCs w:val="24"/>
          <w:highlight w:val="none"/>
        </w:rPr>
        <w:t>5、危险性较大的分部分项工程清单及超过一定规模的危险性较大的分部分项工程清单</w:t>
      </w:r>
    </w:p>
    <w:tbl>
      <w:tblPr>
        <w:tblStyle w:val="3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1361"/>
        <w:gridCol w:w="136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vAlign w:val="center"/>
          </w:tcPr>
          <w:p>
            <w:pPr>
              <w:widowControl/>
              <w:snapToGrid w:val="0"/>
              <w:spacing w:line="360" w:lineRule="auto"/>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一、危险性较大的分部分项工程清单</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建设单位</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投标单位</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一、基坑工程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（一）开挖深度超过3m（含3m）的基坑（槽）的土方开挖、支护、降水工程。</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ascii="宋体" w:hAnsi="宋体" w:cs="宋体"/>
                <w:color w:val="auto"/>
                <w:kern w:val="0"/>
                <w:sz w:val="24"/>
                <w:szCs w:val="36"/>
                <w:highlight w:val="none"/>
              </w:rPr>
              <w:t xml:space="preserve">( </w:t>
            </w:r>
            <w:r>
              <w:rPr>
                <w:rFonts w:hint="eastAsia" w:ascii="Arial" w:hAnsi="Arial" w:cs="Arial"/>
                <w:color w:val="auto"/>
                <w:kern w:val="0"/>
                <w:sz w:val="24"/>
                <w:szCs w:val="36"/>
                <w:highlight w:val="none"/>
              </w:rPr>
              <w:t>√</w:t>
            </w:r>
            <w:r>
              <w:rPr>
                <w:rFonts w:ascii="宋体" w:hAnsi="宋体" w:cs="宋体"/>
                <w:color w:val="auto"/>
                <w:kern w:val="0"/>
                <w:sz w:val="24"/>
                <w:szCs w:val="36"/>
                <w:highlight w:val="none"/>
              </w:rPr>
              <w:t xml:space="preserve"> )</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二、模板工程及支撑体系</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（一）各类工具式模板工程：包括滑模、爬模、飞模、隧道模等工程。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（三）承重支撑体系：用于钢结构安装等满堂支撑体系。</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三、起重吊装及起重机械安装拆卸工程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（一）采用非常规起重设备、方法，且单件起吊重量在10kN及以上的起重吊装工程。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（二）采用起重机械进行安装的工程。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ascii="宋体" w:hAnsi="宋体" w:cs="宋体"/>
                <w:color w:val="auto"/>
                <w:kern w:val="0"/>
                <w:sz w:val="24"/>
                <w:szCs w:val="36"/>
                <w:highlight w:val="none"/>
              </w:rPr>
              <w:t xml:space="preserve">( </w:t>
            </w:r>
            <w:r>
              <w:rPr>
                <w:rFonts w:hint="eastAsia" w:ascii="Arial" w:hAnsi="Arial" w:cs="Arial"/>
                <w:color w:val="auto"/>
                <w:kern w:val="0"/>
                <w:sz w:val="24"/>
                <w:szCs w:val="36"/>
                <w:highlight w:val="none"/>
              </w:rPr>
              <w:t>√</w:t>
            </w:r>
            <w:r>
              <w:rPr>
                <w:rFonts w:ascii="宋体" w:hAnsi="宋体" w:cs="宋体"/>
                <w:color w:val="auto"/>
                <w:kern w:val="0"/>
                <w:sz w:val="24"/>
                <w:szCs w:val="36"/>
                <w:highlight w:val="none"/>
              </w:rPr>
              <w:t xml:space="preserve">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（三）起重机械安装和拆卸工程。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bl>
    <w:p>
      <w:pPr>
        <w:topLinePunct/>
        <w:adjustRightInd w:val="0"/>
        <w:snapToGrid w:val="0"/>
        <w:spacing w:line="360" w:lineRule="auto"/>
        <w:ind w:firstLine="436" w:firstLineChars="200"/>
        <w:rPr>
          <w:rFonts w:ascii="宋体" w:hAnsi="宋体" w:cs="宋体"/>
          <w:color w:val="auto"/>
          <w:spacing w:val="4"/>
          <w:kern w:val="0"/>
          <w:szCs w:val="21"/>
          <w:highlight w:val="none"/>
        </w:rPr>
      </w:pPr>
    </w:p>
    <w:p>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pPr>
        <w:snapToGrid w:val="0"/>
        <w:spacing w:line="360" w:lineRule="auto"/>
        <w:ind w:right="-130" w:rightChars="-62"/>
        <w:rPr>
          <w:rFonts w:ascii="宋体" w:hAnsi="宋体" w:cs="宋体"/>
          <w:color w:val="auto"/>
          <w:highlight w:val="none"/>
        </w:rPr>
      </w:pPr>
    </w:p>
    <w:p>
      <w:pPr>
        <w:autoSpaceDE w:val="0"/>
        <w:autoSpaceDN w:val="0"/>
        <w:adjustRightInd w:val="0"/>
        <w:snapToGrid w:val="0"/>
        <w:spacing w:line="360" w:lineRule="auto"/>
        <w:jc w:val="center"/>
        <w:rPr>
          <w:rFonts w:ascii="宋体" w:hAnsi="宋体" w:cs="宋体"/>
          <w:color w:val="auto"/>
          <w:sz w:val="32"/>
          <w:szCs w:val="32"/>
          <w:highlight w:val="none"/>
        </w:rPr>
      </w:pPr>
      <w:bookmarkStart w:id="42" w:name="_Toc26315"/>
    </w:p>
    <w:p>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autoSpaceDE w:val="0"/>
        <w:autoSpaceDN w:val="0"/>
        <w:adjustRightInd w:val="0"/>
        <w:snapToGrid w:val="0"/>
        <w:spacing w:line="360" w:lineRule="auto"/>
        <w:ind w:firstLine="2240" w:firstLineChars="700"/>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42"/>
    </w:p>
    <w:p>
      <w:pPr>
        <w:widowControl/>
        <w:snapToGrid w:val="0"/>
        <w:spacing w:line="360" w:lineRule="auto"/>
        <w:jc w:val="left"/>
        <w:outlineLvl w:val="2"/>
        <w:rPr>
          <w:rFonts w:ascii="宋体" w:hAnsi="宋体" w:cs="宋体"/>
          <w:bCs/>
          <w:color w:val="auto"/>
          <w:spacing w:val="4"/>
          <w:sz w:val="24"/>
          <w:szCs w:val="24"/>
          <w:highlight w:val="none"/>
        </w:rPr>
      </w:pPr>
      <w:bookmarkStart w:id="43" w:name="_Toc16171"/>
    </w:p>
    <w:p>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43"/>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4" w:name="_Toc21286"/>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44"/>
    </w:p>
    <w:tbl>
      <w:tblPr>
        <w:tblStyle w:val="3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pPr>
        <w:widowControl/>
        <w:snapToGrid w:val="0"/>
        <w:spacing w:line="360" w:lineRule="auto"/>
        <w:jc w:val="left"/>
        <w:outlineLvl w:val="2"/>
        <w:rPr>
          <w:rFonts w:ascii="宋体" w:hAnsi="宋体" w:cs="宋体"/>
          <w:color w:val="auto"/>
          <w:kern w:val="0"/>
          <w:sz w:val="24"/>
          <w:szCs w:val="24"/>
          <w:highlight w:val="none"/>
        </w:rPr>
      </w:pPr>
    </w:p>
    <w:p>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45" w:name="_Toc30992"/>
      <w:r>
        <w:rPr>
          <w:rFonts w:hint="eastAsia" w:ascii="宋体" w:hAnsi="宋体" w:cs="宋体"/>
          <w:bCs/>
          <w:color w:val="auto"/>
          <w:spacing w:val="4"/>
          <w:sz w:val="24"/>
          <w:szCs w:val="24"/>
          <w:highlight w:val="none"/>
        </w:rPr>
        <w:t>经济标格式二：</w:t>
      </w:r>
      <w:bookmarkEnd w:id="45"/>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6" w:name="_Toc30258"/>
      <w:r>
        <w:rPr>
          <w:rFonts w:hint="eastAsia" w:ascii="宋体" w:hAnsi="宋体" w:cs="宋体"/>
          <w:b/>
          <w:bCs/>
          <w:color w:val="auto"/>
          <w:spacing w:val="4"/>
          <w:kern w:val="0"/>
          <w:sz w:val="36"/>
          <w:szCs w:val="36"/>
          <w:highlight w:val="none"/>
        </w:rPr>
        <w:t>参与编制经济标投标文件人员名单</w:t>
      </w:r>
      <w:bookmarkEnd w:id="46"/>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bl>
    <w:p>
      <w:pPr>
        <w:tabs>
          <w:tab w:val="left" w:pos="720"/>
        </w:tabs>
        <w:snapToGrid w:val="0"/>
        <w:spacing w:line="360" w:lineRule="auto"/>
        <w:rPr>
          <w:rFonts w:ascii="宋体" w:hAnsi="宋体" w:cs="宋体"/>
          <w:color w:val="auto"/>
          <w:sz w:val="24"/>
          <w:szCs w:val="24"/>
          <w:highlight w:val="none"/>
        </w:rPr>
      </w:pP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注：参与编制经济标书所有人员名单应包括如编制各种专业工程量清单投标报价、负责清样校对、负责打印及复印等所有人员在内的人员名单。</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7" w:name="_Toc13531"/>
      <w:r>
        <w:rPr>
          <w:rFonts w:hint="eastAsia" w:ascii="宋体" w:hAnsi="宋体" w:cs="宋体"/>
          <w:b/>
          <w:bCs/>
          <w:color w:val="auto"/>
          <w:spacing w:val="4"/>
          <w:kern w:val="0"/>
          <w:sz w:val="36"/>
          <w:szCs w:val="36"/>
          <w:highlight w:val="none"/>
        </w:rPr>
        <w:t>对投标文件编制的承诺</w:t>
      </w:r>
      <w:bookmarkEnd w:id="47"/>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rPr>
        <w:t>负责对投标文件的编制及内容进行解释、说明，并承诺以下事项：</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pPr>
        <w:snapToGrid w:val="0"/>
        <w:spacing w:line="360" w:lineRule="auto"/>
        <w:ind w:firstLine="360" w:firstLineChars="150"/>
        <w:rPr>
          <w:rFonts w:ascii="宋体" w:hAnsi="宋体" w:cs="宋体"/>
          <w:color w:val="auto"/>
          <w:kern w:val="0"/>
          <w:sz w:val="24"/>
          <w:szCs w:val="24"/>
          <w:highlight w:val="none"/>
        </w:rPr>
      </w:pP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pPr>
        <w:snapToGrid w:val="0"/>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pPr>
        <w:snapToGrid w:val="0"/>
        <w:spacing w:line="360" w:lineRule="auto"/>
        <w:ind w:firstLine="2160" w:firstLineChars="900"/>
        <w:rPr>
          <w:rFonts w:ascii="宋体" w:hAnsi="宋体" w:cs="宋体"/>
          <w:color w:val="auto"/>
          <w:sz w:val="24"/>
          <w:szCs w:val="24"/>
          <w:highlight w:val="none"/>
          <w:u w:val="single"/>
        </w:rPr>
      </w:pPr>
    </w:p>
    <w:p>
      <w:pPr>
        <w:snapToGrid w:val="0"/>
        <w:spacing w:line="360" w:lineRule="auto"/>
        <w:ind w:firstLine="4440" w:firstLineChars="1850"/>
        <w:jc w:val="center"/>
        <w:outlineLvl w:val="1"/>
        <w:rPr>
          <w:rFonts w:hint="eastAsia" w:ascii="宋体" w:hAnsi="宋体" w:cs="宋体"/>
          <w:color w:val="auto"/>
          <w:sz w:val="24"/>
          <w:szCs w:val="24"/>
          <w:highlight w:val="none"/>
        </w:rPr>
      </w:pPr>
      <w:bookmarkStart w:id="48"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48"/>
    </w:p>
    <w:p>
      <w:pPr>
        <w:jc w:val="both"/>
        <w:outlineLvl w:val="9"/>
        <w:rPr>
          <w:rFonts w:hint="eastAsia" w:ascii="宋体" w:hAnsi="宋体" w:cs="宋体"/>
          <w:color w:val="auto"/>
          <w:sz w:val="21"/>
          <w:szCs w:val="21"/>
          <w:highlight w:val="none"/>
        </w:rPr>
      </w:pPr>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9" w:name="_Toc22554"/>
      <w:r>
        <w:rPr>
          <w:rFonts w:hint="eastAsia" w:ascii="宋体" w:hAnsi="宋体" w:cs="宋体"/>
          <w:b/>
          <w:bCs/>
          <w:color w:val="auto"/>
          <w:spacing w:val="4"/>
          <w:kern w:val="0"/>
          <w:sz w:val="36"/>
          <w:szCs w:val="36"/>
          <w:highlight w:val="none"/>
        </w:rPr>
        <w:t>投标文件编制情况</w:t>
      </w:r>
      <w:bookmarkEnd w:id="49"/>
    </w:p>
    <w:p>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p>
      <w:pPr>
        <w:pStyle w:val="17"/>
        <w:snapToGrid w:val="0"/>
        <w:spacing w:line="360" w:lineRule="auto"/>
        <w:rPr>
          <w:rFonts w:hAnsi="宋体" w:cs="宋体"/>
          <w:color w:val="auto"/>
          <w:sz w:val="24"/>
          <w:szCs w:val="24"/>
          <w:highlight w:val="none"/>
        </w:rPr>
      </w:pPr>
    </w:p>
    <w:tbl>
      <w:tblPr>
        <w:tblStyle w:val="30"/>
        <w:tblW w:w="0" w:type="auto"/>
        <w:tblInd w:w="0" w:type="dxa"/>
        <w:tblLayout w:type="fixed"/>
        <w:tblCellMar>
          <w:top w:w="0" w:type="dxa"/>
          <w:left w:w="108" w:type="dxa"/>
          <w:bottom w:w="0" w:type="dxa"/>
          <w:right w:w="108" w:type="dxa"/>
        </w:tblCellMar>
      </w:tblPr>
      <w:tblGrid>
        <w:gridCol w:w="9740"/>
      </w:tblGrid>
      <w:tr>
        <w:tblPrEx>
          <w:tblCellMar>
            <w:top w:w="0" w:type="dxa"/>
            <w:left w:w="108" w:type="dxa"/>
            <w:bottom w:w="0" w:type="dxa"/>
            <w:right w:w="108" w:type="dxa"/>
          </w:tblCellMar>
        </w:tblPrEx>
        <w:trPr>
          <w:trHeight w:val="2185" w:hRule="atLeast"/>
        </w:trPr>
        <w:tc>
          <w:tcPr>
            <w:tcW w:w="9740" w:type="dxa"/>
            <w:noWrap/>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pPr>
        <w:snapToGrid w:val="0"/>
        <w:spacing w:line="360" w:lineRule="auto"/>
        <w:rPr>
          <w:rFonts w:ascii="宋体" w:hAnsi="宋体" w:cs="宋体"/>
          <w:color w:val="auto"/>
          <w:szCs w:val="21"/>
          <w:highlight w:val="none"/>
        </w:rPr>
      </w:pPr>
    </w:p>
    <w:p>
      <w:pPr>
        <w:widowControl/>
        <w:jc w:val="left"/>
        <w:rPr>
          <w:rStyle w:val="45"/>
          <w:rFonts w:ascii="宋体" w:hAnsi="宋体" w:cs="宋体"/>
          <w:b/>
          <w:color w:val="auto"/>
          <w:sz w:val="32"/>
          <w:szCs w:val="32"/>
          <w:highlight w:val="none"/>
        </w:rPr>
      </w:pPr>
      <w:bookmarkStart w:id="50" w:name="_Toc2272568"/>
      <w:bookmarkStart w:id="51" w:name="_Toc9312"/>
      <w:bookmarkStart w:id="52" w:name="_Toc2272569"/>
      <w:r>
        <w:rPr>
          <w:rStyle w:val="45"/>
          <w:rFonts w:ascii="宋体" w:hAnsi="宋体" w:cs="宋体"/>
          <w:b/>
          <w:color w:val="auto"/>
          <w:sz w:val="32"/>
          <w:szCs w:val="32"/>
          <w:highlight w:val="none"/>
        </w:rPr>
        <w:br w:type="page"/>
      </w:r>
    </w:p>
    <w:p>
      <w:pPr>
        <w:tabs>
          <w:tab w:val="left" w:pos="720"/>
        </w:tabs>
        <w:snapToGrid w:val="0"/>
        <w:spacing w:line="360" w:lineRule="auto"/>
        <w:jc w:val="center"/>
        <w:rPr>
          <w:rStyle w:val="45"/>
          <w:rFonts w:ascii="宋体" w:hAnsi="宋体" w:cs="宋体"/>
          <w:b/>
          <w:color w:val="auto"/>
          <w:sz w:val="32"/>
          <w:szCs w:val="32"/>
          <w:highlight w:val="none"/>
        </w:rPr>
      </w:pPr>
      <w:r>
        <w:rPr>
          <w:rStyle w:val="45"/>
          <w:rFonts w:hint="eastAsia" w:ascii="宋体" w:hAnsi="宋体" w:cs="宋体"/>
          <w:b/>
          <w:color w:val="auto"/>
          <w:sz w:val="32"/>
          <w:szCs w:val="32"/>
          <w:highlight w:val="none"/>
        </w:rPr>
        <w:t>第五章</w:t>
      </w:r>
      <w:r>
        <w:rPr>
          <w:rStyle w:val="45"/>
          <w:rFonts w:hint="eastAsia" w:ascii="宋体" w:hAnsi="宋体" w:cs="宋体"/>
          <w:b/>
          <w:color w:val="auto"/>
          <w:sz w:val="32"/>
          <w:szCs w:val="32"/>
          <w:highlight w:val="none"/>
          <w:lang w:val="en-US" w:eastAsia="zh-CN"/>
        </w:rPr>
        <w:t xml:space="preserve">  </w:t>
      </w:r>
      <w:r>
        <w:rPr>
          <w:rStyle w:val="45"/>
          <w:rFonts w:hint="eastAsia" w:ascii="宋体" w:hAnsi="宋体" w:cs="宋体"/>
          <w:b/>
          <w:color w:val="auto"/>
          <w:sz w:val="32"/>
          <w:szCs w:val="32"/>
          <w:highlight w:val="none"/>
        </w:rPr>
        <w:t>技术条件（工程建设标准）</w:t>
      </w:r>
      <w:bookmarkEnd w:id="50"/>
    </w:p>
    <w:bookmarkEnd w:id="51"/>
    <w:p>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本工程要求的质量目标：需取得“广州市建设工程优质奖”或“广州市建设工程质量五羊杯奖”或市级工程质量奖。</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pPr>
        <w:snapToGrid w:val="0"/>
        <w:spacing w:line="360" w:lineRule="auto"/>
        <w:ind w:firstLine="424" w:firstLineChars="177"/>
        <w:rPr>
          <w:rFonts w:ascii="宋体" w:hAnsi="宋体" w:cs="宋体"/>
          <w:color w:val="auto"/>
          <w:sz w:val="24"/>
          <w:szCs w:val="24"/>
          <w:highlight w:val="none"/>
        </w:rPr>
      </w:pPr>
      <w:bookmarkStart w:id="53" w:name="_Hlt531956504"/>
      <w:r>
        <w:rPr>
          <w:rFonts w:hint="eastAsia" w:ascii="宋体" w:hAnsi="宋体" w:cs="宋体"/>
          <w:color w:val="auto"/>
          <w:sz w:val="24"/>
          <w:szCs w:val="24"/>
          <w:highlight w:val="none"/>
        </w:rPr>
        <w:t>安全生产目标：杜绝本项目施工人员重大伤亡事故。</w:t>
      </w:r>
      <w:bookmarkEnd w:id="53"/>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snapToGrid w:val="0"/>
        <w:spacing w:line="360" w:lineRule="auto"/>
        <w:ind w:firstLine="424" w:firstLineChars="177"/>
        <w:rPr>
          <w:rFonts w:ascii="宋体" w:hAnsi="宋体" w:cs="宋体"/>
          <w:color w:val="auto"/>
          <w:sz w:val="24"/>
          <w:szCs w:val="24"/>
          <w:highlight w:val="none"/>
        </w:rPr>
      </w:pPr>
    </w:p>
    <w:p>
      <w:pPr>
        <w:pStyle w:val="25"/>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jc w:val="center"/>
        <w:rPr>
          <w:rFonts w:ascii="宋体" w:hAnsi="宋体" w:cs="宋体"/>
          <w:color w:val="auto"/>
          <w:sz w:val="24"/>
          <w:szCs w:val="24"/>
          <w:highlight w:val="none"/>
        </w:rPr>
      </w:pPr>
      <w:bookmarkStart w:id="54" w:name="_Toc9353"/>
      <w:r>
        <w:rPr>
          <w:rFonts w:hint="eastAsia" w:ascii="宋体" w:hAnsi="宋体" w:cs="宋体"/>
          <w:color w:val="auto"/>
          <w:sz w:val="24"/>
          <w:szCs w:val="24"/>
          <w:highlight w:val="none"/>
        </w:rPr>
        <w:br w:type="page"/>
      </w:r>
    </w:p>
    <w:p>
      <w:pPr>
        <w:tabs>
          <w:tab w:val="left" w:pos="720"/>
        </w:tabs>
        <w:jc w:val="center"/>
        <w:rPr>
          <w:rStyle w:val="45"/>
          <w:rFonts w:ascii="宋体" w:hAnsi="宋体" w:cs="宋体"/>
          <w:b/>
          <w:color w:val="auto"/>
          <w:sz w:val="32"/>
          <w:szCs w:val="32"/>
          <w:highlight w:val="none"/>
        </w:rPr>
      </w:pPr>
      <w:r>
        <w:rPr>
          <w:rStyle w:val="45"/>
          <w:rFonts w:hint="eastAsia" w:ascii="宋体" w:hAnsi="宋体" w:cs="宋体"/>
          <w:b/>
          <w:color w:val="auto"/>
          <w:sz w:val="32"/>
          <w:szCs w:val="32"/>
          <w:highlight w:val="none"/>
        </w:rPr>
        <w:t>第六章</w:t>
      </w:r>
      <w:r>
        <w:rPr>
          <w:rStyle w:val="45"/>
          <w:rFonts w:hint="eastAsia" w:ascii="宋体" w:hAnsi="宋体" w:cs="宋体"/>
          <w:b/>
          <w:color w:val="auto"/>
          <w:sz w:val="32"/>
          <w:szCs w:val="32"/>
          <w:highlight w:val="none"/>
          <w:lang w:val="en-US" w:eastAsia="zh-CN"/>
        </w:rPr>
        <w:t xml:space="preserve">  </w:t>
      </w:r>
      <w:r>
        <w:rPr>
          <w:rStyle w:val="45"/>
          <w:rFonts w:hint="eastAsia" w:ascii="宋体" w:hAnsi="宋体" w:cs="宋体"/>
          <w:b/>
          <w:color w:val="auto"/>
          <w:sz w:val="32"/>
          <w:szCs w:val="32"/>
          <w:highlight w:val="none"/>
        </w:rPr>
        <w:t>图纸及勘察资料</w:t>
      </w:r>
      <w:bookmarkEnd w:id="52"/>
      <w:bookmarkEnd w:id="54"/>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注：本章由招标人自行制定，另册。</w:t>
      </w:r>
    </w:p>
    <w:p>
      <w:pPr>
        <w:snapToGrid w:val="0"/>
        <w:spacing w:line="360" w:lineRule="auto"/>
        <w:ind w:firstLine="360" w:firstLineChars="150"/>
        <w:rPr>
          <w:rFonts w:ascii="宋体" w:hAnsi="宋体" w:cs="宋体"/>
          <w:color w:val="auto"/>
          <w:kern w:val="0"/>
          <w:sz w:val="24"/>
          <w:szCs w:val="24"/>
          <w:highlight w:val="none"/>
        </w:rPr>
      </w:pPr>
    </w:p>
    <w:p>
      <w:pPr>
        <w:snapToGrid w:val="0"/>
        <w:spacing w:line="360" w:lineRule="auto"/>
        <w:ind w:firstLine="360" w:firstLineChars="150"/>
        <w:rPr>
          <w:rFonts w:ascii="宋体" w:hAnsi="宋体" w:cs="宋体"/>
          <w:color w:val="auto"/>
          <w:kern w:val="0"/>
          <w:sz w:val="24"/>
          <w:szCs w:val="24"/>
          <w:highlight w:val="none"/>
        </w:rPr>
      </w:pPr>
    </w:p>
    <w:p>
      <w:pPr>
        <w:pStyle w:val="2"/>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55" w:name="_Toc2272570"/>
      <w:bookmarkStart w:id="56" w:name="_Toc22481"/>
      <w:r>
        <w:rPr>
          <w:rStyle w:val="45"/>
          <w:rFonts w:hint="eastAsia" w:ascii="宋体" w:hAnsi="宋体" w:cs="宋体"/>
          <w:color w:val="auto"/>
          <w:sz w:val="32"/>
          <w:szCs w:val="32"/>
          <w:highlight w:val="none"/>
        </w:rPr>
        <w:t>第七章</w:t>
      </w:r>
      <w:r>
        <w:rPr>
          <w:rStyle w:val="45"/>
          <w:rFonts w:hint="eastAsia" w:ascii="宋体" w:hAnsi="宋体" w:cs="宋体"/>
          <w:color w:val="auto"/>
          <w:sz w:val="32"/>
          <w:szCs w:val="32"/>
          <w:highlight w:val="none"/>
          <w:lang w:val="en-US" w:eastAsia="zh-CN"/>
        </w:rPr>
        <w:t xml:space="preserve">  </w:t>
      </w:r>
      <w:r>
        <w:rPr>
          <w:rStyle w:val="45"/>
          <w:rFonts w:hint="eastAsia" w:ascii="宋体" w:hAnsi="宋体" w:cs="宋体"/>
          <w:color w:val="auto"/>
          <w:sz w:val="32"/>
          <w:szCs w:val="32"/>
          <w:highlight w:val="none"/>
        </w:rPr>
        <w:t>工程量清单</w:t>
      </w:r>
      <w:bookmarkEnd w:id="55"/>
      <w:bookmarkEnd w:id="56"/>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注：本章由招标人自行制定。</w:t>
      </w:r>
    </w:p>
    <w:p>
      <w:pPr>
        <w:spacing w:line="360" w:lineRule="auto"/>
        <w:jc w:val="left"/>
        <w:rPr>
          <w:rFonts w:ascii="宋体" w:hAnsi="宋体" w:cs="宋体"/>
          <w:color w:val="auto"/>
          <w:sz w:val="24"/>
          <w:szCs w:val="28"/>
          <w:highlight w:val="none"/>
        </w:rPr>
      </w:pPr>
    </w:p>
    <w:p>
      <w:pPr>
        <w:spacing w:line="360" w:lineRule="auto"/>
        <w:jc w:val="left"/>
        <w:rPr>
          <w:rFonts w:ascii="宋体" w:hAnsi="宋体" w:cs="宋体"/>
          <w:color w:val="auto"/>
          <w:sz w:val="24"/>
          <w:szCs w:val="28"/>
          <w:highlight w:val="none"/>
        </w:rPr>
      </w:pPr>
    </w:p>
    <w:p>
      <w:pPr>
        <w:pStyle w:val="2"/>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57" w:name="_Toc2272571"/>
      <w:bookmarkStart w:id="58" w:name="_Toc3710"/>
      <w:r>
        <w:rPr>
          <w:rStyle w:val="45"/>
          <w:rFonts w:hint="eastAsia" w:ascii="宋体" w:hAnsi="宋体" w:cs="宋体"/>
          <w:color w:val="auto"/>
          <w:sz w:val="32"/>
          <w:szCs w:val="32"/>
          <w:highlight w:val="none"/>
        </w:rPr>
        <w:t>第八章</w:t>
      </w:r>
      <w:r>
        <w:rPr>
          <w:rStyle w:val="45"/>
          <w:rFonts w:hint="eastAsia" w:ascii="宋体" w:hAnsi="宋体" w:cs="宋体"/>
          <w:color w:val="auto"/>
          <w:sz w:val="32"/>
          <w:szCs w:val="32"/>
          <w:highlight w:val="none"/>
          <w:lang w:val="en-US" w:eastAsia="zh-CN"/>
        </w:rPr>
        <w:t xml:space="preserve">  </w:t>
      </w:r>
      <w:r>
        <w:rPr>
          <w:rStyle w:val="45"/>
          <w:rFonts w:hint="eastAsia" w:ascii="宋体" w:hAnsi="宋体" w:cs="宋体"/>
          <w:color w:val="auto"/>
          <w:sz w:val="32"/>
          <w:szCs w:val="32"/>
          <w:highlight w:val="none"/>
        </w:rPr>
        <w:t>最高投标限价</w:t>
      </w:r>
      <w:bookmarkEnd w:id="57"/>
      <w:bookmarkEnd w:id="58"/>
    </w:p>
    <w:p>
      <w:pPr>
        <w:snapToGrid w:val="0"/>
        <w:spacing w:line="360" w:lineRule="auto"/>
        <w:ind w:firstLine="480"/>
        <w:rPr>
          <w:rFonts w:ascii="宋体" w:hAnsi="宋体" w:cs="宋体"/>
          <w:color w:val="auto"/>
          <w:sz w:val="24"/>
          <w:szCs w:val="24"/>
          <w:highlight w:val="none"/>
        </w:rPr>
      </w:pP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pPr>
        <w:snapToGrid w:val="0"/>
        <w:spacing w:line="360" w:lineRule="auto"/>
        <w:ind w:firstLine="480"/>
        <w:rPr>
          <w:rFonts w:ascii="宋体" w:hAnsi="宋体" w:cs="宋体"/>
          <w:color w:val="auto"/>
          <w:sz w:val="24"/>
          <w:szCs w:val="24"/>
          <w:highlight w:val="none"/>
          <w:u w:val="singl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rPr>
          <w:rFonts w:ascii="宋体" w:hAnsi="宋体" w:cs="宋体"/>
          <w:color w:val="auto"/>
          <w:highlight w:val="none"/>
        </w:rPr>
      </w:pPr>
    </w:p>
    <w:sectPr>
      <w:headerReference r:id="rId18" w:type="default"/>
      <w:footerReference r:id="rId19"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rPr>
        <w:rStyle w:val="33"/>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wrap="square" lIns="0" tIns="0" rIns="0" bIns="0" anchor="t" anchorCtr="0" upright="1"/>
                  </wps:wsp>
                </a:graphicData>
              </a:graphic>
            </wp:anchor>
          </w:drawing>
        </mc:Choice>
        <mc:Fallback>
          <w:pict>
            <v:shape id="文本框 1" o:spid="_x0000_s1026" o:spt="202" type="#_x0000_t202" style="position:absolute;left:0pt;margin-top:0pt;height:24.5pt;width:31.25pt;mso-position-horizontal:center;mso-position-horizontal-relative:margin;z-index:251659264;mso-width-relative:page;mso-height-relative:page;" filled="f" stroked="f" coordsize="21600,21600" o:gfxdata="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ckEHUAAAAAwEAAA8AAAAAAAAAAQAgAAAA&#10;IgAAAGRycy9kb3ducmV2LnhtbFBLAQIUABQAAAAIAIdO4kDxHJQ61gEAAKYDAAAOAAAAAAAAAAEA&#10;IAAAACMBAABkcnMvZTJvRG9jLnhtbFBLBQYAAAAABgAGAFkBAABr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rPr>
        <w:rStyle w:val="33"/>
      </w:rPr>
    </w:pPr>
    <w:r>
      <w:fldChar w:fldCharType="begin"/>
    </w:r>
    <w:r>
      <w:rPr>
        <w:rStyle w:val="33"/>
      </w:rPr>
      <w:instrText xml:space="preserve">PAGE  </w:instrText>
    </w:r>
    <w:r>
      <w:fldChar w:fldCharType="separate"/>
    </w:r>
    <w:r>
      <w:rPr>
        <w:rStyle w:val="33"/>
        <w:rFonts w:hint="eastAsia"/>
      </w:rPr>
      <w:t>一</w:t>
    </w:r>
    <w:r>
      <w:rPr>
        <w:rStyle w:val="33"/>
      </w:rPr>
      <w:t>–2</w:t>
    </w:r>
    <w:r>
      <w:fldChar w:fldCharType="end"/>
    </w:r>
  </w:p>
  <w:p>
    <w:pPr>
      <w:pStyle w:val="21"/>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3"/>
      </w:rPr>
    </w:pPr>
    <w:r>
      <w:fldChar w:fldCharType="begin"/>
    </w:r>
    <w:r>
      <w:instrText xml:space="preserve"> PAGE   \* MERGEFORMAT </w:instrText>
    </w:r>
    <w:r>
      <w:fldChar w:fldCharType="separate"/>
    </w:r>
    <w:r>
      <w:rPr>
        <w:lang w:val="zh-CN"/>
      </w:rPr>
      <w:t>17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65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t>66</w: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1BB16A0"/>
    <w:multiLevelType w:val="singleLevel"/>
    <w:tmpl w:val="01BB16A0"/>
    <w:lvl w:ilvl="0" w:tentative="0">
      <w:start w:val="4"/>
      <w:numFmt w:val="chineseCounting"/>
      <w:suff w:val="space"/>
      <w:lvlText w:val="第%1部分"/>
      <w:lvlJc w:val="left"/>
      <w:rPr>
        <w:rFonts w:hint="eastAsia"/>
      </w:rPr>
    </w:lvl>
  </w:abstractNum>
  <w:abstractNum w:abstractNumId="6">
    <w:nsid w:val="14181B7E"/>
    <w:multiLevelType w:val="singleLevel"/>
    <w:tmpl w:val="14181B7E"/>
    <w:lvl w:ilvl="0" w:tentative="0">
      <w:start w:val="1"/>
      <w:numFmt w:val="decimal"/>
      <w:suff w:val="nothing"/>
      <w:lvlText w:val="%1、"/>
      <w:lvlJc w:val="left"/>
    </w:lvl>
  </w:abstractNum>
  <w:abstractNum w:abstractNumId="7">
    <w:nsid w:val="5CADBC91"/>
    <w:multiLevelType w:val="singleLevel"/>
    <w:tmpl w:val="5CADBC91"/>
    <w:lvl w:ilvl="0" w:tentative="0">
      <w:start w:val="1"/>
      <w:numFmt w:val="decimal"/>
      <w:suff w:val="nothing"/>
      <w:lvlText w:val="（%1）"/>
      <w:lvlJc w:val="left"/>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6ECA11E3"/>
    <w:rsid w:val="00067699"/>
    <w:rsid w:val="000C3AA7"/>
    <w:rsid w:val="000F540A"/>
    <w:rsid w:val="001245DC"/>
    <w:rsid w:val="00141CEF"/>
    <w:rsid w:val="001542C4"/>
    <w:rsid w:val="00161690"/>
    <w:rsid w:val="00173B81"/>
    <w:rsid w:val="00175646"/>
    <w:rsid w:val="0018560A"/>
    <w:rsid w:val="00203BB3"/>
    <w:rsid w:val="00233F06"/>
    <w:rsid w:val="0025252E"/>
    <w:rsid w:val="002A3757"/>
    <w:rsid w:val="002B40C0"/>
    <w:rsid w:val="002B44AD"/>
    <w:rsid w:val="002E4C68"/>
    <w:rsid w:val="003336FF"/>
    <w:rsid w:val="00344D23"/>
    <w:rsid w:val="00363F19"/>
    <w:rsid w:val="00384C73"/>
    <w:rsid w:val="003A4132"/>
    <w:rsid w:val="003C799A"/>
    <w:rsid w:val="003D401C"/>
    <w:rsid w:val="003D5750"/>
    <w:rsid w:val="00450B5F"/>
    <w:rsid w:val="004F7BCF"/>
    <w:rsid w:val="0051206E"/>
    <w:rsid w:val="00526CE4"/>
    <w:rsid w:val="00562057"/>
    <w:rsid w:val="00564A11"/>
    <w:rsid w:val="00582E03"/>
    <w:rsid w:val="00592A19"/>
    <w:rsid w:val="005A3BEE"/>
    <w:rsid w:val="005B5E13"/>
    <w:rsid w:val="005C078C"/>
    <w:rsid w:val="005C46DA"/>
    <w:rsid w:val="005E5BD1"/>
    <w:rsid w:val="00603A57"/>
    <w:rsid w:val="00607089"/>
    <w:rsid w:val="00623FEC"/>
    <w:rsid w:val="006705B8"/>
    <w:rsid w:val="00670D81"/>
    <w:rsid w:val="00683D36"/>
    <w:rsid w:val="00687853"/>
    <w:rsid w:val="006918CB"/>
    <w:rsid w:val="006975F8"/>
    <w:rsid w:val="006A67E1"/>
    <w:rsid w:val="006B369A"/>
    <w:rsid w:val="006E00AF"/>
    <w:rsid w:val="00702174"/>
    <w:rsid w:val="007045EF"/>
    <w:rsid w:val="007946F9"/>
    <w:rsid w:val="007D07F6"/>
    <w:rsid w:val="00840E97"/>
    <w:rsid w:val="0087773F"/>
    <w:rsid w:val="00884899"/>
    <w:rsid w:val="00903CEE"/>
    <w:rsid w:val="00931C40"/>
    <w:rsid w:val="00937917"/>
    <w:rsid w:val="00945D7E"/>
    <w:rsid w:val="00974BE2"/>
    <w:rsid w:val="00984671"/>
    <w:rsid w:val="009870AB"/>
    <w:rsid w:val="009971DB"/>
    <w:rsid w:val="009C587B"/>
    <w:rsid w:val="009C61A9"/>
    <w:rsid w:val="009C6215"/>
    <w:rsid w:val="00A11B2B"/>
    <w:rsid w:val="00A1716B"/>
    <w:rsid w:val="00A24B21"/>
    <w:rsid w:val="00A33DAE"/>
    <w:rsid w:val="00A57997"/>
    <w:rsid w:val="00A62687"/>
    <w:rsid w:val="00A80F2E"/>
    <w:rsid w:val="00AB3CE8"/>
    <w:rsid w:val="00AC4B76"/>
    <w:rsid w:val="00B46ABF"/>
    <w:rsid w:val="00BA0120"/>
    <w:rsid w:val="00BB6012"/>
    <w:rsid w:val="00BC6DE7"/>
    <w:rsid w:val="00BF0D9D"/>
    <w:rsid w:val="00C0644F"/>
    <w:rsid w:val="00C92668"/>
    <w:rsid w:val="00C96234"/>
    <w:rsid w:val="00CA197C"/>
    <w:rsid w:val="00CC4864"/>
    <w:rsid w:val="00D02356"/>
    <w:rsid w:val="00D42137"/>
    <w:rsid w:val="00D56B60"/>
    <w:rsid w:val="00D87BAB"/>
    <w:rsid w:val="00D939B5"/>
    <w:rsid w:val="00D95AE5"/>
    <w:rsid w:val="00DC4FE8"/>
    <w:rsid w:val="00DD1A7B"/>
    <w:rsid w:val="00DD2BBB"/>
    <w:rsid w:val="00DE2E4F"/>
    <w:rsid w:val="00E00B5D"/>
    <w:rsid w:val="00E46FED"/>
    <w:rsid w:val="00E856FE"/>
    <w:rsid w:val="00EC73C3"/>
    <w:rsid w:val="00EE310D"/>
    <w:rsid w:val="00EF58DA"/>
    <w:rsid w:val="00F56310"/>
    <w:rsid w:val="00F60CAF"/>
    <w:rsid w:val="00FA1E91"/>
    <w:rsid w:val="00FA41A6"/>
    <w:rsid w:val="00FC0A1E"/>
    <w:rsid w:val="016025FC"/>
    <w:rsid w:val="019D4E55"/>
    <w:rsid w:val="01B3097E"/>
    <w:rsid w:val="01B81995"/>
    <w:rsid w:val="02182ED7"/>
    <w:rsid w:val="022C5CCC"/>
    <w:rsid w:val="02823D95"/>
    <w:rsid w:val="029562D6"/>
    <w:rsid w:val="02EF1E8A"/>
    <w:rsid w:val="04446019"/>
    <w:rsid w:val="048B2A85"/>
    <w:rsid w:val="04F875A0"/>
    <w:rsid w:val="05045364"/>
    <w:rsid w:val="05266D05"/>
    <w:rsid w:val="06011F07"/>
    <w:rsid w:val="06351F74"/>
    <w:rsid w:val="06B900B8"/>
    <w:rsid w:val="0782145E"/>
    <w:rsid w:val="07867FE9"/>
    <w:rsid w:val="07DE427B"/>
    <w:rsid w:val="07F77C97"/>
    <w:rsid w:val="082A3964"/>
    <w:rsid w:val="085D113C"/>
    <w:rsid w:val="09285B97"/>
    <w:rsid w:val="099A1FD0"/>
    <w:rsid w:val="0A081EEC"/>
    <w:rsid w:val="0A6014F4"/>
    <w:rsid w:val="0A6A568E"/>
    <w:rsid w:val="0A7D43AC"/>
    <w:rsid w:val="0B631E61"/>
    <w:rsid w:val="0B7B1FE3"/>
    <w:rsid w:val="0C5B233E"/>
    <w:rsid w:val="0CA77331"/>
    <w:rsid w:val="0CD4440C"/>
    <w:rsid w:val="0D15439D"/>
    <w:rsid w:val="0D1F07B3"/>
    <w:rsid w:val="0D47449D"/>
    <w:rsid w:val="0DEB5823"/>
    <w:rsid w:val="0F3D2FCE"/>
    <w:rsid w:val="100D0BBD"/>
    <w:rsid w:val="105F163C"/>
    <w:rsid w:val="11647F5F"/>
    <w:rsid w:val="128A7BF7"/>
    <w:rsid w:val="12C43AFC"/>
    <w:rsid w:val="134231CE"/>
    <w:rsid w:val="13494BFB"/>
    <w:rsid w:val="1484618D"/>
    <w:rsid w:val="15472268"/>
    <w:rsid w:val="15B75AF7"/>
    <w:rsid w:val="15CB46A6"/>
    <w:rsid w:val="16815D1C"/>
    <w:rsid w:val="16EA1425"/>
    <w:rsid w:val="1728413E"/>
    <w:rsid w:val="178A7F7B"/>
    <w:rsid w:val="17AA5713"/>
    <w:rsid w:val="17BD5C5B"/>
    <w:rsid w:val="18A24E51"/>
    <w:rsid w:val="19BA0760"/>
    <w:rsid w:val="19C3747C"/>
    <w:rsid w:val="19D662F2"/>
    <w:rsid w:val="1B0F20CB"/>
    <w:rsid w:val="1B8973D1"/>
    <w:rsid w:val="1B99757B"/>
    <w:rsid w:val="1C88068E"/>
    <w:rsid w:val="1D100F23"/>
    <w:rsid w:val="1D34296E"/>
    <w:rsid w:val="1D430810"/>
    <w:rsid w:val="1D554B87"/>
    <w:rsid w:val="1DFF6B1C"/>
    <w:rsid w:val="1E263889"/>
    <w:rsid w:val="1E436F14"/>
    <w:rsid w:val="1E5B7F7C"/>
    <w:rsid w:val="1E651EA7"/>
    <w:rsid w:val="1E65704C"/>
    <w:rsid w:val="1EBD055F"/>
    <w:rsid w:val="1EEC53C1"/>
    <w:rsid w:val="1F037ABF"/>
    <w:rsid w:val="1F0C58DF"/>
    <w:rsid w:val="1F3E6060"/>
    <w:rsid w:val="1F8025E1"/>
    <w:rsid w:val="1FFF1208"/>
    <w:rsid w:val="20B932A5"/>
    <w:rsid w:val="20F766A2"/>
    <w:rsid w:val="211D31AF"/>
    <w:rsid w:val="212D7572"/>
    <w:rsid w:val="21470119"/>
    <w:rsid w:val="21750403"/>
    <w:rsid w:val="2184175C"/>
    <w:rsid w:val="221413B9"/>
    <w:rsid w:val="22242D54"/>
    <w:rsid w:val="223D0F38"/>
    <w:rsid w:val="22464D3A"/>
    <w:rsid w:val="225A62E9"/>
    <w:rsid w:val="22B3118F"/>
    <w:rsid w:val="230D3D84"/>
    <w:rsid w:val="236569E5"/>
    <w:rsid w:val="23E3562A"/>
    <w:rsid w:val="243F6D24"/>
    <w:rsid w:val="247C4C34"/>
    <w:rsid w:val="24AC2947"/>
    <w:rsid w:val="24FC3F2A"/>
    <w:rsid w:val="2546353E"/>
    <w:rsid w:val="254774AC"/>
    <w:rsid w:val="255F65A3"/>
    <w:rsid w:val="258626E3"/>
    <w:rsid w:val="25EB1F7C"/>
    <w:rsid w:val="25F4564B"/>
    <w:rsid w:val="25F969F8"/>
    <w:rsid w:val="26796F4A"/>
    <w:rsid w:val="26AE0482"/>
    <w:rsid w:val="26BE3237"/>
    <w:rsid w:val="27262C32"/>
    <w:rsid w:val="273861E8"/>
    <w:rsid w:val="273D00F1"/>
    <w:rsid w:val="27A1606E"/>
    <w:rsid w:val="27A95429"/>
    <w:rsid w:val="29496766"/>
    <w:rsid w:val="2A3E56F6"/>
    <w:rsid w:val="2A633263"/>
    <w:rsid w:val="2A675350"/>
    <w:rsid w:val="2B2A5829"/>
    <w:rsid w:val="2B2C7808"/>
    <w:rsid w:val="2BDF4B0D"/>
    <w:rsid w:val="2C2C5AB4"/>
    <w:rsid w:val="2CD06DD8"/>
    <w:rsid w:val="2D14731D"/>
    <w:rsid w:val="2D7B31C8"/>
    <w:rsid w:val="2DCE2518"/>
    <w:rsid w:val="2E112C5C"/>
    <w:rsid w:val="2E340801"/>
    <w:rsid w:val="2E9B2390"/>
    <w:rsid w:val="2EB27755"/>
    <w:rsid w:val="2EC863C7"/>
    <w:rsid w:val="2EFA19CE"/>
    <w:rsid w:val="2F2A2D4D"/>
    <w:rsid w:val="2F5E19D9"/>
    <w:rsid w:val="2F654979"/>
    <w:rsid w:val="2FB7406E"/>
    <w:rsid w:val="2FC751F2"/>
    <w:rsid w:val="2FD75B1D"/>
    <w:rsid w:val="2FDB1D24"/>
    <w:rsid w:val="3010766D"/>
    <w:rsid w:val="3054538E"/>
    <w:rsid w:val="30753757"/>
    <w:rsid w:val="313D7346"/>
    <w:rsid w:val="31C477D6"/>
    <w:rsid w:val="32C06869"/>
    <w:rsid w:val="3331759D"/>
    <w:rsid w:val="33BA52ED"/>
    <w:rsid w:val="33CB0C74"/>
    <w:rsid w:val="34244371"/>
    <w:rsid w:val="34E15963"/>
    <w:rsid w:val="35727C2D"/>
    <w:rsid w:val="35B212FA"/>
    <w:rsid w:val="35CD711E"/>
    <w:rsid w:val="35CF536D"/>
    <w:rsid w:val="36933369"/>
    <w:rsid w:val="36A25157"/>
    <w:rsid w:val="36BD576F"/>
    <w:rsid w:val="36D36F20"/>
    <w:rsid w:val="36DB190F"/>
    <w:rsid w:val="36F823B4"/>
    <w:rsid w:val="3701042F"/>
    <w:rsid w:val="371D536D"/>
    <w:rsid w:val="37373A04"/>
    <w:rsid w:val="37ED0850"/>
    <w:rsid w:val="38136029"/>
    <w:rsid w:val="389425B0"/>
    <w:rsid w:val="38C015D8"/>
    <w:rsid w:val="38C62993"/>
    <w:rsid w:val="39595C88"/>
    <w:rsid w:val="39FA4B0D"/>
    <w:rsid w:val="3A2F1883"/>
    <w:rsid w:val="3AB14612"/>
    <w:rsid w:val="3ADC4083"/>
    <w:rsid w:val="3B2B6D8A"/>
    <w:rsid w:val="3C466D4E"/>
    <w:rsid w:val="3C525E6D"/>
    <w:rsid w:val="3C9B0F57"/>
    <w:rsid w:val="3CB03D04"/>
    <w:rsid w:val="3CEC0482"/>
    <w:rsid w:val="3D0C77D1"/>
    <w:rsid w:val="3DAE273F"/>
    <w:rsid w:val="3DD504CF"/>
    <w:rsid w:val="3E475944"/>
    <w:rsid w:val="3E813523"/>
    <w:rsid w:val="3EDC0ECC"/>
    <w:rsid w:val="3F386265"/>
    <w:rsid w:val="3F5F279F"/>
    <w:rsid w:val="4010076F"/>
    <w:rsid w:val="4067023A"/>
    <w:rsid w:val="407960B9"/>
    <w:rsid w:val="40AB650D"/>
    <w:rsid w:val="40F26D3D"/>
    <w:rsid w:val="412A3AB2"/>
    <w:rsid w:val="415E375B"/>
    <w:rsid w:val="41E622FE"/>
    <w:rsid w:val="42555758"/>
    <w:rsid w:val="428B04D9"/>
    <w:rsid w:val="428D6C56"/>
    <w:rsid w:val="42A5126A"/>
    <w:rsid w:val="42CE10AD"/>
    <w:rsid w:val="42D37FA3"/>
    <w:rsid w:val="42FB288E"/>
    <w:rsid w:val="43566DE0"/>
    <w:rsid w:val="435C3C0F"/>
    <w:rsid w:val="43AF5C05"/>
    <w:rsid w:val="4425491B"/>
    <w:rsid w:val="44BD25D7"/>
    <w:rsid w:val="450A60D4"/>
    <w:rsid w:val="4571572A"/>
    <w:rsid w:val="45CC1B37"/>
    <w:rsid w:val="464B166D"/>
    <w:rsid w:val="466963C3"/>
    <w:rsid w:val="467D6E06"/>
    <w:rsid w:val="46CC47DE"/>
    <w:rsid w:val="46F956FF"/>
    <w:rsid w:val="47E72C10"/>
    <w:rsid w:val="47FE7C7B"/>
    <w:rsid w:val="483C5694"/>
    <w:rsid w:val="484F3AB2"/>
    <w:rsid w:val="49125FFB"/>
    <w:rsid w:val="491C4628"/>
    <w:rsid w:val="492E0F85"/>
    <w:rsid w:val="49374014"/>
    <w:rsid w:val="49542533"/>
    <w:rsid w:val="497A283B"/>
    <w:rsid w:val="49FD2121"/>
    <w:rsid w:val="4A144EDF"/>
    <w:rsid w:val="4A7E62C5"/>
    <w:rsid w:val="4AC24D5B"/>
    <w:rsid w:val="4B01452B"/>
    <w:rsid w:val="4BDC377E"/>
    <w:rsid w:val="4C017E1B"/>
    <w:rsid w:val="4C1363D0"/>
    <w:rsid w:val="4C3479F8"/>
    <w:rsid w:val="4C4B0ACB"/>
    <w:rsid w:val="4CDB7E70"/>
    <w:rsid w:val="4DB56DF9"/>
    <w:rsid w:val="4DD47E42"/>
    <w:rsid w:val="4F0612C4"/>
    <w:rsid w:val="4F2E2832"/>
    <w:rsid w:val="4FE45773"/>
    <w:rsid w:val="4FE9510E"/>
    <w:rsid w:val="50263CE3"/>
    <w:rsid w:val="50461608"/>
    <w:rsid w:val="50AD00DD"/>
    <w:rsid w:val="50BC61A9"/>
    <w:rsid w:val="50E81293"/>
    <w:rsid w:val="513E350D"/>
    <w:rsid w:val="522C172E"/>
    <w:rsid w:val="522F4A6C"/>
    <w:rsid w:val="524424F9"/>
    <w:rsid w:val="52532C9B"/>
    <w:rsid w:val="52AA6800"/>
    <w:rsid w:val="52C16224"/>
    <w:rsid w:val="5316330F"/>
    <w:rsid w:val="5356503E"/>
    <w:rsid w:val="53681F20"/>
    <w:rsid w:val="537072A8"/>
    <w:rsid w:val="53E24AE6"/>
    <w:rsid w:val="54931516"/>
    <w:rsid w:val="54F46459"/>
    <w:rsid w:val="550C072E"/>
    <w:rsid w:val="55941547"/>
    <w:rsid w:val="567B088A"/>
    <w:rsid w:val="5689496C"/>
    <w:rsid w:val="56BD3C31"/>
    <w:rsid w:val="56E90F5B"/>
    <w:rsid w:val="57174FB2"/>
    <w:rsid w:val="571B2AA2"/>
    <w:rsid w:val="573C16D0"/>
    <w:rsid w:val="57B462A2"/>
    <w:rsid w:val="57E417E0"/>
    <w:rsid w:val="58634CBB"/>
    <w:rsid w:val="589B3CDA"/>
    <w:rsid w:val="58FA2E94"/>
    <w:rsid w:val="591311F4"/>
    <w:rsid w:val="598B6E78"/>
    <w:rsid w:val="59E3160A"/>
    <w:rsid w:val="59F36F78"/>
    <w:rsid w:val="5A222E87"/>
    <w:rsid w:val="5A5D23AA"/>
    <w:rsid w:val="5A67064A"/>
    <w:rsid w:val="5A9D1E29"/>
    <w:rsid w:val="5AF25EAC"/>
    <w:rsid w:val="5B622594"/>
    <w:rsid w:val="5B9938B6"/>
    <w:rsid w:val="5B9A46F8"/>
    <w:rsid w:val="5C0E15D9"/>
    <w:rsid w:val="5CD94A7D"/>
    <w:rsid w:val="5D083339"/>
    <w:rsid w:val="5D50269A"/>
    <w:rsid w:val="5D7C7518"/>
    <w:rsid w:val="5E793C16"/>
    <w:rsid w:val="5E814C0F"/>
    <w:rsid w:val="5EB01642"/>
    <w:rsid w:val="5FDE5D3B"/>
    <w:rsid w:val="601812AE"/>
    <w:rsid w:val="60C16F3B"/>
    <w:rsid w:val="60F65306"/>
    <w:rsid w:val="61FD4BCF"/>
    <w:rsid w:val="623E513D"/>
    <w:rsid w:val="624C33EF"/>
    <w:rsid w:val="631B2E02"/>
    <w:rsid w:val="637D18D6"/>
    <w:rsid w:val="64076927"/>
    <w:rsid w:val="64106469"/>
    <w:rsid w:val="643150EF"/>
    <w:rsid w:val="64943E02"/>
    <w:rsid w:val="64A50DAF"/>
    <w:rsid w:val="65143E8E"/>
    <w:rsid w:val="65312DB1"/>
    <w:rsid w:val="654B3E0B"/>
    <w:rsid w:val="65701DAF"/>
    <w:rsid w:val="65734A62"/>
    <w:rsid w:val="65EF6895"/>
    <w:rsid w:val="65F57186"/>
    <w:rsid w:val="67224816"/>
    <w:rsid w:val="67420095"/>
    <w:rsid w:val="67697CCC"/>
    <w:rsid w:val="67A755AC"/>
    <w:rsid w:val="67BE6D26"/>
    <w:rsid w:val="67E857A9"/>
    <w:rsid w:val="68072700"/>
    <w:rsid w:val="68384D1D"/>
    <w:rsid w:val="684923CA"/>
    <w:rsid w:val="687E6A36"/>
    <w:rsid w:val="68DD2EC8"/>
    <w:rsid w:val="69356E2B"/>
    <w:rsid w:val="69910253"/>
    <w:rsid w:val="69CF1EED"/>
    <w:rsid w:val="69E629B4"/>
    <w:rsid w:val="6A303F94"/>
    <w:rsid w:val="6A9C3978"/>
    <w:rsid w:val="6AF873C8"/>
    <w:rsid w:val="6B50669B"/>
    <w:rsid w:val="6C127F06"/>
    <w:rsid w:val="6C6256CC"/>
    <w:rsid w:val="6CB90C75"/>
    <w:rsid w:val="6D48139B"/>
    <w:rsid w:val="6DA36D8A"/>
    <w:rsid w:val="6E021FD1"/>
    <w:rsid w:val="6E8F15D9"/>
    <w:rsid w:val="6ECA11E3"/>
    <w:rsid w:val="6F007327"/>
    <w:rsid w:val="6F077D6E"/>
    <w:rsid w:val="6F434296"/>
    <w:rsid w:val="6F5361F2"/>
    <w:rsid w:val="6FBA7BE3"/>
    <w:rsid w:val="702B4B0F"/>
    <w:rsid w:val="711C37A7"/>
    <w:rsid w:val="714F4A2B"/>
    <w:rsid w:val="715274D7"/>
    <w:rsid w:val="72120F22"/>
    <w:rsid w:val="729E05F7"/>
    <w:rsid w:val="72DB4A4B"/>
    <w:rsid w:val="72FB1927"/>
    <w:rsid w:val="74031E70"/>
    <w:rsid w:val="74A36100"/>
    <w:rsid w:val="74C35F1C"/>
    <w:rsid w:val="75087A63"/>
    <w:rsid w:val="7577493F"/>
    <w:rsid w:val="76252C4D"/>
    <w:rsid w:val="763F1AD3"/>
    <w:rsid w:val="76683E52"/>
    <w:rsid w:val="76D811AB"/>
    <w:rsid w:val="776C5995"/>
    <w:rsid w:val="781A5362"/>
    <w:rsid w:val="783F0DAF"/>
    <w:rsid w:val="788A03B6"/>
    <w:rsid w:val="78C16034"/>
    <w:rsid w:val="79892D64"/>
    <w:rsid w:val="798D1378"/>
    <w:rsid w:val="79A33E26"/>
    <w:rsid w:val="79F44419"/>
    <w:rsid w:val="7A041C7B"/>
    <w:rsid w:val="7A1748A8"/>
    <w:rsid w:val="7A2A5D7E"/>
    <w:rsid w:val="7A316896"/>
    <w:rsid w:val="7A340040"/>
    <w:rsid w:val="7A36055E"/>
    <w:rsid w:val="7A360F8A"/>
    <w:rsid w:val="7A4E5572"/>
    <w:rsid w:val="7AA159BD"/>
    <w:rsid w:val="7B095F8D"/>
    <w:rsid w:val="7B352923"/>
    <w:rsid w:val="7B9F686F"/>
    <w:rsid w:val="7C4C3032"/>
    <w:rsid w:val="7C9F72EF"/>
    <w:rsid w:val="7CE87DA1"/>
    <w:rsid w:val="7D175611"/>
    <w:rsid w:val="7E141BF3"/>
    <w:rsid w:val="7E7D7343"/>
    <w:rsid w:val="7F0E027B"/>
    <w:rsid w:val="7F677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5"/>
    <w:qFormat/>
    <w:uiPriority w:val="0"/>
    <w:pPr>
      <w:keepNext/>
      <w:keepLines/>
      <w:spacing w:after="120" w:line="360" w:lineRule="auto"/>
      <w:jc w:val="left"/>
      <w:outlineLvl w:val="0"/>
    </w:pPr>
    <w:rPr>
      <w:kern w:val="44"/>
      <w:sz w:val="28"/>
      <w:szCs w:val="28"/>
    </w:rPr>
  </w:style>
  <w:style w:type="paragraph" w:styleId="4">
    <w:name w:val="heading 2"/>
    <w:basedOn w:val="1"/>
    <w:next w:val="5"/>
    <w:link w:val="73"/>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6"/>
    <w:next w:val="8"/>
    <w:link w:val="66"/>
    <w:qFormat/>
    <w:uiPriority w:val="0"/>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9">
    <w:name w:val="heading 5"/>
    <w:basedOn w:val="7"/>
    <w:next w:val="8"/>
    <w:link w:val="67"/>
    <w:qFormat/>
    <w:uiPriority w:val="0"/>
    <w:pPr>
      <w:spacing w:line="240" w:lineRule="exact"/>
      <w:ind w:left="0" w:firstLine="0"/>
      <w:outlineLvl w:val="4"/>
    </w:pPr>
  </w:style>
  <w:style w:type="paragraph" w:styleId="10">
    <w:name w:val="heading 7"/>
    <w:basedOn w:val="1"/>
    <w:next w:val="8"/>
    <w:link w:val="68"/>
    <w:qFormat/>
    <w:uiPriority w:val="0"/>
    <w:pPr>
      <w:keepNext/>
      <w:keepLines/>
      <w:spacing w:line="320" w:lineRule="auto"/>
      <w:outlineLvl w:val="6"/>
    </w:pPr>
    <w:rPr>
      <w:b/>
      <w:sz w:val="24"/>
      <w:szCs w:val="20"/>
    </w:rPr>
  </w:style>
  <w:style w:type="paragraph" w:styleId="11">
    <w:name w:val="heading 8"/>
    <w:basedOn w:val="1"/>
    <w:next w:val="8"/>
    <w:link w:val="69"/>
    <w:qFormat/>
    <w:uiPriority w:val="0"/>
    <w:pPr>
      <w:keepNext/>
      <w:keepLines/>
      <w:spacing w:line="320" w:lineRule="auto"/>
      <w:outlineLvl w:val="7"/>
    </w:pPr>
    <w:rPr>
      <w:rFonts w:ascii="Arial" w:hAnsi="Arial" w:eastAsia="黑体"/>
      <w:sz w:val="24"/>
      <w:szCs w:val="20"/>
    </w:rPr>
  </w:style>
  <w:style w:type="paragraph" w:styleId="12">
    <w:name w:val="heading 9"/>
    <w:basedOn w:val="1"/>
    <w:next w:val="8"/>
    <w:link w:val="70"/>
    <w:qFormat/>
    <w:uiPriority w:val="0"/>
    <w:pPr>
      <w:keepNext/>
      <w:keepLines/>
      <w:spacing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120" w:after="60"/>
      <w:jc w:val="center"/>
    </w:pPr>
    <w:rPr>
      <w:rFonts w:ascii="Arial" w:hAnsi="Arial"/>
      <w:b/>
      <w:kern w:val="0"/>
      <w:sz w:val="44"/>
      <w:szCs w:val="20"/>
    </w:rPr>
  </w:style>
  <w:style w:type="paragraph" w:styleId="5">
    <w:name w:val="Normal Indent"/>
    <w:basedOn w:val="1"/>
    <w:qFormat/>
    <w:uiPriority w:val="0"/>
    <w:pPr>
      <w:ind w:firstLine="420"/>
    </w:pPr>
    <w:rPr>
      <w:szCs w:val="20"/>
    </w:rPr>
  </w:style>
  <w:style w:type="paragraph" w:customStyle="1" w:styleId="8">
    <w:name w:val="Normal Indent1"/>
    <w:basedOn w:val="1"/>
    <w:qFormat/>
    <w:uiPriority w:val="0"/>
    <w:pPr>
      <w:ind w:firstLine="420" w:firstLineChars="200"/>
    </w:pPr>
    <w:rPr>
      <w:sz w:val="30"/>
      <w:szCs w:val="24"/>
    </w:rPr>
  </w:style>
  <w:style w:type="paragraph" w:styleId="13">
    <w:name w:val="annotation text"/>
    <w:basedOn w:val="1"/>
    <w:link w:val="63"/>
    <w:qFormat/>
    <w:uiPriority w:val="0"/>
    <w:pPr>
      <w:spacing w:line="360" w:lineRule="auto"/>
      <w:ind w:firstLine="523" w:firstLineChars="218"/>
      <w:jc w:val="left"/>
    </w:pPr>
    <w:rPr>
      <w:rFonts w:ascii="宋体" w:hAnsi="宋体"/>
      <w:kern w:val="0"/>
      <w:sz w:val="24"/>
      <w:szCs w:val="24"/>
    </w:rPr>
  </w:style>
  <w:style w:type="paragraph" w:styleId="14">
    <w:name w:val="Body Text"/>
    <w:basedOn w:val="1"/>
    <w:next w:val="15"/>
    <w:link w:val="74"/>
    <w:qFormat/>
    <w:uiPriority w:val="0"/>
    <w:pPr>
      <w:spacing w:after="120"/>
    </w:pPr>
    <w:rPr>
      <w:kern w:val="0"/>
      <w:sz w:val="20"/>
      <w:szCs w:val="20"/>
    </w:rPr>
  </w:style>
  <w:style w:type="paragraph" w:styleId="15">
    <w:name w:val="Body Text Indent"/>
    <w:basedOn w:val="1"/>
    <w:link w:val="75"/>
    <w:qFormat/>
    <w:uiPriority w:val="0"/>
    <w:pPr>
      <w:ind w:firstLine="570"/>
    </w:pPr>
    <w:rPr>
      <w:kern w:val="0"/>
      <w:sz w:val="28"/>
      <w:szCs w:val="20"/>
    </w:rPr>
  </w:style>
  <w:style w:type="paragraph" w:styleId="16">
    <w:name w:val="toc 3"/>
    <w:basedOn w:val="1"/>
    <w:next w:val="1"/>
    <w:qFormat/>
    <w:uiPriority w:val="0"/>
    <w:pPr>
      <w:snapToGrid w:val="0"/>
      <w:spacing w:line="360" w:lineRule="auto"/>
      <w:ind w:left="400" w:leftChars="400"/>
      <w:jc w:val="left"/>
    </w:pPr>
    <w:rPr>
      <w:sz w:val="24"/>
      <w:szCs w:val="20"/>
    </w:rPr>
  </w:style>
  <w:style w:type="paragraph" w:styleId="17">
    <w:name w:val="Plain Text"/>
    <w:basedOn w:val="1"/>
    <w:link w:val="76"/>
    <w:qFormat/>
    <w:uiPriority w:val="0"/>
    <w:rPr>
      <w:rFonts w:ascii="宋体" w:hAnsi="Courier New"/>
      <w:kern w:val="0"/>
      <w:sz w:val="20"/>
      <w:szCs w:val="20"/>
    </w:rPr>
  </w:style>
  <w:style w:type="paragraph" w:styleId="18">
    <w:name w:val="Date"/>
    <w:basedOn w:val="1"/>
    <w:next w:val="1"/>
    <w:qFormat/>
    <w:uiPriority w:val="99"/>
    <w:rPr>
      <w:kern w:val="0"/>
      <w:sz w:val="20"/>
      <w:szCs w:val="20"/>
    </w:rPr>
  </w:style>
  <w:style w:type="paragraph" w:styleId="19">
    <w:name w:val="Body Text Indent 2"/>
    <w:basedOn w:val="1"/>
    <w:link w:val="71"/>
    <w:qFormat/>
    <w:uiPriority w:val="0"/>
    <w:pPr>
      <w:spacing w:line="480" w:lineRule="auto"/>
      <w:ind w:left="420" w:leftChars="200"/>
    </w:pPr>
    <w:rPr>
      <w:sz w:val="30"/>
      <w:szCs w:val="24"/>
    </w:rPr>
  </w:style>
  <w:style w:type="paragraph" w:styleId="20">
    <w:name w:val="Balloon Text"/>
    <w:basedOn w:val="1"/>
    <w:link w:val="65"/>
    <w:qFormat/>
    <w:uiPriority w:val="0"/>
    <w:rPr>
      <w:sz w:val="18"/>
      <w:szCs w:val="18"/>
    </w:rPr>
  </w:style>
  <w:style w:type="paragraph" w:styleId="21">
    <w:name w:val="footer"/>
    <w:basedOn w:val="1"/>
    <w:link w:val="77"/>
    <w:unhideWhenUsed/>
    <w:qFormat/>
    <w:uiPriority w:val="0"/>
    <w:pPr>
      <w:tabs>
        <w:tab w:val="center" w:pos="4153"/>
        <w:tab w:val="right" w:pos="8306"/>
      </w:tabs>
      <w:snapToGrid w:val="0"/>
      <w:jc w:val="left"/>
    </w:pPr>
    <w:rPr>
      <w:rFonts w:ascii="Calibri" w:hAnsi="Calibri"/>
      <w:kern w:val="0"/>
      <w:sz w:val="18"/>
      <w:szCs w:val="18"/>
    </w:rPr>
  </w:style>
  <w:style w:type="paragraph" w:styleId="22">
    <w:name w:val="header"/>
    <w:basedOn w:val="1"/>
    <w:link w:val="78"/>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4">
    <w:name w:val="Body Text Indent 3"/>
    <w:basedOn w:val="1"/>
    <w:link w:val="72"/>
    <w:qFormat/>
    <w:uiPriority w:val="0"/>
    <w:pPr>
      <w:ind w:left="420" w:leftChars="200"/>
    </w:pPr>
    <w:rPr>
      <w:sz w:val="16"/>
      <w:szCs w:val="16"/>
    </w:rPr>
  </w:style>
  <w:style w:type="paragraph" w:styleId="25">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26">
    <w:name w:val="Body Text 2"/>
    <w:basedOn w:val="1"/>
    <w:qFormat/>
    <w:uiPriority w:val="0"/>
    <w:rPr>
      <w:rFonts w:ascii="宋体" w:hAnsi="宋体"/>
      <w:kern w:val="0"/>
      <w:sz w:val="20"/>
      <w:szCs w:val="24"/>
      <w:u w:val="single"/>
    </w:rPr>
  </w:style>
  <w:style w:type="paragraph" w:styleId="27">
    <w:name w:val="annotation subject"/>
    <w:basedOn w:val="13"/>
    <w:next w:val="13"/>
    <w:link w:val="64"/>
    <w:qFormat/>
    <w:uiPriority w:val="0"/>
    <w:pPr>
      <w:spacing w:line="240" w:lineRule="auto"/>
      <w:ind w:firstLine="0" w:firstLineChars="0"/>
    </w:pPr>
    <w:rPr>
      <w:rFonts w:ascii="Times New Roman" w:hAnsi="Times New Roman"/>
      <w:b/>
      <w:bCs/>
      <w:kern w:val="2"/>
      <w:sz w:val="21"/>
      <w:szCs w:val="22"/>
    </w:rPr>
  </w:style>
  <w:style w:type="paragraph" w:styleId="28">
    <w:name w:val="Body Text First Indent"/>
    <w:basedOn w:val="14"/>
    <w:link w:val="79"/>
    <w:qFormat/>
    <w:uiPriority w:val="0"/>
    <w:pPr>
      <w:ind w:firstLine="420"/>
    </w:pPr>
  </w:style>
  <w:style w:type="paragraph" w:styleId="29">
    <w:name w:val="Body Text First Indent 2"/>
    <w:basedOn w:val="15"/>
    <w:unhideWhenUsed/>
    <w:qFormat/>
    <w:uiPriority w:val="0"/>
    <w:pPr>
      <w:ind w:firstLine="420" w:firstLineChars="200"/>
    </w:pPr>
    <w:rPr>
      <w:sz w:val="21"/>
    </w:rPr>
  </w:style>
  <w:style w:type="character" w:styleId="32">
    <w:name w:val="Strong"/>
    <w:basedOn w:val="31"/>
    <w:qFormat/>
    <w:uiPriority w:val="0"/>
    <w:rPr>
      <w:b/>
    </w:rPr>
  </w:style>
  <w:style w:type="character" w:styleId="33">
    <w:name w:val="page number"/>
    <w:basedOn w:val="31"/>
    <w:qFormat/>
    <w:uiPriority w:val="0"/>
    <w:rPr>
      <w:rFonts w:cs="Times New Roman"/>
    </w:rPr>
  </w:style>
  <w:style w:type="character" w:styleId="34">
    <w:name w:val="Hyperlink"/>
    <w:qFormat/>
    <w:uiPriority w:val="0"/>
    <w:rPr>
      <w:color w:val="0000FF"/>
      <w:u w:val="single"/>
    </w:rPr>
  </w:style>
  <w:style w:type="character" w:styleId="35">
    <w:name w:val="annotation reference"/>
    <w:basedOn w:val="31"/>
    <w:qFormat/>
    <w:uiPriority w:val="0"/>
    <w:rPr>
      <w:sz w:val="21"/>
      <w:szCs w:val="21"/>
    </w:rPr>
  </w:style>
  <w:style w:type="character" w:customStyle="1" w:styleId="36">
    <w:name w:val="font51"/>
    <w:qFormat/>
    <w:uiPriority w:val="0"/>
    <w:rPr>
      <w:rFonts w:hint="eastAsia" w:ascii="宋体" w:hAnsi="宋体" w:eastAsia="宋体"/>
      <w:color w:val="000000"/>
      <w:sz w:val="24"/>
      <w:szCs w:val="24"/>
      <w:u w:val="none"/>
    </w:rPr>
  </w:style>
  <w:style w:type="character" w:customStyle="1" w:styleId="37">
    <w:name w:val="font11"/>
    <w:basedOn w:val="31"/>
    <w:qFormat/>
    <w:uiPriority w:val="0"/>
    <w:rPr>
      <w:rFonts w:hint="eastAsia" w:ascii="宋体" w:hAnsi="宋体" w:eastAsia="宋体"/>
      <w:color w:val="000000"/>
      <w:sz w:val="24"/>
      <w:szCs w:val="24"/>
      <w:u w:val="single"/>
    </w:rPr>
  </w:style>
  <w:style w:type="paragraph" w:customStyle="1" w:styleId="38">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39">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0">
    <w:name w:val="正文文本缩进 New New"/>
    <w:basedOn w:val="1"/>
    <w:qFormat/>
    <w:uiPriority w:val="0"/>
    <w:pPr>
      <w:spacing w:after="120"/>
      <w:ind w:left="420" w:leftChars="200"/>
    </w:pPr>
    <w:rPr>
      <w:rFonts w:eastAsia="楷体_GB2312"/>
      <w:szCs w:val="20"/>
    </w:rPr>
  </w:style>
  <w:style w:type="paragraph" w:customStyle="1" w:styleId="41">
    <w:name w:val="表头"/>
    <w:basedOn w:val="1"/>
    <w:qFormat/>
    <w:uiPriority w:val="0"/>
    <w:pPr>
      <w:spacing w:line="360" w:lineRule="auto"/>
      <w:jc w:val="center"/>
    </w:pPr>
    <w:rPr>
      <w:rFonts w:ascii="黑体" w:eastAsia="黑体"/>
      <w:kern w:val="0"/>
      <w:sz w:val="24"/>
      <w:szCs w:val="20"/>
    </w:rPr>
  </w:style>
  <w:style w:type="paragraph" w:customStyle="1" w:styleId="42">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3">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4">
    <w:name w:val="正题"/>
    <w:basedOn w:val="43"/>
    <w:next w:val="43"/>
    <w:qFormat/>
    <w:uiPriority w:val="0"/>
    <w:pPr>
      <w:ind w:firstLine="0" w:firstLineChars="0"/>
      <w:jc w:val="center"/>
    </w:pPr>
    <w:rPr>
      <w:rFonts w:eastAsia="黑体"/>
      <w:b/>
      <w:sz w:val="36"/>
      <w:szCs w:val="36"/>
    </w:rPr>
  </w:style>
  <w:style w:type="character" w:customStyle="1" w:styleId="45">
    <w:name w:val="标题 1 Char"/>
    <w:link w:val="2"/>
    <w:qFormat/>
    <w:uiPriority w:val="0"/>
    <w:rPr>
      <w:kern w:val="44"/>
      <w:sz w:val="28"/>
      <w:szCs w:val="28"/>
    </w:rPr>
  </w:style>
  <w:style w:type="paragraph" w:customStyle="1" w:styleId="46">
    <w:name w:val="样式 宋体 四号 首行缩进:  2 字符"/>
    <w:basedOn w:val="1"/>
    <w:qFormat/>
    <w:uiPriority w:val="0"/>
    <w:pPr>
      <w:widowControl/>
    </w:pPr>
    <w:rPr>
      <w:rFonts w:cs="宋体"/>
      <w:color w:val="000000"/>
      <w:kern w:val="0"/>
      <w:szCs w:val="20"/>
    </w:rPr>
  </w:style>
  <w:style w:type="paragraph" w:styleId="47">
    <w:name w:val="No Spacing"/>
    <w:basedOn w:val="1"/>
    <w:qFormat/>
    <w:uiPriority w:val="0"/>
    <w:rPr>
      <w:sz w:val="22"/>
      <w:szCs w:val="20"/>
    </w:rPr>
  </w:style>
  <w:style w:type="paragraph" w:customStyle="1" w:styleId="48">
    <w:name w:val="PlainText"/>
    <w:basedOn w:val="1"/>
    <w:qFormat/>
    <w:uiPriority w:val="0"/>
    <w:rPr>
      <w:rFonts w:ascii="宋体" w:hAnsi="Courier New"/>
      <w:kern w:val="0"/>
      <w:sz w:val="20"/>
      <w:szCs w:val="20"/>
    </w:rPr>
  </w:style>
  <w:style w:type="paragraph" w:customStyle="1" w:styleId="49">
    <w:name w:val="章节三"/>
    <w:basedOn w:val="43"/>
    <w:next w:val="1"/>
    <w:qFormat/>
    <w:uiPriority w:val="0"/>
    <w:pPr>
      <w:spacing w:beforeLines="50" w:line="240" w:lineRule="auto"/>
      <w:ind w:firstLine="0" w:firstLineChars="0"/>
      <w:jc w:val="left"/>
      <w:outlineLvl w:val="2"/>
    </w:pPr>
    <w:rPr>
      <w:rFonts w:ascii="黑体" w:eastAsia="黑体"/>
      <w:b/>
    </w:rPr>
  </w:style>
  <w:style w:type="paragraph" w:customStyle="1" w:styleId="50">
    <w:name w:val="封二"/>
    <w:basedOn w:val="43"/>
    <w:next w:val="43"/>
    <w:qFormat/>
    <w:uiPriority w:val="0"/>
    <w:pPr>
      <w:ind w:firstLine="0" w:firstLineChars="0"/>
      <w:jc w:val="center"/>
    </w:pPr>
    <w:rPr>
      <w:rFonts w:eastAsia="黑体"/>
      <w:b/>
      <w:sz w:val="36"/>
      <w:szCs w:val="36"/>
    </w:rPr>
  </w:style>
  <w:style w:type="paragraph" w:customStyle="1" w:styleId="51">
    <w:name w:val="封一"/>
    <w:basedOn w:val="43"/>
    <w:next w:val="43"/>
    <w:qFormat/>
    <w:uiPriority w:val="0"/>
    <w:pPr>
      <w:ind w:firstLine="0" w:firstLineChars="0"/>
      <w:jc w:val="center"/>
    </w:pPr>
    <w:rPr>
      <w:rFonts w:eastAsia="黑体"/>
      <w:b/>
      <w:sz w:val="84"/>
      <w:szCs w:val="84"/>
    </w:rPr>
  </w:style>
  <w:style w:type="paragraph" w:customStyle="1" w:styleId="52">
    <w:name w:val="封四"/>
    <w:basedOn w:val="43"/>
    <w:next w:val="43"/>
    <w:qFormat/>
    <w:uiPriority w:val="0"/>
    <w:pPr>
      <w:jc w:val="left"/>
    </w:pPr>
    <w:rPr>
      <w:sz w:val="30"/>
      <w:szCs w:val="30"/>
    </w:rPr>
  </w:style>
  <w:style w:type="paragraph" w:customStyle="1" w:styleId="53">
    <w:name w:val="正文文本缩进1"/>
    <w:basedOn w:val="1"/>
    <w:qFormat/>
    <w:uiPriority w:val="0"/>
    <w:pPr>
      <w:ind w:firstLine="480"/>
    </w:pPr>
    <w:rPr>
      <w:sz w:val="24"/>
      <w:szCs w:val="20"/>
    </w:rPr>
  </w:style>
  <w:style w:type="paragraph" w:customStyle="1" w:styleId="54">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0">
    <w:name w:val="正文缩进 New"/>
    <w:basedOn w:val="59"/>
    <w:qFormat/>
    <w:uiPriority w:val="0"/>
    <w:pPr>
      <w:ind w:firstLine="420"/>
    </w:pPr>
    <w:rPr>
      <w:rFonts w:ascii="Times New Roman" w:hAnsi="Times New Roman" w:cs="Times New Roman"/>
      <w:snapToGrid/>
      <w:kern w:val="2"/>
      <w:szCs w:val="20"/>
    </w:rPr>
  </w:style>
  <w:style w:type="paragraph" w:customStyle="1" w:styleId="61">
    <w:name w:val="正文文本缩进11"/>
    <w:basedOn w:val="1"/>
    <w:qFormat/>
    <w:uiPriority w:val="0"/>
    <w:pPr>
      <w:ind w:firstLine="480"/>
    </w:pPr>
    <w:rPr>
      <w:sz w:val="24"/>
      <w:szCs w:val="20"/>
    </w:rPr>
  </w:style>
  <w:style w:type="paragraph" w:customStyle="1" w:styleId="62">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3">
    <w:name w:val="批注文字 Char"/>
    <w:basedOn w:val="31"/>
    <w:link w:val="13"/>
    <w:qFormat/>
    <w:uiPriority w:val="0"/>
    <w:rPr>
      <w:rFonts w:ascii="宋体" w:hAnsi="宋体"/>
      <w:sz w:val="24"/>
      <w:szCs w:val="24"/>
    </w:rPr>
  </w:style>
  <w:style w:type="character" w:customStyle="1" w:styleId="64">
    <w:name w:val="批注主题 Char"/>
    <w:basedOn w:val="63"/>
    <w:link w:val="27"/>
    <w:qFormat/>
    <w:uiPriority w:val="0"/>
    <w:rPr>
      <w:rFonts w:ascii="宋体" w:hAnsi="宋体"/>
      <w:sz w:val="24"/>
      <w:szCs w:val="24"/>
    </w:rPr>
  </w:style>
  <w:style w:type="character" w:customStyle="1" w:styleId="65">
    <w:name w:val="批注框文本 Char"/>
    <w:basedOn w:val="31"/>
    <w:link w:val="20"/>
    <w:qFormat/>
    <w:uiPriority w:val="0"/>
    <w:rPr>
      <w:kern w:val="2"/>
      <w:sz w:val="18"/>
      <w:szCs w:val="18"/>
    </w:rPr>
  </w:style>
  <w:style w:type="character" w:customStyle="1" w:styleId="66">
    <w:name w:val="标题 4 Char"/>
    <w:basedOn w:val="31"/>
    <w:link w:val="7"/>
    <w:qFormat/>
    <w:uiPriority w:val="0"/>
    <w:rPr>
      <w:rFonts w:ascii="Arial" w:hAnsi="Arial"/>
      <w:color w:val="000000"/>
      <w:kern w:val="2"/>
      <w:sz w:val="24"/>
      <w:szCs w:val="24"/>
    </w:rPr>
  </w:style>
  <w:style w:type="character" w:customStyle="1" w:styleId="67">
    <w:name w:val="标题 5 Char"/>
    <w:basedOn w:val="31"/>
    <w:link w:val="9"/>
    <w:qFormat/>
    <w:uiPriority w:val="0"/>
    <w:rPr>
      <w:rFonts w:ascii="Arial" w:hAnsi="Arial"/>
      <w:color w:val="000000"/>
      <w:kern w:val="2"/>
      <w:sz w:val="24"/>
      <w:szCs w:val="24"/>
    </w:rPr>
  </w:style>
  <w:style w:type="character" w:customStyle="1" w:styleId="68">
    <w:name w:val="标题 7 Char"/>
    <w:basedOn w:val="31"/>
    <w:link w:val="10"/>
    <w:qFormat/>
    <w:uiPriority w:val="0"/>
    <w:rPr>
      <w:b/>
      <w:kern w:val="2"/>
      <w:sz w:val="24"/>
    </w:rPr>
  </w:style>
  <w:style w:type="character" w:customStyle="1" w:styleId="69">
    <w:name w:val="标题 8 Char"/>
    <w:basedOn w:val="31"/>
    <w:link w:val="11"/>
    <w:qFormat/>
    <w:uiPriority w:val="0"/>
    <w:rPr>
      <w:rFonts w:ascii="Arial" w:hAnsi="Arial" w:eastAsia="黑体"/>
      <w:kern w:val="2"/>
      <w:sz w:val="24"/>
    </w:rPr>
  </w:style>
  <w:style w:type="character" w:customStyle="1" w:styleId="70">
    <w:name w:val="标题 9 Char"/>
    <w:basedOn w:val="31"/>
    <w:link w:val="12"/>
    <w:qFormat/>
    <w:uiPriority w:val="0"/>
    <w:rPr>
      <w:rFonts w:ascii="Arial" w:hAnsi="Arial" w:eastAsia="黑体"/>
      <w:kern w:val="2"/>
      <w:sz w:val="21"/>
    </w:rPr>
  </w:style>
  <w:style w:type="character" w:customStyle="1" w:styleId="71">
    <w:name w:val="正文文本缩进 2 Char"/>
    <w:basedOn w:val="31"/>
    <w:link w:val="19"/>
    <w:qFormat/>
    <w:uiPriority w:val="0"/>
    <w:rPr>
      <w:kern w:val="2"/>
      <w:sz w:val="30"/>
      <w:szCs w:val="24"/>
    </w:rPr>
  </w:style>
  <w:style w:type="character" w:customStyle="1" w:styleId="72">
    <w:name w:val="正文文本缩进 3 Char"/>
    <w:basedOn w:val="31"/>
    <w:link w:val="24"/>
    <w:qFormat/>
    <w:uiPriority w:val="0"/>
    <w:rPr>
      <w:kern w:val="2"/>
      <w:sz w:val="16"/>
      <w:szCs w:val="16"/>
    </w:rPr>
  </w:style>
  <w:style w:type="character" w:customStyle="1" w:styleId="73">
    <w:name w:val="标题 2 Char"/>
    <w:link w:val="4"/>
    <w:qFormat/>
    <w:uiPriority w:val="0"/>
    <w:rPr>
      <w:rFonts w:ascii="Arial" w:hAnsi="Arial"/>
      <w:b/>
      <w:color w:val="000000"/>
      <w:sz w:val="24"/>
      <w:szCs w:val="24"/>
    </w:rPr>
  </w:style>
  <w:style w:type="character" w:customStyle="1" w:styleId="74">
    <w:name w:val="正文文本 Char"/>
    <w:link w:val="14"/>
    <w:qFormat/>
    <w:uiPriority w:val="0"/>
  </w:style>
  <w:style w:type="character" w:customStyle="1" w:styleId="75">
    <w:name w:val="正文文本缩进 Char"/>
    <w:link w:val="15"/>
    <w:qFormat/>
    <w:uiPriority w:val="0"/>
    <w:rPr>
      <w:sz w:val="28"/>
    </w:rPr>
  </w:style>
  <w:style w:type="character" w:customStyle="1" w:styleId="76">
    <w:name w:val="纯文本 Char"/>
    <w:link w:val="17"/>
    <w:qFormat/>
    <w:uiPriority w:val="0"/>
    <w:rPr>
      <w:rFonts w:ascii="宋体" w:hAnsi="Courier New"/>
    </w:rPr>
  </w:style>
  <w:style w:type="character" w:customStyle="1" w:styleId="77">
    <w:name w:val="页脚 Char"/>
    <w:link w:val="21"/>
    <w:qFormat/>
    <w:uiPriority w:val="0"/>
    <w:rPr>
      <w:rFonts w:ascii="Calibri" w:hAnsi="Calibri"/>
      <w:sz w:val="18"/>
      <w:szCs w:val="18"/>
    </w:rPr>
  </w:style>
  <w:style w:type="character" w:customStyle="1" w:styleId="78">
    <w:name w:val="页眉 Char"/>
    <w:link w:val="22"/>
    <w:qFormat/>
    <w:uiPriority w:val="0"/>
    <w:rPr>
      <w:rFonts w:ascii="Calibri" w:hAnsi="Calibri"/>
      <w:sz w:val="18"/>
      <w:szCs w:val="18"/>
    </w:rPr>
  </w:style>
  <w:style w:type="character" w:customStyle="1" w:styleId="79">
    <w:name w:val="正文首行缩进 Char"/>
    <w:basedOn w:val="74"/>
    <w:link w:val="28"/>
    <w:qFormat/>
    <w:uiPriority w:val="0"/>
  </w:style>
  <w:style w:type="character" w:customStyle="1" w:styleId="80">
    <w:name w:val="标题 3 Char Char"/>
    <w:qFormat/>
    <w:uiPriority w:val="0"/>
    <w:rPr>
      <w:rFonts w:ascii="宋体" w:hAnsi="宋体" w:eastAsia="宋体"/>
      <w:b/>
      <w:bCs/>
      <w:color w:val="FF0000"/>
      <w:kern w:val="2"/>
      <w:sz w:val="24"/>
      <w:szCs w:val="24"/>
      <w:lang w:val="zh-CN" w:eastAsia="zh-CN" w:bidi="ar-SA"/>
    </w:rPr>
  </w:style>
  <w:style w:type="character" w:customStyle="1" w:styleId="81">
    <w:name w:val="页码1"/>
    <w:basedOn w:val="31"/>
    <w:qFormat/>
    <w:uiPriority w:val="0"/>
  </w:style>
  <w:style w:type="paragraph" w:customStyle="1" w:styleId="82">
    <w:name w:val="Char Char Char Char"/>
    <w:basedOn w:val="83"/>
    <w:qFormat/>
    <w:uiPriority w:val="0"/>
    <w:rPr>
      <w:rFonts w:ascii="Tahoma" w:hAnsi="Tahoma"/>
      <w:sz w:val="24"/>
    </w:rPr>
  </w:style>
  <w:style w:type="paragraph" w:customStyle="1" w:styleId="83">
    <w:name w:val="文档结构图1"/>
    <w:basedOn w:val="1"/>
    <w:qFormat/>
    <w:uiPriority w:val="0"/>
    <w:pPr>
      <w:shd w:val="clear" w:color="auto" w:fill="000080"/>
    </w:pPr>
    <w:rPr>
      <w:sz w:val="30"/>
      <w:szCs w:val="24"/>
    </w:rPr>
  </w:style>
  <w:style w:type="paragraph" w:customStyle="1" w:styleId="8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_Style 46"/>
    <w:qFormat/>
    <w:uiPriority w:val="0"/>
    <w:rPr>
      <w:rFonts w:ascii="Times New Roman" w:hAnsi="Times New Roman" w:eastAsia="宋体" w:cs="Times New Roman"/>
      <w:kern w:val="2"/>
      <w:sz w:val="30"/>
      <w:szCs w:val="24"/>
      <w:lang w:val="en-US" w:eastAsia="zh-CN" w:bidi="ar-SA"/>
    </w:rPr>
  </w:style>
  <w:style w:type="paragraph" w:customStyle="1" w:styleId="86">
    <w:name w:val="页脚 New"/>
    <w:basedOn w:val="87"/>
    <w:qFormat/>
    <w:uiPriority w:val="0"/>
    <w:pPr>
      <w:tabs>
        <w:tab w:val="center" w:pos="4153"/>
        <w:tab w:val="right" w:pos="8306"/>
      </w:tabs>
      <w:snapToGrid w:val="0"/>
      <w:jc w:val="left"/>
    </w:pPr>
    <w:rPr>
      <w:sz w:val="18"/>
    </w:rPr>
  </w:style>
  <w:style w:type="paragraph" w:customStyle="1" w:styleId="8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正文首行缩进1"/>
    <w:basedOn w:val="14"/>
    <w:qFormat/>
    <w:uiPriority w:val="0"/>
    <w:pPr>
      <w:spacing w:after="0"/>
      <w:ind w:firstLine="420" w:firstLineChars="100"/>
    </w:pPr>
    <w:rPr>
      <w:kern w:val="2"/>
      <w:sz w:val="30"/>
      <w:szCs w:val="24"/>
    </w:rPr>
  </w:style>
  <w:style w:type="paragraph" w:customStyle="1" w:styleId="89">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标题 2 New"/>
    <w:basedOn w:val="59"/>
    <w:next w:val="59"/>
    <w:qFormat/>
    <w:uiPriority w:val="0"/>
    <w:pPr>
      <w:keepNext/>
      <w:keepLines/>
      <w:spacing w:line="416" w:lineRule="auto"/>
      <w:outlineLvl w:val="1"/>
    </w:pPr>
    <w:rPr>
      <w:rFonts w:ascii="Arial" w:hAnsi="Arial" w:eastAsia="仿宋_GB2312"/>
      <w:b/>
      <w:bCs/>
      <w:sz w:val="32"/>
    </w:rPr>
  </w:style>
  <w:style w:type="paragraph" w:customStyle="1" w:styleId="92">
    <w:name w:val="正文文本 New"/>
    <w:basedOn w:val="38"/>
    <w:qFormat/>
    <w:uiPriority w:val="0"/>
    <w:rPr>
      <w:rFonts w:eastAsia="宋体"/>
      <w:kern w:val="2"/>
      <w:sz w:val="30"/>
      <w:szCs w:val="24"/>
    </w:rPr>
  </w:style>
  <w:style w:type="paragraph" w:customStyle="1" w:styleId="93">
    <w:name w:val="页眉 New"/>
    <w:basedOn w:val="87"/>
    <w:qFormat/>
    <w:uiPriority w:val="0"/>
    <w:pPr>
      <w:pBdr>
        <w:bottom w:val="single" w:color="auto" w:sz="6" w:space="1"/>
      </w:pBdr>
      <w:tabs>
        <w:tab w:val="center" w:pos="4153"/>
        <w:tab w:val="right" w:pos="8306"/>
      </w:tabs>
      <w:snapToGrid w:val="0"/>
      <w:jc w:val="center"/>
    </w:pPr>
    <w:rPr>
      <w:sz w:val="18"/>
    </w:rPr>
  </w:style>
  <w:style w:type="paragraph" w:customStyle="1" w:styleId="94">
    <w:name w:val="Char1 Char Char Char Char Char Char1"/>
    <w:basedOn w:val="56"/>
    <w:qFormat/>
    <w:uiPriority w:val="0"/>
  </w:style>
  <w:style w:type="paragraph" w:customStyle="1" w:styleId="95">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1 Char Char Char Char Char Char1 Char Char Char"/>
    <w:basedOn w:val="1"/>
    <w:qFormat/>
    <w:uiPriority w:val="0"/>
    <w:rPr>
      <w:sz w:val="30"/>
      <w:szCs w:val="24"/>
    </w:rPr>
  </w:style>
  <w:style w:type="paragraph" w:customStyle="1" w:styleId="100">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纯文本 New"/>
    <w:basedOn w:val="38"/>
    <w:qFormat/>
    <w:uiPriority w:val="0"/>
    <w:rPr>
      <w:rFonts w:ascii="宋体" w:hAnsi="Courier New" w:eastAsia="宋体"/>
      <w:kern w:val="2"/>
      <w:sz w:val="24"/>
    </w:rPr>
  </w:style>
  <w:style w:type="paragraph" w:customStyle="1" w:styleId="10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首行缩进 New"/>
    <w:basedOn w:val="92"/>
    <w:qFormat/>
    <w:uiPriority w:val="0"/>
    <w:pPr>
      <w:ind w:firstLine="420" w:firstLineChars="100"/>
    </w:pPr>
  </w:style>
  <w:style w:type="paragraph" w:customStyle="1" w:styleId="108">
    <w:name w:val="页眉 New New"/>
    <w:basedOn w:val="104"/>
    <w:qFormat/>
    <w:uiPriority w:val="0"/>
    <w:pPr>
      <w:pBdr>
        <w:bottom w:val="single" w:color="auto" w:sz="6" w:space="1"/>
      </w:pBdr>
      <w:tabs>
        <w:tab w:val="center" w:pos="4153"/>
        <w:tab w:val="right" w:pos="8306"/>
      </w:tabs>
      <w:snapToGrid w:val="0"/>
      <w:jc w:val="center"/>
    </w:pPr>
    <w:rPr>
      <w:sz w:val="18"/>
    </w:rPr>
  </w:style>
  <w:style w:type="paragraph" w:customStyle="1" w:styleId="10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1">
    <w:name w:val="Char"/>
    <w:basedOn w:val="1"/>
    <w:qFormat/>
    <w:uiPriority w:val="0"/>
    <w:pPr>
      <w:widowControl/>
      <w:spacing w:line="240" w:lineRule="exact"/>
      <w:jc w:val="left"/>
    </w:pPr>
    <w:rPr>
      <w:sz w:val="30"/>
      <w:szCs w:val="24"/>
    </w:rPr>
  </w:style>
  <w:style w:type="paragraph" w:customStyle="1" w:styleId="11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7">
    <w:name w:val="纯文本1"/>
    <w:basedOn w:val="1"/>
    <w:qFormat/>
    <w:uiPriority w:val="0"/>
    <w:rPr>
      <w:rFonts w:ascii="宋体" w:hAnsi="Courier New"/>
      <w:sz w:val="24"/>
      <w:szCs w:val="20"/>
    </w:rPr>
  </w:style>
  <w:style w:type="paragraph" w:customStyle="1" w:styleId="118">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页脚 New New"/>
    <w:basedOn w:val="104"/>
    <w:qFormat/>
    <w:uiPriority w:val="0"/>
    <w:pPr>
      <w:tabs>
        <w:tab w:val="center" w:pos="4153"/>
        <w:tab w:val="right" w:pos="8306"/>
      </w:tabs>
      <w:snapToGrid w:val="0"/>
      <w:jc w:val="left"/>
    </w:pPr>
    <w:rPr>
      <w:sz w:val="18"/>
    </w:rPr>
  </w:style>
  <w:style w:type="paragraph" w:customStyle="1" w:styleId="123">
    <w:name w:val="正文文本缩进 21"/>
    <w:basedOn w:val="1"/>
    <w:qFormat/>
    <w:uiPriority w:val="0"/>
    <w:pPr>
      <w:spacing w:line="420" w:lineRule="exact"/>
      <w:ind w:firstLine="480"/>
    </w:pPr>
    <w:rPr>
      <w:b/>
      <w:sz w:val="24"/>
      <w:szCs w:val="20"/>
    </w:rPr>
  </w:style>
  <w:style w:type="paragraph" w:customStyle="1" w:styleId="12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2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emf"/><Relationship Id="rId24" Type="http://schemas.openxmlformats.org/officeDocument/2006/relationships/image" Target="media/image4.emf"/><Relationship Id="rId23" Type="http://schemas.openxmlformats.org/officeDocument/2006/relationships/image" Target="media/image3.emf"/><Relationship Id="rId22" Type="http://schemas.openxmlformats.org/officeDocument/2006/relationships/image" Target="media/image2.emf"/><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161</Pages>
  <Words>349</Words>
  <Characters>376</Characters>
  <Lines>102</Lines>
  <Paragraphs>256</Paragraphs>
  <TotalTime>1</TotalTime>
  <ScaleCrop>false</ScaleCrop>
  <LinksUpToDate>false</LinksUpToDate>
  <CharactersWithSpaces>397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NTKO</cp:lastModifiedBy>
  <cp:lastPrinted>2025-01-09T09:44:00Z</cp:lastPrinted>
  <dcterms:modified xsi:type="dcterms:W3CDTF">2025-01-17T05:50:05Z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8592241D86234985A0A03B29C39FF827</vt:lpwstr>
  </property>
  <property fmtid="{D5CDD505-2E9C-101B-9397-08002B2CF9AE}" pid="4" name="KSOTemplateDocerSaveRecord">
    <vt:lpwstr>eyJoZGlkIjoiOTRiZWQzMjkzMTc1ZTNmYjQ1MWUyZGI3NjM2N2ZiZWYiLCJ1c2VySWQiOiIzMzUzMDQ5ODIifQ==</vt:lpwstr>
  </property>
</Properties>
</file>