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numPr>
          <w:ilvl w:val="0"/>
          <w:numId w:val="0"/>
        </w:numPr>
        <w:jc w:val="center"/>
        <w:rPr>
          <w:rFonts w:ascii="宋体" w:hAnsi="宋体" w:eastAsia="宋体" w:cs="宋体"/>
          <w:b/>
          <w:bCs w:val="0"/>
        </w:rPr>
      </w:pPr>
      <w:r>
        <w:rPr>
          <w:rFonts w:hint="eastAsia" w:ascii="宋体" w:hAnsi="宋体" w:eastAsia="宋体" w:cs="宋体"/>
          <w:b/>
          <w:bCs w:val="0"/>
        </w:rPr>
        <w:t>采购需求</w:t>
      </w:r>
    </w:p>
    <w:p>
      <w:pPr>
        <w:pStyle w:val="5"/>
        <w:rPr>
          <w:rFonts w:ascii="宋体" w:hAnsi="宋体" w:eastAsia="宋体" w:cs="宋体"/>
          <w:sz w:val="28"/>
          <w:szCs w:val="36"/>
        </w:rPr>
      </w:pPr>
      <w:r>
        <w:rPr>
          <w:rFonts w:hint="eastAsia" w:ascii="宋体" w:hAnsi="宋体" w:eastAsia="宋体" w:cs="宋体"/>
          <w:sz w:val="28"/>
          <w:szCs w:val="36"/>
        </w:rPr>
        <w:t>项目概况</w:t>
      </w:r>
    </w:p>
    <w:p>
      <w:pPr>
        <w:pStyle w:val="28"/>
        <w:ind w:firstLine="420"/>
        <w:rPr>
          <w:rFonts w:eastAsia="宋体" w:cs="宋体"/>
          <w:kern w:val="2"/>
          <w:sz w:val="21"/>
        </w:rPr>
      </w:pPr>
      <w:r>
        <w:rPr>
          <w:rFonts w:hint="eastAsia" w:eastAsia="宋体" w:cs="宋体"/>
          <w:kern w:val="2"/>
          <w:sz w:val="21"/>
        </w:rPr>
        <w:t>项目属性：服务类</w:t>
      </w:r>
    </w:p>
    <w:p>
      <w:pPr>
        <w:pStyle w:val="28"/>
        <w:ind w:firstLine="420"/>
        <w:rPr>
          <w:rFonts w:eastAsia="宋体" w:cs="宋体"/>
          <w:kern w:val="2"/>
          <w:sz w:val="21"/>
        </w:rPr>
      </w:pPr>
      <w:r>
        <w:rPr>
          <w:rFonts w:hint="eastAsia" w:eastAsia="宋体" w:cs="宋体"/>
          <w:kern w:val="2"/>
          <w:sz w:val="21"/>
        </w:rPr>
        <w:t>品目类别：其他系统集成实施服务（C020299）</w:t>
      </w:r>
    </w:p>
    <w:p>
      <w:pPr>
        <w:pStyle w:val="28"/>
        <w:ind w:firstLine="420"/>
        <w:rPr>
          <w:rFonts w:eastAsia="宋体" w:cs="宋体"/>
          <w:kern w:val="2"/>
          <w:sz w:val="21"/>
        </w:rPr>
      </w:pPr>
      <w:r>
        <w:rPr>
          <w:rFonts w:hint="eastAsia" w:eastAsia="宋体" w:cs="宋体"/>
          <w:kern w:val="2"/>
          <w:sz w:val="21"/>
        </w:rPr>
        <w:t>本项目属于不专门面向中小微企业预留采购份额的项目，原因和情形为：按照《政府采购促进中小企业发展管理办法》规定预留采购份额无法确保充分供应、充分竞争，或者存在可能影响政府采购目标实现的情形。</w:t>
      </w:r>
    </w:p>
    <w:p>
      <w:pPr>
        <w:pStyle w:val="28"/>
        <w:ind w:firstLine="420"/>
        <w:rPr>
          <w:rFonts w:eastAsia="宋体" w:cs="宋体"/>
          <w:kern w:val="2"/>
          <w:sz w:val="21"/>
        </w:rPr>
      </w:pPr>
      <w:r>
        <w:rPr>
          <w:rFonts w:hint="eastAsia" w:eastAsia="宋体" w:cs="宋体"/>
          <w:kern w:val="2"/>
          <w:sz w:val="21"/>
        </w:rPr>
        <w:t>本项目采购的智慧停车对应的中小微企业划分标准所属行业为：软件和信息技术服务业。</w:t>
      </w:r>
    </w:p>
    <w:p>
      <w:pPr>
        <w:pStyle w:val="28"/>
        <w:ind w:firstLine="420"/>
        <w:rPr>
          <w:rFonts w:eastAsia="宋体" w:cs="宋体"/>
          <w:kern w:val="2"/>
          <w:sz w:val="21"/>
        </w:rPr>
      </w:pPr>
      <w:r>
        <w:rPr>
          <w:rFonts w:hint="eastAsia" w:eastAsia="宋体" w:cs="宋体"/>
          <w:kern w:val="2"/>
          <w:sz w:val="21"/>
        </w:rPr>
        <w:t>★本次采购产品为非进口产品（进口产品指通过中国海关报关验放进入中国境内且产自关境外的产品）</w:t>
      </w:r>
    </w:p>
    <w:p>
      <w:pPr>
        <w:pStyle w:val="28"/>
        <w:ind w:firstLine="420"/>
        <w:rPr>
          <w:rFonts w:eastAsia="宋体" w:cs="宋体"/>
          <w:kern w:val="2"/>
          <w:sz w:val="21"/>
        </w:rPr>
      </w:pPr>
      <w:r>
        <w:rPr>
          <w:rFonts w:hint="eastAsia" w:eastAsia="宋体" w:cs="宋体"/>
          <w:kern w:val="2"/>
          <w:sz w:val="21"/>
        </w:rPr>
        <w:t>★采购人拟采购的（无）属于《节能产品政府采购品目清单》范围中政府强制采购产品类别，投标人须在投标文件中提供：1.该产品属于《节能产品政府采购品目清单》范围中政府强制采购产品类别的相关内容页，并对相关内容作圈记；2.市场监管总局公布的参与实施政府采购节能产品认证机构名录截图；3.该产品获得的由国家确定的认证机构出具的、处于有效期之内的节能产品认证证书（注：1.《节能产品政府采购品目清单》投标人可查询中国政府采购网，网址http://www.ccgp.gov.cn；2.根据《节能产品政府采购品目清单》注2要求，上述产品中认证标准发生变更的，依据原认证标准获得的、仍在有效期内的认证证书可使用至2019 年6 月1 日）。</w:t>
      </w:r>
    </w:p>
    <w:p>
      <w:pPr>
        <w:pStyle w:val="28"/>
        <w:ind w:firstLine="420"/>
        <w:rPr>
          <w:rFonts w:eastAsia="宋体" w:cs="宋体"/>
          <w:kern w:val="2"/>
          <w:sz w:val="21"/>
        </w:rPr>
      </w:pPr>
      <w:r>
        <w:rPr>
          <w:rFonts w:hint="eastAsia" w:eastAsia="宋体" w:cs="宋体"/>
          <w:kern w:val="2"/>
          <w:sz w:val="21"/>
        </w:rPr>
        <w:t>采购人拟采购的（无）属于《环境标志产品政府采购品目清单》范围的，投标人需填写《政策适用性说明》（见投标文件格式）并提交相关证明材料（证明材料包括：1.该产品属于《环境标志产品政府采购品目清单》范围的相关内容页，并对相关内容作圈记；2.市场监管总局公布的参与实施政府采购环境标志产品认证机构名录截图；3.该产品获得的由国家确定的认证机构出具的、处于有效期之内的环境标志产品认证证书），作为技术评审的依据（注：《环境标志产品政府采购品目清单》投标人可查询中国政府采购网，网址</w:t>
      </w:r>
      <w:r>
        <w:fldChar w:fldCharType="begin"/>
      </w:r>
      <w:r>
        <w:instrText xml:space="preserve"> HYPERLINK "http://www.ccgp.gov.cn" </w:instrText>
      </w:r>
      <w:r>
        <w:fldChar w:fldCharType="separate"/>
      </w:r>
      <w:r>
        <w:rPr>
          <w:rFonts w:hint="eastAsia" w:eastAsia="宋体" w:cs="宋体"/>
          <w:kern w:val="2"/>
          <w:sz w:val="21"/>
        </w:rPr>
        <w:t>http://www.ccgp.gov.cn</w:t>
      </w:r>
      <w:r>
        <w:rPr>
          <w:rFonts w:hint="eastAsia" w:eastAsia="宋体" w:cs="宋体"/>
          <w:kern w:val="2"/>
          <w:sz w:val="21"/>
        </w:rPr>
        <w:fldChar w:fldCharType="end"/>
      </w:r>
      <w:r>
        <w:rPr>
          <w:rFonts w:hint="eastAsia" w:eastAsia="宋体" w:cs="宋体"/>
          <w:kern w:val="2"/>
          <w:sz w:val="21"/>
        </w:rPr>
        <w:t>）。</w:t>
      </w:r>
    </w:p>
    <w:p>
      <w:pPr>
        <w:pStyle w:val="28"/>
        <w:ind w:firstLine="420"/>
        <w:rPr>
          <w:rFonts w:eastAsia="宋体" w:cs="宋体"/>
          <w:kern w:val="2"/>
          <w:sz w:val="21"/>
        </w:rPr>
      </w:pPr>
      <w:r>
        <w:rPr>
          <w:rFonts w:hint="eastAsia" w:eastAsia="宋体" w:cs="宋体"/>
          <w:kern w:val="2"/>
          <w:sz w:val="21"/>
        </w:rPr>
        <w:t>★凡属于《中华人民共和国实施强制性产品认证的产品目录》的产品，请投标人在投标文件中承诺在交货时提供该产品的“中国强制性产品认证”（CCC认证）证书。</w:t>
      </w:r>
    </w:p>
    <w:p>
      <w:pPr>
        <w:pStyle w:val="5"/>
        <w:rPr>
          <w:rFonts w:ascii="宋体" w:hAnsi="宋体" w:eastAsia="宋体" w:cs="宋体"/>
          <w:sz w:val="28"/>
          <w:szCs w:val="36"/>
        </w:rPr>
      </w:pPr>
      <w:r>
        <w:rPr>
          <w:rFonts w:hint="eastAsia" w:ascii="宋体" w:hAnsi="宋体" w:eastAsia="宋体" w:cs="宋体"/>
          <w:sz w:val="28"/>
          <w:szCs w:val="36"/>
        </w:rPr>
        <w:t>项目建设内容</w:t>
      </w:r>
    </w:p>
    <w:p>
      <w:pPr>
        <w:pStyle w:val="28"/>
        <w:ind w:firstLine="420"/>
        <w:rPr>
          <w:rFonts w:eastAsia="宋体" w:cs="宋体"/>
          <w:kern w:val="2"/>
          <w:sz w:val="21"/>
        </w:rPr>
      </w:pPr>
      <w:r>
        <w:rPr>
          <w:rFonts w:hint="eastAsia" w:eastAsia="宋体" w:cs="宋体"/>
          <w:kern w:val="2"/>
          <w:sz w:val="21"/>
        </w:rPr>
        <w:t>为进一步缓解停车压力，增城区在一期建设项目的基础上充分利用原有资源，节约经费，按照“统一规划、统一标准、技术先进、稳定可靠、信息安全”的原则，进行本期工程建设。以满足增城区管理的全局需求，体现城市管理的数字化、自动化和智能化的领先水平。本项目对增城区城区道路停车管理前端系统进行智能化升级改造，采用视频抓拍识别，准确记录出入车信息，实现智慧化停车体验，制定合理运用价格杠杆提高路内停车泊位周转效率，规范车主停车行为，提高出入车收费效率；同时完善基础配套设施，缓解“停车难，停车乱”现象，为周边地区交通的秩序保驾护航。</w:t>
      </w:r>
    </w:p>
    <w:p>
      <w:pPr>
        <w:spacing w:line="360" w:lineRule="auto"/>
        <w:ind w:firstLine="480"/>
        <w:jc w:val="left"/>
        <w:rPr>
          <w:rFonts w:ascii="宋体" w:hAnsi="宋体" w:eastAsia="宋体" w:cs="宋体"/>
        </w:rPr>
      </w:pPr>
      <w:r>
        <w:rPr>
          <w:rFonts w:hint="eastAsia" w:ascii="宋体" w:hAnsi="宋体" w:eastAsia="宋体" w:cs="宋体"/>
        </w:rPr>
        <w:t>本次建设选36条主要道路，共2510个泊位，作为第二阶段建设车场。硬件设备技术选型延续第一阶段建设以视频识别技术的高位视频车位检测设备，通过对高清摄像头采集的图像进行分析处理，获取车位状态、车辆号牌等信息支持停车业务全面展开。</w:t>
      </w:r>
    </w:p>
    <w:p>
      <w:pPr>
        <w:pStyle w:val="28"/>
        <w:ind w:firstLine="420"/>
        <w:rPr>
          <w:rFonts w:eastAsia="宋体" w:cs="宋体"/>
          <w:sz w:val="21"/>
          <w:szCs w:val="21"/>
        </w:rPr>
      </w:pPr>
      <w:r>
        <w:rPr>
          <w:rFonts w:hint="eastAsia" w:eastAsia="宋体" w:cs="宋体"/>
          <w:kern w:val="2"/>
          <w:sz w:val="21"/>
        </w:rPr>
        <w:t>★</w:t>
      </w:r>
      <w:r>
        <w:rPr>
          <w:rFonts w:hint="eastAsia" w:eastAsia="宋体" w:cs="宋体"/>
          <w:sz w:val="21"/>
          <w:szCs w:val="21"/>
        </w:rPr>
        <w:t>项目具体实施内容包括：</w:t>
      </w:r>
    </w:p>
    <w:p>
      <w:pPr>
        <w:pStyle w:val="28"/>
        <w:ind w:firstLine="420"/>
        <w:rPr>
          <w:rFonts w:eastAsia="宋体" w:cs="宋体"/>
          <w:sz w:val="21"/>
          <w:szCs w:val="21"/>
        </w:rPr>
      </w:pPr>
      <w:r>
        <w:rPr>
          <w:rFonts w:hint="eastAsia" w:eastAsia="宋体" w:cs="宋体"/>
          <w:sz w:val="21"/>
          <w:szCs w:val="21"/>
        </w:rPr>
        <w:t xml:space="preserve">（一）完成前端设备供货； </w:t>
      </w:r>
    </w:p>
    <w:p>
      <w:pPr>
        <w:pStyle w:val="28"/>
        <w:ind w:firstLine="420"/>
        <w:rPr>
          <w:rFonts w:eastAsia="宋体" w:cs="宋体"/>
          <w:sz w:val="21"/>
          <w:szCs w:val="21"/>
        </w:rPr>
      </w:pPr>
      <w:r>
        <w:rPr>
          <w:rFonts w:hint="eastAsia" w:eastAsia="宋体" w:cs="宋体"/>
          <w:sz w:val="21"/>
          <w:szCs w:val="21"/>
        </w:rPr>
        <w:t>（二）完成前端系统综合布线；</w:t>
      </w:r>
    </w:p>
    <w:p>
      <w:pPr>
        <w:pStyle w:val="28"/>
        <w:ind w:firstLine="420"/>
        <w:rPr>
          <w:rFonts w:eastAsia="宋体" w:cs="宋体"/>
          <w:sz w:val="21"/>
          <w:szCs w:val="21"/>
        </w:rPr>
      </w:pPr>
      <w:r>
        <w:rPr>
          <w:rFonts w:hint="eastAsia" w:eastAsia="宋体" w:cs="宋体"/>
          <w:sz w:val="21"/>
          <w:szCs w:val="21"/>
        </w:rPr>
        <w:t>（三）完成前端设备安装调试；</w:t>
      </w:r>
    </w:p>
    <w:p>
      <w:pPr>
        <w:pStyle w:val="28"/>
        <w:ind w:firstLine="420"/>
        <w:rPr>
          <w:rFonts w:eastAsia="宋体" w:cs="宋体"/>
          <w:sz w:val="21"/>
          <w:szCs w:val="21"/>
        </w:rPr>
      </w:pPr>
      <w:r>
        <w:rPr>
          <w:rFonts w:hint="eastAsia" w:eastAsia="宋体" w:cs="宋体"/>
          <w:sz w:val="21"/>
          <w:szCs w:val="21"/>
        </w:rPr>
        <w:t>（四）前端点位电力报装及电费支付（至运维期结束）；传输线路及传输设备租赁及支付至运维期结束网络租赁费用；</w:t>
      </w:r>
    </w:p>
    <w:p>
      <w:pPr>
        <w:pStyle w:val="28"/>
        <w:ind w:firstLine="420"/>
        <w:rPr>
          <w:rFonts w:eastAsia="宋体" w:cs="宋体"/>
          <w:sz w:val="21"/>
          <w:szCs w:val="21"/>
        </w:rPr>
      </w:pPr>
      <w:r>
        <w:rPr>
          <w:rFonts w:hint="eastAsia" w:eastAsia="宋体" w:cs="宋体"/>
          <w:sz w:val="21"/>
          <w:szCs w:val="21"/>
        </w:rPr>
        <w:t>（五）完成系统集成调试，并接入增城区交通治理所的“增城区智慧停车平台”；</w:t>
      </w:r>
    </w:p>
    <w:p>
      <w:pPr>
        <w:pStyle w:val="28"/>
        <w:ind w:firstLine="420"/>
        <w:rPr>
          <w:rFonts w:eastAsia="宋体" w:cs="宋体"/>
          <w:sz w:val="21"/>
          <w:szCs w:val="21"/>
        </w:rPr>
      </w:pPr>
      <w:r>
        <w:rPr>
          <w:rFonts w:hint="eastAsia" w:eastAsia="宋体" w:cs="宋体"/>
          <w:sz w:val="21"/>
          <w:szCs w:val="21"/>
        </w:rPr>
        <w:t>（六）完成一期智慧停车平台优化升级服务；</w:t>
      </w:r>
    </w:p>
    <w:p>
      <w:pPr>
        <w:pStyle w:val="28"/>
        <w:ind w:firstLine="420"/>
        <w:rPr>
          <w:rFonts w:eastAsia="宋体" w:cs="宋体"/>
          <w:sz w:val="21"/>
          <w:szCs w:val="21"/>
        </w:rPr>
      </w:pPr>
      <w:r>
        <w:rPr>
          <w:rFonts w:hint="eastAsia" w:eastAsia="宋体" w:cs="宋体"/>
          <w:sz w:val="21"/>
          <w:szCs w:val="21"/>
        </w:rPr>
        <w:t>（七）完成一期智慧停车平台及数据迁移至政务云；</w:t>
      </w:r>
    </w:p>
    <w:p>
      <w:pPr>
        <w:pStyle w:val="28"/>
        <w:ind w:firstLine="420"/>
        <w:rPr>
          <w:rFonts w:eastAsia="宋体" w:cs="宋体"/>
          <w:sz w:val="21"/>
          <w:szCs w:val="21"/>
        </w:rPr>
      </w:pPr>
      <w:r>
        <w:rPr>
          <w:rFonts w:hint="eastAsia" w:eastAsia="宋体" w:cs="宋体"/>
          <w:sz w:val="21"/>
          <w:szCs w:val="21"/>
        </w:rPr>
        <w:t>（八）完成路外停车场数据接入一期智慧停车平台；</w:t>
      </w:r>
    </w:p>
    <w:p>
      <w:pPr>
        <w:pStyle w:val="5"/>
        <w:rPr>
          <w:rFonts w:ascii="宋体" w:hAnsi="宋体" w:eastAsia="宋体" w:cs="宋体"/>
          <w:sz w:val="28"/>
          <w:szCs w:val="36"/>
        </w:rPr>
      </w:pPr>
      <w:r>
        <w:rPr>
          <w:rFonts w:hint="eastAsia" w:ascii="宋体" w:hAnsi="宋体" w:eastAsia="宋体" w:cs="宋体"/>
          <w:sz w:val="28"/>
          <w:szCs w:val="36"/>
        </w:rPr>
        <w:t>项目建设标准</w:t>
      </w:r>
    </w:p>
    <w:p>
      <w:pPr>
        <w:pStyle w:val="11"/>
        <w:ind w:firstLine="520"/>
        <w:jc w:val="left"/>
        <w:rPr>
          <w:rFonts w:ascii="宋体" w:hAnsi="宋体" w:cs="宋体"/>
          <w:spacing w:val="0"/>
          <w:kern w:val="2"/>
          <w:sz w:val="21"/>
          <w:szCs w:val="24"/>
        </w:rPr>
      </w:pPr>
      <w:r>
        <w:rPr>
          <w:rFonts w:hint="eastAsia" w:ascii="宋体" w:hAnsi="宋体" w:cs="宋体"/>
          <w:spacing w:val="0"/>
          <w:kern w:val="2"/>
          <w:sz w:val="21"/>
          <w:szCs w:val="24"/>
        </w:rPr>
        <w:t>本期系统的规划依据国家相关法律规章、国家和行业相关标准、相关研究成果等资料进行规划设计，主要参考标准和依据如下要求（如标准更新以最新为准）：</w:t>
      </w:r>
    </w:p>
    <w:p>
      <w:pPr>
        <w:pStyle w:val="28"/>
        <w:ind w:firstLine="420"/>
        <w:rPr>
          <w:rFonts w:eastAsia="宋体" w:cs="宋体"/>
          <w:kern w:val="2"/>
          <w:sz w:val="21"/>
        </w:rPr>
      </w:pPr>
      <w:r>
        <w:rPr>
          <w:rFonts w:hint="eastAsia" w:eastAsia="宋体" w:cs="宋体"/>
          <w:kern w:val="2"/>
          <w:sz w:val="21"/>
        </w:rPr>
        <w:t>（1）《广州市停车场条例》</w:t>
      </w:r>
    </w:p>
    <w:p>
      <w:pPr>
        <w:pStyle w:val="28"/>
        <w:ind w:firstLine="420"/>
        <w:rPr>
          <w:rFonts w:eastAsia="宋体" w:cs="宋体"/>
          <w:kern w:val="2"/>
          <w:sz w:val="21"/>
        </w:rPr>
      </w:pPr>
      <w:r>
        <w:rPr>
          <w:rFonts w:hint="eastAsia" w:eastAsia="宋体" w:cs="宋体"/>
          <w:kern w:val="2"/>
          <w:sz w:val="21"/>
        </w:rPr>
        <w:t>（2）《广州市停车场管理办法》（征求意见稿）</w:t>
      </w:r>
    </w:p>
    <w:p>
      <w:pPr>
        <w:pStyle w:val="28"/>
        <w:ind w:firstLine="420"/>
        <w:rPr>
          <w:rFonts w:eastAsia="宋体" w:cs="宋体"/>
          <w:kern w:val="2"/>
          <w:sz w:val="21"/>
        </w:rPr>
      </w:pPr>
      <w:r>
        <w:rPr>
          <w:rFonts w:hint="eastAsia" w:eastAsia="宋体" w:cs="宋体"/>
          <w:kern w:val="2"/>
          <w:sz w:val="21"/>
        </w:rPr>
        <w:t>（3）《增城区中心城区停车项目实施推进工作方案》（2019-2021年）</w:t>
      </w:r>
    </w:p>
    <w:p>
      <w:pPr>
        <w:pStyle w:val="28"/>
        <w:ind w:firstLine="420"/>
        <w:rPr>
          <w:rFonts w:eastAsia="宋体" w:cs="宋体"/>
          <w:kern w:val="2"/>
          <w:sz w:val="21"/>
        </w:rPr>
      </w:pPr>
      <w:r>
        <w:rPr>
          <w:rFonts w:hint="eastAsia" w:eastAsia="宋体" w:cs="宋体"/>
          <w:kern w:val="2"/>
          <w:sz w:val="21"/>
        </w:rPr>
        <w:t>（4）《增城区城市总体规划（2011—2020   年）》（2017）</w:t>
      </w:r>
    </w:p>
    <w:p>
      <w:pPr>
        <w:pStyle w:val="28"/>
        <w:ind w:firstLine="420"/>
        <w:rPr>
          <w:rFonts w:eastAsia="宋体" w:cs="宋体"/>
          <w:kern w:val="2"/>
          <w:sz w:val="21"/>
        </w:rPr>
      </w:pPr>
      <w:r>
        <w:rPr>
          <w:rFonts w:hint="eastAsia" w:eastAsia="宋体" w:cs="宋体"/>
          <w:kern w:val="2"/>
          <w:sz w:val="21"/>
        </w:rPr>
        <w:t>（5）《增城区发展和改革局关于增城区机动车停放服务收费管理实施细 则》（2017）</w:t>
      </w:r>
    </w:p>
    <w:p>
      <w:pPr>
        <w:pStyle w:val="28"/>
        <w:ind w:firstLine="420"/>
        <w:rPr>
          <w:rFonts w:eastAsia="宋体" w:cs="宋体"/>
          <w:kern w:val="2"/>
          <w:sz w:val="21"/>
        </w:rPr>
      </w:pPr>
      <w:r>
        <w:rPr>
          <w:rFonts w:hint="eastAsia" w:eastAsia="宋体" w:cs="宋体"/>
          <w:kern w:val="2"/>
          <w:sz w:val="21"/>
        </w:rPr>
        <w:t>（6）业主提供的相关资料；</w:t>
      </w:r>
    </w:p>
    <w:p>
      <w:pPr>
        <w:pStyle w:val="28"/>
        <w:ind w:firstLine="420"/>
        <w:rPr>
          <w:rFonts w:eastAsia="宋体" w:cs="宋体"/>
          <w:kern w:val="2"/>
          <w:sz w:val="21"/>
        </w:rPr>
      </w:pPr>
      <w:r>
        <w:rPr>
          <w:rFonts w:hint="eastAsia" w:eastAsia="宋体" w:cs="宋体"/>
          <w:kern w:val="2"/>
          <w:sz w:val="21"/>
        </w:rPr>
        <w:t>（7）技术人员现场调研收集的相关资料。</w:t>
      </w:r>
    </w:p>
    <w:p>
      <w:pPr>
        <w:pStyle w:val="28"/>
        <w:ind w:firstLine="420"/>
        <w:rPr>
          <w:rFonts w:eastAsia="宋体" w:cs="宋体"/>
          <w:kern w:val="2"/>
          <w:sz w:val="21"/>
        </w:rPr>
      </w:pPr>
      <w:r>
        <w:rPr>
          <w:rFonts w:hint="eastAsia" w:eastAsia="宋体" w:cs="宋体"/>
          <w:kern w:val="2"/>
          <w:sz w:val="21"/>
        </w:rPr>
        <w:t>（8）《关于城市停车设施规划建设及管理的指导意见》（2010）</w:t>
      </w:r>
    </w:p>
    <w:p>
      <w:pPr>
        <w:pStyle w:val="28"/>
        <w:ind w:firstLine="420"/>
        <w:rPr>
          <w:rFonts w:eastAsia="宋体" w:cs="宋体"/>
          <w:kern w:val="2"/>
          <w:sz w:val="21"/>
        </w:rPr>
      </w:pPr>
      <w:r>
        <w:rPr>
          <w:rFonts w:hint="eastAsia" w:eastAsia="宋体" w:cs="宋体"/>
          <w:kern w:val="2"/>
          <w:sz w:val="21"/>
        </w:rPr>
        <w:t>（9）《中华人民共和国道路交通安全法》（2011）</w:t>
      </w:r>
    </w:p>
    <w:p>
      <w:pPr>
        <w:pStyle w:val="28"/>
        <w:ind w:firstLine="420"/>
        <w:rPr>
          <w:rFonts w:eastAsia="宋体" w:cs="宋体"/>
          <w:kern w:val="2"/>
          <w:sz w:val="21"/>
        </w:rPr>
      </w:pPr>
      <w:r>
        <w:rPr>
          <w:rFonts w:hint="eastAsia" w:eastAsia="宋体" w:cs="宋体"/>
          <w:kern w:val="2"/>
          <w:sz w:val="21"/>
        </w:rPr>
        <w:t>（10）《中华人民共和国道路交通安全法实施条例》（2007）</w:t>
      </w:r>
    </w:p>
    <w:p>
      <w:pPr>
        <w:pStyle w:val="28"/>
        <w:ind w:firstLine="420"/>
        <w:rPr>
          <w:rFonts w:eastAsia="宋体" w:cs="宋体"/>
          <w:kern w:val="2"/>
          <w:sz w:val="21"/>
        </w:rPr>
      </w:pPr>
      <w:r>
        <w:rPr>
          <w:rFonts w:hint="eastAsia" w:eastAsia="宋体" w:cs="宋体"/>
          <w:kern w:val="2"/>
          <w:sz w:val="21"/>
        </w:rPr>
        <w:t>（11）《关于加强城市停车设施建设的指导意见》（2015）</w:t>
      </w:r>
    </w:p>
    <w:p>
      <w:pPr>
        <w:pStyle w:val="28"/>
        <w:ind w:firstLine="420"/>
        <w:rPr>
          <w:rFonts w:eastAsia="宋体" w:cs="宋体"/>
          <w:kern w:val="2"/>
          <w:sz w:val="21"/>
        </w:rPr>
      </w:pPr>
      <w:r>
        <w:rPr>
          <w:rFonts w:hint="eastAsia" w:eastAsia="宋体" w:cs="宋体"/>
          <w:kern w:val="2"/>
          <w:sz w:val="21"/>
        </w:rPr>
        <w:t>（12）《关于进一步完善机动车停放服务收费政策的指导意见》（2015）</w:t>
      </w:r>
    </w:p>
    <w:p>
      <w:pPr>
        <w:pStyle w:val="28"/>
        <w:ind w:firstLine="420"/>
        <w:rPr>
          <w:rFonts w:eastAsia="宋体" w:cs="宋体"/>
          <w:kern w:val="2"/>
          <w:sz w:val="21"/>
        </w:rPr>
      </w:pPr>
      <w:r>
        <w:rPr>
          <w:rFonts w:hint="eastAsia" w:eastAsia="宋体" w:cs="宋体"/>
          <w:kern w:val="2"/>
          <w:sz w:val="21"/>
        </w:rPr>
        <w:t>（13）《信息安全技术信息系统安全管理要求》（GB/T20269）</w:t>
      </w:r>
    </w:p>
    <w:p>
      <w:pPr>
        <w:pStyle w:val="28"/>
        <w:ind w:firstLine="420"/>
        <w:rPr>
          <w:rFonts w:eastAsia="宋体" w:cs="宋体"/>
          <w:kern w:val="2"/>
          <w:sz w:val="21"/>
        </w:rPr>
      </w:pPr>
      <w:r>
        <w:rPr>
          <w:rFonts w:hint="eastAsia" w:eastAsia="宋体" w:cs="宋体"/>
          <w:kern w:val="2"/>
          <w:sz w:val="21"/>
        </w:rPr>
        <w:t>（14）《信息安全技术网络和终端设备隔离部件安全技术要求》（GB/T20279-2006）</w:t>
      </w:r>
    </w:p>
    <w:p>
      <w:pPr>
        <w:pStyle w:val="28"/>
        <w:ind w:firstLine="420"/>
        <w:rPr>
          <w:rFonts w:eastAsia="宋体" w:cs="宋体"/>
          <w:kern w:val="2"/>
          <w:sz w:val="21"/>
        </w:rPr>
      </w:pPr>
      <w:r>
        <w:rPr>
          <w:rFonts w:hint="eastAsia" w:eastAsia="宋体" w:cs="宋体"/>
          <w:kern w:val="2"/>
          <w:sz w:val="21"/>
        </w:rPr>
        <w:t>（15）《停车服务与管理信息系统通用技术条件》（GA/T1302—2016）</w:t>
      </w:r>
    </w:p>
    <w:p>
      <w:pPr>
        <w:pStyle w:val="28"/>
        <w:ind w:firstLine="420"/>
        <w:rPr>
          <w:rFonts w:eastAsia="宋体" w:cs="宋体"/>
          <w:kern w:val="2"/>
          <w:sz w:val="21"/>
        </w:rPr>
      </w:pPr>
      <w:r>
        <w:rPr>
          <w:rFonts w:hint="eastAsia" w:eastAsia="宋体" w:cs="宋体"/>
          <w:kern w:val="2"/>
          <w:sz w:val="21"/>
        </w:rPr>
        <w:t>（16）《公共停车场（库）信息联网通用技术要求》（GB/T29745-2013）</w:t>
      </w:r>
    </w:p>
    <w:p>
      <w:pPr>
        <w:pStyle w:val="28"/>
        <w:ind w:firstLine="420"/>
        <w:rPr>
          <w:rFonts w:eastAsia="宋体" w:cs="宋体"/>
          <w:kern w:val="2"/>
          <w:sz w:val="21"/>
        </w:rPr>
      </w:pPr>
      <w:r>
        <w:rPr>
          <w:rFonts w:hint="eastAsia" w:eastAsia="宋体" w:cs="宋体"/>
          <w:kern w:val="2"/>
          <w:sz w:val="21"/>
        </w:rPr>
        <w:t>（17）《停车库（场）安全管理系统技术要求》（GA/T761-2008）</w:t>
      </w:r>
    </w:p>
    <w:p>
      <w:pPr>
        <w:pStyle w:val="28"/>
        <w:ind w:firstLine="420"/>
        <w:rPr>
          <w:rFonts w:eastAsia="宋体" w:cs="宋体"/>
          <w:kern w:val="2"/>
          <w:sz w:val="21"/>
        </w:rPr>
      </w:pPr>
      <w:r>
        <w:rPr>
          <w:rFonts w:hint="eastAsia" w:eastAsia="宋体" w:cs="宋体"/>
          <w:kern w:val="2"/>
          <w:sz w:val="21"/>
        </w:rPr>
        <w:t>（18）《城市道路路内停车泊位设置规范》GA/T850-2009</w:t>
      </w:r>
    </w:p>
    <w:p>
      <w:pPr>
        <w:pStyle w:val="28"/>
        <w:ind w:firstLine="420"/>
        <w:rPr>
          <w:rFonts w:eastAsia="宋体" w:cs="宋体"/>
          <w:kern w:val="2"/>
          <w:sz w:val="21"/>
        </w:rPr>
      </w:pPr>
      <w:r>
        <w:rPr>
          <w:rFonts w:hint="eastAsia" w:eastAsia="宋体" w:cs="宋体"/>
          <w:kern w:val="2"/>
          <w:sz w:val="21"/>
        </w:rPr>
        <w:t>（19）《安全防范工程技术规范》（GB50348-2018）</w:t>
      </w:r>
    </w:p>
    <w:p>
      <w:pPr>
        <w:pStyle w:val="28"/>
        <w:ind w:firstLine="420"/>
        <w:rPr>
          <w:rFonts w:eastAsia="宋体" w:cs="宋体"/>
          <w:kern w:val="2"/>
          <w:sz w:val="21"/>
        </w:rPr>
      </w:pPr>
      <w:r>
        <w:rPr>
          <w:rFonts w:hint="eastAsia" w:eastAsia="宋体" w:cs="宋体"/>
          <w:kern w:val="2"/>
          <w:sz w:val="21"/>
        </w:rPr>
        <w:t>（20）《安全防范系统验收规则》（GA308-2016）</w:t>
      </w:r>
    </w:p>
    <w:p>
      <w:pPr>
        <w:pStyle w:val="28"/>
        <w:ind w:firstLine="420"/>
        <w:rPr>
          <w:rFonts w:eastAsia="宋体" w:cs="宋体"/>
          <w:kern w:val="2"/>
          <w:sz w:val="21"/>
        </w:rPr>
      </w:pPr>
      <w:r>
        <w:rPr>
          <w:rFonts w:hint="eastAsia" w:eastAsia="宋体" w:cs="宋体"/>
          <w:kern w:val="2"/>
          <w:sz w:val="21"/>
        </w:rPr>
        <w:t>（21）《安全防范系统通用图形符号》（GA/T74-2000）</w:t>
      </w:r>
    </w:p>
    <w:p>
      <w:pPr>
        <w:pStyle w:val="28"/>
        <w:ind w:firstLine="420"/>
        <w:rPr>
          <w:rFonts w:eastAsia="宋体" w:cs="宋体"/>
          <w:kern w:val="2"/>
          <w:sz w:val="21"/>
        </w:rPr>
      </w:pPr>
      <w:r>
        <w:rPr>
          <w:rFonts w:hint="eastAsia" w:eastAsia="宋体" w:cs="宋体"/>
          <w:kern w:val="2"/>
          <w:sz w:val="21"/>
        </w:rPr>
        <w:t>（22）《民用建筑电气设计规范》（GB   51348-2019）</w:t>
      </w:r>
    </w:p>
    <w:p>
      <w:pPr>
        <w:pStyle w:val="28"/>
        <w:ind w:firstLine="420"/>
        <w:rPr>
          <w:rFonts w:eastAsia="宋体" w:cs="宋体"/>
          <w:kern w:val="2"/>
          <w:sz w:val="21"/>
        </w:rPr>
      </w:pPr>
      <w:r>
        <w:rPr>
          <w:rFonts w:hint="eastAsia" w:eastAsia="宋体" w:cs="宋体"/>
          <w:kern w:val="2"/>
          <w:sz w:val="21"/>
        </w:rPr>
        <w:t>（23）《智能建筑设计标准》（GB/T50314-2015）</w:t>
      </w:r>
    </w:p>
    <w:p>
      <w:pPr>
        <w:pStyle w:val="28"/>
        <w:ind w:firstLine="420"/>
        <w:rPr>
          <w:rFonts w:eastAsia="宋体" w:cs="宋体"/>
          <w:kern w:val="2"/>
          <w:sz w:val="21"/>
        </w:rPr>
      </w:pPr>
      <w:r>
        <w:rPr>
          <w:rFonts w:hint="eastAsia" w:eastAsia="宋体" w:cs="宋体"/>
          <w:kern w:val="2"/>
          <w:sz w:val="21"/>
        </w:rPr>
        <w:t>（24）《信息技术设备（包括电气事务设备）的安全》（GB4943-2011）</w:t>
      </w:r>
    </w:p>
    <w:p>
      <w:pPr>
        <w:pStyle w:val="28"/>
        <w:ind w:firstLine="420"/>
        <w:rPr>
          <w:rFonts w:eastAsia="宋体" w:cs="宋体"/>
          <w:kern w:val="2"/>
          <w:sz w:val="21"/>
        </w:rPr>
      </w:pPr>
      <w:r>
        <w:rPr>
          <w:rFonts w:hint="eastAsia" w:eastAsia="宋体" w:cs="宋体"/>
          <w:kern w:val="2"/>
          <w:sz w:val="21"/>
        </w:rPr>
        <w:t>（25）《视频安防监控系统技术要求》（GA/T367－2016）</w:t>
      </w:r>
    </w:p>
    <w:p>
      <w:pPr>
        <w:pStyle w:val="28"/>
        <w:ind w:firstLine="420"/>
        <w:rPr>
          <w:rFonts w:eastAsia="宋体" w:cs="宋体"/>
          <w:kern w:val="2"/>
          <w:sz w:val="21"/>
        </w:rPr>
      </w:pPr>
      <w:r>
        <w:rPr>
          <w:rFonts w:hint="eastAsia" w:eastAsia="宋体" w:cs="宋体"/>
          <w:kern w:val="2"/>
          <w:sz w:val="21"/>
        </w:rPr>
        <w:t>（26）《电气装置安装工程接地装置施工验收规范》（GB50169-2016）</w:t>
      </w:r>
    </w:p>
    <w:p>
      <w:pPr>
        <w:pStyle w:val="28"/>
        <w:ind w:firstLine="420"/>
        <w:rPr>
          <w:rFonts w:eastAsia="宋体" w:cs="宋体"/>
          <w:kern w:val="2"/>
          <w:sz w:val="21"/>
        </w:rPr>
      </w:pPr>
      <w:r>
        <w:rPr>
          <w:rFonts w:hint="eastAsia" w:eastAsia="宋体" w:cs="宋体"/>
          <w:kern w:val="2"/>
          <w:sz w:val="21"/>
        </w:rPr>
        <w:t>（27）《车库建筑设计规范》JGJ100-2015</w:t>
      </w:r>
    </w:p>
    <w:p>
      <w:pPr>
        <w:pStyle w:val="28"/>
        <w:ind w:firstLine="420"/>
        <w:rPr>
          <w:rFonts w:eastAsia="宋体" w:cs="宋体"/>
          <w:kern w:val="2"/>
          <w:sz w:val="21"/>
        </w:rPr>
      </w:pPr>
      <w:r>
        <w:rPr>
          <w:rFonts w:hint="eastAsia" w:eastAsia="宋体" w:cs="宋体"/>
          <w:kern w:val="2"/>
          <w:sz w:val="21"/>
        </w:rPr>
        <w:t>（28）《汽车库、修车库、停车场设计防火规范》（GB50067-2014）</w:t>
      </w:r>
    </w:p>
    <w:p>
      <w:pPr>
        <w:pStyle w:val="28"/>
        <w:ind w:firstLine="420"/>
        <w:rPr>
          <w:rFonts w:eastAsia="宋体" w:cs="宋体"/>
          <w:kern w:val="2"/>
          <w:sz w:val="21"/>
        </w:rPr>
      </w:pPr>
      <w:r>
        <w:rPr>
          <w:rFonts w:hint="eastAsia" w:eastAsia="宋体" w:cs="宋体"/>
          <w:kern w:val="2"/>
          <w:sz w:val="21"/>
        </w:rPr>
        <w:t>（29）《城市道路和建筑物无障碍设计规范》（JGJ50-2016）</w:t>
      </w:r>
    </w:p>
    <w:p>
      <w:pPr>
        <w:pStyle w:val="28"/>
        <w:ind w:firstLine="420"/>
        <w:rPr>
          <w:rFonts w:eastAsia="宋体" w:cs="宋体"/>
          <w:kern w:val="2"/>
          <w:sz w:val="21"/>
        </w:rPr>
      </w:pPr>
      <w:r>
        <w:rPr>
          <w:rFonts w:hint="eastAsia" w:eastAsia="宋体" w:cs="宋体"/>
          <w:kern w:val="2"/>
          <w:sz w:val="21"/>
        </w:rPr>
        <w:t>（30）《城市居住区规划设计规范》（GB50180-1993）</w:t>
      </w:r>
    </w:p>
    <w:p>
      <w:pPr>
        <w:pStyle w:val="28"/>
        <w:ind w:firstLine="420"/>
        <w:rPr>
          <w:rFonts w:eastAsia="宋体" w:cs="宋体"/>
          <w:kern w:val="2"/>
          <w:sz w:val="21"/>
        </w:rPr>
      </w:pPr>
      <w:r>
        <w:rPr>
          <w:rFonts w:hint="eastAsia" w:eastAsia="宋体" w:cs="宋体"/>
          <w:kern w:val="2"/>
          <w:sz w:val="21"/>
        </w:rPr>
        <w:t>（31）《城市道路路内停车管理设施应用指南》GA/T   1271-2015</w:t>
      </w:r>
    </w:p>
    <w:p>
      <w:pPr>
        <w:pStyle w:val="5"/>
        <w:rPr>
          <w:rFonts w:ascii="宋体" w:hAnsi="宋体" w:eastAsia="宋体" w:cs="宋体"/>
          <w:sz w:val="28"/>
          <w:szCs w:val="36"/>
        </w:rPr>
      </w:pPr>
      <w:r>
        <w:rPr>
          <w:rFonts w:hint="eastAsia" w:ascii="宋体" w:hAnsi="宋体" w:eastAsia="宋体" w:cs="宋体"/>
          <w:sz w:val="28"/>
          <w:szCs w:val="36"/>
        </w:rPr>
        <w:t>项目建设目标</w:t>
      </w:r>
    </w:p>
    <w:p>
      <w:pPr>
        <w:pStyle w:val="28"/>
        <w:numPr>
          <w:ilvl w:val="0"/>
          <w:numId w:val="4"/>
        </w:numPr>
        <w:ind w:firstLineChars="0"/>
        <w:rPr>
          <w:rFonts w:eastAsia="宋体" w:cs="宋体"/>
          <w:kern w:val="2"/>
          <w:sz w:val="21"/>
        </w:rPr>
      </w:pPr>
      <w:r>
        <w:rPr>
          <w:rFonts w:hint="eastAsia" w:eastAsia="宋体" w:cs="宋体"/>
          <w:kern w:val="2"/>
          <w:sz w:val="21"/>
        </w:rPr>
        <w:t xml:space="preserve">改善增城区区现有停车秩序，提升车主停车体验 </w:t>
      </w:r>
    </w:p>
    <w:p>
      <w:pPr>
        <w:pStyle w:val="28"/>
        <w:ind w:firstLine="420"/>
        <w:rPr>
          <w:rFonts w:eastAsia="宋体" w:cs="宋体"/>
          <w:kern w:val="2"/>
          <w:sz w:val="21"/>
        </w:rPr>
      </w:pPr>
      <w:r>
        <w:rPr>
          <w:rFonts w:hint="eastAsia" w:eastAsia="宋体" w:cs="宋体"/>
          <w:kern w:val="2"/>
          <w:sz w:val="21"/>
        </w:rPr>
        <w:t>本项目对增城区城区道路停车管理前端系统进行智能化升级改造，采用视频抓拍识别，准确记录出入车信息，实现智慧化停车体验，制定合理运用价格杠杆提高路内停车泊位周转效率，规范车主停车行为，提高出入车收费效率；同时完善基础配套设施，缓解“停车难，停车乱”现象，为周边地区交通的秩序保驾护航。</w:t>
      </w:r>
    </w:p>
    <w:p>
      <w:pPr>
        <w:pStyle w:val="28"/>
        <w:ind w:firstLine="420"/>
        <w:rPr>
          <w:rFonts w:eastAsia="宋体" w:cs="宋体"/>
          <w:kern w:val="2"/>
          <w:sz w:val="21"/>
        </w:rPr>
      </w:pPr>
      <w:r>
        <w:rPr>
          <w:rFonts w:hint="eastAsia" w:eastAsia="宋体" w:cs="宋体"/>
          <w:kern w:val="2"/>
          <w:sz w:val="21"/>
        </w:rPr>
        <w:t>实现统一账号体系，一个APP停全城，具备跨区域车位查询、预约和路线导 航，并有效引导车辆在目的地附近快速寻找车位，加上APP中其它发票管理、后 市场服务等丰富应用与可操作性，让车主有更良好的停车体验。</w:t>
      </w:r>
    </w:p>
    <w:p>
      <w:pPr>
        <w:pStyle w:val="28"/>
        <w:numPr>
          <w:ilvl w:val="0"/>
          <w:numId w:val="4"/>
        </w:numPr>
        <w:ind w:firstLineChars="0"/>
        <w:rPr>
          <w:rFonts w:eastAsia="宋体" w:cs="宋体"/>
          <w:kern w:val="2"/>
          <w:sz w:val="21"/>
        </w:rPr>
      </w:pPr>
      <w:r>
        <w:rPr>
          <w:rFonts w:hint="eastAsia" w:eastAsia="宋体" w:cs="宋体"/>
          <w:kern w:val="2"/>
          <w:sz w:val="21"/>
        </w:rPr>
        <w:t xml:space="preserve">强化政府监管决策，助力智慧城市数据融合发展 </w:t>
      </w:r>
    </w:p>
    <w:p>
      <w:pPr>
        <w:pStyle w:val="28"/>
        <w:ind w:firstLine="420"/>
        <w:rPr>
          <w:rFonts w:eastAsia="宋体" w:cs="宋体"/>
          <w:kern w:val="2"/>
          <w:sz w:val="21"/>
        </w:rPr>
      </w:pPr>
      <w:r>
        <w:rPr>
          <w:rFonts w:hint="eastAsia" w:eastAsia="宋体" w:cs="宋体"/>
          <w:kern w:val="2"/>
          <w:sz w:val="21"/>
        </w:rPr>
        <w:t>本项目通过静态交通感知网络及时获取停车数据，全面掌握城市各类停车指数，分析停车热点和资源需求。同时依靠中标方公司在增城区公安局、交警、以及政府其他行业部门建设的视频应用平台，打通城区视频数据业务，实现动静态 交通视频数据融合，经过加工与处理，不仅满足停车运营监测需要，还服务于政 府监管决策，帮助政府更好的进行道路停车资源、停车收费价格的监管等。提升 增城区城区整体管理能力，为智慧城市的大数据智能发展提供夯实的数据基础</w:t>
      </w:r>
    </w:p>
    <w:p>
      <w:pPr>
        <w:pStyle w:val="28"/>
        <w:numPr>
          <w:ilvl w:val="0"/>
          <w:numId w:val="4"/>
        </w:numPr>
        <w:ind w:firstLineChars="0"/>
        <w:rPr>
          <w:rFonts w:eastAsia="宋体" w:cs="宋体"/>
          <w:kern w:val="2"/>
          <w:sz w:val="21"/>
        </w:rPr>
      </w:pPr>
      <w:r>
        <w:rPr>
          <w:rFonts w:hint="eastAsia" w:eastAsia="宋体" w:cs="宋体"/>
          <w:kern w:val="2"/>
          <w:sz w:val="21"/>
        </w:rPr>
        <w:t xml:space="preserve">符合增城区城市规划要求，努力打造停车产业生态圈 </w:t>
      </w:r>
    </w:p>
    <w:p>
      <w:pPr>
        <w:pStyle w:val="28"/>
        <w:ind w:firstLine="420"/>
        <w:rPr>
          <w:rFonts w:eastAsia="宋体" w:cs="宋体"/>
          <w:kern w:val="2"/>
          <w:sz w:val="21"/>
        </w:rPr>
      </w:pPr>
      <w:r>
        <w:rPr>
          <w:rFonts w:hint="eastAsia" w:eastAsia="宋体" w:cs="宋体"/>
          <w:kern w:val="2"/>
          <w:sz w:val="21"/>
        </w:rPr>
        <w:t>本项目参照广东省人民政府《关于加强和改进全省城市停车管理工作的指导意见》，符合《增城区城市规划管理技术规定》总体规划，合理建设智能化道路 停车管理前端系统，提升停车运营整体服务水平。</w:t>
      </w:r>
    </w:p>
    <w:p>
      <w:pPr>
        <w:pStyle w:val="28"/>
        <w:ind w:firstLine="420"/>
        <w:rPr>
          <w:rFonts w:eastAsia="宋体" w:cs="宋体"/>
        </w:rPr>
      </w:pPr>
      <w:r>
        <w:rPr>
          <w:rFonts w:hint="eastAsia" w:eastAsia="宋体" w:cs="宋体"/>
          <w:kern w:val="2"/>
          <w:sz w:val="21"/>
        </w:rPr>
        <w:t>本项目以“构建互联网+城市静态交通，打造绿色高效的智慧城市”为目标， 加强城市道路路内机动车停放管理，合理运用价格杠杆提高路内停车泊位周转效 率，缓解“停车难，停车乱”现象，提升文明城市形象。以提供专业服务为基础， 整合改造停车位，并推进路外停车场开放停车位资源，基于AI视频技术、数据整合、数据挖掘、GIS、云计算等技术，建立健全城区城市静态交通管理平台，实现对全城区停车资源的综合管理，形成全市实时、精准的停车信息，为当地居民的日常出行停车提供快速引导停车、实时停车位信息查询服务，为监管部门改善局部交通微循环、缓解交通拥堵，进而更优更好地服务于城市道路交通的建设，打造“智慧交通”品牌，充分发挥交通引领城市发展的作用，智慧停车大数据的 形成，能够服务经济、服务民生、加强治安管理、改善交通管理、支撑社会秩序 管理，进一步惠及老百姓的生产生活。</w:t>
      </w:r>
    </w:p>
    <w:p>
      <w:pPr>
        <w:pStyle w:val="5"/>
        <w:rPr>
          <w:rFonts w:ascii="宋体" w:hAnsi="宋体" w:eastAsia="宋体" w:cs="宋体"/>
          <w:sz w:val="28"/>
          <w:szCs w:val="36"/>
        </w:rPr>
      </w:pPr>
      <w:r>
        <w:rPr>
          <w:rFonts w:hint="eastAsia" w:ascii="宋体" w:hAnsi="宋体" w:eastAsia="宋体" w:cs="宋体"/>
          <w:sz w:val="28"/>
          <w:szCs w:val="36"/>
        </w:rPr>
        <w:t>系统总体设计</w:t>
      </w:r>
    </w:p>
    <w:p>
      <w:pPr>
        <w:pStyle w:val="6"/>
        <w:spacing w:line="360" w:lineRule="auto"/>
        <w:rPr>
          <w:rFonts w:ascii="宋体" w:hAnsi="宋体" w:eastAsia="宋体" w:cs="宋体"/>
        </w:rPr>
      </w:pPr>
      <w:r>
        <w:rPr>
          <w:rFonts w:hint="eastAsia" w:ascii="宋体" w:hAnsi="宋体" w:eastAsia="宋体" w:cs="宋体"/>
        </w:rPr>
        <w:t>总体设计架构</w:t>
      </w:r>
    </w:p>
    <w:p>
      <w:pPr>
        <w:spacing w:line="360" w:lineRule="auto"/>
        <w:ind w:firstLine="480"/>
        <w:jc w:val="left"/>
        <w:rPr>
          <w:rFonts w:ascii="宋体" w:hAnsi="宋体" w:eastAsia="宋体" w:cs="宋体"/>
        </w:rPr>
      </w:pPr>
      <w:r>
        <w:rPr>
          <w:rFonts w:hint="eastAsia" w:ascii="宋体" w:hAnsi="宋体" w:eastAsia="宋体" w:cs="宋体"/>
        </w:rPr>
        <w:t>为加快全区域智慧停车建设步伐，早日实现全区停车难的重点民生问题，增城二、三期项目建议继续采用“路内停车智能管理产品”，是针对当前静态交通行业痛点问题推出的一套标准化、系统化、智能化的产品方案。以高位视频设备为基础、以平台算法为核心，与工业以太网、环境监控、夜间补光等配套技术共同构成。通过前端高位视频技术对路内停车场的车辆车牌信息的识别与采集，最终传送至路内停车信息采集与服务平台，实时监控路内泊位的运营情况。本产品最大优势是可以管理平行车位、垂停车位、斜列车位等多种停车场景，具有自动检测并记录车辆驶入、驶离车位时间，采集停放车辆图片信息，包括车牌颜色，车牌号码、泊位号、停车/驶离特写图、停车/驶离过程时序图、车牌特写图，以及对跨位停车、半侧位停车和斜位停车等异常停车状态进行判别等功能。</w:t>
      </w:r>
    </w:p>
    <w:p>
      <w:pPr>
        <w:spacing w:line="360" w:lineRule="auto"/>
        <w:ind w:firstLine="480"/>
        <w:jc w:val="left"/>
        <w:rPr>
          <w:rFonts w:ascii="宋体" w:hAnsi="宋体" w:eastAsia="宋体" w:cs="宋体"/>
        </w:rPr>
      </w:pPr>
      <w:r>
        <w:rPr>
          <w:rFonts w:hint="eastAsia" w:ascii="宋体" w:hAnsi="宋体" w:eastAsia="宋体" w:cs="宋体"/>
        </w:rPr>
        <w:t>在系统实现上，总体包括新建路内高位检测智能摄像机，扩容和接入既有一期智慧停车管理平台、前场管理员移动巡检App、车主移动服务App等。并在各平台协作下，提供包括停车在内的智慧城市管理服务。系统总体架构如下：</w:t>
      </w:r>
    </w:p>
    <w:p>
      <w:pPr>
        <w:spacing w:line="360" w:lineRule="auto"/>
        <w:jc w:val="center"/>
        <w:rPr>
          <w:rFonts w:ascii="宋体" w:hAnsi="宋体" w:eastAsia="宋体" w:cs="宋体"/>
        </w:rPr>
      </w:pPr>
      <w:r>
        <w:rPr>
          <w:rFonts w:hint="eastAsia" w:ascii="宋体" w:hAnsi="宋体" w:eastAsia="宋体" w:cs="宋体"/>
          <w:color w:val="000000" w:themeColor="text1"/>
          <w14:textFill>
            <w14:solidFill>
              <w14:schemeClr w14:val="tx1"/>
            </w14:solidFill>
          </w14:textFill>
        </w:rPr>
        <w:drawing>
          <wp:inline distT="0" distB="0" distL="0" distR="0">
            <wp:extent cx="4031615" cy="428625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031615" cy="4286250"/>
                    </a:xfrm>
                    <a:prstGeom prst="rect">
                      <a:avLst/>
                    </a:prstGeom>
                    <a:noFill/>
                    <a:ln>
                      <a:noFill/>
                    </a:ln>
                  </pic:spPr>
                </pic:pic>
              </a:graphicData>
            </a:graphic>
          </wp:inline>
        </w:drawing>
      </w:r>
    </w:p>
    <w:p>
      <w:pPr>
        <w:spacing w:line="360" w:lineRule="auto"/>
        <w:jc w:val="center"/>
        <w:rPr>
          <w:rFonts w:ascii="宋体" w:hAnsi="宋体" w:eastAsia="宋体" w:cs="宋体"/>
        </w:rPr>
      </w:pPr>
      <w:r>
        <w:rPr>
          <w:rFonts w:hint="eastAsia" w:ascii="宋体" w:hAnsi="宋体" w:eastAsia="宋体" w:cs="宋体"/>
        </w:rPr>
        <w:t>图：智慧停车管理系统整体架构图</w:t>
      </w:r>
    </w:p>
    <w:p>
      <w:pPr>
        <w:pStyle w:val="6"/>
        <w:spacing w:line="360" w:lineRule="auto"/>
        <w:rPr>
          <w:rFonts w:ascii="宋体" w:hAnsi="宋体" w:eastAsia="宋体" w:cs="宋体"/>
        </w:rPr>
      </w:pPr>
      <w:r>
        <w:rPr>
          <w:rFonts w:hint="eastAsia" w:ascii="宋体" w:hAnsi="宋体" w:eastAsia="宋体" w:cs="宋体"/>
        </w:rPr>
        <w:t>系统网络架构</w:t>
      </w:r>
    </w:p>
    <w:p>
      <w:pPr>
        <w:spacing w:line="360" w:lineRule="auto"/>
        <w:ind w:firstLine="480"/>
        <w:jc w:val="left"/>
        <w:rPr>
          <w:rFonts w:ascii="宋体" w:hAnsi="宋体" w:eastAsia="宋体" w:cs="宋体"/>
        </w:rPr>
      </w:pPr>
      <w:r>
        <w:rPr>
          <w:rFonts w:hint="eastAsia" w:ascii="宋体" w:hAnsi="宋体" w:eastAsia="宋体" w:cs="宋体"/>
        </w:rPr>
        <w:t>本次建设在一期建设的基础上进行升级改造，结合一期建设实际情况，网络系统的总体架构做如下设计，需要考虑视频识别以及视频监控的网络通信标准及要求。</w:t>
      </w:r>
    </w:p>
    <w:p>
      <w:pPr>
        <w:pStyle w:val="28"/>
        <w:ind w:firstLine="0" w:firstLineChars="0"/>
        <w:jc w:val="left"/>
        <w:rPr>
          <w:rFonts w:eastAsia="宋体" w:cs="宋体"/>
        </w:rPr>
      </w:pPr>
      <w:r>
        <w:rPr>
          <w:rFonts w:hint="eastAsia" w:eastAsia="宋体" w:cs="宋体"/>
        </w:rPr>
        <w:t xml:space="preserve"> </w:t>
      </w:r>
      <w:r>
        <w:rPr>
          <w:rFonts w:hint="eastAsia" w:eastAsia="宋体" w:cs="宋体"/>
        </w:rPr>
        <w:object>
          <v:shape id="_x0000_i1025" o:spt="75" type="#_x0000_t75" style="height:375pt;width:397.05pt;" o:ole="t" filled="f" o:preferrelative="t" stroked="f" coordsize="21600,21600">
            <v:path/>
            <v:fill on="f" focussize="0,0"/>
            <v:stroke on="f" joinstyle="miter"/>
            <v:imagedata r:id="rId7" o:title=""/>
            <o:lock v:ext="edit" aspectratio="t"/>
            <w10:wrap type="none"/>
            <w10:anchorlock/>
          </v:shape>
          <o:OLEObject Type="Embed" ProgID="Visio.Drawing.15" ShapeID="_x0000_i1025" DrawAspect="Content" ObjectID="_1468075725" r:id="rId6">
            <o:LockedField>false</o:LockedField>
          </o:OLEObject>
        </w:object>
      </w:r>
    </w:p>
    <w:p>
      <w:pPr>
        <w:spacing w:line="360" w:lineRule="auto"/>
        <w:ind w:firstLine="480"/>
        <w:jc w:val="center"/>
        <w:rPr>
          <w:rFonts w:ascii="宋体" w:hAnsi="宋体" w:eastAsia="宋体" w:cs="宋体"/>
        </w:rPr>
      </w:pPr>
      <w:bookmarkStart w:id="0" w:name="_Toc74773670"/>
      <w:r>
        <w:rPr>
          <w:rFonts w:hint="eastAsia" w:ascii="宋体" w:hAnsi="宋体" w:eastAsia="宋体" w:cs="宋体"/>
        </w:rPr>
        <w:t>图：平台设备终端网络拓扑图</w:t>
      </w:r>
      <w:bookmarkEnd w:id="0"/>
    </w:p>
    <w:p>
      <w:pPr>
        <w:spacing w:line="360" w:lineRule="auto"/>
        <w:ind w:firstLine="480"/>
        <w:jc w:val="left"/>
        <w:rPr>
          <w:rFonts w:ascii="宋体" w:hAnsi="宋体" w:eastAsia="宋体" w:cs="宋体"/>
        </w:rPr>
      </w:pPr>
      <w:r>
        <w:rPr>
          <w:rFonts w:hint="eastAsia" w:ascii="宋体" w:hAnsi="宋体" w:eastAsia="宋体" w:cs="宋体"/>
        </w:rPr>
        <w:t>前端车牌识别设备网络连接：高位检测智能摄像机通过网络双绞线连接至停车场网络交换机，对于规模较大的车场，如果高位视频识别设备与交换机之间的线缆长度超过100米，需要布放光纤链路，使用光纤收发器完成网络连接。</w:t>
      </w:r>
    </w:p>
    <w:p>
      <w:pPr>
        <w:spacing w:line="360" w:lineRule="auto"/>
        <w:ind w:firstLine="480"/>
        <w:jc w:val="left"/>
        <w:rPr>
          <w:rFonts w:ascii="宋体" w:hAnsi="宋体" w:eastAsia="宋体" w:cs="宋体"/>
        </w:rPr>
      </w:pPr>
      <w:r>
        <w:rPr>
          <w:rFonts w:hint="eastAsia" w:ascii="宋体" w:hAnsi="宋体" w:eastAsia="宋体" w:cs="宋体"/>
        </w:rPr>
        <w:t>停车场与中心平台网络连接：视频识别和视频监控数据通过专线网络使用标准TCP/IP传输至云平台。</w:t>
      </w:r>
    </w:p>
    <w:p>
      <w:pPr>
        <w:jc w:val="left"/>
        <w:rPr>
          <w:rFonts w:ascii="宋体" w:hAnsi="宋体" w:eastAsia="宋体" w:cs="宋体"/>
        </w:rPr>
      </w:pPr>
    </w:p>
    <w:p>
      <w:pPr>
        <w:pStyle w:val="6"/>
        <w:spacing w:line="360" w:lineRule="auto"/>
        <w:rPr>
          <w:rFonts w:ascii="宋体" w:hAnsi="宋体" w:eastAsia="宋体" w:cs="宋体"/>
        </w:rPr>
      </w:pPr>
      <w:r>
        <w:rPr>
          <w:rFonts w:hint="eastAsia" w:ascii="宋体" w:hAnsi="宋体" w:eastAsia="宋体" w:cs="宋体"/>
        </w:rPr>
        <w:t>应用总体架构</w:t>
      </w:r>
    </w:p>
    <w:p>
      <w:pPr>
        <w:spacing w:line="360" w:lineRule="auto"/>
        <w:ind w:firstLine="480"/>
        <w:jc w:val="left"/>
        <w:rPr>
          <w:rFonts w:ascii="宋体" w:hAnsi="宋体" w:eastAsia="宋体" w:cs="宋体"/>
        </w:rPr>
      </w:pPr>
      <w:r>
        <w:rPr>
          <w:rFonts w:hint="eastAsia" w:ascii="宋体" w:hAnsi="宋体" w:eastAsia="宋体" w:cs="宋体"/>
        </w:rPr>
        <w:t>本项目为智慧停车二期建设，利用现有的平台内容，除开发升级部分功能外本次仅为平台接入及扩容。</w:t>
      </w:r>
    </w:p>
    <w:p>
      <w:pPr>
        <w:pStyle w:val="5"/>
        <w:rPr>
          <w:rFonts w:ascii="宋体" w:hAnsi="宋体" w:eastAsia="宋体" w:cs="宋体"/>
          <w:sz w:val="28"/>
          <w:szCs w:val="36"/>
        </w:rPr>
      </w:pPr>
      <w:r>
        <w:rPr>
          <w:rFonts w:hint="eastAsia" w:ascii="宋体" w:hAnsi="宋体" w:eastAsia="宋体" w:cs="宋体"/>
          <w:sz w:val="28"/>
          <w:szCs w:val="36"/>
        </w:rPr>
        <w:t>项目建设范围</w:t>
      </w:r>
    </w:p>
    <w:p>
      <w:pPr>
        <w:spacing w:line="360" w:lineRule="auto"/>
        <w:ind w:firstLine="480"/>
        <w:jc w:val="left"/>
        <w:rPr>
          <w:rFonts w:ascii="宋体" w:hAnsi="宋体" w:eastAsia="宋体" w:cs="宋体"/>
        </w:rPr>
      </w:pPr>
      <w:r>
        <w:rPr>
          <w:rFonts w:hint="eastAsia" w:ascii="宋体" w:hAnsi="宋体" w:eastAsia="宋体" w:cs="宋体"/>
        </w:rPr>
        <w:t>全区范围内选36条主要道路（详见下表），共2510个泊位，作为第二阶段建设车场。硬件设备技术选型延续第一阶段建设以视频识别技术的高位视频车位检测设备，通过对高清摄像头采集的图像进行分析处理，获取车位状态、车辆号牌等信息支持停车业务全面展开。</w:t>
      </w:r>
    </w:p>
    <w:p>
      <w:pPr>
        <w:spacing w:line="360" w:lineRule="auto"/>
        <w:ind w:firstLine="480"/>
        <w:rPr>
          <w:rFonts w:ascii="宋体" w:hAnsi="宋体" w:eastAsia="宋体" w:cs="宋体"/>
        </w:rPr>
      </w:pPr>
      <w:r>
        <w:rPr>
          <w:rFonts w:hint="eastAsia" w:ascii="宋体" w:hAnsi="宋体" w:eastAsia="宋体" w:cs="宋体"/>
        </w:rPr>
        <w:t>以下道路若涉及城市规划，造成变更或取消的，经监理和采购人确认后，进行相应调整，项目预算、建设泊位数量保持不变。</w:t>
      </w:r>
    </w:p>
    <w:tbl>
      <w:tblPr>
        <w:tblStyle w:val="18"/>
        <w:tblW w:w="8364" w:type="dxa"/>
        <w:tblInd w:w="-5" w:type="dxa"/>
        <w:tblLayout w:type="fixed"/>
        <w:tblCellMar>
          <w:top w:w="0" w:type="dxa"/>
          <w:left w:w="108" w:type="dxa"/>
          <w:bottom w:w="0" w:type="dxa"/>
          <w:right w:w="108" w:type="dxa"/>
        </w:tblCellMar>
      </w:tblPr>
      <w:tblGrid>
        <w:gridCol w:w="709"/>
        <w:gridCol w:w="1276"/>
        <w:gridCol w:w="2835"/>
        <w:gridCol w:w="992"/>
        <w:gridCol w:w="1418"/>
        <w:gridCol w:w="1134"/>
      </w:tblGrid>
      <w:tr>
        <w:tblPrEx>
          <w:tblCellMar>
            <w:top w:w="0" w:type="dxa"/>
            <w:left w:w="108" w:type="dxa"/>
            <w:bottom w:w="0" w:type="dxa"/>
            <w:right w:w="108" w:type="dxa"/>
          </w:tblCellMar>
        </w:tblPrEx>
        <w:trPr>
          <w:trHeight w:val="352"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路名</w:t>
            </w:r>
          </w:p>
        </w:tc>
        <w:tc>
          <w:tcPr>
            <w:tcW w:w="283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路名</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车位数</w:t>
            </w:r>
          </w:p>
        </w:tc>
        <w:tc>
          <w:tcPr>
            <w:tcW w:w="141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泊位位置</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泊位类型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富鸿路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（通园中路-开园中路）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富力路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（通园中路-菜园中路）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富宝路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（增派大道-开园中路）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87</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富鹏路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（增派大道-开园中路）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71</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富民路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（开园中路-城北路）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51</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富宁路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（通园中路-塘园中路）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92</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通园中路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（增派大道-富宁路）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167</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菜园中路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（增派大道-荔城大道）</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162</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城北路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（富民路-怡丰路）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81</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塘园中路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(富民路-富国路)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101</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富国路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（通园中路-沙园中路）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75</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和平路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（新桥路-中山路）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光明西路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（荔景大道-夏街大道）</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165</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荔园路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（荔兴路-夏街大道）</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88</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荔兴路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（荔城大道-岗前路）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88</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翠景路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（荔乡路-荔乡路）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73</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洋角街</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（翠景路-荔乡路）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滨海路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（夏街大道-沿江西路）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86</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滨海一街</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（府佑路-滨海路）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沿江西路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（府佑路-增城大道）</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177</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荔乡路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（增城广场路段）</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38</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民生路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（荔乡路-夏街大道）</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43</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民乐路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（荔乡路-夏街大道）</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38</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健生路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（荔景大道-西城路）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63</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汇源路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（荔乡路-荔兴路）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岗前路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（荔乡路-夏街大道）</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27</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翠西路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（翠景路-荔乡路）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28</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观翠路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（翠景路-荔乡路）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29</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育才路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（荔城大道-光明西路）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莲花路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（莲园路-荔园路）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36</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飞扬西路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（百花路—荔星大道北）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83</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金竹一路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金竹一路（东）</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69</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沙园中路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（富民市场段）</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金竹环路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金竹环路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148</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非自型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金竹西路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金竹西路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非字型</w:t>
            </w:r>
          </w:p>
        </w:tc>
      </w:tr>
      <w:tr>
        <w:tblPrEx>
          <w:tblCellMar>
            <w:top w:w="0" w:type="dxa"/>
            <w:left w:w="108" w:type="dxa"/>
            <w:bottom w:w="0" w:type="dxa"/>
            <w:right w:w="108" w:type="dxa"/>
          </w:tblCellMar>
        </w:tblPrEx>
        <w:trPr>
          <w:trHeight w:val="35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新桥路</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（挂绿路-相江路）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117</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路内停车泊位</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日字型</w:t>
            </w:r>
          </w:p>
        </w:tc>
      </w:tr>
      <w:tr>
        <w:tblPrEx>
          <w:tblCellMar>
            <w:top w:w="0" w:type="dxa"/>
            <w:left w:w="108" w:type="dxa"/>
            <w:bottom w:w="0" w:type="dxa"/>
            <w:right w:w="108" w:type="dxa"/>
          </w:tblCellMar>
        </w:tblPrEx>
        <w:trPr>
          <w:trHeight w:val="352"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合计</w:t>
            </w: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2510</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bl>
    <w:p>
      <w:pPr>
        <w:rPr>
          <w:rFonts w:ascii="宋体" w:hAnsi="宋体" w:eastAsia="宋体" w:cs="宋体"/>
        </w:rPr>
      </w:pPr>
    </w:p>
    <w:p>
      <w:pPr>
        <w:pStyle w:val="5"/>
        <w:rPr>
          <w:rFonts w:ascii="宋体" w:hAnsi="宋体" w:eastAsia="宋体" w:cs="宋体"/>
          <w:sz w:val="28"/>
          <w:szCs w:val="36"/>
        </w:rPr>
      </w:pPr>
      <w:r>
        <w:rPr>
          <w:rFonts w:hint="eastAsia" w:ascii="宋体" w:hAnsi="宋体" w:eastAsia="宋体" w:cs="宋体"/>
          <w:sz w:val="28"/>
          <w:szCs w:val="36"/>
        </w:rPr>
        <w:t>前端基础设施建设</w:t>
      </w:r>
    </w:p>
    <w:p>
      <w:pPr>
        <w:ind w:firstLine="420" w:firstLineChars="200"/>
        <w:rPr>
          <w:rFonts w:ascii="宋体" w:hAnsi="宋体" w:eastAsia="宋体" w:cs="宋体"/>
          <w:szCs w:val="21"/>
        </w:rPr>
      </w:pPr>
    </w:p>
    <w:p>
      <w:pPr>
        <w:spacing w:line="360" w:lineRule="auto"/>
        <w:ind w:firstLine="480"/>
        <w:jc w:val="left"/>
        <w:rPr>
          <w:rFonts w:ascii="宋体" w:hAnsi="宋体" w:eastAsia="宋体" w:cs="宋体"/>
        </w:rPr>
      </w:pPr>
      <w:r>
        <w:rPr>
          <w:rFonts w:hint="eastAsia" w:ascii="宋体" w:hAnsi="宋体" w:eastAsia="宋体" w:cs="宋体"/>
        </w:rPr>
        <w:t>前端系统主要由高位视频检测摄像机、高清视频监控摄像机、LED补光灯、泊车智能管理设备、硬盘录像机、手持PDA终端、配套设备等组成。前端点位由配套工程项目供电，使用网线与网络传输设备连接，通过传输系统把图片数据信号传送到前端设备系统进行处理和存储（视频前端存储），然后传输至区政务云。</w:t>
      </w:r>
    </w:p>
    <w:tbl>
      <w:tblPr>
        <w:tblStyle w:val="18"/>
        <w:tblW w:w="8673"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10"/>
        <w:gridCol w:w="4727"/>
        <w:gridCol w:w="323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 w:hRule="atLeast"/>
        </w:trPr>
        <w:tc>
          <w:tcPr>
            <w:tcW w:w="710" w:type="dxa"/>
          </w:tcPr>
          <w:p>
            <w:pPr>
              <w:spacing w:line="360" w:lineRule="auto"/>
              <w:jc w:val="center"/>
              <w:rPr>
                <w:rFonts w:ascii="宋体" w:hAnsi="宋体" w:eastAsia="宋体" w:cs="宋体"/>
                <w:szCs w:val="21"/>
              </w:rPr>
            </w:pPr>
            <w:r>
              <w:rPr>
                <w:rFonts w:hint="eastAsia" w:ascii="宋体" w:hAnsi="宋体" w:eastAsia="宋体" w:cs="宋体"/>
                <w:szCs w:val="21"/>
              </w:rPr>
              <w:t>序号</w:t>
            </w:r>
          </w:p>
        </w:tc>
        <w:tc>
          <w:tcPr>
            <w:tcW w:w="4727"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系统性能主要指标要求</w:t>
            </w:r>
          </w:p>
        </w:tc>
        <w:tc>
          <w:tcPr>
            <w:tcW w:w="3236"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指标值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9" w:hRule="atLeast"/>
        </w:trPr>
        <w:tc>
          <w:tcPr>
            <w:tcW w:w="710"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1</w:t>
            </w:r>
          </w:p>
        </w:tc>
        <w:tc>
          <w:tcPr>
            <w:tcW w:w="4727" w:type="dxa"/>
            <w:vAlign w:val="center"/>
          </w:tcPr>
          <w:p>
            <w:pPr>
              <w:rPr>
                <w:rFonts w:ascii="宋体" w:hAnsi="宋体" w:eastAsia="宋体" w:cs="宋体"/>
                <w:szCs w:val="21"/>
              </w:rPr>
            </w:pPr>
            <w:r>
              <w:rPr>
                <w:rFonts w:hint="eastAsia" w:ascii="宋体" w:hAnsi="宋体" w:eastAsia="宋体" w:cs="宋体"/>
                <w:szCs w:val="21"/>
              </w:rPr>
              <w:t>系统完好情况达成率，了解系统整体质量情况；完好率=（建成总数-故障数）÷建成总数×100%；</w:t>
            </w:r>
          </w:p>
        </w:tc>
        <w:tc>
          <w:tcPr>
            <w:tcW w:w="3236" w:type="dxa"/>
            <w:vAlign w:val="center"/>
          </w:tcPr>
          <w:p>
            <w:pPr>
              <w:rPr>
                <w:rFonts w:ascii="宋体" w:hAnsi="宋体" w:eastAsia="宋体" w:cs="宋体"/>
                <w:szCs w:val="21"/>
              </w:rPr>
            </w:pPr>
            <w:r>
              <w:rPr>
                <w:rFonts w:hint="eastAsia" w:ascii="宋体" w:hAnsi="宋体" w:eastAsia="宋体" w:cs="宋体"/>
                <w:szCs w:val="21"/>
              </w:rPr>
              <w:t>高位视频系统完好率≥98%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9" w:hRule="atLeast"/>
        </w:trPr>
        <w:tc>
          <w:tcPr>
            <w:tcW w:w="710"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2</w:t>
            </w:r>
          </w:p>
        </w:tc>
        <w:tc>
          <w:tcPr>
            <w:tcW w:w="4727" w:type="dxa"/>
            <w:vAlign w:val="center"/>
          </w:tcPr>
          <w:p>
            <w:pPr>
              <w:rPr>
                <w:rFonts w:ascii="宋体" w:hAnsi="宋体" w:eastAsia="宋体" w:cs="宋体"/>
                <w:szCs w:val="21"/>
              </w:rPr>
            </w:pPr>
            <w:r>
              <w:rPr>
                <w:rFonts w:hint="eastAsia" w:ascii="宋体" w:hAnsi="宋体" w:eastAsia="宋体" w:cs="宋体"/>
                <w:szCs w:val="21"/>
              </w:rPr>
              <w:t>平台数据接入达标率，反应平台所需基础数据接入情况；平台数据接入达标率=实际接入数据量÷满足平台性能应接入的数据量×100%；</w:t>
            </w:r>
          </w:p>
        </w:tc>
        <w:tc>
          <w:tcPr>
            <w:tcW w:w="3236" w:type="dxa"/>
            <w:vAlign w:val="center"/>
          </w:tcPr>
          <w:p>
            <w:pPr>
              <w:rPr>
                <w:rFonts w:ascii="宋体" w:hAnsi="宋体" w:eastAsia="宋体" w:cs="宋体"/>
                <w:szCs w:val="21"/>
              </w:rPr>
            </w:pPr>
            <w:r>
              <w:rPr>
                <w:rFonts w:hint="eastAsia" w:ascii="宋体" w:hAnsi="宋体" w:eastAsia="宋体" w:cs="宋体"/>
                <w:szCs w:val="21"/>
              </w:rPr>
              <w:t>平台数据接入达标率≥98%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9" w:hRule="atLeast"/>
        </w:trPr>
        <w:tc>
          <w:tcPr>
            <w:tcW w:w="710"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3</w:t>
            </w:r>
          </w:p>
        </w:tc>
        <w:tc>
          <w:tcPr>
            <w:tcW w:w="4727" w:type="dxa"/>
            <w:vAlign w:val="center"/>
          </w:tcPr>
          <w:p>
            <w:pPr>
              <w:rPr>
                <w:rFonts w:ascii="宋体" w:hAnsi="宋体" w:eastAsia="宋体" w:cs="宋体"/>
                <w:szCs w:val="21"/>
              </w:rPr>
            </w:pPr>
            <w:r>
              <w:rPr>
                <w:rFonts w:hint="eastAsia" w:ascii="宋体" w:hAnsi="宋体" w:eastAsia="宋体" w:cs="宋体"/>
                <w:szCs w:val="21"/>
              </w:rPr>
              <w:t>用户感知的及时性和系统响应的时效性</w:t>
            </w:r>
          </w:p>
        </w:tc>
        <w:tc>
          <w:tcPr>
            <w:tcW w:w="3236" w:type="dxa"/>
          </w:tcPr>
          <w:p>
            <w:pPr>
              <w:rPr>
                <w:rFonts w:ascii="宋体" w:hAnsi="宋体" w:eastAsia="宋体" w:cs="宋体"/>
                <w:szCs w:val="21"/>
              </w:rPr>
            </w:pPr>
            <w:r>
              <w:rPr>
                <w:rFonts w:hint="eastAsia" w:ascii="宋体" w:hAnsi="宋体" w:eastAsia="宋体" w:cs="宋体"/>
                <w:szCs w:val="21"/>
              </w:rPr>
              <w:t>车辆入场的停车记录及车辆出场的停车订单生成并推送到用户终端时间不超过3分钟效应时间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9" w:hRule="atLeast"/>
        </w:trPr>
        <w:tc>
          <w:tcPr>
            <w:tcW w:w="710" w:type="dxa"/>
            <w:vAlign w:val="center"/>
          </w:tcPr>
          <w:p>
            <w:pPr>
              <w:spacing w:line="360" w:lineRule="auto"/>
              <w:jc w:val="center"/>
              <w:rPr>
                <w:rFonts w:ascii="宋体" w:hAnsi="宋体" w:eastAsia="宋体" w:cs="宋体"/>
                <w:szCs w:val="21"/>
              </w:rPr>
            </w:pPr>
            <w:r>
              <w:rPr>
                <w:rFonts w:hint="eastAsia" w:ascii="宋体" w:hAnsi="宋体" w:eastAsia="宋体" w:cs="宋体"/>
                <w:szCs w:val="21"/>
              </w:rPr>
              <w:t>4</w:t>
            </w:r>
          </w:p>
        </w:tc>
        <w:tc>
          <w:tcPr>
            <w:tcW w:w="4727" w:type="dxa"/>
            <w:vAlign w:val="center"/>
          </w:tcPr>
          <w:p>
            <w:pPr>
              <w:spacing w:line="360" w:lineRule="auto"/>
              <w:jc w:val="left"/>
              <w:rPr>
                <w:rFonts w:ascii="宋体" w:hAnsi="宋体" w:eastAsia="宋体" w:cs="宋体"/>
                <w:szCs w:val="21"/>
              </w:rPr>
            </w:pPr>
            <w:r>
              <w:rPr>
                <w:rFonts w:hint="eastAsia" w:ascii="宋体" w:hAnsi="宋体" w:eastAsia="宋体" w:cs="宋体"/>
                <w:szCs w:val="21"/>
              </w:rPr>
              <w:t>数据质量</w:t>
            </w:r>
          </w:p>
        </w:tc>
        <w:tc>
          <w:tcPr>
            <w:tcW w:w="3236" w:type="dxa"/>
            <w:vAlign w:val="center"/>
          </w:tcPr>
          <w:p>
            <w:pPr>
              <w:rPr>
                <w:rFonts w:ascii="宋体" w:hAnsi="宋体" w:eastAsia="宋体" w:cs="宋体"/>
                <w:szCs w:val="21"/>
              </w:rPr>
            </w:pPr>
            <w:r>
              <w:rPr>
                <w:rFonts w:hint="eastAsia" w:ascii="宋体" w:hAnsi="宋体" w:eastAsia="宋体" w:cs="宋体"/>
              </w:rPr>
              <w:t>★</w:t>
            </w:r>
            <w:r>
              <w:rPr>
                <w:rFonts w:hint="eastAsia" w:ascii="宋体" w:hAnsi="宋体" w:eastAsia="宋体" w:cs="宋体"/>
                <w:szCs w:val="21"/>
              </w:rPr>
              <w:t>前端停车数据准确率≥96%</w:t>
            </w:r>
          </w:p>
        </w:tc>
      </w:tr>
    </w:tbl>
    <w:p>
      <w:pPr>
        <w:rPr>
          <w:rFonts w:ascii="宋体" w:hAnsi="宋体" w:eastAsia="宋体" w:cs="宋体"/>
          <w:szCs w:val="21"/>
        </w:rPr>
      </w:pPr>
    </w:p>
    <w:p>
      <w:pPr>
        <w:pStyle w:val="6"/>
        <w:spacing w:line="360" w:lineRule="auto"/>
        <w:rPr>
          <w:rFonts w:ascii="宋体" w:hAnsi="宋体" w:eastAsia="宋体" w:cs="宋体"/>
        </w:rPr>
      </w:pPr>
      <w:r>
        <w:rPr>
          <w:rFonts w:hint="eastAsia" w:ascii="宋体" w:hAnsi="宋体" w:eastAsia="宋体" w:cs="宋体"/>
        </w:rPr>
        <w:t>高位检测智能摄像机技术指标要求</w:t>
      </w:r>
    </w:p>
    <w:p>
      <w:pPr>
        <w:spacing w:line="360" w:lineRule="auto"/>
        <w:ind w:firstLine="480"/>
        <w:jc w:val="left"/>
        <w:rPr>
          <w:rFonts w:ascii="宋体" w:hAnsi="宋体" w:eastAsia="宋体" w:cs="宋体"/>
        </w:rPr>
      </w:pPr>
      <w:r>
        <w:rPr>
          <w:rFonts w:hint="eastAsia" w:ascii="宋体" w:hAnsi="宋体" w:eastAsia="宋体" w:cs="宋体"/>
        </w:rPr>
        <w:t>本项目采用高位检测智能摄像机作为全日停泊路段车位管理的智能感知设备，通过视频分析技术识别进出停车区域的车辆获取车牌号、车牌颜色等车辆特征信息，识别泊位编号并对泊位占用状态进行感知，实现泊位状态检测、车辆停车动作的检测及抓拍，以图片和视频的形式记录车辆进入泊位-驶出泊位的完整过程，记录车辆驶入驶出的过程证据，生成停车记录，形成完整的停车取证数据链，为停车收费、逃费的管理提供有力保障，极大提升车位管理效率。智能摄像机参照国标、onvif等协议接入，并在增城区智慧停车平台上进行统一的管理与操作，智能摄像机具备的功能如下：</w:t>
      </w:r>
    </w:p>
    <w:p>
      <w:pPr>
        <w:spacing w:line="360" w:lineRule="auto"/>
        <w:ind w:firstLine="480"/>
        <w:jc w:val="left"/>
        <w:rPr>
          <w:rFonts w:ascii="宋体" w:hAnsi="宋体" w:eastAsia="宋体" w:cs="宋体"/>
        </w:rPr>
      </w:pPr>
    </w:p>
    <w:p>
      <w:pPr>
        <w:ind w:firstLine="422" w:firstLineChars="200"/>
        <w:rPr>
          <w:rFonts w:ascii="宋体" w:hAnsi="宋体" w:eastAsia="宋体" w:cs="宋体"/>
          <w:b/>
          <w:szCs w:val="21"/>
        </w:rPr>
      </w:pPr>
      <w:r>
        <w:rPr>
          <w:rFonts w:hint="eastAsia" w:ascii="宋体" w:hAnsi="宋体" w:eastAsia="宋体" w:cs="宋体"/>
          <w:b/>
          <w:szCs w:val="21"/>
        </w:rPr>
        <w:t>1、实时监控功能</w:t>
      </w:r>
    </w:p>
    <w:p>
      <w:pPr>
        <w:spacing w:line="360" w:lineRule="auto"/>
        <w:ind w:firstLine="480"/>
        <w:jc w:val="left"/>
        <w:rPr>
          <w:rFonts w:ascii="宋体" w:hAnsi="宋体" w:eastAsia="宋体" w:cs="宋体"/>
        </w:rPr>
      </w:pPr>
      <w:r>
        <w:rPr>
          <w:rFonts w:hint="eastAsia" w:ascii="宋体" w:hAnsi="宋体" w:eastAsia="宋体" w:cs="宋体"/>
        </w:rPr>
        <w:t>智能摄像机提供实时监控功能，实时监控来源于高清信息的采集，除了清晰度外，应采用镜头组合的方式实现各泊位的连续清晰监控，还有如低照度、超宽动态、多码流、前端存储等技术来体现。可以对各停车路段管理区域实施24小时监控，不论在白天还是晚上或恶劣天气，均能在业务调度室端实现远程访问前端智能摄像机，清晰地观察到现场的实时画面，查看停车路段路面即时情况。</w:t>
      </w:r>
    </w:p>
    <w:p>
      <w:pPr>
        <w:ind w:firstLine="422" w:firstLineChars="200"/>
        <w:rPr>
          <w:rFonts w:ascii="宋体" w:hAnsi="宋体" w:eastAsia="宋体" w:cs="宋体"/>
          <w:b/>
          <w:szCs w:val="21"/>
        </w:rPr>
      </w:pPr>
      <w:r>
        <w:rPr>
          <w:rFonts w:hint="eastAsia" w:ascii="宋体" w:hAnsi="宋体" w:eastAsia="宋体" w:cs="宋体"/>
          <w:b/>
          <w:szCs w:val="21"/>
        </w:rPr>
        <w:t>2、车辆跟踪功能</w:t>
      </w:r>
    </w:p>
    <w:p>
      <w:pPr>
        <w:spacing w:line="360" w:lineRule="auto"/>
        <w:ind w:firstLine="480"/>
        <w:jc w:val="left"/>
        <w:rPr>
          <w:rFonts w:ascii="宋体" w:hAnsi="宋体" w:eastAsia="宋体" w:cs="宋体"/>
        </w:rPr>
      </w:pPr>
      <w:r>
        <w:rPr>
          <w:rFonts w:hint="eastAsia" w:ascii="宋体" w:hAnsi="宋体" w:eastAsia="宋体" w:cs="宋体"/>
        </w:rPr>
        <w:t>利用视频进行分析，抓拍车辆尾部图片，判断行车道上车辆的行车状态是否拟进入泊位，对车辆车牌进行动态跟踪。系统设置功能能够根据业务管理需求，对不同路段、个别泊位进行相应设置，提供泊位收费开/关功能。</w:t>
      </w:r>
    </w:p>
    <w:p>
      <w:pPr>
        <w:ind w:firstLine="422" w:firstLineChars="200"/>
        <w:rPr>
          <w:rFonts w:ascii="宋体" w:hAnsi="宋体" w:eastAsia="宋体" w:cs="宋体"/>
          <w:b/>
          <w:szCs w:val="21"/>
        </w:rPr>
      </w:pPr>
      <w:r>
        <w:rPr>
          <w:rFonts w:hint="eastAsia" w:ascii="宋体" w:hAnsi="宋体" w:eastAsia="宋体" w:cs="宋体"/>
          <w:b/>
          <w:szCs w:val="21"/>
        </w:rPr>
        <w:t>3、车牌号牌识别功能</w:t>
      </w:r>
    </w:p>
    <w:p>
      <w:pPr>
        <w:spacing w:line="360" w:lineRule="auto"/>
        <w:ind w:firstLine="480"/>
        <w:jc w:val="left"/>
        <w:rPr>
          <w:rFonts w:ascii="宋体" w:hAnsi="宋体" w:eastAsia="宋体" w:cs="宋体"/>
        </w:rPr>
      </w:pPr>
      <w:r>
        <w:rPr>
          <w:rFonts w:hint="eastAsia" w:ascii="宋体" w:hAnsi="宋体" w:eastAsia="宋体" w:cs="宋体"/>
        </w:rPr>
        <w:t>智能摄像机自带层次化的字符识别流程，智能算法对字符图像进行处理，不仅尽可能地保留了图像信息，而且提高了图像质量，提高了相似字符的可区分性，保证字符识别的可靠性。智能摄像机车牌识别符合“GA36-1992”、“GA36.1-2001”、“GA36-2007”标准的民用车号牌识别要求，新能源车牌、“2012式”军车号牌、“GA/T497-2009”武警车号牌的汉字、字母、数字、颜色等信息；黑、白、蓝、黄、绿车牌颜色识别，所能识别的字符包括：</w:t>
      </w:r>
    </w:p>
    <w:p>
      <w:pPr>
        <w:spacing w:line="360" w:lineRule="auto"/>
        <w:ind w:firstLine="480"/>
        <w:jc w:val="left"/>
        <w:rPr>
          <w:rFonts w:ascii="宋体" w:hAnsi="宋体" w:eastAsia="宋体" w:cs="宋体"/>
        </w:rPr>
      </w:pPr>
      <w:r>
        <w:rPr>
          <w:rFonts w:hint="eastAsia" w:ascii="宋体" w:hAnsi="宋体" w:eastAsia="宋体" w:cs="宋体"/>
        </w:rPr>
        <w:t>1）车牌号码自动识别</w:t>
      </w:r>
    </w:p>
    <w:p>
      <w:pPr>
        <w:ind w:firstLine="422" w:firstLineChars="200"/>
        <w:jc w:val="center"/>
        <w:rPr>
          <w:rFonts w:ascii="宋体" w:hAnsi="宋体" w:eastAsia="宋体" w:cs="宋体"/>
          <w:szCs w:val="21"/>
        </w:rPr>
      </w:pPr>
      <w:r>
        <w:rPr>
          <w:rFonts w:hint="eastAsia" w:ascii="宋体" w:hAnsi="宋体" w:eastAsia="宋体" w:cs="宋体"/>
          <w:b/>
          <w:bCs/>
          <w:szCs w:val="21"/>
        </w:rPr>
        <w:t>表格</w:t>
      </w:r>
      <w:r>
        <w:rPr>
          <w:rFonts w:hint="eastAsia" w:ascii="宋体" w:hAnsi="宋体" w:eastAsia="宋体" w:cs="宋体"/>
          <w:b/>
          <w:bCs/>
          <w:szCs w:val="21"/>
        </w:rPr>
        <w:fldChar w:fldCharType="begin"/>
      </w:r>
      <w:r>
        <w:rPr>
          <w:rFonts w:hint="eastAsia" w:ascii="宋体" w:hAnsi="宋体" w:eastAsia="宋体" w:cs="宋体"/>
          <w:b/>
          <w:bCs/>
          <w:szCs w:val="21"/>
        </w:rPr>
        <w:instrText xml:space="preserve">SEQ 表格 \* ARABIC</w:instrText>
      </w:r>
      <w:r>
        <w:rPr>
          <w:rFonts w:hint="eastAsia" w:ascii="宋体" w:hAnsi="宋体" w:eastAsia="宋体" w:cs="宋体"/>
          <w:b/>
          <w:bCs/>
          <w:szCs w:val="21"/>
        </w:rPr>
        <w:fldChar w:fldCharType="separate"/>
      </w:r>
      <w:r>
        <w:rPr>
          <w:rFonts w:hint="eastAsia" w:ascii="宋体" w:hAnsi="宋体" w:eastAsia="宋体" w:cs="宋体"/>
          <w:b/>
          <w:bCs/>
          <w:szCs w:val="21"/>
        </w:rPr>
        <w:t>1</w:t>
      </w:r>
      <w:r>
        <w:rPr>
          <w:rFonts w:hint="eastAsia" w:ascii="宋体" w:hAnsi="宋体" w:eastAsia="宋体" w:cs="宋体"/>
          <w:b/>
          <w:bCs/>
          <w:szCs w:val="21"/>
        </w:rPr>
        <w:fldChar w:fldCharType="end"/>
      </w:r>
      <w:r>
        <w:rPr>
          <w:rFonts w:hint="eastAsia" w:ascii="宋体" w:hAnsi="宋体" w:eastAsia="宋体" w:cs="宋体"/>
          <w:b/>
          <w:bCs/>
          <w:szCs w:val="21"/>
        </w:rPr>
        <w:t>车牌号码自动识别范围</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ind w:firstLine="420" w:firstLineChars="200"/>
              <w:rPr>
                <w:rFonts w:ascii="宋体" w:hAnsi="宋体" w:eastAsia="宋体" w:cs="宋体"/>
                <w:szCs w:val="21"/>
              </w:rPr>
            </w:pPr>
            <w:r>
              <w:rPr>
                <w:rFonts w:hint="eastAsia" w:ascii="宋体" w:hAnsi="宋体" w:eastAsia="宋体" w:cs="宋体"/>
                <w:szCs w:val="21"/>
              </w:rPr>
              <w:t>阿拉伯数字</w:t>
            </w:r>
          </w:p>
        </w:tc>
        <w:tc>
          <w:tcPr>
            <w:tcW w:w="6146" w:type="dxa"/>
            <w:vAlign w:val="center"/>
          </w:tcPr>
          <w:p>
            <w:pPr>
              <w:ind w:firstLine="420" w:firstLineChars="200"/>
              <w:rPr>
                <w:rFonts w:ascii="宋体" w:hAnsi="宋体" w:eastAsia="宋体" w:cs="宋体"/>
                <w:szCs w:val="21"/>
              </w:rPr>
            </w:pPr>
            <w:r>
              <w:rPr>
                <w:rFonts w:hint="eastAsia" w:ascii="宋体" w:hAnsi="宋体" w:eastAsia="宋体" w:cs="宋体"/>
                <w:szCs w:val="21"/>
              </w:rPr>
              <w:t>“0~9”十个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ind w:firstLine="420" w:firstLineChars="200"/>
              <w:rPr>
                <w:rFonts w:ascii="宋体" w:hAnsi="宋体" w:eastAsia="宋体" w:cs="宋体"/>
                <w:szCs w:val="21"/>
              </w:rPr>
            </w:pPr>
            <w:r>
              <w:rPr>
                <w:rFonts w:hint="eastAsia" w:ascii="宋体" w:hAnsi="宋体" w:eastAsia="宋体" w:cs="宋体"/>
                <w:szCs w:val="21"/>
              </w:rPr>
              <w:t>英文字母</w:t>
            </w:r>
          </w:p>
        </w:tc>
        <w:tc>
          <w:tcPr>
            <w:tcW w:w="6146" w:type="dxa"/>
            <w:vAlign w:val="center"/>
          </w:tcPr>
          <w:p>
            <w:pPr>
              <w:ind w:firstLine="420" w:firstLineChars="200"/>
              <w:rPr>
                <w:rFonts w:ascii="宋体" w:hAnsi="宋体" w:eastAsia="宋体" w:cs="宋体"/>
                <w:szCs w:val="21"/>
              </w:rPr>
            </w:pPr>
            <w:r>
              <w:rPr>
                <w:rFonts w:hint="eastAsia" w:ascii="宋体" w:hAnsi="宋体" w:eastAsia="宋体" w:cs="宋体"/>
                <w:szCs w:val="21"/>
              </w:rPr>
              <w:t>“A~Z”二十六个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宋体" w:hAnsi="宋体" w:eastAsia="宋体" w:cs="宋体"/>
                <w:szCs w:val="21"/>
              </w:rPr>
            </w:pPr>
            <w:r>
              <w:rPr>
                <w:rFonts w:hint="eastAsia" w:ascii="宋体" w:hAnsi="宋体" w:eastAsia="宋体" w:cs="宋体"/>
                <w:szCs w:val="21"/>
              </w:rPr>
              <w:t>省、自治区、直辖市简称用汉字</w:t>
            </w:r>
          </w:p>
        </w:tc>
        <w:tc>
          <w:tcPr>
            <w:tcW w:w="6146" w:type="dxa"/>
            <w:vAlign w:val="center"/>
          </w:tcPr>
          <w:p>
            <w:pPr>
              <w:rPr>
                <w:rFonts w:ascii="宋体" w:hAnsi="宋体" w:eastAsia="宋体" w:cs="宋体"/>
                <w:szCs w:val="21"/>
              </w:rPr>
            </w:pPr>
            <w:r>
              <w:rPr>
                <w:rFonts w:hint="eastAsia" w:ascii="宋体" w:hAnsi="宋体" w:eastAsia="宋体" w:cs="宋体"/>
                <w:szCs w:val="21"/>
              </w:rPr>
              <w:t>京、津、晋、冀、蒙、辽、吉、黑、沪、苏、浙、皖、闽、赣、鲁、豫、鄂、湘、粤、桂、琼、川、贵、云、藏、陕、甘、青、宁、新、渝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宋体" w:hAnsi="宋体" w:eastAsia="宋体" w:cs="宋体"/>
                <w:szCs w:val="21"/>
              </w:rPr>
            </w:pPr>
            <w:r>
              <w:rPr>
                <w:rFonts w:hint="eastAsia" w:ascii="宋体" w:hAnsi="宋体" w:eastAsia="宋体" w:cs="宋体"/>
                <w:szCs w:val="21"/>
              </w:rPr>
              <w:t>专用号牌简称用汉字</w:t>
            </w:r>
          </w:p>
        </w:tc>
        <w:tc>
          <w:tcPr>
            <w:tcW w:w="6146" w:type="dxa"/>
            <w:vAlign w:val="center"/>
          </w:tcPr>
          <w:p>
            <w:pPr>
              <w:rPr>
                <w:rFonts w:ascii="宋体" w:hAnsi="宋体" w:eastAsia="宋体" w:cs="宋体"/>
                <w:szCs w:val="21"/>
              </w:rPr>
            </w:pPr>
            <w:r>
              <w:rPr>
                <w:rFonts w:hint="eastAsia" w:ascii="宋体" w:hAnsi="宋体" w:eastAsia="宋体" w:cs="宋体"/>
                <w:szCs w:val="21"/>
              </w:rPr>
              <w:t>领、使、警、学、挂、港、澳、试、超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ind w:firstLine="420" w:firstLineChars="200"/>
              <w:rPr>
                <w:rFonts w:ascii="宋体" w:hAnsi="宋体" w:eastAsia="宋体" w:cs="宋体"/>
                <w:szCs w:val="21"/>
              </w:rPr>
            </w:pPr>
            <w:r>
              <w:rPr>
                <w:rFonts w:hint="eastAsia" w:ascii="宋体" w:hAnsi="宋体" w:eastAsia="宋体" w:cs="宋体"/>
                <w:szCs w:val="21"/>
              </w:rPr>
              <w:t>12式武警号牌字符</w:t>
            </w:r>
          </w:p>
        </w:tc>
        <w:tc>
          <w:tcPr>
            <w:tcW w:w="6146" w:type="dxa"/>
            <w:vAlign w:val="center"/>
          </w:tcPr>
          <w:p>
            <w:pPr>
              <w:rPr>
                <w:rFonts w:ascii="宋体" w:hAnsi="宋体" w:eastAsia="宋体" w:cs="宋体"/>
                <w:szCs w:val="21"/>
              </w:rPr>
            </w:pPr>
            <w:r>
              <w:rPr>
                <w:rFonts w:hint="eastAsia" w:ascii="宋体" w:hAnsi="宋体" w:eastAsia="宋体" w:cs="宋体"/>
                <w:szCs w:val="21"/>
              </w:rPr>
              <w:t>WJ样式的字母、省份简称汉字、警种字母（X、B、T、S、H、J、D）、数字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ind w:firstLine="420" w:firstLineChars="200"/>
              <w:rPr>
                <w:rFonts w:ascii="宋体" w:hAnsi="宋体" w:eastAsia="宋体" w:cs="宋体"/>
                <w:szCs w:val="21"/>
              </w:rPr>
            </w:pPr>
            <w:r>
              <w:rPr>
                <w:rFonts w:hint="eastAsia" w:ascii="宋体" w:hAnsi="宋体" w:eastAsia="宋体" w:cs="宋体"/>
                <w:szCs w:val="21"/>
              </w:rPr>
              <w:t>12式军车号牌字符</w:t>
            </w:r>
          </w:p>
        </w:tc>
        <w:tc>
          <w:tcPr>
            <w:tcW w:w="6146" w:type="dxa"/>
            <w:vAlign w:val="center"/>
          </w:tcPr>
          <w:p>
            <w:pPr>
              <w:ind w:firstLine="420" w:firstLineChars="200"/>
              <w:rPr>
                <w:rFonts w:ascii="宋体" w:hAnsi="宋体" w:eastAsia="宋体" w:cs="宋体"/>
                <w:szCs w:val="21"/>
              </w:rPr>
            </w:pPr>
            <w:r>
              <w:rPr>
                <w:rFonts w:hint="eastAsia" w:ascii="宋体" w:hAnsi="宋体" w:eastAsia="宋体" w:cs="宋体"/>
                <w:szCs w:val="21"/>
              </w:rPr>
              <w:t>各军区/各军兵种部拼音缩写字母、各军区/各军兵种部下辖各部属机构拼音缩写字母、数字</w:t>
            </w:r>
          </w:p>
        </w:tc>
      </w:tr>
    </w:tbl>
    <w:p>
      <w:pPr>
        <w:spacing w:line="360" w:lineRule="auto"/>
        <w:ind w:firstLine="480"/>
        <w:jc w:val="left"/>
        <w:rPr>
          <w:rFonts w:ascii="宋体" w:hAnsi="宋体" w:eastAsia="宋体" w:cs="宋体"/>
        </w:rPr>
      </w:pPr>
      <w:r>
        <w:rPr>
          <w:rFonts w:hint="eastAsia" w:ascii="宋体" w:hAnsi="宋体" w:eastAsia="宋体" w:cs="宋体"/>
        </w:rPr>
        <w:t>2）车牌颜色自动识别</w:t>
      </w:r>
    </w:p>
    <w:p>
      <w:pPr>
        <w:spacing w:line="360" w:lineRule="auto"/>
        <w:ind w:firstLine="480"/>
        <w:jc w:val="left"/>
        <w:rPr>
          <w:rFonts w:ascii="宋体" w:hAnsi="宋体" w:eastAsia="宋体" w:cs="宋体"/>
        </w:rPr>
      </w:pPr>
      <w:r>
        <w:rPr>
          <w:rFonts w:hint="eastAsia" w:ascii="宋体" w:hAnsi="宋体" w:eastAsia="宋体" w:cs="宋体"/>
        </w:rPr>
        <w:t>识别黑、白、蓝、黄、绿五种车牌颜色。</w:t>
      </w:r>
    </w:p>
    <w:p>
      <w:pPr>
        <w:spacing w:line="360" w:lineRule="auto"/>
        <w:ind w:firstLine="480"/>
        <w:jc w:val="left"/>
        <w:rPr>
          <w:rFonts w:ascii="宋体" w:hAnsi="宋体" w:eastAsia="宋体" w:cs="宋体"/>
        </w:rPr>
      </w:pPr>
      <w:r>
        <w:rPr>
          <w:rFonts w:hint="eastAsia" w:ascii="宋体" w:hAnsi="宋体" w:eastAsia="宋体" w:cs="宋体"/>
        </w:rPr>
        <w:t>3）车牌识别扩展</w:t>
      </w:r>
    </w:p>
    <w:p>
      <w:pPr>
        <w:spacing w:line="360" w:lineRule="auto"/>
        <w:ind w:firstLine="480"/>
        <w:jc w:val="left"/>
        <w:rPr>
          <w:rFonts w:ascii="宋体" w:hAnsi="宋体" w:eastAsia="宋体" w:cs="宋体"/>
        </w:rPr>
      </w:pPr>
      <w:r>
        <w:rPr>
          <w:rFonts w:hint="eastAsia" w:ascii="宋体" w:hAnsi="宋体" w:eastAsia="宋体" w:cs="宋体"/>
        </w:rPr>
        <w:t>当车牌形式发生变更时，要求在不更改识别软件的前提下通过改变识别字库以及字符训练达到软件升级。对保质期内出现的新式车牌，免费提供车牌识别软件的升级服务。</w:t>
      </w:r>
    </w:p>
    <w:p>
      <w:pPr>
        <w:spacing w:line="360" w:lineRule="auto"/>
        <w:ind w:firstLine="480"/>
        <w:jc w:val="left"/>
        <w:rPr>
          <w:rFonts w:ascii="宋体" w:hAnsi="宋体" w:eastAsia="宋体" w:cs="宋体"/>
        </w:rPr>
      </w:pPr>
      <w:r>
        <w:rPr>
          <w:rFonts w:hint="eastAsia" w:ascii="宋体" w:hAnsi="宋体" w:eastAsia="宋体" w:cs="宋体"/>
        </w:rPr>
        <w:t>4）车牌识别率</w:t>
      </w:r>
    </w:p>
    <w:p>
      <w:pPr>
        <w:spacing w:line="360" w:lineRule="auto"/>
        <w:ind w:firstLine="480"/>
        <w:jc w:val="left"/>
        <w:rPr>
          <w:rFonts w:ascii="宋体" w:hAnsi="宋体" w:eastAsia="宋体" w:cs="宋体"/>
        </w:rPr>
      </w:pPr>
      <w:r>
        <w:rPr>
          <w:rFonts w:hint="eastAsia" w:ascii="宋体" w:hAnsi="宋体" w:eastAsia="宋体" w:cs="宋体"/>
        </w:rPr>
        <w:t>智能摄像机在车辆号牌无污损下，白天车牌识别率≥97%，夜间车牌识别率≥90%。</w:t>
      </w:r>
    </w:p>
    <w:p>
      <w:pPr>
        <w:ind w:firstLine="422" w:firstLineChars="200"/>
        <w:rPr>
          <w:rFonts w:ascii="宋体" w:hAnsi="宋体" w:eastAsia="宋体" w:cs="宋体"/>
          <w:b/>
          <w:szCs w:val="21"/>
        </w:rPr>
      </w:pPr>
      <w:r>
        <w:rPr>
          <w:rFonts w:hint="eastAsia" w:ascii="宋体" w:hAnsi="宋体" w:eastAsia="宋体" w:cs="宋体"/>
          <w:b/>
          <w:szCs w:val="21"/>
        </w:rPr>
        <w:t>4、泊位管理功能</w:t>
      </w:r>
    </w:p>
    <w:p>
      <w:pPr>
        <w:spacing w:line="360" w:lineRule="auto"/>
        <w:ind w:firstLine="480"/>
        <w:jc w:val="left"/>
        <w:rPr>
          <w:rFonts w:ascii="宋体" w:hAnsi="宋体" w:eastAsia="宋体" w:cs="宋体"/>
        </w:rPr>
      </w:pPr>
      <w:r>
        <w:rPr>
          <w:rFonts w:hint="eastAsia" w:ascii="宋体" w:hAnsi="宋体" w:eastAsia="宋体" w:cs="宋体"/>
        </w:rPr>
        <w:t>为判断车辆是否停放在划线区域内提供基础。</w:t>
      </w:r>
    </w:p>
    <w:p>
      <w:pPr>
        <w:ind w:firstLine="422" w:firstLineChars="200"/>
        <w:rPr>
          <w:rFonts w:ascii="宋体" w:hAnsi="宋体" w:eastAsia="宋体" w:cs="宋体"/>
          <w:b/>
          <w:szCs w:val="21"/>
        </w:rPr>
      </w:pPr>
      <w:r>
        <w:rPr>
          <w:rFonts w:hint="eastAsia" w:ascii="宋体" w:hAnsi="宋体" w:eastAsia="宋体" w:cs="宋体"/>
          <w:b/>
          <w:szCs w:val="21"/>
        </w:rPr>
        <w:t>5、跨位停泊识别功能</w:t>
      </w:r>
    </w:p>
    <w:p>
      <w:pPr>
        <w:spacing w:line="360" w:lineRule="auto"/>
        <w:ind w:firstLine="480"/>
        <w:jc w:val="left"/>
        <w:rPr>
          <w:rFonts w:ascii="宋体" w:hAnsi="宋体" w:eastAsia="宋体" w:cs="宋体"/>
        </w:rPr>
      </w:pPr>
      <w:r>
        <w:rPr>
          <w:rFonts w:hint="eastAsia" w:ascii="宋体" w:hAnsi="宋体" w:eastAsia="宋体" w:cs="宋体"/>
        </w:rPr>
        <w:t>对各种没有按照路面划线把车辆停放在划线区域内的情况进行判别后抓拍，抓拍记录作为执法依据，包括逆向停车（未按道路行进方向停泊）、跨位停车（一车跨停两泊位）、斜位停车（倾斜停泊）、违法停车（停泊非指定位置）。</w:t>
      </w:r>
    </w:p>
    <w:p>
      <w:pPr>
        <w:ind w:firstLine="422" w:firstLineChars="200"/>
        <w:rPr>
          <w:rFonts w:ascii="宋体" w:hAnsi="宋体" w:eastAsia="宋体" w:cs="宋体"/>
          <w:b/>
          <w:szCs w:val="21"/>
        </w:rPr>
      </w:pPr>
      <w:r>
        <w:rPr>
          <w:rFonts w:hint="eastAsia" w:ascii="宋体" w:hAnsi="宋体" w:eastAsia="宋体" w:cs="宋体"/>
          <w:b/>
          <w:szCs w:val="21"/>
        </w:rPr>
        <w:t>6、车辆行为检测功能</w:t>
      </w:r>
    </w:p>
    <w:p>
      <w:pPr>
        <w:spacing w:line="360" w:lineRule="auto"/>
        <w:ind w:firstLine="480"/>
        <w:jc w:val="left"/>
        <w:rPr>
          <w:rFonts w:ascii="宋体" w:hAnsi="宋体" w:eastAsia="宋体" w:cs="宋体"/>
        </w:rPr>
      </w:pPr>
      <w:r>
        <w:rPr>
          <w:rFonts w:hint="eastAsia" w:ascii="宋体" w:hAnsi="宋体" w:eastAsia="宋体" w:cs="宋体"/>
        </w:rPr>
        <w:t>车辆停驶：车辆停止移动10秒以上认为车辆停驶，判断车辆的停驶时间可调整；</w:t>
      </w:r>
    </w:p>
    <w:p>
      <w:pPr>
        <w:spacing w:line="360" w:lineRule="auto"/>
        <w:ind w:firstLine="480"/>
        <w:jc w:val="left"/>
        <w:rPr>
          <w:rFonts w:ascii="宋体" w:hAnsi="宋体" w:eastAsia="宋体" w:cs="宋体"/>
        </w:rPr>
      </w:pPr>
      <w:r>
        <w:rPr>
          <w:rFonts w:hint="eastAsia" w:ascii="宋体" w:hAnsi="宋体" w:eastAsia="宋体" w:cs="宋体"/>
        </w:rPr>
        <w:t>车辆逆行：车辆在车道中行驶方向和所设定的方向相反。</w:t>
      </w:r>
    </w:p>
    <w:p>
      <w:pPr>
        <w:ind w:firstLine="422" w:firstLineChars="200"/>
        <w:rPr>
          <w:rFonts w:ascii="宋体" w:hAnsi="宋体" w:eastAsia="宋体" w:cs="宋体"/>
          <w:b/>
          <w:szCs w:val="21"/>
        </w:rPr>
      </w:pPr>
      <w:r>
        <w:rPr>
          <w:rFonts w:hint="eastAsia" w:ascii="宋体" w:hAnsi="宋体" w:eastAsia="宋体" w:cs="宋体"/>
          <w:b/>
          <w:szCs w:val="21"/>
        </w:rPr>
        <w:t>7、图片记录功能</w:t>
      </w:r>
    </w:p>
    <w:p>
      <w:pPr>
        <w:spacing w:line="360" w:lineRule="auto"/>
        <w:ind w:firstLine="480"/>
        <w:jc w:val="left"/>
        <w:rPr>
          <w:rFonts w:ascii="宋体" w:hAnsi="宋体" w:eastAsia="宋体" w:cs="宋体"/>
        </w:rPr>
      </w:pPr>
      <w:r>
        <w:rPr>
          <w:rFonts w:hint="eastAsia" w:ascii="宋体" w:hAnsi="宋体" w:eastAsia="宋体" w:cs="宋体"/>
        </w:rPr>
        <w:t>车辆进、出泊位时，智能摄像机对管理区域内的规范使用泊位的车辆捕捉拍摄，能准确拍摄车辆特征图像，图片包含车辆或尾部所有特征，能看清车辆类型、颜色和挂饰，进、出过程分别形成不少于5张有效过程照片。</w:t>
      </w:r>
    </w:p>
    <w:p>
      <w:pPr>
        <w:ind w:firstLine="422" w:firstLineChars="200"/>
        <w:rPr>
          <w:rFonts w:ascii="宋体" w:hAnsi="宋体" w:eastAsia="宋体" w:cs="宋体"/>
          <w:b/>
          <w:szCs w:val="21"/>
        </w:rPr>
      </w:pPr>
      <w:r>
        <w:rPr>
          <w:rFonts w:hint="eastAsia" w:ascii="宋体" w:hAnsi="宋体" w:eastAsia="宋体" w:cs="宋体"/>
          <w:b/>
          <w:szCs w:val="21"/>
        </w:rPr>
        <w:t>8、光线补偿及强光抑制功能</w:t>
      </w:r>
    </w:p>
    <w:p>
      <w:pPr>
        <w:spacing w:line="360" w:lineRule="auto"/>
        <w:ind w:firstLine="480"/>
        <w:jc w:val="left"/>
        <w:rPr>
          <w:rFonts w:ascii="宋体" w:hAnsi="宋体" w:eastAsia="宋体" w:cs="宋体"/>
        </w:rPr>
      </w:pPr>
      <w:r>
        <w:rPr>
          <w:rFonts w:hint="eastAsia" w:ascii="宋体" w:hAnsi="宋体" w:eastAsia="宋体" w:cs="宋体"/>
        </w:rPr>
        <w:t>在环境光照度比较低的情况下例如夜晚，光控自动感应开关开启LED暖色补光灯进行补光，以增强图片亮度，保证车牌图片足够清晰，便于识别。在强光照射下例如晴天正午，自动调整智能摄像机的成像模式，使用软、硬件结合的方法控制图像的曝光，抑制强光影响，保证车辆图片曝光正常，成像清晰，从中不仅能清晰的识别车辆牌照，还不会造成对侧行车影响，而这一切都是以补光方式不影响机动车驾驶人员的正常驾驶为前提的。同时，系统后台可远程控制补光设备开启和关闭。</w:t>
      </w:r>
    </w:p>
    <w:p>
      <w:pPr>
        <w:ind w:firstLine="422" w:firstLineChars="200"/>
        <w:rPr>
          <w:rFonts w:ascii="宋体" w:hAnsi="宋体" w:eastAsia="宋体" w:cs="宋体"/>
          <w:b/>
          <w:szCs w:val="21"/>
        </w:rPr>
      </w:pPr>
      <w:r>
        <w:rPr>
          <w:rFonts w:hint="eastAsia" w:ascii="宋体" w:hAnsi="宋体" w:eastAsia="宋体" w:cs="宋体"/>
          <w:b/>
          <w:szCs w:val="21"/>
        </w:rPr>
        <w:t>9、时间校准功能</w:t>
      </w:r>
    </w:p>
    <w:p>
      <w:pPr>
        <w:spacing w:line="360" w:lineRule="auto"/>
        <w:ind w:firstLine="480"/>
        <w:jc w:val="left"/>
        <w:rPr>
          <w:rFonts w:ascii="宋体" w:hAnsi="宋体" w:eastAsia="宋体" w:cs="宋体"/>
        </w:rPr>
      </w:pPr>
      <w:r>
        <w:rPr>
          <w:rFonts w:hint="eastAsia" w:ascii="宋体" w:hAnsi="宋体" w:eastAsia="宋体" w:cs="宋体"/>
        </w:rPr>
        <w:t>按照《GA/T832-2014道路交通安全违法行为图像取证技术规范》的要求，智能摄像机定时校正，24h内计时误差不超过1.0s，确保所有前端设备点位每日至少与后台时钟系统同步一次。时钟校正周期可根据实际情况设定。</w:t>
      </w:r>
    </w:p>
    <w:p>
      <w:pPr>
        <w:spacing w:line="360" w:lineRule="auto"/>
        <w:ind w:firstLine="480"/>
        <w:jc w:val="left"/>
        <w:rPr>
          <w:rFonts w:ascii="宋体" w:hAnsi="宋体" w:eastAsia="宋体" w:cs="宋体"/>
        </w:rPr>
      </w:pPr>
      <w:r>
        <w:rPr>
          <w:rFonts w:hint="eastAsia" w:ascii="宋体" w:hAnsi="宋体" w:eastAsia="宋体" w:cs="宋体"/>
        </w:rPr>
        <w:t>智能摄像机设备重新启动、应用软件恢复工作或网络中断后重新连通时，应能及时进行时钟校正。</w:t>
      </w:r>
    </w:p>
    <w:p>
      <w:pPr>
        <w:ind w:firstLine="422" w:firstLineChars="200"/>
        <w:rPr>
          <w:rFonts w:ascii="宋体" w:hAnsi="宋体" w:eastAsia="宋体" w:cs="宋体"/>
          <w:b/>
          <w:szCs w:val="21"/>
        </w:rPr>
      </w:pPr>
      <w:r>
        <w:rPr>
          <w:rFonts w:hint="eastAsia" w:ascii="宋体" w:hAnsi="宋体" w:eastAsia="宋体" w:cs="宋体"/>
          <w:b/>
          <w:szCs w:val="21"/>
        </w:rPr>
        <w:t>10、设备自检功能</w:t>
      </w:r>
    </w:p>
    <w:p>
      <w:pPr>
        <w:spacing w:line="360" w:lineRule="auto"/>
        <w:ind w:firstLine="480"/>
        <w:jc w:val="left"/>
        <w:rPr>
          <w:rFonts w:ascii="宋体" w:hAnsi="宋体" w:eastAsia="宋体" w:cs="宋体"/>
        </w:rPr>
      </w:pPr>
      <w:r>
        <w:rPr>
          <w:rFonts w:hint="eastAsia" w:ascii="宋体" w:hAnsi="宋体" w:eastAsia="宋体" w:cs="宋体"/>
        </w:rPr>
        <w:t>智能摄像机对自身运行产生的故障情况进行检测，同时保存设备故障信息。详细记录摄像机故障、视频压缩故障、上传故障等设备故障信息。</w:t>
      </w:r>
    </w:p>
    <w:p>
      <w:pPr>
        <w:spacing w:line="360" w:lineRule="auto"/>
        <w:ind w:firstLine="480"/>
        <w:jc w:val="left"/>
        <w:rPr>
          <w:rFonts w:ascii="宋体" w:hAnsi="宋体" w:eastAsia="宋体" w:cs="宋体"/>
        </w:rPr>
      </w:pPr>
      <w:r>
        <w:rPr>
          <w:rFonts w:hint="eastAsia" w:ascii="宋体" w:hAnsi="宋体" w:eastAsia="宋体" w:cs="宋体"/>
        </w:rPr>
        <w:t>智能摄像机能够5秒自动巡检一次各设备组件，动态调整检测参数，以适应户外环境的各种变化，保证系统工作在最高精度。异常故障（停电等）发生后，系统能够自动重启恢复到正常工作状态，不死机，以适应路口的各种恶劣环境。</w:t>
      </w:r>
    </w:p>
    <w:p>
      <w:pPr>
        <w:spacing w:line="360" w:lineRule="auto"/>
        <w:ind w:firstLine="480"/>
        <w:jc w:val="left"/>
        <w:rPr>
          <w:rFonts w:ascii="宋体" w:hAnsi="宋体" w:eastAsia="宋体" w:cs="宋体"/>
        </w:rPr>
      </w:pPr>
      <w:r>
        <w:rPr>
          <w:rFonts w:hint="eastAsia" w:ascii="宋体" w:hAnsi="宋体" w:eastAsia="宋体" w:cs="宋体"/>
        </w:rPr>
        <w:t>将设备故障信息主动上传给后台，通知管理员。维护人员能够通过网络对系统主要设备进行远程系统维护，上传周期的设置由用户自定义。</w:t>
      </w:r>
    </w:p>
    <w:p>
      <w:pPr>
        <w:ind w:firstLine="422" w:firstLineChars="200"/>
        <w:rPr>
          <w:rFonts w:ascii="宋体" w:hAnsi="宋体" w:eastAsia="宋体" w:cs="宋体"/>
          <w:b/>
          <w:szCs w:val="21"/>
        </w:rPr>
      </w:pPr>
      <w:r>
        <w:rPr>
          <w:rFonts w:hint="eastAsia" w:ascii="宋体" w:hAnsi="宋体" w:eastAsia="宋体" w:cs="宋体"/>
          <w:b/>
          <w:szCs w:val="21"/>
        </w:rPr>
        <w:t>11、系统设置参数接收功能</w:t>
      </w:r>
    </w:p>
    <w:p>
      <w:pPr>
        <w:spacing w:line="360" w:lineRule="auto"/>
        <w:ind w:firstLine="480"/>
        <w:jc w:val="left"/>
        <w:rPr>
          <w:rFonts w:ascii="宋体" w:hAnsi="宋体" w:eastAsia="宋体" w:cs="宋体"/>
        </w:rPr>
      </w:pPr>
      <w:r>
        <w:rPr>
          <w:rFonts w:hint="eastAsia" w:ascii="宋体" w:hAnsi="宋体" w:eastAsia="宋体" w:cs="宋体"/>
        </w:rPr>
        <w:t>系统基础设置：包括了设备编号、IP地址、网关、是否暂停抓拍、数据信息上传周期、故障信息上传周期、设备自检周期等参数的设置。</w:t>
      </w:r>
    </w:p>
    <w:p>
      <w:pPr>
        <w:spacing w:line="360" w:lineRule="auto"/>
        <w:ind w:firstLine="480"/>
        <w:jc w:val="left"/>
        <w:rPr>
          <w:rFonts w:ascii="宋体" w:hAnsi="宋体" w:eastAsia="宋体" w:cs="宋体"/>
        </w:rPr>
      </w:pPr>
      <w:r>
        <w:rPr>
          <w:rFonts w:hint="eastAsia" w:ascii="宋体" w:hAnsi="宋体" w:eastAsia="宋体" w:cs="宋体"/>
        </w:rPr>
        <w:t>检测区域设置：包括了检测区域、车道类型、抓拍方向、是否检测逆行等参数的设置。</w:t>
      </w:r>
    </w:p>
    <w:p>
      <w:pPr>
        <w:spacing w:line="360" w:lineRule="auto"/>
        <w:ind w:firstLine="480"/>
        <w:jc w:val="left"/>
        <w:rPr>
          <w:rFonts w:ascii="宋体" w:hAnsi="宋体" w:eastAsia="宋体" w:cs="宋体"/>
        </w:rPr>
      </w:pPr>
      <w:r>
        <w:rPr>
          <w:rFonts w:hint="eastAsia" w:ascii="宋体" w:hAnsi="宋体" w:eastAsia="宋体" w:cs="宋体"/>
        </w:rPr>
        <w:t>除前端进行系统参数设置外，还可以接收系统后台的参数设置。</w:t>
      </w:r>
    </w:p>
    <w:p>
      <w:pPr>
        <w:ind w:firstLine="422" w:firstLineChars="200"/>
        <w:rPr>
          <w:rFonts w:ascii="宋体" w:hAnsi="宋体" w:eastAsia="宋体" w:cs="宋体"/>
        </w:rPr>
      </w:pPr>
      <w:r>
        <w:rPr>
          <w:rFonts w:hint="eastAsia" w:ascii="宋体" w:hAnsi="宋体" w:eastAsia="宋体" w:cs="宋体"/>
          <w:b/>
          <w:szCs w:val="21"/>
        </w:rPr>
        <w:t>12、其他功能</w:t>
      </w:r>
    </w:p>
    <w:p>
      <w:pPr>
        <w:spacing w:line="360" w:lineRule="auto"/>
        <w:ind w:firstLine="480"/>
        <w:jc w:val="left"/>
        <w:rPr>
          <w:rFonts w:ascii="宋体" w:hAnsi="宋体" w:eastAsia="宋体" w:cs="宋体"/>
        </w:rPr>
      </w:pPr>
      <w:r>
        <w:rPr>
          <w:rFonts w:hint="eastAsia" w:ascii="宋体" w:hAnsi="宋体" w:eastAsia="宋体" w:cs="宋体"/>
        </w:rPr>
        <w:t>高位视频智能检测摄像机具备远程巡检能力，可查看每个泊位的实时停车图片及近30天的历史回溯图片，具备AI算法巡检，快速发现停车泊位指定区域变化的能力。</w:t>
      </w:r>
    </w:p>
    <w:p>
      <w:pPr>
        <w:spacing w:line="360" w:lineRule="auto"/>
        <w:ind w:firstLine="480"/>
        <w:jc w:val="left"/>
        <w:rPr>
          <w:rFonts w:ascii="宋体" w:hAnsi="宋体" w:eastAsia="宋体" w:cs="宋体"/>
        </w:rPr>
      </w:pPr>
      <w:r>
        <w:rPr>
          <w:rFonts w:hint="eastAsia" w:ascii="宋体" w:hAnsi="宋体" w:eastAsia="宋体" w:cs="宋体"/>
        </w:rPr>
        <w:t>高位视频智能检测摄像机具备设备图像画质远程监管能力，对画线异常、水印异常、泊位重复、有遮挡物、相机偏移、图片模糊、设备离线、夜间模糊、树枝遮挡的情况进行上报。可以按照车场及故障类型归集问题，运维人员可操作批量修复。</w:t>
      </w:r>
    </w:p>
    <w:p>
      <w:pPr>
        <w:spacing w:line="360" w:lineRule="auto"/>
        <w:ind w:firstLine="480"/>
        <w:jc w:val="left"/>
        <w:rPr>
          <w:rFonts w:ascii="宋体" w:hAnsi="宋体" w:eastAsia="宋体" w:cs="宋体"/>
        </w:rPr>
      </w:pPr>
      <w:r>
        <w:rPr>
          <w:rFonts w:hint="eastAsia" w:ascii="宋体" w:hAnsi="宋体" w:eastAsia="宋体" w:cs="宋体"/>
        </w:rPr>
        <w:t>高位视频智能检测摄像机具备智能预警能力，针对多车占位、车辆入场、出场事件漏报、无牌车占用泊位等情况进行智能预警。</w:t>
      </w:r>
    </w:p>
    <w:p>
      <w:pPr>
        <w:ind w:firstLine="422" w:firstLineChars="200"/>
        <w:rPr>
          <w:rFonts w:ascii="宋体" w:hAnsi="宋体" w:eastAsia="宋体" w:cs="宋体"/>
          <w:b/>
          <w:bCs/>
          <w:szCs w:val="21"/>
        </w:rPr>
      </w:pPr>
      <w:r>
        <w:rPr>
          <w:rFonts w:hint="eastAsia" w:ascii="宋体" w:hAnsi="宋体" w:eastAsia="宋体" w:cs="宋体"/>
          <w:b/>
          <w:bCs/>
          <w:szCs w:val="21"/>
        </w:rPr>
        <w:t>13、补光灯</w:t>
      </w:r>
    </w:p>
    <w:p>
      <w:pPr>
        <w:spacing w:line="360" w:lineRule="auto"/>
        <w:ind w:firstLine="480"/>
        <w:jc w:val="left"/>
        <w:rPr>
          <w:rFonts w:ascii="宋体" w:hAnsi="宋体" w:eastAsia="宋体" w:cs="宋体"/>
        </w:rPr>
      </w:pPr>
      <w:r>
        <w:rPr>
          <w:rFonts w:hint="eastAsia" w:ascii="宋体" w:hAnsi="宋体" w:eastAsia="宋体" w:cs="宋体"/>
        </w:rPr>
        <w:t>在环境光照度比较低的路段，在夜间情况，LED低照度补光灯路口进行补光。光控自动感应开关开启补光灯进行补光，以增强图片亮度，保证车牌图片足够清晰，便于识别。在强光照射下（例如晴天正午），结合智能摄像机低照度能力，系统会自动调整智能摄像机的成像模式，使用软、硬件结合的方法控制图像的曝光，抑制强光影响，保证能清晰的识别车辆牌照，同时，客户端可远程控制补光设备开启和关闭。本项目摄像采用行驶方向后方的方式并辅以补光方式实现，不影响道路上机动车前排司乘人员的正常驾驶，而且对人眼不造成影响。</w:t>
      </w:r>
    </w:p>
    <w:p>
      <w:pPr>
        <w:pStyle w:val="6"/>
        <w:spacing w:line="360" w:lineRule="auto"/>
        <w:rPr>
          <w:rFonts w:ascii="宋体" w:hAnsi="宋体" w:eastAsia="宋体" w:cs="宋体"/>
        </w:rPr>
      </w:pPr>
      <w:r>
        <w:rPr>
          <w:rFonts w:hint="eastAsia" w:ascii="宋体" w:hAnsi="宋体" w:eastAsia="宋体" w:cs="宋体"/>
        </w:rPr>
        <w:t>监控球机技术指标要求</w:t>
      </w:r>
    </w:p>
    <w:p>
      <w:pPr>
        <w:spacing w:line="360" w:lineRule="auto"/>
        <w:ind w:firstLine="480"/>
        <w:jc w:val="left"/>
        <w:rPr>
          <w:rFonts w:ascii="宋体" w:hAnsi="宋体" w:eastAsia="宋体" w:cs="宋体"/>
        </w:rPr>
      </w:pPr>
      <w:r>
        <w:rPr>
          <w:rFonts w:hint="eastAsia" w:ascii="宋体" w:hAnsi="宋体" w:eastAsia="宋体" w:cs="宋体"/>
        </w:rPr>
        <w:t>最大支持 2560×1440@30fps 实时视频输出，最少支持 23 倍光学变倍；</w:t>
      </w:r>
    </w:p>
    <w:p>
      <w:pPr>
        <w:spacing w:line="360" w:lineRule="auto"/>
        <w:ind w:firstLine="480"/>
        <w:jc w:val="left"/>
        <w:rPr>
          <w:rFonts w:ascii="宋体" w:hAnsi="宋体" w:eastAsia="宋体" w:cs="宋体"/>
        </w:rPr>
      </w:pPr>
      <w:r>
        <w:rPr>
          <w:rFonts w:hint="eastAsia" w:ascii="宋体" w:hAnsi="宋体" w:eastAsia="宋体" w:cs="宋体"/>
        </w:rPr>
        <w:t>支持 GB/T28181、ONVIF等各种网络协议，组网更方便；</w:t>
      </w:r>
    </w:p>
    <w:p>
      <w:pPr>
        <w:spacing w:line="360" w:lineRule="auto"/>
        <w:ind w:firstLine="480"/>
        <w:jc w:val="left"/>
        <w:rPr>
          <w:rFonts w:ascii="宋体" w:hAnsi="宋体" w:eastAsia="宋体" w:cs="宋体"/>
        </w:rPr>
      </w:pPr>
      <w:r>
        <w:rPr>
          <w:rFonts w:hint="eastAsia" w:ascii="宋体" w:hAnsi="宋体" w:eastAsia="宋体" w:cs="宋体"/>
        </w:rPr>
        <w:t>宽动态效果，加上图像降噪功能，完美的白天/夜晚图像展现；</w:t>
      </w:r>
    </w:p>
    <w:p>
      <w:pPr>
        <w:spacing w:line="360" w:lineRule="auto"/>
        <w:ind w:firstLine="480"/>
        <w:jc w:val="left"/>
        <w:rPr>
          <w:rFonts w:ascii="宋体" w:hAnsi="宋体" w:eastAsia="宋体" w:cs="宋体"/>
        </w:rPr>
      </w:pPr>
      <w:r>
        <w:rPr>
          <w:rFonts w:hint="eastAsia" w:ascii="宋体" w:hAnsi="宋体" w:eastAsia="宋体" w:cs="宋体"/>
        </w:rPr>
        <w:t>支持 300 个预置位；</w:t>
      </w:r>
    </w:p>
    <w:p>
      <w:pPr>
        <w:spacing w:line="360" w:lineRule="auto"/>
        <w:ind w:firstLine="480"/>
        <w:jc w:val="left"/>
        <w:rPr>
          <w:rFonts w:ascii="宋体" w:hAnsi="宋体" w:eastAsia="宋体" w:cs="宋体"/>
        </w:rPr>
      </w:pPr>
      <w:r>
        <w:rPr>
          <w:rFonts w:hint="eastAsia" w:ascii="宋体" w:hAnsi="宋体" w:eastAsia="宋体" w:cs="宋体"/>
        </w:rPr>
        <w:t>支持 DC12V±10%宽电压输入。</w:t>
      </w:r>
    </w:p>
    <w:p>
      <w:pPr>
        <w:pStyle w:val="6"/>
        <w:spacing w:line="360" w:lineRule="auto"/>
        <w:rPr>
          <w:rFonts w:ascii="宋体" w:hAnsi="宋体" w:eastAsia="宋体" w:cs="宋体"/>
        </w:rPr>
      </w:pPr>
      <w:r>
        <w:rPr>
          <w:rFonts w:hint="eastAsia" w:ascii="宋体" w:hAnsi="宋体" w:eastAsia="宋体" w:cs="宋体"/>
        </w:rPr>
        <w:t>高位视频检测主控机技术指标要求</w:t>
      </w:r>
    </w:p>
    <w:p>
      <w:pPr>
        <w:spacing w:line="360" w:lineRule="auto"/>
        <w:ind w:firstLine="480"/>
        <w:jc w:val="left"/>
        <w:rPr>
          <w:rFonts w:ascii="宋体" w:hAnsi="宋体" w:eastAsia="宋体" w:cs="宋体"/>
        </w:rPr>
      </w:pPr>
      <w:r>
        <w:rPr>
          <w:rFonts w:hint="eastAsia" w:ascii="宋体" w:hAnsi="宋体" w:eastAsia="宋体" w:cs="宋体"/>
        </w:rPr>
        <w:t>主控及存储管理设备。满足前端的分布式存储需要，又可以通过网络接入系统管理平台组成监控管理系统。对车辆停车过程进行图片、视频记录，形成完整的停车取证数据链，为停车逃费的追缴提供有力保障，主控及存储管理设备具备的功能如下：</w:t>
      </w:r>
    </w:p>
    <w:p>
      <w:pPr>
        <w:spacing w:line="360" w:lineRule="auto"/>
        <w:ind w:firstLine="480"/>
        <w:jc w:val="left"/>
        <w:rPr>
          <w:rFonts w:ascii="宋体" w:hAnsi="宋体" w:eastAsia="宋体" w:cs="宋体"/>
        </w:rPr>
      </w:pPr>
      <w:r>
        <w:rPr>
          <w:rFonts w:hint="eastAsia" w:ascii="宋体" w:hAnsi="宋体" w:eastAsia="宋体" w:cs="宋体"/>
        </w:rPr>
        <w:t>设备算力不低于每套设备同时8个车位检测，视频接入路数不低于4路；车辆捕获率不低于96%；车位状态变化检测准确率不低于96%；号牌识别包括识别符合标准的民用车号牌（除临时/摩托车/拖拉机号牌）、警车号牌的汉字、字母、数字、颜色等信息；车牌颜色识别包括黑、白、蓝、黄、绿色车牌颜色识别；支持泊位类型不限于平行/垂直/斜列；支持摄像机车头识别模式和车尾识别抓拍方式。</w:t>
      </w:r>
    </w:p>
    <w:p>
      <w:pPr>
        <w:spacing w:line="360" w:lineRule="auto"/>
        <w:ind w:firstLine="480"/>
        <w:jc w:val="left"/>
        <w:rPr>
          <w:rFonts w:ascii="宋体" w:hAnsi="宋体" w:eastAsia="宋体" w:cs="宋体"/>
        </w:rPr>
      </w:pPr>
      <w:r>
        <w:rPr>
          <w:rFonts w:hint="eastAsia" w:ascii="宋体" w:hAnsi="宋体" w:eastAsia="宋体" w:cs="宋体"/>
        </w:rPr>
        <w:t>AI算法云边协同能力包括但不限于以下要求：</w:t>
      </w:r>
    </w:p>
    <w:p>
      <w:pPr>
        <w:spacing w:line="360" w:lineRule="auto"/>
        <w:ind w:firstLine="480"/>
        <w:jc w:val="left"/>
        <w:rPr>
          <w:rFonts w:ascii="宋体" w:hAnsi="宋体" w:eastAsia="宋体" w:cs="宋体"/>
        </w:rPr>
      </w:pPr>
      <w:r>
        <w:rPr>
          <w:rFonts w:hint="eastAsia" w:ascii="宋体" w:hAnsi="宋体" w:eastAsia="宋体" w:cs="宋体"/>
        </w:rPr>
        <w:t>（1）支持车辆挪位、车牌修正、收费节点取证识别；支持车辆压线、车辆跨位、非机动车占用车位、车牌置信度低等多种异常停车事件自动识别；</w:t>
      </w:r>
    </w:p>
    <w:p>
      <w:pPr>
        <w:spacing w:line="360" w:lineRule="auto"/>
        <w:ind w:firstLine="480"/>
        <w:jc w:val="left"/>
        <w:rPr>
          <w:rFonts w:ascii="宋体" w:hAnsi="宋体" w:eastAsia="宋体" w:cs="宋体"/>
        </w:rPr>
      </w:pPr>
      <w:r>
        <w:rPr>
          <w:rFonts w:hint="eastAsia" w:ascii="宋体" w:hAnsi="宋体" w:eastAsia="宋体" w:cs="宋体"/>
        </w:rPr>
        <w:t>（2）支持一套设备可同时对不少于8个车位检测，且无漏检及漏拍现象；</w:t>
      </w:r>
    </w:p>
    <w:p>
      <w:pPr>
        <w:spacing w:line="360" w:lineRule="auto"/>
        <w:ind w:firstLine="480"/>
        <w:jc w:val="left"/>
        <w:rPr>
          <w:rFonts w:ascii="宋体" w:hAnsi="宋体" w:eastAsia="宋体" w:cs="宋体"/>
        </w:rPr>
      </w:pPr>
      <w:r>
        <w:rPr>
          <w:rFonts w:hint="eastAsia" w:ascii="宋体" w:hAnsi="宋体" w:eastAsia="宋体" w:cs="宋体"/>
        </w:rPr>
        <w:t>（3）支持进离场取证回溯功能：当车辆进场未识别，离场正常识别时，系统会自动回溯车辆进场的图片和车牌，生成车辆进场事件；当车辆进场正常识别，离场未识别时，系统会自动回溯车辆离场的图片和车牌，生成车辆离场事件；</w:t>
      </w:r>
    </w:p>
    <w:p>
      <w:pPr>
        <w:spacing w:line="360" w:lineRule="auto"/>
        <w:ind w:firstLine="480"/>
        <w:jc w:val="left"/>
        <w:rPr>
          <w:rFonts w:ascii="宋体" w:hAnsi="宋体" w:eastAsia="宋体" w:cs="宋体"/>
        </w:rPr>
      </w:pPr>
      <w:r>
        <w:rPr>
          <w:rFonts w:hint="eastAsia" w:ascii="宋体" w:hAnsi="宋体" w:eastAsia="宋体" w:cs="宋体"/>
        </w:rPr>
        <w:t>（4）支持多片区泊位检测功能，可在监控画面内任意区域绘制规则框，检测停靠车辆；支持与主流手机导航软件数据协同功能；</w:t>
      </w:r>
    </w:p>
    <w:p>
      <w:pPr>
        <w:spacing w:line="360" w:lineRule="auto"/>
        <w:ind w:firstLine="480"/>
        <w:jc w:val="left"/>
        <w:rPr>
          <w:rFonts w:ascii="宋体" w:hAnsi="宋体" w:eastAsia="宋体" w:cs="宋体"/>
        </w:rPr>
      </w:pPr>
      <w:r>
        <w:rPr>
          <w:rFonts w:hint="eastAsia" w:ascii="宋体" w:hAnsi="宋体" w:eastAsia="宋体" w:cs="宋体"/>
        </w:rPr>
        <w:t>（5）支持高遮挡模式，可在监控画面内停车场的四周绘制规则框，对车辆在高遮挡情况下进行进离场精准检测，减少由于车辆互相遮挡造成的误报；</w:t>
      </w:r>
    </w:p>
    <w:p>
      <w:pPr>
        <w:spacing w:line="360" w:lineRule="auto"/>
        <w:ind w:firstLine="480"/>
        <w:jc w:val="left"/>
        <w:rPr>
          <w:rFonts w:ascii="宋体" w:hAnsi="宋体" w:eastAsia="宋体" w:cs="宋体"/>
        </w:rPr>
      </w:pPr>
      <w:r>
        <w:rPr>
          <w:rFonts w:hint="eastAsia" w:ascii="宋体" w:hAnsi="宋体" w:eastAsia="宋体" w:cs="宋体"/>
        </w:rPr>
        <w:t>（6）支持隐私保护，系统应具备对所抓拍入离位场景中出现的周边行人、驾驶人等人脸进行模糊处理，如高斯模糊方式，以提高系统整体隐私保护能力；</w:t>
      </w:r>
    </w:p>
    <w:p>
      <w:pPr>
        <w:spacing w:line="360" w:lineRule="auto"/>
        <w:ind w:firstLine="480"/>
        <w:jc w:val="left"/>
        <w:rPr>
          <w:rFonts w:ascii="宋体" w:hAnsi="宋体" w:eastAsia="宋体" w:cs="宋体"/>
        </w:rPr>
      </w:pPr>
      <w:r>
        <w:rPr>
          <w:rFonts w:hint="eastAsia" w:ascii="宋体" w:hAnsi="宋体" w:eastAsia="宋体" w:cs="宋体"/>
        </w:rPr>
        <w:t>（7）支持设备断网、断电、设备CPU异常、内存异常感知告警，并支持断电数据保护；</w:t>
      </w:r>
    </w:p>
    <w:p>
      <w:pPr>
        <w:spacing w:line="360" w:lineRule="auto"/>
        <w:ind w:firstLine="480"/>
        <w:jc w:val="left"/>
        <w:rPr>
          <w:rFonts w:ascii="宋体" w:hAnsi="宋体" w:eastAsia="宋体" w:cs="宋体"/>
        </w:rPr>
      </w:pPr>
      <w:r>
        <w:rPr>
          <w:rFonts w:hint="eastAsia" w:ascii="宋体" w:hAnsi="宋体" w:eastAsia="宋体" w:cs="宋体"/>
        </w:rPr>
        <w:t>（8）支持车辆同一事件ID与任一时间进离场数据自动关联匹配，云端具有停车事件校验功能，能对偶尔同一个车两次进场，或者A车进，B车出同一个泊位的错误情况，有明确的校验提醒，进一步提升事件准确率；</w:t>
      </w:r>
    </w:p>
    <w:p>
      <w:pPr>
        <w:spacing w:line="360" w:lineRule="auto"/>
        <w:ind w:firstLine="480"/>
        <w:jc w:val="left"/>
        <w:rPr>
          <w:rFonts w:ascii="宋体" w:hAnsi="宋体" w:eastAsia="宋体" w:cs="宋体"/>
        </w:rPr>
      </w:pPr>
      <w:r>
        <w:rPr>
          <w:rFonts w:hint="eastAsia" w:ascii="宋体" w:hAnsi="宋体" w:eastAsia="宋体" w:cs="宋体"/>
        </w:rPr>
        <w:t>（9）支持系统级运维监控，如：停车事件的离线存储及断网续传；</w:t>
      </w:r>
    </w:p>
    <w:p>
      <w:pPr>
        <w:spacing w:line="360" w:lineRule="auto"/>
        <w:ind w:firstLine="480"/>
        <w:jc w:val="left"/>
        <w:rPr>
          <w:rFonts w:ascii="宋体" w:hAnsi="宋体" w:eastAsia="宋体" w:cs="宋体"/>
        </w:rPr>
      </w:pPr>
      <w:r>
        <w:rPr>
          <w:rFonts w:hint="eastAsia" w:ascii="宋体" w:hAnsi="宋体" w:eastAsia="宋体" w:cs="宋体"/>
        </w:rPr>
        <w:t>（10）支持车牌自动补漏功能，当车辆入场未识别但是离场识别到车牌时，能够自动补漏未识别的账单，形成证据链闭环；</w:t>
      </w:r>
    </w:p>
    <w:p>
      <w:pPr>
        <w:spacing w:line="360" w:lineRule="auto"/>
        <w:ind w:firstLine="480"/>
        <w:jc w:val="left"/>
        <w:rPr>
          <w:rFonts w:ascii="宋体" w:hAnsi="宋体" w:eastAsia="宋体" w:cs="宋体"/>
        </w:rPr>
      </w:pPr>
      <w:r>
        <w:rPr>
          <w:rFonts w:hint="eastAsia" w:ascii="宋体" w:hAnsi="宋体" w:eastAsia="宋体" w:cs="宋体"/>
        </w:rPr>
        <w:t>（11）支持识别非机动车，大型车，小型车识别，减少物品堆放，非机动车，大车造成的泊位异常停靠；</w:t>
      </w:r>
    </w:p>
    <w:p>
      <w:pPr>
        <w:pStyle w:val="6"/>
        <w:spacing w:line="360" w:lineRule="auto"/>
        <w:rPr>
          <w:rFonts w:ascii="宋体" w:hAnsi="宋体" w:eastAsia="宋体" w:cs="宋体"/>
        </w:rPr>
      </w:pPr>
      <w:r>
        <w:rPr>
          <w:rFonts w:hint="eastAsia" w:ascii="宋体" w:hAnsi="宋体" w:eastAsia="宋体" w:cs="宋体"/>
        </w:rPr>
        <w:t>存储设备技术指标要求</w:t>
      </w:r>
    </w:p>
    <w:p>
      <w:pPr>
        <w:spacing w:line="360" w:lineRule="auto"/>
        <w:ind w:firstLine="480"/>
        <w:jc w:val="left"/>
        <w:rPr>
          <w:rFonts w:ascii="宋体" w:hAnsi="宋体" w:eastAsia="宋体" w:cs="宋体"/>
        </w:rPr>
      </w:pPr>
      <w:r>
        <w:rPr>
          <w:rFonts w:hint="eastAsia" w:ascii="宋体" w:hAnsi="宋体" w:eastAsia="宋体" w:cs="宋体"/>
        </w:rPr>
        <w:t>本系统采用前端存储视频为主，后端云端存储图片和数据为辅的存储架构。前端存储设备为硬盘录像机放置在设备箱中，用户可通过智慧停车综合管理平台实时调用视频或查阅历史视频，前端每路视频图像存储时间不少于30天，硬盘录像机接入前端摄像机路数不少于4路，支持定时录像、手动录像、主子码流录像、报警录像等多种录像方式，可以远程调用历史和实时视频图像。</w:t>
      </w:r>
    </w:p>
    <w:p>
      <w:pPr>
        <w:spacing w:line="360" w:lineRule="auto"/>
        <w:ind w:firstLine="480"/>
        <w:jc w:val="left"/>
        <w:rPr>
          <w:rFonts w:ascii="宋体" w:hAnsi="宋体" w:eastAsia="宋体" w:cs="宋体"/>
        </w:rPr>
      </w:pPr>
      <w:r>
        <w:rPr>
          <w:rFonts w:hint="eastAsia" w:ascii="宋体" w:hAnsi="宋体" w:eastAsia="宋体" w:cs="宋体"/>
        </w:rPr>
        <w:t xml:space="preserve">设备具有图片信息、业务数据实时上传，短视频数据、结构化业务数据按照策略要求实时上传功能；视频信息、图片信息、业务数据信息在前端进行存储，防止因网络问题而造成的传输中断，在网络恢复后可继续上传未完成的数据信息。为了保障端每路视频图像存储信息达到30天×24小时的存储要求，保证冗余空间和保存质量，接入前端摄像机路数不少于4路，硬盘录像机硬盘容量不少于6T。 </w:t>
      </w:r>
    </w:p>
    <w:p>
      <w:pPr>
        <w:pStyle w:val="6"/>
        <w:spacing w:line="360" w:lineRule="auto"/>
        <w:rPr>
          <w:rFonts w:ascii="宋体" w:hAnsi="宋体" w:eastAsia="宋体" w:cs="宋体"/>
        </w:rPr>
      </w:pPr>
      <w:r>
        <w:rPr>
          <w:rFonts w:hint="eastAsia" w:ascii="宋体" w:hAnsi="宋体" w:eastAsia="宋体" w:cs="宋体"/>
        </w:rPr>
        <w:t>设备箱技术指标要求</w:t>
      </w:r>
    </w:p>
    <w:p>
      <w:pPr>
        <w:spacing w:line="360" w:lineRule="auto"/>
        <w:ind w:firstLine="480"/>
        <w:jc w:val="left"/>
        <w:rPr>
          <w:rFonts w:ascii="宋体" w:hAnsi="宋体" w:eastAsia="宋体" w:cs="宋体"/>
        </w:rPr>
      </w:pPr>
      <w:r>
        <w:rPr>
          <w:rFonts w:hint="eastAsia" w:ascii="宋体" w:hAnsi="宋体" w:eastAsia="宋体" w:cs="宋体"/>
        </w:rPr>
        <w:t>室外设备箱是保证前端系统安全工作的重要组成部分，机箱中除安装以下设备外，还要求留有空间余量：智能电源、市电进线和光纤、网线、过流过压保护装置和电源防雷保护装置、接线端子、维修开关和插座、接地设备。箱体大小应根据放置设备的数量和尺寸来设计，应与杆体大小协调，应保证有充足的空间，方便设备安装和维护。整体美观，表面喷涂明显的警示标志。室外设备箱用于安装监控设备，需要考虑室外环境，保证防水、防雷、防盗、散热、防撬、防尘。</w:t>
      </w:r>
    </w:p>
    <w:p>
      <w:pPr>
        <w:spacing w:line="360" w:lineRule="auto"/>
        <w:ind w:firstLine="480"/>
        <w:jc w:val="left"/>
        <w:rPr>
          <w:rFonts w:ascii="宋体" w:hAnsi="宋体" w:eastAsia="宋体" w:cs="宋体"/>
        </w:rPr>
      </w:pPr>
      <w:r>
        <w:rPr>
          <w:rFonts w:hint="eastAsia" w:ascii="宋体" w:hAnsi="宋体" w:eastAsia="宋体" w:cs="宋体"/>
        </w:rPr>
        <w:t>设备箱的主要设计参数如下：</w:t>
      </w:r>
    </w:p>
    <w:p>
      <w:pPr>
        <w:spacing w:line="360" w:lineRule="auto"/>
        <w:ind w:firstLine="480"/>
        <w:jc w:val="left"/>
        <w:rPr>
          <w:rFonts w:ascii="宋体" w:hAnsi="宋体" w:eastAsia="宋体" w:cs="宋体"/>
        </w:rPr>
      </w:pPr>
      <w:r>
        <w:rPr>
          <w:rFonts w:hint="eastAsia" w:ascii="宋体" w:hAnsi="宋体" w:eastAsia="宋体" w:cs="宋体"/>
        </w:rPr>
        <w:t>1)</w:t>
      </w:r>
      <w:r>
        <w:rPr>
          <w:rFonts w:hint="eastAsia" w:ascii="宋体" w:hAnsi="宋体" w:eastAsia="宋体" w:cs="宋体"/>
        </w:rPr>
        <w:tab/>
      </w:r>
      <w:r>
        <w:rPr>
          <w:rFonts w:hint="eastAsia" w:ascii="宋体" w:hAnsi="宋体" w:eastAsia="宋体" w:cs="宋体"/>
        </w:rPr>
        <w:t>箱体采用冷轧钢板制作，箱体背板厚度应不小于1.2mm，其余面板厚度应不小于1.0mm。</w:t>
      </w:r>
    </w:p>
    <w:p>
      <w:pPr>
        <w:spacing w:line="360" w:lineRule="auto"/>
        <w:ind w:firstLine="480"/>
        <w:jc w:val="left"/>
        <w:rPr>
          <w:rFonts w:ascii="宋体" w:hAnsi="宋体" w:eastAsia="宋体" w:cs="宋体"/>
        </w:rPr>
      </w:pPr>
      <w:r>
        <w:rPr>
          <w:rFonts w:hint="eastAsia" w:ascii="宋体" w:hAnsi="宋体" w:eastAsia="宋体" w:cs="宋体"/>
        </w:rPr>
        <w:t>2)</w:t>
      </w:r>
      <w:r>
        <w:rPr>
          <w:rFonts w:hint="eastAsia" w:ascii="宋体" w:hAnsi="宋体" w:eastAsia="宋体" w:cs="宋体"/>
        </w:rPr>
        <w:tab/>
      </w:r>
      <w:r>
        <w:rPr>
          <w:rFonts w:hint="eastAsia" w:ascii="宋体" w:hAnsi="宋体" w:eastAsia="宋体" w:cs="宋体"/>
        </w:rPr>
        <w:t>建议箱体的宽高深为根据前端安装设备数量来设定；</w:t>
      </w:r>
    </w:p>
    <w:p>
      <w:pPr>
        <w:spacing w:line="360" w:lineRule="auto"/>
        <w:ind w:firstLine="480"/>
        <w:jc w:val="left"/>
        <w:rPr>
          <w:rFonts w:ascii="宋体" w:hAnsi="宋体" w:eastAsia="宋体" w:cs="宋体"/>
        </w:rPr>
      </w:pPr>
      <w:r>
        <w:rPr>
          <w:rFonts w:hint="eastAsia" w:ascii="宋体" w:hAnsi="宋体" w:eastAsia="宋体" w:cs="宋体"/>
        </w:rPr>
        <w:t>3)</w:t>
      </w:r>
      <w:r>
        <w:rPr>
          <w:rFonts w:hint="eastAsia" w:ascii="宋体" w:hAnsi="宋体" w:eastAsia="宋体" w:cs="宋体"/>
        </w:rPr>
        <w:tab/>
      </w:r>
      <w:r>
        <w:rPr>
          <w:rFonts w:hint="eastAsia" w:ascii="宋体" w:hAnsi="宋体" w:eastAsia="宋体" w:cs="宋体"/>
        </w:rPr>
        <w:t>所有锁芯统一钥匙；</w:t>
      </w:r>
    </w:p>
    <w:p>
      <w:pPr>
        <w:spacing w:line="360" w:lineRule="auto"/>
        <w:ind w:firstLine="480"/>
        <w:jc w:val="left"/>
        <w:rPr>
          <w:rFonts w:ascii="宋体" w:hAnsi="宋体" w:eastAsia="宋体" w:cs="宋体"/>
        </w:rPr>
      </w:pPr>
      <w:r>
        <w:rPr>
          <w:rFonts w:hint="eastAsia" w:ascii="宋体" w:hAnsi="宋体" w:eastAsia="宋体" w:cs="宋体"/>
        </w:rPr>
        <w:t>4)</w:t>
      </w:r>
      <w:r>
        <w:rPr>
          <w:rFonts w:hint="eastAsia" w:ascii="宋体" w:hAnsi="宋体" w:eastAsia="宋体" w:cs="宋体"/>
        </w:rPr>
        <w:tab/>
      </w:r>
      <w:r>
        <w:rPr>
          <w:rFonts w:hint="eastAsia" w:ascii="宋体" w:hAnsi="宋体" w:eastAsia="宋体" w:cs="宋体"/>
        </w:rPr>
        <w:t>整箱防水，并在通风槽内侧加防尘纱网；</w:t>
      </w:r>
    </w:p>
    <w:p>
      <w:pPr>
        <w:spacing w:line="360" w:lineRule="auto"/>
        <w:ind w:firstLine="480"/>
        <w:jc w:val="left"/>
        <w:rPr>
          <w:rFonts w:ascii="宋体" w:hAnsi="宋体" w:eastAsia="宋体" w:cs="宋体"/>
        </w:rPr>
      </w:pPr>
      <w:r>
        <w:rPr>
          <w:rFonts w:hint="eastAsia" w:ascii="宋体" w:hAnsi="宋体" w:eastAsia="宋体" w:cs="宋体"/>
        </w:rPr>
        <w:t>5)</w:t>
      </w:r>
      <w:r>
        <w:rPr>
          <w:rFonts w:hint="eastAsia" w:ascii="宋体" w:hAnsi="宋体" w:eastAsia="宋体" w:cs="宋体"/>
        </w:rPr>
        <w:tab/>
      </w:r>
      <w:r>
        <w:rPr>
          <w:rFonts w:hint="eastAsia" w:ascii="宋体" w:hAnsi="宋体" w:eastAsia="宋体" w:cs="宋体"/>
        </w:rPr>
        <w:t>整箱涂两层防锈漆后再做乳白饰面烤漆</w:t>
      </w:r>
    </w:p>
    <w:p>
      <w:pPr>
        <w:spacing w:line="360" w:lineRule="auto"/>
        <w:ind w:firstLine="480"/>
        <w:jc w:val="left"/>
        <w:rPr>
          <w:rFonts w:ascii="宋体" w:hAnsi="宋体" w:eastAsia="宋体" w:cs="宋体"/>
        </w:rPr>
      </w:pPr>
      <w:r>
        <w:rPr>
          <w:rFonts w:hint="eastAsia" w:ascii="宋体" w:hAnsi="宋体" w:eastAsia="宋体" w:cs="宋体"/>
        </w:rPr>
        <w:t>6）</w:t>
      </w:r>
      <w:r>
        <w:rPr>
          <w:rFonts w:hint="eastAsia" w:ascii="宋体" w:hAnsi="宋体" w:eastAsia="宋体" w:cs="宋体"/>
        </w:rPr>
        <w:tab/>
      </w:r>
      <w:r>
        <w:rPr>
          <w:rFonts w:hint="eastAsia" w:ascii="宋体" w:hAnsi="宋体" w:eastAsia="宋体" w:cs="宋体"/>
        </w:rPr>
        <w:t>设备箱应能放置光传输设备、光纤终端盒、供电设备及防雷接地装置等前端设备。</w:t>
      </w:r>
    </w:p>
    <w:p>
      <w:pPr>
        <w:spacing w:line="360" w:lineRule="auto"/>
        <w:ind w:firstLine="480"/>
        <w:jc w:val="left"/>
        <w:rPr>
          <w:rFonts w:ascii="宋体" w:hAnsi="宋体" w:eastAsia="宋体" w:cs="宋体"/>
        </w:rPr>
      </w:pPr>
      <w:r>
        <w:rPr>
          <w:rFonts w:hint="eastAsia" w:ascii="宋体" w:hAnsi="宋体" w:eastAsia="宋体" w:cs="宋体"/>
        </w:rPr>
        <w:t>7）箱体大小应根据光传输设备、管理主机、硬盘录像机等其它配套设备的数量和尺寸来设计，应与杆体大小协调，应保证有充足的空间，方便设备安装和维护。</w:t>
      </w:r>
    </w:p>
    <w:p>
      <w:pPr>
        <w:spacing w:line="360" w:lineRule="auto"/>
        <w:ind w:firstLine="480"/>
        <w:jc w:val="left"/>
        <w:rPr>
          <w:rFonts w:ascii="宋体" w:hAnsi="宋体" w:eastAsia="宋体" w:cs="宋体"/>
        </w:rPr>
      </w:pPr>
      <w:r>
        <w:rPr>
          <w:rFonts w:hint="eastAsia" w:ascii="宋体" w:hAnsi="宋体" w:eastAsia="宋体" w:cs="宋体"/>
        </w:rPr>
        <w:t>8）</w:t>
      </w:r>
      <w:r>
        <w:rPr>
          <w:rFonts w:hint="eastAsia" w:ascii="宋体" w:hAnsi="宋体" w:eastAsia="宋体" w:cs="宋体"/>
        </w:rPr>
        <w:tab/>
      </w:r>
      <w:r>
        <w:rPr>
          <w:rFonts w:hint="eastAsia" w:ascii="宋体" w:hAnsi="宋体" w:eastAsia="宋体" w:cs="宋体"/>
        </w:rPr>
        <w:t>箱体表面应喷涂防锈油漆，颜色与杆体颜色一致，一般采用浅灰色或乳白色；箱体正面按要求喷涂统一标志及编号，参考《广州市社会治安与城市管理智能化视频系统编码规范》“立杆定位编码”部分。</w:t>
      </w:r>
    </w:p>
    <w:p>
      <w:pPr>
        <w:spacing w:line="360" w:lineRule="auto"/>
        <w:ind w:firstLine="480"/>
        <w:jc w:val="left"/>
        <w:rPr>
          <w:rFonts w:ascii="宋体" w:hAnsi="宋体" w:eastAsia="宋体" w:cs="宋体"/>
        </w:rPr>
      </w:pPr>
      <w:r>
        <w:rPr>
          <w:rFonts w:hint="eastAsia" w:ascii="宋体" w:hAnsi="宋体" w:eastAsia="宋体" w:cs="宋体"/>
        </w:rPr>
        <w:t>设备箱内配备智能电源设备，智能电源设备满足接入设备数量要求：</w:t>
      </w:r>
    </w:p>
    <w:p>
      <w:pPr>
        <w:pStyle w:val="26"/>
        <w:numPr>
          <w:ilvl w:val="0"/>
          <w:numId w:val="5"/>
        </w:numPr>
        <w:spacing w:line="360" w:lineRule="auto"/>
        <w:ind w:firstLineChars="0"/>
        <w:jc w:val="left"/>
        <w:rPr>
          <w:rFonts w:ascii="宋体" w:hAnsi="宋体" w:eastAsia="宋体" w:cs="宋体"/>
        </w:rPr>
      </w:pPr>
      <w:r>
        <w:rPr>
          <w:rFonts w:hint="eastAsia" w:ascii="宋体" w:hAnsi="宋体" w:eastAsia="宋体" w:cs="宋体"/>
        </w:rPr>
        <w:t>不少于6个直流12V输出端口；</w:t>
      </w:r>
    </w:p>
    <w:p>
      <w:pPr>
        <w:pStyle w:val="26"/>
        <w:numPr>
          <w:ilvl w:val="0"/>
          <w:numId w:val="5"/>
        </w:numPr>
        <w:spacing w:line="360" w:lineRule="auto"/>
        <w:ind w:firstLineChars="0"/>
        <w:jc w:val="left"/>
        <w:rPr>
          <w:rFonts w:ascii="宋体" w:hAnsi="宋体" w:eastAsia="宋体" w:cs="宋体"/>
        </w:rPr>
      </w:pPr>
      <w:r>
        <w:rPr>
          <w:rFonts w:hint="eastAsia" w:ascii="宋体" w:hAnsi="宋体" w:eastAsia="宋体" w:cs="宋体"/>
        </w:rPr>
        <w:t>直流输出功率不小于200W；</w:t>
      </w:r>
    </w:p>
    <w:p>
      <w:pPr>
        <w:pStyle w:val="26"/>
        <w:numPr>
          <w:ilvl w:val="0"/>
          <w:numId w:val="5"/>
        </w:numPr>
        <w:spacing w:line="360" w:lineRule="auto"/>
        <w:ind w:firstLineChars="0"/>
        <w:jc w:val="left"/>
        <w:rPr>
          <w:rFonts w:ascii="宋体" w:hAnsi="宋体" w:eastAsia="宋体" w:cs="宋体"/>
        </w:rPr>
      </w:pPr>
      <w:r>
        <w:rPr>
          <w:rFonts w:hint="eastAsia" w:ascii="宋体" w:hAnsi="宋体" w:eastAsia="宋体" w:cs="宋体"/>
        </w:rPr>
        <w:t>1个10/100Mbps控制端口；</w:t>
      </w:r>
    </w:p>
    <w:p>
      <w:pPr>
        <w:pStyle w:val="26"/>
        <w:numPr>
          <w:ilvl w:val="0"/>
          <w:numId w:val="5"/>
        </w:numPr>
        <w:spacing w:line="360" w:lineRule="auto"/>
        <w:ind w:firstLineChars="0"/>
        <w:jc w:val="left"/>
        <w:rPr>
          <w:rFonts w:ascii="宋体" w:hAnsi="宋体" w:eastAsia="宋体" w:cs="宋体"/>
        </w:rPr>
      </w:pPr>
      <w:r>
        <w:rPr>
          <w:rFonts w:hint="eastAsia" w:ascii="宋体" w:hAnsi="宋体" w:eastAsia="宋体" w:cs="宋体"/>
        </w:rPr>
        <w:t>时序电源功能；</w:t>
      </w:r>
    </w:p>
    <w:p>
      <w:pPr>
        <w:pStyle w:val="26"/>
        <w:numPr>
          <w:ilvl w:val="0"/>
          <w:numId w:val="5"/>
        </w:numPr>
        <w:spacing w:line="360" w:lineRule="auto"/>
        <w:ind w:firstLineChars="0"/>
        <w:jc w:val="left"/>
        <w:rPr>
          <w:rFonts w:ascii="宋体" w:hAnsi="宋体" w:eastAsia="宋体" w:cs="宋体"/>
        </w:rPr>
      </w:pPr>
      <w:r>
        <w:rPr>
          <w:rFonts w:hint="eastAsia" w:ascii="宋体" w:hAnsi="宋体" w:eastAsia="宋体" w:cs="宋体"/>
        </w:rPr>
        <w:t>所有输出端口的状态都可以从云端运维系统进行控制；</w:t>
      </w:r>
    </w:p>
    <w:p>
      <w:pPr>
        <w:pStyle w:val="6"/>
        <w:spacing w:line="360" w:lineRule="auto"/>
        <w:rPr>
          <w:rFonts w:ascii="宋体" w:hAnsi="宋体" w:eastAsia="宋体" w:cs="宋体"/>
        </w:rPr>
      </w:pPr>
      <w:r>
        <w:rPr>
          <w:rFonts w:hint="eastAsia" w:ascii="宋体" w:hAnsi="宋体" w:eastAsia="宋体" w:cs="宋体"/>
        </w:rPr>
        <w:t>手持PDA终端技术指标要求</w:t>
      </w:r>
    </w:p>
    <w:p>
      <w:pPr>
        <w:spacing w:line="360" w:lineRule="auto"/>
        <w:ind w:firstLine="480"/>
        <w:jc w:val="left"/>
        <w:rPr>
          <w:rFonts w:ascii="宋体" w:hAnsi="宋体" w:eastAsia="宋体" w:cs="宋体"/>
        </w:rPr>
      </w:pPr>
      <w:r>
        <w:rPr>
          <w:rFonts w:hint="eastAsia" w:ascii="宋体" w:hAnsi="宋体" w:eastAsia="宋体" w:cs="宋体"/>
        </w:rPr>
        <w:t>（1）兼容5G物联卡，兼容三大网络通信运营商。</w:t>
      </w:r>
    </w:p>
    <w:p>
      <w:pPr>
        <w:spacing w:line="360" w:lineRule="auto"/>
        <w:ind w:firstLine="480"/>
        <w:jc w:val="left"/>
        <w:rPr>
          <w:rFonts w:ascii="宋体" w:hAnsi="宋体" w:eastAsia="宋体" w:cs="宋体"/>
        </w:rPr>
      </w:pPr>
      <w:r>
        <w:rPr>
          <w:rFonts w:hint="eastAsia" w:ascii="宋体" w:hAnsi="宋体" w:eastAsia="宋体" w:cs="宋体"/>
        </w:rPr>
        <w:t>（2）包含设备投入使用至运维期物联网卡月租费用。</w:t>
      </w:r>
    </w:p>
    <w:p>
      <w:pPr>
        <w:spacing w:line="360" w:lineRule="auto"/>
        <w:ind w:firstLine="480"/>
        <w:jc w:val="left"/>
        <w:rPr>
          <w:rFonts w:ascii="宋体" w:hAnsi="宋体" w:eastAsia="宋体" w:cs="宋体"/>
        </w:rPr>
      </w:pPr>
      <w:r>
        <w:rPr>
          <w:rFonts w:hint="eastAsia" w:ascii="宋体" w:hAnsi="宋体" w:eastAsia="宋体" w:cs="宋体"/>
        </w:rPr>
        <w:t>（3）扫描车牌可识别欠费时间并打印出欠费票据</w:t>
      </w:r>
    </w:p>
    <w:p>
      <w:pPr>
        <w:spacing w:line="360" w:lineRule="auto"/>
        <w:ind w:firstLine="480"/>
        <w:jc w:val="left"/>
        <w:rPr>
          <w:rFonts w:ascii="宋体" w:hAnsi="宋体" w:eastAsia="宋体" w:cs="宋体"/>
        </w:rPr>
      </w:pPr>
      <w:r>
        <w:rPr>
          <w:rFonts w:hint="eastAsia" w:ascii="宋体" w:hAnsi="宋体" w:eastAsia="宋体" w:cs="宋体"/>
        </w:rPr>
        <w:t>（4）接收数据准时，并及时处理预警</w:t>
      </w:r>
    </w:p>
    <w:p>
      <w:pPr>
        <w:spacing w:line="360" w:lineRule="auto"/>
        <w:ind w:firstLine="480"/>
        <w:jc w:val="left"/>
        <w:rPr>
          <w:rFonts w:ascii="宋体" w:hAnsi="宋体" w:eastAsia="宋体" w:cs="宋体"/>
        </w:rPr>
      </w:pPr>
      <w:r>
        <w:rPr>
          <w:rFonts w:hint="eastAsia" w:ascii="宋体" w:hAnsi="宋体" w:eastAsia="宋体" w:cs="宋体"/>
        </w:rPr>
        <w:t>（5）修改入场车辆信息</w:t>
      </w:r>
    </w:p>
    <w:p>
      <w:pPr>
        <w:spacing w:line="360" w:lineRule="auto"/>
        <w:ind w:firstLine="480"/>
        <w:jc w:val="left"/>
        <w:rPr>
          <w:rFonts w:ascii="宋体" w:hAnsi="宋体" w:eastAsia="宋体" w:cs="宋体"/>
        </w:rPr>
      </w:pPr>
      <w:r>
        <w:rPr>
          <w:rFonts w:hint="eastAsia" w:ascii="宋体" w:hAnsi="宋体" w:eastAsia="宋体" w:cs="宋体"/>
        </w:rPr>
        <w:t>（6）报警工单可直接点入处理</w:t>
      </w:r>
    </w:p>
    <w:p>
      <w:pPr>
        <w:spacing w:line="360" w:lineRule="auto"/>
        <w:ind w:firstLine="480"/>
        <w:jc w:val="left"/>
        <w:rPr>
          <w:rFonts w:ascii="宋体" w:hAnsi="宋体" w:eastAsia="宋体" w:cs="宋体"/>
        </w:rPr>
      </w:pPr>
      <w:r>
        <w:rPr>
          <w:rFonts w:hint="eastAsia" w:ascii="宋体" w:hAnsi="宋体" w:eastAsia="宋体" w:cs="宋体"/>
        </w:rPr>
        <w:t>（7）PDA机充电口应符合通用标准</w:t>
      </w:r>
    </w:p>
    <w:p>
      <w:pPr>
        <w:spacing w:line="360" w:lineRule="auto"/>
        <w:ind w:firstLine="480"/>
        <w:jc w:val="left"/>
        <w:rPr>
          <w:rFonts w:ascii="宋体" w:hAnsi="宋体" w:eastAsia="宋体" w:cs="宋体"/>
        </w:rPr>
      </w:pPr>
      <w:r>
        <w:rPr>
          <w:rFonts w:hint="eastAsia" w:ascii="宋体" w:hAnsi="宋体" w:eastAsia="宋体" w:cs="宋体"/>
        </w:rPr>
        <w:t>（8）符合IS07811/7812/7813 等通用标准。</w:t>
      </w:r>
    </w:p>
    <w:p>
      <w:pPr>
        <w:spacing w:line="360" w:lineRule="auto"/>
        <w:ind w:firstLine="480"/>
        <w:jc w:val="left"/>
        <w:rPr>
          <w:rFonts w:ascii="宋体" w:hAnsi="宋体" w:eastAsia="宋体" w:cs="宋体"/>
        </w:rPr>
      </w:pPr>
      <w:r>
        <w:rPr>
          <w:rFonts w:hint="eastAsia" w:ascii="宋体" w:hAnsi="宋体" w:eastAsia="宋体" w:cs="宋体"/>
        </w:rPr>
        <w:t>（9）IC 卡读写器：符合 ISO7816 标准，通过中国银联 PBOC3.0LEVEL</w:t>
      </w:r>
    </w:p>
    <w:p>
      <w:pPr>
        <w:spacing w:line="360" w:lineRule="auto"/>
        <w:ind w:firstLine="480"/>
        <w:jc w:val="left"/>
        <w:rPr>
          <w:rFonts w:ascii="宋体" w:hAnsi="宋体" w:eastAsia="宋体" w:cs="宋体"/>
        </w:rPr>
      </w:pPr>
      <w:r>
        <w:rPr>
          <w:rFonts w:hint="eastAsia" w:ascii="宋体" w:hAnsi="宋体" w:eastAsia="宋体" w:cs="宋体"/>
        </w:rPr>
        <w:t>（10）非接触读卡器：支持 ISO/IEC14443 A&amp;B、Mifare 卡；</w:t>
      </w:r>
    </w:p>
    <w:p>
      <w:pPr>
        <w:spacing w:line="360" w:lineRule="auto"/>
        <w:ind w:firstLine="480"/>
        <w:jc w:val="left"/>
        <w:rPr>
          <w:rFonts w:ascii="宋体" w:hAnsi="宋体" w:eastAsia="宋体" w:cs="宋体"/>
        </w:rPr>
      </w:pPr>
      <w:r>
        <w:rPr>
          <w:rFonts w:hint="eastAsia" w:ascii="宋体" w:hAnsi="宋体" w:eastAsia="宋体" w:cs="宋体"/>
        </w:rPr>
        <w:t>（11）打印：支持高速静音热敏打印，纸宽 58mm，最大纸卷直径 30mm。</w:t>
      </w:r>
    </w:p>
    <w:p>
      <w:pPr>
        <w:spacing w:line="360" w:lineRule="auto"/>
        <w:ind w:firstLine="480"/>
        <w:jc w:val="left"/>
        <w:rPr>
          <w:rFonts w:ascii="宋体" w:hAnsi="宋体" w:eastAsia="宋体" w:cs="宋体"/>
        </w:rPr>
      </w:pPr>
      <w:r>
        <w:rPr>
          <w:rFonts w:hint="eastAsia" w:ascii="宋体" w:hAnsi="宋体" w:eastAsia="宋体" w:cs="宋体"/>
        </w:rPr>
        <w:t>（12）安全认证：通过银联卡受理终端安全规范（UPTS2.0）的认证（13）摄像功能：大于500 万像素，支持闪光灯、自动对焦、录像。</w:t>
      </w:r>
    </w:p>
    <w:p>
      <w:pPr>
        <w:spacing w:line="360" w:lineRule="auto"/>
        <w:ind w:firstLine="480"/>
        <w:jc w:val="left"/>
        <w:rPr>
          <w:rFonts w:ascii="宋体" w:hAnsi="宋体" w:eastAsia="宋体" w:cs="宋体"/>
        </w:rPr>
      </w:pPr>
      <w:r>
        <w:rPr>
          <w:rFonts w:hint="eastAsia" w:ascii="宋体" w:hAnsi="宋体" w:eastAsia="宋体" w:cs="宋体"/>
        </w:rPr>
        <w:t>（14）定位：高精度 GPS，支持 A-GPS 和北斗。</w:t>
      </w:r>
    </w:p>
    <w:p>
      <w:pPr>
        <w:spacing w:line="360" w:lineRule="auto"/>
        <w:ind w:firstLine="480"/>
        <w:jc w:val="left"/>
        <w:rPr>
          <w:rFonts w:ascii="宋体" w:hAnsi="宋体" w:eastAsia="宋体" w:cs="宋体"/>
        </w:rPr>
      </w:pPr>
      <w:r>
        <w:rPr>
          <w:rFonts w:hint="eastAsia" w:ascii="宋体" w:hAnsi="宋体" w:eastAsia="宋体" w:cs="宋体"/>
        </w:rPr>
        <w:t>（15）物理接口：Mini USB、DC Jack、3.5mm 音频接口、POGO PIN。（16）音频：扬声器、听筒、麦克风。其他附件：电源适配器、数据线、电池、腕带。坠地抗震高度：能承受 1.3 米高度多次跌落到光滑水泥地面的冲击。</w:t>
      </w:r>
    </w:p>
    <w:p>
      <w:pPr>
        <w:rPr>
          <w:rFonts w:ascii="宋体" w:hAnsi="宋体" w:eastAsia="宋体" w:cs="宋体"/>
        </w:rPr>
      </w:pPr>
    </w:p>
    <w:p>
      <w:pPr>
        <w:pStyle w:val="6"/>
        <w:pageBreakBefore/>
        <w:spacing w:line="360" w:lineRule="auto"/>
        <w:rPr>
          <w:rFonts w:ascii="宋体" w:hAnsi="宋体" w:eastAsia="宋体" w:cs="宋体"/>
        </w:rPr>
      </w:pPr>
      <w:r>
        <w:rPr>
          <w:rFonts w:hint="eastAsia" w:ascii="宋体" w:hAnsi="宋体" w:eastAsia="宋体" w:cs="宋体"/>
        </w:rPr>
        <w:t>前端建设配置清单</w:t>
      </w:r>
    </w:p>
    <w:p>
      <w:pPr>
        <w:rPr>
          <w:rFonts w:ascii="宋体" w:hAnsi="宋体" w:eastAsia="宋体" w:cs="宋体"/>
        </w:rPr>
      </w:pPr>
    </w:p>
    <w:tbl>
      <w:tblPr>
        <w:tblStyle w:val="18"/>
        <w:tblW w:w="8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1110"/>
        <w:gridCol w:w="5633"/>
        <w:gridCol w:w="561"/>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52" w:type="dxa"/>
            <w:shd w:val="clear" w:color="auto" w:fill="auto"/>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序号</w:t>
            </w:r>
          </w:p>
        </w:tc>
        <w:tc>
          <w:tcPr>
            <w:tcW w:w="1110" w:type="dxa"/>
            <w:shd w:val="clear" w:color="auto" w:fill="auto"/>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产品名称</w:t>
            </w:r>
          </w:p>
        </w:tc>
        <w:tc>
          <w:tcPr>
            <w:tcW w:w="5633" w:type="dxa"/>
            <w:shd w:val="clear" w:color="auto" w:fill="auto"/>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规格参数</w:t>
            </w:r>
          </w:p>
        </w:tc>
        <w:tc>
          <w:tcPr>
            <w:tcW w:w="561" w:type="dxa"/>
            <w:shd w:val="clear" w:color="auto" w:fill="auto"/>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单位</w:t>
            </w:r>
          </w:p>
        </w:tc>
        <w:tc>
          <w:tcPr>
            <w:tcW w:w="644" w:type="dxa"/>
            <w:shd w:val="clear" w:color="auto" w:fill="auto"/>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00" w:type="dxa"/>
            <w:gridSpan w:val="5"/>
            <w:shd w:val="clear" w:color="auto" w:fill="auto"/>
            <w:vAlign w:val="center"/>
          </w:tcPr>
          <w:p>
            <w:pPr>
              <w:widowControl/>
              <w:jc w:val="center"/>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1 前端基础设施建设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2"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1110"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高位视频检测设备1</w:t>
            </w:r>
          </w:p>
        </w:tc>
        <w:tc>
          <w:tcPr>
            <w:tcW w:w="5633" w:type="dxa"/>
            <w:shd w:val="clear" w:color="auto" w:fill="auto"/>
            <w:vAlign w:val="center"/>
          </w:tcPr>
          <w:p>
            <w:pPr>
              <w:pStyle w:val="26"/>
              <w:widowControl/>
              <w:numPr>
                <w:ilvl w:val="0"/>
                <w:numId w:val="6"/>
              </w:numPr>
              <w:ind w:left="0" w:firstLine="0" w:firstLineChars="0"/>
              <w:jc w:val="left"/>
              <w:rPr>
                <w:rFonts w:ascii="宋体" w:hAnsi="宋体" w:eastAsia="宋体" w:cs="宋体"/>
                <w:szCs w:val="21"/>
              </w:rPr>
            </w:pPr>
            <w:r>
              <w:rPr>
                <w:rFonts w:hint="eastAsia" w:ascii="宋体" w:hAnsi="宋体" w:eastAsia="宋体" w:cs="宋体"/>
                <w:szCs w:val="21"/>
              </w:rPr>
              <w:t>▲视频输出综合分辨率不低于800万像素</w:t>
            </w:r>
            <w:r>
              <w:rPr>
                <w:rFonts w:hint="eastAsia" w:ascii="宋体" w:hAnsi="宋体" w:eastAsia="宋体" w:cs="宋体"/>
                <w:color w:val="000000"/>
                <w:kern w:val="0"/>
                <w:szCs w:val="21"/>
              </w:rPr>
              <w:t>；</w:t>
            </w:r>
          </w:p>
          <w:p>
            <w:pPr>
              <w:pStyle w:val="26"/>
              <w:widowControl/>
              <w:numPr>
                <w:ilvl w:val="0"/>
                <w:numId w:val="6"/>
              </w:numPr>
              <w:ind w:left="0" w:firstLine="0" w:firstLineChars="0"/>
              <w:jc w:val="left"/>
              <w:rPr>
                <w:rFonts w:ascii="宋体" w:hAnsi="宋体" w:eastAsia="宋体" w:cs="宋体"/>
                <w:szCs w:val="21"/>
              </w:rPr>
            </w:pPr>
            <w:r>
              <w:rPr>
                <w:rFonts w:hint="eastAsia" w:ascii="宋体" w:hAnsi="宋体" w:eastAsia="宋体" w:cs="宋体"/>
                <w:szCs w:val="21"/>
              </w:rPr>
              <w:t>照度要求：不低于0.001Lux（彩色模式）；不低于0.0001Lux（黑白模式）</w:t>
            </w:r>
          </w:p>
          <w:p>
            <w:pPr>
              <w:pStyle w:val="26"/>
              <w:widowControl/>
              <w:numPr>
                <w:ilvl w:val="0"/>
                <w:numId w:val="6"/>
              </w:numPr>
              <w:ind w:left="0" w:firstLine="0" w:firstLineChars="0"/>
              <w:jc w:val="left"/>
              <w:rPr>
                <w:rFonts w:ascii="宋体" w:hAnsi="宋体" w:eastAsia="宋体" w:cs="宋体"/>
                <w:szCs w:val="21"/>
              </w:rPr>
            </w:pPr>
            <w:r>
              <w:rPr>
                <w:rFonts w:hint="eastAsia" w:ascii="宋体" w:hAnsi="宋体" w:eastAsia="宋体" w:cs="宋体"/>
                <w:szCs w:val="21"/>
              </w:rPr>
              <w:t>▲可采集泊位车辆驶入信息、车辆驶离信息；</w:t>
            </w:r>
          </w:p>
          <w:p>
            <w:pPr>
              <w:pStyle w:val="26"/>
              <w:widowControl/>
              <w:numPr>
                <w:ilvl w:val="0"/>
                <w:numId w:val="6"/>
              </w:numPr>
              <w:ind w:left="0" w:firstLine="0" w:firstLineChars="0"/>
              <w:jc w:val="left"/>
              <w:rPr>
                <w:rFonts w:ascii="宋体" w:hAnsi="宋体" w:eastAsia="宋体" w:cs="宋体"/>
                <w:szCs w:val="21"/>
              </w:rPr>
            </w:pPr>
            <w:r>
              <w:rPr>
                <w:rFonts w:hint="eastAsia" w:ascii="宋体" w:hAnsi="宋体" w:eastAsia="宋体" w:cs="宋体"/>
                <w:szCs w:val="21"/>
              </w:rPr>
              <w:t>▲可对泊位空闲或占用状态进行实时检测；</w:t>
            </w:r>
          </w:p>
          <w:p>
            <w:pPr>
              <w:pStyle w:val="26"/>
              <w:widowControl/>
              <w:numPr>
                <w:ilvl w:val="0"/>
                <w:numId w:val="6"/>
              </w:numPr>
              <w:ind w:left="0" w:firstLine="0" w:firstLineChars="0"/>
              <w:jc w:val="left"/>
              <w:rPr>
                <w:rFonts w:ascii="宋体" w:hAnsi="宋体" w:eastAsia="宋体" w:cs="宋体"/>
                <w:szCs w:val="21"/>
              </w:rPr>
            </w:pPr>
            <w:r>
              <w:rPr>
                <w:rFonts w:hint="eastAsia" w:ascii="宋体" w:hAnsi="宋体" w:eastAsia="宋体" w:cs="宋体"/>
                <w:szCs w:val="21"/>
              </w:rPr>
              <w:t>▲可实现车牌号码和颜色识别、停车特写和全景图片采集。</w:t>
            </w:r>
          </w:p>
          <w:p>
            <w:pPr>
              <w:pStyle w:val="26"/>
              <w:widowControl/>
              <w:numPr>
                <w:ilvl w:val="0"/>
                <w:numId w:val="6"/>
              </w:numPr>
              <w:ind w:left="0" w:firstLine="0" w:firstLineChars="0"/>
              <w:jc w:val="left"/>
              <w:rPr>
                <w:rFonts w:ascii="宋体" w:hAnsi="宋体" w:eastAsia="宋体" w:cs="宋体"/>
                <w:szCs w:val="21"/>
              </w:rPr>
            </w:pPr>
            <w:r>
              <w:rPr>
                <w:rFonts w:hint="eastAsia" w:ascii="宋体" w:hAnsi="宋体" w:eastAsia="宋体" w:cs="宋体"/>
                <w:szCs w:val="21"/>
              </w:rPr>
              <w:t>可对跨位停车、半侧位停车和斜位停车等异常停车进行判别。</w:t>
            </w:r>
          </w:p>
          <w:p>
            <w:pPr>
              <w:pStyle w:val="26"/>
              <w:widowControl/>
              <w:numPr>
                <w:ilvl w:val="0"/>
                <w:numId w:val="6"/>
              </w:numPr>
              <w:ind w:left="0" w:firstLine="0" w:firstLineChars="0"/>
              <w:jc w:val="left"/>
              <w:rPr>
                <w:rFonts w:ascii="宋体" w:hAnsi="宋体" w:eastAsia="宋体" w:cs="宋体"/>
                <w:szCs w:val="21"/>
              </w:rPr>
            </w:pPr>
            <w:r>
              <w:rPr>
                <w:rFonts w:hint="eastAsia" w:ascii="宋体" w:hAnsi="宋体" w:eastAsia="宋体" w:cs="宋体"/>
                <w:szCs w:val="21"/>
              </w:rPr>
              <w:t>具备自动对时、故障自查、抗干扰和软件模块远程控制升级及自检状态定时上报。</w:t>
            </w:r>
          </w:p>
          <w:p>
            <w:pPr>
              <w:pStyle w:val="26"/>
              <w:widowControl/>
              <w:numPr>
                <w:ilvl w:val="0"/>
                <w:numId w:val="6"/>
              </w:numPr>
              <w:ind w:left="0" w:firstLine="0" w:firstLineChars="0"/>
              <w:jc w:val="left"/>
              <w:rPr>
                <w:rFonts w:ascii="宋体" w:hAnsi="宋体" w:eastAsia="宋体" w:cs="宋体"/>
                <w:szCs w:val="21"/>
              </w:rPr>
            </w:pPr>
            <w:r>
              <w:rPr>
                <w:rFonts w:hint="eastAsia" w:ascii="宋体" w:hAnsi="宋体" w:eastAsia="宋体" w:cs="宋体"/>
                <w:szCs w:val="21"/>
              </w:rPr>
              <w:t>前端检测设备根据现场环境情况配置补光灯，补光距离不低于60m，补光灯随外界情况自动开启，也可后台控制开关，亮度可调节。</w:t>
            </w:r>
          </w:p>
          <w:p>
            <w:pPr>
              <w:pStyle w:val="26"/>
              <w:widowControl/>
              <w:numPr>
                <w:ilvl w:val="0"/>
                <w:numId w:val="6"/>
              </w:numPr>
              <w:ind w:left="0" w:firstLine="0" w:firstLineChars="0"/>
              <w:jc w:val="left"/>
              <w:rPr>
                <w:rFonts w:ascii="宋体" w:hAnsi="宋体" w:eastAsia="宋体" w:cs="宋体"/>
                <w:szCs w:val="21"/>
              </w:rPr>
            </w:pPr>
            <w:r>
              <w:rPr>
                <w:rFonts w:hint="eastAsia" w:ascii="宋体" w:hAnsi="宋体" w:eastAsia="宋体" w:cs="宋体"/>
                <w:szCs w:val="21"/>
              </w:rPr>
              <w:t>支持H.265；H.264视频压缩标准，支持HTTP、Https、TCP、RTSP、UDP、IPv4/v6等网络协议，支持背光补偿、宽动态、白平衡、增益控制等基本功能。</w:t>
            </w:r>
          </w:p>
          <w:p>
            <w:pPr>
              <w:pStyle w:val="26"/>
              <w:widowControl/>
              <w:numPr>
                <w:ilvl w:val="0"/>
                <w:numId w:val="6"/>
              </w:numPr>
              <w:ind w:left="0" w:firstLine="0" w:firstLineChars="0"/>
              <w:jc w:val="left"/>
              <w:rPr>
                <w:rFonts w:ascii="宋体" w:hAnsi="宋体" w:eastAsia="宋体" w:cs="宋体"/>
                <w:szCs w:val="21"/>
              </w:rPr>
            </w:pPr>
            <w:r>
              <w:rPr>
                <w:rFonts w:hint="eastAsia" w:ascii="宋体" w:hAnsi="宋体" w:eastAsia="宋体" w:cs="宋体"/>
                <w:szCs w:val="21"/>
              </w:rPr>
              <w:t>▲防护等级不低于IP67</w:t>
            </w:r>
          </w:p>
        </w:tc>
        <w:tc>
          <w:tcPr>
            <w:tcW w:w="56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44" w:type="dxa"/>
            <w:shd w:val="clear" w:color="auto" w:fill="auto"/>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lang w:bidi="ar"/>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2"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w:t>
            </w:r>
          </w:p>
        </w:tc>
        <w:tc>
          <w:tcPr>
            <w:tcW w:w="1110"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监控摄像机1</w:t>
            </w:r>
          </w:p>
        </w:tc>
        <w:tc>
          <w:tcPr>
            <w:tcW w:w="5633" w:type="dxa"/>
            <w:shd w:val="clear" w:color="auto" w:fill="auto"/>
            <w:vAlign w:val="center"/>
          </w:tcPr>
          <w:p>
            <w:pPr>
              <w:pStyle w:val="26"/>
              <w:widowControl/>
              <w:ind w:firstLine="0" w:firstLineChars="0"/>
              <w:jc w:val="left"/>
              <w:rPr>
                <w:rFonts w:ascii="宋体" w:hAnsi="宋体" w:eastAsia="宋体" w:cs="宋体"/>
                <w:color w:val="000000"/>
                <w:kern w:val="0"/>
                <w:szCs w:val="21"/>
              </w:rPr>
            </w:pPr>
            <w:r>
              <w:rPr>
                <w:rFonts w:hint="eastAsia" w:ascii="宋体" w:hAnsi="宋体" w:eastAsia="宋体" w:cs="宋体"/>
                <w:color w:val="000000"/>
                <w:kern w:val="0"/>
                <w:szCs w:val="21"/>
              </w:rPr>
              <w:t>分辨率200万像素及以上，并在此分辨率下可输出30fps实时图像，图像更流畅逐行扫描CMOS，捕捉运动图像无锯齿，采用最新标准H.265+/H.265 视频压缩技术，压缩比高，码流控制准确、稳定内置自动日夜型双滤光片切换机构，具有手动或自动彩转黑等多种切换方式支持数字宽动态，3D数字降噪功能具有多种白平衡模式，适合各种场景需求200万像素5-50MM CS接口镜头，通光效果好，图像效果清澈透亮支持网络断开报警支持Onvif协议、国标GB28181支持防雷、防浪涌、防静电，IP66防护等级支持DC 12V / POE（可选）工业级外壳，耐高温，散热性能好。设备自带补光灯，随外界情况自动开启，也可后台控制开关，亮度可调节。</w:t>
            </w:r>
          </w:p>
        </w:tc>
        <w:tc>
          <w:tcPr>
            <w:tcW w:w="561"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台</w:t>
            </w:r>
          </w:p>
        </w:tc>
        <w:tc>
          <w:tcPr>
            <w:tcW w:w="644" w:type="dxa"/>
            <w:shd w:val="clear" w:color="auto" w:fill="auto"/>
            <w:vAlign w:val="center"/>
          </w:tcPr>
          <w:p>
            <w:pPr>
              <w:widowControl/>
              <w:jc w:val="left"/>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2"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w:t>
            </w:r>
          </w:p>
        </w:tc>
        <w:tc>
          <w:tcPr>
            <w:tcW w:w="1110"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监控摄像机3</w:t>
            </w:r>
          </w:p>
        </w:tc>
        <w:tc>
          <w:tcPr>
            <w:tcW w:w="5633" w:type="dxa"/>
            <w:shd w:val="clear" w:color="auto" w:fill="auto"/>
            <w:vAlign w:val="center"/>
          </w:tcPr>
          <w:p>
            <w:pPr>
              <w:pStyle w:val="26"/>
              <w:widowControl/>
              <w:ind w:firstLine="0" w:firstLineChars="0"/>
              <w:jc w:val="left"/>
              <w:rPr>
                <w:rFonts w:ascii="宋体" w:hAnsi="宋体" w:eastAsia="宋体" w:cs="宋体"/>
                <w:color w:val="000000"/>
                <w:kern w:val="0"/>
                <w:szCs w:val="21"/>
              </w:rPr>
            </w:pPr>
            <w:r>
              <w:rPr>
                <w:rFonts w:hint="eastAsia" w:ascii="宋体" w:hAnsi="宋体" w:eastAsia="宋体" w:cs="宋体"/>
                <w:color w:val="000000"/>
                <w:kern w:val="0"/>
                <w:szCs w:val="21"/>
              </w:rPr>
              <w:t>分辨率200万像素及以上，并在此分辨率下可输出30fps实时图像，图像更流畅逐行扫描CMOS，捕捉运动图像无锯齿，采用最新标准H.265+/H.265 视频压缩技术，压缩比高，码流控制准确、稳定内置自动日夜型双滤光片切换机构，具有手动或自动彩转黑等多种切换方式支持数字宽动态，3D数字降噪功能具有多种白平衡模式，适合各种场景需求200万像素2.8-12MM CS接口镜头，通光效果好，图像效果清澈透亮支持网络断开报警支持Onvif协议、国标GB28181支持防雷、防浪涌、防静电，IP66防护等级支持DC 12V / POE（可选）工业级外壳，耐高温，散热性能好。设备自带补光灯，随外界情况自动开启，也可后台控制开关，亮度可调节。</w:t>
            </w:r>
          </w:p>
        </w:tc>
        <w:tc>
          <w:tcPr>
            <w:tcW w:w="561" w:type="dxa"/>
            <w:shd w:val="clear" w:color="auto" w:fill="auto"/>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台</w:t>
            </w:r>
          </w:p>
        </w:tc>
        <w:tc>
          <w:tcPr>
            <w:tcW w:w="644" w:type="dxa"/>
            <w:shd w:val="clear" w:color="auto" w:fill="auto"/>
            <w:vAlign w:val="center"/>
          </w:tcPr>
          <w:p>
            <w:pPr>
              <w:widowControl/>
              <w:jc w:val="left"/>
              <w:textAlignment w:val="center"/>
              <w:rPr>
                <w:rFonts w:ascii="宋体" w:hAnsi="宋体" w:eastAsia="宋体" w:cs="宋体"/>
                <w:color w:val="000000"/>
                <w:kern w:val="0"/>
                <w:szCs w:val="21"/>
              </w:rPr>
            </w:pPr>
            <w:r>
              <w:rPr>
                <w:rFonts w:hint="eastAsia" w:ascii="宋体" w:hAnsi="宋体" w:eastAsia="宋体" w:cs="宋体"/>
                <w:color w:val="000000"/>
                <w:kern w:val="0"/>
                <w:sz w:val="20"/>
                <w:szCs w:val="20"/>
                <w:lang w:bidi="ar"/>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452"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w:t>
            </w:r>
          </w:p>
        </w:tc>
        <w:tc>
          <w:tcPr>
            <w:tcW w:w="1110"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高位视频检测主控机</w:t>
            </w:r>
          </w:p>
        </w:tc>
        <w:tc>
          <w:tcPr>
            <w:tcW w:w="5633" w:type="dxa"/>
            <w:shd w:val="clear" w:color="auto" w:fill="auto"/>
            <w:vAlign w:val="center"/>
          </w:tcPr>
          <w:p>
            <w:pPr>
              <w:pStyle w:val="26"/>
              <w:widowControl/>
              <w:numPr>
                <w:ilvl w:val="0"/>
                <w:numId w:val="7"/>
              </w:numPr>
              <w:ind w:firstLineChars="0"/>
              <w:jc w:val="left"/>
              <w:rPr>
                <w:rFonts w:ascii="宋体" w:hAnsi="宋体" w:eastAsia="宋体" w:cs="宋体"/>
                <w:szCs w:val="21"/>
              </w:rPr>
            </w:pPr>
            <w:r>
              <w:rPr>
                <w:rFonts w:hint="eastAsia" w:ascii="宋体" w:hAnsi="宋体" w:eastAsia="宋体" w:cs="宋体"/>
                <w:szCs w:val="21"/>
              </w:rPr>
              <w:t>具备停车信息自动上传网络平台功能，断网时可本地保存，网络恢复后自动续传；</w:t>
            </w:r>
          </w:p>
          <w:p>
            <w:pPr>
              <w:pStyle w:val="26"/>
              <w:widowControl/>
              <w:numPr>
                <w:ilvl w:val="0"/>
                <w:numId w:val="7"/>
              </w:numPr>
              <w:ind w:firstLineChars="0"/>
              <w:jc w:val="left"/>
              <w:rPr>
                <w:rFonts w:ascii="宋体" w:hAnsi="宋体" w:eastAsia="宋体" w:cs="宋体"/>
                <w:szCs w:val="21"/>
              </w:rPr>
            </w:pPr>
            <w:r>
              <w:rPr>
                <w:rFonts w:hint="eastAsia" w:ascii="宋体" w:hAnsi="宋体" w:eastAsia="宋体" w:cs="宋体"/>
                <w:szCs w:val="21"/>
              </w:rPr>
              <w:t>具备对停车信息的全程视频取证和安防监控功能，满足证据链的完整；</w:t>
            </w:r>
          </w:p>
          <w:p>
            <w:pPr>
              <w:pStyle w:val="26"/>
              <w:widowControl/>
              <w:numPr>
                <w:ilvl w:val="0"/>
                <w:numId w:val="7"/>
              </w:numPr>
              <w:ind w:firstLineChars="0"/>
              <w:jc w:val="left"/>
              <w:rPr>
                <w:rFonts w:ascii="宋体" w:hAnsi="宋体" w:eastAsia="宋体" w:cs="宋体"/>
                <w:szCs w:val="21"/>
              </w:rPr>
            </w:pPr>
            <w:r>
              <w:rPr>
                <w:rFonts w:hint="eastAsia" w:ascii="宋体" w:hAnsi="宋体" w:eastAsia="宋体" w:cs="宋体"/>
                <w:szCs w:val="21"/>
              </w:rPr>
              <w:t>具备通过网络进行批量设备软件/图像算法模型的远程升级功能；</w:t>
            </w:r>
          </w:p>
          <w:p>
            <w:pPr>
              <w:pStyle w:val="26"/>
              <w:widowControl/>
              <w:numPr>
                <w:ilvl w:val="0"/>
                <w:numId w:val="7"/>
              </w:numPr>
              <w:ind w:firstLineChars="0"/>
              <w:jc w:val="left"/>
              <w:rPr>
                <w:rFonts w:ascii="宋体" w:hAnsi="宋体" w:eastAsia="宋体" w:cs="宋体"/>
                <w:szCs w:val="21"/>
              </w:rPr>
            </w:pPr>
            <w:r>
              <w:rPr>
                <w:rFonts w:hint="eastAsia" w:ascii="宋体" w:hAnsi="宋体" w:eastAsia="宋体" w:cs="宋体"/>
              </w:rPr>
              <w:t>▲</w:t>
            </w:r>
            <w:r>
              <w:rPr>
                <w:rFonts w:hint="eastAsia" w:ascii="宋体" w:hAnsi="宋体" w:eastAsia="宋体" w:cs="宋体"/>
                <w:szCs w:val="21"/>
              </w:rPr>
              <w:t>具备通过网络进行批量设备配置，并保存在云端备份与恢复功能；具备实时监控现场环境参数指标(温度，湿度，位置坐标等信息)功能；可通过外接蓄电池（DC12V）供电，工作温度范围-30℃-70℃；</w:t>
            </w:r>
          </w:p>
          <w:p>
            <w:pPr>
              <w:pStyle w:val="26"/>
              <w:widowControl/>
              <w:numPr>
                <w:ilvl w:val="0"/>
                <w:numId w:val="7"/>
              </w:numPr>
              <w:ind w:firstLineChars="0"/>
              <w:jc w:val="left"/>
              <w:rPr>
                <w:rFonts w:ascii="宋体" w:hAnsi="宋体" w:eastAsia="宋体" w:cs="宋体"/>
                <w:szCs w:val="21"/>
              </w:rPr>
            </w:pPr>
            <w:r>
              <w:rPr>
                <w:rFonts w:hint="eastAsia" w:ascii="宋体" w:hAnsi="宋体" w:eastAsia="宋体" w:cs="宋体"/>
              </w:rPr>
              <w:t>▲不低于每套设备8个车位检测，视频接入路数不低于4路；</w:t>
            </w:r>
          </w:p>
          <w:p>
            <w:pPr>
              <w:pStyle w:val="26"/>
              <w:widowControl/>
              <w:numPr>
                <w:ilvl w:val="0"/>
                <w:numId w:val="7"/>
              </w:numPr>
              <w:ind w:firstLineChars="0"/>
              <w:jc w:val="left"/>
              <w:rPr>
                <w:rFonts w:ascii="宋体" w:hAnsi="宋体" w:eastAsia="宋体" w:cs="宋体"/>
                <w:szCs w:val="21"/>
              </w:rPr>
            </w:pPr>
            <w:r>
              <w:rPr>
                <w:rFonts w:hint="eastAsia" w:ascii="宋体" w:hAnsi="宋体" w:eastAsia="宋体" w:cs="宋体"/>
              </w:rPr>
              <w:t>▲车辆捕获率不低于96%；</w:t>
            </w:r>
          </w:p>
          <w:p>
            <w:pPr>
              <w:pStyle w:val="26"/>
              <w:widowControl/>
              <w:numPr>
                <w:ilvl w:val="0"/>
                <w:numId w:val="7"/>
              </w:numPr>
              <w:ind w:firstLineChars="0"/>
              <w:jc w:val="left"/>
              <w:rPr>
                <w:rFonts w:ascii="宋体" w:hAnsi="宋体" w:eastAsia="宋体" w:cs="宋体"/>
                <w:szCs w:val="21"/>
              </w:rPr>
            </w:pPr>
            <w:r>
              <w:rPr>
                <w:rFonts w:hint="eastAsia" w:ascii="宋体" w:hAnsi="宋体" w:eastAsia="宋体" w:cs="宋体"/>
              </w:rPr>
              <w:t>▲车位状态变化检测准确率不低于96%；</w:t>
            </w:r>
          </w:p>
        </w:tc>
        <w:tc>
          <w:tcPr>
            <w:tcW w:w="56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44" w:type="dxa"/>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lang w:bidi="ar"/>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452"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w:t>
            </w:r>
          </w:p>
        </w:tc>
        <w:tc>
          <w:tcPr>
            <w:tcW w:w="1110"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监控球机</w:t>
            </w:r>
          </w:p>
        </w:tc>
        <w:tc>
          <w:tcPr>
            <w:tcW w:w="5633" w:type="dxa"/>
            <w:shd w:val="clear" w:color="auto" w:fill="auto"/>
            <w:vAlign w:val="center"/>
          </w:tcPr>
          <w:p>
            <w:pPr>
              <w:widowControl/>
              <w:jc w:val="left"/>
              <w:rPr>
                <w:rFonts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rPr>
              <w:tab/>
            </w:r>
            <w:r>
              <w:rPr>
                <w:rFonts w:hint="eastAsia" w:ascii="宋体" w:hAnsi="宋体" w:eastAsia="宋体" w:cs="宋体"/>
                <w:szCs w:val="21"/>
              </w:rPr>
              <w:t>最大支持 2560×1440@30fps 实时视频输出，最少支持 23 倍光学变倍；</w:t>
            </w:r>
          </w:p>
          <w:p>
            <w:pPr>
              <w:widowControl/>
              <w:jc w:val="left"/>
              <w:rPr>
                <w:rFonts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rPr>
              <w:tab/>
            </w:r>
            <w:r>
              <w:rPr>
                <w:rFonts w:hint="eastAsia" w:ascii="宋体" w:hAnsi="宋体" w:eastAsia="宋体" w:cs="宋体"/>
                <w:szCs w:val="21"/>
              </w:rPr>
              <w:t>支持 GB/T28181、ONVIF等各种网络协议，组网更方便；</w:t>
            </w:r>
          </w:p>
          <w:p>
            <w:pPr>
              <w:widowControl/>
              <w:jc w:val="left"/>
              <w:rPr>
                <w:rFonts w:ascii="宋体" w:hAnsi="宋体" w:eastAsia="宋体" w:cs="宋体"/>
                <w:szCs w:val="21"/>
              </w:rPr>
            </w:pPr>
            <w:r>
              <w:rPr>
                <w:rFonts w:hint="eastAsia" w:ascii="宋体" w:hAnsi="宋体" w:eastAsia="宋体" w:cs="宋体"/>
                <w:szCs w:val="21"/>
              </w:rPr>
              <w:t>3、</w:t>
            </w:r>
            <w:r>
              <w:rPr>
                <w:rFonts w:hint="eastAsia" w:ascii="宋体" w:hAnsi="宋体" w:eastAsia="宋体" w:cs="宋体"/>
                <w:szCs w:val="21"/>
              </w:rPr>
              <w:tab/>
            </w:r>
            <w:r>
              <w:rPr>
                <w:rFonts w:hint="eastAsia" w:ascii="宋体" w:hAnsi="宋体" w:eastAsia="宋体" w:cs="宋体"/>
                <w:szCs w:val="21"/>
              </w:rPr>
              <w:t>宽动态效果，加上图像降噪功能，完美的白天/夜晚图像展现；</w:t>
            </w:r>
          </w:p>
          <w:p>
            <w:pPr>
              <w:widowControl/>
              <w:jc w:val="left"/>
              <w:rPr>
                <w:rFonts w:ascii="宋体" w:hAnsi="宋体" w:eastAsia="宋体" w:cs="宋体"/>
                <w:szCs w:val="21"/>
              </w:rPr>
            </w:pPr>
            <w:r>
              <w:rPr>
                <w:rFonts w:hint="eastAsia" w:ascii="宋体" w:hAnsi="宋体" w:eastAsia="宋体" w:cs="宋体"/>
                <w:szCs w:val="21"/>
              </w:rPr>
              <w:t>4、</w:t>
            </w:r>
            <w:r>
              <w:rPr>
                <w:rFonts w:hint="eastAsia" w:ascii="宋体" w:hAnsi="宋体" w:eastAsia="宋体" w:cs="宋体"/>
                <w:szCs w:val="21"/>
              </w:rPr>
              <w:tab/>
            </w:r>
            <w:r>
              <w:rPr>
                <w:rFonts w:hint="eastAsia" w:ascii="宋体" w:hAnsi="宋体" w:eastAsia="宋体" w:cs="宋体"/>
                <w:szCs w:val="21"/>
              </w:rPr>
              <w:t>支持 300 个预置位；</w:t>
            </w:r>
          </w:p>
          <w:p>
            <w:pPr>
              <w:widowControl/>
              <w:jc w:val="left"/>
              <w:rPr>
                <w:rFonts w:ascii="宋体" w:hAnsi="宋体" w:eastAsia="宋体" w:cs="宋体"/>
                <w:szCs w:val="21"/>
              </w:rPr>
            </w:pPr>
            <w:r>
              <w:rPr>
                <w:rFonts w:hint="eastAsia" w:ascii="宋体" w:hAnsi="宋体" w:eastAsia="宋体" w:cs="宋体"/>
                <w:szCs w:val="21"/>
              </w:rPr>
              <w:t>5、</w:t>
            </w:r>
            <w:r>
              <w:rPr>
                <w:rFonts w:hint="eastAsia" w:ascii="宋体" w:hAnsi="宋体" w:eastAsia="宋体" w:cs="宋体"/>
                <w:szCs w:val="21"/>
              </w:rPr>
              <w:tab/>
            </w:r>
            <w:r>
              <w:rPr>
                <w:rFonts w:hint="eastAsia" w:ascii="宋体" w:hAnsi="宋体" w:eastAsia="宋体" w:cs="宋体"/>
                <w:szCs w:val="21"/>
              </w:rPr>
              <w:t>支持 DC12V±10%宽电压输入。</w:t>
            </w:r>
          </w:p>
        </w:tc>
        <w:tc>
          <w:tcPr>
            <w:tcW w:w="56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44" w:type="dxa"/>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trPr>
        <w:tc>
          <w:tcPr>
            <w:tcW w:w="452"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1110"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监控摄像机2</w:t>
            </w:r>
          </w:p>
        </w:tc>
        <w:tc>
          <w:tcPr>
            <w:tcW w:w="5633" w:type="dxa"/>
            <w:shd w:val="clear" w:color="auto" w:fill="auto"/>
            <w:vAlign w:val="center"/>
          </w:tcPr>
          <w:p>
            <w:pPr>
              <w:widowControl/>
              <w:jc w:val="left"/>
              <w:rPr>
                <w:rFonts w:ascii="宋体" w:hAnsi="宋体" w:eastAsia="宋体" w:cs="宋体"/>
                <w:szCs w:val="21"/>
              </w:rPr>
            </w:pPr>
            <w:r>
              <w:rPr>
                <w:rFonts w:hint="eastAsia" w:ascii="宋体" w:hAnsi="宋体" w:eastAsia="宋体" w:cs="宋体"/>
                <w:szCs w:val="21"/>
              </w:rPr>
              <w:t>（1）采用H.265 编码分辨率：不低于200万像素（1920×1080）</w:t>
            </w:r>
          </w:p>
          <w:p>
            <w:pPr>
              <w:widowControl/>
              <w:jc w:val="left"/>
              <w:rPr>
                <w:rFonts w:ascii="宋体" w:hAnsi="宋体" w:eastAsia="宋体" w:cs="宋体"/>
                <w:szCs w:val="21"/>
              </w:rPr>
            </w:pPr>
            <w:r>
              <w:rPr>
                <w:rFonts w:hint="eastAsia" w:ascii="宋体" w:hAnsi="宋体" w:eastAsia="宋体" w:cs="宋体"/>
                <w:szCs w:val="21"/>
              </w:rPr>
              <w:t>（2）最大可输出Full HD 1080p@30fps实时图像逐行扫描CMOS捕捉运动图像无锯齿码流平滑设置，适应不同场景下对图像质量、流畅性的不同要求</w:t>
            </w:r>
          </w:p>
          <w:p>
            <w:pPr>
              <w:widowControl/>
              <w:jc w:val="left"/>
              <w:rPr>
                <w:rFonts w:ascii="宋体" w:hAnsi="宋体" w:eastAsia="宋体" w:cs="宋体"/>
                <w:szCs w:val="21"/>
              </w:rPr>
            </w:pPr>
            <w:r>
              <w:rPr>
                <w:rFonts w:hint="eastAsia" w:ascii="宋体" w:hAnsi="宋体" w:eastAsia="宋体" w:cs="宋体"/>
                <w:szCs w:val="21"/>
              </w:rPr>
              <w:t>（3）防护等级不低于IP66</w:t>
            </w:r>
          </w:p>
          <w:p>
            <w:pPr>
              <w:widowControl/>
              <w:jc w:val="left"/>
              <w:rPr>
                <w:rFonts w:ascii="宋体" w:hAnsi="宋体" w:eastAsia="宋体" w:cs="宋体"/>
                <w:szCs w:val="21"/>
              </w:rPr>
            </w:pPr>
            <w:r>
              <w:rPr>
                <w:rFonts w:hint="eastAsia" w:ascii="宋体" w:hAnsi="宋体" w:eastAsia="宋体" w:cs="宋体"/>
                <w:szCs w:val="21"/>
              </w:rPr>
              <w:t>（4）支持GBK字库，支持更多汉字及生僻字叠加支持OSD颜色自选采用ROI、SVC等视频压缩技术压缩比高</w:t>
            </w:r>
          </w:p>
          <w:p>
            <w:pPr>
              <w:widowControl/>
              <w:jc w:val="left"/>
              <w:rPr>
                <w:rFonts w:ascii="宋体" w:hAnsi="宋体" w:eastAsia="宋体" w:cs="宋体"/>
                <w:color w:val="000000"/>
                <w:kern w:val="0"/>
                <w:szCs w:val="21"/>
              </w:rPr>
            </w:pPr>
            <w:r>
              <w:rPr>
                <w:rFonts w:hint="eastAsia" w:ascii="宋体" w:hAnsi="宋体" w:eastAsia="宋体" w:cs="宋体"/>
                <w:szCs w:val="21"/>
              </w:rPr>
              <w:t>（5）支持3D数字降噪功能</w:t>
            </w:r>
          </w:p>
        </w:tc>
        <w:tc>
          <w:tcPr>
            <w:tcW w:w="56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44" w:type="dxa"/>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lang w:bidi="ar"/>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452"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w:t>
            </w:r>
          </w:p>
        </w:tc>
        <w:tc>
          <w:tcPr>
            <w:tcW w:w="1110"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硬盘录像机4路</w:t>
            </w:r>
          </w:p>
        </w:tc>
        <w:tc>
          <w:tcPr>
            <w:tcW w:w="5633"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工作电压：220V±10%，50Hz±2%；110V±10%，60Hz±2%；配置单路视频保存时间不低于 30 天的本地存储空间；可以远程调用历史和实时视频图像；</w:t>
            </w:r>
          </w:p>
        </w:tc>
        <w:tc>
          <w:tcPr>
            <w:tcW w:w="56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44" w:type="dxa"/>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lang w:bidi="ar"/>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52"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1.8</w:t>
            </w:r>
          </w:p>
        </w:tc>
        <w:tc>
          <w:tcPr>
            <w:tcW w:w="1110"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硬盘</w:t>
            </w:r>
          </w:p>
        </w:tc>
        <w:tc>
          <w:tcPr>
            <w:tcW w:w="5633"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监控专用硬盘6T</w:t>
            </w:r>
          </w:p>
        </w:tc>
        <w:tc>
          <w:tcPr>
            <w:tcW w:w="56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块</w:t>
            </w:r>
          </w:p>
        </w:tc>
        <w:tc>
          <w:tcPr>
            <w:tcW w:w="644" w:type="dxa"/>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lang w:bidi="ar"/>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452"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w:t>
            </w:r>
          </w:p>
        </w:tc>
        <w:tc>
          <w:tcPr>
            <w:tcW w:w="1110"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工业交换机</w:t>
            </w:r>
          </w:p>
        </w:tc>
        <w:tc>
          <w:tcPr>
            <w:tcW w:w="5633"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单模块不少于8个10/100/1000Mbps以太网端口；满足设备接入要求，金属外壳，具有良好的散热性；工作温度范围在-10~60℃。</w:t>
            </w:r>
          </w:p>
        </w:tc>
        <w:tc>
          <w:tcPr>
            <w:tcW w:w="56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44" w:type="dxa"/>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lang w:bidi="ar"/>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452"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1.10</w:t>
            </w:r>
          </w:p>
        </w:tc>
        <w:tc>
          <w:tcPr>
            <w:tcW w:w="1110"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智能电源模块</w:t>
            </w:r>
          </w:p>
        </w:tc>
        <w:tc>
          <w:tcPr>
            <w:tcW w:w="5633"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szCs w:val="21"/>
              </w:rPr>
              <w:t>▲</w:t>
            </w:r>
            <w:r>
              <w:rPr>
                <w:rFonts w:hint="eastAsia" w:ascii="宋体" w:hAnsi="宋体" w:eastAsia="宋体" w:cs="宋体"/>
                <w:color w:val="000000"/>
                <w:kern w:val="0"/>
                <w:szCs w:val="21"/>
              </w:rPr>
              <w:t>不少于6个直流12V输出端口；</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直流输出功率不小于200W；</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1个10/100Mbps控制端口；</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时序电源功能；</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所有输出端口的状态都可以从云端运维系统进行控制；</w:t>
            </w:r>
          </w:p>
        </w:tc>
        <w:tc>
          <w:tcPr>
            <w:tcW w:w="56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44" w:type="dxa"/>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lang w:bidi="ar"/>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52"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1.11</w:t>
            </w:r>
          </w:p>
        </w:tc>
        <w:tc>
          <w:tcPr>
            <w:tcW w:w="1110"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光纤收发器</w:t>
            </w:r>
          </w:p>
        </w:tc>
        <w:tc>
          <w:tcPr>
            <w:tcW w:w="5633"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千兆单模单纤收发器</w:t>
            </w:r>
          </w:p>
        </w:tc>
        <w:tc>
          <w:tcPr>
            <w:tcW w:w="56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对</w:t>
            </w:r>
          </w:p>
        </w:tc>
        <w:tc>
          <w:tcPr>
            <w:tcW w:w="644" w:type="dxa"/>
            <w:shd w:val="clear" w:color="000000" w:fill="FFFFFF"/>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color w:val="000000"/>
                <w:kern w:val="0"/>
                <w:sz w:val="20"/>
                <w:szCs w:val="20"/>
                <w:lang w:bidi="ar"/>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452"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1.12</w:t>
            </w:r>
          </w:p>
        </w:tc>
        <w:tc>
          <w:tcPr>
            <w:tcW w:w="1110"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一体化设备箱</w:t>
            </w:r>
          </w:p>
        </w:tc>
        <w:tc>
          <w:tcPr>
            <w:tcW w:w="5633"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具有抗振动、抗冲击、耐腐蚀、防尘、防水、防辐射等性能，以保证设备稳定可靠地工作；防护等级：IP54。满足设备安装要求，箱内线缆整洁。表面按要求制作专用标志。</w:t>
            </w:r>
          </w:p>
        </w:tc>
        <w:tc>
          <w:tcPr>
            <w:tcW w:w="56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c>
          <w:tcPr>
            <w:tcW w:w="644" w:type="dxa"/>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lang w:bidi="ar"/>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52"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1.13</w:t>
            </w:r>
          </w:p>
        </w:tc>
        <w:tc>
          <w:tcPr>
            <w:tcW w:w="1110"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人工手持pda</w:t>
            </w:r>
          </w:p>
        </w:tc>
        <w:tc>
          <w:tcPr>
            <w:tcW w:w="5633" w:type="dxa"/>
            <w:shd w:val="clear" w:color="auto" w:fill="auto"/>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（1）兼容5G物联卡，兼容三大网络通信运营商。</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（2）包含设备投入使用至运维期物联网卡月租费用。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（3）扫描车牌可识别欠费时间并打印出欠费票据（4）接收数据准时，并及时处理预警（5）修改入场车辆信息（6）报警工单可直接点入处理（7）PDA机充电口应符合通用标准（8）符合IS07811/7812/7813 等通用标准。（9）IC 卡读写器：符合 ISO7816 标准，通过中国银联 PBOC3.0LEVEL（10）非接触读卡器：支持 ISO/IEC14443 A&amp;B、Mifare 卡；（11）打印：支持高速静音热敏打印，纸宽 58mm，最大纸卷直径 30mm。（12）安全认证：通过银联卡受理终端安全规范（UPTS2.0）的认证（13）摄像功能：大于500 万像素，支持闪光灯、自动对焦、录像。（14）定位：高精度 GPS，支持 A-GPS 和北斗。（15）物理接口：Mini USB、DC Jack、3.5mm 音频接口、POGO PIN。（16）音频：扬声器、听筒、麦克风。其他附件：电源适配器、数据线、电池、腕带。坠地抗震高度：能承受 1.3 米高度多次跌落到光滑水泥地面的冲击。</w:t>
            </w:r>
          </w:p>
        </w:tc>
        <w:tc>
          <w:tcPr>
            <w:tcW w:w="56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44" w:type="dxa"/>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lang w:bidi="ar"/>
              </w:rPr>
              <w:t>76</w:t>
            </w:r>
          </w:p>
        </w:tc>
      </w:tr>
    </w:tbl>
    <w:p>
      <w:pPr>
        <w:rPr>
          <w:rFonts w:ascii="宋体" w:hAnsi="宋体" w:eastAsia="宋体" w:cs="宋体"/>
        </w:rPr>
      </w:pPr>
    </w:p>
    <w:p>
      <w:pPr>
        <w:pStyle w:val="5"/>
        <w:rPr>
          <w:rFonts w:ascii="宋体" w:hAnsi="宋体" w:eastAsia="宋体" w:cs="宋体"/>
          <w:sz w:val="28"/>
          <w:szCs w:val="36"/>
        </w:rPr>
      </w:pPr>
      <w:r>
        <w:rPr>
          <w:rFonts w:hint="eastAsia" w:ascii="宋体" w:hAnsi="宋体" w:eastAsia="宋体" w:cs="宋体"/>
          <w:sz w:val="28"/>
          <w:szCs w:val="36"/>
        </w:rPr>
        <w:t>前端综合布线部分</w:t>
      </w:r>
    </w:p>
    <w:p>
      <w:pPr>
        <w:rPr>
          <w:rFonts w:ascii="宋体" w:hAnsi="宋体" w:eastAsia="宋体" w:cs="宋体"/>
        </w:rPr>
      </w:pPr>
    </w:p>
    <w:p>
      <w:pPr>
        <w:pStyle w:val="6"/>
        <w:spacing w:line="360" w:lineRule="auto"/>
        <w:rPr>
          <w:rFonts w:ascii="宋体" w:hAnsi="宋体" w:eastAsia="宋体" w:cs="宋体"/>
        </w:rPr>
      </w:pPr>
      <w:r>
        <w:rPr>
          <w:rFonts w:hint="eastAsia" w:ascii="宋体" w:hAnsi="宋体" w:eastAsia="宋体" w:cs="宋体"/>
        </w:rPr>
        <w:t>前端综合布线要求</w:t>
      </w:r>
    </w:p>
    <w:p>
      <w:pPr>
        <w:spacing w:line="360" w:lineRule="auto"/>
        <w:ind w:firstLine="480"/>
        <w:jc w:val="left"/>
        <w:rPr>
          <w:rFonts w:ascii="宋体" w:hAnsi="宋体" w:eastAsia="宋体" w:cs="宋体"/>
        </w:rPr>
      </w:pPr>
      <w:r>
        <w:rPr>
          <w:rFonts w:hint="eastAsia" w:ascii="宋体" w:hAnsi="宋体" w:eastAsia="宋体" w:cs="宋体"/>
        </w:rPr>
        <w:t>本期综合布线管道部分由配套工程提供，前端布线部分主要包括：</w:t>
      </w:r>
    </w:p>
    <w:p>
      <w:pPr>
        <w:numPr>
          <w:ilvl w:val="0"/>
          <w:numId w:val="8"/>
        </w:numPr>
        <w:spacing w:line="360" w:lineRule="auto"/>
        <w:ind w:firstLine="480"/>
        <w:jc w:val="left"/>
        <w:rPr>
          <w:rFonts w:ascii="宋体" w:hAnsi="宋体" w:eastAsia="宋体" w:cs="宋体"/>
        </w:rPr>
      </w:pPr>
      <w:r>
        <w:rPr>
          <w:rFonts w:hint="eastAsia" w:ascii="宋体" w:hAnsi="宋体" w:eastAsia="宋体" w:cs="宋体"/>
        </w:rPr>
        <w:t>前端设备至设备箱内的各种线缆。</w:t>
      </w:r>
    </w:p>
    <w:p>
      <w:pPr>
        <w:numPr>
          <w:ilvl w:val="0"/>
          <w:numId w:val="8"/>
        </w:numPr>
        <w:spacing w:line="360" w:lineRule="auto"/>
        <w:ind w:firstLine="480"/>
        <w:jc w:val="left"/>
        <w:rPr>
          <w:rFonts w:ascii="宋体" w:hAnsi="宋体" w:eastAsia="宋体" w:cs="宋体"/>
        </w:rPr>
      </w:pPr>
      <w:r>
        <w:rPr>
          <w:rFonts w:hint="eastAsia" w:ascii="宋体" w:hAnsi="宋体" w:eastAsia="宋体" w:cs="宋体"/>
        </w:rPr>
        <w:t>非租赁传输线路点位互联（超出90米使用光缆连接）</w:t>
      </w:r>
    </w:p>
    <w:p>
      <w:pPr>
        <w:numPr>
          <w:ilvl w:val="0"/>
          <w:numId w:val="8"/>
        </w:numPr>
        <w:spacing w:line="360" w:lineRule="auto"/>
        <w:ind w:firstLine="480"/>
        <w:jc w:val="left"/>
        <w:rPr>
          <w:rFonts w:ascii="宋体" w:hAnsi="宋体" w:eastAsia="宋体" w:cs="宋体"/>
        </w:rPr>
      </w:pPr>
      <w:r>
        <w:rPr>
          <w:rFonts w:hint="eastAsia" w:ascii="宋体" w:hAnsi="宋体" w:eastAsia="宋体" w:cs="宋体"/>
        </w:rPr>
        <w:t>其他</w:t>
      </w:r>
    </w:p>
    <w:p>
      <w:pPr>
        <w:numPr>
          <w:ilvl w:val="0"/>
          <w:numId w:val="8"/>
        </w:numPr>
        <w:spacing w:line="360" w:lineRule="auto"/>
        <w:ind w:firstLine="480"/>
        <w:jc w:val="left"/>
        <w:rPr>
          <w:rFonts w:ascii="宋体" w:hAnsi="宋体" w:eastAsia="宋体" w:cs="宋体"/>
        </w:rPr>
      </w:pPr>
      <w:r>
        <w:rPr>
          <w:rFonts w:hint="eastAsia" w:ascii="宋体" w:hAnsi="宋体" w:eastAsia="宋体" w:cs="宋体"/>
        </w:rPr>
        <w:t>网络协议要求</w:t>
      </w:r>
    </w:p>
    <w:p>
      <w:pPr>
        <w:spacing w:line="360" w:lineRule="auto"/>
        <w:ind w:firstLine="480"/>
        <w:jc w:val="left"/>
        <w:rPr>
          <w:rFonts w:ascii="宋体" w:hAnsi="宋体" w:eastAsia="宋体" w:cs="宋体"/>
        </w:rPr>
      </w:pPr>
      <w:r>
        <w:rPr>
          <w:rFonts w:hint="eastAsia" w:ascii="宋体" w:hAnsi="宋体" w:eastAsia="宋体" w:cs="宋体"/>
        </w:rPr>
        <w:t>联网系统网络层支持IP协议，传输层支持TCP和UDP协议。</w:t>
      </w:r>
    </w:p>
    <w:p>
      <w:pPr>
        <w:spacing w:line="360" w:lineRule="auto"/>
        <w:ind w:firstLine="480"/>
        <w:jc w:val="left"/>
        <w:rPr>
          <w:rFonts w:ascii="宋体" w:hAnsi="宋体" w:eastAsia="宋体" w:cs="宋体"/>
        </w:rPr>
      </w:pPr>
      <w:r>
        <w:rPr>
          <w:rFonts w:hint="eastAsia" w:ascii="宋体" w:hAnsi="宋体" w:eastAsia="宋体" w:cs="宋体"/>
        </w:rPr>
        <w:t>5、媒体传输协议要求</w:t>
      </w:r>
    </w:p>
    <w:p>
      <w:pPr>
        <w:spacing w:line="360" w:lineRule="auto"/>
        <w:ind w:firstLine="480"/>
        <w:jc w:val="left"/>
        <w:rPr>
          <w:rFonts w:ascii="宋体" w:hAnsi="宋体" w:eastAsia="宋体" w:cs="宋体"/>
        </w:rPr>
      </w:pPr>
      <w:r>
        <w:rPr>
          <w:rFonts w:hint="eastAsia" w:ascii="宋体" w:hAnsi="宋体" w:eastAsia="宋体" w:cs="宋体"/>
        </w:rPr>
        <w:t>视音频流在基于IP的网络上传输时支持RTP/RTCP协议；视音频流的数据封装格式符合标准要求。</w:t>
      </w:r>
    </w:p>
    <w:p>
      <w:pPr>
        <w:spacing w:line="360" w:lineRule="auto"/>
        <w:ind w:firstLine="480"/>
        <w:jc w:val="left"/>
        <w:rPr>
          <w:rFonts w:ascii="宋体" w:hAnsi="宋体" w:eastAsia="宋体" w:cs="宋体"/>
        </w:rPr>
      </w:pPr>
      <w:r>
        <w:rPr>
          <w:rFonts w:hint="eastAsia" w:ascii="宋体" w:hAnsi="宋体" w:eastAsia="宋体" w:cs="宋体"/>
        </w:rPr>
        <w:t>6、信息传输延迟时间</w:t>
      </w:r>
    </w:p>
    <w:p>
      <w:pPr>
        <w:spacing w:line="360" w:lineRule="auto"/>
        <w:ind w:firstLine="480"/>
        <w:jc w:val="left"/>
        <w:rPr>
          <w:rFonts w:ascii="宋体" w:hAnsi="宋体" w:eastAsia="宋体" w:cs="宋体"/>
        </w:rPr>
      </w:pPr>
      <w:r>
        <w:rPr>
          <w:rFonts w:hint="eastAsia" w:ascii="宋体" w:hAnsi="宋体" w:eastAsia="宋体" w:cs="宋体"/>
        </w:rPr>
        <w:t>当信息（包括视音频信息、控制信息及报警信息等）经由IP网络传输时，端到端的信息延迟时间（包括发送端信息采集、编码、网络传输、信息接收端解码、显示等过程所经历的时间）满足前端设备与信号直接接入的监控中心相应设备间端到端的信息延迟时间不大于2s；</w:t>
      </w:r>
    </w:p>
    <w:p>
      <w:pPr>
        <w:spacing w:line="360" w:lineRule="auto"/>
        <w:ind w:firstLine="480"/>
        <w:jc w:val="left"/>
        <w:rPr>
          <w:rFonts w:ascii="宋体" w:hAnsi="宋体" w:eastAsia="宋体" w:cs="宋体"/>
        </w:rPr>
      </w:pPr>
      <w:r>
        <w:rPr>
          <w:rFonts w:hint="eastAsia" w:ascii="宋体" w:hAnsi="宋体" w:eastAsia="宋体" w:cs="宋体"/>
        </w:rPr>
        <w:t>7、网络传输带宽</w:t>
      </w:r>
    </w:p>
    <w:p>
      <w:pPr>
        <w:spacing w:line="360" w:lineRule="auto"/>
        <w:ind w:firstLine="480"/>
        <w:jc w:val="left"/>
        <w:rPr>
          <w:rFonts w:ascii="宋体" w:hAnsi="宋体" w:eastAsia="宋体" w:cs="宋体"/>
        </w:rPr>
      </w:pPr>
      <w:r>
        <w:rPr>
          <w:rFonts w:hint="eastAsia" w:ascii="宋体" w:hAnsi="宋体" w:eastAsia="宋体" w:cs="宋体"/>
        </w:rPr>
        <w:t>联网系统网络带宽设计能满足前端设备接入监控中心、监控中心互联、用户终端接入监控中心的带宽要求，并留有余量。</w:t>
      </w:r>
    </w:p>
    <w:p>
      <w:pPr>
        <w:spacing w:line="360" w:lineRule="auto"/>
        <w:ind w:firstLine="480"/>
        <w:jc w:val="left"/>
        <w:rPr>
          <w:rFonts w:ascii="宋体" w:hAnsi="宋体" w:eastAsia="宋体" w:cs="宋体"/>
        </w:rPr>
      </w:pPr>
      <w:r>
        <w:rPr>
          <w:rFonts w:hint="eastAsia" w:ascii="宋体" w:hAnsi="宋体" w:eastAsia="宋体" w:cs="宋体"/>
        </w:rPr>
        <w:t>8、网络传输质量</w:t>
      </w:r>
    </w:p>
    <w:p>
      <w:pPr>
        <w:spacing w:line="360" w:lineRule="auto"/>
        <w:ind w:firstLine="480"/>
        <w:jc w:val="left"/>
        <w:rPr>
          <w:rFonts w:ascii="宋体" w:hAnsi="宋体" w:eastAsia="宋体" w:cs="宋体"/>
        </w:rPr>
      </w:pPr>
      <w:r>
        <w:rPr>
          <w:rFonts w:hint="eastAsia" w:ascii="宋体" w:hAnsi="宋体" w:eastAsia="宋体" w:cs="宋体"/>
        </w:rPr>
        <w:t>联网系统IP网络的传输质量（如传输时延、包丢失率、包误差率、虚假包率等）符合网络时延上限值为400ms；时延抖动上限值为50ms；丢包率上限值为1×10-3；包误差率上限值为1×10-4。</w:t>
      </w:r>
    </w:p>
    <w:p>
      <w:pPr>
        <w:pStyle w:val="6"/>
        <w:spacing w:line="360" w:lineRule="auto"/>
        <w:rPr>
          <w:rFonts w:ascii="宋体" w:hAnsi="宋体" w:eastAsia="宋体" w:cs="宋体"/>
          <w:color w:val="000000"/>
          <w:kern w:val="0"/>
          <w:szCs w:val="21"/>
        </w:rPr>
      </w:pPr>
      <w:r>
        <w:rPr>
          <w:rFonts w:hint="eastAsia" w:ascii="宋体" w:hAnsi="宋体" w:eastAsia="宋体" w:cs="宋体"/>
        </w:rPr>
        <w:t>前端综合布线清单</w:t>
      </w:r>
    </w:p>
    <w:tbl>
      <w:tblPr>
        <w:tblStyle w:val="18"/>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265"/>
        <w:gridCol w:w="3431"/>
        <w:gridCol w:w="78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54"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序号</w:t>
            </w:r>
          </w:p>
        </w:tc>
        <w:tc>
          <w:tcPr>
            <w:tcW w:w="2265"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产品名称</w:t>
            </w:r>
          </w:p>
        </w:tc>
        <w:tc>
          <w:tcPr>
            <w:tcW w:w="343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规格参数</w:t>
            </w:r>
          </w:p>
        </w:tc>
        <w:tc>
          <w:tcPr>
            <w:tcW w:w="78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单位</w:t>
            </w:r>
          </w:p>
        </w:tc>
        <w:tc>
          <w:tcPr>
            <w:tcW w:w="1169" w:type="dxa"/>
            <w:shd w:val="clear" w:color="000000" w:fill="FFFFFF"/>
            <w:vAlign w:val="center"/>
          </w:tcPr>
          <w:p>
            <w:pPr>
              <w:widowControl/>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300" w:type="dxa"/>
            <w:gridSpan w:val="5"/>
            <w:shd w:val="clear" w:color="auto" w:fill="auto"/>
            <w:vAlign w:val="center"/>
          </w:tcPr>
          <w:p>
            <w:pPr>
              <w:widowControl/>
              <w:jc w:val="center"/>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2 前端综合布线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54"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2.1</w:t>
            </w:r>
          </w:p>
        </w:tc>
        <w:tc>
          <w:tcPr>
            <w:tcW w:w="2265"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室外单模光纤</w:t>
            </w:r>
          </w:p>
        </w:tc>
        <w:tc>
          <w:tcPr>
            <w:tcW w:w="3431"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室外四芯以上单模光纤材料、敷设、成端（含跳线等辅材）</w:t>
            </w:r>
          </w:p>
        </w:tc>
        <w:tc>
          <w:tcPr>
            <w:tcW w:w="78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千米</w:t>
            </w:r>
          </w:p>
        </w:tc>
        <w:tc>
          <w:tcPr>
            <w:tcW w:w="1169" w:type="dxa"/>
            <w:shd w:val="clear" w:color="000000" w:fill="FFFFFF"/>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Cs w:val="21"/>
                <w:lang w:bidi="ar"/>
              </w:rPr>
              <w:t>3.007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54"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2.2</w:t>
            </w:r>
          </w:p>
        </w:tc>
        <w:tc>
          <w:tcPr>
            <w:tcW w:w="2265"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超五类非屏蔽双绞线</w:t>
            </w:r>
          </w:p>
        </w:tc>
        <w:tc>
          <w:tcPr>
            <w:tcW w:w="3431" w:type="dxa"/>
            <w:shd w:val="clear" w:color="auto" w:fill="auto"/>
            <w:noWrap/>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室外网线设备到箱子（含水晶头等其他必要辅材）</w:t>
            </w:r>
          </w:p>
        </w:tc>
        <w:tc>
          <w:tcPr>
            <w:tcW w:w="78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千米</w:t>
            </w:r>
          </w:p>
        </w:tc>
        <w:tc>
          <w:tcPr>
            <w:tcW w:w="1169" w:type="dxa"/>
            <w:shd w:val="clear" w:color="000000" w:fill="FFFFFF"/>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Cs w:val="21"/>
                <w:lang w:bidi="ar"/>
              </w:rPr>
              <w:t>9.443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54"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2.3</w:t>
            </w:r>
          </w:p>
        </w:tc>
        <w:tc>
          <w:tcPr>
            <w:tcW w:w="2265"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超五类屏蔽双绞线</w:t>
            </w:r>
          </w:p>
        </w:tc>
        <w:tc>
          <w:tcPr>
            <w:tcW w:w="3431" w:type="dxa"/>
            <w:shd w:val="clear" w:color="auto" w:fill="auto"/>
            <w:noWrap/>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室外网线杆与杆（含水晶头等其他必要辅材）</w:t>
            </w:r>
          </w:p>
        </w:tc>
        <w:tc>
          <w:tcPr>
            <w:tcW w:w="78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千米</w:t>
            </w:r>
          </w:p>
        </w:tc>
        <w:tc>
          <w:tcPr>
            <w:tcW w:w="1169" w:type="dxa"/>
            <w:shd w:val="clear" w:color="000000" w:fill="FFFFFF"/>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Cs w:val="21"/>
                <w:lang w:bidi="ar"/>
              </w:rPr>
              <w:t>13.728</w:t>
            </w:r>
          </w:p>
        </w:tc>
      </w:tr>
    </w:tbl>
    <w:p>
      <w:pPr>
        <w:pStyle w:val="5"/>
        <w:rPr>
          <w:rFonts w:ascii="宋体" w:hAnsi="宋体" w:eastAsia="宋体" w:cs="宋体"/>
        </w:rPr>
      </w:pPr>
      <w:r>
        <w:rPr>
          <w:rFonts w:hint="eastAsia" w:ascii="宋体" w:hAnsi="宋体" w:eastAsia="宋体" w:cs="宋体"/>
          <w:sz w:val="28"/>
          <w:szCs w:val="36"/>
        </w:rPr>
        <w:t>前端设备安装调试部分</w:t>
      </w:r>
    </w:p>
    <w:tbl>
      <w:tblPr>
        <w:tblStyle w:val="18"/>
        <w:tblW w:w="8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106"/>
        <w:gridCol w:w="4106"/>
        <w:gridCol w:w="706"/>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38"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序号</w:t>
            </w:r>
          </w:p>
        </w:tc>
        <w:tc>
          <w:tcPr>
            <w:tcW w:w="2106"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项目名称</w:t>
            </w:r>
          </w:p>
        </w:tc>
        <w:tc>
          <w:tcPr>
            <w:tcW w:w="4106"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规格参数</w:t>
            </w:r>
          </w:p>
        </w:tc>
        <w:tc>
          <w:tcPr>
            <w:tcW w:w="706"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单位</w:t>
            </w:r>
          </w:p>
        </w:tc>
        <w:tc>
          <w:tcPr>
            <w:tcW w:w="819"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375" w:type="dxa"/>
            <w:gridSpan w:val="5"/>
            <w:shd w:val="clear" w:color="auto" w:fill="auto"/>
            <w:vAlign w:val="center"/>
          </w:tcPr>
          <w:p>
            <w:pPr>
              <w:widowControl/>
              <w:jc w:val="center"/>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3 前端设备安装调试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38"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3.1</w:t>
            </w:r>
          </w:p>
        </w:tc>
        <w:tc>
          <w:tcPr>
            <w:tcW w:w="21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杆体设备整体调试</w:t>
            </w:r>
          </w:p>
        </w:tc>
        <w:tc>
          <w:tcPr>
            <w:tcW w:w="41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安装在杆上的设备进行联调，确保所有设备可以互联互通</w:t>
            </w:r>
          </w:p>
        </w:tc>
        <w:tc>
          <w:tcPr>
            <w:tcW w:w="7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杆</w:t>
            </w:r>
          </w:p>
        </w:tc>
        <w:tc>
          <w:tcPr>
            <w:tcW w:w="819" w:type="dxa"/>
            <w:shd w:val="clear" w:color="auto" w:fill="auto"/>
            <w:vAlign w:val="center"/>
          </w:tcPr>
          <w:p>
            <w:pPr>
              <w:rPr>
                <w:rFonts w:ascii="仿宋" w:hAnsi="仿宋" w:eastAsia="仿宋"/>
                <w:color w:val="000000"/>
                <w:sz w:val="20"/>
                <w:szCs w:val="20"/>
              </w:rPr>
            </w:pPr>
            <w:r>
              <w:rPr>
                <w:rFonts w:hint="eastAsia" w:ascii="仿宋" w:hAnsi="仿宋" w:eastAsia="仿宋"/>
                <w:color w:val="000000"/>
                <w:sz w:val="20"/>
                <w:szCs w:val="20"/>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38"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3.2</w:t>
            </w:r>
          </w:p>
        </w:tc>
        <w:tc>
          <w:tcPr>
            <w:tcW w:w="21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设备安装（自立杆）</w:t>
            </w:r>
          </w:p>
        </w:tc>
        <w:tc>
          <w:tcPr>
            <w:tcW w:w="41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在自建杆上进行设备安装，如上杆、加抱箍固定、接通电源和网络</w:t>
            </w:r>
          </w:p>
        </w:tc>
        <w:tc>
          <w:tcPr>
            <w:tcW w:w="7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套</w:t>
            </w:r>
          </w:p>
        </w:tc>
        <w:tc>
          <w:tcPr>
            <w:tcW w:w="819" w:type="dxa"/>
            <w:shd w:val="clear" w:color="auto" w:fill="auto"/>
            <w:vAlign w:val="center"/>
          </w:tcPr>
          <w:p>
            <w:pPr>
              <w:widowControl/>
              <w:jc w:val="left"/>
              <w:rPr>
                <w:rFonts w:ascii="仿宋" w:hAnsi="仿宋" w:eastAsia="仿宋"/>
                <w:color w:val="000000"/>
                <w:kern w:val="0"/>
                <w:sz w:val="20"/>
                <w:szCs w:val="20"/>
              </w:rPr>
            </w:pPr>
            <w:r>
              <w:rPr>
                <w:rFonts w:hint="eastAsia" w:ascii="仿宋" w:hAnsi="仿宋" w:eastAsia="仿宋"/>
                <w:color w:val="000000"/>
                <w:sz w:val="20"/>
                <w:szCs w:val="20"/>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638"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3.3</w:t>
            </w:r>
          </w:p>
        </w:tc>
        <w:tc>
          <w:tcPr>
            <w:tcW w:w="21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设备安装（借杆）</w:t>
            </w:r>
          </w:p>
        </w:tc>
        <w:tc>
          <w:tcPr>
            <w:tcW w:w="41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在路灯上进行设备安装，如上杆、加抱箍固定、接通电源和网络</w:t>
            </w:r>
          </w:p>
        </w:tc>
        <w:tc>
          <w:tcPr>
            <w:tcW w:w="7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套</w:t>
            </w:r>
          </w:p>
        </w:tc>
        <w:tc>
          <w:tcPr>
            <w:tcW w:w="819" w:type="dxa"/>
            <w:shd w:val="clear" w:color="auto" w:fill="auto"/>
            <w:vAlign w:val="center"/>
          </w:tcPr>
          <w:p>
            <w:pPr>
              <w:rPr>
                <w:rFonts w:ascii="仿宋" w:hAnsi="仿宋" w:eastAsia="仿宋"/>
                <w:color w:val="000000"/>
                <w:sz w:val="20"/>
                <w:szCs w:val="20"/>
              </w:rPr>
            </w:pPr>
            <w:r>
              <w:rPr>
                <w:rFonts w:hint="eastAsia" w:ascii="仿宋" w:hAnsi="仿宋" w:eastAsia="仿宋"/>
                <w:color w:val="000000"/>
                <w:sz w:val="20"/>
                <w:szCs w:val="20"/>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38"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3.4</w:t>
            </w:r>
          </w:p>
        </w:tc>
        <w:tc>
          <w:tcPr>
            <w:tcW w:w="21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一体化设备箱</w:t>
            </w:r>
          </w:p>
        </w:tc>
        <w:tc>
          <w:tcPr>
            <w:tcW w:w="41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安装调试及必要辅材</w:t>
            </w:r>
          </w:p>
        </w:tc>
        <w:tc>
          <w:tcPr>
            <w:tcW w:w="7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个</w:t>
            </w:r>
          </w:p>
        </w:tc>
        <w:tc>
          <w:tcPr>
            <w:tcW w:w="819" w:type="dxa"/>
            <w:shd w:val="clear" w:color="auto" w:fill="auto"/>
            <w:vAlign w:val="center"/>
          </w:tcPr>
          <w:p>
            <w:pPr>
              <w:rPr>
                <w:rFonts w:ascii="仿宋" w:hAnsi="仿宋" w:eastAsia="仿宋"/>
                <w:color w:val="000000"/>
                <w:sz w:val="20"/>
                <w:szCs w:val="20"/>
              </w:rPr>
            </w:pPr>
            <w:r>
              <w:rPr>
                <w:rFonts w:hint="eastAsia" w:ascii="仿宋" w:hAnsi="仿宋" w:eastAsia="仿宋"/>
                <w:color w:val="000000"/>
                <w:sz w:val="20"/>
                <w:szCs w:val="20"/>
              </w:rPr>
              <w:t>372</w:t>
            </w:r>
          </w:p>
        </w:tc>
      </w:tr>
    </w:tbl>
    <w:p>
      <w:pPr>
        <w:spacing w:line="360" w:lineRule="auto"/>
        <w:ind w:firstLine="480"/>
        <w:jc w:val="left"/>
        <w:rPr>
          <w:rFonts w:ascii="宋体" w:hAnsi="宋体" w:eastAsia="宋体" w:cs="宋体"/>
        </w:rPr>
      </w:pPr>
      <w:r>
        <w:rPr>
          <w:rFonts w:hint="eastAsia" w:ascii="宋体" w:hAnsi="宋体" w:eastAsia="宋体" w:cs="宋体"/>
          <w:b/>
          <w:bCs/>
        </w:rPr>
        <w:t>注：</w:t>
      </w:r>
      <w:r>
        <w:rPr>
          <w:rFonts w:hint="eastAsia" w:ascii="宋体" w:hAnsi="宋体" w:eastAsia="宋体" w:cs="宋体"/>
          <w:b/>
        </w:rPr>
        <w:t>中标供应商</w:t>
      </w:r>
      <w:r>
        <w:rPr>
          <w:rFonts w:hint="eastAsia" w:ascii="宋体" w:hAnsi="宋体" w:eastAsia="宋体" w:cs="宋体"/>
          <w:b/>
          <w:bCs/>
        </w:rPr>
        <w:t>需结合实际情况配置设备所必须的电源线、光纤、双绞线等辅材，辅材费用包含在招标金额中。</w:t>
      </w:r>
    </w:p>
    <w:p>
      <w:pPr>
        <w:pStyle w:val="5"/>
        <w:rPr>
          <w:rFonts w:ascii="宋体" w:hAnsi="宋体" w:eastAsia="宋体" w:cs="宋体"/>
          <w:sz w:val="28"/>
          <w:szCs w:val="36"/>
        </w:rPr>
      </w:pPr>
      <w:r>
        <w:rPr>
          <w:rFonts w:hint="eastAsia" w:ascii="宋体" w:hAnsi="宋体" w:eastAsia="宋体" w:cs="宋体"/>
          <w:sz w:val="28"/>
          <w:szCs w:val="36"/>
        </w:rPr>
        <w:t>前端点位电费、网费部分</w:t>
      </w:r>
    </w:p>
    <w:p>
      <w:pPr>
        <w:spacing w:line="360" w:lineRule="auto"/>
        <w:ind w:firstLine="480"/>
        <w:jc w:val="left"/>
        <w:rPr>
          <w:rFonts w:ascii="宋体" w:hAnsi="宋体" w:eastAsia="宋体" w:cs="宋体"/>
        </w:rPr>
      </w:pPr>
      <w:r>
        <w:rPr>
          <w:rFonts w:hint="eastAsia" w:ascii="宋体" w:hAnsi="宋体" w:eastAsia="宋体" w:cs="宋体"/>
        </w:rPr>
        <w:t>至项目运维期结束前的电费及传输网络租赁费用（含运维）由中标供应商承担。</w:t>
      </w:r>
    </w:p>
    <w:p>
      <w:pPr>
        <w:spacing w:line="360" w:lineRule="auto"/>
        <w:ind w:firstLine="480"/>
        <w:jc w:val="left"/>
        <w:rPr>
          <w:rFonts w:ascii="宋体" w:hAnsi="宋体" w:eastAsia="宋体" w:cs="宋体"/>
        </w:rPr>
      </w:pPr>
      <w:r>
        <w:rPr>
          <w:rFonts w:hint="eastAsia" w:ascii="宋体" w:hAnsi="宋体" w:eastAsia="宋体" w:cs="宋体"/>
        </w:rPr>
        <w:t>取电报建及取电点至设备箱线路由配套工程完成，本项目仅含电费，电费缴纳起止日（设备箱通电日起至三年运维期结束）。</w:t>
      </w:r>
    </w:p>
    <w:p>
      <w:pPr>
        <w:spacing w:line="360" w:lineRule="auto"/>
        <w:ind w:firstLine="480"/>
        <w:jc w:val="left"/>
        <w:rPr>
          <w:rFonts w:ascii="宋体" w:hAnsi="宋体" w:eastAsia="宋体" w:cs="宋体"/>
        </w:rPr>
      </w:pPr>
      <w:r>
        <w:rPr>
          <w:rFonts w:hint="eastAsia" w:ascii="宋体" w:hAnsi="宋体" w:eastAsia="宋体" w:cs="宋体"/>
        </w:rPr>
        <w:t>网络租赁由本项目完成，租赁正式起算日为项目通过最终验收后第二日，为确保传输质量传输系统要求前端设备与信号直接接入的平台相应设备间端到端的信息延迟时间应不大于2s；前端设备与用户终端设备间端到端的信息延迟时间应不大于4s。</w:t>
      </w:r>
    </w:p>
    <w:tbl>
      <w:tblPr>
        <w:tblStyle w:val="18"/>
        <w:tblW w:w="8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263"/>
        <w:gridCol w:w="4906"/>
        <w:gridCol w:w="675"/>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69" w:type="dxa"/>
            <w:shd w:val="clear" w:color="auto" w:fill="auto"/>
            <w:noWrap/>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序号</w:t>
            </w:r>
          </w:p>
        </w:tc>
        <w:tc>
          <w:tcPr>
            <w:tcW w:w="1263" w:type="dxa"/>
            <w:shd w:val="clear" w:color="auto" w:fill="auto"/>
            <w:noWrap/>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项目名称</w:t>
            </w:r>
          </w:p>
        </w:tc>
        <w:tc>
          <w:tcPr>
            <w:tcW w:w="4906" w:type="dxa"/>
            <w:shd w:val="clear" w:color="auto" w:fill="auto"/>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规格参数</w:t>
            </w:r>
          </w:p>
        </w:tc>
        <w:tc>
          <w:tcPr>
            <w:tcW w:w="675" w:type="dxa"/>
            <w:shd w:val="clear" w:color="auto" w:fill="auto"/>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单位</w:t>
            </w:r>
          </w:p>
        </w:tc>
        <w:tc>
          <w:tcPr>
            <w:tcW w:w="768" w:type="dxa"/>
            <w:shd w:val="clear" w:color="auto" w:fill="auto"/>
            <w:noWrap/>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281" w:type="dxa"/>
            <w:gridSpan w:val="5"/>
            <w:shd w:val="clear" w:color="auto" w:fill="auto"/>
            <w:noWrap/>
            <w:vAlign w:val="center"/>
          </w:tcPr>
          <w:p>
            <w:pPr>
              <w:widowControl/>
              <w:spacing w:line="360" w:lineRule="auto"/>
              <w:jc w:val="center"/>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4 前端点位电费、网费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69" w:type="dxa"/>
            <w:shd w:val="clear" w:color="auto" w:fill="auto"/>
            <w:noWrap/>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4.1</w:t>
            </w:r>
          </w:p>
        </w:tc>
        <w:tc>
          <w:tcPr>
            <w:tcW w:w="1263" w:type="dxa"/>
            <w:shd w:val="clear" w:color="auto" w:fill="auto"/>
            <w:noWrap/>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电费（三年）</w:t>
            </w:r>
          </w:p>
        </w:tc>
        <w:tc>
          <w:tcPr>
            <w:tcW w:w="49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按照当地标准缴纳用电费用</w:t>
            </w:r>
          </w:p>
        </w:tc>
        <w:tc>
          <w:tcPr>
            <w:tcW w:w="675"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年</w:t>
            </w:r>
          </w:p>
        </w:tc>
        <w:tc>
          <w:tcPr>
            <w:tcW w:w="768" w:type="dxa"/>
            <w:shd w:val="clear" w:color="auto" w:fill="auto"/>
            <w:noWrap/>
            <w:vAlign w:val="center"/>
          </w:tcPr>
          <w:p>
            <w:pPr>
              <w:widowControl/>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69" w:type="dxa"/>
            <w:shd w:val="clear" w:color="auto" w:fill="auto"/>
            <w:noWrap/>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4.2</w:t>
            </w:r>
          </w:p>
        </w:tc>
        <w:tc>
          <w:tcPr>
            <w:tcW w:w="1263" w:type="dxa"/>
            <w:shd w:val="clear" w:color="auto" w:fill="auto"/>
            <w:noWrap/>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网费（三年）</w:t>
            </w:r>
          </w:p>
        </w:tc>
        <w:tc>
          <w:tcPr>
            <w:tcW w:w="4906"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传输链路租赁119条，含前后端的光电转换及后端交换路由设备等所有与本项目相关的网络线路及设备。租赁正式起算日为项目通过最终验收后第二日</w:t>
            </w:r>
          </w:p>
        </w:tc>
        <w:tc>
          <w:tcPr>
            <w:tcW w:w="675" w:type="dxa"/>
            <w:shd w:val="clear" w:color="auto" w:fill="auto"/>
            <w:vAlign w:val="center"/>
          </w:tcPr>
          <w:p>
            <w:pPr>
              <w:widowControl/>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年</w:t>
            </w:r>
          </w:p>
        </w:tc>
        <w:tc>
          <w:tcPr>
            <w:tcW w:w="768" w:type="dxa"/>
            <w:shd w:val="clear" w:color="auto" w:fill="auto"/>
            <w:noWrap/>
            <w:vAlign w:val="center"/>
          </w:tcPr>
          <w:p>
            <w:pPr>
              <w:widowControl/>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w:t>
            </w:r>
          </w:p>
        </w:tc>
      </w:tr>
    </w:tbl>
    <w:p>
      <w:pPr>
        <w:rPr>
          <w:rFonts w:ascii="宋体" w:hAnsi="宋体" w:eastAsia="宋体" w:cs="宋体"/>
        </w:rPr>
      </w:pPr>
    </w:p>
    <w:p>
      <w:pPr>
        <w:pStyle w:val="5"/>
        <w:rPr>
          <w:rFonts w:ascii="宋体" w:hAnsi="宋体" w:eastAsia="宋体" w:cs="宋体"/>
          <w:sz w:val="28"/>
          <w:szCs w:val="36"/>
        </w:rPr>
      </w:pPr>
      <w:r>
        <w:rPr>
          <w:rFonts w:hint="eastAsia" w:ascii="宋体" w:hAnsi="宋体" w:eastAsia="宋体" w:cs="宋体"/>
          <w:sz w:val="28"/>
          <w:szCs w:val="36"/>
        </w:rPr>
        <w:t>平台迁移及开发部分</w:t>
      </w:r>
    </w:p>
    <w:p>
      <w:pPr>
        <w:spacing w:line="360" w:lineRule="auto"/>
        <w:ind w:firstLine="480"/>
        <w:jc w:val="left"/>
        <w:rPr>
          <w:rFonts w:ascii="宋体" w:hAnsi="宋体" w:eastAsia="宋体" w:cs="宋体"/>
        </w:rPr>
      </w:pPr>
      <w:r>
        <w:rPr>
          <w:rFonts w:hint="eastAsia" w:ascii="宋体" w:hAnsi="宋体" w:eastAsia="宋体" w:cs="宋体"/>
        </w:rPr>
        <w:t>一、平台迁移</w:t>
      </w:r>
    </w:p>
    <w:p>
      <w:pPr>
        <w:spacing w:line="360" w:lineRule="auto"/>
        <w:ind w:firstLine="480"/>
        <w:jc w:val="left"/>
        <w:rPr>
          <w:rFonts w:ascii="宋体" w:hAnsi="宋体" w:eastAsia="宋体" w:cs="宋体"/>
        </w:rPr>
      </w:pPr>
      <w:r>
        <w:rPr>
          <w:rFonts w:hint="eastAsia" w:ascii="宋体" w:hAnsi="宋体" w:eastAsia="宋体" w:cs="宋体"/>
        </w:rPr>
        <w:t>中标供应商应详细调研阿里云平台现状，并在迁移前制定专项迁移方案在监理及采购人批准后实施。</w:t>
      </w:r>
    </w:p>
    <w:p>
      <w:pPr>
        <w:spacing w:line="360" w:lineRule="auto"/>
        <w:ind w:firstLine="480"/>
        <w:jc w:val="left"/>
        <w:rPr>
          <w:rFonts w:ascii="宋体" w:hAnsi="宋体" w:eastAsia="宋体" w:cs="宋体"/>
        </w:rPr>
      </w:pPr>
      <w:r>
        <w:rPr>
          <w:rFonts w:hint="eastAsia" w:ascii="宋体" w:hAnsi="宋体" w:eastAsia="宋体" w:cs="宋体"/>
        </w:rPr>
        <w:t>中标供应商应结合一期建设情况、平台详细调研结果及本项目建设内容仔细评估政务云资源需求，完成政务云资源申请。</w:t>
      </w:r>
    </w:p>
    <w:p>
      <w:pPr>
        <w:spacing w:line="360" w:lineRule="auto"/>
        <w:ind w:firstLine="480"/>
        <w:jc w:val="left"/>
        <w:rPr>
          <w:rFonts w:ascii="宋体" w:hAnsi="宋体" w:eastAsia="宋体" w:cs="宋体"/>
        </w:rPr>
      </w:pPr>
      <w:r>
        <w:rPr>
          <w:rFonts w:hint="eastAsia" w:ascii="宋体" w:hAnsi="宋体" w:eastAsia="宋体" w:cs="宋体"/>
        </w:rPr>
        <w:t>制定平滑过渡方案，减少系统中断，防止系统数据丢失，确保迁移后系统正常稳定运行。</w:t>
      </w:r>
    </w:p>
    <w:p>
      <w:pPr>
        <w:spacing w:line="360" w:lineRule="auto"/>
        <w:ind w:firstLine="480"/>
        <w:jc w:val="left"/>
        <w:rPr>
          <w:rFonts w:ascii="宋体" w:hAnsi="宋体" w:eastAsia="宋体" w:cs="宋体"/>
        </w:rPr>
      </w:pPr>
      <w:r>
        <w:rPr>
          <w:rFonts w:hint="eastAsia" w:ascii="宋体" w:hAnsi="宋体" w:eastAsia="宋体" w:cs="宋体"/>
        </w:rPr>
        <w:t>二、</w:t>
      </w:r>
      <w:bookmarkStart w:id="1" w:name="_Toc106632407"/>
      <w:r>
        <w:rPr>
          <w:rFonts w:hint="eastAsia" w:ascii="宋体" w:hAnsi="宋体" w:eastAsia="宋体" w:cs="宋体"/>
        </w:rPr>
        <w:t>已建或在建信息系统对接</w:t>
      </w:r>
      <w:bookmarkEnd w:id="1"/>
    </w:p>
    <w:p>
      <w:pPr>
        <w:spacing w:line="360" w:lineRule="auto"/>
        <w:ind w:firstLine="480"/>
        <w:jc w:val="left"/>
        <w:rPr>
          <w:rFonts w:ascii="宋体" w:hAnsi="宋体" w:eastAsia="宋体" w:cs="宋体"/>
        </w:rPr>
      </w:pPr>
      <w:r>
        <w:rPr>
          <w:rFonts w:hint="eastAsia" w:ascii="宋体" w:hAnsi="宋体" w:eastAsia="宋体" w:cs="宋体"/>
        </w:rPr>
        <w:t>（1）对接广州市停车共享平台上传停车数据。</w:t>
      </w:r>
    </w:p>
    <w:p>
      <w:pPr>
        <w:spacing w:line="360" w:lineRule="auto"/>
        <w:ind w:firstLine="480"/>
        <w:jc w:val="left"/>
        <w:rPr>
          <w:rFonts w:ascii="宋体" w:hAnsi="宋体" w:eastAsia="宋体" w:cs="宋体"/>
        </w:rPr>
      </w:pPr>
      <w:r>
        <w:rPr>
          <w:rFonts w:hint="eastAsia" w:ascii="宋体" w:hAnsi="宋体" w:eastAsia="宋体" w:cs="宋体"/>
        </w:rPr>
        <w:t>（2）对接增城区公安局平台共享停车数据。</w:t>
      </w:r>
    </w:p>
    <w:p>
      <w:pPr>
        <w:spacing w:line="360" w:lineRule="auto"/>
        <w:ind w:firstLine="480"/>
        <w:jc w:val="left"/>
        <w:rPr>
          <w:rFonts w:ascii="宋体" w:hAnsi="宋体" w:eastAsia="宋体" w:cs="宋体"/>
        </w:rPr>
      </w:pPr>
      <w:r>
        <w:rPr>
          <w:rFonts w:hint="eastAsia" w:ascii="宋体" w:hAnsi="宋体" w:eastAsia="宋体" w:cs="宋体"/>
        </w:rPr>
        <w:t>（3）接入增城区封闭停车场，接入封闭停车场停车数据。</w:t>
      </w:r>
    </w:p>
    <w:p>
      <w:pPr>
        <w:spacing w:line="360" w:lineRule="auto"/>
        <w:ind w:firstLine="480"/>
        <w:jc w:val="left"/>
        <w:rPr>
          <w:rFonts w:ascii="宋体" w:hAnsi="宋体" w:eastAsia="宋体" w:cs="宋体"/>
        </w:rPr>
      </w:pPr>
      <w:r>
        <w:rPr>
          <w:rFonts w:hint="eastAsia" w:ascii="宋体" w:hAnsi="宋体" w:eastAsia="宋体" w:cs="宋体"/>
        </w:rPr>
        <w:t xml:space="preserve"> </w:t>
      </w:r>
      <w:bookmarkStart w:id="2" w:name="_Toc106632408"/>
      <w:r>
        <w:rPr>
          <w:rFonts w:hint="eastAsia" w:ascii="宋体" w:hAnsi="宋体" w:eastAsia="宋体" w:cs="宋体"/>
        </w:rPr>
        <w:t>软件开发</w:t>
      </w:r>
      <w:bookmarkEnd w:id="2"/>
    </w:p>
    <w:p>
      <w:pPr>
        <w:spacing w:line="360" w:lineRule="auto"/>
        <w:ind w:firstLine="480"/>
        <w:jc w:val="left"/>
        <w:rPr>
          <w:rFonts w:ascii="宋体" w:hAnsi="宋体" w:eastAsia="宋体" w:cs="宋体"/>
        </w:rPr>
      </w:pPr>
      <w:r>
        <w:rPr>
          <w:rFonts w:hint="eastAsia" w:ascii="宋体" w:hAnsi="宋体" w:eastAsia="宋体" w:cs="宋体"/>
        </w:rPr>
        <w:t>三、定制软件升级并融入原有系统</w:t>
      </w:r>
    </w:p>
    <w:p>
      <w:pPr>
        <w:spacing w:line="360" w:lineRule="auto"/>
        <w:ind w:firstLine="480"/>
        <w:jc w:val="left"/>
        <w:rPr>
          <w:rFonts w:ascii="宋体" w:hAnsi="宋体" w:eastAsia="宋体" w:cs="宋体"/>
          <w:b/>
          <w:bCs/>
        </w:rPr>
      </w:pPr>
      <w:r>
        <w:rPr>
          <w:rFonts w:hint="eastAsia" w:ascii="宋体" w:hAnsi="宋体" w:eastAsia="宋体" w:cs="宋体"/>
          <w:b/>
          <w:bCs/>
        </w:rPr>
        <w:t>欠费订单修改同步至欠费车牌</w:t>
      </w:r>
    </w:p>
    <w:p>
      <w:pPr>
        <w:spacing w:line="360" w:lineRule="auto"/>
        <w:ind w:firstLine="480"/>
        <w:jc w:val="left"/>
        <w:rPr>
          <w:rFonts w:ascii="宋体" w:hAnsi="宋体" w:eastAsia="宋体" w:cs="宋体"/>
        </w:rPr>
      </w:pPr>
      <w:r>
        <w:rPr>
          <w:rFonts w:hint="eastAsia" w:ascii="宋体" w:hAnsi="宋体" w:eastAsia="宋体" w:cs="宋体"/>
        </w:rPr>
        <w:t>欠费订单的时间和金额修改同步至欠费车牌</w:t>
      </w:r>
    </w:p>
    <w:p>
      <w:pPr>
        <w:spacing w:line="360" w:lineRule="auto"/>
        <w:ind w:firstLine="480"/>
        <w:jc w:val="left"/>
        <w:rPr>
          <w:rFonts w:ascii="宋体" w:hAnsi="宋体" w:eastAsia="宋体" w:cs="宋体"/>
          <w:b/>
          <w:bCs/>
        </w:rPr>
      </w:pPr>
      <w:r>
        <w:rPr>
          <w:rFonts w:hint="eastAsia" w:ascii="宋体" w:hAnsi="宋体" w:eastAsia="宋体" w:cs="宋体"/>
          <w:b/>
          <w:bCs/>
        </w:rPr>
        <w:t>统计分析升级</w:t>
      </w:r>
    </w:p>
    <w:p>
      <w:pPr>
        <w:spacing w:line="360" w:lineRule="auto"/>
        <w:ind w:firstLine="480"/>
        <w:jc w:val="left"/>
        <w:rPr>
          <w:rFonts w:ascii="宋体" w:hAnsi="宋体" w:eastAsia="宋体" w:cs="宋体"/>
        </w:rPr>
      </w:pPr>
      <w:r>
        <w:rPr>
          <w:rFonts w:hint="eastAsia" w:ascii="宋体" w:hAnsi="宋体" w:eastAsia="宋体" w:cs="宋体"/>
        </w:rPr>
        <w:t>1.目前只能查询12个月，需要放开时间限制，查看全部数据，可以按日和按月搜索；</w:t>
      </w:r>
    </w:p>
    <w:p>
      <w:pPr>
        <w:spacing w:line="360" w:lineRule="auto"/>
        <w:ind w:firstLine="480"/>
        <w:jc w:val="left"/>
        <w:rPr>
          <w:rFonts w:ascii="宋体" w:hAnsi="宋体" w:eastAsia="宋体" w:cs="宋体"/>
        </w:rPr>
      </w:pPr>
      <w:r>
        <w:rPr>
          <w:rFonts w:hint="eastAsia" w:ascii="宋体" w:hAnsi="宋体" w:eastAsia="宋体" w:cs="宋体"/>
        </w:rPr>
        <w:t>2.对于搜索时间，之前平台逻辑对应的数据要联动起来；</w:t>
      </w:r>
    </w:p>
    <w:p>
      <w:pPr>
        <w:spacing w:line="360" w:lineRule="auto"/>
        <w:ind w:firstLine="480"/>
        <w:jc w:val="left"/>
        <w:rPr>
          <w:rFonts w:ascii="宋体" w:hAnsi="宋体" w:eastAsia="宋体" w:cs="宋体"/>
        </w:rPr>
      </w:pPr>
      <w:r>
        <w:rPr>
          <w:rFonts w:hint="eastAsia" w:ascii="宋体" w:hAnsi="宋体" w:eastAsia="宋体" w:cs="宋体"/>
        </w:rPr>
        <w:t>3.停车趋势分析前端可按照左右滑动的样式展示出来数据。</w:t>
      </w:r>
    </w:p>
    <w:p>
      <w:pPr>
        <w:spacing w:line="360" w:lineRule="auto"/>
        <w:ind w:firstLine="480"/>
        <w:jc w:val="left"/>
        <w:rPr>
          <w:rFonts w:ascii="宋体" w:hAnsi="宋体" w:eastAsia="宋体" w:cs="宋体"/>
          <w:b/>
          <w:bCs/>
        </w:rPr>
      </w:pPr>
      <w:r>
        <w:rPr>
          <w:rFonts w:hint="eastAsia" w:ascii="宋体" w:hAnsi="宋体" w:eastAsia="宋体" w:cs="宋体"/>
          <w:b/>
          <w:bCs/>
        </w:rPr>
        <w:t>财务管理系统</w:t>
      </w:r>
    </w:p>
    <w:p>
      <w:pPr>
        <w:spacing w:line="360" w:lineRule="auto"/>
        <w:ind w:firstLine="480"/>
        <w:jc w:val="left"/>
        <w:rPr>
          <w:rFonts w:ascii="宋体" w:hAnsi="宋体" w:eastAsia="宋体" w:cs="宋体"/>
        </w:rPr>
      </w:pPr>
      <w:r>
        <w:rPr>
          <w:rFonts w:hint="eastAsia" w:ascii="宋体" w:hAnsi="宋体" w:eastAsia="宋体" w:cs="宋体"/>
        </w:rPr>
        <w:t>财务报表、清分结算、决策分析功能升级优化。</w:t>
      </w:r>
    </w:p>
    <w:p>
      <w:pPr>
        <w:spacing w:line="360" w:lineRule="auto"/>
        <w:ind w:firstLine="480"/>
        <w:jc w:val="left"/>
        <w:rPr>
          <w:rFonts w:ascii="宋体" w:hAnsi="宋体" w:eastAsia="宋体" w:cs="宋体"/>
          <w:b/>
          <w:bCs/>
        </w:rPr>
      </w:pPr>
      <w:r>
        <w:rPr>
          <w:rFonts w:hint="eastAsia" w:ascii="宋体" w:hAnsi="宋体" w:eastAsia="宋体" w:cs="宋体"/>
          <w:b/>
          <w:bCs/>
        </w:rPr>
        <w:t>运营管理系统</w:t>
      </w:r>
    </w:p>
    <w:p>
      <w:pPr>
        <w:spacing w:line="360" w:lineRule="auto"/>
        <w:ind w:firstLine="480"/>
        <w:jc w:val="left"/>
        <w:rPr>
          <w:rFonts w:ascii="宋体" w:hAnsi="宋体" w:eastAsia="宋体" w:cs="宋体"/>
        </w:rPr>
      </w:pPr>
      <w:r>
        <w:rPr>
          <w:rFonts w:hint="eastAsia" w:ascii="宋体" w:hAnsi="宋体" w:eastAsia="宋体" w:cs="宋体"/>
        </w:rPr>
        <w:t>消息推送要有非会员短信提醒。</w:t>
      </w:r>
    </w:p>
    <w:p>
      <w:pPr>
        <w:spacing w:line="360" w:lineRule="auto"/>
        <w:ind w:firstLine="480"/>
        <w:jc w:val="left"/>
        <w:rPr>
          <w:rFonts w:ascii="宋体" w:hAnsi="宋体" w:eastAsia="宋体" w:cs="宋体"/>
          <w:b/>
          <w:bCs/>
        </w:rPr>
      </w:pPr>
      <w:r>
        <w:rPr>
          <w:rFonts w:hint="eastAsia" w:ascii="宋体" w:hAnsi="宋体" w:eastAsia="宋体" w:cs="宋体"/>
          <w:b/>
          <w:bCs/>
        </w:rPr>
        <w:t xml:space="preserve"> “增城泊车”微信小程序迁移</w:t>
      </w:r>
    </w:p>
    <w:p>
      <w:pPr>
        <w:spacing w:line="360" w:lineRule="auto"/>
        <w:ind w:firstLine="480"/>
        <w:jc w:val="left"/>
        <w:rPr>
          <w:rFonts w:ascii="宋体" w:hAnsi="宋体" w:eastAsia="宋体" w:cs="宋体"/>
        </w:rPr>
      </w:pPr>
      <w:r>
        <w:rPr>
          <w:rFonts w:hint="eastAsia" w:ascii="宋体" w:hAnsi="宋体" w:eastAsia="宋体" w:cs="宋体"/>
        </w:rPr>
        <w:t>“增城泊车”微信小程序内嵌至“增城e政务”微信小程序，车主可查询停车订单并缴费。</w:t>
      </w:r>
    </w:p>
    <w:p>
      <w:pPr>
        <w:spacing w:line="360" w:lineRule="auto"/>
        <w:ind w:firstLine="480"/>
        <w:jc w:val="left"/>
        <w:rPr>
          <w:rFonts w:ascii="宋体" w:hAnsi="宋体" w:eastAsia="宋体" w:cs="宋体"/>
          <w:b/>
          <w:bCs/>
        </w:rPr>
      </w:pPr>
      <w:r>
        <w:rPr>
          <w:rFonts w:hint="eastAsia" w:ascii="宋体" w:hAnsi="宋体" w:eastAsia="宋体" w:cs="宋体"/>
          <w:b/>
          <w:bCs/>
        </w:rPr>
        <w:t>视频平台对接</w:t>
      </w:r>
    </w:p>
    <w:p>
      <w:pPr>
        <w:spacing w:line="360" w:lineRule="auto"/>
        <w:ind w:firstLine="480"/>
        <w:jc w:val="left"/>
        <w:rPr>
          <w:rFonts w:ascii="宋体" w:hAnsi="宋体" w:eastAsia="宋体" w:cs="宋体"/>
        </w:rPr>
      </w:pPr>
      <w:r>
        <w:rPr>
          <w:rFonts w:hint="eastAsia" w:ascii="宋体" w:hAnsi="宋体" w:eastAsia="宋体" w:cs="宋体"/>
        </w:rPr>
        <w:t>具备和增城区“一网统管”平台视频对接的能力，并预留视频资源对接接口。本建设项目的非涉密数据资源开放给政务信息共享平台，项目系统实现与增城区“一网统管”平台的对接。</w:t>
      </w:r>
    </w:p>
    <w:p>
      <w:pPr>
        <w:spacing w:line="360" w:lineRule="auto"/>
        <w:ind w:firstLine="480"/>
        <w:jc w:val="left"/>
        <w:rPr>
          <w:rFonts w:ascii="宋体" w:hAnsi="宋体" w:eastAsia="宋体" w:cs="宋体"/>
        </w:rPr>
      </w:pPr>
      <w:r>
        <w:rPr>
          <w:rFonts w:hint="eastAsia" w:ascii="宋体" w:hAnsi="宋体" w:eastAsia="宋体" w:cs="宋体"/>
        </w:rPr>
        <w:t>四、数据接入处理</w:t>
      </w:r>
    </w:p>
    <w:p>
      <w:pPr>
        <w:spacing w:line="360" w:lineRule="auto"/>
        <w:ind w:firstLine="480"/>
        <w:jc w:val="left"/>
        <w:rPr>
          <w:rFonts w:ascii="宋体" w:hAnsi="宋体" w:eastAsia="宋体" w:cs="宋体"/>
        </w:rPr>
      </w:pPr>
      <w:r>
        <w:rPr>
          <w:rFonts w:hint="eastAsia" w:ascii="宋体" w:hAnsi="宋体" w:eastAsia="宋体" w:cs="宋体"/>
        </w:rPr>
        <w:t>按建设方指定的50个路外停车或路内停车场清单进行数据接入</w:t>
      </w:r>
    </w:p>
    <w:p>
      <w:pPr>
        <w:spacing w:line="360" w:lineRule="auto"/>
        <w:ind w:firstLine="480"/>
        <w:jc w:val="left"/>
        <w:rPr>
          <w:rFonts w:ascii="宋体" w:hAnsi="宋体" w:eastAsia="宋体" w:cs="宋体"/>
        </w:rPr>
      </w:pPr>
      <w:r>
        <w:rPr>
          <w:rFonts w:hint="eastAsia" w:ascii="宋体" w:hAnsi="宋体" w:eastAsia="宋体" w:cs="宋体"/>
        </w:rPr>
        <w:t>采集系统将采集的停车场位置信息、停车场车位、停车场实时车位数据、缴费等信息上传到数据中心，数据处理模块完成数据的接受，对信息进行解析、提取、处理、打包和存储等基本操作；对历史数据进行分类、归档、抽取、挖掘、统计等处理；以及用新数据和数据库中保存的历史数据进行数据建模、分析、整合、统计，形成一系列新的参考模型，供其它功能模块使用。</w:t>
      </w:r>
    </w:p>
    <w:p>
      <w:pPr>
        <w:rPr>
          <w:rFonts w:ascii="宋体" w:hAnsi="宋体" w:eastAsia="宋体" w:cs="宋体"/>
        </w:rPr>
      </w:pPr>
    </w:p>
    <w:tbl>
      <w:tblPr>
        <w:tblStyle w:val="18"/>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676"/>
        <w:gridCol w:w="4630"/>
        <w:gridCol w:w="681"/>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3" w:type="dxa"/>
            <w:shd w:val="clear" w:color="auto" w:fill="auto"/>
            <w:noWrap/>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序号</w:t>
            </w:r>
          </w:p>
        </w:tc>
        <w:tc>
          <w:tcPr>
            <w:tcW w:w="1676" w:type="dxa"/>
            <w:shd w:val="clear" w:color="auto" w:fill="auto"/>
            <w:noWrap/>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项目名称</w:t>
            </w:r>
          </w:p>
        </w:tc>
        <w:tc>
          <w:tcPr>
            <w:tcW w:w="4630" w:type="dxa"/>
            <w:shd w:val="clear" w:color="auto" w:fill="auto"/>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规格参数</w:t>
            </w:r>
          </w:p>
        </w:tc>
        <w:tc>
          <w:tcPr>
            <w:tcW w:w="681" w:type="dxa"/>
            <w:shd w:val="clear" w:color="auto" w:fill="auto"/>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单位</w:t>
            </w:r>
          </w:p>
        </w:tc>
        <w:tc>
          <w:tcPr>
            <w:tcW w:w="738" w:type="dxa"/>
            <w:shd w:val="clear" w:color="auto" w:fill="auto"/>
            <w:noWrap/>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8438" w:type="dxa"/>
            <w:gridSpan w:val="5"/>
            <w:shd w:val="clear" w:color="auto" w:fill="auto"/>
            <w:noWrap/>
            <w:vAlign w:val="center"/>
          </w:tcPr>
          <w:p>
            <w:pPr>
              <w:widowControl/>
              <w:spacing w:line="360" w:lineRule="auto"/>
              <w:jc w:val="center"/>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5 平台迁移及开发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3" w:type="dxa"/>
            <w:shd w:val="clear" w:color="auto" w:fill="auto"/>
            <w:noWrap/>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5.</w:t>
            </w:r>
            <w:r>
              <w:rPr>
                <w:rFonts w:hint="eastAsia" w:ascii="宋体" w:hAnsi="宋体" w:eastAsia="宋体" w:cs="宋体"/>
                <w:color w:val="000000"/>
                <w:kern w:val="0"/>
                <w:sz w:val="20"/>
                <w:szCs w:val="20"/>
              </w:rPr>
              <w:t>1</w:t>
            </w:r>
          </w:p>
        </w:tc>
        <w:tc>
          <w:tcPr>
            <w:tcW w:w="1676" w:type="dxa"/>
            <w:shd w:val="clear" w:color="auto" w:fill="auto"/>
            <w:noWrap/>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云平台整体迁移</w:t>
            </w:r>
          </w:p>
        </w:tc>
        <w:tc>
          <w:tcPr>
            <w:tcW w:w="4630"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云平台整体迁移，mysql关系型数据迁移，nosql非关系型数据迁移，图片、文本文件迁移，迁移后涉及政务云业务平台业务完整性、稳定性、安全性、数据准确性测试，并达到商用要求</w:t>
            </w:r>
          </w:p>
        </w:tc>
        <w:tc>
          <w:tcPr>
            <w:tcW w:w="681"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项</w:t>
            </w:r>
          </w:p>
        </w:tc>
        <w:tc>
          <w:tcPr>
            <w:tcW w:w="738" w:type="dxa"/>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3" w:type="dxa"/>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5.</w:t>
            </w:r>
            <w:r>
              <w:rPr>
                <w:rFonts w:hint="eastAsia" w:ascii="宋体" w:hAnsi="宋体" w:eastAsia="宋体" w:cs="宋体"/>
                <w:color w:val="000000"/>
                <w:kern w:val="0"/>
                <w:sz w:val="20"/>
                <w:szCs w:val="20"/>
              </w:rPr>
              <w:t>2</w:t>
            </w:r>
          </w:p>
        </w:tc>
        <w:tc>
          <w:tcPr>
            <w:tcW w:w="1676"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欠费订单修改同步至欠费车牌</w:t>
            </w:r>
          </w:p>
        </w:tc>
        <w:tc>
          <w:tcPr>
            <w:tcW w:w="4630"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欠费订单的时间和金额修改同步至欠费车牌</w:t>
            </w:r>
          </w:p>
        </w:tc>
        <w:tc>
          <w:tcPr>
            <w:tcW w:w="681" w:type="dxa"/>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项</w:t>
            </w:r>
          </w:p>
        </w:tc>
        <w:tc>
          <w:tcPr>
            <w:tcW w:w="738"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713" w:type="dxa"/>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5.</w:t>
            </w:r>
            <w:r>
              <w:rPr>
                <w:rFonts w:hint="eastAsia" w:ascii="宋体" w:hAnsi="宋体" w:eastAsia="宋体" w:cs="宋体"/>
                <w:color w:val="000000"/>
                <w:kern w:val="0"/>
                <w:sz w:val="20"/>
                <w:szCs w:val="20"/>
              </w:rPr>
              <w:t>3</w:t>
            </w:r>
          </w:p>
        </w:tc>
        <w:tc>
          <w:tcPr>
            <w:tcW w:w="1676"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统计分析升级</w:t>
            </w:r>
          </w:p>
        </w:tc>
        <w:tc>
          <w:tcPr>
            <w:tcW w:w="4630"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1.目前只能查询12个月，需要放开时间限制，查看全部数据，可以按日和按月搜索；</w:t>
            </w:r>
          </w:p>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2.对于搜索时间，之前平台逻辑对应的数据要联动起来；</w:t>
            </w:r>
          </w:p>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3.停车趋势分析前端可按照左右滑动的样式展示出来数据。</w:t>
            </w:r>
          </w:p>
        </w:tc>
        <w:tc>
          <w:tcPr>
            <w:tcW w:w="681" w:type="dxa"/>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项</w:t>
            </w:r>
          </w:p>
        </w:tc>
        <w:tc>
          <w:tcPr>
            <w:tcW w:w="738"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713" w:type="dxa"/>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5.</w:t>
            </w:r>
            <w:r>
              <w:rPr>
                <w:rFonts w:hint="eastAsia" w:ascii="宋体" w:hAnsi="宋体" w:eastAsia="宋体" w:cs="宋体"/>
                <w:color w:val="000000"/>
                <w:kern w:val="0"/>
                <w:sz w:val="20"/>
                <w:szCs w:val="20"/>
              </w:rPr>
              <w:t>4</w:t>
            </w:r>
          </w:p>
        </w:tc>
        <w:tc>
          <w:tcPr>
            <w:tcW w:w="1676"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财务管理系统</w:t>
            </w:r>
          </w:p>
        </w:tc>
        <w:tc>
          <w:tcPr>
            <w:tcW w:w="4630"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财务报表、清分结算、决策分析功能升级优化</w:t>
            </w:r>
          </w:p>
        </w:tc>
        <w:tc>
          <w:tcPr>
            <w:tcW w:w="681" w:type="dxa"/>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项</w:t>
            </w:r>
          </w:p>
        </w:tc>
        <w:tc>
          <w:tcPr>
            <w:tcW w:w="738"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713" w:type="dxa"/>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5.</w:t>
            </w:r>
            <w:r>
              <w:rPr>
                <w:rFonts w:hint="eastAsia" w:ascii="宋体" w:hAnsi="宋体" w:eastAsia="宋体" w:cs="宋体"/>
                <w:color w:val="000000"/>
                <w:kern w:val="0"/>
                <w:sz w:val="20"/>
                <w:szCs w:val="20"/>
              </w:rPr>
              <w:t>5</w:t>
            </w:r>
          </w:p>
        </w:tc>
        <w:tc>
          <w:tcPr>
            <w:tcW w:w="1676"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运营管理系统</w:t>
            </w:r>
          </w:p>
        </w:tc>
        <w:tc>
          <w:tcPr>
            <w:tcW w:w="4630"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消息推送要有非会员短信提醒</w:t>
            </w:r>
          </w:p>
        </w:tc>
        <w:tc>
          <w:tcPr>
            <w:tcW w:w="681" w:type="dxa"/>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项</w:t>
            </w:r>
          </w:p>
        </w:tc>
        <w:tc>
          <w:tcPr>
            <w:tcW w:w="738"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713" w:type="dxa"/>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5.</w:t>
            </w:r>
            <w:r>
              <w:rPr>
                <w:rFonts w:hint="eastAsia" w:ascii="宋体" w:hAnsi="宋体" w:eastAsia="宋体" w:cs="宋体"/>
                <w:color w:val="000000"/>
                <w:kern w:val="0"/>
                <w:sz w:val="20"/>
                <w:szCs w:val="20"/>
              </w:rPr>
              <w:t>6</w:t>
            </w:r>
          </w:p>
        </w:tc>
        <w:tc>
          <w:tcPr>
            <w:tcW w:w="1676"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“增城泊车”微信小程序迁移</w:t>
            </w:r>
          </w:p>
        </w:tc>
        <w:tc>
          <w:tcPr>
            <w:tcW w:w="4630"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将“增城泊车”微信小程序内嵌至“增城e政务”微信小程序，车主可查询停车订单并缴费</w:t>
            </w:r>
          </w:p>
        </w:tc>
        <w:tc>
          <w:tcPr>
            <w:tcW w:w="681" w:type="dxa"/>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项</w:t>
            </w:r>
          </w:p>
        </w:tc>
        <w:tc>
          <w:tcPr>
            <w:tcW w:w="738" w:type="dxa"/>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713" w:type="dxa"/>
            <w:shd w:val="clear" w:color="auto" w:fill="auto"/>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5.</w:t>
            </w:r>
            <w:r>
              <w:rPr>
                <w:rFonts w:hint="eastAsia" w:ascii="宋体" w:hAnsi="宋体" w:eastAsia="宋体" w:cs="宋体"/>
                <w:color w:val="000000"/>
                <w:kern w:val="0"/>
                <w:sz w:val="20"/>
                <w:szCs w:val="20"/>
              </w:rPr>
              <w:t>7</w:t>
            </w:r>
          </w:p>
        </w:tc>
        <w:tc>
          <w:tcPr>
            <w:tcW w:w="1676"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停车场系统对接</w:t>
            </w:r>
          </w:p>
        </w:tc>
        <w:tc>
          <w:tcPr>
            <w:tcW w:w="4630" w:type="dxa"/>
            <w:shd w:val="clear" w:color="auto" w:fill="auto"/>
            <w:vAlign w:val="center"/>
          </w:tcPr>
          <w:p>
            <w:pPr>
              <w:widowControl/>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区内50个停车场系统数据接入</w:t>
            </w:r>
          </w:p>
        </w:tc>
        <w:tc>
          <w:tcPr>
            <w:tcW w:w="681" w:type="dxa"/>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项</w:t>
            </w:r>
          </w:p>
        </w:tc>
        <w:tc>
          <w:tcPr>
            <w:tcW w:w="738" w:type="dxa"/>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w:t>
            </w:r>
          </w:p>
        </w:tc>
      </w:tr>
    </w:tbl>
    <w:p>
      <w:pPr>
        <w:rPr>
          <w:rFonts w:ascii="宋体" w:hAnsi="宋体" w:eastAsia="宋体" w:cs="宋体"/>
        </w:rPr>
      </w:pPr>
    </w:p>
    <w:p>
      <w:pPr>
        <w:pStyle w:val="5"/>
        <w:rPr>
          <w:rFonts w:ascii="宋体" w:hAnsi="宋体" w:eastAsia="宋体" w:cs="宋体"/>
          <w:sz w:val="28"/>
          <w:szCs w:val="36"/>
        </w:rPr>
      </w:pPr>
      <w:r>
        <w:rPr>
          <w:rFonts w:hint="eastAsia" w:ascii="宋体" w:hAnsi="宋体" w:eastAsia="宋体" w:cs="宋体"/>
          <w:sz w:val="28"/>
          <w:szCs w:val="36"/>
        </w:rPr>
        <w:t>系统集成部分</w:t>
      </w:r>
    </w:p>
    <w:tbl>
      <w:tblPr>
        <w:tblStyle w:val="18"/>
        <w:tblpPr w:leftFromText="180" w:rightFromText="180" w:vertAnchor="text" w:horzAnchor="margin" w:tblpY="76"/>
        <w:tblOverlap w:val="never"/>
        <w:tblW w:w="84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650"/>
        <w:gridCol w:w="4656"/>
        <w:gridCol w:w="663"/>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5" w:type="dxa"/>
            <w:shd w:val="clear" w:color="auto" w:fill="auto"/>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序号</w:t>
            </w:r>
          </w:p>
        </w:tc>
        <w:tc>
          <w:tcPr>
            <w:tcW w:w="1650" w:type="dxa"/>
            <w:shd w:val="clear" w:color="auto" w:fill="auto"/>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项目名称</w:t>
            </w:r>
          </w:p>
        </w:tc>
        <w:tc>
          <w:tcPr>
            <w:tcW w:w="4656" w:type="dxa"/>
            <w:shd w:val="clear" w:color="auto" w:fill="auto"/>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规格参数</w:t>
            </w:r>
          </w:p>
        </w:tc>
        <w:tc>
          <w:tcPr>
            <w:tcW w:w="663" w:type="dxa"/>
            <w:shd w:val="clear" w:color="auto" w:fill="auto"/>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单位</w:t>
            </w:r>
          </w:p>
        </w:tc>
        <w:tc>
          <w:tcPr>
            <w:tcW w:w="750" w:type="dxa"/>
            <w:shd w:val="clear" w:color="auto" w:fill="auto"/>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b/>
                <w:bCs/>
                <w:color w:val="000000"/>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44" w:type="dxa"/>
            <w:gridSpan w:val="5"/>
            <w:shd w:val="clear" w:color="auto" w:fill="auto"/>
            <w:vAlign w:val="center"/>
          </w:tcPr>
          <w:p>
            <w:pPr>
              <w:widowControl/>
              <w:spacing w:line="360" w:lineRule="auto"/>
              <w:jc w:val="center"/>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6、系统集成费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5" w:type="dxa"/>
            <w:shd w:val="clear" w:color="auto" w:fill="auto"/>
            <w:vAlign w:val="center"/>
          </w:tcPr>
          <w:p>
            <w:pPr>
              <w:widowControl/>
              <w:spacing w:line="360" w:lineRule="auto"/>
              <w:jc w:val="center"/>
              <w:rPr>
                <w:rFonts w:ascii="宋体" w:hAnsi="宋体" w:eastAsia="宋体" w:cs="宋体"/>
                <w:color w:val="000000"/>
                <w:kern w:val="0"/>
                <w:sz w:val="20"/>
                <w:szCs w:val="20"/>
              </w:rPr>
            </w:pPr>
            <w:r>
              <w:rPr>
                <w:rFonts w:ascii="宋体" w:hAnsi="宋体" w:eastAsia="宋体" w:cs="宋体"/>
                <w:color w:val="000000"/>
                <w:kern w:val="0"/>
                <w:sz w:val="20"/>
                <w:szCs w:val="20"/>
              </w:rPr>
              <w:t>6.</w:t>
            </w:r>
            <w:r>
              <w:rPr>
                <w:rFonts w:hint="eastAsia" w:ascii="宋体" w:hAnsi="宋体" w:eastAsia="宋体" w:cs="宋体"/>
                <w:color w:val="000000"/>
                <w:kern w:val="0"/>
                <w:sz w:val="20"/>
                <w:szCs w:val="20"/>
              </w:rPr>
              <w:t>1</w:t>
            </w:r>
          </w:p>
        </w:tc>
        <w:tc>
          <w:tcPr>
            <w:tcW w:w="1650" w:type="dxa"/>
            <w:shd w:val="clear" w:color="auto" w:fill="auto"/>
            <w:vAlign w:val="center"/>
          </w:tcPr>
          <w:p>
            <w:pPr>
              <w:widowControl/>
              <w:spacing w:line="360" w:lineRule="auto"/>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系统集成费</w:t>
            </w:r>
          </w:p>
        </w:tc>
        <w:tc>
          <w:tcPr>
            <w:tcW w:w="4656" w:type="dxa"/>
            <w:shd w:val="clear" w:color="auto" w:fill="auto"/>
            <w:vAlign w:val="center"/>
          </w:tcPr>
          <w:p>
            <w:pPr>
              <w:widowControl/>
              <w:spacing w:line="360" w:lineRule="auto"/>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包含软硬件的集成、联调</w:t>
            </w:r>
          </w:p>
        </w:tc>
        <w:tc>
          <w:tcPr>
            <w:tcW w:w="663" w:type="dxa"/>
            <w:shd w:val="clear" w:color="auto" w:fill="auto"/>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项</w:t>
            </w:r>
          </w:p>
        </w:tc>
        <w:tc>
          <w:tcPr>
            <w:tcW w:w="750" w:type="dxa"/>
            <w:shd w:val="clear" w:color="auto" w:fill="auto"/>
            <w:vAlign w:val="center"/>
          </w:tcPr>
          <w:p>
            <w:pPr>
              <w:widowControl/>
              <w:spacing w:line="360" w:lineRule="auto"/>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r>
    </w:tbl>
    <w:p>
      <w:pPr>
        <w:rPr>
          <w:rFonts w:ascii="宋体" w:hAnsi="宋体" w:eastAsia="宋体" w:cs="宋体"/>
        </w:rPr>
      </w:pPr>
    </w:p>
    <w:p>
      <w:pPr>
        <w:pStyle w:val="5"/>
        <w:rPr>
          <w:rFonts w:ascii="宋体" w:hAnsi="宋体" w:eastAsia="宋体" w:cs="宋体"/>
          <w:sz w:val="28"/>
          <w:szCs w:val="36"/>
        </w:rPr>
      </w:pPr>
      <w:r>
        <w:rPr>
          <w:rFonts w:hint="eastAsia" w:ascii="宋体" w:hAnsi="宋体" w:eastAsia="宋体" w:cs="宋体"/>
          <w:sz w:val="28"/>
          <w:szCs w:val="36"/>
        </w:rPr>
        <w:t>项目实施要求</w:t>
      </w:r>
    </w:p>
    <w:p>
      <w:pPr>
        <w:pStyle w:val="31"/>
        <w:spacing w:before="156" w:beforeLines="50" w:after="156" w:afterLines="50" w:line="360" w:lineRule="auto"/>
        <w:ind w:firstLine="422" w:firstLineChars="200"/>
        <w:rPr>
          <w:rFonts w:ascii="宋体" w:hAnsi="宋体" w:cs="宋体"/>
          <w:b/>
        </w:rPr>
      </w:pPr>
      <w:r>
        <w:rPr>
          <w:rFonts w:hint="eastAsia" w:ascii="宋体" w:hAnsi="宋体" w:cs="宋体"/>
          <w:b/>
        </w:rPr>
        <w:t>中标供应商必须配备满足本项目系统正常运行的必备条件等（包括未在招标要求中明确出现，而满足系统整体要求所必须的）。</w:t>
      </w:r>
    </w:p>
    <w:p>
      <w:pPr>
        <w:spacing w:line="360" w:lineRule="auto"/>
        <w:ind w:firstLine="480"/>
        <w:jc w:val="left"/>
        <w:rPr>
          <w:rFonts w:ascii="宋体" w:hAnsi="宋体" w:eastAsia="宋体" w:cs="宋体"/>
        </w:rPr>
      </w:pPr>
      <w:r>
        <w:rPr>
          <w:rFonts w:hint="eastAsia" w:ascii="宋体" w:hAnsi="宋体" w:eastAsia="宋体" w:cs="宋体"/>
        </w:rPr>
        <w:t>项目实施过程中，项目经理、技术负责人必须参与全程实施。在项目实施期间，中标供应商承诺的项目经理和关键技术人员未经用户同意不得随意调整，中标供应商如中途更换项目经理，必须征得采购人同意。中标供应商必须无条件接受采购人的监督检查，并承担人员不足、不到位所导致的相关质量、进度等违约责任,采购人不支付项目经理等人的人工费等一切费用，由中标供应商自行承担。</w:t>
      </w:r>
    </w:p>
    <w:p>
      <w:pPr>
        <w:spacing w:line="360" w:lineRule="auto"/>
        <w:ind w:firstLine="480"/>
        <w:jc w:val="left"/>
        <w:rPr>
          <w:rFonts w:ascii="宋体" w:hAnsi="宋体" w:eastAsia="宋体" w:cs="宋体"/>
          <w:b/>
          <w:bCs/>
        </w:rPr>
      </w:pPr>
      <w:bookmarkStart w:id="3" w:name="_Toc13240"/>
      <w:bookmarkStart w:id="4" w:name="_Toc18048"/>
      <w:bookmarkStart w:id="5" w:name="_Toc25160353"/>
      <w:bookmarkStart w:id="6" w:name="_Toc2465"/>
      <w:bookmarkStart w:id="7" w:name="_Toc28138"/>
      <w:bookmarkStart w:id="8" w:name="_Toc2835"/>
      <w:bookmarkStart w:id="9" w:name="_Toc12256"/>
      <w:bookmarkStart w:id="10" w:name="_Toc22388"/>
      <w:bookmarkStart w:id="11" w:name="_Toc482616438"/>
      <w:r>
        <w:rPr>
          <w:rFonts w:hint="eastAsia" w:ascii="宋体" w:hAnsi="宋体" w:eastAsia="宋体" w:cs="宋体"/>
          <w:b/>
          <w:bCs/>
        </w:rPr>
        <w:t>一、项目实施计划</w:t>
      </w:r>
      <w:bookmarkEnd w:id="3"/>
      <w:bookmarkEnd w:id="4"/>
      <w:bookmarkEnd w:id="5"/>
      <w:bookmarkEnd w:id="6"/>
      <w:bookmarkEnd w:id="7"/>
      <w:bookmarkEnd w:id="8"/>
      <w:bookmarkEnd w:id="9"/>
      <w:bookmarkEnd w:id="10"/>
      <w:bookmarkEnd w:id="11"/>
    </w:p>
    <w:p>
      <w:pPr>
        <w:spacing w:line="360" w:lineRule="auto"/>
        <w:ind w:firstLine="480"/>
        <w:jc w:val="left"/>
        <w:rPr>
          <w:rFonts w:ascii="宋体" w:hAnsi="宋体" w:eastAsia="宋体" w:cs="宋体"/>
        </w:rPr>
      </w:pPr>
      <w:r>
        <w:rPr>
          <w:rFonts w:hint="eastAsia" w:ascii="宋体" w:hAnsi="宋体" w:eastAsia="宋体" w:cs="宋体"/>
        </w:rPr>
        <w:t>提供针对本项目的进实施计划，并满足以下要求：</w:t>
      </w:r>
    </w:p>
    <w:p>
      <w:pPr>
        <w:spacing w:line="360" w:lineRule="auto"/>
        <w:ind w:firstLine="480"/>
        <w:jc w:val="left"/>
        <w:rPr>
          <w:rFonts w:ascii="宋体" w:hAnsi="宋体" w:eastAsia="宋体" w:cs="宋体"/>
        </w:rPr>
      </w:pPr>
      <w:bookmarkStart w:id="12" w:name="_Toc10576"/>
      <w:bookmarkStart w:id="13" w:name="_Toc7663"/>
      <w:bookmarkStart w:id="14" w:name="_Toc13465"/>
      <w:bookmarkStart w:id="15" w:name="_Toc872"/>
      <w:bookmarkStart w:id="16" w:name="_Toc19637"/>
      <w:r>
        <w:rPr>
          <w:rFonts w:hint="eastAsia" w:ascii="宋体" w:hAnsi="宋体" w:eastAsia="宋体" w:cs="宋体"/>
        </w:rPr>
        <w:t>1.1工期计划要求</w:t>
      </w:r>
      <w:bookmarkEnd w:id="12"/>
      <w:bookmarkEnd w:id="13"/>
      <w:bookmarkEnd w:id="14"/>
      <w:bookmarkEnd w:id="15"/>
      <w:bookmarkEnd w:id="16"/>
    </w:p>
    <w:p>
      <w:pPr>
        <w:spacing w:line="360" w:lineRule="auto"/>
        <w:ind w:firstLine="480"/>
        <w:jc w:val="left"/>
        <w:rPr>
          <w:rFonts w:ascii="宋体" w:hAnsi="宋体" w:eastAsia="宋体" w:cs="宋体"/>
        </w:rPr>
      </w:pPr>
      <w:r>
        <w:rPr>
          <w:rFonts w:hint="eastAsia" w:ascii="宋体" w:hAnsi="宋体" w:eastAsia="宋体" w:cs="宋体"/>
        </w:rPr>
        <w:t>投标人应按照本招标文件项目工期及周期要求，完成系统集成，系统的安装调测，系统初验，系统终验等。</w:t>
      </w:r>
    </w:p>
    <w:p>
      <w:pPr>
        <w:spacing w:line="360" w:lineRule="auto"/>
        <w:ind w:firstLine="480"/>
        <w:jc w:val="left"/>
        <w:rPr>
          <w:rFonts w:ascii="宋体" w:hAnsi="宋体" w:eastAsia="宋体" w:cs="宋体"/>
        </w:rPr>
      </w:pPr>
      <w:r>
        <w:rPr>
          <w:rFonts w:hint="eastAsia" w:ascii="宋体" w:hAnsi="宋体" w:eastAsia="宋体" w:cs="宋体"/>
        </w:rPr>
        <w:t>投标人应提供详细的设备到货、安装调测、验收等工期计划表，并经采购人认可。</w:t>
      </w:r>
    </w:p>
    <w:p>
      <w:pPr>
        <w:spacing w:line="360" w:lineRule="auto"/>
        <w:ind w:firstLine="480"/>
        <w:jc w:val="left"/>
        <w:rPr>
          <w:rFonts w:ascii="宋体" w:hAnsi="宋体" w:eastAsia="宋体" w:cs="宋体"/>
        </w:rPr>
      </w:pPr>
      <w:bookmarkStart w:id="17" w:name="_Toc14318"/>
      <w:bookmarkStart w:id="18" w:name="_Toc27594"/>
      <w:bookmarkStart w:id="19" w:name="_Toc3506"/>
      <w:bookmarkStart w:id="20" w:name="_Toc2639"/>
      <w:bookmarkStart w:id="21" w:name="_Toc14248"/>
      <w:r>
        <w:rPr>
          <w:rFonts w:hint="eastAsia" w:ascii="宋体" w:hAnsi="宋体" w:eastAsia="宋体" w:cs="宋体"/>
        </w:rPr>
        <w:t>1.2工程实施计划</w:t>
      </w:r>
      <w:bookmarkEnd w:id="17"/>
      <w:bookmarkEnd w:id="18"/>
      <w:bookmarkEnd w:id="19"/>
      <w:bookmarkEnd w:id="20"/>
      <w:bookmarkEnd w:id="21"/>
    </w:p>
    <w:p>
      <w:pPr>
        <w:spacing w:line="360" w:lineRule="auto"/>
        <w:ind w:firstLine="480"/>
        <w:jc w:val="left"/>
        <w:rPr>
          <w:rFonts w:ascii="宋体" w:hAnsi="宋体" w:eastAsia="宋体" w:cs="宋体"/>
        </w:rPr>
      </w:pPr>
      <w:r>
        <w:rPr>
          <w:rFonts w:hint="eastAsia" w:ascii="宋体" w:hAnsi="宋体" w:eastAsia="宋体" w:cs="宋体"/>
        </w:rPr>
        <w:t>（1）投标人应在技术建议书中，详细说明工程的组织及计划（包括详细的人员情况、组织、安排及工程实施方案）。</w:t>
      </w:r>
    </w:p>
    <w:p>
      <w:pPr>
        <w:spacing w:line="360" w:lineRule="auto"/>
        <w:ind w:firstLine="480"/>
        <w:jc w:val="left"/>
        <w:rPr>
          <w:rFonts w:ascii="宋体" w:hAnsi="宋体" w:eastAsia="宋体" w:cs="宋体"/>
        </w:rPr>
      </w:pPr>
      <w:r>
        <w:rPr>
          <w:rFonts w:hint="eastAsia" w:ascii="宋体" w:hAnsi="宋体" w:eastAsia="宋体" w:cs="宋体"/>
        </w:rPr>
        <w:t>（2）投标人应列出详细的工程实施计划表，投标人的工程实施计划表可采用电子表格形式，也可采用MS Project等图表方式补充表达。</w:t>
      </w:r>
    </w:p>
    <w:p>
      <w:pPr>
        <w:spacing w:line="360" w:lineRule="auto"/>
        <w:ind w:firstLine="480"/>
        <w:jc w:val="left"/>
        <w:rPr>
          <w:rFonts w:ascii="宋体" w:hAnsi="宋体" w:eastAsia="宋体" w:cs="宋体"/>
        </w:rPr>
      </w:pPr>
      <w:bookmarkStart w:id="22" w:name="_Toc3008"/>
      <w:bookmarkStart w:id="23" w:name="_Toc27334"/>
      <w:bookmarkStart w:id="24" w:name="_Toc17180"/>
      <w:bookmarkStart w:id="25" w:name="_Toc681"/>
      <w:bookmarkStart w:id="26" w:name="_Toc26046"/>
      <w:r>
        <w:rPr>
          <w:rFonts w:hint="eastAsia" w:ascii="宋体" w:hAnsi="宋体" w:eastAsia="宋体" w:cs="宋体"/>
        </w:rPr>
        <w:t>1.3项目成员要求</w:t>
      </w:r>
      <w:bookmarkEnd w:id="22"/>
      <w:bookmarkEnd w:id="23"/>
      <w:bookmarkEnd w:id="24"/>
      <w:bookmarkEnd w:id="25"/>
      <w:bookmarkEnd w:id="26"/>
    </w:p>
    <w:p>
      <w:pPr>
        <w:spacing w:line="360" w:lineRule="auto"/>
        <w:ind w:firstLine="480"/>
        <w:jc w:val="left"/>
        <w:rPr>
          <w:rFonts w:ascii="宋体" w:hAnsi="宋体" w:eastAsia="宋体" w:cs="宋体"/>
        </w:rPr>
      </w:pPr>
      <w:r>
        <w:rPr>
          <w:rFonts w:hint="eastAsia" w:ascii="宋体" w:hAnsi="宋体" w:eastAsia="宋体" w:cs="宋体"/>
        </w:rPr>
        <w:t>（1）项目团队组成要求</w:t>
      </w:r>
    </w:p>
    <w:p>
      <w:pPr>
        <w:spacing w:line="360" w:lineRule="auto"/>
        <w:ind w:firstLine="480"/>
        <w:jc w:val="left"/>
        <w:rPr>
          <w:rFonts w:ascii="宋体" w:hAnsi="宋体" w:eastAsia="宋体" w:cs="宋体"/>
        </w:rPr>
      </w:pPr>
      <w:r>
        <w:rPr>
          <w:rFonts w:hint="eastAsia" w:ascii="宋体" w:hAnsi="宋体" w:eastAsia="宋体" w:cs="宋体"/>
        </w:rPr>
        <w:t>项目团队人员配置科学合理、分工明确，至少应包括项目经理、技术负责人、需求人员、系统集成工程师、系统分析师、软件开发人员、测试人员、用户培训人员、实施人员、运行维护人员等角色，并按项目各阶段的实施进度情况配足团队人员，确保项目保质保量地完成建设。</w:t>
      </w:r>
    </w:p>
    <w:p>
      <w:pPr>
        <w:spacing w:line="360" w:lineRule="auto"/>
        <w:ind w:firstLine="480"/>
        <w:jc w:val="left"/>
        <w:rPr>
          <w:rFonts w:ascii="宋体" w:hAnsi="宋体" w:eastAsia="宋体" w:cs="宋体"/>
        </w:rPr>
      </w:pPr>
      <w:r>
        <w:rPr>
          <w:rFonts w:hint="eastAsia" w:ascii="宋体" w:hAnsi="宋体" w:eastAsia="宋体" w:cs="宋体"/>
        </w:rPr>
        <w:t>（2）项目组团队需保持稳定</w:t>
      </w:r>
    </w:p>
    <w:p>
      <w:pPr>
        <w:spacing w:line="360" w:lineRule="auto"/>
        <w:ind w:firstLine="480"/>
        <w:jc w:val="left"/>
        <w:rPr>
          <w:rFonts w:ascii="宋体" w:hAnsi="宋体" w:eastAsia="宋体" w:cs="宋体"/>
        </w:rPr>
      </w:pPr>
      <w:r>
        <w:rPr>
          <w:rFonts w:hint="eastAsia" w:ascii="宋体" w:hAnsi="宋体" w:eastAsia="宋体" w:cs="宋体"/>
        </w:rPr>
        <w:t>中标供应商应承诺项目经理必须专职承担本项目工作，未经建设单位许可不得更换。中标供应商应提出具体管理措施，以确保该承诺得到落实。在项目实施过程中，采购人有权对项目人员进行考核，对考核不合格的人员，有权要求中标供应商更换不合适的人员。</w:t>
      </w:r>
    </w:p>
    <w:p>
      <w:pPr>
        <w:spacing w:line="360" w:lineRule="auto"/>
        <w:ind w:firstLine="480"/>
        <w:jc w:val="left"/>
        <w:rPr>
          <w:rFonts w:ascii="宋体" w:hAnsi="宋体" w:eastAsia="宋体" w:cs="宋体"/>
        </w:rPr>
      </w:pPr>
      <w:r>
        <w:rPr>
          <w:rFonts w:hint="eastAsia" w:ascii="宋体" w:hAnsi="宋体" w:eastAsia="宋体" w:cs="宋体"/>
        </w:rPr>
        <w:t>（3）项目经理和技术负责人的要求</w:t>
      </w:r>
    </w:p>
    <w:p>
      <w:pPr>
        <w:spacing w:line="360" w:lineRule="auto"/>
        <w:ind w:firstLine="480"/>
        <w:jc w:val="left"/>
        <w:rPr>
          <w:rFonts w:ascii="宋体" w:hAnsi="宋体" w:eastAsia="宋体" w:cs="宋体"/>
        </w:rPr>
      </w:pPr>
      <w:r>
        <w:rPr>
          <w:rFonts w:hint="eastAsia" w:ascii="宋体" w:hAnsi="宋体" w:eastAsia="宋体" w:cs="宋体"/>
        </w:rPr>
        <w:t>中标供应商应明确项目经理和技术负责人在本项目中的岗位职责，并明确项目经理和技术负责人调动相关资源的权力，以确保工程顺利实施。中标供应商需承诺项目经理自始自终专职承担本项目，且具有信息系统项目经理从业经历，提供相关证明文件。</w:t>
      </w:r>
    </w:p>
    <w:p>
      <w:pPr>
        <w:spacing w:line="360" w:lineRule="auto"/>
        <w:ind w:firstLine="480"/>
        <w:jc w:val="left"/>
        <w:rPr>
          <w:rFonts w:ascii="宋体" w:hAnsi="宋体" w:eastAsia="宋体" w:cs="宋体"/>
        </w:rPr>
      </w:pPr>
      <w:r>
        <w:rPr>
          <w:rFonts w:hint="eastAsia" w:ascii="宋体" w:hAnsi="宋体" w:eastAsia="宋体" w:cs="宋体"/>
        </w:rPr>
        <w:t>根据项目建设工作的业务性质，投标人应分别配备经验丰富的项目经理、技术负责人承担本项目工作。投标文件中指定的承担本项目的项目经理、技术负责人需在投标人单位工作。</w:t>
      </w:r>
    </w:p>
    <w:p>
      <w:pPr>
        <w:spacing w:line="360" w:lineRule="auto"/>
        <w:ind w:firstLine="480"/>
        <w:jc w:val="left"/>
        <w:rPr>
          <w:rFonts w:ascii="宋体" w:hAnsi="宋体" w:eastAsia="宋体" w:cs="宋体"/>
          <w:b/>
          <w:bCs/>
        </w:rPr>
      </w:pPr>
      <w:bookmarkStart w:id="27" w:name="_Toc16954"/>
      <w:bookmarkStart w:id="28" w:name="_Toc25160354"/>
      <w:bookmarkStart w:id="29" w:name="_Toc28539"/>
      <w:bookmarkStart w:id="30" w:name="_Toc6277"/>
      <w:bookmarkStart w:id="31" w:name="_Toc21703"/>
      <w:bookmarkStart w:id="32" w:name="_Toc482616439"/>
      <w:bookmarkStart w:id="33" w:name="_Toc17616"/>
      <w:bookmarkStart w:id="34" w:name="_Toc26407"/>
      <w:bookmarkStart w:id="35" w:name="_Toc16390"/>
      <w:r>
        <w:rPr>
          <w:rFonts w:hint="eastAsia" w:ascii="宋体" w:hAnsi="宋体" w:eastAsia="宋体" w:cs="宋体"/>
          <w:b/>
          <w:bCs/>
        </w:rPr>
        <w:t>二、项目实施方案</w:t>
      </w:r>
      <w:bookmarkEnd w:id="27"/>
      <w:bookmarkEnd w:id="28"/>
      <w:bookmarkEnd w:id="29"/>
      <w:bookmarkEnd w:id="30"/>
      <w:bookmarkEnd w:id="31"/>
      <w:bookmarkEnd w:id="32"/>
      <w:bookmarkEnd w:id="33"/>
      <w:bookmarkEnd w:id="34"/>
      <w:bookmarkEnd w:id="35"/>
    </w:p>
    <w:p>
      <w:pPr>
        <w:spacing w:line="360" w:lineRule="auto"/>
        <w:ind w:firstLine="480"/>
        <w:jc w:val="left"/>
        <w:rPr>
          <w:rFonts w:ascii="宋体" w:hAnsi="宋体" w:eastAsia="宋体" w:cs="宋体"/>
        </w:rPr>
      </w:pPr>
      <w:bookmarkStart w:id="36" w:name="_Toc296107814"/>
      <w:r>
        <w:rPr>
          <w:rFonts w:hint="eastAsia" w:ascii="宋体" w:hAnsi="宋体" w:eastAsia="宋体" w:cs="宋体"/>
        </w:rPr>
        <w:t>提供针对本项目的进度、质量、风险、例会制度等管理方案，本次招标需要详细的方案，需满足以下要求：</w:t>
      </w:r>
    </w:p>
    <w:p>
      <w:pPr>
        <w:spacing w:line="360" w:lineRule="auto"/>
        <w:ind w:firstLine="480"/>
        <w:jc w:val="left"/>
        <w:rPr>
          <w:rFonts w:ascii="宋体" w:hAnsi="宋体" w:eastAsia="宋体" w:cs="宋体"/>
        </w:rPr>
      </w:pPr>
      <w:r>
        <w:rPr>
          <w:rFonts w:hint="eastAsia" w:ascii="宋体" w:hAnsi="宋体" w:eastAsia="宋体" w:cs="宋体"/>
        </w:rPr>
        <w:t>按采购人的要求，投标人负责开展详细全面的需求调研工作，进行需求分析并形成需求说明书由采购人确认。</w:t>
      </w:r>
    </w:p>
    <w:bookmarkEnd w:id="36"/>
    <w:p>
      <w:pPr>
        <w:spacing w:line="360" w:lineRule="auto"/>
        <w:ind w:firstLine="480"/>
        <w:jc w:val="left"/>
        <w:rPr>
          <w:rFonts w:ascii="宋体" w:hAnsi="宋体" w:eastAsia="宋体" w:cs="宋体"/>
        </w:rPr>
      </w:pPr>
      <w:r>
        <w:rPr>
          <w:rFonts w:hint="eastAsia" w:ascii="宋体" w:hAnsi="宋体" w:eastAsia="宋体" w:cs="宋体"/>
        </w:rPr>
        <w:t>中标供应商负责所提供的软硬设备的运输、现场安装、调测和开通。</w:t>
      </w:r>
    </w:p>
    <w:p>
      <w:pPr>
        <w:spacing w:line="360" w:lineRule="auto"/>
        <w:ind w:firstLine="480"/>
        <w:jc w:val="left"/>
        <w:rPr>
          <w:rFonts w:ascii="宋体" w:hAnsi="宋体" w:eastAsia="宋体" w:cs="宋体"/>
        </w:rPr>
      </w:pPr>
      <w:r>
        <w:rPr>
          <w:rFonts w:hint="eastAsia" w:ascii="宋体" w:hAnsi="宋体" w:eastAsia="宋体" w:cs="宋体"/>
        </w:rPr>
        <w:t>中标供应商须配合采购人开展本项目有关的相关工作，包括但不限于云平台租赁、综合调度室装修等工作。</w:t>
      </w:r>
    </w:p>
    <w:p>
      <w:pPr>
        <w:spacing w:line="360" w:lineRule="auto"/>
        <w:ind w:firstLine="480"/>
        <w:jc w:val="left"/>
        <w:rPr>
          <w:rFonts w:ascii="宋体" w:hAnsi="宋体" w:eastAsia="宋体" w:cs="宋体"/>
        </w:rPr>
      </w:pPr>
      <w:r>
        <w:rPr>
          <w:rFonts w:hint="eastAsia" w:ascii="宋体" w:hAnsi="宋体" w:eastAsia="宋体" w:cs="宋体"/>
        </w:rPr>
        <w:t>中标供应商应向采购人提交测试内容、方法和测试计划。测试计划和测试内容由中标供应商拟定，经采购人确认。</w:t>
      </w:r>
    </w:p>
    <w:p>
      <w:pPr>
        <w:spacing w:line="360" w:lineRule="auto"/>
        <w:ind w:firstLine="480"/>
        <w:jc w:val="left"/>
        <w:rPr>
          <w:rFonts w:ascii="宋体" w:hAnsi="宋体" w:eastAsia="宋体" w:cs="宋体"/>
        </w:rPr>
      </w:pPr>
      <w:r>
        <w:rPr>
          <w:rFonts w:hint="eastAsia" w:ascii="宋体" w:hAnsi="宋体" w:eastAsia="宋体" w:cs="宋体"/>
        </w:rPr>
        <w:t>中标供应商应确保其技术以及所提供的软件的完整性和可用性，保证软硬件系统能够投入正常运行。若出现由于中标供应商提供的软硬件系统不满足要求或其所提供的技术支持和服务不全面而导致功能无法实现或不能完全实现，由中标供应商负全部责任。</w:t>
      </w:r>
    </w:p>
    <w:p>
      <w:pPr>
        <w:spacing w:line="360" w:lineRule="auto"/>
        <w:ind w:firstLine="480"/>
        <w:jc w:val="left"/>
        <w:rPr>
          <w:rFonts w:ascii="宋体" w:hAnsi="宋体" w:eastAsia="宋体" w:cs="宋体"/>
        </w:rPr>
      </w:pPr>
      <w:r>
        <w:rPr>
          <w:rFonts w:hint="eastAsia" w:ascii="宋体" w:hAnsi="宋体" w:eastAsia="宋体" w:cs="宋体"/>
        </w:rPr>
        <w:t>项目的系统集成包括不限于前端设备、链路、接口系统的集成实施、云平台及安全设备部署与集成实施，使整个项目成为一个完整的系统。</w:t>
      </w:r>
    </w:p>
    <w:p>
      <w:pPr>
        <w:spacing w:line="360" w:lineRule="auto"/>
        <w:ind w:firstLine="480"/>
        <w:jc w:val="left"/>
        <w:rPr>
          <w:rFonts w:ascii="宋体" w:hAnsi="宋体" w:eastAsia="宋体" w:cs="宋体"/>
        </w:rPr>
      </w:pPr>
      <w:r>
        <w:rPr>
          <w:rFonts w:hint="eastAsia" w:ascii="宋体" w:hAnsi="宋体" w:eastAsia="宋体" w:cs="宋体"/>
        </w:rPr>
        <w:t>项目重要的施工环节应取得监理的同意后才能施工，施工质量应接受监理的随时检查。</w:t>
      </w:r>
    </w:p>
    <w:p>
      <w:pPr>
        <w:spacing w:line="360" w:lineRule="auto"/>
        <w:ind w:firstLine="480"/>
        <w:jc w:val="left"/>
        <w:rPr>
          <w:rFonts w:ascii="宋体" w:hAnsi="宋体" w:eastAsia="宋体" w:cs="宋体"/>
          <w:b/>
          <w:bCs/>
        </w:rPr>
      </w:pPr>
      <w:bookmarkStart w:id="37" w:name="_Toc14389"/>
      <w:bookmarkStart w:id="38" w:name="_Toc8013"/>
      <w:bookmarkStart w:id="39" w:name="_Toc482616441"/>
      <w:bookmarkStart w:id="40" w:name="_Toc12976"/>
      <w:bookmarkStart w:id="41" w:name="_Toc32406"/>
      <w:bookmarkStart w:id="42" w:name="_Toc25160356"/>
      <w:bookmarkStart w:id="43" w:name="_Toc14752"/>
      <w:bookmarkStart w:id="44" w:name="_Toc22878"/>
      <w:bookmarkStart w:id="45" w:name="_Toc13999"/>
      <w:r>
        <w:rPr>
          <w:rFonts w:hint="eastAsia" w:ascii="宋体" w:hAnsi="宋体" w:eastAsia="宋体" w:cs="宋体"/>
          <w:b/>
          <w:bCs/>
        </w:rPr>
        <w:t>三、项目文档要求</w:t>
      </w:r>
      <w:bookmarkEnd w:id="37"/>
      <w:bookmarkEnd w:id="38"/>
      <w:bookmarkEnd w:id="39"/>
      <w:bookmarkEnd w:id="40"/>
      <w:bookmarkEnd w:id="41"/>
      <w:bookmarkEnd w:id="42"/>
      <w:bookmarkEnd w:id="43"/>
      <w:bookmarkEnd w:id="44"/>
      <w:bookmarkEnd w:id="45"/>
    </w:p>
    <w:p>
      <w:pPr>
        <w:spacing w:line="360" w:lineRule="auto"/>
        <w:ind w:firstLine="480"/>
        <w:jc w:val="left"/>
        <w:rPr>
          <w:rFonts w:ascii="宋体" w:hAnsi="宋体" w:eastAsia="宋体" w:cs="宋体"/>
        </w:rPr>
      </w:pPr>
      <w:r>
        <w:rPr>
          <w:rFonts w:hint="eastAsia" w:ascii="宋体" w:hAnsi="宋体" w:eastAsia="宋体" w:cs="宋体"/>
        </w:rPr>
        <w:t>中标供应商提供的技术文件应全面、详细。</w:t>
      </w:r>
    </w:p>
    <w:p>
      <w:pPr>
        <w:spacing w:line="360" w:lineRule="auto"/>
        <w:ind w:firstLine="480"/>
        <w:jc w:val="left"/>
        <w:rPr>
          <w:rFonts w:ascii="宋体" w:hAnsi="宋体" w:eastAsia="宋体" w:cs="宋体"/>
        </w:rPr>
      </w:pPr>
      <w:r>
        <w:rPr>
          <w:rFonts w:hint="eastAsia" w:ascii="宋体" w:hAnsi="宋体" w:eastAsia="宋体" w:cs="宋体"/>
        </w:rPr>
        <w:t>在本项目的开发过程中和交付使用后，各个阶段产生的成果和文档资料应交付采购人。本项目要求将全面、规范的成果和文档资料交付给采购人，提供明确的交付清单。同时，成果和文档资料必须符合软件工程的相关要求。要交付的成果和文档资料按照《广州市政务信息化项目管理办法》的要求，主要包括但不限于以下部分：</w:t>
      </w:r>
    </w:p>
    <w:p>
      <w:pPr>
        <w:spacing w:line="360" w:lineRule="auto"/>
        <w:ind w:firstLine="480"/>
        <w:jc w:val="left"/>
        <w:rPr>
          <w:rFonts w:ascii="宋体" w:hAnsi="宋体" w:eastAsia="宋体" w:cs="宋体"/>
        </w:rPr>
      </w:pPr>
      <w:r>
        <w:rPr>
          <w:rFonts w:hint="eastAsia" w:ascii="宋体" w:hAnsi="宋体" w:eastAsia="宋体" w:cs="宋体"/>
        </w:rPr>
        <w:t>（1）技术文档：包括项目开发中的各种技术文档，如立杆点位布置图、硬件系统深化设计方案，设备到货验收资料、质量证明文件、系统设备调试报告、施工图纸、竣工图纸、用户手册、维护说明、培训资料、试运行报告，以及有关系统接口的技术说明等。</w:t>
      </w:r>
    </w:p>
    <w:p>
      <w:pPr>
        <w:spacing w:line="360" w:lineRule="auto"/>
        <w:ind w:firstLine="480"/>
        <w:jc w:val="left"/>
        <w:rPr>
          <w:rFonts w:ascii="宋体" w:hAnsi="宋体" w:eastAsia="宋体" w:cs="宋体"/>
        </w:rPr>
      </w:pPr>
      <w:r>
        <w:rPr>
          <w:rFonts w:hint="eastAsia" w:ascii="宋体" w:hAnsi="宋体" w:eastAsia="宋体" w:cs="宋体"/>
        </w:rPr>
        <w:t>（2）管理文档：包括项目开发中的一些工作文档，如计划、报告、讨论纲要、会议记录等。</w:t>
      </w:r>
    </w:p>
    <w:p>
      <w:pPr>
        <w:spacing w:line="360" w:lineRule="auto"/>
        <w:ind w:firstLine="480"/>
        <w:jc w:val="left"/>
        <w:rPr>
          <w:rFonts w:ascii="宋体" w:hAnsi="宋体" w:eastAsia="宋体" w:cs="宋体"/>
        </w:rPr>
      </w:pPr>
      <w:r>
        <w:rPr>
          <w:rFonts w:hint="eastAsia" w:ascii="宋体" w:hAnsi="宋体" w:eastAsia="宋体" w:cs="宋体"/>
        </w:rPr>
        <w:t>（3）提供流程实施过程中过程记录，如文档管理、版本管理、变更记录等。</w:t>
      </w:r>
    </w:p>
    <w:p>
      <w:pPr>
        <w:spacing w:line="360" w:lineRule="auto"/>
        <w:ind w:firstLine="480"/>
        <w:jc w:val="left"/>
        <w:rPr>
          <w:rFonts w:ascii="宋体" w:hAnsi="宋体" w:eastAsia="宋体" w:cs="宋体"/>
        </w:rPr>
      </w:pPr>
      <w:r>
        <w:rPr>
          <w:rFonts w:hint="eastAsia" w:ascii="宋体" w:hAnsi="宋体" w:eastAsia="宋体" w:cs="宋体"/>
        </w:rPr>
        <w:t>（4）交付的所有成果应包括成果的电子化版本。</w:t>
      </w:r>
    </w:p>
    <w:p>
      <w:pPr>
        <w:spacing w:line="360" w:lineRule="auto"/>
        <w:ind w:firstLine="480"/>
        <w:jc w:val="left"/>
        <w:rPr>
          <w:rFonts w:ascii="宋体" w:hAnsi="宋体" w:eastAsia="宋体" w:cs="宋体"/>
          <w:b/>
          <w:bCs/>
        </w:rPr>
      </w:pPr>
      <w:bookmarkStart w:id="46" w:name="_Toc25601"/>
      <w:bookmarkStart w:id="47" w:name="_Toc32027"/>
      <w:bookmarkStart w:id="48" w:name="_Toc18198"/>
      <w:bookmarkStart w:id="49" w:name="_Toc29177"/>
      <w:bookmarkStart w:id="50" w:name="_Toc16601"/>
      <w:bookmarkStart w:id="51" w:name="_Toc17544"/>
      <w:bookmarkStart w:id="52" w:name="_Toc8859"/>
      <w:r>
        <w:rPr>
          <w:rFonts w:hint="eastAsia" w:ascii="宋体" w:hAnsi="宋体" w:eastAsia="宋体" w:cs="宋体"/>
          <w:b/>
          <w:bCs/>
        </w:rPr>
        <w:t>四、设备到货验收要求</w:t>
      </w:r>
      <w:bookmarkEnd w:id="46"/>
      <w:bookmarkEnd w:id="47"/>
      <w:bookmarkEnd w:id="48"/>
      <w:bookmarkEnd w:id="49"/>
      <w:bookmarkEnd w:id="50"/>
      <w:bookmarkEnd w:id="51"/>
      <w:bookmarkEnd w:id="52"/>
    </w:p>
    <w:p>
      <w:pPr>
        <w:spacing w:line="360" w:lineRule="auto"/>
        <w:ind w:firstLine="480"/>
        <w:jc w:val="left"/>
        <w:rPr>
          <w:rFonts w:ascii="宋体" w:hAnsi="宋体" w:eastAsia="宋体" w:cs="宋体"/>
        </w:rPr>
      </w:pPr>
      <w:r>
        <w:rPr>
          <w:rFonts w:hint="eastAsia" w:ascii="宋体" w:hAnsi="宋体" w:eastAsia="宋体" w:cs="宋体"/>
        </w:rPr>
        <w:t>中标供应商应保证所采购的产品设备为全新产品，是完全符合厂家和国家的有关质量标准的设备，在数量、外观、质量及性能上完全满足用户要求，并提供包括但不限于如下资料证明：</w:t>
      </w:r>
    </w:p>
    <w:p>
      <w:pPr>
        <w:spacing w:line="360" w:lineRule="auto"/>
        <w:ind w:firstLine="480"/>
        <w:jc w:val="left"/>
        <w:rPr>
          <w:rFonts w:ascii="宋体" w:hAnsi="宋体" w:eastAsia="宋体" w:cs="宋体"/>
        </w:rPr>
      </w:pPr>
      <w:r>
        <w:rPr>
          <w:rFonts w:hint="eastAsia" w:ascii="宋体" w:hAnsi="宋体" w:eastAsia="宋体" w:cs="宋体"/>
        </w:rPr>
        <w:t>原产地证明、合格证、装箱单、保修单、随箱介质等。</w:t>
      </w:r>
    </w:p>
    <w:p>
      <w:pPr>
        <w:spacing w:line="360" w:lineRule="auto"/>
        <w:ind w:firstLine="480"/>
        <w:jc w:val="left"/>
        <w:rPr>
          <w:rFonts w:ascii="宋体" w:hAnsi="宋体" w:eastAsia="宋体" w:cs="宋体"/>
        </w:rPr>
      </w:pPr>
      <w:r>
        <w:rPr>
          <w:rFonts w:hint="eastAsia" w:ascii="宋体" w:hAnsi="宋体" w:eastAsia="宋体" w:cs="宋体"/>
        </w:rPr>
        <w:t>设备开箱应由采购人和中标供应商共同进行，双方一起对设备、产品、零件、配件的型号、规格、数量、外观、外形、包装及用户许可证书、资料、介质、文件（如装箱单、保修证明）等进行清点造册登记，并与原厂随机装箱单进行核对，确保完全相符。检验标准按照产品有关质量文件进行。</w:t>
      </w:r>
    </w:p>
    <w:p>
      <w:pPr>
        <w:spacing w:line="360" w:lineRule="auto"/>
        <w:ind w:firstLine="480"/>
        <w:jc w:val="left"/>
        <w:rPr>
          <w:rFonts w:ascii="宋体" w:hAnsi="宋体" w:eastAsia="宋体" w:cs="宋体"/>
        </w:rPr>
      </w:pPr>
      <w:r>
        <w:rPr>
          <w:rFonts w:hint="eastAsia" w:ascii="宋体" w:hAnsi="宋体" w:eastAsia="宋体" w:cs="宋体"/>
        </w:rPr>
        <w:t>自到货检验通过之日起90天内，为产品包换期。包换期内如发现存在质量问题，中标供应商应在5个工作日内免费更换。</w:t>
      </w:r>
    </w:p>
    <w:p>
      <w:pPr>
        <w:spacing w:line="360" w:lineRule="auto"/>
        <w:ind w:firstLine="480"/>
        <w:jc w:val="left"/>
        <w:rPr>
          <w:rFonts w:ascii="宋体" w:hAnsi="宋体" w:eastAsia="宋体" w:cs="宋体"/>
          <w:b/>
          <w:bCs/>
        </w:rPr>
      </w:pPr>
      <w:bookmarkStart w:id="53" w:name="_Toc2991"/>
      <w:bookmarkStart w:id="54" w:name="_Toc8969"/>
      <w:bookmarkStart w:id="55" w:name="_Toc23481"/>
      <w:bookmarkStart w:id="56" w:name="_Toc12176"/>
      <w:bookmarkStart w:id="57" w:name="_Toc20838"/>
      <w:bookmarkStart w:id="58" w:name="_Toc29698"/>
      <w:bookmarkStart w:id="59" w:name="_Toc7725"/>
      <w:r>
        <w:rPr>
          <w:rFonts w:hint="eastAsia" w:ascii="宋体" w:hAnsi="宋体" w:eastAsia="宋体" w:cs="宋体"/>
          <w:b/>
          <w:bCs/>
        </w:rPr>
        <w:t>五、安全施工规范要求</w:t>
      </w:r>
      <w:bookmarkEnd w:id="53"/>
      <w:bookmarkEnd w:id="54"/>
      <w:bookmarkEnd w:id="55"/>
      <w:bookmarkEnd w:id="56"/>
      <w:bookmarkEnd w:id="57"/>
      <w:bookmarkEnd w:id="58"/>
      <w:bookmarkEnd w:id="59"/>
    </w:p>
    <w:p>
      <w:pPr>
        <w:spacing w:line="360" w:lineRule="auto"/>
        <w:ind w:firstLine="480"/>
        <w:jc w:val="left"/>
        <w:rPr>
          <w:rFonts w:ascii="宋体" w:hAnsi="宋体" w:eastAsia="宋体" w:cs="宋体"/>
        </w:rPr>
      </w:pPr>
      <w:r>
        <w:rPr>
          <w:rFonts w:hint="eastAsia" w:ascii="宋体" w:hAnsi="宋体" w:eastAsia="宋体" w:cs="宋体"/>
        </w:rPr>
        <w:t>1、施工时尤其注意施工安全及对附近的房屋建筑和地下管线的影响，开挖管道沟时，应特别注意人身安全，必须采取支撑护土板及排水等措施，以保证施工人员和房屋建筑等各种设施安全；</w:t>
      </w:r>
    </w:p>
    <w:p>
      <w:pPr>
        <w:spacing w:line="360" w:lineRule="auto"/>
        <w:ind w:firstLine="480"/>
        <w:jc w:val="left"/>
        <w:rPr>
          <w:rFonts w:ascii="宋体" w:hAnsi="宋体" w:eastAsia="宋体" w:cs="宋体"/>
        </w:rPr>
      </w:pPr>
      <w:r>
        <w:rPr>
          <w:rFonts w:hint="eastAsia" w:ascii="宋体" w:hAnsi="宋体" w:eastAsia="宋体" w:cs="宋体"/>
        </w:rPr>
        <w:t>2、管道施工期间应服从交通管理规则，施工用的机械及材料的放置场地要设在不妨碍交通的地方，尽可能避免影响交通；</w:t>
      </w:r>
    </w:p>
    <w:p>
      <w:pPr>
        <w:spacing w:line="360" w:lineRule="auto"/>
        <w:ind w:firstLine="480"/>
        <w:jc w:val="left"/>
        <w:rPr>
          <w:rFonts w:ascii="宋体" w:hAnsi="宋体" w:eastAsia="宋体" w:cs="宋体"/>
        </w:rPr>
      </w:pPr>
      <w:r>
        <w:rPr>
          <w:rFonts w:hint="eastAsia" w:ascii="宋体" w:hAnsi="宋体" w:eastAsia="宋体" w:cs="宋体"/>
        </w:rPr>
        <w:t>3、在施工过程中，必须加强现场施工管理，对施工人员是否按照选定的施工方法实行安全作业，应经常进行监督检查；</w:t>
      </w:r>
    </w:p>
    <w:p>
      <w:pPr>
        <w:spacing w:line="360" w:lineRule="auto"/>
        <w:ind w:firstLine="480"/>
        <w:jc w:val="left"/>
        <w:rPr>
          <w:rFonts w:ascii="宋体" w:hAnsi="宋体" w:eastAsia="宋体" w:cs="宋体"/>
        </w:rPr>
      </w:pPr>
      <w:r>
        <w:rPr>
          <w:rFonts w:hint="eastAsia" w:ascii="宋体" w:hAnsi="宋体" w:eastAsia="宋体" w:cs="宋体"/>
        </w:rPr>
        <w:t>4、施工过程中，为了保障行人及车辆的交通安全，在施工现场应设置必要的路障和明显的各类安全标志，夜间必须设置警示灯，并设置防止发生其他交通事故所必须的保安措施，以确保施工安全及行人车辆的安全。</w:t>
      </w:r>
    </w:p>
    <w:p>
      <w:pPr>
        <w:spacing w:line="360" w:lineRule="auto"/>
        <w:ind w:firstLine="480"/>
        <w:jc w:val="left"/>
        <w:rPr>
          <w:rFonts w:ascii="宋体" w:hAnsi="宋体" w:eastAsia="宋体" w:cs="宋体"/>
          <w:b/>
          <w:bCs/>
        </w:rPr>
      </w:pPr>
      <w:bookmarkStart w:id="60" w:name="_Toc16137"/>
      <w:bookmarkStart w:id="61" w:name="_Toc22660"/>
      <w:bookmarkStart w:id="62" w:name="_Toc10996"/>
      <w:bookmarkStart w:id="63" w:name="_Toc8469"/>
      <w:bookmarkStart w:id="64" w:name="_Toc15209"/>
      <w:bookmarkStart w:id="65" w:name="_Toc21401"/>
      <w:bookmarkStart w:id="66" w:name="_Toc18731"/>
      <w:bookmarkStart w:id="67" w:name="_Toc2471"/>
      <w:bookmarkStart w:id="68" w:name="_Toc29908"/>
      <w:bookmarkStart w:id="69" w:name="_Toc4574"/>
      <w:bookmarkStart w:id="70" w:name="_Toc6164"/>
      <w:r>
        <w:rPr>
          <w:rFonts w:hint="eastAsia" w:ascii="宋体" w:hAnsi="宋体" w:eastAsia="宋体" w:cs="宋体"/>
          <w:b/>
          <w:bCs/>
        </w:rPr>
        <w:t>六、项目验收及移交要求</w:t>
      </w:r>
      <w:bookmarkEnd w:id="60"/>
      <w:bookmarkEnd w:id="61"/>
      <w:bookmarkEnd w:id="62"/>
      <w:bookmarkEnd w:id="63"/>
      <w:bookmarkEnd w:id="64"/>
      <w:bookmarkEnd w:id="65"/>
      <w:bookmarkEnd w:id="66"/>
      <w:bookmarkEnd w:id="67"/>
      <w:bookmarkEnd w:id="68"/>
      <w:bookmarkEnd w:id="69"/>
      <w:bookmarkEnd w:id="70"/>
    </w:p>
    <w:p>
      <w:pPr>
        <w:spacing w:line="360" w:lineRule="auto"/>
        <w:ind w:firstLine="480"/>
        <w:jc w:val="left"/>
        <w:rPr>
          <w:rFonts w:ascii="宋体" w:hAnsi="宋体" w:eastAsia="宋体" w:cs="宋体"/>
        </w:rPr>
      </w:pPr>
      <w:r>
        <w:rPr>
          <w:rFonts w:hint="eastAsia" w:ascii="宋体" w:hAnsi="宋体" w:eastAsia="宋体" w:cs="宋体"/>
        </w:rPr>
        <w:t>1、验收标准：按照《广州市政务信息化项目管理办法》及其验收规范标准等相关文件要求进行验收。项目验收包括初步验收、试运行、验收测评、安全评估、合同验收及项目终验环节。</w:t>
      </w:r>
    </w:p>
    <w:p>
      <w:pPr>
        <w:spacing w:line="360" w:lineRule="auto"/>
        <w:ind w:firstLine="480"/>
        <w:jc w:val="left"/>
        <w:rPr>
          <w:rFonts w:ascii="宋体" w:hAnsi="宋体" w:eastAsia="宋体" w:cs="宋体"/>
        </w:rPr>
      </w:pPr>
      <w:r>
        <w:rPr>
          <w:rFonts w:hint="eastAsia" w:ascii="宋体" w:hAnsi="宋体" w:eastAsia="宋体" w:cs="宋体"/>
        </w:rPr>
        <w:t>2、初步验收由采购人组织进行。初步验收之出具必须以本合同项软硬件系统达到了本合同所列用户需求和技术要求、成果和技术文档全部交付、安装调试完毕、验收文档完整、出具验收合格意见为条件。</w:t>
      </w:r>
    </w:p>
    <w:p>
      <w:pPr>
        <w:spacing w:line="360" w:lineRule="auto"/>
        <w:ind w:firstLine="480"/>
        <w:jc w:val="left"/>
        <w:rPr>
          <w:rFonts w:ascii="宋体" w:hAnsi="宋体" w:eastAsia="宋体" w:cs="宋体"/>
        </w:rPr>
      </w:pPr>
      <w:r>
        <w:rPr>
          <w:rFonts w:hint="eastAsia" w:ascii="宋体" w:hAnsi="宋体" w:eastAsia="宋体" w:cs="宋体"/>
        </w:rPr>
        <w:t>3、不少于90个日历天的项目试运行期，试运行期自签发合格的初步验收报告当天起算。试运行期内中标供应商未收到来自采购人的修理、修复、复检、重新安装、重新调试等请求或者质量异议的，则试运行期满后视项目试运行合格并出具试运行报告。如果试运行期内发生非采购人人为毁损原因所致的质量问题，则试运行期起算时间应以该质量问题得到解决之日重新起算，且合同项下的试运行合格之时间点应整体顺延。</w:t>
      </w:r>
    </w:p>
    <w:p>
      <w:pPr>
        <w:spacing w:line="360" w:lineRule="auto"/>
        <w:ind w:firstLine="480"/>
        <w:jc w:val="left"/>
        <w:rPr>
          <w:rFonts w:ascii="宋体" w:hAnsi="宋体" w:eastAsia="宋体" w:cs="宋体"/>
        </w:rPr>
      </w:pPr>
      <w:r>
        <w:rPr>
          <w:rFonts w:hint="eastAsia" w:ascii="宋体" w:hAnsi="宋体" w:eastAsia="宋体" w:cs="宋体"/>
        </w:rPr>
        <w:t>4、由采购人按照《广州市政务信息化项目管理办法》的要求另行委托第三方测评（评估）机构对本项目建设内容进行验收测评和安全测评（评估），中标供应商须按测评（评估）机构出具的报告进行免费整改并使本项目建设内容通过验收测评和安全评估；经过两次测评（评估）后本项目建设内容仍不符合验收测评和安全评估要求的，采购人有权单方解除合同且中标供应商应按合同总价的百分之三十支付违约金。凡进行本项目建设内容整改须以不得影响或破坏采购人数据信息资料及原有系统为基本原则。</w:t>
      </w:r>
    </w:p>
    <w:p>
      <w:pPr>
        <w:spacing w:line="360" w:lineRule="auto"/>
        <w:ind w:firstLine="480"/>
        <w:jc w:val="left"/>
        <w:rPr>
          <w:rFonts w:ascii="宋体" w:hAnsi="宋体" w:eastAsia="宋体" w:cs="宋体"/>
        </w:rPr>
      </w:pPr>
      <w:r>
        <w:rPr>
          <w:rFonts w:hint="eastAsia" w:ascii="宋体" w:hAnsi="宋体" w:eastAsia="宋体" w:cs="宋体"/>
        </w:rPr>
        <w:t>5、中标供应商需无条件提供程序源代码（包含但不限于SDK，含未经编译的源代码和可执行源代码）。</w:t>
      </w:r>
    </w:p>
    <w:p>
      <w:pPr>
        <w:spacing w:line="360" w:lineRule="auto"/>
        <w:ind w:firstLine="480"/>
        <w:jc w:val="left"/>
        <w:rPr>
          <w:rFonts w:ascii="宋体" w:hAnsi="宋体" w:eastAsia="宋体" w:cs="宋体"/>
        </w:rPr>
      </w:pPr>
      <w:r>
        <w:rPr>
          <w:rFonts w:hint="eastAsia" w:ascii="宋体" w:hAnsi="宋体" w:eastAsia="宋体" w:cs="宋体"/>
        </w:rPr>
        <w:t>6、在本项目完成上述项目初步验收、试运行、验收测评、等保差距测评并通过备案后，按政府信息化主管部门对采购人信息化项目的审核文件，项目终验由政府信息化主管部门按《广州市政务信息化项目终验实施细则》的原则进行，中标供应商有义务配合采购人做好项目终验的相关工作。</w:t>
      </w:r>
    </w:p>
    <w:p>
      <w:pPr>
        <w:spacing w:line="360" w:lineRule="auto"/>
        <w:ind w:firstLine="480"/>
        <w:jc w:val="left"/>
        <w:rPr>
          <w:rFonts w:ascii="宋体" w:hAnsi="宋体" w:eastAsia="宋体" w:cs="宋体"/>
        </w:rPr>
      </w:pPr>
      <w:r>
        <w:rPr>
          <w:rFonts w:hint="eastAsia" w:ascii="宋体" w:hAnsi="宋体" w:eastAsia="宋体" w:cs="宋体"/>
        </w:rPr>
        <w:t>7、为保证项目顺利通过广州市政府信息化主管部门组织的终验，中标供应商必须承诺：项目及所投产品能通过由采购人招标确定的第三方机构的验收测评、符合性检查及项目终验。</w:t>
      </w:r>
    </w:p>
    <w:p>
      <w:pPr>
        <w:spacing w:line="360" w:lineRule="auto"/>
        <w:ind w:firstLine="480"/>
        <w:jc w:val="left"/>
        <w:rPr>
          <w:rFonts w:ascii="宋体" w:hAnsi="宋体" w:eastAsia="宋体" w:cs="宋体"/>
        </w:rPr>
      </w:pPr>
      <w:r>
        <w:rPr>
          <w:rFonts w:hint="eastAsia" w:ascii="宋体" w:hAnsi="宋体" w:eastAsia="宋体" w:cs="宋体"/>
        </w:rPr>
        <w:t>8、项目在通过终验后，中标供应商必须在合同规定时间内，将招标范围内所界定的工作完成。中标供应商需将所有项目成果交付给采购人，包括但不限于以下文件：</w:t>
      </w:r>
    </w:p>
    <w:p>
      <w:pPr>
        <w:spacing w:line="360" w:lineRule="auto"/>
        <w:ind w:firstLine="480"/>
        <w:jc w:val="left"/>
        <w:rPr>
          <w:rFonts w:ascii="宋体" w:hAnsi="宋体" w:eastAsia="宋体" w:cs="宋体"/>
        </w:rPr>
      </w:pPr>
      <w:r>
        <w:rPr>
          <w:rFonts w:hint="eastAsia" w:ascii="宋体" w:hAnsi="宋体" w:eastAsia="宋体" w:cs="宋体"/>
        </w:rPr>
        <w:t>1. 确保系统正常运行所需的管理及维护的技术文件：</w:t>
      </w:r>
    </w:p>
    <w:p>
      <w:pPr>
        <w:spacing w:line="360" w:lineRule="auto"/>
        <w:ind w:firstLine="480"/>
        <w:jc w:val="left"/>
        <w:rPr>
          <w:rFonts w:ascii="宋体" w:hAnsi="宋体" w:eastAsia="宋体" w:cs="宋体"/>
        </w:rPr>
      </w:pPr>
      <w:r>
        <w:rPr>
          <w:rFonts w:hint="eastAsia" w:ascii="宋体" w:hAnsi="宋体" w:eastAsia="宋体" w:cs="宋体"/>
        </w:rPr>
        <w:t>2. 用户手册；</w:t>
      </w:r>
    </w:p>
    <w:p>
      <w:pPr>
        <w:spacing w:line="360" w:lineRule="auto"/>
        <w:ind w:firstLine="480"/>
        <w:jc w:val="left"/>
        <w:rPr>
          <w:rFonts w:ascii="宋体" w:hAnsi="宋体" w:eastAsia="宋体" w:cs="宋体"/>
        </w:rPr>
      </w:pPr>
      <w:r>
        <w:rPr>
          <w:rFonts w:hint="eastAsia" w:ascii="宋体" w:hAnsi="宋体" w:eastAsia="宋体" w:cs="宋体"/>
        </w:rPr>
        <w:t>3. 项目移交清单；</w:t>
      </w:r>
    </w:p>
    <w:p>
      <w:pPr>
        <w:spacing w:line="360" w:lineRule="auto"/>
        <w:ind w:firstLine="480"/>
        <w:jc w:val="left"/>
        <w:rPr>
          <w:rFonts w:ascii="宋体" w:hAnsi="宋体" w:eastAsia="宋体" w:cs="宋体"/>
        </w:rPr>
      </w:pPr>
      <w:r>
        <w:rPr>
          <w:rFonts w:hint="eastAsia" w:ascii="宋体" w:hAnsi="宋体" w:eastAsia="宋体" w:cs="宋体"/>
        </w:rPr>
        <w:t>4. 前场设施竣工图。</w:t>
      </w:r>
    </w:p>
    <w:p>
      <w:pPr>
        <w:spacing w:line="360" w:lineRule="auto"/>
        <w:ind w:firstLine="480"/>
        <w:jc w:val="left"/>
        <w:rPr>
          <w:rFonts w:ascii="宋体" w:hAnsi="宋体" w:eastAsia="宋体" w:cs="宋体"/>
        </w:rPr>
      </w:pPr>
      <w:r>
        <w:rPr>
          <w:rFonts w:hint="eastAsia" w:ascii="宋体" w:hAnsi="宋体" w:eastAsia="宋体" w:cs="宋体"/>
        </w:rPr>
        <w:t>所有资料包括完备的设计文档、功能说明、使用手册等。所有资料以电子文档（光盘形式）和纸质形式各一份。中标供应商应当保证交付给采购人的项目成果不侵犯任何第三方的合法权益。如因此发生技术侵权纠纷的，由此造成的所有责任和费用均由中标供应商承担，与采购人无关。</w:t>
      </w:r>
      <w:bookmarkStart w:id="71" w:name="_Toc16735"/>
      <w:bookmarkStart w:id="72" w:name="_Toc24890"/>
      <w:bookmarkStart w:id="73" w:name="_Toc2554"/>
      <w:bookmarkStart w:id="74" w:name="_Toc32442"/>
      <w:bookmarkStart w:id="75" w:name="_Toc28054"/>
      <w:bookmarkStart w:id="76" w:name="_Toc29464"/>
      <w:bookmarkStart w:id="77" w:name="_Toc2575"/>
      <w:bookmarkStart w:id="78" w:name="_Toc7214"/>
      <w:bookmarkStart w:id="79" w:name="_Toc12910"/>
      <w:bookmarkStart w:id="80" w:name="_Toc17628"/>
      <w:bookmarkStart w:id="81" w:name="_Toc10166"/>
    </w:p>
    <w:p>
      <w:pPr>
        <w:pStyle w:val="5"/>
        <w:rPr>
          <w:rFonts w:ascii="宋体" w:hAnsi="宋体" w:eastAsia="宋体" w:cs="宋体"/>
          <w:sz w:val="28"/>
          <w:szCs w:val="36"/>
        </w:rPr>
      </w:pPr>
      <w:r>
        <w:rPr>
          <w:rFonts w:hint="eastAsia" w:ascii="宋体" w:hAnsi="宋体" w:eastAsia="宋体" w:cs="宋体"/>
          <w:sz w:val="28"/>
          <w:szCs w:val="36"/>
        </w:rPr>
        <w:t>项目培训要求</w:t>
      </w:r>
      <w:bookmarkEnd w:id="71"/>
      <w:bookmarkEnd w:id="72"/>
      <w:bookmarkEnd w:id="73"/>
      <w:bookmarkEnd w:id="74"/>
      <w:bookmarkEnd w:id="75"/>
      <w:bookmarkEnd w:id="76"/>
      <w:bookmarkEnd w:id="77"/>
      <w:bookmarkEnd w:id="78"/>
      <w:bookmarkEnd w:id="79"/>
      <w:bookmarkEnd w:id="80"/>
      <w:bookmarkEnd w:id="81"/>
    </w:p>
    <w:p>
      <w:pPr>
        <w:spacing w:line="360" w:lineRule="auto"/>
        <w:ind w:firstLine="480"/>
        <w:jc w:val="left"/>
        <w:rPr>
          <w:rFonts w:ascii="宋体" w:hAnsi="宋体" w:eastAsia="宋体" w:cs="宋体"/>
        </w:rPr>
      </w:pPr>
      <w:r>
        <w:rPr>
          <w:rFonts w:hint="eastAsia" w:ascii="宋体" w:hAnsi="宋体" w:eastAsia="宋体" w:cs="宋体"/>
        </w:rPr>
        <w:t>中标供应商必须提供相应的本项目的软硬件技术、系统操作等方面的培训。有关应用软件的操作培训课程，培训应该在系统运作前完成。中标供应商须在响应文件中提出全面、详细的培训课程以及时间表交给采购人，并在合同签订后征得采购人和监理同意后实施。</w:t>
      </w:r>
    </w:p>
    <w:p>
      <w:pPr>
        <w:spacing w:line="360" w:lineRule="auto"/>
        <w:ind w:firstLine="480"/>
        <w:jc w:val="left"/>
        <w:rPr>
          <w:rFonts w:ascii="宋体" w:hAnsi="宋体" w:eastAsia="宋体" w:cs="宋体"/>
        </w:rPr>
      </w:pPr>
      <w:r>
        <w:rPr>
          <w:rFonts w:hint="eastAsia" w:ascii="宋体" w:hAnsi="宋体" w:eastAsia="宋体" w:cs="宋体"/>
        </w:rPr>
        <w:t>中标供应商在实施过程中提供全面的培训，包括面向系统管理员和业务人员的相应的培训、配置管理和系统维护培训。中标供应商将详细的培训课程以及时间表交给采购人，最后以采购人认可为准。由此产生的一切费用均由中标供应商承担。</w:t>
      </w:r>
    </w:p>
    <w:p>
      <w:pPr>
        <w:spacing w:line="360" w:lineRule="auto"/>
        <w:ind w:firstLine="480"/>
        <w:jc w:val="left"/>
        <w:rPr>
          <w:rFonts w:ascii="宋体" w:hAnsi="宋体" w:eastAsia="宋体" w:cs="宋体"/>
        </w:rPr>
      </w:pPr>
      <w:r>
        <w:rPr>
          <w:rFonts w:hint="eastAsia" w:ascii="宋体" w:hAnsi="宋体" w:eastAsia="宋体" w:cs="宋体"/>
        </w:rPr>
        <w:t>在运维期根据采购人要求不定时对客服人员及泊车管理人员进行操作系统培训，培训内容主要针对系统操作、系统常见问题以及对应的解决办法等，并提供操作指引。</w:t>
      </w:r>
    </w:p>
    <w:p>
      <w:pPr>
        <w:spacing w:line="360" w:lineRule="auto"/>
        <w:ind w:firstLine="480"/>
        <w:jc w:val="left"/>
        <w:rPr>
          <w:rFonts w:ascii="宋体" w:hAnsi="宋体" w:eastAsia="宋体" w:cs="宋体"/>
        </w:rPr>
      </w:pPr>
      <w:r>
        <w:rPr>
          <w:rFonts w:hint="eastAsia" w:ascii="宋体" w:hAnsi="宋体" w:eastAsia="宋体" w:cs="宋体"/>
        </w:rPr>
        <w:t>对于所有培训，中标供应商必须派出具有相应专业资格和实际工作、教育经验的技术人员进行培训，主要培训教员应至少具有三年的相关培训经验，培训所使用的语言必须是中文，否则中标供应商必须提供相应的翻译。</w:t>
      </w:r>
    </w:p>
    <w:p>
      <w:pPr>
        <w:spacing w:line="360" w:lineRule="auto"/>
        <w:ind w:firstLine="480"/>
        <w:jc w:val="left"/>
        <w:rPr>
          <w:rFonts w:ascii="宋体" w:hAnsi="宋体" w:eastAsia="宋体" w:cs="宋体"/>
        </w:rPr>
      </w:pPr>
      <w:r>
        <w:rPr>
          <w:rFonts w:hint="eastAsia" w:ascii="宋体" w:hAnsi="宋体" w:eastAsia="宋体" w:cs="宋体"/>
        </w:rPr>
        <w:t>培训项目结束之时，安排学员进行培训测试，以检验学员对系统的基本操作能力和掌握水平；同时学员也可对整个培训项目作出评价，当学员普遍反映对培训课程不满意时，采购人可要求中标供应商重新安排培训，并承担费用。</w:t>
      </w:r>
    </w:p>
    <w:p>
      <w:pPr>
        <w:spacing w:line="360" w:lineRule="auto"/>
        <w:ind w:firstLine="480"/>
        <w:jc w:val="left"/>
        <w:rPr>
          <w:rFonts w:ascii="宋体" w:hAnsi="宋体" w:eastAsia="宋体" w:cs="宋体"/>
        </w:rPr>
      </w:pPr>
      <w:r>
        <w:rPr>
          <w:rFonts w:hint="eastAsia" w:ascii="宋体" w:hAnsi="宋体" w:eastAsia="宋体" w:cs="宋体"/>
        </w:rPr>
        <w:t>中标供应商必须为所有被培训人员提供文字资料和讲义等培训教材，培训教材必须以印刷品形式提供，费用由中标供应商承担。所有的资料必须是中文书写。</w:t>
      </w:r>
    </w:p>
    <w:p>
      <w:pPr>
        <w:spacing w:line="360" w:lineRule="auto"/>
        <w:ind w:firstLine="480"/>
        <w:jc w:val="left"/>
        <w:rPr>
          <w:rFonts w:ascii="宋体" w:hAnsi="宋体" w:eastAsia="宋体" w:cs="宋体"/>
        </w:rPr>
      </w:pPr>
      <w:r>
        <w:rPr>
          <w:rFonts w:hint="eastAsia" w:ascii="宋体" w:hAnsi="宋体" w:eastAsia="宋体" w:cs="宋体"/>
        </w:rPr>
        <w:t>中标供应商须提供详细的培训计划：对采购人的人员培训方式分两类，一类为业务人员培训，培训采用集中授课、现场演示和辅助操作三种培训方式；另一类为技术人员培训，培训采用理论培训和实际操作相结合的方式。</w:t>
      </w:r>
    </w:p>
    <w:p>
      <w:pPr>
        <w:spacing w:line="360" w:lineRule="auto"/>
        <w:ind w:firstLine="480"/>
        <w:jc w:val="left"/>
        <w:rPr>
          <w:rFonts w:ascii="宋体" w:hAnsi="宋体" w:eastAsia="宋体" w:cs="宋体"/>
        </w:rPr>
      </w:pPr>
      <w:r>
        <w:rPr>
          <w:rFonts w:hint="eastAsia" w:ascii="宋体" w:hAnsi="宋体" w:eastAsia="宋体" w:cs="宋体"/>
        </w:rPr>
        <w:t>培训方式：集中授课、现场演示和辅助操作。</w:t>
      </w:r>
    </w:p>
    <w:p>
      <w:pPr>
        <w:spacing w:line="360" w:lineRule="auto"/>
        <w:ind w:firstLine="480"/>
        <w:jc w:val="left"/>
        <w:rPr>
          <w:rFonts w:ascii="宋体" w:hAnsi="宋体" w:eastAsia="宋体" w:cs="宋体"/>
        </w:rPr>
      </w:pPr>
      <w:r>
        <w:rPr>
          <w:rFonts w:hint="eastAsia" w:ascii="宋体" w:hAnsi="宋体" w:eastAsia="宋体" w:cs="宋体"/>
        </w:rPr>
        <w:t>培训主要面向的对象如下：</w:t>
      </w:r>
    </w:p>
    <w:p>
      <w:pPr>
        <w:spacing w:line="360" w:lineRule="auto"/>
        <w:ind w:firstLine="480"/>
        <w:jc w:val="left"/>
        <w:rPr>
          <w:rFonts w:ascii="宋体" w:hAnsi="宋体" w:eastAsia="宋体" w:cs="宋体"/>
        </w:rPr>
      </w:pPr>
      <w:r>
        <w:rPr>
          <w:rFonts w:hint="eastAsia" w:ascii="宋体" w:hAnsi="宋体" w:eastAsia="宋体" w:cs="宋体"/>
        </w:rPr>
        <w:t>使用培训：主要面向采购人的使用相关人员的用户进行软硬件系统使用培训，掌握本项目软硬件系统的使用。</w:t>
      </w:r>
    </w:p>
    <w:p>
      <w:pPr>
        <w:spacing w:line="360" w:lineRule="auto"/>
        <w:ind w:firstLine="480"/>
        <w:jc w:val="left"/>
        <w:rPr>
          <w:rFonts w:ascii="宋体" w:hAnsi="宋体" w:eastAsia="宋体" w:cs="宋体"/>
        </w:rPr>
      </w:pPr>
      <w:r>
        <w:rPr>
          <w:rFonts w:hint="eastAsia" w:ascii="宋体" w:hAnsi="宋体" w:eastAsia="宋体" w:cs="宋体"/>
        </w:rPr>
        <w:t>运行管理培训：主要面向业务管理人员，达到能独立进行管理、故障处理、日常测试和维护等工作的目的，应进行系统的技术培训，以保证所建设的系统能够正常、安全、平稳地运行。</w:t>
      </w:r>
    </w:p>
    <w:p>
      <w:pPr>
        <w:pStyle w:val="5"/>
        <w:rPr>
          <w:rFonts w:ascii="宋体" w:hAnsi="宋体" w:eastAsia="宋体" w:cs="宋体"/>
          <w:sz w:val="28"/>
          <w:szCs w:val="36"/>
        </w:rPr>
      </w:pPr>
      <w:bookmarkStart w:id="82" w:name="_Toc16164"/>
      <w:bookmarkStart w:id="83" w:name="_Toc3613"/>
      <w:bookmarkStart w:id="84" w:name="_Toc21702"/>
      <w:bookmarkStart w:id="85" w:name="_Toc2283"/>
      <w:bookmarkStart w:id="86" w:name="_Toc2882"/>
      <w:bookmarkStart w:id="87" w:name="_Toc22797"/>
      <w:bookmarkStart w:id="88" w:name="_Toc6567"/>
      <w:bookmarkStart w:id="89" w:name="_Toc2582"/>
      <w:bookmarkStart w:id="90" w:name="_Toc14722"/>
      <w:bookmarkStart w:id="91" w:name="_Toc2005"/>
      <w:bookmarkStart w:id="92" w:name="_Toc19448"/>
      <w:r>
        <w:rPr>
          <w:rFonts w:hint="eastAsia" w:ascii="宋体" w:hAnsi="宋体" w:eastAsia="宋体" w:cs="宋体"/>
          <w:sz w:val="28"/>
          <w:szCs w:val="36"/>
        </w:rPr>
        <w:t>应急服务及项目安全要求</w:t>
      </w:r>
      <w:bookmarkEnd w:id="82"/>
      <w:bookmarkEnd w:id="83"/>
      <w:bookmarkEnd w:id="84"/>
      <w:bookmarkEnd w:id="85"/>
      <w:bookmarkEnd w:id="86"/>
      <w:bookmarkEnd w:id="87"/>
      <w:bookmarkEnd w:id="88"/>
      <w:bookmarkEnd w:id="89"/>
      <w:bookmarkEnd w:id="90"/>
      <w:bookmarkEnd w:id="91"/>
      <w:bookmarkEnd w:id="92"/>
    </w:p>
    <w:p>
      <w:pPr>
        <w:spacing w:line="360" w:lineRule="auto"/>
        <w:ind w:firstLine="480"/>
        <w:jc w:val="left"/>
        <w:rPr>
          <w:rFonts w:ascii="宋体" w:hAnsi="宋体" w:eastAsia="宋体" w:cs="宋体"/>
        </w:rPr>
      </w:pPr>
      <w:r>
        <w:rPr>
          <w:rFonts w:hint="eastAsia" w:ascii="宋体" w:hAnsi="宋体" w:eastAsia="宋体" w:cs="宋体"/>
        </w:rPr>
        <w:t>（1）需提供免费维保期内的应急预案</w:t>
      </w:r>
    </w:p>
    <w:p>
      <w:pPr>
        <w:spacing w:line="360" w:lineRule="auto"/>
        <w:ind w:firstLine="480"/>
        <w:jc w:val="left"/>
        <w:rPr>
          <w:rFonts w:ascii="宋体" w:hAnsi="宋体" w:eastAsia="宋体" w:cs="宋体"/>
        </w:rPr>
      </w:pPr>
      <w:r>
        <w:rPr>
          <w:rFonts w:hint="eastAsia" w:ascii="宋体" w:hAnsi="宋体" w:eastAsia="宋体" w:cs="宋体"/>
        </w:rPr>
        <w:t>（2）协助完成应急演练</w:t>
      </w:r>
    </w:p>
    <w:p>
      <w:pPr>
        <w:spacing w:line="360" w:lineRule="auto"/>
        <w:ind w:firstLine="480"/>
        <w:jc w:val="left"/>
        <w:rPr>
          <w:rFonts w:ascii="宋体" w:hAnsi="宋体" w:eastAsia="宋体" w:cs="宋体"/>
        </w:rPr>
      </w:pPr>
      <w:r>
        <w:rPr>
          <w:rFonts w:hint="eastAsia" w:ascii="宋体" w:hAnsi="宋体" w:eastAsia="宋体" w:cs="宋体"/>
        </w:rPr>
        <w:t>（3）应急事件处置</w:t>
      </w:r>
    </w:p>
    <w:p>
      <w:pPr>
        <w:spacing w:line="360" w:lineRule="auto"/>
        <w:ind w:firstLine="480"/>
        <w:jc w:val="left"/>
        <w:rPr>
          <w:rFonts w:ascii="宋体" w:hAnsi="宋体" w:eastAsia="宋体" w:cs="宋体"/>
        </w:rPr>
      </w:pPr>
      <w:r>
        <w:rPr>
          <w:rFonts w:hint="eastAsia" w:ascii="宋体" w:hAnsi="宋体" w:eastAsia="宋体" w:cs="宋体"/>
        </w:rPr>
        <w:t>（4）在重大节假日（春节、五一、国庆等）或重大活动前及举行期间提供系统例行巡检，及时解决巡检中发现的问题，预防系统故障的发生。</w:t>
      </w:r>
    </w:p>
    <w:p>
      <w:pPr>
        <w:spacing w:line="360" w:lineRule="auto"/>
        <w:ind w:firstLine="480"/>
        <w:jc w:val="left"/>
        <w:rPr>
          <w:rFonts w:ascii="宋体" w:hAnsi="宋体" w:eastAsia="宋体" w:cs="宋体"/>
        </w:rPr>
      </w:pPr>
      <w:r>
        <w:rPr>
          <w:rFonts w:hint="eastAsia" w:ascii="宋体" w:hAnsi="宋体" w:eastAsia="宋体" w:cs="宋体"/>
        </w:rPr>
        <w:t>（5）对相关部门组织的攻防演练，提供技术支持服务</w:t>
      </w:r>
    </w:p>
    <w:p>
      <w:pPr>
        <w:spacing w:line="360" w:lineRule="auto"/>
        <w:ind w:firstLine="480"/>
        <w:jc w:val="left"/>
        <w:rPr>
          <w:rFonts w:ascii="宋体" w:hAnsi="宋体" w:eastAsia="宋体" w:cs="宋体"/>
        </w:rPr>
      </w:pPr>
      <w:r>
        <w:rPr>
          <w:rFonts w:hint="eastAsia" w:ascii="宋体" w:hAnsi="宋体" w:eastAsia="宋体" w:cs="宋体"/>
        </w:rPr>
        <w:t>（6）对信息安全等级保护测评提供技术支持服务</w:t>
      </w:r>
    </w:p>
    <w:p>
      <w:pPr>
        <w:spacing w:line="360" w:lineRule="auto"/>
        <w:ind w:firstLine="480"/>
        <w:jc w:val="left"/>
        <w:rPr>
          <w:rFonts w:ascii="宋体" w:hAnsi="宋体" w:eastAsia="宋体" w:cs="宋体"/>
        </w:rPr>
      </w:pPr>
      <w:r>
        <w:rPr>
          <w:rFonts w:hint="eastAsia" w:ascii="宋体" w:hAnsi="宋体" w:eastAsia="宋体" w:cs="宋体"/>
        </w:rPr>
        <w:t>（5）应对前端采集设备大面积（1条或以上路段整体故障，或故障涉及泊位50个以上）故障（包含但不限于电力、网络、设备等方面故障），提供应急技术保障方案。</w:t>
      </w:r>
    </w:p>
    <w:p>
      <w:pPr>
        <w:spacing w:line="360" w:lineRule="auto"/>
        <w:ind w:firstLine="480"/>
        <w:jc w:val="left"/>
        <w:rPr>
          <w:rFonts w:ascii="宋体" w:hAnsi="宋体" w:eastAsia="宋体" w:cs="宋体"/>
        </w:rPr>
      </w:pPr>
      <w:r>
        <w:rPr>
          <w:rFonts w:hint="eastAsia" w:ascii="宋体" w:hAnsi="宋体" w:eastAsia="宋体" w:cs="宋体"/>
        </w:rPr>
        <w:t>并提供应急技术演示，应急技术应具备以下特点：</w:t>
      </w:r>
    </w:p>
    <w:p>
      <w:pPr>
        <w:spacing w:line="360" w:lineRule="auto"/>
        <w:ind w:firstLine="480"/>
        <w:jc w:val="left"/>
        <w:rPr>
          <w:rFonts w:ascii="宋体" w:hAnsi="宋体" w:eastAsia="宋体" w:cs="宋体"/>
        </w:rPr>
      </w:pPr>
      <w:r>
        <w:rPr>
          <w:rFonts w:hint="eastAsia" w:ascii="宋体" w:hAnsi="宋体" w:eastAsia="宋体" w:cs="宋体"/>
        </w:rPr>
        <w:t>1、方案覆盖面广：应急技术方案可以应付突发的、不定点的大面积泊位故障；</w:t>
      </w:r>
    </w:p>
    <w:p>
      <w:pPr>
        <w:spacing w:line="360" w:lineRule="auto"/>
        <w:ind w:firstLine="480"/>
        <w:jc w:val="left"/>
        <w:rPr>
          <w:rFonts w:ascii="宋体" w:hAnsi="宋体" w:eastAsia="宋体" w:cs="宋体"/>
        </w:rPr>
      </w:pPr>
      <w:r>
        <w:rPr>
          <w:rFonts w:hint="eastAsia" w:ascii="宋体" w:hAnsi="宋体" w:eastAsia="宋体" w:cs="宋体"/>
        </w:rPr>
        <w:t>2、响应时间短：应急技术方案实施响应时间小于0.5小时；</w:t>
      </w:r>
    </w:p>
    <w:p>
      <w:pPr>
        <w:spacing w:line="360" w:lineRule="auto"/>
        <w:ind w:firstLine="480"/>
        <w:jc w:val="left"/>
        <w:rPr>
          <w:rFonts w:ascii="宋体" w:hAnsi="宋体" w:eastAsia="宋体" w:cs="宋体"/>
        </w:rPr>
      </w:pPr>
      <w:r>
        <w:rPr>
          <w:rFonts w:hint="eastAsia" w:ascii="宋体" w:hAnsi="宋体" w:eastAsia="宋体" w:cs="宋体"/>
        </w:rPr>
        <w:t>3、车牌识别率高：应急技术方案的整体车牌识别率不低于90%；</w:t>
      </w:r>
    </w:p>
    <w:p>
      <w:pPr>
        <w:spacing w:line="360" w:lineRule="auto"/>
        <w:ind w:firstLine="480"/>
        <w:jc w:val="left"/>
        <w:rPr>
          <w:rFonts w:ascii="宋体" w:hAnsi="宋体" w:eastAsia="宋体" w:cs="宋体"/>
        </w:rPr>
      </w:pPr>
      <w:r>
        <w:rPr>
          <w:rFonts w:hint="eastAsia" w:ascii="宋体" w:hAnsi="宋体" w:eastAsia="宋体" w:cs="宋体"/>
        </w:rPr>
        <w:t>4、经济性优：应急技术方案尽量减少应急技术所需要耗费的人力与物力；</w:t>
      </w:r>
    </w:p>
    <w:p>
      <w:pPr>
        <w:spacing w:line="360" w:lineRule="auto"/>
        <w:ind w:firstLine="480"/>
        <w:jc w:val="left"/>
        <w:rPr>
          <w:rFonts w:ascii="宋体" w:hAnsi="宋体" w:eastAsia="宋体" w:cs="宋体"/>
        </w:rPr>
      </w:pPr>
      <w:r>
        <w:rPr>
          <w:rFonts w:hint="eastAsia" w:ascii="宋体" w:hAnsi="宋体" w:eastAsia="宋体" w:cs="宋体"/>
        </w:rPr>
        <w:t>5、可持续性强：应急技术方案支持不小于全天收费时段的故障场景。</w:t>
      </w:r>
    </w:p>
    <w:p>
      <w:pPr>
        <w:pStyle w:val="5"/>
        <w:rPr>
          <w:rFonts w:ascii="宋体" w:hAnsi="宋体" w:eastAsia="宋体" w:cs="宋体"/>
          <w:sz w:val="28"/>
          <w:szCs w:val="36"/>
        </w:rPr>
      </w:pPr>
      <w:bookmarkStart w:id="93" w:name="_Toc6332"/>
      <w:bookmarkStart w:id="94" w:name="_Toc23373"/>
      <w:bookmarkStart w:id="95" w:name="_Toc28149"/>
      <w:bookmarkStart w:id="96" w:name="_Toc26416"/>
      <w:bookmarkStart w:id="97" w:name="_Toc26926"/>
      <w:bookmarkStart w:id="98" w:name="_Toc25633"/>
      <w:bookmarkStart w:id="99" w:name="_Toc23437"/>
      <w:bookmarkStart w:id="100" w:name="_Toc108"/>
      <w:bookmarkStart w:id="101" w:name="_Toc8900"/>
      <w:bookmarkStart w:id="102" w:name="_Toc9426"/>
      <w:bookmarkStart w:id="103" w:name="_Toc18063"/>
      <w:r>
        <w:rPr>
          <w:rFonts w:hint="eastAsia" w:ascii="宋体" w:hAnsi="宋体" w:eastAsia="宋体" w:cs="宋体"/>
          <w:sz w:val="28"/>
          <w:szCs w:val="36"/>
          <w:lang w:val="en-US" w:eastAsia="zh-CN"/>
        </w:rPr>
        <w:t>运维</w:t>
      </w:r>
      <w:r>
        <w:rPr>
          <w:rFonts w:hint="eastAsia" w:ascii="宋体" w:hAnsi="宋体" w:eastAsia="宋体" w:cs="宋体"/>
          <w:sz w:val="28"/>
          <w:szCs w:val="36"/>
        </w:rPr>
        <w:t>服务要求</w:t>
      </w:r>
      <w:bookmarkEnd w:id="93"/>
      <w:bookmarkEnd w:id="94"/>
      <w:bookmarkEnd w:id="95"/>
      <w:bookmarkEnd w:id="96"/>
      <w:bookmarkEnd w:id="97"/>
      <w:bookmarkEnd w:id="98"/>
      <w:bookmarkEnd w:id="99"/>
      <w:bookmarkEnd w:id="100"/>
      <w:bookmarkEnd w:id="101"/>
      <w:bookmarkEnd w:id="102"/>
      <w:bookmarkEnd w:id="103"/>
    </w:p>
    <w:p>
      <w:pPr>
        <w:spacing w:line="360" w:lineRule="auto"/>
        <w:ind w:firstLine="480"/>
        <w:jc w:val="left"/>
        <w:rPr>
          <w:rFonts w:ascii="宋体" w:hAnsi="宋体" w:eastAsia="宋体" w:cs="宋体"/>
        </w:rPr>
      </w:pPr>
      <w:r>
        <w:rPr>
          <w:rFonts w:hint="eastAsia" w:ascii="宋体" w:hAnsi="宋体" w:eastAsia="宋体" w:cs="宋体"/>
        </w:rPr>
        <w:t>投标人必须根据本次招标文件所制定的目标和范围，提出相应的售后服务方案，并作为投标文件的一部分提交。以下服务需求的费用，已包括在此次项目中，在履行服务需求中产生的所有额外费用均由中标供应商承担，采购人不再支付合同价以外的额外费用。各有资格的供应商投标之前应仔细审查，投标视为完全履行采购人提出的服务需求，未能履行的视为违约，根据实际情况承担相应的赔偿损失。</w:t>
      </w:r>
    </w:p>
    <w:p>
      <w:pPr>
        <w:spacing w:line="360" w:lineRule="auto"/>
        <w:ind w:firstLine="480"/>
        <w:jc w:val="left"/>
        <w:rPr>
          <w:rFonts w:ascii="宋体" w:hAnsi="宋体" w:eastAsia="宋体" w:cs="宋体"/>
        </w:rPr>
      </w:pPr>
      <w:r>
        <w:rPr>
          <w:rFonts w:hint="eastAsia" w:ascii="宋体" w:hAnsi="宋体" w:eastAsia="宋体" w:cs="宋体"/>
        </w:rPr>
        <w:t>1、基本要求</w:t>
      </w:r>
    </w:p>
    <w:p>
      <w:pPr>
        <w:spacing w:line="360" w:lineRule="auto"/>
        <w:ind w:firstLine="480"/>
        <w:jc w:val="left"/>
        <w:rPr>
          <w:rFonts w:ascii="宋体" w:hAnsi="宋体" w:eastAsia="宋体" w:cs="宋体"/>
        </w:rPr>
      </w:pPr>
      <w:r>
        <w:rPr>
          <w:rFonts w:hint="eastAsia" w:ascii="宋体" w:hAnsi="宋体" w:eastAsia="宋体" w:cs="宋体"/>
        </w:rPr>
        <w:t>维护期从通过项目终验之日起计算，自项目维护期起，本项目的所有建设内容</w:t>
      </w:r>
      <w:r>
        <w:rPr>
          <w:rFonts w:hint="eastAsia" w:ascii="宋体" w:hAnsi="宋体" w:eastAsia="宋体" w:cs="宋体"/>
          <w:lang w:val="en-US" w:eastAsia="zh-CN"/>
        </w:rPr>
        <w:t>运维</w:t>
      </w:r>
      <w:r>
        <w:rPr>
          <w:rFonts w:hint="eastAsia" w:ascii="宋体" w:hAnsi="宋体" w:eastAsia="宋体" w:cs="宋体"/>
        </w:rPr>
        <w:t>3年；</w:t>
      </w:r>
    </w:p>
    <w:p>
      <w:pPr>
        <w:spacing w:line="360" w:lineRule="auto"/>
        <w:ind w:firstLine="480"/>
        <w:jc w:val="left"/>
        <w:rPr>
          <w:rFonts w:ascii="宋体" w:hAnsi="宋体" w:eastAsia="宋体" w:cs="宋体"/>
        </w:rPr>
      </w:pPr>
      <w:r>
        <w:rPr>
          <w:rFonts w:hint="eastAsia" w:ascii="宋体" w:hAnsi="宋体" w:eastAsia="宋体" w:cs="宋体"/>
        </w:rPr>
        <w:t>中标供应商在的维护期内，维护内容为适应性维护和日常技术维护，保障系统正常运作，包括每月一次的巡检，并出具巡检报告；</w:t>
      </w:r>
    </w:p>
    <w:p>
      <w:pPr>
        <w:spacing w:line="360" w:lineRule="auto"/>
        <w:ind w:firstLine="480"/>
        <w:jc w:val="left"/>
        <w:rPr>
          <w:rFonts w:ascii="宋体" w:hAnsi="宋体" w:eastAsia="宋体" w:cs="宋体"/>
        </w:rPr>
      </w:pPr>
      <w:r>
        <w:rPr>
          <w:rFonts w:hint="eastAsia" w:ascii="宋体" w:hAnsi="宋体" w:eastAsia="宋体" w:cs="宋体"/>
        </w:rPr>
        <w:t>中标供应商在维护期内需提供不少于5人的驻场服务。</w:t>
      </w:r>
    </w:p>
    <w:p>
      <w:pPr>
        <w:spacing w:line="360" w:lineRule="auto"/>
        <w:ind w:firstLine="480"/>
        <w:jc w:val="left"/>
        <w:rPr>
          <w:rFonts w:ascii="宋体" w:hAnsi="宋体" w:eastAsia="宋体" w:cs="宋体"/>
        </w:rPr>
      </w:pPr>
      <w:r>
        <w:rPr>
          <w:rFonts w:hint="eastAsia" w:ascii="宋体" w:hAnsi="宋体" w:eastAsia="宋体" w:cs="宋体"/>
        </w:rPr>
        <w:t>如需整机送修，维修周期不超过2个工作日。无法修复的情况下，所更换的新设备产权属于采购人，性能不低于原设备；</w:t>
      </w:r>
    </w:p>
    <w:p>
      <w:pPr>
        <w:spacing w:line="360" w:lineRule="auto"/>
        <w:ind w:firstLine="480"/>
        <w:jc w:val="left"/>
        <w:rPr>
          <w:rFonts w:ascii="宋体" w:hAnsi="宋体" w:eastAsia="宋体" w:cs="宋体"/>
        </w:rPr>
      </w:pPr>
      <w:r>
        <w:rPr>
          <w:rFonts w:hint="eastAsia" w:ascii="宋体" w:hAnsi="宋体" w:eastAsia="宋体" w:cs="宋体"/>
        </w:rPr>
        <w:t>中标供应商须承诺维护期内因业务规则变更的系统功能更改，并提供版本升级和更新支持，中标供应商开发的软件在运维期间，如发现软件缺陷，应按照故障分级要求进行响应以及故障解决；进行系统维护、缺陷消除、模块或对象升级前必须经过测试环境测试，经采购人项目组验证和审核后，方能在生产系统中部署。</w:t>
      </w:r>
    </w:p>
    <w:p>
      <w:pPr>
        <w:spacing w:line="360" w:lineRule="auto"/>
        <w:ind w:firstLine="480"/>
        <w:jc w:val="left"/>
        <w:rPr>
          <w:rFonts w:ascii="宋体" w:hAnsi="宋体" w:eastAsia="宋体" w:cs="宋体"/>
        </w:rPr>
      </w:pPr>
      <w:r>
        <w:rPr>
          <w:rFonts w:hint="eastAsia" w:ascii="宋体" w:hAnsi="宋体" w:eastAsia="宋体" w:cs="宋体"/>
        </w:rPr>
        <w:t>中标供应商在维护期内，有责任配合增城区各镇街道路停车信息化建设项目平台的接入（开放平台系统接口，提供系统对接所需要的要求、参数标准）、各镇街停车场数据及广州市内有需求接入的所有政府单位的数据接入。</w:t>
      </w:r>
    </w:p>
    <w:p>
      <w:pPr>
        <w:spacing w:line="360" w:lineRule="auto"/>
        <w:ind w:firstLine="480"/>
        <w:jc w:val="left"/>
        <w:rPr>
          <w:rFonts w:ascii="宋体" w:hAnsi="宋体" w:eastAsia="宋体" w:cs="宋体"/>
        </w:rPr>
      </w:pPr>
      <w:r>
        <w:rPr>
          <w:rFonts w:hint="eastAsia" w:ascii="宋体" w:hAnsi="宋体" w:eastAsia="宋体" w:cs="宋体"/>
        </w:rPr>
        <w:t>成交供应商在服务期内，需按照采购人要求及规划完善系统平台功能，优化系统功能版块：</w:t>
      </w:r>
    </w:p>
    <w:p>
      <w:pPr>
        <w:numPr>
          <w:ilvl w:val="0"/>
          <w:numId w:val="9"/>
        </w:numPr>
        <w:spacing w:line="360" w:lineRule="auto"/>
        <w:ind w:hanging="5"/>
        <w:jc w:val="left"/>
        <w:rPr>
          <w:rFonts w:ascii="宋体" w:hAnsi="宋体" w:eastAsia="宋体" w:cs="宋体"/>
        </w:rPr>
      </w:pPr>
      <w:r>
        <w:rPr>
          <w:rFonts w:hint="eastAsia" w:ascii="宋体" w:hAnsi="宋体" w:eastAsia="宋体" w:cs="宋体"/>
        </w:rPr>
        <w:t>补丁及接口升级：当得知平台有需要进行补丁更新或者接口升级时，更新升级期间保证平台功能正常运行。</w:t>
      </w:r>
    </w:p>
    <w:p>
      <w:pPr>
        <w:numPr>
          <w:ilvl w:val="0"/>
          <w:numId w:val="9"/>
        </w:numPr>
        <w:spacing w:line="360" w:lineRule="auto"/>
        <w:ind w:hanging="5"/>
        <w:jc w:val="left"/>
        <w:rPr>
          <w:rFonts w:ascii="宋体" w:hAnsi="宋体" w:eastAsia="宋体" w:cs="宋体"/>
        </w:rPr>
      </w:pPr>
      <w:r>
        <w:rPr>
          <w:rFonts w:hint="eastAsia" w:ascii="宋体" w:hAnsi="宋体" w:eastAsia="宋体" w:cs="宋体"/>
        </w:rPr>
        <w:t>软件平台升级服务，根据采购人要求对平台系统升级，与公安局、城管局等有需要的所有广州市内政府部门单位免费系统对接实现数据共享。</w:t>
      </w:r>
    </w:p>
    <w:p>
      <w:pPr>
        <w:numPr>
          <w:ilvl w:val="0"/>
          <w:numId w:val="9"/>
        </w:numPr>
        <w:spacing w:line="360" w:lineRule="auto"/>
        <w:ind w:hanging="5"/>
        <w:jc w:val="left"/>
        <w:rPr>
          <w:rFonts w:ascii="宋体" w:hAnsi="宋体" w:eastAsia="宋体" w:cs="宋体"/>
        </w:rPr>
      </w:pPr>
      <w:r>
        <w:rPr>
          <w:rFonts w:hint="eastAsia" w:ascii="宋体" w:hAnsi="宋体" w:eastAsia="宋体" w:cs="宋体"/>
        </w:rPr>
        <w:t>针对系统相关适应性开展调整服务，流程优化、功能模块升级改造。</w:t>
      </w:r>
    </w:p>
    <w:p>
      <w:pPr>
        <w:numPr>
          <w:ilvl w:val="0"/>
          <w:numId w:val="9"/>
        </w:numPr>
        <w:spacing w:line="360" w:lineRule="auto"/>
        <w:ind w:hanging="5"/>
        <w:jc w:val="left"/>
        <w:rPr>
          <w:rFonts w:ascii="宋体" w:hAnsi="宋体" w:eastAsia="宋体" w:cs="宋体"/>
        </w:rPr>
      </w:pPr>
      <w:r>
        <w:rPr>
          <w:rFonts w:hint="eastAsia" w:ascii="宋体" w:hAnsi="宋体" w:eastAsia="宋体" w:cs="宋体"/>
        </w:rPr>
        <w:t>定时优化数据库、优化代码适应性。</w:t>
      </w:r>
    </w:p>
    <w:p>
      <w:pPr>
        <w:numPr>
          <w:ilvl w:val="0"/>
          <w:numId w:val="9"/>
        </w:numPr>
        <w:spacing w:line="360" w:lineRule="auto"/>
        <w:ind w:hanging="5"/>
        <w:jc w:val="left"/>
        <w:rPr>
          <w:rFonts w:ascii="宋体" w:hAnsi="宋体" w:eastAsia="宋体" w:cs="宋体"/>
        </w:rPr>
      </w:pPr>
      <w:r>
        <w:rPr>
          <w:rFonts w:hint="eastAsia" w:ascii="宋体" w:hAnsi="宋体" w:eastAsia="宋体" w:cs="宋体"/>
        </w:rPr>
        <w:t>定期检测系统网络安全，确保系统运行流畅及避免遭受黑客和病毒等的攻击。</w:t>
      </w:r>
    </w:p>
    <w:p>
      <w:pPr>
        <w:spacing w:line="360" w:lineRule="auto"/>
        <w:ind w:firstLine="480"/>
        <w:jc w:val="left"/>
        <w:rPr>
          <w:rFonts w:hint="eastAsia" w:ascii="宋体" w:hAnsi="宋体" w:eastAsia="宋体" w:cs="宋体"/>
        </w:rPr>
      </w:pPr>
      <w:r>
        <w:rPr>
          <w:rFonts w:hint="eastAsia" w:ascii="宋体" w:hAnsi="宋体" w:eastAsia="宋体" w:cs="宋体"/>
        </w:rPr>
        <w:t>成交供应商在服务期内，负责对遮挡高位视频摄像头等硬件设备、影响正常录入泊位信息的树枝树叶及其他障碍物进行及时修剪和迁移，修剪前应与区林业局等有关单位协调沟通，做好树枝修剪等工作的审批。</w:t>
      </w:r>
    </w:p>
    <w:p>
      <w:pPr>
        <w:spacing w:line="360" w:lineRule="auto"/>
        <w:ind w:firstLine="480"/>
        <w:jc w:val="left"/>
        <w:rPr>
          <w:rFonts w:hint="eastAsia" w:ascii="宋体" w:hAnsi="宋体" w:eastAsia="宋体" w:cs="宋体"/>
          <w:lang w:eastAsia="zh-CN"/>
        </w:rPr>
      </w:pPr>
      <w:r>
        <w:rPr>
          <w:rFonts w:hint="eastAsia" w:ascii="宋体" w:hAnsi="宋体" w:eastAsia="宋体" w:cs="宋体"/>
        </w:rPr>
        <w:t>成交供应商在服务期内，负责增城区道路停车指挥中心的消防安全，保证消防系统及其各附属设备的正常使用，包括完善消防安全系统、配备充足的消防设备及巡查人员进行指挥中心的消防安全巡查工作、保证消防设备完整及系统的消防安全、定期对消防设备进行保养、补充无法正常使用或损坏的消防设备</w:t>
      </w:r>
      <w:r>
        <w:rPr>
          <w:rFonts w:hint="eastAsia" w:ascii="宋体" w:hAnsi="宋体" w:eastAsia="宋体" w:cs="宋体"/>
          <w:lang w:eastAsia="zh-CN"/>
        </w:rPr>
        <w:t>。</w:t>
      </w:r>
    </w:p>
    <w:p>
      <w:pPr>
        <w:spacing w:line="360" w:lineRule="auto"/>
        <w:ind w:firstLine="480"/>
        <w:jc w:val="left"/>
        <w:rPr>
          <w:rFonts w:hint="eastAsia" w:ascii="宋体" w:hAnsi="宋体" w:eastAsia="宋体" w:cs="宋体"/>
          <w:lang w:eastAsia="zh-CN"/>
        </w:rPr>
      </w:pPr>
      <w:r>
        <w:rPr>
          <w:rFonts w:hint="eastAsia" w:ascii="宋体" w:hAnsi="宋体" w:eastAsia="宋体" w:cs="宋体"/>
        </w:rPr>
        <w:t>成交供应商在服务期内，负责所有</w:t>
      </w:r>
      <w:r>
        <w:rPr>
          <w:rFonts w:hint="eastAsia" w:ascii="宋体" w:hAnsi="宋体" w:eastAsia="宋体" w:cs="宋体"/>
          <w:lang w:val="en-US" w:eastAsia="zh-CN"/>
        </w:rPr>
        <w:t>建设</w:t>
      </w:r>
      <w:r>
        <w:rPr>
          <w:rFonts w:hint="eastAsia" w:ascii="宋体" w:hAnsi="宋体" w:eastAsia="宋体" w:cs="宋体"/>
        </w:rPr>
        <w:t>设备的漏电安全检查，</w:t>
      </w:r>
      <w:r>
        <w:rPr>
          <w:rFonts w:hint="eastAsia" w:ascii="宋体" w:hAnsi="宋体" w:eastAsia="宋体" w:cs="宋体"/>
          <w:lang w:val="en-US" w:eastAsia="zh-CN"/>
        </w:rPr>
        <w:t>检查人员需持证上岗，</w:t>
      </w:r>
      <w:r>
        <w:rPr>
          <w:rFonts w:hint="eastAsia" w:ascii="宋体" w:hAnsi="宋体" w:eastAsia="宋体" w:cs="宋体"/>
        </w:rPr>
        <w:t>定期每周对设备进行漏电检查，保证用电安全，提供检查报告。成交供应商应及时抢修各种原因导致的系统断电故障，收费时段一小时内抢修恢复供电，非收费时段三小时内抢修恢复供电，保证停车收费项目的正常运行。未按规定时间内恢复供电的，扣除服务费2000元/次，归属电网责任的除外。对指挥中心的发电机每个月试运行一次及以上，确保发电机随时处于备用状态并状态良好，确保指挥中心供电正常，试运行以及系统保障期间的发电费用由成交供应商承担。</w:t>
      </w:r>
    </w:p>
    <w:p>
      <w:pPr>
        <w:spacing w:line="360" w:lineRule="auto"/>
        <w:ind w:firstLine="480"/>
        <w:jc w:val="left"/>
        <w:rPr>
          <w:rFonts w:ascii="宋体" w:hAnsi="宋体" w:eastAsia="宋体" w:cs="宋体"/>
        </w:rPr>
      </w:pPr>
      <w:r>
        <w:rPr>
          <w:rFonts w:hint="eastAsia" w:ascii="宋体" w:hAnsi="宋体" w:eastAsia="宋体" w:cs="宋体"/>
        </w:rPr>
        <w:t>成交供应商在服务期内，须保证所有的前端设备的识别率和准确率，确保所有的拍摄车辆信息等设备的识别率和准确率达到95%，因拍摄错误导致的停车订单收费信息有误的，产生的所有错误订单费用一律由成交供应商负责。</w:t>
      </w:r>
    </w:p>
    <w:p>
      <w:pPr>
        <w:spacing w:line="360" w:lineRule="auto"/>
        <w:ind w:firstLine="480"/>
        <w:jc w:val="left"/>
        <w:rPr>
          <w:rFonts w:ascii="宋体" w:hAnsi="宋体" w:eastAsia="宋体" w:cs="宋体"/>
        </w:rPr>
      </w:pPr>
      <w:r>
        <w:rPr>
          <w:rFonts w:hint="eastAsia" w:ascii="宋体" w:hAnsi="宋体" w:eastAsia="宋体" w:cs="宋体"/>
        </w:rPr>
        <w:t>成交供应商在服务期内，须提供24小时值班热线服务，并在每天的收费时段提供7*12小时现场维护服务，实时监控后台硬件设备运行情况，发现问题能及时响应并处理；成立不少于7人的项目维护小组（须按劳动法要求提供相关证明材料），现场驻点专职技术服务人员5人（需具备相应的信息化项目系统运维工作经验，其中至少1名运维人员应具备运维工程师资质证书，至少1名运维人员应具备电工资质证书），现场驻点专职技术服务人员负责巡查保证平台系统及各附属设备的完整及指挥中心系统的消防安全等工作；突发应急情况须20分钟内到达现场。</w:t>
      </w:r>
    </w:p>
    <w:p>
      <w:pPr>
        <w:spacing w:line="360" w:lineRule="auto"/>
        <w:ind w:firstLine="480"/>
        <w:jc w:val="left"/>
        <w:rPr>
          <w:rFonts w:ascii="宋体" w:hAnsi="宋体" w:eastAsia="宋体" w:cs="宋体"/>
        </w:rPr>
      </w:pPr>
      <w:r>
        <w:rPr>
          <w:rFonts w:hint="eastAsia" w:ascii="宋体" w:hAnsi="宋体" w:eastAsia="宋体" w:cs="宋体"/>
        </w:rPr>
        <w:t>成交供应商在服务期内，须有独立的办公场所，保证运维项目每日日常工作的正常运行；须提供专门仓库存放此项目的前端设备及各种备件；提供至少一台搭载升降设备的工程专用车（应具有符合在广州市合法上路的牌照）用于前端设备的检查；至少一台现场巡逻车用于日常外出巡检设备等工作。</w:t>
      </w:r>
    </w:p>
    <w:p>
      <w:pPr>
        <w:spacing w:line="360" w:lineRule="auto"/>
        <w:ind w:firstLine="480"/>
        <w:jc w:val="left"/>
        <w:rPr>
          <w:rFonts w:ascii="宋体" w:hAnsi="宋体" w:eastAsia="宋体" w:cs="宋体"/>
        </w:rPr>
      </w:pPr>
      <w:r>
        <w:rPr>
          <w:rFonts w:hint="eastAsia" w:ascii="宋体" w:hAnsi="宋体" w:eastAsia="宋体" w:cs="宋体"/>
        </w:rPr>
        <w:t>★项目建设及维护期内，需对系统平台进行调整的，所需费用由中标方负责。</w:t>
      </w:r>
    </w:p>
    <w:p>
      <w:pPr>
        <w:spacing w:line="360" w:lineRule="auto"/>
        <w:ind w:firstLine="480"/>
        <w:jc w:val="left"/>
        <w:rPr>
          <w:rFonts w:ascii="宋体" w:hAnsi="宋体" w:eastAsia="宋体" w:cs="宋体"/>
        </w:rPr>
      </w:pPr>
      <w:r>
        <w:rPr>
          <w:rFonts w:hint="eastAsia" w:ascii="宋体" w:hAnsi="宋体" w:eastAsia="宋体" w:cs="宋体"/>
        </w:rPr>
        <w:t>★项目建设及维护期内，因泊位规则调整等原因，需要对已建设的前端设备及杆体进行迁移的，前端设备的迁移费用由中标方承担，中标方每个自然年度提供不多于10根杆体的免费迁移。超出数量的，所需费用经核实后由采购人负担。</w:t>
      </w:r>
      <w:bookmarkStart w:id="104" w:name="_Toc31146"/>
      <w:bookmarkStart w:id="105" w:name="_Toc22849"/>
      <w:bookmarkStart w:id="106" w:name="_Toc17275"/>
      <w:bookmarkStart w:id="107" w:name="_Toc18109"/>
      <w:bookmarkStart w:id="108" w:name="_Toc13212"/>
      <w:bookmarkStart w:id="109" w:name="_Toc24219"/>
      <w:bookmarkStart w:id="110" w:name="_Toc25200"/>
    </w:p>
    <w:p>
      <w:pPr>
        <w:spacing w:line="360" w:lineRule="auto"/>
        <w:ind w:firstLine="480"/>
        <w:jc w:val="left"/>
        <w:rPr>
          <w:rFonts w:ascii="宋体" w:hAnsi="宋体" w:eastAsia="宋体" w:cs="宋体"/>
        </w:rPr>
      </w:pPr>
      <w:r>
        <w:rPr>
          <w:rFonts w:hint="eastAsia" w:ascii="宋体" w:hAnsi="宋体" w:eastAsia="宋体" w:cs="宋体"/>
        </w:rPr>
        <w:t>2、运维期考核要求</w:t>
      </w:r>
    </w:p>
    <w:p>
      <w:pPr>
        <w:spacing w:line="360" w:lineRule="auto"/>
        <w:ind w:firstLine="480"/>
        <w:jc w:val="left"/>
        <w:rPr>
          <w:rFonts w:ascii="宋体" w:hAnsi="宋体" w:eastAsia="宋体" w:cs="宋体"/>
        </w:rPr>
      </w:pPr>
      <w:r>
        <w:rPr>
          <w:rFonts w:hint="eastAsia" w:ascii="宋体" w:hAnsi="宋体" w:eastAsia="宋体" w:cs="宋体"/>
        </w:rPr>
        <w:t>安全规范操作：路面施工作业时，需设有安全围蔽和疏导交通，配齐作业工具，佩戴安全帽（高空作业另配好安全绳等装备）。在保证他人和自身的人生安全的情况下，严格按照操作流程和技术规范操作。</w:t>
      </w:r>
      <w:bookmarkStart w:id="111" w:name="_GoBack"/>
      <w:bookmarkEnd w:id="111"/>
    </w:p>
    <w:p>
      <w:pPr>
        <w:spacing w:line="360" w:lineRule="auto"/>
        <w:ind w:firstLine="480"/>
        <w:jc w:val="left"/>
        <w:rPr>
          <w:rFonts w:ascii="宋体" w:hAnsi="宋体" w:eastAsia="宋体" w:cs="宋体"/>
        </w:rPr>
      </w:pPr>
      <w:r>
        <w:rPr>
          <w:rFonts w:hint="eastAsia" w:ascii="宋体" w:hAnsi="宋体" w:eastAsia="宋体" w:cs="宋体"/>
        </w:rPr>
        <w:t>应急处理：根据可能出现的应急情况，制定相应的应急预案，应急人员架构（至少2名技术人员24小时驻场），应急物资保障（车辆、升降车、修剪树枝的工具等）；出现应急情况要求30分钟内到现场，10分钟内配合网络运营商接通网络，并保证网络畅通，正常运行，2小时内完成修复（除涉及外界因素如供电或网络部门原因等不可抗力导致），并有完善的记录台账。</w:t>
      </w:r>
    </w:p>
    <w:p>
      <w:pPr>
        <w:spacing w:line="360" w:lineRule="auto"/>
        <w:ind w:firstLine="480"/>
        <w:jc w:val="left"/>
        <w:rPr>
          <w:rFonts w:ascii="宋体" w:hAnsi="宋体" w:eastAsia="宋体" w:cs="宋体"/>
        </w:rPr>
      </w:pPr>
      <w:r>
        <w:rPr>
          <w:rFonts w:hint="eastAsia" w:ascii="宋体" w:hAnsi="宋体" w:eastAsia="宋体" w:cs="宋体"/>
        </w:rPr>
        <w:t>日常的故障排查：驻场在指挥中心的工作人员，每天必须对36条路的高位视频设备、76台手持PDA机进行故障排查，并有台账记录，确保收费工作的正常运作。</w:t>
      </w:r>
    </w:p>
    <w:p>
      <w:pPr>
        <w:spacing w:line="360" w:lineRule="auto"/>
        <w:ind w:firstLine="480"/>
        <w:jc w:val="left"/>
        <w:rPr>
          <w:rFonts w:ascii="宋体" w:hAnsi="宋体" w:eastAsia="宋体" w:cs="宋体"/>
        </w:rPr>
      </w:pPr>
      <w:r>
        <w:rPr>
          <w:rFonts w:hint="eastAsia" w:ascii="宋体" w:hAnsi="宋体" w:eastAsia="宋体" w:cs="宋体"/>
        </w:rPr>
        <w:t>系统优化及升级：每个月末巡检软件的运行状态监控及预警、错误分析及统计，操作系统的正常性，数据库是否及时备份，有无索引等，中间件服务是否正常运行，日志有无严重报错等并出具巡检报告。</w:t>
      </w:r>
    </w:p>
    <w:p>
      <w:pPr>
        <w:spacing w:line="360" w:lineRule="auto"/>
        <w:ind w:firstLine="480"/>
        <w:jc w:val="left"/>
        <w:rPr>
          <w:rFonts w:ascii="宋体" w:hAnsi="宋体" w:eastAsia="宋体" w:cs="宋体"/>
        </w:rPr>
      </w:pPr>
      <w:r>
        <w:rPr>
          <w:rFonts w:hint="eastAsia" w:ascii="宋体" w:hAnsi="宋体" w:eastAsia="宋体" w:cs="宋体"/>
        </w:rPr>
        <w:t>高位视频检测设备视野保障：保障随时获取清晰的拍摄画面，清理影响正常拍摄的树枝、杂物、摄像头污渍等，按要求修剪树枝并做好环境恢复。做好事前审批，形成完整台账。</w:t>
      </w:r>
    </w:p>
    <w:p>
      <w:pPr>
        <w:spacing w:line="360" w:lineRule="auto"/>
        <w:ind w:firstLine="480"/>
        <w:jc w:val="left"/>
        <w:rPr>
          <w:rFonts w:ascii="宋体" w:hAnsi="宋体" w:eastAsia="宋体" w:cs="宋体"/>
        </w:rPr>
      </w:pPr>
      <w:r>
        <w:rPr>
          <w:rFonts w:hint="eastAsia" w:ascii="宋体" w:hAnsi="宋体" w:eastAsia="宋体" w:cs="宋体"/>
        </w:rPr>
        <w:t>硬件设备数量：根据运维需求确保设备储存量足够，保证设备数量充足和项目正常运作；设专员管理硬件设备库存，做好出入库记录和库存清单，每周日校对清单；</w:t>
      </w:r>
    </w:p>
    <w:p>
      <w:pPr>
        <w:spacing w:line="360" w:lineRule="auto"/>
        <w:ind w:firstLine="480"/>
        <w:jc w:val="left"/>
        <w:rPr>
          <w:rFonts w:ascii="宋体" w:hAnsi="宋体" w:eastAsia="宋体" w:cs="宋体"/>
        </w:rPr>
      </w:pPr>
      <w:r>
        <w:rPr>
          <w:rFonts w:hint="eastAsia" w:ascii="宋体" w:hAnsi="宋体" w:eastAsia="宋体" w:cs="宋体"/>
        </w:rPr>
        <w:t>泊位的上下线及设备调试：在6小时内完成泊位的上下线及设备调试。</w:t>
      </w:r>
    </w:p>
    <w:p>
      <w:pPr>
        <w:spacing w:line="360" w:lineRule="auto"/>
        <w:ind w:firstLine="480"/>
        <w:jc w:val="left"/>
        <w:rPr>
          <w:rFonts w:ascii="宋体" w:hAnsi="宋体" w:eastAsia="宋体" w:cs="宋体"/>
        </w:rPr>
      </w:pPr>
      <w:r>
        <w:rPr>
          <w:rFonts w:hint="eastAsia" w:ascii="宋体" w:hAnsi="宋体" w:eastAsia="宋体" w:cs="宋体"/>
        </w:rPr>
        <w:t>运维服务流程：提供完善的运维故障处理流程、紧急事件处理流程、设备维修及更换流程。</w:t>
      </w:r>
    </w:p>
    <w:p>
      <w:pPr>
        <w:spacing w:line="360" w:lineRule="auto"/>
        <w:ind w:firstLine="480"/>
        <w:jc w:val="left"/>
        <w:rPr>
          <w:rFonts w:ascii="宋体" w:hAnsi="宋体" w:eastAsia="宋体" w:cs="宋体"/>
        </w:rPr>
      </w:pPr>
      <w:r>
        <w:rPr>
          <w:rFonts w:hint="eastAsia" w:ascii="宋体" w:hAnsi="宋体" w:eastAsia="宋体" w:cs="宋体"/>
        </w:rPr>
        <w:t>台账整理情况：按要求做好故障维修记录率、系统巡检记录、运维周报、月运维报告等项目相关台账。</w:t>
      </w:r>
    </w:p>
    <w:p>
      <w:pPr>
        <w:spacing w:line="360" w:lineRule="auto"/>
        <w:ind w:firstLine="480"/>
        <w:jc w:val="left"/>
        <w:rPr>
          <w:rFonts w:ascii="宋体" w:hAnsi="宋体" w:eastAsia="宋体" w:cs="宋体"/>
        </w:rPr>
      </w:pPr>
      <w:r>
        <w:rPr>
          <w:rFonts w:hint="eastAsia" w:ascii="宋体" w:hAnsi="宋体" w:eastAsia="宋体" w:cs="宋体"/>
        </w:rPr>
        <w:t>3、运维考核</w:t>
      </w:r>
      <w:bookmarkEnd w:id="104"/>
      <w:bookmarkEnd w:id="105"/>
      <w:bookmarkEnd w:id="106"/>
      <w:bookmarkEnd w:id="107"/>
      <w:bookmarkEnd w:id="108"/>
      <w:bookmarkEnd w:id="109"/>
      <w:bookmarkEnd w:id="110"/>
      <w:r>
        <w:rPr>
          <w:rFonts w:hint="eastAsia" w:ascii="宋体" w:hAnsi="宋体" w:eastAsia="宋体" w:cs="宋体"/>
        </w:rPr>
        <w:t>评分标准</w:t>
      </w:r>
    </w:p>
    <w:p>
      <w:pPr>
        <w:spacing w:line="360" w:lineRule="auto"/>
        <w:ind w:firstLine="480"/>
        <w:jc w:val="left"/>
        <w:rPr>
          <w:rFonts w:ascii="宋体" w:hAnsi="宋体" w:eastAsia="宋体" w:cs="宋体"/>
        </w:rPr>
      </w:pPr>
      <w:r>
        <w:rPr>
          <w:rFonts w:hint="eastAsia" w:ascii="宋体" w:hAnsi="宋体" w:eastAsia="宋体" w:cs="宋体"/>
        </w:rPr>
        <w:t>本项目运维期考核管理通过考核管理制度实行绩效考核，绩效考核每月进行一次。</w:t>
      </w:r>
    </w:p>
    <w:p>
      <w:pPr>
        <w:spacing w:line="360" w:lineRule="auto"/>
        <w:ind w:firstLine="480"/>
        <w:jc w:val="left"/>
        <w:rPr>
          <w:rFonts w:ascii="宋体" w:hAnsi="宋体" w:eastAsia="宋体" w:cs="宋体"/>
        </w:rPr>
      </w:pPr>
      <w:r>
        <w:rPr>
          <w:rFonts w:hint="eastAsia" w:ascii="宋体" w:hAnsi="宋体" w:eastAsia="宋体" w:cs="宋体"/>
        </w:rPr>
        <w:t>中标供应商应承诺遵循如下考核标准：</w:t>
      </w:r>
    </w:p>
    <w:tbl>
      <w:tblPr>
        <w:tblStyle w:val="18"/>
        <w:tblW w:w="81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7"/>
        <w:gridCol w:w="1316"/>
        <w:gridCol w:w="4442"/>
        <w:gridCol w:w="497"/>
        <w:gridCol w:w="6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6955" w:type="dxa"/>
            <w:gridSpan w:val="3"/>
            <w:vAlign w:val="center"/>
          </w:tcPr>
          <w:p>
            <w:pPr>
              <w:ind w:firstLine="420" w:firstLineChars="200"/>
              <w:jc w:val="center"/>
              <w:rPr>
                <w:rFonts w:ascii="宋体" w:hAnsi="宋体" w:eastAsia="宋体" w:cs="宋体"/>
                <w:kern w:val="0"/>
                <w:szCs w:val="21"/>
              </w:rPr>
            </w:pPr>
            <w:r>
              <w:rPr>
                <w:rFonts w:hint="eastAsia" w:ascii="宋体" w:hAnsi="宋体" w:eastAsia="宋体" w:cs="宋体"/>
                <w:kern w:val="0"/>
                <w:szCs w:val="21"/>
              </w:rPr>
              <w:t>考核标准</w:t>
            </w:r>
          </w:p>
        </w:tc>
        <w:tc>
          <w:tcPr>
            <w:tcW w:w="497" w:type="dxa"/>
            <w:vMerge w:val="restart"/>
            <w:vAlign w:val="center"/>
          </w:tcPr>
          <w:p>
            <w:pPr>
              <w:jc w:val="center"/>
              <w:rPr>
                <w:rFonts w:ascii="宋体" w:hAnsi="宋体" w:eastAsia="宋体" w:cs="宋体"/>
                <w:kern w:val="0"/>
                <w:szCs w:val="21"/>
              </w:rPr>
            </w:pPr>
            <w:r>
              <w:rPr>
                <w:rFonts w:hint="eastAsia" w:ascii="宋体" w:hAnsi="宋体" w:eastAsia="宋体" w:cs="宋体"/>
                <w:kern w:val="0"/>
                <w:szCs w:val="21"/>
              </w:rPr>
              <w:t>扣分次数</w:t>
            </w:r>
          </w:p>
        </w:tc>
        <w:tc>
          <w:tcPr>
            <w:tcW w:w="676" w:type="dxa"/>
            <w:vMerge w:val="restart"/>
            <w:vAlign w:val="center"/>
          </w:tcPr>
          <w:p>
            <w:pPr>
              <w:jc w:val="center"/>
              <w:rPr>
                <w:rFonts w:ascii="宋体" w:hAnsi="宋体" w:eastAsia="宋体" w:cs="宋体"/>
                <w:kern w:val="0"/>
                <w:szCs w:val="21"/>
              </w:rPr>
            </w:pPr>
            <w:r>
              <w:rPr>
                <w:rFonts w:hint="eastAsia" w:ascii="宋体" w:hAnsi="宋体" w:eastAsia="宋体" w:cs="宋体"/>
                <w:kern w:val="0"/>
                <w:szCs w:val="21"/>
              </w:rPr>
              <w:t>考核得分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197" w:type="dxa"/>
            <w:vAlign w:val="center"/>
          </w:tcPr>
          <w:p>
            <w:pPr>
              <w:jc w:val="center"/>
              <w:rPr>
                <w:rFonts w:ascii="宋体" w:hAnsi="宋体" w:eastAsia="宋体" w:cs="宋体"/>
                <w:kern w:val="0"/>
                <w:szCs w:val="21"/>
              </w:rPr>
            </w:pPr>
            <w:r>
              <w:rPr>
                <w:rFonts w:hint="eastAsia" w:ascii="宋体" w:hAnsi="宋体" w:eastAsia="宋体" w:cs="宋体"/>
                <w:kern w:val="0"/>
                <w:szCs w:val="21"/>
              </w:rPr>
              <w:t>考核内容</w:t>
            </w:r>
          </w:p>
        </w:tc>
        <w:tc>
          <w:tcPr>
            <w:tcW w:w="1316" w:type="dxa"/>
            <w:vAlign w:val="center"/>
          </w:tcPr>
          <w:p>
            <w:pPr>
              <w:jc w:val="center"/>
              <w:rPr>
                <w:rFonts w:ascii="宋体" w:hAnsi="宋体" w:eastAsia="宋体" w:cs="宋体"/>
                <w:kern w:val="0"/>
                <w:szCs w:val="21"/>
              </w:rPr>
            </w:pPr>
            <w:r>
              <w:rPr>
                <w:rFonts w:hint="eastAsia" w:ascii="宋体" w:hAnsi="宋体" w:eastAsia="宋体" w:cs="宋体"/>
                <w:kern w:val="0"/>
                <w:szCs w:val="21"/>
              </w:rPr>
              <w:t>标准分数</w:t>
            </w:r>
          </w:p>
        </w:tc>
        <w:tc>
          <w:tcPr>
            <w:tcW w:w="4442" w:type="dxa"/>
            <w:vAlign w:val="center"/>
          </w:tcPr>
          <w:p>
            <w:pPr>
              <w:jc w:val="center"/>
              <w:rPr>
                <w:rFonts w:ascii="宋体" w:hAnsi="宋体" w:eastAsia="宋体" w:cs="宋体"/>
                <w:kern w:val="0"/>
                <w:szCs w:val="21"/>
              </w:rPr>
            </w:pPr>
            <w:r>
              <w:rPr>
                <w:rFonts w:hint="eastAsia" w:ascii="宋体" w:hAnsi="宋体" w:eastAsia="宋体" w:cs="宋体"/>
                <w:kern w:val="0"/>
                <w:szCs w:val="21"/>
              </w:rPr>
              <w:t>考核细则</w:t>
            </w:r>
          </w:p>
        </w:tc>
        <w:tc>
          <w:tcPr>
            <w:tcW w:w="497" w:type="dxa"/>
            <w:vMerge w:val="continue"/>
            <w:vAlign w:val="center"/>
          </w:tcPr>
          <w:p>
            <w:pPr>
              <w:ind w:firstLine="420" w:firstLineChars="200"/>
              <w:jc w:val="center"/>
              <w:rPr>
                <w:rFonts w:ascii="宋体" w:hAnsi="宋体" w:eastAsia="宋体" w:cs="宋体"/>
                <w:kern w:val="0"/>
                <w:szCs w:val="21"/>
              </w:rPr>
            </w:pPr>
          </w:p>
        </w:tc>
        <w:tc>
          <w:tcPr>
            <w:tcW w:w="676" w:type="dxa"/>
            <w:vMerge w:val="continue"/>
            <w:vAlign w:val="center"/>
          </w:tcPr>
          <w:p>
            <w:pPr>
              <w:ind w:firstLine="420" w:firstLineChars="200"/>
              <w:jc w:val="center"/>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1" w:hRule="atLeast"/>
          <w:jc w:val="center"/>
        </w:trPr>
        <w:tc>
          <w:tcPr>
            <w:tcW w:w="1197" w:type="dxa"/>
            <w:vAlign w:val="center"/>
          </w:tcPr>
          <w:p>
            <w:pPr>
              <w:jc w:val="center"/>
              <w:rPr>
                <w:rFonts w:ascii="宋体" w:hAnsi="宋体" w:eastAsia="宋体" w:cs="宋体"/>
                <w:kern w:val="0"/>
                <w:szCs w:val="21"/>
              </w:rPr>
            </w:pPr>
            <w:r>
              <w:rPr>
                <w:rFonts w:hint="eastAsia" w:ascii="宋体" w:hAnsi="宋体" w:eastAsia="宋体" w:cs="宋体"/>
                <w:kern w:val="0"/>
                <w:szCs w:val="21"/>
              </w:rPr>
              <w:t>安全规范操作</w:t>
            </w:r>
          </w:p>
        </w:tc>
        <w:tc>
          <w:tcPr>
            <w:tcW w:w="1316" w:type="dxa"/>
            <w:vAlign w:val="center"/>
          </w:tcPr>
          <w:p>
            <w:pPr>
              <w:jc w:val="center"/>
              <w:rPr>
                <w:rFonts w:ascii="宋体" w:hAnsi="宋体" w:eastAsia="宋体" w:cs="宋体"/>
                <w:kern w:val="0"/>
                <w:szCs w:val="21"/>
              </w:rPr>
            </w:pPr>
            <w:r>
              <w:rPr>
                <w:rFonts w:hint="eastAsia" w:ascii="宋体" w:hAnsi="宋体" w:eastAsia="宋体" w:cs="宋体"/>
                <w:kern w:val="0"/>
                <w:szCs w:val="21"/>
              </w:rPr>
              <w:t>12</w:t>
            </w:r>
          </w:p>
        </w:tc>
        <w:tc>
          <w:tcPr>
            <w:tcW w:w="4442" w:type="dxa"/>
            <w:vAlign w:val="center"/>
          </w:tcPr>
          <w:p>
            <w:pPr>
              <w:rPr>
                <w:rFonts w:ascii="宋体" w:hAnsi="宋体" w:eastAsia="宋体" w:cs="宋体"/>
                <w:kern w:val="0"/>
                <w:szCs w:val="21"/>
              </w:rPr>
            </w:pPr>
            <w:r>
              <w:rPr>
                <w:rFonts w:hint="eastAsia" w:ascii="宋体" w:hAnsi="宋体" w:eastAsia="宋体" w:cs="宋体"/>
                <w:kern w:val="0"/>
                <w:szCs w:val="21"/>
              </w:rPr>
              <w:t>外出作业时，未设有安全围蔽和疏导交通，作业工具不齐，未佩戴安全帽或操作不符合安全规范等，存在安全隐患的，检查发现每次扣3分。出现设备脱落、触电、摔落等情形的，扣5分，伤及自身或他人造成严重后果的，扣12分</w:t>
            </w:r>
          </w:p>
        </w:tc>
        <w:tc>
          <w:tcPr>
            <w:tcW w:w="497" w:type="dxa"/>
            <w:vAlign w:val="center"/>
          </w:tcPr>
          <w:p>
            <w:pPr>
              <w:ind w:firstLine="420" w:firstLineChars="200"/>
              <w:jc w:val="center"/>
              <w:rPr>
                <w:rFonts w:ascii="宋体" w:hAnsi="宋体" w:eastAsia="宋体" w:cs="宋体"/>
                <w:kern w:val="0"/>
                <w:szCs w:val="21"/>
              </w:rPr>
            </w:pPr>
          </w:p>
        </w:tc>
        <w:tc>
          <w:tcPr>
            <w:tcW w:w="676" w:type="dxa"/>
            <w:vAlign w:val="center"/>
          </w:tcPr>
          <w:p>
            <w:pPr>
              <w:ind w:firstLine="420" w:firstLineChars="200"/>
              <w:jc w:val="center"/>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5" w:hRule="atLeast"/>
          <w:jc w:val="center"/>
        </w:trPr>
        <w:tc>
          <w:tcPr>
            <w:tcW w:w="1197" w:type="dxa"/>
            <w:vAlign w:val="center"/>
          </w:tcPr>
          <w:p>
            <w:pPr>
              <w:jc w:val="center"/>
              <w:rPr>
                <w:rFonts w:ascii="宋体" w:hAnsi="宋体" w:eastAsia="宋体" w:cs="宋体"/>
                <w:kern w:val="0"/>
                <w:szCs w:val="21"/>
              </w:rPr>
            </w:pPr>
            <w:r>
              <w:rPr>
                <w:rFonts w:hint="eastAsia" w:ascii="宋体" w:hAnsi="宋体" w:eastAsia="宋体" w:cs="宋体"/>
                <w:kern w:val="0"/>
                <w:szCs w:val="21"/>
              </w:rPr>
              <w:t>应急处理</w:t>
            </w:r>
          </w:p>
        </w:tc>
        <w:tc>
          <w:tcPr>
            <w:tcW w:w="1316" w:type="dxa"/>
            <w:vAlign w:val="center"/>
          </w:tcPr>
          <w:p>
            <w:pPr>
              <w:jc w:val="center"/>
              <w:rPr>
                <w:rFonts w:ascii="宋体" w:hAnsi="宋体" w:eastAsia="宋体" w:cs="宋体"/>
                <w:kern w:val="0"/>
                <w:szCs w:val="21"/>
              </w:rPr>
            </w:pPr>
            <w:r>
              <w:rPr>
                <w:rFonts w:hint="eastAsia" w:ascii="宋体" w:hAnsi="宋体" w:eastAsia="宋体" w:cs="宋体"/>
                <w:kern w:val="0"/>
                <w:szCs w:val="21"/>
              </w:rPr>
              <w:t>10</w:t>
            </w:r>
          </w:p>
        </w:tc>
        <w:tc>
          <w:tcPr>
            <w:tcW w:w="4442" w:type="dxa"/>
            <w:vAlign w:val="center"/>
          </w:tcPr>
          <w:p>
            <w:pPr>
              <w:rPr>
                <w:rFonts w:ascii="宋体" w:hAnsi="宋体" w:eastAsia="宋体" w:cs="宋体"/>
                <w:szCs w:val="21"/>
              </w:rPr>
            </w:pPr>
            <w:r>
              <w:rPr>
                <w:rFonts w:hint="eastAsia" w:ascii="宋体" w:hAnsi="宋体" w:eastAsia="宋体" w:cs="宋体"/>
                <w:szCs w:val="21"/>
              </w:rPr>
              <w:t>未设置应急预案的，检查发现每次扣2分；预案设置不足以应对可能出现的突发状况的，检查发现每次扣2分；如发生应急突发情况，未在30分钟内到场，扣3分。应配合接通无线网并正常运行，发现未配合的每次扣3分；缺少完善台账的，检查发现每次扣2分。</w:t>
            </w:r>
          </w:p>
        </w:tc>
        <w:tc>
          <w:tcPr>
            <w:tcW w:w="497" w:type="dxa"/>
            <w:vAlign w:val="center"/>
          </w:tcPr>
          <w:p>
            <w:pPr>
              <w:ind w:firstLine="420" w:firstLineChars="200"/>
              <w:jc w:val="center"/>
              <w:rPr>
                <w:rFonts w:ascii="宋体" w:hAnsi="宋体" w:eastAsia="宋体" w:cs="宋体"/>
                <w:kern w:val="0"/>
                <w:szCs w:val="21"/>
              </w:rPr>
            </w:pPr>
          </w:p>
        </w:tc>
        <w:tc>
          <w:tcPr>
            <w:tcW w:w="676" w:type="dxa"/>
            <w:vAlign w:val="center"/>
          </w:tcPr>
          <w:p>
            <w:pPr>
              <w:ind w:firstLine="420" w:firstLineChars="200"/>
              <w:jc w:val="center"/>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5" w:hRule="atLeast"/>
          <w:jc w:val="center"/>
        </w:trPr>
        <w:tc>
          <w:tcPr>
            <w:tcW w:w="1197" w:type="dxa"/>
            <w:vAlign w:val="center"/>
          </w:tcPr>
          <w:p>
            <w:pPr>
              <w:pStyle w:val="2"/>
              <w:ind w:left="0" w:leftChars="0" w:firstLine="0" w:firstLineChars="0"/>
              <w:jc w:val="center"/>
              <w:rPr>
                <w:rFonts w:ascii="宋体" w:hAnsi="宋体" w:eastAsia="宋体"/>
                <w:kern w:val="0"/>
                <w:sz w:val="21"/>
                <w:szCs w:val="21"/>
              </w:rPr>
            </w:pPr>
            <w:r>
              <w:rPr>
                <w:rFonts w:hint="eastAsia" w:ascii="宋体" w:hAnsi="宋体" w:eastAsia="宋体"/>
                <w:kern w:val="0"/>
                <w:sz w:val="21"/>
                <w:szCs w:val="21"/>
              </w:rPr>
              <w:t>日常故障排查</w:t>
            </w:r>
          </w:p>
        </w:tc>
        <w:tc>
          <w:tcPr>
            <w:tcW w:w="1316" w:type="dxa"/>
            <w:vAlign w:val="center"/>
          </w:tcPr>
          <w:p>
            <w:pPr>
              <w:jc w:val="center"/>
              <w:rPr>
                <w:rFonts w:ascii="宋体" w:hAnsi="宋体" w:eastAsia="宋体" w:cs="宋体"/>
                <w:kern w:val="0"/>
                <w:szCs w:val="21"/>
              </w:rPr>
            </w:pPr>
            <w:r>
              <w:rPr>
                <w:rFonts w:hint="eastAsia" w:ascii="宋体" w:hAnsi="宋体" w:eastAsia="宋体" w:cs="宋体"/>
                <w:kern w:val="0"/>
                <w:szCs w:val="21"/>
              </w:rPr>
              <w:t>10</w:t>
            </w:r>
          </w:p>
        </w:tc>
        <w:tc>
          <w:tcPr>
            <w:tcW w:w="4442" w:type="dxa"/>
            <w:vAlign w:val="center"/>
          </w:tcPr>
          <w:p>
            <w:pPr>
              <w:rPr>
                <w:rFonts w:ascii="宋体" w:hAnsi="宋体" w:eastAsia="宋体" w:cs="宋体"/>
                <w:kern w:val="0"/>
                <w:szCs w:val="21"/>
              </w:rPr>
            </w:pPr>
            <w:r>
              <w:rPr>
                <w:rFonts w:hint="eastAsia" w:ascii="宋体" w:hAnsi="宋体" w:eastAsia="宋体" w:cs="宋体"/>
                <w:kern w:val="0"/>
                <w:szCs w:val="21"/>
              </w:rPr>
              <w:t>每日驻场人员未对高位视频、PDA机进行故障排查影响收费工作的，扣2分，未有台账记录扣2分；每周运维人员对手井、收费标识牌、杆体、高位视频等设备的排查少于1次的，扣2分，发现设备有牛皮癣、脏污、脱落等现象，扣2分</w:t>
            </w:r>
          </w:p>
        </w:tc>
        <w:tc>
          <w:tcPr>
            <w:tcW w:w="497" w:type="dxa"/>
            <w:vAlign w:val="center"/>
          </w:tcPr>
          <w:p>
            <w:pPr>
              <w:ind w:firstLine="420" w:firstLineChars="200"/>
              <w:jc w:val="center"/>
              <w:rPr>
                <w:rFonts w:ascii="宋体" w:hAnsi="宋体" w:eastAsia="宋体" w:cs="宋体"/>
                <w:kern w:val="0"/>
                <w:szCs w:val="21"/>
              </w:rPr>
            </w:pPr>
          </w:p>
        </w:tc>
        <w:tc>
          <w:tcPr>
            <w:tcW w:w="676" w:type="dxa"/>
            <w:vAlign w:val="center"/>
          </w:tcPr>
          <w:p>
            <w:pPr>
              <w:ind w:firstLine="420" w:firstLineChars="200"/>
              <w:jc w:val="center"/>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5" w:hRule="atLeast"/>
          <w:jc w:val="center"/>
        </w:trPr>
        <w:tc>
          <w:tcPr>
            <w:tcW w:w="1197" w:type="dxa"/>
            <w:vAlign w:val="center"/>
          </w:tcPr>
          <w:p>
            <w:pPr>
              <w:pStyle w:val="2"/>
              <w:ind w:left="0" w:leftChars="0" w:firstLine="0" w:firstLineChars="0"/>
              <w:jc w:val="center"/>
              <w:rPr>
                <w:rFonts w:ascii="宋体" w:hAnsi="宋体" w:eastAsia="宋体"/>
                <w:kern w:val="0"/>
                <w:sz w:val="21"/>
                <w:szCs w:val="21"/>
              </w:rPr>
            </w:pPr>
            <w:r>
              <w:rPr>
                <w:rFonts w:hint="eastAsia" w:ascii="宋体" w:hAnsi="宋体" w:eastAsia="宋体"/>
                <w:sz w:val="21"/>
                <w:szCs w:val="21"/>
              </w:rPr>
              <w:t>系统优化及升级</w:t>
            </w:r>
          </w:p>
        </w:tc>
        <w:tc>
          <w:tcPr>
            <w:tcW w:w="1316" w:type="dxa"/>
            <w:vAlign w:val="center"/>
          </w:tcPr>
          <w:p>
            <w:pPr>
              <w:jc w:val="center"/>
              <w:rPr>
                <w:rFonts w:ascii="宋体" w:hAnsi="宋体" w:eastAsia="宋体" w:cs="宋体"/>
                <w:kern w:val="0"/>
                <w:szCs w:val="21"/>
              </w:rPr>
            </w:pPr>
            <w:r>
              <w:rPr>
                <w:rFonts w:hint="eastAsia" w:ascii="宋体" w:hAnsi="宋体" w:eastAsia="宋体" w:cs="宋体"/>
                <w:kern w:val="0"/>
                <w:szCs w:val="21"/>
              </w:rPr>
              <w:t>10</w:t>
            </w:r>
          </w:p>
        </w:tc>
        <w:tc>
          <w:tcPr>
            <w:tcW w:w="4442" w:type="dxa"/>
            <w:vAlign w:val="center"/>
          </w:tcPr>
          <w:p>
            <w:pPr>
              <w:pStyle w:val="2"/>
              <w:ind w:left="0" w:leftChars="0" w:firstLine="0" w:firstLineChars="0"/>
              <w:rPr>
                <w:rFonts w:ascii="宋体" w:hAnsi="宋体" w:eastAsia="宋体"/>
                <w:kern w:val="0"/>
                <w:sz w:val="21"/>
                <w:szCs w:val="21"/>
              </w:rPr>
            </w:pPr>
            <w:r>
              <w:rPr>
                <w:rFonts w:hint="eastAsia" w:ascii="宋体" w:hAnsi="宋体" w:eastAsia="宋体"/>
                <w:sz w:val="21"/>
                <w:szCs w:val="21"/>
              </w:rPr>
              <w:t>每月末巡检软件的运行状态监控及预警、错误分析及统计，操作系统的正常性，数据库是否及时备份，有无索引巡检次中间件服务是否正常运行，日志有无严重报错，次数不足1次的，每个扣1分，无软件巡检报告的，每次扣2分；</w:t>
            </w:r>
            <w:r>
              <w:rPr>
                <w:rFonts w:hint="eastAsia" w:ascii="宋体" w:hAnsi="宋体" w:eastAsia="宋体"/>
                <w:kern w:val="0"/>
                <w:sz w:val="21"/>
                <w:szCs w:val="21"/>
              </w:rPr>
              <w:t>未按采购人的要求，在双方协商时间内完成平台系统升级</w:t>
            </w:r>
            <w:r>
              <w:rPr>
                <w:rFonts w:hint="eastAsia" w:ascii="宋体" w:hAnsi="宋体" w:eastAsia="宋体"/>
                <w:sz w:val="21"/>
                <w:szCs w:val="21"/>
              </w:rPr>
              <w:t>保证平台功能正常运行的每次扣3分；未针对系统调整服务、流程优化、功能模块升级改造或未定时优化数据库、优化代码适应性的每次扣2分。</w:t>
            </w:r>
          </w:p>
        </w:tc>
        <w:tc>
          <w:tcPr>
            <w:tcW w:w="497" w:type="dxa"/>
            <w:vAlign w:val="center"/>
          </w:tcPr>
          <w:p>
            <w:pPr>
              <w:ind w:firstLine="420" w:firstLineChars="200"/>
              <w:jc w:val="center"/>
              <w:rPr>
                <w:rFonts w:ascii="宋体" w:hAnsi="宋体" w:eastAsia="宋体" w:cs="宋体"/>
                <w:kern w:val="0"/>
                <w:szCs w:val="21"/>
              </w:rPr>
            </w:pPr>
          </w:p>
        </w:tc>
        <w:tc>
          <w:tcPr>
            <w:tcW w:w="676" w:type="dxa"/>
            <w:vAlign w:val="center"/>
          </w:tcPr>
          <w:p>
            <w:pPr>
              <w:ind w:firstLine="420" w:firstLineChars="200"/>
              <w:jc w:val="center"/>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2" w:hRule="atLeast"/>
          <w:jc w:val="center"/>
        </w:trPr>
        <w:tc>
          <w:tcPr>
            <w:tcW w:w="1197" w:type="dxa"/>
            <w:vAlign w:val="center"/>
          </w:tcPr>
          <w:p>
            <w:pPr>
              <w:pStyle w:val="2"/>
              <w:ind w:left="0" w:leftChars="0" w:firstLine="0" w:firstLineChars="0"/>
              <w:jc w:val="center"/>
              <w:rPr>
                <w:rFonts w:ascii="宋体" w:hAnsi="宋体" w:eastAsia="宋体"/>
                <w:sz w:val="21"/>
                <w:szCs w:val="21"/>
              </w:rPr>
            </w:pPr>
            <w:r>
              <w:rPr>
                <w:rFonts w:hint="eastAsia" w:ascii="宋体" w:hAnsi="宋体" w:eastAsia="宋体"/>
                <w:sz w:val="21"/>
                <w:szCs w:val="21"/>
              </w:rPr>
              <w:t>摄像头视野遮挡物清理</w:t>
            </w:r>
          </w:p>
        </w:tc>
        <w:tc>
          <w:tcPr>
            <w:tcW w:w="1316" w:type="dxa"/>
            <w:vAlign w:val="center"/>
          </w:tcPr>
          <w:p>
            <w:pPr>
              <w:jc w:val="center"/>
              <w:rPr>
                <w:rFonts w:ascii="宋体" w:hAnsi="宋体" w:eastAsia="宋体" w:cs="宋体"/>
                <w:kern w:val="0"/>
                <w:szCs w:val="21"/>
              </w:rPr>
            </w:pPr>
            <w:r>
              <w:rPr>
                <w:rFonts w:hint="eastAsia" w:ascii="宋体" w:hAnsi="宋体" w:eastAsia="宋体" w:cs="宋体"/>
                <w:kern w:val="0"/>
                <w:szCs w:val="21"/>
              </w:rPr>
              <w:t>8</w:t>
            </w:r>
          </w:p>
        </w:tc>
        <w:tc>
          <w:tcPr>
            <w:tcW w:w="4442" w:type="dxa"/>
            <w:vAlign w:val="center"/>
          </w:tcPr>
          <w:p>
            <w:pPr>
              <w:rPr>
                <w:rFonts w:ascii="宋体" w:hAnsi="宋体" w:eastAsia="宋体" w:cs="宋体"/>
                <w:kern w:val="0"/>
                <w:szCs w:val="21"/>
              </w:rPr>
            </w:pPr>
            <w:r>
              <w:rPr>
                <w:rFonts w:hint="eastAsia" w:ascii="宋体" w:hAnsi="宋体" w:eastAsia="宋体" w:cs="宋体"/>
                <w:szCs w:val="21"/>
              </w:rPr>
              <w:t>在双方协商时间内未清理影响正常拍摄的树枝、污渍、杂物等的，每次扣</w:t>
            </w:r>
            <w:r>
              <w:rPr>
                <w:rFonts w:hint="eastAsia" w:ascii="宋体" w:hAnsi="宋体" w:eastAsia="宋体" w:cs="宋体"/>
                <w:kern w:val="0"/>
                <w:szCs w:val="21"/>
              </w:rPr>
              <w:t>2</w:t>
            </w:r>
            <w:r>
              <w:rPr>
                <w:rFonts w:hint="eastAsia" w:ascii="宋体" w:hAnsi="宋体" w:eastAsia="宋体" w:cs="宋体"/>
                <w:szCs w:val="21"/>
              </w:rPr>
              <w:t>分；未按要求</w:t>
            </w:r>
            <w:r>
              <w:rPr>
                <w:rFonts w:hint="eastAsia" w:ascii="宋体" w:hAnsi="宋体" w:eastAsia="宋体" w:cs="宋体"/>
                <w:kern w:val="0"/>
                <w:szCs w:val="21"/>
              </w:rPr>
              <w:t>修剪树枝或环境恢复不到位的每次扣2分</w:t>
            </w:r>
          </w:p>
        </w:tc>
        <w:tc>
          <w:tcPr>
            <w:tcW w:w="497" w:type="dxa"/>
            <w:vAlign w:val="center"/>
          </w:tcPr>
          <w:p>
            <w:pPr>
              <w:ind w:firstLine="420" w:firstLineChars="200"/>
              <w:jc w:val="center"/>
              <w:rPr>
                <w:rFonts w:ascii="宋体" w:hAnsi="宋体" w:eastAsia="宋体" w:cs="宋体"/>
                <w:kern w:val="0"/>
                <w:szCs w:val="21"/>
              </w:rPr>
            </w:pPr>
          </w:p>
        </w:tc>
        <w:tc>
          <w:tcPr>
            <w:tcW w:w="676" w:type="dxa"/>
            <w:vAlign w:val="center"/>
          </w:tcPr>
          <w:p>
            <w:pPr>
              <w:ind w:firstLine="420" w:firstLineChars="200"/>
              <w:jc w:val="center"/>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1" w:hRule="atLeast"/>
          <w:jc w:val="center"/>
        </w:trPr>
        <w:tc>
          <w:tcPr>
            <w:tcW w:w="1197" w:type="dxa"/>
            <w:vAlign w:val="center"/>
          </w:tcPr>
          <w:p>
            <w:pPr>
              <w:pStyle w:val="2"/>
              <w:ind w:left="0" w:leftChars="0" w:firstLine="0" w:firstLineChars="0"/>
              <w:jc w:val="center"/>
              <w:rPr>
                <w:rFonts w:ascii="宋体" w:hAnsi="宋体" w:eastAsia="宋体"/>
                <w:sz w:val="21"/>
                <w:szCs w:val="21"/>
              </w:rPr>
            </w:pPr>
            <w:r>
              <w:rPr>
                <w:rFonts w:hint="eastAsia" w:ascii="宋体" w:hAnsi="宋体" w:eastAsia="宋体"/>
                <w:kern w:val="0"/>
                <w:sz w:val="21"/>
                <w:szCs w:val="21"/>
              </w:rPr>
              <w:t>硬件设备数量</w:t>
            </w:r>
          </w:p>
        </w:tc>
        <w:tc>
          <w:tcPr>
            <w:tcW w:w="1316" w:type="dxa"/>
            <w:vAlign w:val="center"/>
          </w:tcPr>
          <w:p>
            <w:pPr>
              <w:jc w:val="center"/>
              <w:rPr>
                <w:rFonts w:ascii="宋体" w:hAnsi="宋体" w:eastAsia="宋体" w:cs="宋体"/>
                <w:kern w:val="0"/>
                <w:szCs w:val="21"/>
              </w:rPr>
            </w:pPr>
            <w:r>
              <w:rPr>
                <w:rFonts w:hint="eastAsia" w:ascii="宋体" w:hAnsi="宋体" w:eastAsia="宋体" w:cs="宋体"/>
                <w:kern w:val="0"/>
                <w:szCs w:val="21"/>
              </w:rPr>
              <w:t>8</w:t>
            </w:r>
          </w:p>
        </w:tc>
        <w:tc>
          <w:tcPr>
            <w:tcW w:w="4442" w:type="dxa"/>
            <w:vAlign w:val="center"/>
          </w:tcPr>
          <w:p>
            <w:pPr>
              <w:rPr>
                <w:rFonts w:ascii="宋体" w:hAnsi="宋体" w:eastAsia="宋体" w:cs="宋体"/>
                <w:kern w:val="0"/>
                <w:szCs w:val="21"/>
              </w:rPr>
            </w:pPr>
            <w:r>
              <w:rPr>
                <w:rFonts w:hint="eastAsia" w:ascii="宋体" w:hAnsi="宋体" w:eastAsia="宋体" w:cs="宋体"/>
                <w:kern w:val="0"/>
                <w:szCs w:val="21"/>
              </w:rPr>
              <w:t>未及时补充硬件设备，影响项目正常运作，检查发现每次扣2分；</w:t>
            </w:r>
            <w:r>
              <w:rPr>
                <w:rFonts w:hint="eastAsia" w:ascii="宋体" w:hAnsi="宋体" w:eastAsia="宋体" w:cs="宋体"/>
                <w:szCs w:val="21"/>
              </w:rPr>
              <w:t>缺少出入库记录或库存清单的，检查发现每次扣</w:t>
            </w:r>
            <w:r>
              <w:rPr>
                <w:rFonts w:hint="eastAsia" w:ascii="宋体" w:hAnsi="宋体" w:eastAsia="宋体" w:cs="宋体"/>
                <w:kern w:val="0"/>
                <w:szCs w:val="21"/>
              </w:rPr>
              <w:t>2</w:t>
            </w:r>
            <w:r>
              <w:rPr>
                <w:rFonts w:hint="eastAsia" w:ascii="宋体" w:hAnsi="宋体" w:eastAsia="宋体" w:cs="宋体"/>
                <w:szCs w:val="21"/>
              </w:rPr>
              <w:t>分</w:t>
            </w:r>
            <w:r>
              <w:rPr>
                <w:rFonts w:hint="eastAsia" w:ascii="宋体" w:hAnsi="宋体" w:eastAsia="宋体" w:cs="宋体"/>
                <w:kern w:val="0"/>
                <w:szCs w:val="21"/>
              </w:rPr>
              <w:t>；因设备不足或清单设备数目不符造成严重后果的，每次扣4分。</w:t>
            </w:r>
          </w:p>
        </w:tc>
        <w:tc>
          <w:tcPr>
            <w:tcW w:w="497" w:type="dxa"/>
            <w:vAlign w:val="center"/>
          </w:tcPr>
          <w:p>
            <w:pPr>
              <w:ind w:firstLine="420" w:firstLineChars="200"/>
              <w:jc w:val="center"/>
              <w:rPr>
                <w:rFonts w:ascii="宋体" w:hAnsi="宋体" w:eastAsia="宋体" w:cs="宋体"/>
                <w:kern w:val="0"/>
                <w:szCs w:val="21"/>
              </w:rPr>
            </w:pPr>
          </w:p>
        </w:tc>
        <w:tc>
          <w:tcPr>
            <w:tcW w:w="676" w:type="dxa"/>
            <w:vAlign w:val="center"/>
          </w:tcPr>
          <w:p>
            <w:pPr>
              <w:ind w:firstLine="420" w:firstLineChars="200"/>
              <w:jc w:val="center"/>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8" w:hRule="atLeast"/>
          <w:jc w:val="center"/>
        </w:trPr>
        <w:tc>
          <w:tcPr>
            <w:tcW w:w="1197" w:type="dxa"/>
            <w:vAlign w:val="center"/>
          </w:tcPr>
          <w:p>
            <w:pPr>
              <w:jc w:val="center"/>
              <w:rPr>
                <w:rFonts w:ascii="宋体" w:hAnsi="宋体" w:eastAsia="宋体" w:cs="宋体"/>
                <w:kern w:val="0"/>
                <w:szCs w:val="21"/>
              </w:rPr>
            </w:pPr>
            <w:r>
              <w:rPr>
                <w:rFonts w:hint="eastAsia" w:ascii="宋体" w:hAnsi="宋体" w:eastAsia="宋体" w:cs="宋体"/>
                <w:kern w:val="0"/>
                <w:szCs w:val="21"/>
              </w:rPr>
              <w:t>泊位的上下线及设备调试</w:t>
            </w:r>
          </w:p>
        </w:tc>
        <w:tc>
          <w:tcPr>
            <w:tcW w:w="1316" w:type="dxa"/>
            <w:vAlign w:val="center"/>
          </w:tcPr>
          <w:p>
            <w:pPr>
              <w:jc w:val="center"/>
              <w:rPr>
                <w:rFonts w:ascii="宋体" w:hAnsi="宋体" w:eastAsia="宋体" w:cs="宋体"/>
                <w:kern w:val="0"/>
                <w:szCs w:val="21"/>
              </w:rPr>
            </w:pPr>
            <w:r>
              <w:rPr>
                <w:rFonts w:hint="eastAsia" w:ascii="宋体" w:hAnsi="宋体" w:eastAsia="宋体" w:cs="宋体"/>
                <w:kern w:val="0"/>
                <w:szCs w:val="21"/>
              </w:rPr>
              <w:t>8</w:t>
            </w:r>
          </w:p>
        </w:tc>
        <w:tc>
          <w:tcPr>
            <w:tcW w:w="4442" w:type="dxa"/>
            <w:vAlign w:val="center"/>
          </w:tcPr>
          <w:p>
            <w:pPr>
              <w:rPr>
                <w:rFonts w:ascii="宋体" w:hAnsi="宋体" w:eastAsia="宋体" w:cs="宋体"/>
                <w:kern w:val="0"/>
                <w:szCs w:val="21"/>
              </w:rPr>
            </w:pPr>
            <w:r>
              <w:rPr>
                <w:rFonts w:hint="eastAsia" w:ascii="宋体" w:hAnsi="宋体" w:eastAsia="宋体" w:cs="宋体"/>
                <w:kern w:val="0"/>
                <w:szCs w:val="21"/>
              </w:rPr>
              <w:t>6小时内完成泊位的上下线及设备调试，未在6小时内完成的，检查发现每次扣2分（不可抗力因素除外）</w:t>
            </w:r>
          </w:p>
        </w:tc>
        <w:tc>
          <w:tcPr>
            <w:tcW w:w="497" w:type="dxa"/>
            <w:vAlign w:val="center"/>
          </w:tcPr>
          <w:p>
            <w:pPr>
              <w:ind w:firstLine="420" w:firstLineChars="200"/>
              <w:jc w:val="center"/>
              <w:rPr>
                <w:rFonts w:ascii="宋体" w:hAnsi="宋体" w:eastAsia="宋体" w:cs="宋体"/>
                <w:kern w:val="0"/>
                <w:szCs w:val="21"/>
              </w:rPr>
            </w:pPr>
          </w:p>
        </w:tc>
        <w:tc>
          <w:tcPr>
            <w:tcW w:w="676" w:type="dxa"/>
            <w:vAlign w:val="center"/>
          </w:tcPr>
          <w:p>
            <w:pPr>
              <w:ind w:firstLine="420" w:firstLineChars="200"/>
              <w:jc w:val="center"/>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1197" w:type="dxa"/>
            <w:vAlign w:val="center"/>
          </w:tcPr>
          <w:p>
            <w:pPr>
              <w:jc w:val="center"/>
              <w:rPr>
                <w:rFonts w:ascii="宋体" w:hAnsi="宋体" w:eastAsia="宋体" w:cs="宋体"/>
                <w:kern w:val="0"/>
                <w:szCs w:val="21"/>
              </w:rPr>
            </w:pPr>
            <w:r>
              <w:rPr>
                <w:rFonts w:hint="eastAsia" w:ascii="宋体" w:hAnsi="宋体" w:eastAsia="宋体" w:cs="宋体"/>
                <w:kern w:val="0"/>
                <w:szCs w:val="21"/>
              </w:rPr>
              <w:t>人员组织架构</w:t>
            </w:r>
          </w:p>
        </w:tc>
        <w:tc>
          <w:tcPr>
            <w:tcW w:w="1316" w:type="dxa"/>
            <w:vAlign w:val="center"/>
          </w:tcPr>
          <w:p>
            <w:pPr>
              <w:jc w:val="center"/>
              <w:rPr>
                <w:rFonts w:ascii="宋体" w:hAnsi="宋体" w:eastAsia="宋体" w:cs="宋体"/>
                <w:kern w:val="0"/>
                <w:szCs w:val="21"/>
              </w:rPr>
            </w:pPr>
            <w:r>
              <w:rPr>
                <w:rFonts w:hint="eastAsia" w:ascii="宋体" w:hAnsi="宋体" w:eastAsia="宋体" w:cs="宋体"/>
                <w:kern w:val="0"/>
                <w:szCs w:val="21"/>
              </w:rPr>
              <w:t>8</w:t>
            </w:r>
          </w:p>
        </w:tc>
        <w:tc>
          <w:tcPr>
            <w:tcW w:w="4442" w:type="dxa"/>
            <w:vAlign w:val="center"/>
          </w:tcPr>
          <w:p>
            <w:pPr>
              <w:rPr>
                <w:rFonts w:ascii="宋体" w:hAnsi="宋体" w:eastAsia="宋体" w:cs="宋体"/>
                <w:kern w:val="0"/>
                <w:szCs w:val="21"/>
              </w:rPr>
            </w:pPr>
            <w:r>
              <w:rPr>
                <w:rFonts w:hint="eastAsia" w:ascii="宋体" w:hAnsi="宋体" w:eastAsia="宋体" w:cs="宋体"/>
                <w:kern w:val="0"/>
                <w:szCs w:val="21"/>
              </w:rPr>
              <w:t>未按要求提供5名技术服务人员驻场的，每缺少1名扣1分；未具备相关证书的，每缺少1名扣2分</w:t>
            </w:r>
          </w:p>
        </w:tc>
        <w:tc>
          <w:tcPr>
            <w:tcW w:w="497" w:type="dxa"/>
            <w:vAlign w:val="center"/>
          </w:tcPr>
          <w:p>
            <w:pPr>
              <w:ind w:firstLine="420" w:firstLineChars="200"/>
              <w:jc w:val="center"/>
              <w:rPr>
                <w:rFonts w:ascii="宋体" w:hAnsi="宋体" w:eastAsia="宋体" w:cs="宋体"/>
                <w:kern w:val="0"/>
                <w:szCs w:val="21"/>
              </w:rPr>
            </w:pPr>
          </w:p>
        </w:tc>
        <w:tc>
          <w:tcPr>
            <w:tcW w:w="676" w:type="dxa"/>
            <w:vAlign w:val="center"/>
          </w:tcPr>
          <w:p>
            <w:pPr>
              <w:ind w:firstLine="420" w:firstLineChars="200"/>
              <w:jc w:val="center"/>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jc w:val="center"/>
        </w:trPr>
        <w:tc>
          <w:tcPr>
            <w:tcW w:w="1197" w:type="dxa"/>
            <w:vAlign w:val="center"/>
          </w:tcPr>
          <w:p>
            <w:pPr>
              <w:jc w:val="center"/>
              <w:rPr>
                <w:rFonts w:ascii="宋体" w:hAnsi="宋体" w:eastAsia="宋体" w:cs="宋体"/>
                <w:kern w:val="0"/>
                <w:szCs w:val="21"/>
              </w:rPr>
            </w:pPr>
            <w:r>
              <w:rPr>
                <w:rFonts w:hint="eastAsia" w:ascii="宋体" w:hAnsi="宋体" w:eastAsia="宋体" w:cs="宋体"/>
                <w:kern w:val="0"/>
                <w:szCs w:val="21"/>
              </w:rPr>
              <w:t>运维服务流程</w:t>
            </w:r>
          </w:p>
        </w:tc>
        <w:tc>
          <w:tcPr>
            <w:tcW w:w="1316" w:type="dxa"/>
            <w:vAlign w:val="center"/>
          </w:tcPr>
          <w:p>
            <w:pPr>
              <w:jc w:val="center"/>
              <w:rPr>
                <w:rFonts w:ascii="宋体" w:hAnsi="宋体" w:eastAsia="宋体" w:cs="宋体"/>
                <w:kern w:val="0"/>
                <w:szCs w:val="21"/>
              </w:rPr>
            </w:pPr>
            <w:r>
              <w:rPr>
                <w:rFonts w:hint="eastAsia" w:ascii="宋体" w:hAnsi="宋体" w:eastAsia="宋体" w:cs="宋体"/>
                <w:kern w:val="0"/>
                <w:szCs w:val="21"/>
              </w:rPr>
              <w:t>8</w:t>
            </w:r>
          </w:p>
        </w:tc>
        <w:tc>
          <w:tcPr>
            <w:tcW w:w="4442" w:type="dxa"/>
            <w:vAlign w:val="center"/>
          </w:tcPr>
          <w:p>
            <w:pPr>
              <w:rPr>
                <w:rFonts w:ascii="宋体" w:hAnsi="宋体" w:eastAsia="宋体" w:cs="宋体"/>
                <w:kern w:val="0"/>
                <w:szCs w:val="21"/>
              </w:rPr>
            </w:pPr>
            <w:r>
              <w:rPr>
                <w:rFonts w:hint="eastAsia" w:ascii="宋体" w:hAnsi="宋体" w:eastAsia="宋体" w:cs="宋体"/>
                <w:kern w:val="0"/>
                <w:szCs w:val="21"/>
              </w:rPr>
              <w:t>提供完善的运维故障处理流程、紧急事件处理流程、设备维修及更换流程，检查发现无对应流程的，每次扣2分；造成严重后果的，每次扣4分</w:t>
            </w:r>
          </w:p>
        </w:tc>
        <w:tc>
          <w:tcPr>
            <w:tcW w:w="497" w:type="dxa"/>
            <w:vAlign w:val="center"/>
          </w:tcPr>
          <w:p>
            <w:pPr>
              <w:ind w:firstLine="420" w:firstLineChars="200"/>
              <w:jc w:val="center"/>
              <w:rPr>
                <w:rFonts w:ascii="宋体" w:hAnsi="宋体" w:eastAsia="宋体" w:cs="宋体"/>
                <w:kern w:val="0"/>
                <w:szCs w:val="21"/>
              </w:rPr>
            </w:pPr>
          </w:p>
        </w:tc>
        <w:tc>
          <w:tcPr>
            <w:tcW w:w="676" w:type="dxa"/>
            <w:vAlign w:val="center"/>
          </w:tcPr>
          <w:p>
            <w:pPr>
              <w:ind w:firstLine="420" w:firstLineChars="200"/>
              <w:jc w:val="center"/>
              <w:rPr>
                <w:rFonts w:ascii="宋体" w:hAnsi="宋体" w:eastAsia="宋体" w:cs="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8" w:hRule="atLeast"/>
          <w:jc w:val="center"/>
        </w:trPr>
        <w:tc>
          <w:tcPr>
            <w:tcW w:w="1197" w:type="dxa"/>
            <w:vAlign w:val="center"/>
          </w:tcPr>
          <w:p>
            <w:pPr>
              <w:jc w:val="center"/>
              <w:rPr>
                <w:rFonts w:ascii="宋体" w:hAnsi="宋体" w:eastAsia="宋体" w:cs="宋体"/>
                <w:kern w:val="0"/>
                <w:szCs w:val="21"/>
              </w:rPr>
            </w:pPr>
            <w:r>
              <w:rPr>
                <w:rFonts w:hint="eastAsia" w:ascii="宋体" w:hAnsi="宋体" w:eastAsia="宋体" w:cs="宋体"/>
                <w:kern w:val="0"/>
                <w:szCs w:val="21"/>
              </w:rPr>
              <w:t>台账整理情况</w:t>
            </w:r>
          </w:p>
        </w:tc>
        <w:tc>
          <w:tcPr>
            <w:tcW w:w="1316" w:type="dxa"/>
            <w:vAlign w:val="center"/>
          </w:tcPr>
          <w:p>
            <w:pPr>
              <w:jc w:val="center"/>
              <w:rPr>
                <w:rFonts w:ascii="宋体" w:hAnsi="宋体" w:eastAsia="宋体" w:cs="宋体"/>
                <w:kern w:val="0"/>
                <w:szCs w:val="21"/>
              </w:rPr>
            </w:pPr>
            <w:r>
              <w:rPr>
                <w:rFonts w:hint="eastAsia" w:ascii="宋体" w:hAnsi="宋体" w:eastAsia="宋体" w:cs="宋体"/>
                <w:kern w:val="0"/>
                <w:szCs w:val="21"/>
              </w:rPr>
              <w:t>8</w:t>
            </w:r>
          </w:p>
        </w:tc>
        <w:tc>
          <w:tcPr>
            <w:tcW w:w="4442" w:type="dxa"/>
            <w:vAlign w:val="center"/>
          </w:tcPr>
          <w:p>
            <w:pPr>
              <w:rPr>
                <w:rFonts w:ascii="宋体" w:hAnsi="宋体" w:eastAsia="宋体" w:cs="宋体"/>
                <w:kern w:val="0"/>
                <w:szCs w:val="21"/>
              </w:rPr>
            </w:pPr>
            <w:r>
              <w:rPr>
                <w:rFonts w:hint="eastAsia" w:ascii="宋体" w:hAnsi="宋体" w:eastAsia="宋体" w:cs="宋体"/>
                <w:kern w:val="0"/>
                <w:szCs w:val="21"/>
              </w:rPr>
              <w:t>未按要求做好故障维修记录、系统巡检记录、运维周报、月运维报告等项目相关台账的，检查发现每缺少一个扣2分</w:t>
            </w:r>
          </w:p>
        </w:tc>
        <w:tc>
          <w:tcPr>
            <w:tcW w:w="497" w:type="dxa"/>
            <w:vAlign w:val="center"/>
          </w:tcPr>
          <w:p>
            <w:pPr>
              <w:ind w:firstLine="420" w:firstLineChars="200"/>
              <w:jc w:val="center"/>
              <w:rPr>
                <w:rFonts w:ascii="宋体" w:hAnsi="宋体" w:eastAsia="宋体" w:cs="宋体"/>
                <w:kern w:val="0"/>
                <w:szCs w:val="21"/>
              </w:rPr>
            </w:pPr>
          </w:p>
        </w:tc>
        <w:tc>
          <w:tcPr>
            <w:tcW w:w="676" w:type="dxa"/>
            <w:vAlign w:val="center"/>
          </w:tcPr>
          <w:p>
            <w:pPr>
              <w:ind w:firstLine="420" w:firstLineChars="200"/>
              <w:jc w:val="center"/>
              <w:rPr>
                <w:rFonts w:ascii="宋体" w:hAnsi="宋体" w:eastAsia="宋体" w:cs="宋体"/>
                <w:kern w:val="0"/>
                <w:szCs w:val="21"/>
              </w:rPr>
            </w:pPr>
          </w:p>
        </w:tc>
      </w:tr>
    </w:tbl>
    <w:p>
      <w:pPr>
        <w:ind w:firstLine="420" w:firstLineChars="200"/>
        <w:rPr>
          <w:rStyle w:val="44"/>
          <w:rFonts w:hint="default" w:ascii="宋体" w:hAnsi="宋体" w:eastAsia="宋体" w:cs="宋体"/>
          <w:sz w:val="21"/>
          <w:szCs w:val="21"/>
        </w:rPr>
      </w:pPr>
    </w:p>
    <w:p>
      <w:pPr>
        <w:spacing w:line="360" w:lineRule="auto"/>
        <w:ind w:firstLine="480"/>
        <w:jc w:val="left"/>
        <w:rPr>
          <w:rFonts w:ascii="宋体" w:hAnsi="宋体" w:eastAsia="宋体" w:cs="宋体"/>
        </w:rPr>
      </w:pPr>
      <w:r>
        <w:rPr>
          <w:rFonts w:hint="eastAsia" w:ascii="宋体" w:hAnsi="宋体" w:eastAsia="宋体" w:cs="宋体"/>
        </w:rPr>
        <w:t>项目承建单位应积极主动配合绩效考核工作，提供考核相应资料，并对资料的真实性负责。</w:t>
      </w:r>
    </w:p>
    <w:p>
      <w:pPr>
        <w:spacing w:line="360" w:lineRule="auto"/>
        <w:ind w:firstLine="480"/>
        <w:jc w:val="left"/>
        <w:rPr>
          <w:rFonts w:ascii="宋体" w:hAnsi="宋体" w:eastAsia="宋体" w:cs="宋体"/>
        </w:rPr>
      </w:pPr>
      <w:r>
        <w:rPr>
          <w:rFonts w:hint="eastAsia" w:ascii="宋体" w:hAnsi="宋体" w:eastAsia="宋体" w:cs="宋体"/>
        </w:rPr>
        <w:t>考核申诉。项目各承建单位对考核存在较大异议，考核双方无法达成一致意见，可在5个工作日内向建设单位提出书面申诉及理由。由建设单位组织调查，根据具体情况做出维持原考核结果或在其协调下重新考核的决定。</w:t>
      </w:r>
    </w:p>
    <w:p>
      <w:pPr>
        <w:spacing w:line="360" w:lineRule="auto"/>
        <w:ind w:firstLine="480"/>
        <w:jc w:val="left"/>
        <w:rPr>
          <w:rFonts w:ascii="宋体" w:hAnsi="宋体" w:eastAsia="宋体" w:cs="宋体"/>
        </w:rPr>
      </w:pPr>
      <w:r>
        <w:rPr>
          <w:rFonts w:hint="eastAsia" w:ascii="宋体" w:hAnsi="宋体" w:eastAsia="宋体" w:cs="宋体"/>
        </w:rPr>
        <w:t>绩效考核中若发现违法违规行为，应根据有关规定予以处理，构成犯罪的，依法追究刑事责任。</w:t>
      </w:r>
    </w:p>
    <w:p>
      <w:pPr>
        <w:spacing w:line="360" w:lineRule="auto"/>
        <w:ind w:firstLine="480"/>
        <w:jc w:val="left"/>
        <w:rPr>
          <w:rFonts w:ascii="宋体" w:hAnsi="宋体" w:eastAsia="宋体" w:cs="宋体"/>
        </w:rPr>
      </w:pPr>
      <w:r>
        <w:rPr>
          <w:rFonts w:hint="eastAsia" w:ascii="宋体" w:hAnsi="宋体" w:eastAsia="宋体" w:cs="宋体"/>
        </w:rPr>
        <w:t>绩效考核扣分将与合同进度款分期支付金额的审核审批挂钩，直接核减。</w:t>
      </w:r>
    </w:p>
    <w:p>
      <w:pPr>
        <w:spacing w:line="360" w:lineRule="auto"/>
        <w:ind w:firstLine="480"/>
        <w:jc w:val="left"/>
        <w:rPr>
          <w:rFonts w:ascii="宋体" w:hAnsi="宋体" w:eastAsia="宋体" w:cs="宋体"/>
          <w:b/>
          <w:bCs/>
        </w:rPr>
      </w:pPr>
      <w:r>
        <w:rPr>
          <w:rFonts w:hint="eastAsia" w:ascii="宋体" w:hAnsi="宋体" w:eastAsia="宋体" w:cs="宋体"/>
          <w:b/>
          <w:bCs/>
        </w:rPr>
        <w:t>4、具体考核分数扣罚细则如下：</w:t>
      </w:r>
    </w:p>
    <w:p>
      <w:pPr>
        <w:spacing w:line="360" w:lineRule="auto"/>
        <w:ind w:firstLine="480"/>
        <w:jc w:val="left"/>
        <w:rPr>
          <w:rFonts w:ascii="宋体" w:hAnsi="宋体" w:eastAsia="宋体" w:cs="宋体"/>
        </w:rPr>
      </w:pPr>
      <w:r>
        <w:rPr>
          <w:rFonts w:hint="eastAsia" w:ascii="宋体" w:hAnsi="宋体" w:eastAsia="宋体" w:cs="宋体"/>
        </w:rPr>
        <w:t>95分及以上不作合同款扣罚；</w:t>
      </w:r>
    </w:p>
    <w:p>
      <w:pPr>
        <w:spacing w:line="360" w:lineRule="auto"/>
        <w:ind w:firstLine="480"/>
        <w:jc w:val="left"/>
        <w:rPr>
          <w:rFonts w:ascii="宋体" w:hAnsi="宋体" w:eastAsia="宋体" w:cs="宋体"/>
        </w:rPr>
      </w:pPr>
      <w:r>
        <w:rPr>
          <w:rFonts w:hint="eastAsia" w:ascii="宋体" w:hAnsi="宋体" w:eastAsia="宋体" w:cs="宋体"/>
        </w:rPr>
        <w:t>90分-94分扣罚5%/月应付合同款；</w:t>
      </w:r>
    </w:p>
    <w:p>
      <w:pPr>
        <w:spacing w:line="360" w:lineRule="auto"/>
        <w:ind w:firstLine="480"/>
        <w:jc w:val="left"/>
        <w:rPr>
          <w:rFonts w:ascii="宋体" w:hAnsi="宋体" w:eastAsia="宋体" w:cs="宋体"/>
        </w:rPr>
      </w:pPr>
      <w:r>
        <w:rPr>
          <w:rFonts w:hint="eastAsia" w:ascii="宋体" w:hAnsi="宋体" w:eastAsia="宋体" w:cs="宋体"/>
        </w:rPr>
        <w:t>85分-89分扣罚10%/月应付合同款；</w:t>
      </w:r>
    </w:p>
    <w:p>
      <w:pPr>
        <w:spacing w:line="360" w:lineRule="auto"/>
        <w:ind w:firstLine="480"/>
        <w:jc w:val="left"/>
        <w:rPr>
          <w:rFonts w:ascii="宋体" w:hAnsi="宋体" w:eastAsia="宋体" w:cs="宋体"/>
        </w:rPr>
      </w:pPr>
      <w:r>
        <w:rPr>
          <w:rFonts w:hint="eastAsia" w:ascii="宋体" w:hAnsi="宋体" w:eastAsia="宋体" w:cs="宋体"/>
        </w:rPr>
        <w:t>80分-84分扣罚15%/月应付合同款；</w:t>
      </w:r>
    </w:p>
    <w:p>
      <w:pPr>
        <w:spacing w:line="360" w:lineRule="auto"/>
        <w:ind w:firstLine="480"/>
        <w:jc w:val="left"/>
        <w:rPr>
          <w:rFonts w:ascii="宋体" w:hAnsi="宋体" w:eastAsia="宋体" w:cs="宋体"/>
        </w:rPr>
      </w:pPr>
      <w:r>
        <w:rPr>
          <w:rFonts w:hint="eastAsia" w:ascii="宋体" w:hAnsi="宋体" w:eastAsia="宋体" w:cs="宋体"/>
        </w:rPr>
        <w:t>出现一次79分及以下的，扣罚20%/月应付合同款；并给予警告，采购人发出限期整改通知书。服务期内服务质量考核评分出现两次79分及以下的，采购人有权对合同中标人的合同进行变更和调整或终止剩余合同款支付。</w:t>
      </w:r>
    </w:p>
    <w:p>
      <w:pPr>
        <w:spacing w:line="360" w:lineRule="auto"/>
        <w:ind w:firstLine="480"/>
        <w:jc w:val="left"/>
        <w:rPr>
          <w:rFonts w:ascii="宋体" w:hAnsi="宋体" w:eastAsia="宋体" w:cs="宋体"/>
        </w:rPr>
      </w:pPr>
      <w:r>
        <w:rPr>
          <w:rFonts w:hint="eastAsia" w:ascii="宋体" w:hAnsi="宋体" w:eastAsia="宋体" w:cs="宋体"/>
        </w:rPr>
        <w:t>如有造成损失则照价赔偿。</w:t>
      </w:r>
    </w:p>
    <w:p>
      <w:pPr>
        <w:spacing w:line="360" w:lineRule="auto"/>
        <w:ind w:firstLine="480"/>
        <w:jc w:val="left"/>
        <w:rPr>
          <w:rFonts w:ascii="宋体" w:hAnsi="宋体" w:eastAsia="宋体" w:cs="宋体"/>
        </w:rPr>
      </w:pPr>
    </w:p>
    <w:p>
      <w:pPr>
        <w:pStyle w:val="5"/>
        <w:rPr>
          <w:rFonts w:ascii="宋体" w:hAnsi="宋体" w:eastAsia="宋体" w:cs="宋体"/>
          <w:sz w:val="28"/>
          <w:szCs w:val="36"/>
        </w:rPr>
      </w:pPr>
      <w:r>
        <w:rPr>
          <w:rFonts w:hint="eastAsia" w:ascii="宋体" w:hAnsi="宋体" w:eastAsia="宋体" w:cs="宋体"/>
          <w:sz w:val="28"/>
          <w:szCs w:val="36"/>
        </w:rPr>
        <w:t>演示及答辩需求</w:t>
      </w:r>
    </w:p>
    <w:p>
      <w:pPr>
        <w:spacing w:line="360" w:lineRule="auto"/>
        <w:ind w:firstLine="480"/>
        <w:jc w:val="left"/>
        <w:rPr>
          <w:rFonts w:ascii="宋体" w:hAnsi="宋体" w:eastAsia="宋体" w:cs="宋体"/>
          <w:lang w:eastAsia="zh-Hans"/>
        </w:rPr>
      </w:pPr>
      <w:r>
        <w:rPr>
          <w:rFonts w:hint="eastAsia" w:ascii="宋体" w:hAnsi="宋体" w:eastAsia="宋体" w:cs="宋体"/>
        </w:rPr>
        <w:t>投标人提供高位视频智能检测摄像机技术演示及应对前场大面积（不少于1条路段故障，或故障涉及泊位50个以上）故障（包含但不限于电力、网络、设备等方面故障）的应急技术演示，</w:t>
      </w:r>
      <w:r>
        <w:t>投标人对评委提出的问题进行答辩。</w:t>
      </w:r>
      <w:r>
        <w:rPr>
          <w:rFonts w:hint="eastAsia" w:ascii="宋体" w:hAnsi="宋体" w:eastAsia="宋体" w:cs="宋体"/>
          <w:lang w:eastAsia="zh-Hans"/>
        </w:rPr>
        <w:t>具体演示内容及要求如下：</w:t>
      </w:r>
    </w:p>
    <w:p>
      <w:pPr>
        <w:spacing w:line="360" w:lineRule="auto"/>
        <w:ind w:firstLine="420" w:firstLineChars="200"/>
        <w:jc w:val="left"/>
        <w:rPr>
          <w:rFonts w:ascii="宋体" w:hAnsi="宋体" w:eastAsia="宋体" w:cs="宋体"/>
          <w:lang w:eastAsia="zh-Hans"/>
        </w:rPr>
      </w:pPr>
      <w:r>
        <w:rPr>
          <w:rFonts w:hint="eastAsia" w:ascii="宋体" w:hAnsi="宋体" w:eastAsia="宋体" w:cs="宋体"/>
        </w:rPr>
        <w:t>1、高位视频智能检测摄像机</w:t>
      </w:r>
      <w:r>
        <w:rPr>
          <w:rFonts w:hint="eastAsia" w:ascii="宋体" w:hAnsi="宋体" w:eastAsia="宋体" w:cs="宋体"/>
          <w:lang w:eastAsia="zh-Hans"/>
        </w:rPr>
        <w:t>具备远程巡检能力，可查看每个泊位的实时停车图片及近30天的历史回溯图片，具备AI算法巡检，快速发现停车泊位指定区域变化的能力。</w:t>
      </w:r>
    </w:p>
    <w:p>
      <w:pPr>
        <w:spacing w:line="360" w:lineRule="auto"/>
        <w:ind w:firstLine="420" w:firstLineChars="200"/>
        <w:jc w:val="left"/>
        <w:rPr>
          <w:rFonts w:ascii="宋体" w:hAnsi="宋体" w:eastAsia="宋体" w:cs="宋体"/>
          <w:lang w:eastAsia="zh-Hans"/>
        </w:rPr>
      </w:pPr>
      <w:r>
        <w:rPr>
          <w:rFonts w:hint="eastAsia" w:ascii="宋体" w:hAnsi="宋体" w:eastAsia="宋体" w:cs="宋体"/>
        </w:rPr>
        <w:t>2、高位视频智能检测摄像机</w:t>
      </w:r>
      <w:r>
        <w:rPr>
          <w:rFonts w:hint="eastAsia" w:ascii="宋体" w:hAnsi="宋体" w:eastAsia="宋体" w:cs="宋体"/>
          <w:lang w:eastAsia="zh-Hans"/>
        </w:rPr>
        <w:t>具备设备图像画质远程监管能力，对画线异常、水印异常、泊位重复、有遮挡物、相机偏移、图片模糊、设备离线、夜间模糊、树枝遮挡的情况进行上报。可以按照车场及故障类型归集问题，运维人员可操作批量修复。</w:t>
      </w:r>
    </w:p>
    <w:p>
      <w:pPr>
        <w:spacing w:line="360" w:lineRule="auto"/>
        <w:ind w:firstLine="420" w:firstLineChars="200"/>
        <w:jc w:val="left"/>
        <w:rPr>
          <w:rFonts w:ascii="宋体" w:hAnsi="宋体" w:eastAsia="宋体" w:cs="宋体"/>
          <w:lang w:eastAsia="zh-Hans"/>
        </w:rPr>
      </w:pPr>
      <w:r>
        <w:rPr>
          <w:rFonts w:hint="eastAsia" w:ascii="宋体" w:hAnsi="宋体" w:eastAsia="宋体" w:cs="宋体"/>
        </w:rPr>
        <w:t>3、高位视频智能检测摄像机</w:t>
      </w:r>
      <w:r>
        <w:rPr>
          <w:rFonts w:hint="eastAsia" w:ascii="宋体" w:hAnsi="宋体" w:eastAsia="宋体" w:cs="宋体"/>
          <w:lang w:eastAsia="zh-Hans"/>
        </w:rPr>
        <w:t>具备智能预警能力，针对多车占位、车辆入场、出场事件漏报、无牌车占用泊位等情况进行智能预警。</w:t>
      </w:r>
    </w:p>
    <w:p>
      <w:pPr>
        <w:spacing w:line="360" w:lineRule="auto"/>
        <w:ind w:firstLine="420" w:firstLineChars="200"/>
        <w:jc w:val="left"/>
        <w:rPr>
          <w:rFonts w:ascii="宋体" w:hAnsi="宋体" w:eastAsia="宋体" w:cs="宋体"/>
          <w:lang w:eastAsia="zh-Hans"/>
        </w:rPr>
      </w:pPr>
      <w:r>
        <w:rPr>
          <w:rFonts w:hint="eastAsia" w:ascii="宋体" w:hAnsi="宋体" w:eastAsia="宋体" w:cs="宋体"/>
        </w:rPr>
        <w:t>4、</w:t>
      </w:r>
      <w:r>
        <w:rPr>
          <w:rFonts w:hint="eastAsia" w:ascii="宋体" w:hAnsi="宋体" w:eastAsia="宋体" w:cs="宋体"/>
          <w:lang w:eastAsia="zh-Hans"/>
        </w:rPr>
        <w:t>应急技术具备完整的视频及图像证据，可以展示应急技术记录的车辆停车情况的时序图、特写图及识别过程的小视频</w:t>
      </w:r>
      <w:r>
        <w:rPr>
          <w:rFonts w:hint="eastAsia" w:ascii="宋体" w:hAnsi="宋体" w:eastAsia="宋体" w:cs="宋体"/>
        </w:rPr>
        <w:t>，</w:t>
      </w:r>
      <w:r>
        <w:rPr>
          <w:rFonts w:hint="eastAsia" w:ascii="宋体" w:hAnsi="宋体" w:eastAsia="宋体" w:cs="宋体"/>
          <w:lang w:eastAsia="zh-Hans"/>
        </w:rPr>
        <w:t>可对比查看车辆入场记录及最近一次应急巡检记录，并对错误数据进行修正，包括：车牌号、车牌颜色、车辆类型、泊位号信息，同时可通过视频流截取并更换车辆特写图片。</w:t>
      </w:r>
    </w:p>
    <w:p>
      <w:pPr>
        <w:spacing w:line="360" w:lineRule="auto"/>
        <w:ind w:firstLine="420" w:firstLineChars="200"/>
        <w:jc w:val="left"/>
        <w:rPr>
          <w:rFonts w:ascii="宋体" w:hAnsi="宋体" w:eastAsia="宋体" w:cs="宋体"/>
        </w:rPr>
      </w:pPr>
      <w:r>
        <w:rPr>
          <w:rFonts w:hint="eastAsia" w:ascii="宋体" w:hAnsi="宋体" w:eastAsia="宋体" w:cs="宋体"/>
        </w:rPr>
        <w:t>5、应急技术满足以下要求：</w:t>
      </w:r>
    </w:p>
    <w:p>
      <w:pPr>
        <w:spacing w:line="360" w:lineRule="auto"/>
        <w:ind w:left="420" w:leftChars="200"/>
        <w:jc w:val="left"/>
        <w:rPr>
          <w:rFonts w:ascii="宋体" w:hAnsi="宋体" w:eastAsia="宋体" w:cs="宋体"/>
        </w:rPr>
      </w:pPr>
      <w:r>
        <w:rPr>
          <w:rFonts w:hint="eastAsia" w:ascii="宋体" w:hAnsi="宋体" w:eastAsia="宋体" w:cs="宋体"/>
        </w:rPr>
        <w:t>①方案覆盖面广：应急技术可以应对突发的、不定点的大面积泊位故障；</w:t>
      </w:r>
    </w:p>
    <w:p>
      <w:pPr>
        <w:spacing w:line="360" w:lineRule="auto"/>
        <w:ind w:left="420" w:leftChars="200"/>
        <w:jc w:val="left"/>
        <w:rPr>
          <w:rFonts w:ascii="宋体" w:hAnsi="宋体" w:eastAsia="宋体" w:cs="宋体"/>
        </w:rPr>
      </w:pPr>
      <w:r>
        <w:rPr>
          <w:rFonts w:hint="eastAsia" w:ascii="宋体" w:hAnsi="宋体" w:eastAsia="宋体" w:cs="宋体"/>
        </w:rPr>
        <w:t>②响应时间短：应急技术实施响应时间不大于0.5小时；</w:t>
      </w:r>
    </w:p>
    <w:p>
      <w:pPr>
        <w:spacing w:line="360" w:lineRule="auto"/>
        <w:ind w:left="420" w:leftChars="200"/>
        <w:jc w:val="left"/>
        <w:rPr>
          <w:rFonts w:ascii="宋体" w:hAnsi="宋体" w:eastAsia="宋体" w:cs="宋体"/>
        </w:rPr>
      </w:pPr>
      <w:r>
        <w:rPr>
          <w:rFonts w:hint="eastAsia" w:ascii="宋体" w:hAnsi="宋体" w:eastAsia="宋体" w:cs="宋体"/>
        </w:rPr>
        <w:t>③车牌识别率高：应急技术的车牌识别率不低于90%；</w:t>
      </w:r>
    </w:p>
    <w:p>
      <w:pPr>
        <w:spacing w:line="360" w:lineRule="auto"/>
        <w:ind w:left="420" w:leftChars="200"/>
        <w:jc w:val="left"/>
        <w:rPr>
          <w:rFonts w:ascii="宋体" w:hAnsi="宋体" w:eastAsia="宋体" w:cs="宋体"/>
        </w:rPr>
      </w:pPr>
      <w:r>
        <w:rPr>
          <w:rFonts w:hint="eastAsia" w:ascii="宋体" w:hAnsi="宋体" w:eastAsia="宋体" w:cs="宋体"/>
        </w:rPr>
        <w:t>④经济性优：应急技术耗费的人力、物力低；</w:t>
      </w:r>
    </w:p>
    <w:p>
      <w:pPr>
        <w:spacing w:line="360" w:lineRule="auto"/>
        <w:ind w:left="420" w:leftChars="200"/>
        <w:jc w:val="left"/>
        <w:rPr>
          <w:rFonts w:ascii="宋体" w:hAnsi="宋体" w:eastAsia="宋体" w:cs="宋体"/>
          <w:lang w:eastAsia="zh-Hans"/>
        </w:rPr>
      </w:pPr>
      <w:r>
        <w:rPr>
          <w:rFonts w:hint="eastAsia" w:ascii="宋体" w:hAnsi="宋体" w:eastAsia="宋体" w:cs="宋体"/>
        </w:rPr>
        <w:t>⑤可持续性强：应急技术支持不小于全天收费时段的故障场景。</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细黑">
    <w:altName w:val="微软雅黑"/>
    <w:panose1 w:val="02010600040101010101"/>
    <w:charset w:val="86"/>
    <w:family w:val="auto"/>
    <w:pitch w:val="default"/>
    <w:sig w:usb0="00000000" w:usb1="00000000" w:usb2="00000010" w:usb3="00000000" w:csb0="000400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A0000287" w:usb1="28C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D19F1"/>
    <w:multiLevelType w:val="multilevel"/>
    <w:tmpl w:val="0B1D19F1"/>
    <w:lvl w:ilvl="0" w:tentative="0">
      <w:start w:val="1"/>
      <w:numFmt w:val="decimal"/>
      <w:pStyle w:val="4"/>
      <w:suff w:val="space"/>
      <w:lvlText w:val="第%1章"/>
      <w:lvlJc w:val="left"/>
      <w:pPr>
        <w:ind w:left="0" w:firstLine="0"/>
      </w:pPr>
      <w:rPr>
        <w:rFonts w:hint="default"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decimal"/>
      <w:pStyle w:val="5"/>
      <w:suff w:val="space"/>
      <w:lvlText w:val="%1.%2"/>
      <w:lvlJc w:val="left"/>
      <w:pPr>
        <w:ind w:left="0" w:firstLine="0"/>
      </w:pPr>
      <w:rPr>
        <w:rFonts w:hint="eastAsia"/>
      </w:rPr>
    </w:lvl>
    <w:lvl w:ilvl="2" w:tentative="0">
      <w:start w:val="1"/>
      <w:numFmt w:val="decimal"/>
      <w:pStyle w:val="6"/>
      <w:suff w:val="space"/>
      <w:lvlText w:val="%1.%2.%3"/>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7"/>
      <w:suff w:val="space"/>
      <w:lvlText w:val="%1.%2.%3.%4"/>
      <w:lvlJc w:val="left"/>
      <w:pPr>
        <w:ind w:left="0" w:firstLine="0"/>
      </w:pPr>
      <w:rPr>
        <w:rFonts w:hint="eastAsia"/>
      </w:rPr>
    </w:lvl>
    <w:lvl w:ilvl="4" w:tentative="0">
      <w:start w:val="1"/>
      <w:numFmt w:val="decimal"/>
      <w:pStyle w:val="8"/>
      <w:suff w:val="space"/>
      <w:lvlText w:val="%1.%2.%3.%4.%5"/>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5" w:tentative="0">
      <w:start w:val="1"/>
      <w:numFmt w:val="decimal"/>
      <w:pStyle w:val="9"/>
      <w:lvlText w:val="%1.%2.%3.%4.%5.%6"/>
      <w:lvlJc w:val="left"/>
      <w:pPr>
        <w:tabs>
          <w:tab w:val="left" w:pos="0"/>
        </w:tabs>
        <w:ind w:left="0" w:firstLine="0"/>
      </w:pPr>
      <w:rPr>
        <w:rFonts w:hint="eastAsia"/>
      </w:rPr>
    </w:lvl>
    <w:lvl w:ilvl="6" w:tentative="0">
      <w:start w:val="1"/>
      <w:numFmt w:val="decimal"/>
      <w:lvlText w:val="%1.%2.%3.%4.%5.%6.%7"/>
      <w:lvlJc w:val="left"/>
      <w:pPr>
        <w:tabs>
          <w:tab w:val="left" w:pos="1588"/>
        </w:tabs>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1">
    <w:nsid w:val="17221995"/>
    <w:multiLevelType w:val="multilevel"/>
    <w:tmpl w:val="17221995"/>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1CD5AAC"/>
    <w:multiLevelType w:val="multilevel"/>
    <w:tmpl w:val="21CD5AAC"/>
    <w:lvl w:ilvl="0" w:tentative="0">
      <w:start w:val="1"/>
      <w:numFmt w:val="decimal"/>
      <w:lvlText w:val="（%1）"/>
      <w:lvlJc w:val="left"/>
      <w:pPr>
        <w:ind w:left="0" w:firstLine="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59B51BB"/>
    <w:multiLevelType w:val="multilevel"/>
    <w:tmpl w:val="259B51B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CA2D98A"/>
    <w:multiLevelType w:val="singleLevel"/>
    <w:tmpl w:val="4CA2D98A"/>
    <w:lvl w:ilvl="0" w:tentative="0">
      <w:start w:val="1"/>
      <w:numFmt w:val="decimal"/>
      <w:lvlText w:val="%1)"/>
      <w:lvlJc w:val="left"/>
      <w:pPr>
        <w:ind w:left="425" w:hanging="425"/>
      </w:pPr>
      <w:rPr>
        <w:rFonts w:hint="default"/>
      </w:rPr>
    </w:lvl>
  </w:abstractNum>
  <w:abstractNum w:abstractNumId="5">
    <w:nsid w:val="504701BA"/>
    <w:multiLevelType w:val="multilevel"/>
    <w:tmpl w:val="504701BA"/>
    <w:lvl w:ilvl="0" w:tentative="0">
      <w:start w:val="1"/>
      <w:numFmt w:val="decimal"/>
      <w:pStyle w:val="30"/>
      <w:lvlText w:val="%1."/>
      <w:lvlJc w:val="left"/>
      <w:pPr>
        <w:tabs>
          <w:tab w:val="left" w:pos="720"/>
        </w:tabs>
        <w:ind w:left="720" w:hanging="720"/>
      </w:pPr>
    </w:lvl>
    <w:lvl w:ilvl="1" w:tentative="0">
      <w:start w:val="1"/>
      <w:numFmt w:val="decimal"/>
      <w:pStyle w:val="32"/>
      <w:lvlText w:val="%2."/>
      <w:lvlJc w:val="left"/>
      <w:pPr>
        <w:tabs>
          <w:tab w:val="left" w:pos="1440"/>
        </w:tabs>
        <w:ind w:left="1440" w:hanging="720"/>
      </w:pPr>
    </w:lvl>
    <w:lvl w:ilvl="2" w:tentative="0">
      <w:start w:val="1"/>
      <w:numFmt w:val="decimal"/>
      <w:pStyle w:val="35"/>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6">
    <w:nsid w:val="53E718B7"/>
    <w:multiLevelType w:val="multilevel"/>
    <w:tmpl w:val="53E718B7"/>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6E6F6102"/>
    <w:multiLevelType w:val="multilevel"/>
    <w:tmpl w:val="6E6F6102"/>
    <w:lvl w:ilvl="0" w:tentative="0">
      <w:start w:val="1"/>
      <w:numFmt w:val="decimal"/>
      <w:lvlText w:val="%1、"/>
      <w:lvlJc w:val="left"/>
      <w:pPr>
        <w:ind w:left="900" w:hanging="420"/>
      </w:pPr>
      <w:rPr>
        <w:rFonts w:ascii="宋体" w:hAnsi="宋体" w:eastAsia="宋体"/>
        <w:sz w:val="24"/>
        <w:szCs w:val="24"/>
      </w:rPr>
    </w:lvl>
    <w:lvl w:ilvl="1" w:tentative="0">
      <w:start w:val="1"/>
      <w:numFmt w:val="decimal"/>
      <w:lvlText w:val="（%2）"/>
      <w:lvlJc w:val="left"/>
      <w:pPr>
        <w:ind w:left="1620" w:hanging="720"/>
      </w:pPr>
      <w:rPr>
        <w:rFonts w:hint="default"/>
      </w:rPr>
    </w:lvl>
    <w:lvl w:ilvl="2" w:tentative="0">
      <w:start w:val="1"/>
      <w:numFmt w:val="lowerRoman"/>
      <w:pStyle w:val="53"/>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72F540E2"/>
    <w:multiLevelType w:val="singleLevel"/>
    <w:tmpl w:val="72F540E2"/>
    <w:lvl w:ilvl="0" w:tentative="0">
      <w:start w:val="1"/>
      <w:numFmt w:val="decimal"/>
      <w:suff w:val="nothing"/>
      <w:lvlText w:val="%1、"/>
      <w:lvlJc w:val="left"/>
    </w:lvl>
  </w:abstractNum>
  <w:num w:numId="1">
    <w:abstractNumId w:val="0"/>
  </w:num>
  <w:num w:numId="2">
    <w:abstractNumId w:val="5"/>
  </w:num>
  <w:num w:numId="3">
    <w:abstractNumId w:val="7"/>
  </w:num>
  <w:num w:numId="4">
    <w:abstractNumId w:val="6"/>
  </w:num>
  <w:num w:numId="5">
    <w:abstractNumId w:val="1"/>
  </w:num>
  <w:num w:numId="6">
    <w:abstractNumId w:val="3"/>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documentProtection w:enforcement="0"/>
  <w:defaultTabStop w:val="5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5NmE0ZDI5YWFjODg1NjkyMjE1YzljOWFhOGRhODgifQ=="/>
  </w:docVars>
  <w:rsids>
    <w:rsidRoot w:val="53B52B8D"/>
    <w:rsid w:val="000304A5"/>
    <w:rsid w:val="00033781"/>
    <w:rsid w:val="00034348"/>
    <w:rsid w:val="00051413"/>
    <w:rsid w:val="00054E48"/>
    <w:rsid w:val="00055449"/>
    <w:rsid w:val="000831CF"/>
    <w:rsid w:val="000A6D5F"/>
    <w:rsid w:val="000B4266"/>
    <w:rsid w:val="000B6713"/>
    <w:rsid w:val="000C1171"/>
    <w:rsid w:val="000D3992"/>
    <w:rsid w:val="001074E6"/>
    <w:rsid w:val="00130D52"/>
    <w:rsid w:val="00137E78"/>
    <w:rsid w:val="00147337"/>
    <w:rsid w:val="001605CC"/>
    <w:rsid w:val="001667C3"/>
    <w:rsid w:val="001A15F1"/>
    <w:rsid w:val="001A3DD9"/>
    <w:rsid w:val="001A4995"/>
    <w:rsid w:val="001B557B"/>
    <w:rsid w:val="001D2124"/>
    <w:rsid w:val="001D4372"/>
    <w:rsid w:val="002235C0"/>
    <w:rsid w:val="00226F79"/>
    <w:rsid w:val="00230CEC"/>
    <w:rsid w:val="002323D0"/>
    <w:rsid w:val="00232F7E"/>
    <w:rsid w:val="0025032F"/>
    <w:rsid w:val="00252768"/>
    <w:rsid w:val="00264CC0"/>
    <w:rsid w:val="002B1EB2"/>
    <w:rsid w:val="002B6169"/>
    <w:rsid w:val="002C3BEE"/>
    <w:rsid w:val="002D0905"/>
    <w:rsid w:val="002E562C"/>
    <w:rsid w:val="002E7CF6"/>
    <w:rsid w:val="002F65EC"/>
    <w:rsid w:val="002F67BD"/>
    <w:rsid w:val="00307803"/>
    <w:rsid w:val="00307F5F"/>
    <w:rsid w:val="00320097"/>
    <w:rsid w:val="00321FB2"/>
    <w:rsid w:val="00362D2E"/>
    <w:rsid w:val="003648D2"/>
    <w:rsid w:val="00366F99"/>
    <w:rsid w:val="003814F2"/>
    <w:rsid w:val="00391840"/>
    <w:rsid w:val="003D3EFA"/>
    <w:rsid w:val="003E55AC"/>
    <w:rsid w:val="003F1DA9"/>
    <w:rsid w:val="003F54CF"/>
    <w:rsid w:val="003F579A"/>
    <w:rsid w:val="00404566"/>
    <w:rsid w:val="0040592B"/>
    <w:rsid w:val="00407BB8"/>
    <w:rsid w:val="0041128C"/>
    <w:rsid w:val="00415C7D"/>
    <w:rsid w:val="00450A8F"/>
    <w:rsid w:val="004530FA"/>
    <w:rsid w:val="00455DE8"/>
    <w:rsid w:val="004704AF"/>
    <w:rsid w:val="00473FCD"/>
    <w:rsid w:val="00474088"/>
    <w:rsid w:val="00493851"/>
    <w:rsid w:val="004B2124"/>
    <w:rsid w:val="004B7608"/>
    <w:rsid w:val="004D3B57"/>
    <w:rsid w:val="004E401B"/>
    <w:rsid w:val="004F0D59"/>
    <w:rsid w:val="004F768B"/>
    <w:rsid w:val="00531E3D"/>
    <w:rsid w:val="005476C5"/>
    <w:rsid w:val="005600F4"/>
    <w:rsid w:val="00571151"/>
    <w:rsid w:val="005933DF"/>
    <w:rsid w:val="005B08EC"/>
    <w:rsid w:val="005E3A72"/>
    <w:rsid w:val="005F200C"/>
    <w:rsid w:val="0061167A"/>
    <w:rsid w:val="006226AA"/>
    <w:rsid w:val="006245CA"/>
    <w:rsid w:val="00654DC2"/>
    <w:rsid w:val="00670754"/>
    <w:rsid w:val="006834E7"/>
    <w:rsid w:val="006B63FD"/>
    <w:rsid w:val="006C229A"/>
    <w:rsid w:val="006C5A1B"/>
    <w:rsid w:val="006E1EFB"/>
    <w:rsid w:val="00741E4C"/>
    <w:rsid w:val="00747CAE"/>
    <w:rsid w:val="00750E95"/>
    <w:rsid w:val="00755D09"/>
    <w:rsid w:val="00771E4D"/>
    <w:rsid w:val="00775F12"/>
    <w:rsid w:val="007761C3"/>
    <w:rsid w:val="007C6D20"/>
    <w:rsid w:val="007F1E9C"/>
    <w:rsid w:val="00800DDF"/>
    <w:rsid w:val="008055F3"/>
    <w:rsid w:val="00806A25"/>
    <w:rsid w:val="008171A4"/>
    <w:rsid w:val="0082317F"/>
    <w:rsid w:val="00833843"/>
    <w:rsid w:val="00870BFF"/>
    <w:rsid w:val="00880410"/>
    <w:rsid w:val="00895D36"/>
    <w:rsid w:val="008C2A5E"/>
    <w:rsid w:val="008F761F"/>
    <w:rsid w:val="00941C6F"/>
    <w:rsid w:val="0098331E"/>
    <w:rsid w:val="009A0E69"/>
    <w:rsid w:val="009A490F"/>
    <w:rsid w:val="009A7ABB"/>
    <w:rsid w:val="009F2AEE"/>
    <w:rsid w:val="00A00F30"/>
    <w:rsid w:val="00A147BB"/>
    <w:rsid w:val="00A157D6"/>
    <w:rsid w:val="00A16C37"/>
    <w:rsid w:val="00A16F1D"/>
    <w:rsid w:val="00A44D86"/>
    <w:rsid w:val="00A467C2"/>
    <w:rsid w:val="00A62EFA"/>
    <w:rsid w:val="00A82B9E"/>
    <w:rsid w:val="00A83FF5"/>
    <w:rsid w:val="00A8452E"/>
    <w:rsid w:val="00AC360D"/>
    <w:rsid w:val="00AD5C02"/>
    <w:rsid w:val="00AF0605"/>
    <w:rsid w:val="00B05609"/>
    <w:rsid w:val="00B25715"/>
    <w:rsid w:val="00B33F11"/>
    <w:rsid w:val="00BC4FBB"/>
    <w:rsid w:val="00BD143F"/>
    <w:rsid w:val="00BD585F"/>
    <w:rsid w:val="00C04EED"/>
    <w:rsid w:val="00C06B0B"/>
    <w:rsid w:val="00C262D7"/>
    <w:rsid w:val="00C3506F"/>
    <w:rsid w:val="00C37006"/>
    <w:rsid w:val="00C53684"/>
    <w:rsid w:val="00C62D2F"/>
    <w:rsid w:val="00C72612"/>
    <w:rsid w:val="00CC7C49"/>
    <w:rsid w:val="00CD0F5C"/>
    <w:rsid w:val="00CD54B6"/>
    <w:rsid w:val="00CD5C9B"/>
    <w:rsid w:val="00CF1EEE"/>
    <w:rsid w:val="00D106DF"/>
    <w:rsid w:val="00D232B3"/>
    <w:rsid w:val="00D30E20"/>
    <w:rsid w:val="00D32AFB"/>
    <w:rsid w:val="00D4318D"/>
    <w:rsid w:val="00D43FAA"/>
    <w:rsid w:val="00D94295"/>
    <w:rsid w:val="00DA5E19"/>
    <w:rsid w:val="00DC0712"/>
    <w:rsid w:val="00DC2EDE"/>
    <w:rsid w:val="00DF619E"/>
    <w:rsid w:val="00DF6589"/>
    <w:rsid w:val="00E04883"/>
    <w:rsid w:val="00E07873"/>
    <w:rsid w:val="00E50CDD"/>
    <w:rsid w:val="00E52D01"/>
    <w:rsid w:val="00E82967"/>
    <w:rsid w:val="00E92B19"/>
    <w:rsid w:val="00EE08B4"/>
    <w:rsid w:val="00EE35F4"/>
    <w:rsid w:val="00EF6BC0"/>
    <w:rsid w:val="00F02094"/>
    <w:rsid w:val="00F117AF"/>
    <w:rsid w:val="00F17AFA"/>
    <w:rsid w:val="00F240AB"/>
    <w:rsid w:val="00F33619"/>
    <w:rsid w:val="00F51D15"/>
    <w:rsid w:val="00F83121"/>
    <w:rsid w:val="00FB24CE"/>
    <w:rsid w:val="00FD198C"/>
    <w:rsid w:val="00FF4D1A"/>
    <w:rsid w:val="00FF6107"/>
    <w:rsid w:val="01365C18"/>
    <w:rsid w:val="01462624"/>
    <w:rsid w:val="01A825F1"/>
    <w:rsid w:val="020B7F00"/>
    <w:rsid w:val="03AC74FB"/>
    <w:rsid w:val="047E4FFE"/>
    <w:rsid w:val="04A5240D"/>
    <w:rsid w:val="04AF3D84"/>
    <w:rsid w:val="04D13AA1"/>
    <w:rsid w:val="053A5E25"/>
    <w:rsid w:val="05604FE2"/>
    <w:rsid w:val="061D3E84"/>
    <w:rsid w:val="065A0BD2"/>
    <w:rsid w:val="06A00550"/>
    <w:rsid w:val="07C47A3B"/>
    <w:rsid w:val="07E6304F"/>
    <w:rsid w:val="086029CB"/>
    <w:rsid w:val="08A64971"/>
    <w:rsid w:val="0A13771D"/>
    <w:rsid w:val="0AE817DD"/>
    <w:rsid w:val="0B135583"/>
    <w:rsid w:val="0B305360"/>
    <w:rsid w:val="0BE81C2A"/>
    <w:rsid w:val="0BF95690"/>
    <w:rsid w:val="0C056F26"/>
    <w:rsid w:val="0C0B1F1A"/>
    <w:rsid w:val="0D303646"/>
    <w:rsid w:val="0D4B788D"/>
    <w:rsid w:val="0DF5004D"/>
    <w:rsid w:val="0E8D5DE4"/>
    <w:rsid w:val="0F5970E9"/>
    <w:rsid w:val="0F8E193D"/>
    <w:rsid w:val="0FDF6703"/>
    <w:rsid w:val="109B6FEA"/>
    <w:rsid w:val="10A818C1"/>
    <w:rsid w:val="10AC17BD"/>
    <w:rsid w:val="10B41674"/>
    <w:rsid w:val="12973B4B"/>
    <w:rsid w:val="12AE1147"/>
    <w:rsid w:val="12B942A7"/>
    <w:rsid w:val="12C644DB"/>
    <w:rsid w:val="12F80D1B"/>
    <w:rsid w:val="131045B4"/>
    <w:rsid w:val="13336726"/>
    <w:rsid w:val="1399417B"/>
    <w:rsid w:val="13D25927"/>
    <w:rsid w:val="13E92F1C"/>
    <w:rsid w:val="156A2BFD"/>
    <w:rsid w:val="16877B01"/>
    <w:rsid w:val="16D50B78"/>
    <w:rsid w:val="16D75C49"/>
    <w:rsid w:val="16F17592"/>
    <w:rsid w:val="16F31707"/>
    <w:rsid w:val="177F50ED"/>
    <w:rsid w:val="17BF74D8"/>
    <w:rsid w:val="1805051C"/>
    <w:rsid w:val="18FA6CC0"/>
    <w:rsid w:val="19451CC9"/>
    <w:rsid w:val="19763FD5"/>
    <w:rsid w:val="1B1F6D1F"/>
    <w:rsid w:val="1BD96034"/>
    <w:rsid w:val="1BFF5F2B"/>
    <w:rsid w:val="1C2B53B1"/>
    <w:rsid w:val="1C771D0F"/>
    <w:rsid w:val="1D3D7100"/>
    <w:rsid w:val="1DEF0F58"/>
    <w:rsid w:val="1E9B4DFA"/>
    <w:rsid w:val="1EB306F9"/>
    <w:rsid w:val="1ECF181C"/>
    <w:rsid w:val="1EE47F1F"/>
    <w:rsid w:val="20502F11"/>
    <w:rsid w:val="20586F30"/>
    <w:rsid w:val="208B50BE"/>
    <w:rsid w:val="20D34DD2"/>
    <w:rsid w:val="20D43CD4"/>
    <w:rsid w:val="21214DC5"/>
    <w:rsid w:val="214650C2"/>
    <w:rsid w:val="223042E1"/>
    <w:rsid w:val="22883829"/>
    <w:rsid w:val="242B63B4"/>
    <w:rsid w:val="245B2AF8"/>
    <w:rsid w:val="24E207CE"/>
    <w:rsid w:val="25307843"/>
    <w:rsid w:val="25A91E9F"/>
    <w:rsid w:val="25CC47DA"/>
    <w:rsid w:val="261F4676"/>
    <w:rsid w:val="26650C60"/>
    <w:rsid w:val="26D84A6B"/>
    <w:rsid w:val="26E61053"/>
    <w:rsid w:val="26F43C48"/>
    <w:rsid w:val="282F23F3"/>
    <w:rsid w:val="28315BB5"/>
    <w:rsid w:val="28D51D12"/>
    <w:rsid w:val="28E3329A"/>
    <w:rsid w:val="28FB2647"/>
    <w:rsid w:val="28FD3F6E"/>
    <w:rsid w:val="290C34CF"/>
    <w:rsid w:val="291118C1"/>
    <w:rsid w:val="291319A1"/>
    <w:rsid w:val="29300BDD"/>
    <w:rsid w:val="29583576"/>
    <w:rsid w:val="295E0BFE"/>
    <w:rsid w:val="29B67F94"/>
    <w:rsid w:val="29BA59E7"/>
    <w:rsid w:val="2A1145D7"/>
    <w:rsid w:val="2A16069D"/>
    <w:rsid w:val="2A213A07"/>
    <w:rsid w:val="2A2D392B"/>
    <w:rsid w:val="2BA66BE2"/>
    <w:rsid w:val="2C0C654C"/>
    <w:rsid w:val="2CB26FF9"/>
    <w:rsid w:val="2D6451B0"/>
    <w:rsid w:val="2F1A68B4"/>
    <w:rsid w:val="2F6062D2"/>
    <w:rsid w:val="303645CF"/>
    <w:rsid w:val="30D13892"/>
    <w:rsid w:val="31501A8E"/>
    <w:rsid w:val="31E936C0"/>
    <w:rsid w:val="31EB200B"/>
    <w:rsid w:val="31F2402B"/>
    <w:rsid w:val="3298514E"/>
    <w:rsid w:val="32A213CF"/>
    <w:rsid w:val="32F43012"/>
    <w:rsid w:val="332F76CA"/>
    <w:rsid w:val="336577F9"/>
    <w:rsid w:val="338B740C"/>
    <w:rsid w:val="342A3546"/>
    <w:rsid w:val="34640582"/>
    <w:rsid w:val="34683A67"/>
    <w:rsid w:val="356471B6"/>
    <w:rsid w:val="36514693"/>
    <w:rsid w:val="36D25DA6"/>
    <w:rsid w:val="37A11FD1"/>
    <w:rsid w:val="384D25AE"/>
    <w:rsid w:val="389E2B6D"/>
    <w:rsid w:val="38C771F7"/>
    <w:rsid w:val="391A1876"/>
    <w:rsid w:val="39C00638"/>
    <w:rsid w:val="39D35433"/>
    <w:rsid w:val="3A3F2A75"/>
    <w:rsid w:val="3A9A5640"/>
    <w:rsid w:val="3B0651A4"/>
    <w:rsid w:val="3B5D162D"/>
    <w:rsid w:val="3BA73592"/>
    <w:rsid w:val="3BCD7FBE"/>
    <w:rsid w:val="3BEB6448"/>
    <w:rsid w:val="3C0A3AAB"/>
    <w:rsid w:val="3CD736F6"/>
    <w:rsid w:val="3DC06289"/>
    <w:rsid w:val="3E7D187F"/>
    <w:rsid w:val="3EC15E14"/>
    <w:rsid w:val="3ED414C6"/>
    <w:rsid w:val="3F2C4733"/>
    <w:rsid w:val="3FA37906"/>
    <w:rsid w:val="3FA82FF0"/>
    <w:rsid w:val="3FAB3C36"/>
    <w:rsid w:val="40CA24CD"/>
    <w:rsid w:val="411372D7"/>
    <w:rsid w:val="4135608E"/>
    <w:rsid w:val="4184560F"/>
    <w:rsid w:val="41A52789"/>
    <w:rsid w:val="41AC3074"/>
    <w:rsid w:val="420A0B3C"/>
    <w:rsid w:val="421B2AB7"/>
    <w:rsid w:val="42202983"/>
    <w:rsid w:val="426A7BCC"/>
    <w:rsid w:val="42CF3A91"/>
    <w:rsid w:val="42FB4A14"/>
    <w:rsid w:val="445C5F66"/>
    <w:rsid w:val="44616BBD"/>
    <w:rsid w:val="44700A14"/>
    <w:rsid w:val="449807FC"/>
    <w:rsid w:val="44DD1601"/>
    <w:rsid w:val="45173B37"/>
    <w:rsid w:val="459012E9"/>
    <w:rsid w:val="46744856"/>
    <w:rsid w:val="46F07F05"/>
    <w:rsid w:val="4700146B"/>
    <w:rsid w:val="47701BB8"/>
    <w:rsid w:val="48B03192"/>
    <w:rsid w:val="495940E5"/>
    <w:rsid w:val="49984720"/>
    <w:rsid w:val="4A397954"/>
    <w:rsid w:val="4AAD3A49"/>
    <w:rsid w:val="4ABF1A1A"/>
    <w:rsid w:val="4B970564"/>
    <w:rsid w:val="4BDA1535"/>
    <w:rsid w:val="4BE80E1F"/>
    <w:rsid w:val="4C857485"/>
    <w:rsid w:val="4CAE31D5"/>
    <w:rsid w:val="4CBE34F9"/>
    <w:rsid w:val="4CF01912"/>
    <w:rsid w:val="4D6E7299"/>
    <w:rsid w:val="4D777C85"/>
    <w:rsid w:val="4DEA53D9"/>
    <w:rsid w:val="4E5F2BC6"/>
    <w:rsid w:val="4EAA69FF"/>
    <w:rsid w:val="4ED46EA3"/>
    <w:rsid w:val="4EF4544B"/>
    <w:rsid w:val="4F4B754E"/>
    <w:rsid w:val="4F737898"/>
    <w:rsid w:val="4FB74805"/>
    <w:rsid w:val="502D10CD"/>
    <w:rsid w:val="505C685A"/>
    <w:rsid w:val="506A7432"/>
    <w:rsid w:val="5089164B"/>
    <w:rsid w:val="50AB79F2"/>
    <w:rsid w:val="50FB3085"/>
    <w:rsid w:val="514510D6"/>
    <w:rsid w:val="51942DC6"/>
    <w:rsid w:val="524350DD"/>
    <w:rsid w:val="525A6C23"/>
    <w:rsid w:val="528B52D5"/>
    <w:rsid w:val="53416880"/>
    <w:rsid w:val="537343A4"/>
    <w:rsid w:val="53754D15"/>
    <w:rsid w:val="53B52B8D"/>
    <w:rsid w:val="540D411D"/>
    <w:rsid w:val="542519F5"/>
    <w:rsid w:val="54315E9A"/>
    <w:rsid w:val="547A7EEC"/>
    <w:rsid w:val="54B53F46"/>
    <w:rsid w:val="5571621F"/>
    <w:rsid w:val="55A66406"/>
    <w:rsid w:val="55AA3C54"/>
    <w:rsid w:val="566855D1"/>
    <w:rsid w:val="569359EB"/>
    <w:rsid w:val="56B80C5C"/>
    <w:rsid w:val="57247D3B"/>
    <w:rsid w:val="58176A72"/>
    <w:rsid w:val="58702A52"/>
    <w:rsid w:val="58A45E22"/>
    <w:rsid w:val="59406E61"/>
    <w:rsid w:val="59477D28"/>
    <w:rsid w:val="594B5331"/>
    <w:rsid w:val="59B250F2"/>
    <w:rsid w:val="59B81E81"/>
    <w:rsid w:val="59F856A5"/>
    <w:rsid w:val="5A0619C4"/>
    <w:rsid w:val="5A12463F"/>
    <w:rsid w:val="5AE91C73"/>
    <w:rsid w:val="5B1043D8"/>
    <w:rsid w:val="5B22198F"/>
    <w:rsid w:val="5B5526D7"/>
    <w:rsid w:val="5B9C68D1"/>
    <w:rsid w:val="5BCB4B7E"/>
    <w:rsid w:val="5BCE379E"/>
    <w:rsid w:val="5C104EE4"/>
    <w:rsid w:val="5C1754A1"/>
    <w:rsid w:val="5C4317E7"/>
    <w:rsid w:val="5C5001D2"/>
    <w:rsid w:val="5CD141FB"/>
    <w:rsid w:val="5D106F0D"/>
    <w:rsid w:val="5D2A548C"/>
    <w:rsid w:val="5D573F98"/>
    <w:rsid w:val="5D5D51D1"/>
    <w:rsid w:val="5D882E88"/>
    <w:rsid w:val="5E3D1FD1"/>
    <w:rsid w:val="5F307720"/>
    <w:rsid w:val="5F360434"/>
    <w:rsid w:val="5F3746CD"/>
    <w:rsid w:val="5F680A85"/>
    <w:rsid w:val="5FEC06ED"/>
    <w:rsid w:val="613740FB"/>
    <w:rsid w:val="61651675"/>
    <w:rsid w:val="617406AE"/>
    <w:rsid w:val="62A41B8A"/>
    <w:rsid w:val="636F0CCE"/>
    <w:rsid w:val="641E6329"/>
    <w:rsid w:val="64F47DA8"/>
    <w:rsid w:val="654179B3"/>
    <w:rsid w:val="65494E0A"/>
    <w:rsid w:val="66AF5DA9"/>
    <w:rsid w:val="67025E99"/>
    <w:rsid w:val="67565DE1"/>
    <w:rsid w:val="67567C27"/>
    <w:rsid w:val="67D131FB"/>
    <w:rsid w:val="68A32C0F"/>
    <w:rsid w:val="697E0AE4"/>
    <w:rsid w:val="69B1642C"/>
    <w:rsid w:val="6A732EE2"/>
    <w:rsid w:val="6AE956B7"/>
    <w:rsid w:val="6B1858FE"/>
    <w:rsid w:val="6C3141B9"/>
    <w:rsid w:val="6C6E564C"/>
    <w:rsid w:val="6C750992"/>
    <w:rsid w:val="6C8F115B"/>
    <w:rsid w:val="6DE82D1E"/>
    <w:rsid w:val="6E42084A"/>
    <w:rsid w:val="6F2D4B34"/>
    <w:rsid w:val="6F3733D7"/>
    <w:rsid w:val="6F6317F5"/>
    <w:rsid w:val="6FAF5EA1"/>
    <w:rsid w:val="701902BB"/>
    <w:rsid w:val="70230549"/>
    <w:rsid w:val="705419C9"/>
    <w:rsid w:val="707B30C2"/>
    <w:rsid w:val="70C50EDD"/>
    <w:rsid w:val="714B3CC5"/>
    <w:rsid w:val="718352F6"/>
    <w:rsid w:val="71D94B16"/>
    <w:rsid w:val="724F7C7F"/>
    <w:rsid w:val="72895EA0"/>
    <w:rsid w:val="73253162"/>
    <w:rsid w:val="73320BF5"/>
    <w:rsid w:val="74171CFA"/>
    <w:rsid w:val="750F11EF"/>
    <w:rsid w:val="75155804"/>
    <w:rsid w:val="765F0854"/>
    <w:rsid w:val="767017BE"/>
    <w:rsid w:val="767B5803"/>
    <w:rsid w:val="76D038A6"/>
    <w:rsid w:val="775D51C5"/>
    <w:rsid w:val="776E174B"/>
    <w:rsid w:val="778E2318"/>
    <w:rsid w:val="77F79321"/>
    <w:rsid w:val="78756E46"/>
    <w:rsid w:val="79430EF8"/>
    <w:rsid w:val="7A1412A1"/>
    <w:rsid w:val="7AF0533A"/>
    <w:rsid w:val="7B2D2CBA"/>
    <w:rsid w:val="7B332EC2"/>
    <w:rsid w:val="7C0D1D95"/>
    <w:rsid w:val="7C1159F3"/>
    <w:rsid w:val="7C3575BD"/>
    <w:rsid w:val="7C41467C"/>
    <w:rsid w:val="7C60598C"/>
    <w:rsid w:val="7C7355A2"/>
    <w:rsid w:val="7D4B37FA"/>
    <w:rsid w:val="7D742BF3"/>
    <w:rsid w:val="7E61260E"/>
    <w:rsid w:val="7E7948B5"/>
    <w:rsid w:val="7F477FF2"/>
    <w:rsid w:val="7F926836"/>
    <w:rsid w:val="7FAA72FA"/>
    <w:rsid w:val="7FE96D86"/>
    <w:rsid w:val="BBB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46"/>
    <w:qFormat/>
    <w:uiPriority w:val="9"/>
    <w:pPr>
      <w:keepNext/>
      <w:keepLines/>
      <w:pageBreakBefore/>
      <w:numPr>
        <w:ilvl w:val="0"/>
        <w:numId w:val="1"/>
      </w:numPr>
      <w:tabs>
        <w:tab w:val="left" w:pos="432"/>
      </w:tabs>
      <w:spacing w:after="360" w:line="360" w:lineRule="auto"/>
      <w:jc w:val="left"/>
      <w:outlineLvl w:val="0"/>
    </w:pPr>
    <w:rPr>
      <w:rFonts w:ascii="Times New Roman" w:hAnsi="Times New Roman" w:eastAsia="黑体" w:cs="Times New Roman"/>
      <w:bCs/>
      <w:kern w:val="44"/>
      <w:sz w:val="32"/>
      <w:szCs w:val="44"/>
    </w:rPr>
  </w:style>
  <w:style w:type="paragraph" w:styleId="5">
    <w:name w:val="heading 2"/>
    <w:basedOn w:val="1"/>
    <w:next w:val="1"/>
    <w:link w:val="47"/>
    <w:qFormat/>
    <w:uiPriority w:val="9"/>
    <w:pPr>
      <w:keepNext/>
      <w:keepLines/>
      <w:numPr>
        <w:ilvl w:val="1"/>
        <w:numId w:val="1"/>
      </w:numPr>
      <w:spacing w:line="360" w:lineRule="auto"/>
      <w:jc w:val="left"/>
      <w:outlineLvl w:val="1"/>
    </w:pPr>
    <w:rPr>
      <w:rFonts w:ascii="Times New Roman" w:hAnsi="Times New Roman" w:eastAsia="黑体" w:cs="Times New Roman"/>
      <w:bCs/>
      <w:sz w:val="24"/>
      <w:szCs w:val="32"/>
    </w:rPr>
  </w:style>
  <w:style w:type="paragraph" w:styleId="6">
    <w:name w:val="heading 3"/>
    <w:basedOn w:val="1"/>
    <w:next w:val="1"/>
    <w:link w:val="48"/>
    <w:qFormat/>
    <w:uiPriority w:val="9"/>
    <w:pPr>
      <w:keepNext/>
      <w:keepLines/>
      <w:numPr>
        <w:ilvl w:val="2"/>
        <w:numId w:val="1"/>
      </w:numPr>
      <w:tabs>
        <w:tab w:val="left" w:pos="432"/>
      </w:tabs>
      <w:spacing w:line="400" w:lineRule="exact"/>
      <w:jc w:val="left"/>
      <w:outlineLvl w:val="2"/>
    </w:pPr>
    <w:rPr>
      <w:rFonts w:ascii="Times New Roman" w:hAnsi="Times New Roman" w:eastAsia="黑体" w:cs="Times New Roman"/>
      <w:bCs/>
      <w:sz w:val="24"/>
      <w:szCs w:val="32"/>
    </w:rPr>
  </w:style>
  <w:style w:type="paragraph" w:styleId="7">
    <w:name w:val="heading 4"/>
    <w:basedOn w:val="1"/>
    <w:next w:val="1"/>
    <w:link w:val="49"/>
    <w:qFormat/>
    <w:uiPriority w:val="9"/>
    <w:pPr>
      <w:keepNext/>
      <w:keepLines/>
      <w:numPr>
        <w:ilvl w:val="3"/>
        <w:numId w:val="1"/>
      </w:numPr>
      <w:tabs>
        <w:tab w:val="left" w:pos="432"/>
      </w:tabs>
      <w:spacing w:line="400" w:lineRule="exact"/>
      <w:jc w:val="left"/>
      <w:outlineLvl w:val="3"/>
    </w:pPr>
    <w:rPr>
      <w:rFonts w:ascii="Times New Roman" w:hAnsi="Times New Roman" w:eastAsia="黑体" w:cs="Times New Roman"/>
      <w:bCs/>
      <w:sz w:val="24"/>
      <w:szCs w:val="28"/>
    </w:rPr>
  </w:style>
  <w:style w:type="paragraph" w:styleId="8">
    <w:name w:val="heading 5"/>
    <w:basedOn w:val="1"/>
    <w:next w:val="1"/>
    <w:link w:val="50"/>
    <w:qFormat/>
    <w:uiPriority w:val="9"/>
    <w:pPr>
      <w:keepNext/>
      <w:keepLines/>
      <w:numPr>
        <w:ilvl w:val="4"/>
        <w:numId w:val="1"/>
      </w:numPr>
      <w:tabs>
        <w:tab w:val="left" w:pos="432"/>
      </w:tabs>
      <w:spacing w:line="400" w:lineRule="exact"/>
      <w:jc w:val="left"/>
      <w:outlineLvl w:val="4"/>
    </w:pPr>
    <w:rPr>
      <w:rFonts w:ascii="Times New Roman" w:hAnsi="Times New Roman" w:eastAsia="黑体" w:cs="Times New Roman"/>
      <w:bCs/>
      <w:sz w:val="24"/>
      <w:szCs w:val="28"/>
    </w:rPr>
  </w:style>
  <w:style w:type="paragraph" w:styleId="9">
    <w:name w:val="heading 6"/>
    <w:basedOn w:val="1"/>
    <w:next w:val="1"/>
    <w:link w:val="51"/>
    <w:qFormat/>
    <w:uiPriority w:val="9"/>
    <w:pPr>
      <w:keepNext/>
      <w:keepLines/>
      <w:numPr>
        <w:ilvl w:val="5"/>
        <w:numId w:val="1"/>
      </w:numPr>
      <w:tabs>
        <w:tab w:val="left" w:pos="432"/>
      </w:tabs>
      <w:spacing w:before="100" w:beforeAutospacing="1" w:after="100" w:afterAutospacing="1" w:line="400" w:lineRule="exact"/>
      <w:jc w:val="left"/>
      <w:outlineLvl w:val="5"/>
    </w:pPr>
    <w:rPr>
      <w:rFonts w:ascii="Times New Roman" w:hAnsi="Times New Roman" w:eastAsia="黑体" w:cs="Times New Roman"/>
      <w:bCs/>
      <w:sz w:val="24"/>
    </w:rPr>
  </w:style>
  <w:style w:type="character" w:default="1" w:styleId="19">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link w:val="55"/>
    <w:unhideWhenUsed/>
    <w:qFormat/>
    <w:uiPriority w:val="99"/>
    <w:pPr>
      <w:ind w:firstLine="420" w:firstLineChars="200"/>
      <w:jc w:val="left"/>
    </w:pPr>
    <w:rPr>
      <w:rFonts w:ascii="Calibri" w:hAnsi="Calibri" w:eastAsia="华文细黑" w:cs="宋体"/>
      <w:sz w:val="24"/>
      <w:szCs w:val="22"/>
    </w:rPr>
  </w:style>
  <w:style w:type="paragraph" w:styleId="3">
    <w:name w:val="Body Text Indent"/>
    <w:basedOn w:val="1"/>
    <w:link w:val="54"/>
    <w:qFormat/>
    <w:uiPriority w:val="0"/>
    <w:pPr>
      <w:spacing w:after="120"/>
      <w:ind w:left="420" w:leftChars="200"/>
    </w:pPr>
  </w:style>
  <w:style w:type="paragraph" w:styleId="10">
    <w:name w:val="annotation text"/>
    <w:basedOn w:val="1"/>
    <w:link w:val="58"/>
    <w:qFormat/>
    <w:uiPriority w:val="0"/>
    <w:pPr>
      <w:jc w:val="left"/>
    </w:pPr>
  </w:style>
  <w:style w:type="paragraph" w:styleId="11">
    <w:name w:val="Body Text"/>
    <w:basedOn w:val="1"/>
    <w:link w:val="29"/>
    <w:qFormat/>
    <w:uiPriority w:val="1"/>
    <w:pPr>
      <w:spacing w:after="120" w:line="360" w:lineRule="auto"/>
      <w:ind w:firstLine="425"/>
    </w:pPr>
    <w:rPr>
      <w:rFonts w:ascii="Times New Roman" w:hAnsi="Times New Roman" w:eastAsia="宋体" w:cs="Times New Roman"/>
      <w:spacing w:val="10"/>
      <w:kern w:val="0"/>
      <w:sz w:val="24"/>
      <w:szCs w:val="20"/>
    </w:rPr>
  </w:style>
  <w:style w:type="paragraph" w:styleId="12">
    <w:name w:val="Balloon Text"/>
    <w:basedOn w:val="1"/>
    <w:link w:val="60"/>
    <w:qFormat/>
    <w:uiPriority w:val="0"/>
    <w:rPr>
      <w:sz w:val="18"/>
      <w:szCs w:val="18"/>
    </w:rPr>
  </w:style>
  <w:style w:type="paragraph" w:styleId="13">
    <w:name w:val="footer"/>
    <w:basedOn w:val="1"/>
    <w:link w:val="25"/>
    <w:qFormat/>
    <w:uiPriority w:val="0"/>
    <w:pPr>
      <w:tabs>
        <w:tab w:val="center" w:pos="4153"/>
        <w:tab w:val="right" w:pos="8306"/>
      </w:tabs>
      <w:snapToGrid w:val="0"/>
      <w:jc w:val="left"/>
    </w:pPr>
    <w:rPr>
      <w:sz w:val="18"/>
      <w:szCs w:val="18"/>
    </w:rPr>
  </w:style>
  <w:style w:type="paragraph" w:styleId="14">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39"/>
    <w:pPr>
      <w:ind w:left="420" w:leftChars="200"/>
      <w:jc w:val="left"/>
    </w:pPr>
    <w:rPr>
      <w:rFonts w:ascii="Calibri" w:hAnsi="Calibri" w:eastAsia="华文细黑" w:cs="宋体"/>
      <w:sz w:val="24"/>
      <w:szCs w:val="22"/>
    </w:rPr>
  </w:style>
  <w:style w:type="paragraph" w:styleId="16">
    <w:name w:val="Normal (Web)"/>
    <w:basedOn w:val="1"/>
    <w:unhideWhenUsed/>
    <w:qFormat/>
    <w:uiPriority w:val="99"/>
    <w:pPr>
      <w:widowControl/>
      <w:spacing w:line="360" w:lineRule="auto"/>
      <w:jc w:val="left"/>
    </w:pPr>
    <w:rPr>
      <w:rFonts w:ascii="宋体" w:hAnsi="宋体" w:eastAsia="宋体" w:cs="宋体"/>
      <w:kern w:val="0"/>
      <w:sz w:val="24"/>
    </w:rPr>
  </w:style>
  <w:style w:type="paragraph" w:styleId="17">
    <w:name w:val="annotation subject"/>
    <w:basedOn w:val="10"/>
    <w:next w:val="10"/>
    <w:link w:val="59"/>
    <w:qFormat/>
    <w:uiPriority w:val="0"/>
    <w:rPr>
      <w:b/>
      <w:bCs/>
    </w:rPr>
  </w:style>
  <w:style w:type="character" w:styleId="20">
    <w:name w:val="FollowedHyperlink"/>
    <w:basedOn w:val="19"/>
    <w:qFormat/>
    <w:uiPriority w:val="0"/>
    <w:rPr>
      <w:color w:val="954F72"/>
      <w:u w:val="single"/>
    </w:rPr>
  </w:style>
  <w:style w:type="character" w:styleId="21">
    <w:name w:val="Emphasis"/>
    <w:basedOn w:val="19"/>
    <w:qFormat/>
    <w:uiPriority w:val="20"/>
    <w:rPr>
      <w:i/>
      <w:iCs/>
    </w:rPr>
  </w:style>
  <w:style w:type="character" w:styleId="22">
    <w:name w:val="Hyperlink"/>
    <w:qFormat/>
    <w:uiPriority w:val="99"/>
    <w:rPr>
      <w:color w:val="0000FF"/>
      <w:u w:val="single"/>
    </w:rPr>
  </w:style>
  <w:style w:type="character" w:styleId="23">
    <w:name w:val="annotation reference"/>
    <w:basedOn w:val="19"/>
    <w:qFormat/>
    <w:uiPriority w:val="0"/>
    <w:rPr>
      <w:sz w:val="21"/>
      <w:szCs w:val="21"/>
    </w:rPr>
  </w:style>
  <w:style w:type="character" w:customStyle="1" w:styleId="24">
    <w:name w:val="页眉 字符"/>
    <w:basedOn w:val="19"/>
    <w:link w:val="14"/>
    <w:qFormat/>
    <w:uiPriority w:val="0"/>
    <w:rPr>
      <w:kern w:val="2"/>
      <w:sz w:val="18"/>
      <w:szCs w:val="18"/>
    </w:rPr>
  </w:style>
  <w:style w:type="character" w:customStyle="1" w:styleId="25">
    <w:name w:val="页脚 字符"/>
    <w:basedOn w:val="19"/>
    <w:link w:val="13"/>
    <w:qFormat/>
    <w:uiPriority w:val="0"/>
    <w:rPr>
      <w:kern w:val="2"/>
      <w:sz w:val="18"/>
      <w:szCs w:val="18"/>
    </w:rPr>
  </w:style>
  <w:style w:type="paragraph" w:styleId="26">
    <w:name w:val="List Paragraph"/>
    <w:basedOn w:val="1"/>
    <w:qFormat/>
    <w:uiPriority w:val="34"/>
    <w:pPr>
      <w:ind w:firstLine="420" w:firstLineChars="200"/>
    </w:pPr>
  </w:style>
  <w:style w:type="character" w:customStyle="1" w:styleId="27">
    <w:name w:val="*正文 Char"/>
    <w:link w:val="28"/>
    <w:qFormat/>
    <w:uiPriority w:val="0"/>
    <w:rPr>
      <w:rFonts w:ascii="宋体" w:hAnsi="宋体"/>
      <w:sz w:val="24"/>
      <w:szCs w:val="24"/>
    </w:rPr>
  </w:style>
  <w:style w:type="paragraph" w:customStyle="1" w:styleId="28">
    <w:name w:val="*正文"/>
    <w:basedOn w:val="1"/>
    <w:link w:val="27"/>
    <w:qFormat/>
    <w:uiPriority w:val="0"/>
    <w:pPr>
      <w:spacing w:line="360" w:lineRule="auto"/>
      <w:ind w:firstLine="480" w:firstLineChars="200"/>
    </w:pPr>
    <w:rPr>
      <w:rFonts w:ascii="宋体" w:hAnsi="宋体"/>
      <w:kern w:val="0"/>
      <w:sz w:val="24"/>
    </w:rPr>
  </w:style>
  <w:style w:type="character" w:customStyle="1" w:styleId="29">
    <w:name w:val="正文文本 字符"/>
    <w:basedOn w:val="19"/>
    <w:link w:val="11"/>
    <w:qFormat/>
    <w:uiPriority w:val="1"/>
    <w:rPr>
      <w:rFonts w:ascii="Times New Roman" w:hAnsi="Times New Roman" w:eastAsia="宋体" w:cs="Times New Roman"/>
      <w:spacing w:val="10"/>
      <w:sz w:val="24"/>
    </w:rPr>
  </w:style>
  <w:style w:type="paragraph" w:customStyle="1" w:styleId="30">
    <w:name w:val="标题 1_0"/>
    <w:basedOn w:val="31"/>
    <w:next w:val="31"/>
    <w:qFormat/>
    <w:uiPriority w:val="0"/>
    <w:pPr>
      <w:keepNext/>
      <w:keepLines/>
      <w:numPr>
        <w:ilvl w:val="0"/>
        <w:numId w:val="2"/>
      </w:numPr>
      <w:spacing w:before="340" w:after="330" w:line="576" w:lineRule="auto"/>
      <w:outlineLvl w:val="0"/>
    </w:pPr>
    <w:rPr>
      <w:rFonts w:ascii="Calibri" w:hAnsi="Calibri" w:eastAsia="黑体" w:cs="Times New Roman"/>
      <w:b/>
      <w:bCs/>
      <w:kern w:val="44"/>
      <w:sz w:val="44"/>
      <w:szCs w:val="44"/>
      <w:lang w:val="zh-CN"/>
    </w:rPr>
  </w:style>
  <w:style w:type="paragraph" w:customStyle="1" w:styleId="31">
    <w:name w:val="正文_1"/>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32">
    <w:name w:val="标题 2_0"/>
    <w:basedOn w:val="31"/>
    <w:next w:val="1"/>
    <w:link w:val="43"/>
    <w:qFormat/>
    <w:uiPriority w:val="9"/>
    <w:pPr>
      <w:keepNext/>
      <w:keepLines/>
      <w:numPr>
        <w:ilvl w:val="1"/>
        <w:numId w:val="2"/>
      </w:numPr>
      <w:tabs>
        <w:tab w:val="left" w:pos="720"/>
      </w:tabs>
      <w:adjustRightInd w:val="0"/>
      <w:snapToGrid w:val="0"/>
      <w:spacing w:beforeLines="50" w:afterLines="50" w:line="360" w:lineRule="auto"/>
      <w:jc w:val="left"/>
      <w:outlineLvl w:val="1"/>
    </w:pPr>
    <w:rPr>
      <w:rFonts w:ascii="宋体" w:hAnsi="Arial" w:eastAsia="黑体" w:cs="Times New Roman"/>
      <w:b/>
      <w:sz w:val="36"/>
      <w:szCs w:val="32"/>
      <w:lang w:val="zh-CN"/>
    </w:rPr>
  </w:style>
  <w:style w:type="paragraph" w:customStyle="1" w:styleId="33">
    <w:name w:val="列出段落1"/>
    <w:basedOn w:val="31"/>
    <w:link w:val="34"/>
    <w:qFormat/>
    <w:uiPriority w:val="99"/>
    <w:pPr>
      <w:ind w:firstLine="420" w:firstLineChars="200"/>
    </w:pPr>
    <w:rPr>
      <w:rFonts w:cs="Times New Roman"/>
      <w:kern w:val="0"/>
      <w:sz w:val="20"/>
      <w:szCs w:val="24"/>
      <w:lang w:val="zh-CN"/>
    </w:rPr>
  </w:style>
  <w:style w:type="character" w:customStyle="1" w:styleId="34">
    <w:name w:val="List Paragraph Char"/>
    <w:link w:val="33"/>
    <w:qFormat/>
    <w:locked/>
    <w:uiPriority w:val="99"/>
    <w:rPr>
      <w:rFonts w:ascii="Times New Roman" w:hAnsi="Times New Roman" w:eastAsia="宋体" w:cs="Times New Roman"/>
      <w:szCs w:val="24"/>
      <w:lang w:val="zh-CN"/>
    </w:rPr>
  </w:style>
  <w:style w:type="paragraph" w:customStyle="1" w:styleId="35">
    <w:name w:val="标题 3_0"/>
    <w:basedOn w:val="31"/>
    <w:next w:val="1"/>
    <w:link w:val="36"/>
    <w:qFormat/>
    <w:uiPriority w:val="9"/>
    <w:pPr>
      <w:numPr>
        <w:ilvl w:val="2"/>
        <w:numId w:val="2"/>
      </w:numPr>
      <w:tabs>
        <w:tab w:val="left" w:pos="720"/>
        <w:tab w:val="left" w:pos="851"/>
      </w:tabs>
      <w:autoSpaceDE w:val="0"/>
      <w:autoSpaceDN w:val="0"/>
      <w:adjustRightInd w:val="0"/>
      <w:snapToGrid w:val="0"/>
      <w:spacing w:beforeLines="50" w:afterLines="50" w:line="360" w:lineRule="auto"/>
      <w:outlineLvl w:val="2"/>
    </w:pPr>
    <w:rPr>
      <w:rFonts w:ascii="宋体" w:hAnsi="Calibri" w:eastAsia="黑体" w:cs="Times New Roman"/>
      <w:b/>
      <w:kern w:val="0"/>
      <w:sz w:val="32"/>
      <w:lang w:val="zh-CN"/>
    </w:rPr>
  </w:style>
  <w:style w:type="character" w:customStyle="1" w:styleId="36">
    <w:name w:val="标题 3 Char1"/>
    <w:link w:val="35"/>
    <w:qFormat/>
    <w:locked/>
    <w:uiPriority w:val="9"/>
    <w:rPr>
      <w:rFonts w:ascii="宋体" w:hAnsi="Calibri" w:eastAsia="黑体" w:cs="Times New Roman"/>
      <w:b/>
      <w:sz w:val="32"/>
      <w:szCs w:val="21"/>
      <w:lang w:val="zh-CN"/>
    </w:rPr>
  </w:style>
  <w:style w:type="paragraph" w:customStyle="1" w:styleId="37">
    <w:name w:val="正文段落"/>
    <w:basedOn w:val="31"/>
    <w:qFormat/>
    <w:uiPriority w:val="99"/>
    <w:pPr>
      <w:adjustRightInd w:val="0"/>
      <w:snapToGrid w:val="0"/>
      <w:spacing w:line="420" w:lineRule="atLeast"/>
      <w:ind w:firstLine="200" w:firstLineChars="200"/>
    </w:pPr>
    <w:rPr>
      <w:rFonts w:cs="Times New Roman"/>
      <w:sz w:val="24"/>
      <w:szCs w:val="24"/>
    </w:rPr>
  </w:style>
  <w:style w:type="paragraph" w:customStyle="1" w:styleId="38">
    <w:name w:val="样式 首行缩进:  0 字符"/>
    <w:basedOn w:val="31"/>
    <w:link w:val="39"/>
    <w:qFormat/>
    <w:uiPriority w:val="0"/>
    <w:pPr>
      <w:spacing w:line="360" w:lineRule="auto"/>
      <w:ind w:firstLine="200" w:firstLineChars="200"/>
    </w:pPr>
    <w:rPr>
      <w:rFonts w:ascii="Arial" w:hAnsi="Arial" w:cs="Times New Roman"/>
      <w:kern w:val="0"/>
      <w:sz w:val="20"/>
      <w:szCs w:val="24"/>
      <w:lang w:val="zh-CN"/>
    </w:rPr>
  </w:style>
  <w:style w:type="character" w:customStyle="1" w:styleId="39">
    <w:name w:val="样式 首行缩进:  0 字符 Char"/>
    <w:link w:val="38"/>
    <w:qFormat/>
    <w:locked/>
    <w:uiPriority w:val="0"/>
    <w:rPr>
      <w:rFonts w:ascii="Arial" w:hAnsi="Arial" w:eastAsia="宋体" w:cs="Times New Roman"/>
      <w:szCs w:val="24"/>
      <w:lang w:val="zh-CN"/>
    </w:rPr>
  </w:style>
  <w:style w:type="paragraph" w:customStyle="1" w:styleId="40">
    <w:name w:val="正文_1_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41">
    <w:name w:val="列表段落1"/>
    <w:basedOn w:val="1"/>
    <w:link w:val="42"/>
    <w:qFormat/>
    <w:uiPriority w:val="34"/>
    <w:pPr>
      <w:ind w:firstLine="420" w:firstLineChars="200"/>
    </w:pPr>
    <w:rPr>
      <w:rFonts w:ascii="Times New Roman" w:hAnsi="Times New Roman" w:eastAsia="宋体" w:cs="Times New Roman"/>
    </w:rPr>
  </w:style>
  <w:style w:type="character" w:customStyle="1" w:styleId="42">
    <w:name w:val="列表段落 字符1"/>
    <w:link w:val="41"/>
    <w:qFormat/>
    <w:uiPriority w:val="34"/>
    <w:rPr>
      <w:rFonts w:ascii="Times New Roman" w:hAnsi="Times New Roman" w:eastAsia="宋体" w:cs="Times New Roman"/>
      <w:kern w:val="2"/>
      <w:sz w:val="21"/>
      <w:szCs w:val="24"/>
    </w:rPr>
  </w:style>
  <w:style w:type="character" w:customStyle="1" w:styleId="43">
    <w:name w:val="标题 2 Char1"/>
    <w:link w:val="32"/>
    <w:qFormat/>
    <w:locked/>
    <w:uiPriority w:val="9"/>
    <w:rPr>
      <w:rFonts w:ascii="宋体" w:hAnsi="Arial" w:eastAsia="黑体" w:cs="Times New Roman"/>
      <w:b/>
      <w:kern w:val="2"/>
      <w:sz w:val="36"/>
      <w:szCs w:val="32"/>
      <w:lang w:val="zh-CN"/>
    </w:rPr>
  </w:style>
  <w:style w:type="character" w:customStyle="1" w:styleId="44">
    <w:name w:val="fontstyle01"/>
    <w:basedOn w:val="19"/>
    <w:qFormat/>
    <w:uiPriority w:val="0"/>
    <w:rPr>
      <w:rFonts w:hint="eastAsia" w:ascii="仿宋_GB2312" w:eastAsia="仿宋_GB2312"/>
      <w:color w:val="000000"/>
      <w:sz w:val="28"/>
      <w:szCs w:val="28"/>
    </w:rPr>
  </w:style>
  <w:style w:type="paragraph" w:customStyle="1" w:styleId="45">
    <w:name w:val="正文-段落"/>
    <w:qFormat/>
    <w:uiPriority w:val="0"/>
    <w:pPr>
      <w:spacing w:line="360" w:lineRule="auto"/>
      <w:ind w:firstLine="480" w:firstLineChars="200"/>
    </w:pPr>
    <w:rPr>
      <w:rFonts w:ascii="等线" w:hAnsi="等线" w:eastAsia="仿宋" w:cs="Times New Roman"/>
      <w:sz w:val="24"/>
      <w:szCs w:val="24"/>
      <w:lang w:val="en-GB" w:eastAsia="zh-CN" w:bidi="ar-SA"/>
    </w:rPr>
  </w:style>
  <w:style w:type="character" w:customStyle="1" w:styleId="46">
    <w:name w:val="标题 1 字符"/>
    <w:basedOn w:val="19"/>
    <w:link w:val="4"/>
    <w:qFormat/>
    <w:uiPriority w:val="9"/>
    <w:rPr>
      <w:rFonts w:ascii="Times New Roman" w:hAnsi="Times New Roman" w:eastAsia="黑体" w:cs="Times New Roman"/>
      <w:bCs/>
      <w:kern w:val="44"/>
      <w:sz w:val="32"/>
      <w:szCs w:val="44"/>
    </w:rPr>
  </w:style>
  <w:style w:type="character" w:customStyle="1" w:styleId="47">
    <w:name w:val="标题 2 字符"/>
    <w:basedOn w:val="19"/>
    <w:link w:val="5"/>
    <w:qFormat/>
    <w:uiPriority w:val="9"/>
    <w:rPr>
      <w:rFonts w:ascii="Times New Roman" w:hAnsi="Times New Roman" w:eastAsia="黑体" w:cs="Times New Roman"/>
      <w:bCs/>
      <w:kern w:val="2"/>
      <w:sz w:val="24"/>
      <w:szCs w:val="32"/>
    </w:rPr>
  </w:style>
  <w:style w:type="character" w:customStyle="1" w:styleId="48">
    <w:name w:val="标题 3 字符"/>
    <w:basedOn w:val="19"/>
    <w:link w:val="6"/>
    <w:qFormat/>
    <w:uiPriority w:val="9"/>
    <w:rPr>
      <w:rFonts w:ascii="Times New Roman" w:hAnsi="Times New Roman" w:eastAsia="黑体" w:cs="Times New Roman"/>
      <w:bCs/>
      <w:kern w:val="2"/>
      <w:sz w:val="24"/>
      <w:szCs w:val="32"/>
    </w:rPr>
  </w:style>
  <w:style w:type="character" w:customStyle="1" w:styleId="49">
    <w:name w:val="标题 4 字符"/>
    <w:basedOn w:val="19"/>
    <w:link w:val="7"/>
    <w:qFormat/>
    <w:uiPriority w:val="9"/>
    <w:rPr>
      <w:rFonts w:ascii="Times New Roman" w:hAnsi="Times New Roman" w:eastAsia="黑体" w:cs="Times New Roman"/>
      <w:bCs/>
      <w:kern w:val="2"/>
      <w:sz w:val="24"/>
      <w:szCs w:val="28"/>
    </w:rPr>
  </w:style>
  <w:style w:type="character" w:customStyle="1" w:styleId="50">
    <w:name w:val="标题 5 字符"/>
    <w:basedOn w:val="19"/>
    <w:link w:val="8"/>
    <w:qFormat/>
    <w:uiPriority w:val="9"/>
    <w:rPr>
      <w:rFonts w:ascii="Times New Roman" w:hAnsi="Times New Roman" w:eastAsia="黑体" w:cs="Times New Roman"/>
      <w:bCs/>
      <w:kern w:val="2"/>
      <w:sz w:val="24"/>
      <w:szCs w:val="28"/>
    </w:rPr>
  </w:style>
  <w:style w:type="character" w:customStyle="1" w:styleId="51">
    <w:name w:val="标题 6 字符"/>
    <w:basedOn w:val="19"/>
    <w:link w:val="9"/>
    <w:qFormat/>
    <w:uiPriority w:val="9"/>
    <w:rPr>
      <w:rFonts w:ascii="Times New Roman" w:hAnsi="Times New Roman" w:eastAsia="黑体" w:cs="Times New Roman"/>
      <w:bCs/>
      <w:kern w:val="2"/>
      <w:sz w:val="24"/>
      <w:szCs w:val="24"/>
    </w:rPr>
  </w:style>
  <w:style w:type="character" w:customStyle="1" w:styleId="52">
    <w:name w:val="3级标题 Char Char"/>
    <w:link w:val="53"/>
    <w:qFormat/>
    <w:uiPriority w:val="0"/>
    <w:rPr>
      <w:rFonts w:ascii="黑体" w:hAnsi="黑体" w:eastAsia="黑体"/>
      <w:sz w:val="26"/>
      <w:szCs w:val="36"/>
      <w:lang w:val="zh-CN" w:bidi="en-US"/>
    </w:rPr>
  </w:style>
  <w:style w:type="paragraph" w:customStyle="1" w:styleId="53">
    <w:name w:val="3级标题"/>
    <w:basedOn w:val="1"/>
    <w:link w:val="52"/>
    <w:qFormat/>
    <w:uiPriority w:val="0"/>
    <w:pPr>
      <w:keepLines/>
      <w:numPr>
        <w:ilvl w:val="2"/>
        <w:numId w:val="3"/>
      </w:numPr>
      <w:spacing w:after="200" w:line="360" w:lineRule="auto"/>
      <w:contextualSpacing/>
      <w:jc w:val="left"/>
      <w:outlineLvl w:val="2"/>
    </w:pPr>
    <w:rPr>
      <w:rFonts w:ascii="黑体" w:hAnsi="黑体" w:eastAsia="黑体"/>
      <w:kern w:val="0"/>
      <w:sz w:val="26"/>
      <w:szCs w:val="36"/>
      <w:lang w:val="zh-CN" w:bidi="en-US"/>
    </w:rPr>
  </w:style>
  <w:style w:type="character" w:customStyle="1" w:styleId="54">
    <w:name w:val="正文文本缩进 字符"/>
    <w:basedOn w:val="19"/>
    <w:link w:val="3"/>
    <w:qFormat/>
    <w:uiPriority w:val="0"/>
    <w:rPr>
      <w:kern w:val="2"/>
      <w:sz w:val="21"/>
      <w:szCs w:val="24"/>
    </w:rPr>
  </w:style>
  <w:style w:type="character" w:customStyle="1" w:styleId="55">
    <w:name w:val="正文首行缩进 2 字符"/>
    <w:basedOn w:val="54"/>
    <w:link w:val="2"/>
    <w:qFormat/>
    <w:uiPriority w:val="99"/>
    <w:rPr>
      <w:rFonts w:ascii="Calibri" w:hAnsi="Calibri" w:eastAsia="华文细黑" w:cs="宋体"/>
      <w:kern w:val="2"/>
      <w:sz w:val="24"/>
      <w:szCs w:val="22"/>
    </w:rPr>
  </w:style>
  <w:style w:type="paragraph" w:customStyle="1" w:styleId="56">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57">
    <w:name w:val="修订2"/>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58">
    <w:name w:val="批注文字 字符"/>
    <w:basedOn w:val="19"/>
    <w:link w:val="10"/>
    <w:qFormat/>
    <w:uiPriority w:val="0"/>
    <w:rPr>
      <w:rFonts w:asciiTheme="minorHAnsi" w:hAnsiTheme="minorHAnsi" w:eastAsiaTheme="minorEastAsia" w:cstheme="minorBidi"/>
      <w:kern w:val="2"/>
      <w:sz w:val="21"/>
      <w:szCs w:val="24"/>
    </w:rPr>
  </w:style>
  <w:style w:type="character" w:customStyle="1" w:styleId="59">
    <w:name w:val="批注主题 字符"/>
    <w:basedOn w:val="58"/>
    <w:link w:val="17"/>
    <w:qFormat/>
    <w:uiPriority w:val="0"/>
    <w:rPr>
      <w:rFonts w:asciiTheme="minorHAnsi" w:hAnsiTheme="minorHAnsi" w:eastAsiaTheme="minorEastAsia" w:cstheme="minorBidi"/>
      <w:b/>
      <w:bCs/>
      <w:kern w:val="2"/>
      <w:sz w:val="21"/>
      <w:szCs w:val="24"/>
    </w:rPr>
  </w:style>
  <w:style w:type="character" w:customStyle="1" w:styleId="60">
    <w:name w:val="批注框文本 字符"/>
    <w:basedOn w:val="19"/>
    <w:link w:val="1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8BD53C-A79B-4DBC-B065-90ACDBFE0183}">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33</Pages>
  <Words>3927</Words>
  <Characters>22387</Characters>
  <Lines>186</Lines>
  <Paragraphs>52</Paragraphs>
  <TotalTime>3</TotalTime>
  <ScaleCrop>false</ScaleCrop>
  <LinksUpToDate>false</LinksUpToDate>
  <CharactersWithSpaces>26262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2022-06-29T13:53:00Z</dcterms:created>
  <dc:creator>Administrator</dc:creator>
  <cp:lastModifiedBy>KeD藕</cp:lastModifiedBy>
  <dcterms:modified xsi:type="dcterms:W3CDTF">2022-08-15T01:48:41Z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361395EFE0F64DE18628C54F92D8A88A</vt:lpwstr>
  </property>
</Properties>
</file>