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DB522">
      <w:pPr>
        <w:jc w:val="center"/>
        <w:rPr>
          <w:rFonts w:ascii="宋体" w:hAnsi="宋体" w:cs="宋体"/>
          <w:b/>
          <w:bCs/>
          <w:color w:val="000000" w:themeColor="text1"/>
          <w:spacing w:val="26"/>
          <w:sz w:val="28"/>
          <w:szCs w:val="28"/>
          <w14:textFill>
            <w14:solidFill>
              <w14:schemeClr w14:val="tx1"/>
            </w14:solidFill>
          </w14:textFill>
        </w:rPr>
      </w:pPr>
      <w:r>
        <w:rPr>
          <w:rFonts w:hint="eastAsia" w:ascii="宋体" w:hAnsi="宋体" w:cs="宋体"/>
          <w:b/>
          <w:bCs/>
          <w:color w:val="000000" w:themeColor="text1"/>
          <w:spacing w:val="26"/>
          <w:sz w:val="28"/>
          <w:szCs w:val="28"/>
          <w14:textFill>
            <w14:solidFill>
              <w14:schemeClr w14:val="tx1"/>
            </w14:solidFill>
          </w14:textFill>
        </w:rPr>
        <w:t xml:space="preserve">广汽自主电池项目二期水蓄冷建设项目 </w:t>
      </w:r>
    </w:p>
    <w:p w14:paraId="6ADED289">
      <w:pPr>
        <w:jc w:val="center"/>
        <w:rPr>
          <w:rFonts w:ascii="宋体" w:hAnsi="宋体" w:cs="宋体"/>
          <w:b/>
          <w:bCs/>
          <w:color w:val="000000" w:themeColor="text1"/>
          <w:spacing w:val="26"/>
          <w:sz w:val="28"/>
          <w:szCs w:val="28"/>
          <w14:textFill>
            <w14:solidFill>
              <w14:schemeClr w14:val="tx1"/>
            </w14:solidFill>
          </w14:textFill>
        </w:rPr>
      </w:pPr>
      <w:r>
        <w:rPr>
          <w:rFonts w:hint="eastAsia" w:ascii="宋体" w:hAnsi="宋体" w:cs="宋体"/>
          <w:b/>
          <w:bCs/>
          <w:color w:val="000000" w:themeColor="text1"/>
          <w:spacing w:val="26"/>
          <w:sz w:val="28"/>
          <w:szCs w:val="28"/>
          <w14:textFill>
            <w14:solidFill>
              <w14:schemeClr w14:val="tx1"/>
            </w14:solidFill>
          </w14:textFill>
        </w:rPr>
        <w:t>补充公告</w:t>
      </w:r>
    </w:p>
    <w:p w14:paraId="6EE5FFFC">
      <w:pPr>
        <w:spacing w:line="360" w:lineRule="auto"/>
        <w:ind w:firstLine="480" w:firstLineChars="200"/>
        <w:rPr>
          <w:rFonts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 xml:space="preserve"> 广汽自主电池项目二期水蓄冷建设项目（项目编号：JG2025-0054），于2024年1月3日在广州公共资源交易中心网站等媒介发布招标公告。招标人现对原招标公告、招标文件作出如下修改与补充：</w:t>
      </w:r>
    </w:p>
    <w:p w14:paraId="4C3E3741">
      <w:pPr>
        <w:spacing w:line="360" w:lineRule="auto"/>
        <w:ind w:firstLine="480" w:firstLineChars="200"/>
        <w:rPr>
          <w:rFonts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1、招标公告修改如下：</w:t>
      </w:r>
    </w:p>
    <w:tbl>
      <w:tblPr>
        <w:tblStyle w:val="12"/>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71"/>
        <w:gridCol w:w="3449"/>
        <w:gridCol w:w="3662"/>
      </w:tblGrid>
      <w:tr w14:paraId="13C0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00" w:type="dxa"/>
            <w:vAlign w:val="center"/>
          </w:tcPr>
          <w:p w14:paraId="7B0C0F17">
            <w:pPr>
              <w:adjustRightInd w:val="0"/>
              <w:snapToGrid w:val="0"/>
              <w:spacing w:line="360" w:lineRule="auto"/>
              <w:jc w:val="center"/>
              <w:rPr>
                <w:rFonts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序号</w:t>
            </w:r>
          </w:p>
        </w:tc>
        <w:tc>
          <w:tcPr>
            <w:tcW w:w="1671" w:type="dxa"/>
            <w:vAlign w:val="center"/>
          </w:tcPr>
          <w:p w14:paraId="1F7E2079">
            <w:pPr>
              <w:adjustRightInd w:val="0"/>
              <w:snapToGrid w:val="0"/>
              <w:spacing w:line="36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条款号</w:t>
            </w:r>
          </w:p>
        </w:tc>
        <w:tc>
          <w:tcPr>
            <w:tcW w:w="3449" w:type="dxa"/>
            <w:vAlign w:val="center"/>
          </w:tcPr>
          <w:p w14:paraId="67049912">
            <w:pPr>
              <w:adjustRightInd w:val="0"/>
              <w:snapToGrid w:val="0"/>
              <w:spacing w:line="360" w:lineRule="auto"/>
              <w:jc w:val="center"/>
              <w:rPr>
                <w:rFonts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原文</w:t>
            </w:r>
          </w:p>
        </w:tc>
        <w:tc>
          <w:tcPr>
            <w:tcW w:w="3662" w:type="dxa"/>
            <w:vAlign w:val="center"/>
          </w:tcPr>
          <w:p w14:paraId="2F45332E">
            <w:pPr>
              <w:spacing w:line="360" w:lineRule="auto"/>
              <w:jc w:val="center"/>
              <w:rPr>
                <w:rFonts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现文</w:t>
            </w:r>
          </w:p>
        </w:tc>
      </w:tr>
      <w:tr w14:paraId="5228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900" w:type="dxa"/>
            <w:shd w:val="clear" w:color="auto" w:fill="auto"/>
            <w:vAlign w:val="center"/>
          </w:tcPr>
          <w:p w14:paraId="493969E2">
            <w:pPr>
              <w:spacing w:line="360" w:lineRule="auto"/>
              <w:jc w:val="center"/>
              <w:rPr>
                <w:rFonts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1</w:t>
            </w:r>
          </w:p>
        </w:tc>
        <w:tc>
          <w:tcPr>
            <w:tcW w:w="1671" w:type="dxa"/>
            <w:shd w:val="clear" w:color="auto" w:fill="auto"/>
            <w:vAlign w:val="center"/>
          </w:tcPr>
          <w:p w14:paraId="1B1ACB84">
            <w:pPr>
              <w:adjustRightInd w:val="0"/>
              <w:snapToGrid w:val="0"/>
              <w:spacing w:line="360" w:lineRule="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招标公告，第九条投标人合格条件第8点</w:t>
            </w:r>
          </w:p>
        </w:tc>
        <w:tc>
          <w:tcPr>
            <w:tcW w:w="3449" w:type="dxa"/>
            <w:shd w:val="clear" w:color="auto" w:fill="auto"/>
          </w:tcPr>
          <w:p w14:paraId="74CBA7EF">
            <w:pPr>
              <w:adjustRightInd w:val="0"/>
              <w:snapToGrid w:val="0"/>
              <w:spacing w:line="360" w:lineRule="auto"/>
              <w:ind w:firstLine="480" w:firstLineChars="200"/>
              <w:rPr>
                <w:rFonts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sz w:val="24"/>
                <w:szCs w:val="24"/>
                <w:highlight w:val="none"/>
              </w:rPr>
              <w:t>投标人自2019年1月1日至今完成过质量合格的类似工程业绩（类似工程是指业绩金额大于或等于1500万元的建筑机电安装工程）。</w:t>
            </w:r>
          </w:p>
        </w:tc>
        <w:tc>
          <w:tcPr>
            <w:tcW w:w="3662" w:type="dxa"/>
            <w:shd w:val="clear" w:color="auto" w:fill="auto"/>
          </w:tcPr>
          <w:p w14:paraId="043C8924">
            <w:pPr>
              <w:adjustRightInd w:val="0"/>
              <w:snapToGrid w:val="0"/>
              <w:spacing w:line="360" w:lineRule="auto"/>
              <w:ind w:firstLine="480" w:firstLineChars="200"/>
              <w:rPr>
                <w:rFonts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sz w:val="24"/>
                <w:szCs w:val="24"/>
                <w:highlight w:val="none"/>
              </w:rPr>
              <w:t>投标人自2019年1月1日至今完成过质量合格的类似工程业绩（类似工程是指业绩金额大于或等于</w:t>
            </w:r>
            <w:r>
              <w:rPr>
                <w:rFonts w:hint="eastAsia" w:asciiTheme="minorEastAsia" w:hAnsiTheme="minorEastAsia" w:eastAsiaTheme="minorEastAsia" w:cstheme="minorEastAsia"/>
                <w:b/>
                <w:bCs/>
                <w:sz w:val="24"/>
                <w:szCs w:val="24"/>
                <w:highlight w:val="none"/>
              </w:rPr>
              <w:t>1300万元</w:t>
            </w:r>
            <w:r>
              <w:rPr>
                <w:rFonts w:hint="eastAsia" w:asciiTheme="minorEastAsia" w:hAnsiTheme="minorEastAsia" w:eastAsiaTheme="minorEastAsia" w:cstheme="minorEastAsia"/>
                <w:sz w:val="24"/>
                <w:szCs w:val="24"/>
                <w:highlight w:val="none"/>
              </w:rPr>
              <w:t>的建筑机电安装工程）。</w:t>
            </w:r>
          </w:p>
        </w:tc>
      </w:tr>
      <w:tr w14:paraId="339E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900" w:type="dxa"/>
            <w:shd w:val="clear" w:color="auto" w:fill="auto"/>
            <w:vAlign w:val="center"/>
          </w:tcPr>
          <w:p w14:paraId="3F358CD9">
            <w:pPr>
              <w:spacing w:line="360" w:lineRule="auto"/>
              <w:jc w:val="center"/>
              <w:rPr>
                <w:rFonts w:hint="eastAsia" w:asciiTheme="minorEastAsia" w:hAnsiTheme="minorEastAsia" w:eastAsiaTheme="minorEastAsia" w:cstheme="minorEastAsia"/>
                <w:color w:val="000000" w:themeColor="text1"/>
                <w:sz w:val="24"/>
                <w:szCs w:val="24"/>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lang w:val="en-US" w:eastAsia="zh-CN"/>
                <w14:textFill>
                  <w14:solidFill>
                    <w14:schemeClr w14:val="tx1"/>
                  </w14:solidFill>
                </w14:textFill>
              </w:rPr>
              <w:t>2</w:t>
            </w:r>
          </w:p>
        </w:tc>
        <w:tc>
          <w:tcPr>
            <w:tcW w:w="1671" w:type="dxa"/>
            <w:shd w:val="clear" w:color="auto" w:fill="auto"/>
            <w:vAlign w:val="center"/>
          </w:tcPr>
          <w:p w14:paraId="4BC32C00">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招标公告，第九条投标人合格条件第</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点</w:t>
            </w:r>
          </w:p>
        </w:tc>
        <w:tc>
          <w:tcPr>
            <w:tcW w:w="3449" w:type="dxa"/>
            <w:shd w:val="clear" w:color="auto" w:fill="auto"/>
          </w:tcPr>
          <w:p w14:paraId="1794F5FB">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未被列入拖欠农民工工资失信联合惩戒对象名单。本项评审投标人无需提供资料，资格评审时按广州公共资源交易中心交易系统比对的结果进行评审。</w:t>
            </w:r>
          </w:p>
        </w:tc>
        <w:tc>
          <w:tcPr>
            <w:tcW w:w="3662" w:type="dxa"/>
            <w:shd w:val="clear" w:color="auto" w:fill="auto"/>
          </w:tcPr>
          <w:p w14:paraId="02DCDFF3">
            <w:pPr>
              <w:adjustRightInd w:val="0"/>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未被列入拖欠农民工工资失信联合惩戒对象名单。本项评审投标人无需提供资料，</w:t>
            </w:r>
            <w:r>
              <w:rPr>
                <w:rFonts w:hint="eastAsia" w:asciiTheme="minorEastAsia" w:hAnsiTheme="minorEastAsia" w:eastAsiaTheme="minorEastAsia" w:cstheme="minorEastAsia"/>
                <w:b/>
                <w:bCs/>
                <w:sz w:val="24"/>
                <w:szCs w:val="24"/>
              </w:rPr>
              <w:t>按投标截止时间交易系统比对的结果进行评审</w:t>
            </w:r>
            <w:r>
              <w:rPr>
                <w:rFonts w:hint="eastAsia" w:asciiTheme="minorEastAsia" w:hAnsiTheme="minorEastAsia" w:eastAsiaTheme="minorEastAsia" w:cstheme="minorEastAsia"/>
                <w:b/>
                <w:bCs/>
                <w:sz w:val="24"/>
                <w:szCs w:val="24"/>
                <w:lang w:eastAsia="zh-CN"/>
              </w:rPr>
              <w:t>。</w:t>
            </w:r>
          </w:p>
        </w:tc>
      </w:tr>
      <w:tr w14:paraId="3B2A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shd w:val="clear" w:color="auto" w:fill="auto"/>
            <w:vAlign w:val="center"/>
          </w:tcPr>
          <w:p w14:paraId="7513B256">
            <w:pPr>
              <w:adjustRightInd w:val="0"/>
              <w:snapToGrid w:val="0"/>
              <w:spacing w:line="360"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c>
          <w:tcPr>
            <w:tcW w:w="8782" w:type="dxa"/>
            <w:gridSpan w:val="3"/>
            <w:shd w:val="clear" w:color="auto" w:fill="auto"/>
            <w:vAlign w:val="center"/>
          </w:tcPr>
          <w:p w14:paraId="4285B3CE">
            <w:pPr>
              <w:adjustRightInd w:val="0"/>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招标公告其他修改部分详见补充公告附件招标公告（补充公告修改版）</w:t>
            </w:r>
          </w:p>
        </w:tc>
      </w:tr>
    </w:tbl>
    <w:p w14:paraId="7BB1E712">
      <w:pPr>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2、招标文件修改如下：</w:t>
      </w:r>
    </w:p>
    <w:tbl>
      <w:tblPr>
        <w:tblStyle w:val="12"/>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757"/>
        <w:gridCol w:w="3471"/>
        <w:gridCol w:w="3640"/>
      </w:tblGrid>
      <w:tr w14:paraId="478C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684C44ED">
            <w:pPr>
              <w:adjustRightInd w:val="0"/>
              <w:snapToGrid w:val="0"/>
              <w:spacing w:line="360" w:lineRule="auto"/>
              <w:jc w:val="center"/>
              <w:rPr>
                <w:rFonts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序号</w:t>
            </w:r>
          </w:p>
        </w:tc>
        <w:tc>
          <w:tcPr>
            <w:tcW w:w="1757" w:type="dxa"/>
            <w:vAlign w:val="center"/>
          </w:tcPr>
          <w:p w14:paraId="1A9ABED5">
            <w:pPr>
              <w:adjustRightInd w:val="0"/>
              <w:snapToGrid w:val="0"/>
              <w:spacing w:line="360" w:lineRule="auto"/>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条款号</w:t>
            </w:r>
          </w:p>
        </w:tc>
        <w:tc>
          <w:tcPr>
            <w:tcW w:w="3471" w:type="dxa"/>
          </w:tcPr>
          <w:p w14:paraId="1DCFC3E8">
            <w:pPr>
              <w:adjustRightInd w:val="0"/>
              <w:snapToGrid w:val="0"/>
              <w:spacing w:line="360" w:lineRule="auto"/>
              <w:jc w:val="center"/>
              <w:rPr>
                <w:rFonts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原文</w:t>
            </w:r>
          </w:p>
        </w:tc>
        <w:tc>
          <w:tcPr>
            <w:tcW w:w="3640" w:type="dxa"/>
          </w:tcPr>
          <w:p w14:paraId="6FE740FC">
            <w:pPr>
              <w:spacing w:line="360" w:lineRule="auto"/>
              <w:jc w:val="center"/>
              <w:rPr>
                <w:rFonts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现文</w:t>
            </w:r>
          </w:p>
        </w:tc>
      </w:tr>
      <w:tr w14:paraId="7560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shd w:val="clear" w:color="auto" w:fill="auto"/>
            <w:vAlign w:val="center"/>
          </w:tcPr>
          <w:p w14:paraId="5BCD05A9">
            <w:pPr>
              <w:adjustRightInd w:val="0"/>
              <w:snapToGrid w:val="0"/>
              <w:spacing w:line="360" w:lineRule="auto"/>
              <w:jc w:val="center"/>
              <w:rPr>
                <w:rFonts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1</w:t>
            </w:r>
          </w:p>
        </w:tc>
        <w:tc>
          <w:tcPr>
            <w:tcW w:w="1757" w:type="dxa"/>
            <w:vAlign w:val="center"/>
          </w:tcPr>
          <w:p w14:paraId="4FAF8907">
            <w:pPr>
              <w:adjustRightInd w:val="0"/>
              <w:snapToGrid w:val="0"/>
              <w:spacing w:line="360" w:lineRule="auto"/>
              <w:rPr>
                <w:rFonts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投标须知前附表第20项</w:t>
            </w:r>
          </w:p>
        </w:tc>
        <w:tc>
          <w:tcPr>
            <w:tcW w:w="3471" w:type="dxa"/>
            <w:shd w:val="clear" w:color="auto" w:fill="auto"/>
            <w:vAlign w:val="center"/>
          </w:tcPr>
          <w:p w14:paraId="352974B3">
            <w:pPr>
              <w:adjustRightInd w:val="0"/>
              <w:snapToGrid w:val="0"/>
              <w:spacing w:line="360" w:lineRule="auto"/>
              <w:rPr>
                <w:rFonts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方式一：中标人提供的履约保证金为中标价款的10%。可以以现金转账、银行保函形式或履约保证保险等有效方式向招标人递交履约担保；如果中标人的履约担保是以银行保函的形式提供，则该银行保函应由在中国注册且营业地点在广州行政辖区内的银行开具。（若中标人不提交，招标人有权取消其中标资格及有权根据《关于投标保证金的承诺》，要求投标人足额补交投标保证金，其补交的投标保证金不予退还。开具银行保函的有效期至本工程竣工验收后90天止。如保函过期工程尚未竣工初验，承包人应自觉及时办理保函延期手续，确保保函担保期间不出现空缺，否则不予办理请款手续。</w:t>
            </w:r>
          </w:p>
        </w:tc>
        <w:tc>
          <w:tcPr>
            <w:tcW w:w="3640" w:type="dxa"/>
            <w:shd w:val="clear" w:color="auto" w:fill="auto"/>
            <w:vAlign w:val="center"/>
          </w:tcPr>
          <w:p w14:paraId="0DCD19D6">
            <w:pPr>
              <w:adjustRightInd w:val="0"/>
              <w:snapToGrid w:val="0"/>
              <w:spacing w:line="360" w:lineRule="auto"/>
              <w:rPr>
                <w:rFonts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方式一：中标人提供的履约保证金为中标价款的10%。可以以现金转账、银行保函形式或履约保证保险等有效方式向招标人递交履约担保；如果中标人的履约担保是以银行保函的形式提供</w:t>
            </w:r>
            <w:r>
              <w:rPr>
                <w:rFonts w:hint="eastAsia" w:asciiTheme="minorEastAsia" w:hAnsiTheme="minorEastAsia" w:eastAsiaTheme="minorEastAsia" w:cstheme="minorEastAsia"/>
                <w:b/>
                <w:bCs/>
                <w:color w:val="000000" w:themeColor="text1"/>
                <w:spacing w:val="-2"/>
                <w:sz w:val="24"/>
                <w:szCs w:val="24"/>
                <w:highlight w:val="none"/>
                <w14:textFill>
                  <w14:solidFill>
                    <w14:schemeClr w14:val="tx1"/>
                  </w14:solidFill>
                </w14:textFill>
              </w:rPr>
              <w:t>，则该银行保函应由在中国注册的国有商业银行银行开具</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若中标人不提交，招标人有权取消其中标资格及有权根据《关于投标保证金的承诺》，要求投标人足额补交投标保证金，其补交的投标保证金不予退还。开具银行保函的有效期至本工程竣工验收后90天止。如保函过期工程尚未竣工初验，承包人应自觉及时办理保函延期手续，确保保函担保期间不出现空缺，否则不予办理请款手续。</w:t>
            </w:r>
          </w:p>
        </w:tc>
      </w:tr>
      <w:tr w14:paraId="1819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shd w:val="clear" w:color="auto" w:fill="auto"/>
            <w:vAlign w:val="center"/>
          </w:tcPr>
          <w:p w14:paraId="32D191C9">
            <w:pPr>
              <w:adjustRightInd w:val="0"/>
              <w:snapToGrid w:val="0"/>
              <w:spacing w:line="360" w:lineRule="auto"/>
              <w:jc w:val="center"/>
              <w:rPr>
                <w:rFonts w:hint="eastAsia" w:asciiTheme="minorEastAsia" w:hAnsiTheme="minorEastAsia" w:eastAsiaTheme="minorEastAsia" w:cstheme="minorEastAsia"/>
                <w:color w:val="000000" w:themeColor="text1"/>
                <w:spacing w:val="-2"/>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2</w:t>
            </w:r>
          </w:p>
        </w:tc>
        <w:tc>
          <w:tcPr>
            <w:tcW w:w="1757" w:type="dxa"/>
            <w:vAlign w:val="center"/>
          </w:tcPr>
          <w:p w14:paraId="07E442BC">
            <w:pPr>
              <w:adjustRightInd w:val="0"/>
              <w:snapToGrid w:val="0"/>
              <w:spacing w:line="360" w:lineRule="auto"/>
              <w:rPr>
                <w:rFonts w:hint="default"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开标、评标及定标办法通用条款附表一资格审查表</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第14项</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须审查的资料</w:t>
            </w:r>
          </w:p>
        </w:tc>
        <w:tc>
          <w:tcPr>
            <w:tcW w:w="3471" w:type="dxa"/>
            <w:shd w:val="clear" w:color="auto" w:fill="auto"/>
            <w:vAlign w:val="center"/>
          </w:tcPr>
          <w:p w14:paraId="3D20C7B8">
            <w:pPr>
              <w:adjustRightInd w:val="0"/>
              <w:snapToGrid w:val="0"/>
              <w:spacing w:line="360" w:lineRule="auto"/>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宋体" w:hAnsi="宋体" w:eastAsia="宋体" w:cs="宋体"/>
                <w:color w:val="auto"/>
                <w:sz w:val="24"/>
                <w:szCs w:val="24"/>
                <w:highlight w:val="none"/>
              </w:rPr>
              <w:t>投标人无需提供资料，按广州交易集团有限公司（广州公共资源交易中心）交易系统比对的结果进行评审</w:t>
            </w:r>
          </w:p>
        </w:tc>
        <w:tc>
          <w:tcPr>
            <w:tcW w:w="3640" w:type="dxa"/>
            <w:shd w:val="clear" w:color="auto" w:fill="auto"/>
            <w:vAlign w:val="center"/>
          </w:tcPr>
          <w:p w14:paraId="60727FE4">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投标人无需提供资料，按投标截止时间交易系统比对的结果进行评审</w:t>
            </w:r>
          </w:p>
        </w:tc>
      </w:tr>
      <w:tr w14:paraId="5C01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shd w:val="clear" w:color="auto" w:fill="auto"/>
            <w:vAlign w:val="center"/>
          </w:tcPr>
          <w:p w14:paraId="5C6539A0">
            <w:pPr>
              <w:adjustRightInd w:val="0"/>
              <w:snapToGrid w:val="0"/>
              <w:spacing w:line="360" w:lineRule="auto"/>
              <w:jc w:val="center"/>
              <w:rPr>
                <w:rFonts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3</w:t>
            </w:r>
          </w:p>
        </w:tc>
        <w:tc>
          <w:tcPr>
            <w:tcW w:w="1757" w:type="dxa"/>
            <w:vAlign w:val="center"/>
          </w:tcPr>
          <w:p w14:paraId="20DA3AF4">
            <w:pPr>
              <w:adjustRightInd w:val="0"/>
              <w:snapToGrid w:val="0"/>
              <w:spacing w:line="360" w:lineRule="auto"/>
              <w:rPr>
                <w:rFonts w:asciiTheme="minorEastAsia" w:hAnsiTheme="minorEastAsia" w:eastAsiaTheme="minorEastAsia" w:cstheme="minorEastAsia"/>
                <w:color w:val="000000" w:themeColor="text1"/>
                <w:spacing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第二章 开标、评标及定标办法附表四关于“工程业绩”的评分内容</w:t>
            </w:r>
          </w:p>
        </w:tc>
        <w:tc>
          <w:tcPr>
            <w:tcW w:w="3471" w:type="dxa"/>
            <w:shd w:val="clear" w:color="auto" w:fill="auto"/>
            <w:vAlign w:val="center"/>
          </w:tcPr>
          <w:p w14:paraId="428321D1">
            <w:pPr>
              <w:adjustRightInd w:val="0"/>
              <w:snapToGrid w:val="0"/>
              <w:spacing w:line="360" w:lineRule="auto"/>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z w:val="24"/>
                <w:szCs w:val="24"/>
                <w:highlight w:val="none"/>
              </w:rPr>
              <w:t>投标人自2019年1月1日至投标截止时间止，完成过质量合格的工程造价等于或大于1500万元的建筑机电安装工程业绩，每项得1.2分，最多得12分。</w:t>
            </w:r>
          </w:p>
        </w:tc>
        <w:tc>
          <w:tcPr>
            <w:tcW w:w="3640" w:type="dxa"/>
            <w:shd w:val="clear" w:color="auto" w:fill="auto"/>
            <w:vAlign w:val="center"/>
          </w:tcPr>
          <w:p w14:paraId="1398D3BD">
            <w:pPr>
              <w:spacing w:line="360" w:lineRule="auto"/>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z w:val="24"/>
                <w:szCs w:val="24"/>
                <w:highlight w:val="none"/>
              </w:rPr>
              <w:t>投标人自2019年1月1日至投标截止时间止，完成过质量合格的工程造价等于或大于</w:t>
            </w:r>
            <w:r>
              <w:rPr>
                <w:rFonts w:hint="eastAsia" w:asciiTheme="minorEastAsia" w:hAnsiTheme="minorEastAsia" w:eastAsiaTheme="minorEastAsia" w:cstheme="minorEastAsia"/>
                <w:b/>
                <w:bCs/>
                <w:sz w:val="24"/>
                <w:szCs w:val="24"/>
                <w:highlight w:val="none"/>
              </w:rPr>
              <w:t>1300万元</w:t>
            </w:r>
            <w:r>
              <w:rPr>
                <w:rFonts w:hint="eastAsia" w:asciiTheme="minorEastAsia" w:hAnsiTheme="minorEastAsia" w:eastAsiaTheme="minorEastAsia" w:cstheme="minorEastAsia"/>
                <w:sz w:val="24"/>
                <w:szCs w:val="24"/>
                <w:highlight w:val="none"/>
              </w:rPr>
              <w:t>的建筑机电安装工程业绩，每项得1.2分，最多得12分。</w:t>
            </w:r>
          </w:p>
        </w:tc>
      </w:tr>
      <w:tr w14:paraId="0C2C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shd w:val="clear" w:color="auto" w:fill="auto"/>
            <w:vAlign w:val="center"/>
          </w:tcPr>
          <w:p w14:paraId="2DD0D73B">
            <w:pPr>
              <w:adjustRightInd w:val="0"/>
              <w:snapToGrid w:val="0"/>
              <w:spacing w:line="360" w:lineRule="auto"/>
              <w:jc w:val="center"/>
              <w:rPr>
                <w:rFonts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4</w:t>
            </w:r>
          </w:p>
        </w:tc>
        <w:tc>
          <w:tcPr>
            <w:tcW w:w="1757" w:type="dxa"/>
            <w:vAlign w:val="center"/>
          </w:tcPr>
          <w:p w14:paraId="0355CD28">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第二章 开标、评标及定标办法附表四关于“工程奖项”的评分内容</w:t>
            </w:r>
          </w:p>
        </w:tc>
        <w:tc>
          <w:tcPr>
            <w:tcW w:w="3471" w:type="dxa"/>
            <w:shd w:val="clear" w:color="auto" w:fill="auto"/>
            <w:vAlign w:val="center"/>
          </w:tcPr>
          <w:p w14:paraId="74E9E92A">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投标人自2019年1月1日至今承建或参建的工程项目：</w:t>
            </w:r>
          </w:p>
          <w:p w14:paraId="73F5044D">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（1）获得国家级质量奖项，一项得1分,本项最多得9分；</w:t>
            </w:r>
          </w:p>
          <w:p w14:paraId="5BEFD315">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（2）获得省级质量奖项，一项得0.5分,本项最多得4.5分；</w:t>
            </w:r>
          </w:p>
          <w:p w14:paraId="3AEF133D">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（3）获得市级质量奖项，一项得0.2分,本项最多得1.8分。</w:t>
            </w:r>
          </w:p>
          <w:p w14:paraId="59ADE171">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本项累计最高得9分。不符合上述条件或未提供相关证明材料的不得分。</w:t>
            </w:r>
          </w:p>
        </w:tc>
        <w:tc>
          <w:tcPr>
            <w:tcW w:w="3640" w:type="dxa"/>
            <w:shd w:val="clear" w:color="auto" w:fill="auto"/>
            <w:vAlign w:val="center"/>
          </w:tcPr>
          <w:p w14:paraId="2D06ED0B">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投标人自2019年1月1日至今承建或参建的工程项目：</w:t>
            </w:r>
          </w:p>
          <w:p w14:paraId="53BE5ABE">
            <w:pPr>
              <w:adjustRightInd w:val="0"/>
              <w:snapToGrid w:val="0"/>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（1）获得国家级质量奖项，一项得1分；</w:t>
            </w:r>
          </w:p>
          <w:p w14:paraId="0514E69D">
            <w:pPr>
              <w:adjustRightInd w:val="0"/>
              <w:snapToGrid w:val="0"/>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（2）获得省级质量奖项，一项得0.5分；</w:t>
            </w:r>
          </w:p>
          <w:p w14:paraId="74603E13">
            <w:pPr>
              <w:adjustRightInd w:val="0"/>
              <w:snapToGrid w:val="0"/>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（3）获得市级质量奖项，一项得0.2分。</w:t>
            </w:r>
          </w:p>
          <w:p w14:paraId="4C6E3F7C">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本项累计最高得9分。不符合上述条件或未提供相关证明材料的不得分。</w:t>
            </w:r>
          </w:p>
        </w:tc>
      </w:tr>
      <w:tr w14:paraId="40D5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shd w:val="clear" w:color="auto" w:fill="auto"/>
            <w:vAlign w:val="center"/>
          </w:tcPr>
          <w:p w14:paraId="55C52580">
            <w:pPr>
              <w:adjustRightInd w:val="0"/>
              <w:snapToGrid w:val="0"/>
              <w:spacing w:line="360" w:lineRule="auto"/>
              <w:jc w:val="center"/>
              <w:rPr>
                <w:rFonts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5</w:t>
            </w:r>
          </w:p>
        </w:tc>
        <w:tc>
          <w:tcPr>
            <w:tcW w:w="1757" w:type="dxa"/>
            <w:vAlign w:val="center"/>
          </w:tcPr>
          <w:p w14:paraId="05DACBBC">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第二章 开标、评标及定标办法附表四关于“工程研发能力”的评分内容</w:t>
            </w:r>
          </w:p>
        </w:tc>
        <w:tc>
          <w:tcPr>
            <w:tcW w:w="3471" w:type="dxa"/>
            <w:shd w:val="clear" w:color="auto" w:fill="auto"/>
            <w:vAlign w:val="center"/>
          </w:tcPr>
          <w:p w14:paraId="280C9223">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投标人自2019年1月1日至投标截止之日起，获得过省级或以上工法证书的每个得0.3分，本项最高3分。</w:t>
            </w:r>
          </w:p>
          <w:p w14:paraId="3D00B3C6">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注：须提供相关证明文件的复印件并加盖投标单位公章，否则不得分。</w:t>
            </w:r>
          </w:p>
        </w:tc>
        <w:tc>
          <w:tcPr>
            <w:tcW w:w="3640" w:type="dxa"/>
            <w:shd w:val="clear" w:color="auto" w:fill="auto"/>
            <w:vAlign w:val="center"/>
          </w:tcPr>
          <w:p w14:paraId="4B4E32E1">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投标人自2019年1月1日至投标截止之日起，获得过的工法证书：</w:t>
            </w:r>
          </w:p>
          <w:p w14:paraId="4F1E5299">
            <w:pPr>
              <w:adjustRightInd w:val="0"/>
              <w:snapToGrid w:val="0"/>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（1）获得过国家级工法证书的每个得0.5分；</w:t>
            </w:r>
          </w:p>
          <w:p w14:paraId="4D320472">
            <w:pPr>
              <w:adjustRightInd w:val="0"/>
              <w:snapToGrid w:val="0"/>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（2）获得过省级工法证书的每个得0.3分；</w:t>
            </w:r>
          </w:p>
          <w:p w14:paraId="100F4710">
            <w:pPr>
              <w:adjustRightInd w:val="0"/>
              <w:snapToGrid w:val="0"/>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注：本项累计最高得3分。</w:t>
            </w:r>
          </w:p>
          <w:p w14:paraId="42D09416">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须提供相关证明文件的复印件并加盖投标单位公章，否则不得分。</w:t>
            </w:r>
          </w:p>
        </w:tc>
      </w:tr>
      <w:tr w14:paraId="79D2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shd w:val="clear" w:color="auto" w:fill="auto"/>
            <w:vAlign w:val="center"/>
          </w:tcPr>
          <w:p w14:paraId="3B403174">
            <w:pPr>
              <w:adjustRightInd w:val="0"/>
              <w:snapToGrid w:val="0"/>
              <w:spacing w:line="360" w:lineRule="auto"/>
              <w:jc w:val="center"/>
              <w:rPr>
                <w:rFonts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6</w:t>
            </w:r>
          </w:p>
        </w:tc>
        <w:tc>
          <w:tcPr>
            <w:tcW w:w="1757" w:type="dxa"/>
            <w:vAlign w:val="center"/>
          </w:tcPr>
          <w:p w14:paraId="67000070">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第二章 开标、评标及定标办法附表四关于“技术负责人”的评分内容</w:t>
            </w:r>
          </w:p>
        </w:tc>
        <w:tc>
          <w:tcPr>
            <w:tcW w:w="3471" w:type="dxa"/>
            <w:shd w:val="clear" w:color="auto" w:fill="auto"/>
            <w:vAlign w:val="center"/>
          </w:tcPr>
          <w:p w14:paraId="370F9ABC">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需满足附表四-1【项目管理部主要人员配备基本要求表】基础上按照以下评审计分：</w:t>
            </w:r>
          </w:p>
          <w:p w14:paraId="4B714639">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（1）技术负责人为机电工程相关专业正高级（教授级）工程师或以上技术职称，得10分；为机电工程相关专业高级工程师技术职称，得8分</w:t>
            </w:r>
          </w:p>
          <w:p w14:paraId="5ADB236E">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（2）技术负责人获得上述最高级别技术职称10年（含10年）以上的，得10分；5年（含5年）至10年（不含10年）的，得8分（以职称证发证时间为准）</w:t>
            </w:r>
          </w:p>
          <w:p w14:paraId="20F23C14">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注：本项最高得20分，职称证按最高级别证书评审，需提供相关证明材料，否则不得分。</w:t>
            </w:r>
          </w:p>
        </w:tc>
        <w:tc>
          <w:tcPr>
            <w:tcW w:w="3640" w:type="dxa"/>
            <w:shd w:val="clear" w:color="auto" w:fill="auto"/>
            <w:vAlign w:val="center"/>
          </w:tcPr>
          <w:p w14:paraId="107A885F">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需满足附表四-1【项目管理部主要人员配备基本要求表】基础上按照以下评审计分：</w:t>
            </w:r>
          </w:p>
          <w:p w14:paraId="0292AD77">
            <w:pPr>
              <w:adjustRightInd w:val="0"/>
              <w:snapToGrid w:val="0"/>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sz w:val="24"/>
                <w:szCs w:val="24"/>
                <w:highlight w:val="none"/>
              </w:rPr>
              <w:t>（1）</w:t>
            </w:r>
            <w:r>
              <w:rPr>
                <w:rFonts w:hint="eastAsia" w:asciiTheme="minorEastAsia" w:hAnsiTheme="minorEastAsia" w:eastAsiaTheme="minorEastAsia" w:cstheme="minorEastAsia"/>
                <w:b/>
                <w:bCs/>
                <w:sz w:val="24"/>
                <w:szCs w:val="24"/>
                <w:highlight w:val="none"/>
              </w:rPr>
              <w:t>技术负责人为机电工程相关专业正高级（教授级）工程师或以上技术职称，得10分；</w:t>
            </w:r>
          </w:p>
          <w:p w14:paraId="67D1803B">
            <w:pPr>
              <w:adjustRightInd w:val="0"/>
              <w:snapToGrid w:val="0"/>
              <w:spacing w:line="36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（2）技术负责人具备机电工程专业一级注册建造师，得</w:t>
            </w:r>
            <w:r>
              <w:rPr>
                <w:rFonts w:asciiTheme="minorEastAsia" w:hAnsiTheme="minorEastAsia" w:eastAsiaTheme="minorEastAsia" w:cstheme="minorEastAsia"/>
                <w:b/>
                <w:bCs/>
                <w:sz w:val="24"/>
                <w:szCs w:val="24"/>
                <w:highlight w:val="none"/>
              </w:rPr>
              <w:t>5</w:t>
            </w:r>
            <w:r>
              <w:rPr>
                <w:rFonts w:hint="eastAsia" w:asciiTheme="minorEastAsia" w:hAnsiTheme="minorEastAsia" w:eastAsiaTheme="minorEastAsia" w:cstheme="minorEastAsia"/>
                <w:b/>
                <w:bCs/>
                <w:sz w:val="24"/>
                <w:szCs w:val="24"/>
                <w:highlight w:val="none"/>
              </w:rPr>
              <w:t>分；</w:t>
            </w:r>
          </w:p>
          <w:p w14:paraId="541E3C81">
            <w:pPr>
              <w:adjustRightInd w:val="0"/>
              <w:snapToGrid w:val="0"/>
              <w:spacing w:line="360" w:lineRule="auto"/>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w:t>
            </w:r>
            <w:r>
              <w:rPr>
                <w:rFonts w:asciiTheme="minorEastAsia" w:hAnsiTheme="minorEastAsia" w:eastAsiaTheme="minorEastAsia" w:cstheme="minorEastAsia"/>
                <w:b/>
                <w:sz w:val="24"/>
                <w:szCs w:val="24"/>
                <w:highlight w:val="none"/>
              </w:rPr>
              <w:t>2</w:t>
            </w:r>
            <w:r>
              <w:rPr>
                <w:rFonts w:hint="eastAsia" w:asciiTheme="minorEastAsia" w:hAnsiTheme="minorEastAsia" w:eastAsiaTheme="minorEastAsia" w:cstheme="minorEastAsia"/>
                <w:b/>
                <w:sz w:val="24"/>
                <w:szCs w:val="24"/>
                <w:highlight w:val="none"/>
              </w:rPr>
              <w:t>）技术负责人获得上述最高级别技术职称10年（含10年）以上的，得</w:t>
            </w:r>
            <w:r>
              <w:rPr>
                <w:rFonts w:asciiTheme="minorEastAsia" w:hAnsiTheme="minorEastAsia" w:eastAsiaTheme="minorEastAsia" w:cstheme="minorEastAsia"/>
                <w:b/>
                <w:sz w:val="24"/>
                <w:szCs w:val="24"/>
                <w:highlight w:val="none"/>
              </w:rPr>
              <w:t>5</w:t>
            </w:r>
            <w:r>
              <w:rPr>
                <w:rFonts w:hint="eastAsia" w:asciiTheme="minorEastAsia" w:hAnsiTheme="minorEastAsia" w:eastAsiaTheme="minorEastAsia" w:cstheme="minorEastAsia"/>
                <w:b/>
                <w:sz w:val="24"/>
                <w:szCs w:val="24"/>
                <w:highlight w:val="none"/>
              </w:rPr>
              <w:t>分；5年（含5年）至10年（不含10年）的，得</w:t>
            </w:r>
            <w:r>
              <w:rPr>
                <w:rFonts w:asciiTheme="minorEastAsia" w:hAnsiTheme="minorEastAsia" w:eastAsiaTheme="minorEastAsia" w:cstheme="minorEastAsia"/>
                <w:b/>
                <w:sz w:val="24"/>
                <w:szCs w:val="24"/>
                <w:highlight w:val="none"/>
              </w:rPr>
              <w:t>3</w:t>
            </w:r>
            <w:r>
              <w:rPr>
                <w:rFonts w:hint="eastAsia" w:asciiTheme="minorEastAsia" w:hAnsiTheme="minorEastAsia" w:eastAsiaTheme="minorEastAsia" w:cstheme="minorEastAsia"/>
                <w:b/>
                <w:sz w:val="24"/>
                <w:szCs w:val="24"/>
                <w:highlight w:val="none"/>
              </w:rPr>
              <w:t>分（以职称证发证时间为准）</w:t>
            </w:r>
          </w:p>
          <w:p w14:paraId="786ED139">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注：本项最高得20分，职称证按最高级别证书评审，需提供相关证明材料，否则不得分。</w:t>
            </w:r>
          </w:p>
        </w:tc>
      </w:tr>
      <w:tr w14:paraId="5463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shd w:val="clear" w:color="auto" w:fill="auto"/>
            <w:vAlign w:val="center"/>
          </w:tcPr>
          <w:p w14:paraId="387ACF92">
            <w:pPr>
              <w:adjustRightInd w:val="0"/>
              <w:snapToGrid w:val="0"/>
              <w:spacing w:line="360" w:lineRule="auto"/>
              <w:jc w:val="center"/>
              <w:rPr>
                <w:rFonts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7</w:t>
            </w:r>
          </w:p>
        </w:tc>
        <w:tc>
          <w:tcPr>
            <w:tcW w:w="1757" w:type="dxa"/>
            <w:vAlign w:val="center"/>
          </w:tcPr>
          <w:p w14:paraId="10A754B9">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开标、评标及定标办法通用条款第45.3点</w:t>
            </w:r>
          </w:p>
        </w:tc>
        <w:tc>
          <w:tcPr>
            <w:tcW w:w="3471" w:type="dxa"/>
            <w:shd w:val="clear" w:color="auto" w:fill="auto"/>
            <w:vAlign w:val="center"/>
          </w:tcPr>
          <w:p w14:paraId="18402FD2">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当投标总报价等于评标参考价时得100分，投标总报价每高于评标参考价1%，扣0.4分，每低于评标参考价1%，扣0.1分，扣至0分为止，得出经济分，精确到小数点后两位。</w:t>
            </w:r>
          </w:p>
        </w:tc>
        <w:tc>
          <w:tcPr>
            <w:tcW w:w="3640" w:type="dxa"/>
            <w:shd w:val="clear" w:color="auto" w:fill="auto"/>
            <w:vAlign w:val="center"/>
          </w:tcPr>
          <w:p w14:paraId="5B7C233A">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当投标总报价等于评标参考价时得100分，投标总报价每高于评标参考价1%，</w:t>
            </w:r>
            <w:r>
              <w:rPr>
                <w:rFonts w:hint="eastAsia" w:asciiTheme="minorEastAsia" w:hAnsiTheme="minorEastAsia" w:eastAsiaTheme="minorEastAsia" w:cstheme="minorEastAsia"/>
                <w:b/>
                <w:bCs/>
                <w:sz w:val="24"/>
                <w:szCs w:val="24"/>
                <w:highlight w:val="none"/>
              </w:rPr>
              <w:t>扣</w:t>
            </w:r>
            <w:r>
              <w:rPr>
                <w:rFonts w:hint="eastAsia" w:asciiTheme="minorEastAsia" w:hAnsiTheme="minorEastAsia" w:eastAsiaTheme="minorEastAsia" w:cstheme="minorEastAsia"/>
                <w:b/>
                <w:bCs/>
                <w:sz w:val="24"/>
                <w:szCs w:val="24"/>
                <w:highlight w:val="none"/>
                <w:lang w:val="en-US" w:eastAsia="zh-CN"/>
              </w:rPr>
              <w:t>1.0</w:t>
            </w:r>
            <w:r>
              <w:rPr>
                <w:rFonts w:hint="eastAsia" w:asciiTheme="minorEastAsia" w:hAnsiTheme="minorEastAsia" w:eastAsiaTheme="minorEastAsia" w:cstheme="minorEastAsia"/>
                <w:b/>
                <w:bCs/>
                <w:sz w:val="24"/>
                <w:szCs w:val="24"/>
                <w:highlight w:val="none"/>
              </w:rPr>
              <w:t>分</w:t>
            </w:r>
            <w:r>
              <w:rPr>
                <w:rFonts w:hint="eastAsia" w:asciiTheme="minorEastAsia" w:hAnsiTheme="minorEastAsia" w:eastAsiaTheme="minorEastAsia" w:cstheme="minorEastAsia"/>
                <w:sz w:val="24"/>
                <w:szCs w:val="24"/>
                <w:highlight w:val="none"/>
              </w:rPr>
              <w:t>，每低于评标参考价1%，</w:t>
            </w:r>
            <w:r>
              <w:rPr>
                <w:rFonts w:hint="eastAsia" w:asciiTheme="minorEastAsia" w:hAnsiTheme="minorEastAsia" w:eastAsiaTheme="minorEastAsia" w:cstheme="minorEastAsia"/>
                <w:b/>
                <w:bCs/>
                <w:sz w:val="24"/>
                <w:szCs w:val="24"/>
                <w:highlight w:val="none"/>
              </w:rPr>
              <w:t>扣</w:t>
            </w:r>
            <w:r>
              <w:rPr>
                <w:rFonts w:asciiTheme="minorEastAsia" w:hAnsiTheme="minorEastAsia" w:eastAsiaTheme="minorEastAsia" w:cstheme="minorEastAsia"/>
                <w:b/>
                <w:bCs/>
                <w:sz w:val="24"/>
                <w:szCs w:val="24"/>
                <w:highlight w:val="none"/>
              </w:rPr>
              <w:t>0.</w:t>
            </w:r>
            <w:r>
              <w:rPr>
                <w:rFonts w:hint="eastAsia" w:asciiTheme="minorEastAsia" w:hAnsiTheme="minorEastAsia" w:eastAsiaTheme="minorEastAsia" w:cstheme="minorEastAsia"/>
                <w:b/>
                <w:bCs/>
                <w:sz w:val="24"/>
                <w:szCs w:val="24"/>
                <w:highlight w:val="none"/>
                <w:lang w:val="en-US" w:eastAsia="zh-CN"/>
              </w:rPr>
              <w:t>5</w:t>
            </w:r>
            <w:r>
              <w:rPr>
                <w:rFonts w:hint="eastAsia" w:asciiTheme="minorEastAsia" w:hAnsiTheme="minorEastAsia" w:eastAsiaTheme="minorEastAsia" w:cstheme="minorEastAsia"/>
                <w:b/>
                <w:bCs/>
                <w:sz w:val="24"/>
                <w:szCs w:val="24"/>
                <w:highlight w:val="none"/>
              </w:rPr>
              <w:t>分</w:t>
            </w:r>
            <w:r>
              <w:rPr>
                <w:rFonts w:hint="eastAsia" w:asciiTheme="minorEastAsia" w:hAnsiTheme="minorEastAsia" w:eastAsiaTheme="minorEastAsia" w:cstheme="minorEastAsia"/>
                <w:sz w:val="24"/>
                <w:szCs w:val="24"/>
                <w:highlight w:val="none"/>
              </w:rPr>
              <w:t>，扣至0分为止，得出经济分，精确到小数点后两位。</w:t>
            </w:r>
          </w:p>
        </w:tc>
      </w:tr>
      <w:tr w14:paraId="1F78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shd w:val="clear" w:color="auto" w:fill="auto"/>
            <w:vAlign w:val="center"/>
          </w:tcPr>
          <w:p w14:paraId="1D1FFFDE">
            <w:pPr>
              <w:adjustRightInd w:val="0"/>
              <w:snapToGrid w:val="0"/>
              <w:spacing w:line="360" w:lineRule="auto"/>
              <w:jc w:val="center"/>
              <w:rPr>
                <w:rFonts w:asciiTheme="minorEastAsia" w:hAnsiTheme="minorEastAsia" w:eastAsiaTheme="minorEastAsia" w:cstheme="minorEastAsia"/>
                <w:color w:val="000000" w:themeColor="text1"/>
                <w:spacing w:val="-2"/>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8</w:t>
            </w:r>
          </w:p>
        </w:tc>
        <w:tc>
          <w:tcPr>
            <w:tcW w:w="1757" w:type="dxa"/>
            <w:vAlign w:val="center"/>
          </w:tcPr>
          <w:p w14:paraId="6F2D87FE">
            <w:pPr>
              <w:adjustRightInd w:val="0"/>
              <w:snapToGrid w:val="0"/>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第二章 开标、评标及定标办法附表四-1序号4造价负责人</w:t>
            </w:r>
          </w:p>
        </w:tc>
        <w:tc>
          <w:tcPr>
            <w:tcW w:w="3471" w:type="dxa"/>
            <w:shd w:val="clear" w:color="auto" w:fill="auto"/>
            <w:vAlign w:val="center"/>
          </w:tcPr>
          <w:p w14:paraId="7EDD5087">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基本要求：具有有效期内的安装专业一级注册造价工程师注册证书或安装专业注册造价工程师注册证书。</w:t>
            </w:r>
          </w:p>
          <w:p w14:paraId="216DA572">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备注：同时提供注册造价工程师注册证书或一级注册造价工程师注册证书、</w:t>
            </w:r>
          </w:p>
          <w:p w14:paraId="629FB6EE">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(http://zaojiasys.jianshe99.com/cecaopsys/queryAndSearch/view.do?op=queryUserInfoInit)造价师注册信息查询网页截图</w:t>
            </w:r>
          </w:p>
        </w:tc>
        <w:tc>
          <w:tcPr>
            <w:tcW w:w="3640" w:type="dxa"/>
            <w:shd w:val="clear" w:color="auto" w:fill="auto"/>
            <w:vAlign w:val="center"/>
          </w:tcPr>
          <w:p w14:paraId="58456C65">
            <w:pPr>
              <w:adjustRightInd w:val="0"/>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删除</w:t>
            </w:r>
          </w:p>
        </w:tc>
      </w:tr>
      <w:tr w14:paraId="6B40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shd w:val="clear" w:color="auto" w:fill="auto"/>
            <w:vAlign w:val="center"/>
          </w:tcPr>
          <w:p w14:paraId="278A575D">
            <w:pPr>
              <w:adjustRightInd w:val="0"/>
              <w:snapToGrid w:val="0"/>
              <w:spacing w:line="360" w:lineRule="auto"/>
              <w:jc w:val="cente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9</w:t>
            </w:r>
          </w:p>
        </w:tc>
        <w:tc>
          <w:tcPr>
            <w:tcW w:w="8868" w:type="dxa"/>
            <w:gridSpan w:val="3"/>
            <w:shd w:val="clear" w:color="auto" w:fill="auto"/>
            <w:vAlign w:val="center"/>
          </w:tcPr>
          <w:p w14:paraId="4D1246FB">
            <w:pPr>
              <w:spacing w:line="360" w:lineRule="auto"/>
              <w:jc w:val="center"/>
              <w:rPr>
                <w:rFonts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招标文件其他修改部分详见补充公告附件招标文件（补充公告修改版）</w:t>
            </w:r>
          </w:p>
        </w:tc>
      </w:tr>
    </w:tbl>
    <w:p w14:paraId="4EDDD972">
      <w:pPr>
        <w:numPr>
          <w:ilvl w:val="0"/>
          <w:numId w:val="1"/>
        </w:numPr>
        <w:spacing w:line="360" w:lineRule="auto"/>
        <w:ind w:firstLine="480" w:firstLineChars="200"/>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原招标文件的内容与本补充公告发布的内容不一致之处的，以本补充公告内容为准；具体递交投标文件时间、开标时间及场地安排等请各投标人密切留意广州公共资源交易中心公布本项目的日程安排。</w:t>
      </w:r>
    </w:p>
    <w:p w14:paraId="5F0B0A89">
      <w:pPr>
        <w:spacing w:line="360" w:lineRule="auto"/>
        <w:ind w:firstLine="480" w:firstLineChars="200"/>
        <w:jc w:val="right"/>
        <w:rPr>
          <w:rFonts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p>
    <w:p w14:paraId="3EA43013">
      <w:pPr>
        <w:spacing w:line="360" w:lineRule="auto"/>
        <w:ind w:firstLine="480" w:firstLineChars="200"/>
        <w:jc w:val="right"/>
        <w:rPr>
          <w:rFonts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招标单位：因湃电池科技有限公司</w:t>
      </w:r>
    </w:p>
    <w:p w14:paraId="5257E2D9">
      <w:pPr>
        <w:spacing w:line="360" w:lineRule="auto"/>
        <w:ind w:firstLine="480" w:firstLineChars="200"/>
        <w:jc w:val="right"/>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日期：2024年</w:t>
      </w:r>
      <w:bookmarkStart w:id="0" w:name="_GoBack"/>
      <w:bookmarkEnd w:id="0"/>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1月</w:t>
      </w:r>
      <w:r>
        <w:rPr>
          <w:rFonts w:hint="eastAsia" w:asciiTheme="minorEastAsia" w:hAnsiTheme="minorEastAsia" w:eastAsiaTheme="minorEastAsia" w:cstheme="minorEastAsia"/>
          <w:color w:val="000000" w:themeColor="text1"/>
          <w:sz w:val="24"/>
          <w:szCs w:val="24"/>
          <w:shd w:val="clear" w:color="auto" w:fill="FFFFFF"/>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日</w:t>
      </w:r>
    </w:p>
    <w:sectPr>
      <w:headerReference r:id="rId3" w:type="default"/>
      <w:footerReference r:id="rId4" w:type="default"/>
      <w:pgSz w:w="11906" w:h="16838"/>
      <w:pgMar w:top="1417" w:right="1134" w:bottom="1417"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E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87D73">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2CF4A">
    <w:pPr>
      <w:pStyle w:val="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B7B792"/>
    <w:multiLevelType w:val="singleLevel"/>
    <w:tmpl w:val="79B7B79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60"/>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M2Q5Nzg5ZjM3NDYzN2ViMmZlYjRmOWZlYTU1YTIifQ=="/>
  </w:docVars>
  <w:rsids>
    <w:rsidRoot w:val="542C3E72"/>
    <w:rsid w:val="003A578E"/>
    <w:rsid w:val="00574A81"/>
    <w:rsid w:val="005757B1"/>
    <w:rsid w:val="01266582"/>
    <w:rsid w:val="014B3128"/>
    <w:rsid w:val="018F5DCE"/>
    <w:rsid w:val="05176DDE"/>
    <w:rsid w:val="055211C9"/>
    <w:rsid w:val="06781EFE"/>
    <w:rsid w:val="078E3A0A"/>
    <w:rsid w:val="126E51E3"/>
    <w:rsid w:val="15F74ED8"/>
    <w:rsid w:val="16957EBA"/>
    <w:rsid w:val="1B900ABF"/>
    <w:rsid w:val="1C1A3C2B"/>
    <w:rsid w:val="1C913751"/>
    <w:rsid w:val="1CA61B15"/>
    <w:rsid w:val="1CDD0C54"/>
    <w:rsid w:val="1D905BC0"/>
    <w:rsid w:val="1DA33E83"/>
    <w:rsid w:val="1DBE7C4D"/>
    <w:rsid w:val="2149741E"/>
    <w:rsid w:val="22656C36"/>
    <w:rsid w:val="24161865"/>
    <w:rsid w:val="24D2078A"/>
    <w:rsid w:val="259C63E4"/>
    <w:rsid w:val="260B458B"/>
    <w:rsid w:val="26C05B12"/>
    <w:rsid w:val="296A5C27"/>
    <w:rsid w:val="2BC61E52"/>
    <w:rsid w:val="2CB86F50"/>
    <w:rsid w:val="2E1B3283"/>
    <w:rsid w:val="31A04AD0"/>
    <w:rsid w:val="34B93F32"/>
    <w:rsid w:val="38CD7730"/>
    <w:rsid w:val="3F2A1578"/>
    <w:rsid w:val="3FB47094"/>
    <w:rsid w:val="41125C22"/>
    <w:rsid w:val="43DF7DAD"/>
    <w:rsid w:val="44295103"/>
    <w:rsid w:val="459A5616"/>
    <w:rsid w:val="47EC0577"/>
    <w:rsid w:val="4A7B036B"/>
    <w:rsid w:val="4BFC26C6"/>
    <w:rsid w:val="4CB3554F"/>
    <w:rsid w:val="4CF84399"/>
    <w:rsid w:val="4D051D08"/>
    <w:rsid w:val="50CF0808"/>
    <w:rsid w:val="514B6685"/>
    <w:rsid w:val="529001E0"/>
    <w:rsid w:val="542C3E72"/>
    <w:rsid w:val="59213BA5"/>
    <w:rsid w:val="5B9A0D18"/>
    <w:rsid w:val="5BA1276A"/>
    <w:rsid w:val="5EF77271"/>
    <w:rsid w:val="609C39F5"/>
    <w:rsid w:val="642F4E49"/>
    <w:rsid w:val="648D2B3B"/>
    <w:rsid w:val="681F0552"/>
    <w:rsid w:val="6D5A7157"/>
    <w:rsid w:val="6DAC7CBD"/>
    <w:rsid w:val="70131611"/>
    <w:rsid w:val="7086215C"/>
    <w:rsid w:val="71DE6EED"/>
    <w:rsid w:val="728C471B"/>
    <w:rsid w:val="72BA5C8A"/>
    <w:rsid w:val="75D71DE1"/>
    <w:rsid w:val="77894387"/>
    <w:rsid w:val="784232E6"/>
    <w:rsid w:val="7BCB7664"/>
    <w:rsid w:val="7E9E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qFormat/>
    <w:uiPriority w:val="0"/>
    <w:pPr>
      <w:spacing w:after="120"/>
    </w:pPr>
    <w:rPr>
      <w:kern w:val="0"/>
      <w:sz w:val="20"/>
      <w:szCs w:val="20"/>
    </w:rPr>
  </w:style>
  <w:style w:type="paragraph" w:styleId="6">
    <w:name w:val="Plain Text"/>
    <w:basedOn w:val="1"/>
    <w:next w:val="1"/>
    <w:qFormat/>
    <w:uiPriority w:val="0"/>
    <w:rPr>
      <w:rFonts w:ascii="宋体" w:hAnsi="Courier New"/>
      <w:kern w:val="0"/>
      <w:sz w:val="20"/>
      <w:szCs w:val="20"/>
    </w:rPr>
  </w:style>
  <w:style w:type="paragraph" w:styleId="7">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2"/>
    <w:basedOn w:val="1"/>
    <w:next w:val="1"/>
    <w:qFormat/>
    <w:uiPriority w:val="0"/>
    <w:pPr>
      <w:ind w:left="210"/>
      <w:jc w:val="left"/>
    </w:pPr>
    <w:rPr>
      <w:smallCaps/>
      <w:sz w:val="20"/>
      <w:szCs w:val="20"/>
    </w:rPr>
  </w:style>
  <w:style w:type="paragraph" w:styleId="10">
    <w:name w:val="Body Text First Indent"/>
    <w:basedOn w:val="5"/>
    <w:qFormat/>
    <w:uiPriority w:val="0"/>
    <w:pPr>
      <w:spacing w:line="312" w:lineRule="auto"/>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rPr>
      <w:rFonts w:cs="Times New Roman"/>
    </w:rPr>
  </w:style>
  <w:style w:type="character" w:styleId="15">
    <w:name w:val="annotation reference"/>
    <w:qFormat/>
    <w:uiPriority w:val="0"/>
    <w:rPr>
      <w:sz w:val="21"/>
      <w:szCs w:val="21"/>
    </w:rPr>
  </w:style>
  <w:style w:type="character" w:customStyle="1" w:styleId="16">
    <w:name w:val="font21"/>
    <w:autoRedefine/>
    <w:qFormat/>
    <w:uiPriority w:val="0"/>
    <w:rPr>
      <w:rFonts w:hint="eastAsia" w:ascii="宋体" w:hAnsi="宋体" w:eastAsia="宋体" w:cs="宋体"/>
      <w:color w:val="000000"/>
      <w:sz w:val="21"/>
      <w:szCs w:val="21"/>
      <w:u w:val="none"/>
    </w:rPr>
  </w:style>
  <w:style w:type="character" w:customStyle="1" w:styleId="17">
    <w:name w:val="NormalCharacter"/>
    <w:autoRedefine/>
    <w:qFormat/>
    <w:uiPriority w:val="0"/>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Pages>
  <Words>1727</Words>
  <Characters>1809</Characters>
  <Lines>18</Lines>
  <Paragraphs>5</Paragraphs>
  <TotalTime>2</TotalTime>
  <ScaleCrop>false</ScaleCrop>
  <LinksUpToDate>false</LinksUpToDate>
  <CharactersWithSpaces>1814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2024-09-14T09:14:00Z</dcterms:created>
  <dc:creator>孙俊</dc:creator>
  <cp:lastModifiedBy>Loubin_lblb</cp:lastModifiedBy>
  <dcterms:modified xsi:type="dcterms:W3CDTF">2025-01-13T06:49:26Z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DCE7906FE701499AB24ACE50A8732080_13</vt:lpwstr>
  </property>
  <property fmtid="{D5CDD505-2E9C-101B-9397-08002B2CF9AE}" pid="4" name="KSOTemplateDocerSaveRecord">
    <vt:lpwstr>eyJoZGlkIjoiNzBjM2Q5Nzg5ZjM3NDYzN2ViMmZlYjRmOWZlYTU1YTIiLCJ1c2VySWQiOiIyMzQxMDE5MjAifQ==</vt:lpwstr>
  </property>
</Properties>
</file>