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uto"/>
        <w:jc w:val="center"/>
        <w:outlineLvl w:val="3"/>
      </w:pPr>
      <w:r>
        <w:rPr>
          <w:rFonts w:hint="eastAsia" w:ascii="标宋" w:eastAsia="标宋"/>
          <w:color w:val="000000"/>
          <w:sz w:val="34"/>
          <w:szCs w:val="34"/>
          <w:u w:val="single"/>
        </w:rPr>
        <w:t xml:space="preserve"> 广州港南沙港区五期工程勘察设计 </w:t>
      </w:r>
      <w:r>
        <w:rPr>
          <w:rFonts w:hint="eastAsia" w:ascii="标宋" w:eastAsia="标宋"/>
          <w:color w:val="000000"/>
          <w:sz w:val="34"/>
          <w:szCs w:val="34"/>
        </w:rPr>
        <w:t>招标公告</w:t>
      </w:r>
    </w:p>
    <w:p>
      <w:pPr>
        <w:spacing w:line="280" w:lineRule="auto"/>
        <w:jc w:val="center"/>
      </w:pPr>
    </w:p>
    <w:p>
      <w:pPr>
        <w:outlineLvl w:val="3"/>
      </w:pPr>
      <w:r>
        <w:rPr>
          <w:rFonts w:hint="eastAsia"/>
          <w:b/>
          <w:color w:val="000000"/>
          <w:sz w:val="34"/>
          <w:szCs w:val="34"/>
        </w:rPr>
        <w:t>1.招标条件</w:t>
      </w:r>
    </w:p>
    <w:p>
      <w:r>
        <w:rPr>
          <w:rFonts w:hint="eastAsia" w:ascii="标宋" w:eastAsia="标宋"/>
          <w:color w:val="000000"/>
          <w:sz w:val="21"/>
          <w:szCs w:val="21"/>
        </w:rPr>
        <w:t xml:space="preserve">    本招标项目</w:t>
      </w:r>
      <w:r>
        <w:rPr>
          <w:rFonts w:hint="eastAsia" w:ascii="标宋" w:eastAsia="标宋"/>
          <w:color w:val="000000"/>
          <w:sz w:val="21"/>
          <w:szCs w:val="21"/>
          <w:u w:val="single"/>
        </w:rPr>
        <w:t xml:space="preserve"> 广州港南沙港区五期工程 </w:t>
      </w:r>
      <w:r>
        <w:rPr>
          <w:rFonts w:hint="eastAsia" w:ascii="标宋" w:eastAsia="标宋"/>
          <w:color w:val="000000"/>
          <w:sz w:val="21"/>
          <w:szCs w:val="21"/>
        </w:rPr>
        <w:t>已由</w:t>
      </w:r>
      <w:r>
        <w:rPr>
          <w:rFonts w:hint="eastAsia" w:ascii="标宋" w:eastAsia="标宋"/>
          <w:color w:val="000000"/>
          <w:sz w:val="21"/>
          <w:szCs w:val="21"/>
          <w:u w:val="single"/>
        </w:rPr>
        <w:t xml:space="preserve">  广东省发展和改革委员会  </w:t>
      </w:r>
      <w:r>
        <w:rPr>
          <w:rFonts w:hint="eastAsia" w:ascii="标宋" w:eastAsia="标宋"/>
          <w:color w:val="000000"/>
          <w:sz w:val="21"/>
          <w:szCs w:val="21"/>
        </w:rPr>
        <w:t>以</w:t>
      </w:r>
      <w:r>
        <w:rPr>
          <w:rFonts w:hint="eastAsia" w:ascii="标宋" w:eastAsia="标宋"/>
          <w:color w:val="000000"/>
          <w:sz w:val="21"/>
          <w:szCs w:val="21"/>
          <w:u w:val="single"/>
        </w:rPr>
        <w:t xml:space="preserve">  粤发改核准[2024]24号  </w:t>
      </w:r>
      <w:r>
        <w:rPr>
          <w:rFonts w:hint="eastAsia" w:ascii="标宋" w:eastAsia="标宋"/>
          <w:color w:val="000000"/>
          <w:sz w:val="21"/>
          <w:szCs w:val="21"/>
        </w:rPr>
        <w:t>批准建设,项目业主为</w:t>
      </w:r>
      <w:r>
        <w:rPr>
          <w:rFonts w:hint="eastAsia" w:ascii="标宋" w:eastAsia="标宋"/>
          <w:color w:val="000000"/>
          <w:sz w:val="21"/>
          <w:szCs w:val="21"/>
          <w:u w:val="single"/>
        </w:rPr>
        <w:t xml:space="preserve">  广州南沙国际集装箱码头有限公司  </w:t>
      </w:r>
      <w:r>
        <w:rPr>
          <w:rFonts w:hint="eastAsia" w:ascii="标宋" w:eastAsia="标宋"/>
          <w:color w:val="000000"/>
          <w:sz w:val="21"/>
          <w:szCs w:val="21"/>
        </w:rPr>
        <w:t>，建设资金来自</w:t>
      </w:r>
      <w:r>
        <w:rPr>
          <w:rFonts w:hint="eastAsia" w:ascii="标宋" w:eastAsia="标宋"/>
          <w:color w:val="000000"/>
          <w:sz w:val="21"/>
          <w:szCs w:val="21"/>
          <w:u w:val="single"/>
        </w:rPr>
        <w:t xml:space="preserve">  企业自有资金和银行贷款  </w:t>
      </w:r>
      <w:r>
        <w:rPr>
          <w:rFonts w:hint="eastAsia" w:ascii="标宋" w:eastAsia="标宋"/>
          <w:color w:val="000000"/>
          <w:sz w:val="21"/>
          <w:szCs w:val="21"/>
        </w:rPr>
        <w:t>,项目出资比例为</w:t>
      </w:r>
      <w:r>
        <w:rPr>
          <w:rFonts w:hint="eastAsia" w:ascii="标宋" w:eastAsia="标宋"/>
          <w:color w:val="000000"/>
          <w:sz w:val="21"/>
          <w:szCs w:val="21"/>
          <w:u w:val="single"/>
        </w:rPr>
        <w:t xml:space="preserve">  企业自有资金20%、银行贷款80% </w:t>
      </w:r>
      <w:r>
        <w:rPr>
          <w:rFonts w:hint="eastAsia" w:ascii="标宋" w:eastAsia="标宋"/>
          <w:color w:val="000000"/>
          <w:sz w:val="21"/>
          <w:szCs w:val="21"/>
        </w:rPr>
        <w:t>，招标人为</w:t>
      </w:r>
      <w:r>
        <w:rPr>
          <w:rFonts w:hint="eastAsia" w:ascii="标宋" w:eastAsia="标宋"/>
          <w:color w:val="000000"/>
          <w:sz w:val="21"/>
          <w:szCs w:val="21"/>
          <w:u w:val="single"/>
        </w:rPr>
        <w:t xml:space="preserve">  广州南沙国际集装箱码头有限公司  </w:t>
      </w:r>
      <w:r>
        <w:rPr>
          <w:rFonts w:hint="eastAsia" w:ascii="标宋" w:eastAsia="标宋"/>
          <w:color w:val="000000"/>
          <w:sz w:val="21"/>
          <w:szCs w:val="21"/>
        </w:rPr>
        <w:t>。项目已具备招标条件，现对该项目的勘察设计采用资格后审方式进行公开招标。</w:t>
      </w:r>
    </w:p>
    <w:p>
      <w:pPr>
        <w:spacing w:line="280" w:lineRule="auto"/>
      </w:pPr>
    </w:p>
    <w:p>
      <w:pPr>
        <w:spacing w:line="280" w:lineRule="auto"/>
        <w:outlineLvl w:val="3"/>
      </w:pPr>
      <w:r>
        <w:rPr>
          <w:rFonts w:hint="eastAsia"/>
          <w:b/>
          <w:color w:val="000000"/>
          <w:sz w:val="34"/>
          <w:szCs w:val="34"/>
        </w:rPr>
        <w:t>2.项目概况与招标范围</w:t>
      </w:r>
    </w:p>
    <w:p>
      <w:r>
        <w:rPr>
          <w:rFonts w:hint="eastAsia"/>
          <w:color w:val="000000"/>
          <w:sz w:val="21"/>
          <w:szCs w:val="21"/>
        </w:rPr>
        <w:t xml:space="preserve">    2.1 项目概况： 本工程建设4个20万吨级集装箱海轮泊位，码头岸线总长 1880m;建设15个5千吨级集装箱驳船泊位和5个工作船泊位，码头结构按靠泊5千吨级集装箱海轮设计，码头岸线总长1931m(其中工作船泊位长200m)。主要建设内容包括但不限于疏浚工程、陆域形成围堰和排水口、软基处理工程、水工建筑工程、自动化装卸工艺设备工程、港作车辆、道路堆场工程、辅助生产建筑工程（含绿化）、暖通工程、供电照明工程、岸电系统、自动控制系统、给排水消防工程、环保工程、通信工程、智慧港口、导航工程、大临工程（含施工期通航安全保障、智慧工地）等 。项目建设规模以核准批复文件内容为准。</w:t>
      </w:r>
    </w:p>
    <w:p>
      <w:r>
        <w:rPr>
          <w:rFonts w:hint="eastAsia"/>
          <w:color w:val="000000"/>
          <w:sz w:val="21"/>
          <w:szCs w:val="21"/>
        </w:rPr>
        <w:t xml:space="preserve">    2.2 勘察设计服务期限：</w:t>
      </w:r>
    </w:p>
    <w:p>
      <w:r>
        <w:rPr>
          <w:rFonts w:hint="eastAsia"/>
          <w:color w:val="000000"/>
          <w:sz w:val="21"/>
          <w:szCs w:val="21"/>
        </w:rPr>
        <w:t xml:space="preserve">    勘察周期：按业主进度要求。</w:t>
      </w:r>
    </w:p>
    <w:p>
      <w:r>
        <w:rPr>
          <w:rFonts w:hint="eastAsia"/>
          <w:color w:val="000000"/>
          <w:sz w:val="21"/>
          <w:szCs w:val="21"/>
        </w:rPr>
        <w:t xml:space="preserve">    设计周期：</w:t>
      </w:r>
    </w:p>
    <w:p>
      <w:r>
        <w:rPr>
          <w:rFonts w:hint="eastAsia"/>
          <w:color w:val="000000"/>
          <w:sz w:val="21"/>
          <w:szCs w:val="21"/>
        </w:rPr>
        <w:t xml:space="preserve">    （1）初步设计阶段设计：设计人于签订设计合同后，60天内须向招标人提交初步设计文件初稿并交招标人组织审查，初步设计审查完毕后10天内按上级主管部门审查要求提交修改后的正式初步设计文件。</w:t>
      </w:r>
    </w:p>
    <w:p>
      <w:r>
        <w:rPr>
          <w:rFonts w:hint="eastAsia"/>
          <w:color w:val="000000"/>
          <w:sz w:val="21"/>
          <w:szCs w:val="21"/>
        </w:rPr>
        <w:t xml:space="preserve">    （2）施工图设计阶段设计：施工图设计按业主进度要求向招标人提交施工图纸、工程量清单以及施工图预算。</w:t>
      </w:r>
    </w:p>
    <w:p>
      <w:r>
        <w:rPr>
          <w:rFonts w:hint="eastAsia"/>
          <w:color w:val="000000"/>
          <w:sz w:val="21"/>
          <w:szCs w:val="21"/>
        </w:rPr>
        <w:t xml:space="preserve">    （3）施工现场技术服务：项目工程施工开始至竣工验收止。</w:t>
      </w:r>
    </w:p>
    <w:p>
      <w:r>
        <w:rPr>
          <w:rFonts w:hint="eastAsia"/>
          <w:color w:val="000000"/>
          <w:sz w:val="21"/>
          <w:szCs w:val="21"/>
        </w:rPr>
        <w:t xml:space="preserve">    2.3 招标范围及标段划分</w:t>
      </w:r>
    </w:p>
    <w:p>
      <w:pPr>
        <w:spacing w:line="280" w:lineRule="auto"/>
      </w:pPr>
    </w:p>
    <w:p>
      <w:r>
        <w:rPr>
          <w:rFonts w:hint="eastAsia" w:ascii="标宋" w:eastAsia="标宋"/>
          <w:color w:val="000000"/>
          <w:sz w:val="21"/>
          <w:szCs w:val="21"/>
        </w:rPr>
        <w:t>本次招标共分</w:t>
      </w:r>
      <w:r>
        <w:rPr>
          <w:rFonts w:hint="eastAsia" w:ascii="标宋" w:eastAsia="标宋"/>
          <w:color w:val="000000"/>
          <w:sz w:val="21"/>
          <w:szCs w:val="21"/>
          <w:u w:val="single"/>
        </w:rPr>
        <w:t xml:space="preserve"> 1 </w:t>
      </w:r>
      <w:r>
        <w:rPr>
          <w:rFonts w:hint="eastAsia" w:ascii="标宋" w:eastAsia="标宋"/>
          <w:color w:val="000000"/>
          <w:sz w:val="21"/>
          <w:szCs w:val="21"/>
        </w:rPr>
        <w:t>个标类</w:t>
      </w:r>
      <w:r>
        <w:rPr>
          <w:rFonts w:hint="eastAsia" w:ascii="标宋" w:eastAsia="标宋"/>
          <w:color w:val="000000"/>
          <w:sz w:val="21"/>
          <w:szCs w:val="21"/>
          <w:u w:val="single"/>
        </w:rPr>
        <w:t xml:space="preserve"> 1 </w:t>
      </w:r>
      <w:r>
        <w:rPr>
          <w:rFonts w:hint="eastAsia" w:ascii="标宋" w:eastAsia="标宋"/>
          <w:color w:val="000000"/>
          <w:sz w:val="21"/>
          <w:szCs w:val="21"/>
        </w:rPr>
        <w:t>个标段。具体见下表：</w:t>
      </w:r>
    </w:p>
    <w:tbl>
      <w:tblPr>
        <w:tblStyle w:val="4"/>
        <w:tblW w:w="0" w:type="auto"/>
        <w:tblInd w:w="0" w:type="dxa"/>
        <w:tblLayout w:type="autofit"/>
        <w:tblCellMar>
          <w:top w:w="0" w:type="dxa"/>
          <w:left w:w="108" w:type="dxa"/>
          <w:bottom w:w="0" w:type="dxa"/>
          <w:right w:w="108" w:type="dxa"/>
        </w:tblCellMar>
      </w:tblPr>
      <w:tblGrid>
        <w:gridCol w:w="1553"/>
        <w:gridCol w:w="1664"/>
        <w:gridCol w:w="2107"/>
        <w:gridCol w:w="1485"/>
        <w:gridCol w:w="2422"/>
      </w:tblGrid>
      <w:tr>
        <w:tblPrEx>
          <w:tblCellMar>
            <w:top w:w="0" w:type="dxa"/>
            <w:left w:w="108" w:type="dxa"/>
            <w:bottom w:w="0" w:type="dxa"/>
            <w:right w:w="108" w:type="dxa"/>
          </w:tblCellMar>
        </w:tblPrEx>
        <w:trPr>
          <w:trHeight w:val="450" w:hRule="atLeast"/>
        </w:trPr>
        <w:tc>
          <w:tcPr>
            <w:tcW w:w="1650" w:type="dxa"/>
            <w:tcBorders>
              <w:top w:val="single" w:color="000000" w:sz="4" w:space="0"/>
              <w:left w:val="single" w:color="000000" w:sz="4" w:space="0"/>
              <w:bottom w:val="single" w:color="000000" w:sz="4" w:space="0"/>
              <w:right w:val="single" w:color="000000" w:sz="4" w:space="0"/>
            </w:tcBorders>
          </w:tcPr>
          <w:p>
            <w:pPr>
              <w:spacing w:line="280" w:lineRule="auto"/>
              <w:jc w:val="center"/>
            </w:pPr>
            <w:r>
              <w:rPr>
                <w:rFonts w:hint="eastAsia"/>
                <w:b/>
                <w:color w:val="000000"/>
                <w:sz w:val="21"/>
                <w:szCs w:val="21"/>
              </w:rPr>
              <w:t>标段类别</w:t>
            </w:r>
          </w:p>
        </w:tc>
        <w:tc>
          <w:tcPr>
            <w:tcW w:w="1770" w:type="dxa"/>
            <w:tcBorders>
              <w:top w:val="single" w:color="000000" w:sz="4" w:space="0"/>
              <w:left w:val="single" w:color="000000" w:sz="4" w:space="0"/>
              <w:bottom w:val="single" w:color="000000" w:sz="4" w:space="0"/>
              <w:right w:val="single" w:color="000000" w:sz="4" w:space="0"/>
            </w:tcBorders>
          </w:tcPr>
          <w:p>
            <w:pPr>
              <w:spacing w:line="280" w:lineRule="auto"/>
              <w:jc w:val="center"/>
            </w:pPr>
            <w:r>
              <w:rPr>
                <w:rFonts w:hint="eastAsia"/>
                <w:b/>
                <w:color w:val="000000"/>
                <w:sz w:val="21"/>
                <w:szCs w:val="21"/>
              </w:rPr>
              <w:t>标段</w:t>
            </w:r>
          </w:p>
        </w:tc>
        <w:tc>
          <w:tcPr>
            <w:tcW w:w="2250" w:type="dxa"/>
            <w:tcBorders>
              <w:top w:val="single" w:color="000000" w:sz="4" w:space="0"/>
              <w:left w:val="single" w:color="000000" w:sz="4" w:space="0"/>
              <w:bottom w:val="single" w:color="000000" w:sz="4" w:space="0"/>
              <w:right w:val="single" w:color="000000" w:sz="4" w:space="0"/>
            </w:tcBorders>
          </w:tcPr>
          <w:p>
            <w:pPr>
              <w:spacing w:line="280" w:lineRule="auto"/>
              <w:jc w:val="center"/>
            </w:pPr>
            <w:r>
              <w:rPr>
                <w:rFonts w:hint="eastAsia"/>
                <w:b/>
                <w:color w:val="000000"/>
                <w:sz w:val="21"/>
                <w:szCs w:val="21"/>
              </w:rPr>
              <w:t>里程范围</w:t>
            </w:r>
          </w:p>
        </w:tc>
        <w:tc>
          <w:tcPr>
            <w:tcW w:w="1575" w:type="dxa"/>
            <w:tcBorders>
              <w:top w:val="single" w:color="000000" w:sz="4" w:space="0"/>
              <w:left w:val="single" w:color="000000" w:sz="4" w:space="0"/>
              <w:bottom w:val="single" w:color="000000" w:sz="4" w:space="0"/>
              <w:right w:val="single" w:color="000000" w:sz="4" w:space="0"/>
            </w:tcBorders>
          </w:tcPr>
          <w:p>
            <w:pPr>
              <w:spacing w:line="280" w:lineRule="auto"/>
              <w:jc w:val="center"/>
            </w:pPr>
            <w:r>
              <w:rPr>
                <w:rFonts w:hint="eastAsia"/>
                <w:b/>
                <w:color w:val="000000"/>
                <w:sz w:val="21"/>
                <w:szCs w:val="21"/>
              </w:rPr>
              <w:t>长度</w:t>
            </w:r>
          </w:p>
        </w:tc>
        <w:tc>
          <w:tcPr>
            <w:tcW w:w="2565" w:type="dxa"/>
            <w:tcBorders>
              <w:top w:val="single" w:color="000000" w:sz="4" w:space="0"/>
              <w:left w:val="single" w:color="000000" w:sz="4" w:space="0"/>
              <w:bottom w:val="single" w:color="000000" w:sz="4" w:space="0"/>
              <w:right w:val="single" w:color="000000" w:sz="4" w:space="0"/>
            </w:tcBorders>
          </w:tcPr>
          <w:p>
            <w:pPr>
              <w:spacing w:line="280" w:lineRule="auto"/>
              <w:jc w:val="center"/>
            </w:pPr>
            <w:r>
              <w:rPr>
                <w:rFonts w:hint="eastAsia"/>
                <w:b/>
                <w:color w:val="000000"/>
                <w:sz w:val="21"/>
                <w:szCs w:val="21"/>
              </w:rPr>
              <w:t>工作内容</w:t>
            </w:r>
          </w:p>
        </w:tc>
      </w:tr>
      <w:tr>
        <w:tblPrEx>
          <w:tblCellMar>
            <w:top w:w="0" w:type="dxa"/>
            <w:left w:w="108" w:type="dxa"/>
            <w:bottom w:w="0" w:type="dxa"/>
            <w:right w:w="108" w:type="dxa"/>
          </w:tblCellMar>
        </w:tblPrEx>
        <w:trPr>
          <w:trHeight w:val="450" w:hRule="atLeast"/>
        </w:trPr>
        <w:tc>
          <w:tcPr>
            <w:tcW w:w="1650" w:type="dxa"/>
            <w:tcBorders>
              <w:top w:val="single" w:color="000000" w:sz="4" w:space="0"/>
              <w:left w:val="single" w:color="000000" w:sz="4" w:space="0"/>
              <w:bottom w:val="single" w:color="000000" w:sz="4" w:space="0"/>
              <w:right w:val="single" w:color="000000" w:sz="4" w:space="0"/>
            </w:tcBorders>
          </w:tcPr>
          <w:p>
            <w:pPr>
              <w:spacing w:line="280" w:lineRule="auto"/>
              <w:jc w:val="center"/>
            </w:pPr>
            <w:r>
              <w:rPr>
                <w:rFonts w:hint="eastAsia"/>
                <w:color w:val="000000"/>
                <w:sz w:val="21"/>
                <w:szCs w:val="21"/>
              </w:rPr>
              <w:t>A类港口工程</w:t>
            </w:r>
          </w:p>
        </w:tc>
        <w:tc>
          <w:tcPr>
            <w:tcW w:w="1770" w:type="dxa"/>
            <w:tcBorders>
              <w:top w:val="single" w:color="000000" w:sz="4" w:space="0"/>
              <w:left w:val="single" w:color="000000" w:sz="4" w:space="0"/>
              <w:bottom w:val="single" w:color="000000" w:sz="4" w:space="0"/>
              <w:right w:val="single" w:color="000000" w:sz="4" w:space="0"/>
            </w:tcBorders>
          </w:tcPr>
          <w:p>
            <w:pPr>
              <w:spacing w:line="280" w:lineRule="auto"/>
              <w:jc w:val="center"/>
            </w:pPr>
            <w:r>
              <w:rPr>
                <w:rFonts w:hint="eastAsia"/>
                <w:color w:val="000000"/>
                <w:sz w:val="21"/>
                <w:szCs w:val="21"/>
              </w:rPr>
              <w:t>广州港南沙港区五期工程勘察设计</w:t>
            </w:r>
          </w:p>
        </w:tc>
        <w:tc>
          <w:tcPr>
            <w:tcW w:w="2250" w:type="dxa"/>
            <w:tcBorders>
              <w:top w:val="single" w:color="000000" w:sz="4" w:space="0"/>
              <w:left w:val="single" w:color="000000" w:sz="4" w:space="0"/>
              <w:bottom w:val="single" w:color="000000" w:sz="4" w:space="0"/>
              <w:right w:val="single" w:color="000000" w:sz="4" w:space="0"/>
            </w:tcBorders>
          </w:tcPr>
          <w:p>
            <w:pPr>
              <w:spacing w:line="280" w:lineRule="auto"/>
            </w:pPr>
            <w:r>
              <w:rPr>
                <w:rFonts w:hint="eastAsia"/>
                <w:color w:val="000000"/>
                <w:sz w:val="21"/>
                <w:szCs w:val="21"/>
              </w:rPr>
              <w:t>/</w:t>
            </w:r>
          </w:p>
        </w:tc>
        <w:tc>
          <w:tcPr>
            <w:tcW w:w="1575" w:type="dxa"/>
            <w:tcBorders>
              <w:top w:val="single" w:color="000000" w:sz="4" w:space="0"/>
              <w:left w:val="single" w:color="000000" w:sz="4" w:space="0"/>
              <w:bottom w:val="single" w:color="000000" w:sz="4" w:space="0"/>
              <w:right w:val="single" w:color="000000" w:sz="4" w:space="0"/>
            </w:tcBorders>
          </w:tcPr>
          <w:p>
            <w:pPr>
              <w:spacing w:line="280" w:lineRule="auto"/>
            </w:pPr>
            <w:r>
              <w:rPr>
                <w:rFonts w:hint="eastAsia"/>
                <w:color w:val="000000"/>
                <w:sz w:val="21"/>
                <w:szCs w:val="21"/>
              </w:rPr>
              <w:t>/</w:t>
            </w:r>
          </w:p>
        </w:tc>
        <w:tc>
          <w:tcPr>
            <w:tcW w:w="2565" w:type="dxa"/>
            <w:tcBorders>
              <w:top w:val="single" w:color="000000" w:sz="4" w:space="0"/>
              <w:left w:val="single" w:color="000000" w:sz="4" w:space="0"/>
              <w:bottom w:val="single" w:color="000000" w:sz="4" w:space="0"/>
              <w:right w:val="single" w:color="000000" w:sz="4" w:space="0"/>
            </w:tcBorders>
          </w:tcPr>
          <w:p>
            <w:pPr>
              <w:spacing w:line="280" w:lineRule="auto"/>
            </w:pPr>
            <w:r>
              <w:rPr>
                <w:rFonts w:hint="eastAsia"/>
                <w:color w:val="000000"/>
                <w:sz w:val="21"/>
                <w:szCs w:val="21"/>
              </w:rPr>
              <w:t>广州港南沙港区五期工程初步设计阶段和施工图设计阶段的测量工作、勘察工作及初步设计（含项目安全设施专篇、节能报告）、施工图设计阶段设计（含消防专篇、职业病防治设计专篇、绿化专篇、施工图预算和工程量清单编制）、专题研究（不仅限于混行专题、仿真研究专题等）及后续服务（包括配合项目相关报建工作、设计审查的报批并通过主管部门的审查、施工招标阶段配合服务、施工现场配合服务、施工建设期间的服务和配合完善竣工图纸及资料等）。</w:t>
            </w:r>
          </w:p>
        </w:tc>
      </w:tr>
    </w:tbl>
    <w:p>
      <w:pPr>
        <w:spacing w:line="280" w:lineRule="auto"/>
      </w:pPr>
      <w:r>
        <w:rPr>
          <w:rFonts w:hint="eastAsia" w:ascii="标宋" w:eastAsia="标宋"/>
          <w:color w:val="000000"/>
          <w:sz w:val="21"/>
          <w:szCs w:val="21"/>
          <w:u w:val="single"/>
        </w:rPr>
        <w:t xml:space="preserve">      招标范围：广州港南沙港区五期工程初步设计阶段和施工图设计阶段的测量工作、勘察工作及初步设计（含项目安全设施专篇、节能报告）、施工图设计阶段设计（含消防专篇、职业病防治设计专篇、绿化专篇、施工图预算和工程量清单编制）、专题研究（不仅限于混行专题、仿真研究专题等）及后续服务（包括配合项目相关报建工作、设计审查的报批并通过主管部门的审查、施工招标阶段配合服务、施工现场配合服务、施工建设期间的服务和配合完善竣工图纸及资料等）。  </w:t>
      </w:r>
    </w:p>
    <w:p>
      <w:pPr>
        <w:spacing w:line="280" w:lineRule="auto"/>
      </w:pPr>
    </w:p>
    <w:p>
      <w:pPr>
        <w:spacing w:line="280" w:lineRule="auto"/>
        <w:outlineLvl w:val="3"/>
      </w:pPr>
      <w:r>
        <w:rPr>
          <w:rFonts w:hint="eastAsia"/>
          <w:b/>
          <w:color w:val="000000"/>
          <w:sz w:val="34"/>
          <w:szCs w:val="34"/>
        </w:rPr>
        <w:t>3.投标人资格要求</w:t>
      </w:r>
    </w:p>
    <w:p>
      <w:r>
        <w:rPr>
          <w:rFonts w:hint="eastAsia"/>
          <w:color w:val="000000"/>
          <w:sz w:val="21"/>
          <w:szCs w:val="21"/>
        </w:rPr>
        <w:t xml:space="preserve">    3.1本次招标要求投标人须具备上述第2.3款表中所列相应资质、业绩，并在人员等方面具有相应的勘察设计能力。</w:t>
      </w:r>
    </w:p>
    <w:p>
      <w:r>
        <w:rPr>
          <w:rFonts w:hint="eastAsia"/>
          <w:color w:val="000000"/>
          <w:sz w:val="21"/>
          <w:szCs w:val="21"/>
        </w:rPr>
        <w:t xml:space="preserve">    3.2本次招标 接受 联合体投标。联合体投标的，应满足下列要求:</w:t>
      </w:r>
    </w:p>
    <w:p>
      <w:r>
        <w:rPr>
          <w:rFonts w:hint="eastAsia"/>
          <w:color w:val="000000"/>
          <w:sz w:val="21"/>
          <w:szCs w:val="21"/>
        </w:rPr>
        <w:t xml:space="preserve">    （1）联合体各方应按招标文件提供的格式签订联合体协议书，明确联合体牵头人和各方权利义务，并承诺就中标项目向招标人承担连带责任；</w:t>
      </w:r>
    </w:p>
    <w:p>
      <w:r>
        <w:rPr>
          <w:rFonts w:hint="eastAsia"/>
          <w:color w:val="000000"/>
          <w:sz w:val="21"/>
          <w:szCs w:val="21"/>
        </w:rPr>
        <w:t xml:space="preserve">    （2）由同一专业的单位组成的联合体，按照资质等级较低的单位确定资质等级；</w:t>
      </w:r>
    </w:p>
    <w:p>
      <w:r>
        <w:rPr>
          <w:rFonts w:hint="eastAsia"/>
          <w:color w:val="000000"/>
          <w:sz w:val="21"/>
          <w:szCs w:val="21"/>
        </w:rPr>
        <w:t xml:space="preserve">    （3）联合体各方不得再以自己名义单独或参加其他联合体在同一标段中投标；</w:t>
      </w:r>
    </w:p>
    <w:p>
      <w:r>
        <w:rPr>
          <w:rFonts w:hint="eastAsia"/>
          <w:color w:val="000000"/>
          <w:sz w:val="21"/>
          <w:szCs w:val="21"/>
        </w:rPr>
        <w:t xml:space="preserve">    （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除联合体协议书，可统一由联合体牵头人签字盖章；</w:t>
      </w:r>
    </w:p>
    <w:p>
      <w:r>
        <w:rPr>
          <w:rFonts w:hint="eastAsia"/>
          <w:color w:val="000000"/>
          <w:sz w:val="21"/>
          <w:szCs w:val="21"/>
        </w:rPr>
        <w:t xml:space="preserve">    （5）尽管委任了联合体牵头人，但联合体各成员在投标、签订合同与履行合同过程中，仍负有连带的和各自的法律责任；</w:t>
      </w:r>
    </w:p>
    <w:p>
      <w:r>
        <w:rPr>
          <w:rFonts w:hint="eastAsia"/>
          <w:color w:val="000000"/>
          <w:sz w:val="21"/>
          <w:szCs w:val="21"/>
        </w:rPr>
        <w:t xml:space="preserve">    （6）联合体所有成员（含牵头人）数量不得超过 2 个；</w:t>
      </w:r>
    </w:p>
    <w:p>
      <w:r>
        <w:rPr>
          <w:rFonts w:hint="eastAsia"/>
          <w:color w:val="000000"/>
          <w:sz w:val="21"/>
          <w:szCs w:val="21"/>
        </w:rPr>
        <w:t xml:space="preserve">    3.3 与招标人存在利害关系可能影响招标公正性的法人，不得参加投标；若单位负责人为同一人、或者存在控股、管理关系的不同单位，不得参加同一标段投标或者未划分标段的同一招标项目投标，否则按否决其投标处理。（注： 单位负责人是指单位的法定代表人或者法律、行政法规规定代表单位行使职权的主要负责人。控股是指：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管理关系是指不具有出资持股关系的其它单位之间存在的管理与被管理关系。） </w:t>
      </w:r>
    </w:p>
    <w:p>
      <w:r>
        <w:rPr>
          <w:rFonts w:hint="eastAsia"/>
          <w:color w:val="000000"/>
          <w:sz w:val="21"/>
          <w:szCs w:val="21"/>
        </w:rPr>
        <w:t xml:space="preserve">    3.4在“信用中国”网站（http://www.creditchina.gov.cn/)中被列入失信被执行人名单的投标人，在国家企业信用信息公示系统（www.gsxt.gov.cn）中被列入严重违法失信企业名单的投标人，均按否决投标处理。</w:t>
      </w:r>
    </w:p>
    <w:p>
      <w:pPr>
        <w:spacing w:line="280" w:lineRule="auto"/>
        <w:outlineLvl w:val="3"/>
      </w:pPr>
      <w:r>
        <w:rPr>
          <w:rFonts w:hint="eastAsia"/>
          <w:b/>
          <w:color w:val="000000"/>
          <w:sz w:val="34"/>
          <w:szCs w:val="34"/>
        </w:rPr>
        <w:t>4.技术成果经济补偿</w:t>
      </w:r>
    </w:p>
    <w:p>
      <w:r>
        <w:rPr>
          <w:rFonts w:hint="eastAsia"/>
          <w:color w:val="000000"/>
          <w:sz w:val="21"/>
          <w:szCs w:val="21"/>
        </w:rPr>
        <w:t xml:space="preserve">    本次招标对未中标人投标文件中的技术成果 不给予 经济补偿。</w:t>
      </w:r>
    </w:p>
    <w:p>
      <w:pPr>
        <w:spacing w:line="280" w:lineRule="auto"/>
      </w:pPr>
    </w:p>
    <w:p>
      <w:pPr>
        <w:spacing w:line="280" w:lineRule="auto"/>
        <w:outlineLvl w:val="3"/>
      </w:pPr>
      <w:r>
        <w:rPr>
          <w:rFonts w:hint="eastAsia" w:ascii="标宋" w:eastAsia="标宋"/>
          <w:b/>
          <w:color w:val="000000"/>
          <w:sz w:val="34"/>
          <w:szCs w:val="34"/>
        </w:rPr>
        <w:t>5.招标文件获取</w:t>
      </w:r>
    </w:p>
    <w:p>
      <w:pPr>
        <w:spacing w:line="280" w:lineRule="auto"/>
      </w:pPr>
      <w:r>
        <w:rPr>
          <w:rFonts w:hint="eastAsia" w:ascii="标宋" w:eastAsia="标宋"/>
          <w:color w:val="000000"/>
          <w:sz w:val="21"/>
          <w:szCs w:val="21"/>
        </w:rPr>
        <w:t xml:space="preserve">    5.1凡有意参加投标者，请于</w:t>
      </w:r>
      <w:r>
        <w:rPr>
          <w:rFonts w:hint="eastAsia" w:ascii="标宋" w:eastAsia="标宋"/>
          <w:color w:val="000000"/>
          <w:sz w:val="21"/>
          <w:szCs w:val="21"/>
          <w:u w:val="single"/>
        </w:rPr>
        <w:t xml:space="preserve">  2025年01月04日  </w:t>
      </w:r>
      <w:r>
        <w:rPr>
          <w:rFonts w:hint="eastAsia" w:ascii="标宋" w:eastAsia="标宋"/>
          <w:color w:val="000000"/>
          <w:sz w:val="21"/>
          <w:szCs w:val="21"/>
        </w:rPr>
        <w:t>至</w:t>
      </w:r>
      <w:r>
        <w:rPr>
          <w:rFonts w:hint="eastAsia" w:ascii="标宋" w:eastAsia="标宋"/>
          <w:color w:val="000000"/>
          <w:sz w:val="21"/>
          <w:szCs w:val="21"/>
          <w:u w:val="single"/>
        </w:rPr>
        <w:t xml:space="preserve">  2025年01月08日  </w:t>
      </w:r>
      <w:r>
        <w:rPr>
          <w:rFonts w:hint="eastAsia" w:ascii="标宋" w:eastAsia="标宋"/>
          <w:color w:val="000000"/>
          <w:sz w:val="21"/>
          <w:szCs w:val="21"/>
        </w:rPr>
        <w:t>，登录</w:t>
      </w:r>
      <w:r>
        <w:rPr>
          <w:rFonts w:hint="eastAsia" w:ascii="标宋" w:eastAsia="标宋"/>
          <w:color w:val="000000"/>
          <w:sz w:val="21"/>
          <w:szCs w:val="21"/>
          <w:u w:val="single"/>
        </w:rPr>
        <w:t xml:space="preserve">广州公共资源交易中心网站（http://www.gzggzy.cn）  </w:t>
      </w:r>
      <w:r>
        <w:rPr>
          <w:rFonts w:hint="eastAsia" w:ascii="标宋" w:eastAsia="标宋"/>
          <w:color w:val="000000"/>
          <w:sz w:val="21"/>
          <w:szCs w:val="21"/>
        </w:rPr>
        <w:t>选择对应标段进行投标登记，并在</w:t>
      </w:r>
      <w:r>
        <w:rPr>
          <w:rFonts w:hint="eastAsia" w:ascii="标宋" w:eastAsia="标宋"/>
          <w:color w:val="000000"/>
          <w:sz w:val="21"/>
          <w:szCs w:val="21"/>
          <w:u w:val="single"/>
        </w:rPr>
        <w:t xml:space="preserve">广东省公路水运工程建设项目电子招投标交易平台（http://jtcbs.gdcd.gov.cn:30887/tenderlogin）  </w:t>
      </w:r>
      <w:r>
        <w:rPr>
          <w:rFonts w:hint="eastAsia" w:ascii="标宋" w:eastAsia="标宋"/>
          <w:color w:val="000000"/>
          <w:sz w:val="21"/>
          <w:szCs w:val="21"/>
        </w:rPr>
        <w:t>进行账号注册。经招标人或招标代理确认投标登记成功后，投标人在广东省公路水运工程建设项目电子招投标交易平台自行下载招标文件等相关资料。</w:t>
      </w:r>
    </w:p>
    <w:p>
      <w:pPr>
        <w:spacing w:line="280" w:lineRule="auto"/>
      </w:pPr>
      <w:r>
        <w:rPr>
          <w:rFonts w:hint="eastAsia" w:ascii="标宋" w:eastAsia="标宋"/>
          <w:color w:val="000000"/>
          <w:sz w:val="21"/>
          <w:szCs w:val="21"/>
        </w:rPr>
        <w:t xml:space="preserve">    5.2电子交易平台服务费每标段收取</w:t>
      </w:r>
      <w:r>
        <w:rPr>
          <w:rFonts w:hint="eastAsia" w:ascii="标宋" w:eastAsia="标宋"/>
          <w:color w:val="000000"/>
          <w:sz w:val="21"/>
          <w:szCs w:val="21"/>
          <w:u w:val="single"/>
        </w:rPr>
        <w:t xml:space="preserve">  1,000  </w:t>
      </w:r>
      <w:r>
        <w:rPr>
          <w:rFonts w:hint="eastAsia" w:ascii="标宋" w:eastAsia="标宋"/>
          <w:color w:val="000000"/>
          <w:sz w:val="21"/>
          <w:szCs w:val="21"/>
        </w:rPr>
        <w:t>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hint="eastAsia" w:ascii="标宋" w:eastAsia="标宋"/>
          <w:color w:val="000000"/>
          <w:sz w:val="21"/>
          <w:szCs w:val="21"/>
        </w:rPr>
        <w:t>技术支持单位开户银行及账号如下：</w:t>
      </w:r>
    </w:p>
    <w:p>
      <w:pPr>
        <w:spacing w:line="280" w:lineRule="auto"/>
      </w:pPr>
      <w:r>
        <w:rPr>
          <w:rFonts w:hint="eastAsia" w:ascii="标宋" w:eastAsia="标宋"/>
          <w:color w:val="000000"/>
          <w:sz w:val="21"/>
          <w:szCs w:val="21"/>
        </w:rPr>
        <w:t>开户名称：</w:t>
      </w:r>
      <w:r>
        <w:rPr>
          <w:rFonts w:hint="eastAsia" w:ascii="标宋" w:eastAsia="标宋"/>
          <w:color w:val="000000"/>
          <w:sz w:val="21"/>
          <w:szCs w:val="21"/>
          <w:u w:val="single"/>
        </w:rPr>
        <w:t xml:space="preserve"> 广州市交正工程咨询有限公司 </w:t>
      </w:r>
    </w:p>
    <w:p>
      <w:pPr>
        <w:spacing w:line="280" w:lineRule="auto"/>
      </w:pPr>
      <w:r>
        <w:rPr>
          <w:rFonts w:hint="eastAsia" w:ascii="标宋" w:eastAsia="标宋"/>
          <w:color w:val="000000"/>
          <w:sz w:val="21"/>
          <w:szCs w:val="21"/>
        </w:rPr>
        <w:t>开户银行：</w:t>
      </w:r>
      <w:r>
        <w:rPr>
          <w:rFonts w:hint="eastAsia" w:ascii="标宋" w:eastAsia="标宋"/>
          <w:color w:val="000000"/>
          <w:sz w:val="21"/>
          <w:szCs w:val="21"/>
          <w:u w:val="single"/>
        </w:rPr>
        <w:t xml:space="preserve"> 中国工商银行广州花城支行  </w:t>
      </w:r>
      <w:bookmarkStart w:id="0" w:name="_GoBack"/>
      <w:bookmarkEnd w:id="0"/>
    </w:p>
    <w:p>
      <w:pPr>
        <w:spacing w:line="280" w:lineRule="auto"/>
      </w:pPr>
      <w:r>
        <w:rPr>
          <w:rFonts w:hint="eastAsia" w:ascii="标宋" w:eastAsia="标宋"/>
          <w:color w:val="000000"/>
          <w:sz w:val="21"/>
          <w:szCs w:val="21"/>
        </w:rPr>
        <w:t>账号</w:t>
      </w:r>
      <w:r>
        <w:rPr>
          <w:rFonts w:hint="eastAsia" w:ascii="标宋" w:eastAsia="标宋"/>
          <w:color w:val="000000"/>
          <w:sz w:val="21"/>
          <w:szCs w:val="21"/>
          <w:u w:val="single"/>
        </w:rPr>
        <w:t xml:space="preserve"> 3602028519202301018 </w:t>
      </w:r>
    </w:p>
    <w:p>
      <w:pPr>
        <w:spacing w:line="280" w:lineRule="auto"/>
      </w:pPr>
      <w:r>
        <w:rPr>
          <w:rFonts w:hint="eastAsia" w:ascii="标宋" w:eastAsia="标宋"/>
          <w:color w:val="000000"/>
          <w:sz w:val="21"/>
          <w:szCs w:val="21"/>
        </w:rPr>
        <w:t>技术支持联系人及联系方式：</w:t>
      </w:r>
      <w:r>
        <w:rPr>
          <w:rFonts w:hint="eastAsia" w:ascii="标宋" w:eastAsia="标宋"/>
          <w:color w:val="000000"/>
          <w:sz w:val="21"/>
          <w:szCs w:val="21"/>
          <w:u w:val="single"/>
        </w:rPr>
        <w:t xml:space="preserve"> 王工、林工020-39185477 </w:t>
      </w:r>
    </w:p>
    <w:p>
      <w:pPr>
        <w:spacing w:line="280" w:lineRule="auto"/>
      </w:pPr>
    </w:p>
    <w:p>
      <w:pPr>
        <w:spacing w:line="280" w:lineRule="auto"/>
        <w:outlineLvl w:val="3"/>
      </w:pPr>
      <w:r>
        <w:rPr>
          <w:rFonts w:hint="eastAsia" w:ascii="标宋" w:eastAsia="标宋"/>
          <w:b/>
          <w:color w:val="000000"/>
          <w:sz w:val="34"/>
          <w:szCs w:val="34"/>
        </w:rPr>
        <w:t>6.投标文件的递交及相关事宜</w:t>
      </w:r>
    </w:p>
    <w:p>
      <w:pPr>
        <w:spacing w:line="280" w:lineRule="auto"/>
      </w:pPr>
      <w:r>
        <w:rPr>
          <w:rFonts w:hint="eastAsia" w:ascii="标宋" w:eastAsia="标宋"/>
          <w:color w:val="000000"/>
          <w:sz w:val="21"/>
          <w:szCs w:val="21"/>
        </w:rPr>
        <w:t xml:space="preserve">    6.1 招标人将不统一组织现场考察及召开投标预备会。</w:t>
      </w:r>
    </w:p>
    <w:p>
      <w:pPr>
        <w:spacing w:line="280" w:lineRule="auto"/>
      </w:pPr>
      <w:r>
        <w:rPr>
          <w:rFonts w:hint="eastAsia" w:ascii="标宋" w:eastAsia="标宋"/>
          <w:color w:val="000000"/>
          <w:sz w:val="21"/>
          <w:szCs w:val="21"/>
        </w:rPr>
        <w:t xml:space="preserve">    6.2 投标文件递交的截止时间(投标截止时间，下同)为</w:t>
      </w:r>
      <w:r>
        <w:rPr>
          <w:rFonts w:hint="eastAsia" w:ascii="标宋" w:eastAsia="标宋"/>
          <w:color w:val="000000"/>
          <w:sz w:val="21"/>
          <w:szCs w:val="21"/>
          <w:u w:val="single"/>
        </w:rPr>
        <w:t xml:space="preserve">  2025年01月26日09时00分  </w:t>
      </w:r>
      <w:r>
        <w:rPr>
          <w:rFonts w:hint="eastAsia"/>
          <w:color w:val="000000"/>
          <w:sz w:val="21"/>
          <w:szCs w:val="21"/>
        </w:rPr>
        <w:t>。</w:t>
      </w:r>
    </w:p>
    <w:p>
      <w:pPr>
        <w:spacing w:line="280" w:lineRule="auto"/>
      </w:pPr>
      <w:r>
        <w:rPr>
          <w:rFonts w:hint="eastAsia"/>
          <w:color w:val="000000"/>
          <w:sz w:val="21"/>
          <w:szCs w:val="21"/>
        </w:rPr>
        <w:t xml:space="preserve">    投标文件电子文件统一采用网络上传的方式，投标人于2025年1月4日00时00分至2025年1月26日09时00分将电子文件完整上传。递交投标文件纸质文件截止时间为2025年1月26日09时00分，投标人应于2025年1月26日08时30分至2025年1月26日09时00分将投标文件纸质文件递交至广州公共资源交易中心相应的开标室，具体开标室见交易中心大厅公告（广州市天河区天润路333号）。</w:t>
      </w:r>
    </w:p>
    <w:p>
      <w:pPr>
        <w:spacing w:line="280" w:lineRule="auto"/>
      </w:pPr>
      <w:r>
        <w:rPr>
          <w:rFonts w:hint="eastAsia"/>
          <w:color w:val="000000"/>
          <w:sz w:val="21"/>
          <w:szCs w:val="21"/>
        </w:rPr>
        <w:t xml:space="preserve">     6.3逾期送达的、未送达指定地点的或不按照招标文件要求密封的投标文件，招标人将予以拒收。</w:t>
      </w:r>
    </w:p>
    <w:p>
      <w:pPr>
        <w:spacing w:line="280" w:lineRule="auto"/>
      </w:pPr>
    </w:p>
    <w:p>
      <w:pPr>
        <w:spacing w:line="280" w:lineRule="auto"/>
        <w:outlineLvl w:val="3"/>
      </w:pPr>
      <w:r>
        <w:rPr>
          <w:rFonts w:hint="eastAsia" w:ascii="标宋" w:eastAsia="标宋"/>
          <w:b/>
          <w:color w:val="000000"/>
          <w:sz w:val="34"/>
          <w:szCs w:val="34"/>
        </w:rPr>
        <w:t>7.发布公告的媒介</w:t>
      </w:r>
    </w:p>
    <w:p>
      <w:pPr>
        <w:spacing w:line="280" w:lineRule="auto"/>
      </w:pPr>
      <w:r>
        <w:rPr>
          <w:rFonts w:hint="eastAsia"/>
          <w:color w:val="000000"/>
          <w:sz w:val="21"/>
          <w:szCs w:val="21"/>
        </w:rPr>
        <w:t xml:space="preserve">    本次招标公告同时在广东省招标投标监管网、广州交易集团有限公司（广州公共资源交易中心）网站、中国招标投标公共服务平台、广州国企阳光采购信息发布平台上发布。如公告详细内容不一致者，以广州交易集团有限公司（广州公共资源交易中心）网站公告为准。</w:t>
      </w:r>
    </w:p>
    <w:p>
      <w:pPr>
        <w:spacing w:line="280" w:lineRule="auto"/>
      </w:pPr>
      <w:r>
        <w:rPr>
          <w:rFonts w:hint="eastAsia"/>
          <w:color w:val="000000"/>
          <w:sz w:val="21"/>
          <w:szCs w:val="21"/>
        </w:rPr>
        <w:t xml:space="preserve">    在规定的投标登记期间，如投标登记并下载招标文件的投标人不足3家时，招标人有权选择以下任一方式：（1）在广东省招标投标监管网及广州交易集团有限公司（广州公共资源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hint="eastAsia" w:ascii="标宋" w:eastAsia="标宋"/>
          <w:b/>
          <w:color w:val="000000"/>
          <w:sz w:val="34"/>
          <w:szCs w:val="34"/>
        </w:rPr>
        <w:t>8.联系方式</w:t>
      </w:r>
    </w:p>
    <w:p>
      <w:pPr>
        <w:spacing w:line="280" w:lineRule="auto"/>
        <w:jc w:val="center"/>
      </w:pPr>
    </w:p>
    <w:tbl>
      <w:tblPr>
        <w:tblStyle w:val="4"/>
        <w:tblW w:w="0" w:type="auto"/>
        <w:tblInd w:w="0" w:type="dxa"/>
        <w:tblLayout w:type="autofit"/>
        <w:tblCellMar>
          <w:top w:w="0" w:type="dxa"/>
          <w:left w:w="108" w:type="dxa"/>
          <w:bottom w:w="0" w:type="dxa"/>
          <w:right w:w="108" w:type="dxa"/>
        </w:tblCellMar>
      </w:tblPr>
      <w:tblGrid>
        <w:gridCol w:w="4585"/>
        <w:gridCol w:w="4646"/>
      </w:tblGrid>
      <w:tr>
        <w:tblPrEx>
          <w:tblCellMar>
            <w:top w:w="0" w:type="dxa"/>
            <w:left w:w="108" w:type="dxa"/>
            <w:bottom w:w="0" w:type="dxa"/>
            <w:right w:w="108" w:type="dxa"/>
          </w:tblCellMar>
        </w:tblPrEx>
        <w:trPr>
          <w:trHeight w:val="2220" w:hRule="atLeast"/>
        </w:trPr>
        <w:tc>
          <w:tcPr>
            <w:tcW w:w="4860" w:type="dxa"/>
          </w:tcPr>
          <w:p>
            <w:r>
              <w:rPr>
                <w:rFonts w:hint="eastAsia" w:ascii="标宋" w:eastAsia="标宋"/>
                <w:color w:val="000000"/>
                <w:sz w:val="21"/>
                <w:szCs w:val="21"/>
              </w:rPr>
              <w:t>招标人：  广州南沙国际集装箱码头有限公司</w:t>
            </w:r>
          </w:p>
          <w:p>
            <w:r>
              <w:rPr>
                <w:rFonts w:hint="eastAsia" w:ascii="标宋" w:eastAsia="标宋"/>
                <w:color w:val="000000"/>
                <w:sz w:val="21"/>
                <w:szCs w:val="21"/>
              </w:rPr>
              <w:t>地址：  广州市南沙区龙穴大道南33号自编7栋516房</w:t>
            </w:r>
          </w:p>
          <w:p>
            <w:r>
              <w:rPr>
                <w:rFonts w:hint="eastAsia" w:ascii="标宋" w:eastAsia="标宋"/>
                <w:color w:val="000000"/>
                <w:sz w:val="21"/>
                <w:szCs w:val="21"/>
              </w:rPr>
              <w:t>邮政编码：  511464</w:t>
            </w:r>
          </w:p>
          <w:p>
            <w:r>
              <w:rPr>
                <w:rFonts w:hint="eastAsia" w:ascii="标宋" w:eastAsia="标宋"/>
                <w:color w:val="000000"/>
                <w:sz w:val="21"/>
                <w:szCs w:val="21"/>
              </w:rPr>
              <w:t>联系人：  林工</w:t>
            </w:r>
          </w:p>
          <w:p>
            <w:r>
              <w:rPr>
                <w:rFonts w:hint="eastAsia" w:ascii="标宋" w:eastAsia="标宋"/>
                <w:color w:val="000000"/>
                <w:sz w:val="21"/>
                <w:szCs w:val="21"/>
              </w:rPr>
              <w:t>电 话：  020-83051032</w:t>
            </w:r>
          </w:p>
          <w:p>
            <w:r>
              <w:rPr>
                <w:rFonts w:hint="eastAsia" w:ascii="标宋" w:eastAsia="标宋"/>
                <w:color w:val="000000"/>
                <w:sz w:val="21"/>
                <w:szCs w:val="21"/>
              </w:rPr>
              <w:t>传 真：  /</w:t>
            </w:r>
          </w:p>
          <w:p>
            <w:r>
              <w:rPr>
                <w:rFonts w:hint="eastAsia" w:ascii="标宋" w:eastAsia="标宋"/>
                <w:color w:val="000000"/>
                <w:sz w:val="21"/>
                <w:szCs w:val="21"/>
              </w:rPr>
              <w:t>电子邮件：  linting@gzport.com</w:t>
            </w:r>
          </w:p>
        </w:tc>
        <w:tc>
          <w:tcPr>
            <w:tcW w:w="4950" w:type="dxa"/>
          </w:tcPr>
          <w:p>
            <w:r>
              <w:rPr>
                <w:rFonts w:hint="eastAsia" w:ascii="标宋" w:eastAsia="标宋"/>
                <w:color w:val="000000"/>
                <w:sz w:val="21"/>
                <w:szCs w:val="21"/>
              </w:rPr>
              <w:t>招标代理机构:  广州港工程管理有限公司</w:t>
            </w:r>
          </w:p>
          <w:p>
            <w:r>
              <w:rPr>
                <w:rFonts w:hint="eastAsia" w:ascii="标宋" w:eastAsia="标宋"/>
                <w:color w:val="000000"/>
                <w:sz w:val="21"/>
                <w:szCs w:val="21"/>
              </w:rPr>
              <w:t>地址：  广州市黄埔区志诚大道331号201室</w:t>
            </w:r>
          </w:p>
          <w:p>
            <w:r>
              <w:rPr>
                <w:rFonts w:hint="eastAsia" w:ascii="标宋" w:eastAsia="标宋"/>
                <w:color w:val="000000"/>
                <w:sz w:val="21"/>
                <w:szCs w:val="21"/>
              </w:rPr>
              <w:t>邮政编码：  510730</w:t>
            </w:r>
          </w:p>
          <w:p>
            <w:r>
              <w:rPr>
                <w:rFonts w:hint="eastAsia" w:ascii="标宋" w:eastAsia="标宋"/>
                <w:color w:val="000000"/>
                <w:sz w:val="21"/>
                <w:szCs w:val="21"/>
              </w:rPr>
              <w:t>联系人：  彭工、罗工</w:t>
            </w:r>
          </w:p>
          <w:p>
            <w:r>
              <w:rPr>
                <w:rFonts w:hint="eastAsia" w:ascii="标宋" w:eastAsia="标宋"/>
                <w:color w:val="000000"/>
                <w:sz w:val="21"/>
                <w:szCs w:val="21"/>
              </w:rPr>
              <w:t>电 话：  020-82027239、020-82211756</w:t>
            </w:r>
          </w:p>
          <w:p>
            <w:r>
              <w:rPr>
                <w:rFonts w:hint="eastAsia" w:ascii="标宋" w:eastAsia="标宋"/>
                <w:color w:val="000000"/>
                <w:sz w:val="21"/>
                <w:szCs w:val="21"/>
              </w:rPr>
              <w:t>传 真：  020-82212796</w:t>
            </w:r>
          </w:p>
          <w:p>
            <w:r>
              <w:rPr>
                <w:rFonts w:hint="eastAsia" w:ascii="标宋" w:eastAsia="标宋"/>
                <w:color w:val="000000"/>
                <w:sz w:val="21"/>
                <w:szCs w:val="21"/>
              </w:rPr>
              <w:t>电子邮件：  ZBDL2008@126.com</w:t>
            </w:r>
          </w:p>
        </w:tc>
      </w:tr>
    </w:tbl>
    <w:p>
      <w:pPr>
        <w:spacing w:line="280" w:lineRule="auto"/>
      </w:pPr>
      <w:r>
        <w:rPr>
          <w:rFonts w:hint="eastAsia"/>
          <w:color w:val="000000"/>
          <w:sz w:val="21"/>
          <w:szCs w:val="21"/>
        </w:rPr>
        <w:t xml:space="preserve">                                                      2025年01月03日</w:t>
      </w:r>
    </w:p>
    <w:p>
      <w:pPr>
        <w:spacing w:line="280" w:lineRule="auto"/>
      </w:pPr>
    </w:p>
    <w:p>
      <w:pPr>
        <w:spacing w:line="280" w:lineRule="auto"/>
      </w:pPr>
    </w:p>
    <w:p>
      <w:pPr>
        <w:spacing w:line="280" w:lineRule="auto"/>
      </w:pPr>
    </w:p>
    <w:p>
      <w:pPr>
        <w:spacing w:line="280" w:lineRule="auto"/>
      </w:pPr>
    </w:p>
    <w:p>
      <w:pPr>
        <w:spacing w:line="280" w:lineRule="auto"/>
      </w:pPr>
      <w:r>
        <w:rPr>
          <w:rFonts w:hint="eastAsia"/>
          <w:color w:val="000000"/>
          <w:sz w:val="21"/>
          <w:szCs w:val="21"/>
        </w:rPr>
        <w:t>附件1：资格审查条件附录</w:t>
      </w:r>
      <w:r>
        <w:rPr>
          <w:rFonts w:hint="eastAsia"/>
          <w:color w:val="000000"/>
          <w:sz w:val="21"/>
          <w:szCs w:val="21"/>
          <w:u w:val="single"/>
        </w:rPr>
        <w:t>1</w:t>
      </w:r>
      <w:r>
        <w:rPr>
          <w:rFonts w:hint="eastAsia"/>
          <w:color w:val="000000"/>
          <w:sz w:val="21"/>
          <w:szCs w:val="21"/>
        </w:rPr>
        <w:t>至附录</w:t>
      </w:r>
      <w:r>
        <w:rPr>
          <w:rFonts w:hint="eastAsia"/>
          <w:color w:val="000000"/>
          <w:sz w:val="21"/>
          <w:szCs w:val="21"/>
          <w:u w:val="single"/>
        </w:rPr>
        <w:t>5</w:t>
      </w:r>
    </w:p>
    <w:p>
      <w:pPr>
        <w:spacing w:line="280" w:lineRule="auto"/>
      </w:pPr>
      <w:r>
        <w:rPr>
          <w:rFonts w:hint="eastAsia"/>
          <w:color w:val="000000"/>
          <w:sz w:val="21"/>
          <w:szCs w:val="21"/>
        </w:rPr>
        <w:t>附件</w:t>
      </w:r>
      <w:r>
        <w:rPr>
          <w:rFonts w:hint="eastAsia"/>
          <w:color w:val="000000"/>
          <w:sz w:val="21"/>
          <w:szCs w:val="21"/>
          <w:lang w:val="en-US" w:eastAsia="zh-CN"/>
        </w:rPr>
        <w:t>2</w:t>
      </w:r>
      <w:r>
        <w:rPr>
          <w:rFonts w:hint="eastAsia"/>
          <w:color w:val="000000"/>
          <w:sz w:val="21"/>
          <w:szCs w:val="21"/>
        </w:rPr>
        <w:t>：评标办法</w:t>
      </w:r>
    </w:p>
    <w:p>
      <w:pPr>
        <w:spacing w:line="280" w:lineRule="auto"/>
      </w:pPr>
      <w:r>
        <w:rPr>
          <w:rFonts w:hint="eastAsia"/>
          <w:color w:val="000000"/>
          <w:sz w:val="21"/>
          <w:szCs w:val="21"/>
        </w:rPr>
        <w:t>以上附件可从发布公告的网站媒介上下载。</w:t>
      </w:r>
    </w:p>
    <w:sectPr>
      <w:headerReference r:id="rId3" w:type="default"/>
      <w:pgSz w:w="11895" w:h="16830"/>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标宋">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 w:val="615C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wanghg</Company>
  <Pages>1</Pages>
  <Words>0</Words>
  <Characters>0</Characters>
  <Lines>1</Lines>
  <Paragraphs>1</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2010-04-22T11:37:00Z</dcterms:created>
  <dc:creator>wanghg</dc:creator>
  <cp:lastModifiedBy>ppl</cp:lastModifiedBy>
  <dcterms:modified xsi:type="dcterms:W3CDTF">2025-01-03T07:24:19Z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AF909B33755A4AF19357AFF5A620DC44</vt:lpwstr>
  </property>
</Properties>
</file>